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EC238" w14:textId="19DEC6AC" w:rsidR="00735A50" w:rsidRPr="00603003" w:rsidRDefault="00735A50" w:rsidP="00603003">
      <w:pPr>
        <w:pStyle w:val="1-MainHeading"/>
        <w:spacing w:after="0"/>
        <w:rPr>
          <w:rFonts w:cstheme="minorHAnsi"/>
          <w:color w:val="000000"/>
        </w:rPr>
      </w:pPr>
      <w:bookmarkStart w:id="0" w:name="_Hlk134539857"/>
      <w:bookmarkStart w:id="1" w:name="_Toc107927616"/>
      <w:bookmarkStart w:id="2" w:name="_Toc121755810"/>
      <w:bookmarkEnd w:id="0"/>
      <w:r w:rsidRPr="002162EC">
        <w:rPr>
          <w:rFonts w:cstheme="minorHAnsi"/>
          <w:color w:val="000000"/>
        </w:rPr>
        <w:t>5.05</w:t>
      </w:r>
      <w:r w:rsidR="00603003">
        <w:rPr>
          <w:rFonts w:cstheme="minorHAnsi"/>
          <w:color w:val="000000"/>
        </w:rPr>
        <w:tab/>
      </w:r>
      <w:r w:rsidR="00D8137E" w:rsidRPr="002162EC">
        <w:rPr>
          <w:rFonts w:cstheme="minorHAnsi"/>
          <w:color w:val="000000"/>
        </w:rPr>
        <w:t>CHLORMETHINE HYDROCHLORIDE</w:t>
      </w:r>
      <w:r w:rsidR="00603003">
        <w:rPr>
          <w:rFonts w:cstheme="minorHAnsi"/>
          <w:color w:val="000000"/>
        </w:rPr>
        <w:br/>
      </w:r>
      <w:r w:rsidR="00D8137E" w:rsidRPr="002162EC">
        <w:rPr>
          <w:rFonts w:cstheme="minorHAnsi"/>
          <w:color w:val="000000"/>
        </w:rPr>
        <w:t xml:space="preserve">0.016% (160 microgram/g) gel, </w:t>
      </w:r>
      <w:r w:rsidRPr="002162EC">
        <w:rPr>
          <w:rFonts w:cstheme="minorHAnsi"/>
          <w:color w:val="000000"/>
        </w:rPr>
        <w:br/>
      </w:r>
      <w:r w:rsidR="00D8137E" w:rsidRPr="002162EC">
        <w:rPr>
          <w:rFonts w:cstheme="minorHAnsi"/>
          <w:color w:val="000000"/>
        </w:rPr>
        <w:t xml:space="preserve">Ledaga®, </w:t>
      </w:r>
      <w:r w:rsidRPr="002162EC">
        <w:rPr>
          <w:rFonts w:cstheme="minorHAnsi"/>
          <w:color w:val="000000"/>
        </w:rPr>
        <w:br/>
      </w:r>
      <w:r w:rsidR="00D8137E" w:rsidRPr="002162EC">
        <w:rPr>
          <w:rFonts w:cstheme="minorHAnsi"/>
          <w:color w:val="000000"/>
        </w:rPr>
        <w:t>Juniper Biologics Pty Ltd</w:t>
      </w:r>
      <w:r w:rsidRPr="002162EC">
        <w:rPr>
          <w:rFonts w:cstheme="minorHAnsi"/>
          <w:color w:val="000000"/>
        </w:rPr>
        <w:t>.</w:t>
      </w:r>
      <w:bookmarkStart w:id="3" w:name="_Toc22897637"/>
      <w:bookmarkStart w:id="4" w:name="_Toc107927617"/>
      <w:bookmarkStart w:id="5" w:name="_Toc121755811"/>
      <w:bookmarkEnd w:id="1"/>
      <w:bookmarkEnd w:id="2"/>
    </w:p>
    <w:p w14:paraId="019C2086" w14:textId="77777777" w:rsidR="00D8137E" w:rsidRPr="00EF4C2D" w:rsidRDefault="00D8137E" w:rsidP="00D8137E">
      <w:pPr>
        <w:pStyle w:val="2-SectionHeading"/>
      </w:pPr>
      <w:bookmarkStart w:id="6" w:name="_Toc107927618"/>
      <w:bookmarkStart w:id="7" w:name="_Toc121755812"/>
      <w:bookmarkEnd w:id="3"/>
      <w:bookmarkEnd w:id="4"/>
      <w:bookmarkEnd w:id="5"/>
      <w:r w:rsidRPr="00EF4C2D">
        <w:t>Purpose of submission</w:t>
      </w:r>
      <w:bookmarkEnd w:id="6"/>
      <w:bookmarkEnd w:id="7"/>
    </w:p>
    <w:p w14:paraId="5D9866E2" w14:textId="24D54A24" w:rsidR="00D8137E" w:rsidRPr="00EF4C2D" w:rsidRDefault="00D8137E" w:rsidP="00D8137E">
      <w:pPr>
        <w:pStyle w:val="3-BodyText"/>
        <w:ind w:left="709" w:hanging="709"/>
      </w:pPr>
      <w:r w:rsidRPr="00EF4C2D">
        <w:t xml:space="preserve">The Category 1 submission requested a Section 85, Authority Required listing for chlormethine </w:t>
      </w:r>
      <w:r w:rsidR="009E1221">
        <w:t xml:space="preserve">hydrochloride </w:t>
      </w:r>
      <w:r w:rsidRPr="00EF4C2D">
        <w:t xml:space="preserve">gel </w:t>
      </w:r>
      <w:r w:rsidR="009E1221">
        <w:t xml:space="preserve">(hereafter chlormethine gel) </w:t>
      </w:r>
      <w:r w:rsidRPr="00EF4C2D">
        <w:t xml:space="preserve">for the treatment of mycosis fungoides-type cutaneous T-cell lymphoma (MF-CTCL) in adult patients who have </w:t>
      </w:r>
      <w:r w:rsidR="006E7867">
        <w:t xml:space="preserve">less than </w:t>
      </w:r>
      <w:r w:rsidRPr="00EF4C2D">
        <w:t xml:space="preserve">25% of their body surface area (BSA) involved, have failed, are intolerant of or have a contraindication to treatment with topical corticosteroids. </w:t>
      </w:r>
    </w:p>
    <w:p w14:paraId="3AAFD166" w14:textId="7B7812B3" w:rsidR="00D8137E" w:rsidRPr="00EF4C2D" w:rsidRDefault="00D8137E" w:rsidP="00D8137E">
      <w:pPr>
        <w:pStyle w:val="3-BodyText"/>
        <w:ind w:left="709" w:hanging="709"/>
      </w:pPr>
      <w:r w:rsidRPr="00EF4C2D">
        <w:t xml:space="preserve">The basis for the submission was a cost-utility analysis (CUA) against phototherapy. The key components of the submission are summarised in </w:t>
      </w:r>
      <w:r w:rsidRPr="00EF4C2D">
        <w:fldChar w:fldCharType="begin"/>
      </w:r>
      <w:r w:rsidRPr="00EF4C2D">
        <w:instrText xml:space="preserve"> REF _Ref121301553 \h </w:instrText>
      </w:r>
      <w:r w:rsidR="00EF4C2D">
        <w:instrText xml:space="preserve"> \* MERGEFORMAT </w:instrText>
      </w:r>
      <w:r w:rsidRPr="00EF4C2D">
        <w:fldChar w:fldCharType="separate"/>
      </w:r>
      <w:r w:rsidR="00FD5578" w:rsidRPr="00EF4C2D">
        <w:t xml:space="preserve">Table </w:t>
      </w:r>
      <w:r w:rsidR="00FD5578">
        <w:rPr>
          <w:noProof/>
        </w:rPr>
        <w:t>1</w:t>
      </w:r>
      <w:r w:rsidRPr="00EF4C2D">
        <w:fldChar w:fldCharType="end"/>
      </w:r>
      <w:r w:rsidRPr="00EF4C2D">
        <w:t>.</w:t>
      </w:r>
      <w:r w:rsidRPr="00EF4C2D">
        <w:rPr>
          <w:color w:val="0066FF"/>
        </w:rPr>
        <w:t xml:space="preserve"> </w:t>
      </w:r>
    </w:p>
    <w:p w14:paraId="060112F8" w14:textId="4A745B87" w:rsidR="00D8137E" w:rsidRPr="00B72EDF" w:rsidRDefault="00D8137E" w:rsidP="00D8137E">
      <w:pPr>
        <w:pStyle w:val="Caption"/>
        <w:rPr>
          <w:bCs w:val="0"/>
        </w:rPr>
      </w:pPr>
      <w:bookmarkStart w:id="8" w:name="_Ref121301553"/>
      <w:bookmarkStart w:id="9" w:name="_Ref121301547"/>
      <w:r w:rsidRPr="00EF4C2D">
        <w:t xml:space="preserve">Table </w:t>
      </w:r>
      <w:r w:rsidR="00FD5578">
        <w:fldChar w:fldCharType="begin"/>
      </w:r>
      <w:r w:rsidR="00FD5578">
        <w:instrText xml:space="preserve"> SEQ Table \* ARABIC </w:instrText>
      </w:r>
      <w:r w:rsidR="00FD5578">
        <w:fldChar w:fldCharType="separate"/>
      </w:r>
      <w:r w:rsidR="00FD5578">
        <w:rPr>
          <w:noProof/>
        </w:rPr>
        <w:t>1</w:t>
      </w:r>
      <w:r w:rsidR="00FD5578">
        <w:rPr>
          <w:noProof/>
        </w:rPr>
        <w:fldChar w:fldCharType="end"/>
      </w:r>
      <w:bookmarkEnd w:id="8"/>
      <w:r w:rsidRPr="00EF4C2D">
        <w:t>:</w:t>
      </w:r>
      <w:r w:rsidRPr="00EF4C2D">
        <w:rPr>
          <w:rStyle w:val="CommentReference"/>
          <w:szCs w:val="24"/>
        </w:rPr>
        <w:t xml:space="preserve"> </w:t>
      </w:r>
      <w:r w:rsidRPr="00B72EDF">
        <w:rPr>
          <w:bCs w:val="0"/>
        </w:rPr>
        <w:t>Key components of the clinical issue addressed by the submission</w:t>
      </w:r>
      <w:bookmarkEnd w:id="9"/>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7841"/>
      </w:tblGrid>
      <w:tr w:rsidR="00D8137E" w:rsidRPr="00EF4C2D" w14:paraId="25954B8A" w14:textId="77777777" w:rsidTr="00610DFE">
        <w:tc>
          <w:tcPr>
            <w:tcW w:w="1315" w:type="dxa"/>
            <w:vAlign w:val="center"/>
          </w:tcPr>
          <w:p w14:paraId="7241708F" w14:textId="77777777" w:rsidR="00D8137E" w:rsidRPr="00EF4C2D" w:rsidRDefault="00D8137E" w:rsidP="007C08EB">
            <w:pPr>
              <w:pStyle w:val="In-tableHeading"/>
            </w:pPr>
            <w:r w:rsidRPr="00EF4C2D">
              <w:t>Component</w:t>
            </w:r>
          </w:p>
        </w:tc>
        <w:tc>
          <w:tcPr>
            <w:tcW w:w="7841" w:type="dxa"/>
            <w:vAlign w:val="center"/>
          </w:tcPr>
          <w:p w14:paraId="53880E31" w14:textId="77777777" w:rsidR="00D8137E" w:rsidRPr="00EF4C2D" w:rsidRDefault="00D8137E" w:rsidP="007C08EB">
            <w:pPr>
              <w:pStyle w:val="In-tableHeading"/>
            </w:pPr>
            <w:r w:rsidRPr="00EF4C2D">
              <w:t>Description</w:t>
            </w:r>
          </w:p>
        </w:tc>
      </w:tr>
      <w:tr w:rsidR="00D8137E" w:rsidRPr="00EF4C2D" w14:paraId="19BC0C6D" w14:textId="77777777" w:rsidTr="00610DFE">
        <w:tc>
          <w:tcPr>
            <w:tcW w:w="1315" w:type="dxa"/>
            <w:vAlign w:val="center"/>
          </w:tcPr>
          <w:p w14:paraId="6B7FA986" w14:textId="77777777" w:rsidR="00D8137E" w:rsidRPr="00EF4C2D" w:rsidRDefault="00D8137E" w:rsidP="007C08EB">
            <w:pPr>
              <w:pStyle w:val="TableText0"/>
            </w:pPr>
            <w:r w:rsidRPr="00EF4C2D">
              <w:t>Population</w:t>
            </w:r>
          </w:p>
        </w:tc>
        <w:tc>
          <w:tcPr>
            <w:tcW w:w="7841" w:type="dxa"/>
          </w:tcPr>
          <w:p w14:paraId="1B9762F5" w14:textId="3C49993B" w:rsidR="00D8137E" w:rsidRPr="00EF4C2D" w:rsidRDefault="00D8137E" w:rsidP="007C08EB">
            <w:pPr>
              <w:pStyle w:val="TableText0"/>
            </w:pPr>
            <w:r w:rsidRPr="00EF4C2D">
              <w:t xml:space="preserve">Mycosis fungoides-type cutaneous T-cell lymphoma (MF-type CTCL) in adult patients who have </w:t>
            </w:r>
            <w:r w:rsidRPr="00C17648">
              <w:t>less than 25% of their body</w:t>
            </w:r>
            <w:r w:rsidRPr="00EF4C2D">
              <w:t xml:space="preserve"> surface area involved</w:t>
            </w:r>
            <w:r w:rsidR="000C241B">
              <w:t xml:space="preserve"> </w:t>
            </w:r>
            <w:r w:rsidR="000C241B" w:rsidRPr="00C0267D">
              <w:t>and have failed, are intolerant of or have a contraindication to treatment with topical corticosteroids.</w:t>
            </w:r>
          </w:p>
        </w:tc>
      </w:tr>
      <w:tr w:rsidR="00D8137E" w:rsidRPr="00EF4C2D" w14:paraId="0D539F80" w14:textId="77777777" w:rsidTr="00610DFE">
        <w:tc>
          <w:tcPr>
            <w:tcW w:w="1315" w:type="dxa"/>
            <w:vAlign w:val="center"/>
          </w:tcPr>
          <w:p w14:paraId="5E3566A5" w14:textId="77777777" w:rsidR="00D8137E" w:rsidRPr="00EF4C2D" w:rsidRDefault="00D8137E" w:rsidP="007C08EB">
            <w:pPr>
              <w:pStyle w:val="TableText0"/>
            </w:pPr>
            <w:r w:rsidRPr="00EF4C2D">
              <w:t>Intervention</w:t>
            </w:r>
          </w:p>
        </w:tc>
        <w:tc>
          <w:tcPr>
            <w:tcW w:w="7841" w:type="dxa"/>
          </w:tcPr>
          <w:p w14:paraId="41AFB8DC" w14:textId="3D44FBBB" w:rsidR="00D8137E" w:rsidRPr="00EF4C2D" w:rsidRDefault="009E1221" w:rsidP="007C08EB">
            <w:pPr>
              <w:pStyle w:val="TableText0"/>
            </w:pPr>
            <w:r>
              <w:t>C</w:t>
            </w:r>
            <w:r w:rsidR="00D8137E" w:rsidRPr="00EF4C2D">
              <w:t>hlormethine (as hydrochloride) 160 microgram/g topical gel tube, 60</w:t>
            </w:r>
            <w:r w:rsidR="00603003">
              <w:t xml:space="preserve"> </w:t>
            </w:r>
            <w:r w:rsidR="00D8137E" w:rsidRPr="00EF4C2D">
              <w:t>g</w:t>
            </w:r>
          </w:p>
        </w:tc>
      </w:tr>
      <w:tr w:rsidR="00D8137E" w:rsidRPr="00EF4C2D" w14:paraId="4151F8A1" w14:textId="77777777" w:rsidTr="00610DFE">
        <w:tc>
          <w:tcPr>
            <w:tcW w:w="1315" w:type="dxa"/>
            <w:vAlign w:val="center"/>
          </w:tcPr>
          <w:p w14:paraId="5C1AA13A" w14:textId="77777777" w:rsidR="00D8137E" w:rsidRPr="00EF4C2D" w:rsidRDefault="00D8137E" w:rsidP="007C08EB">
            <w:pPr>
              <w:pStyle w:val="TableText0"/>
            </w:pPr>
            <w:r w:rsidRPr="00EF4C2D">
              <w:t>Comparator</w:t>
            </w:r>
          </w:p>
        </w:tc>
        <w:tc>
          <w:tcPr>
            <w:tcW w:w="7841" w:type="dxa"/>
          </w:tcPr>
          <w:p w14:paraId="04A822F6" w14:textId="77777777" w:rsidR="00D8137E" w:rsidRPr="00EF4C2D" w:rsidRDefault="00D8137E" w:rsidP="007C08EB">
            <w:pPr>
              <w:pStyle w:val="TableText0"/>
            </w:pPr>
            <w:r w:rsidRPr="00EF4C2D">
              <w:t>Skin directed therapies such as phototherapy (5% psoralen plus ultraviolet A radiation [PUVA], 95% ultraviolet B [UVB])</w:t>
            </w:r>
          </w:p>
        </w:tc>
      </w:tr>
      <w:tr w:rsidR="00D8137E" w:rsidRPr="00EF4C2D" w14:paraId="096E9A00" w14:textId="77777777" w:rsidTr="00610DFE">
        <w:tc>
          <w:tcPr>
            <w:tcW w:w="1315" w:type="dxa"/>
            <w:vAlign w:val="center"/>
          </w:tcPr>
          <w:p w14:paraId="00BC1A59" w14:textId="77777777" w:rsidR="00D8137E" w:rsidRPr="00EF4C2D" w:rsidRDefault="00D8137E" w:rsidP="007C08EB">
            <w:pPr>
              <w:pStyle w:val="TableText0"/>
            </w:pPr>
            <w:r w:rsidRPr="00EF4C2D">
              <w:t>Outcomes</w:t>
            </w:r>
          </w:p>
        </w:tc>
        <w:tc>
          <w:tcPr>
            <w:tcW w:w="7841" w:type="dxa"/>
          </w:tcPr>
          <w:p w14:paraId="4B4B8459" w14:textId="77777777" w:rsidR="00D8137E" w:rsidRPr="00EF4C2D" w:rsidRDefault="00D8137E" w:rsidP="007C08EB">
            <w:pPr>
              <w:pStyle w:val="KMC16-Tablecontent"/>
              <w:keepNext/>
              <w:ind w:left="0"/>
              <w:rPr>
                <w:lang w:val="en-AU"/>
              </w:rPr>
            </w:pPr>
            <w:r w:rsidRPr="00EF4C2D">
              <w:rPr>
                <w:lang w:val="en-AU"/>
              </w:rPr>
              <w:t>Derived primary outcome: Restricted mean duration of response (complete response)</w:t>
            </w:r>
          </w:p>
          <w:p w14:paraId="2B213721" w14:textId="77777777" w:rsidR="00D8137E" w:rsidRPr="00EF4C2D" w:rsidRDefault="00D8137E" w:rsidP="007C08EB">
            <w:pPr>
              <w:pStyle w:val="KMC16-Tablecontent"/>
              <w:keepNext/>
              <w:ind w:left="0"/>
              <w:rPr>
                <w:lang w:val="en-AU"/>
              </w:rPr>
            </w:pPr>
            <w:r w:rsidRPr="00EF4C2D">
              <w:rPr>
                <w:lang w:val="en-AU"/>
              </w:rPr>
              <w:t>Other reported outcomes are those from study 201 and include:</w:t>
            </w:r>
          </w:p>
          <w:p w14:paraId="344CC867" w14:textId="77777777" w:rsidR="00D8137E" w:rsidRPr="00EF4C2D" w:rsidRDefault="00D8137E" w:rsidP="007C08EB">
            <w:pPr>
              <w:pStyle w:val="KMC16-Tablecontent"/>
              <w:keepNext/>
              <w:ind w:left="0"/>
              <w:rPr>
                <w:lang w:val="en-AU"/>
              </w:rPr>
            </w:pPr>
            <w:r w:rsidRPr="00EF4C2D">
              <w:rPr>
                <w:u w:val="single"/>
                <w:lang w:val="en-AU"/>
              </w:rPr>
              <w:t>Primary</w:t>
            </w:r>
            <w:r w:rsidRPr="00EF4C2D">
              <w:rPr>
                <w:lang w:val="en-AU"/>
              </w:rPr>
              <w:t>:</w:t>
            </w:r>
          </w:p>
          <w:p w14:paraId="00B0E1FA" w14:textId="77777777" w:rsidR="00D8137E" w:rsidRPr="00EF4C2D" w:rsidRDefault="00D8137E" w:rsidP="007C08EB">
            <w:pPr>
              <w:pStyle w:val="KMC16-Tablecontent"/>
              <w:keepNext/>
              <w:ind w:left="0"/>
              <w:rPr>
                <w:lang w:val="en-AU"/>
              </w:rPr>
            </w:pPr>
            <w:r w:rsidRPr="00EF4C2D">
              <w:rPr>
                <w:lang w:val="en-AU"/>
              </w:rPr>
              <w:t>The primary efficacy endpoint was a ≥50% improvement (i.e., CR or PR) in a patient’s CAILS score versus the baseline measurement</w:t>
            </w:r>
          </w:p>
          <w:p w14:paraId="1CD9DD09" w14:textId="77777777" w:rsidR="00D8137E" w:rsidRPr="00EF4C2D" w:rsidRDefault="00D8137E" w:rsidP="007C08EB">
            <w:pPr>
              <w:pStyle w:val="KMC16-Tablecontent"/>
              <w:keepNext/>
              <w:ind w:left="0"/>
              <w:rPr>
                <w:lang w:val="en-AU"/>
              </w:rPr>
            </w:pPr>
            <w:r w:rsidRPr="00EF4C2D">
              <w:rPr>
                <w:u w:val="single"/>
                <w:lang w:val="en-AU"/>
              </w:rPr>
              <w:t>Secondary</w:t>
            </w:r>
            <w:r w:rsidRPr="00EF4C2D">
              <w:rPr>
                <w:lang w:val="en-AU"/>
              </w:rPr>
              <w:t>:</w:t>
            </w:r>
          </w:p>
          <w:p w14:paraId="6D0151FF" w14:textId="77777777" w:rsidR="00D8137E" w:rsidRPr="00EF4C2D" w:rsidRDefault="00D8137E" w:rsidP="00981D3B">
            <w:pPr>
              <w:pStyle w:val="KMC16-Tablecontent"/>
              <w:keepNext/>
              <w:numPr>
                <w:ilvl w:val="0"/>
                <w:numId w:val="6"/>
              </w:numPr>
              <w:rPr>
                <w:lang w:val="en-AU"/>
              </w:rPr>
            </w:pPr>
            <w:r w:rsidRPr="00EF4C2D">
              <w:rPr>
                <w:lang w:val="en-AU"/>
              </w:rPr>
              <w:t>CAILS response rate</w:t>
            </w:r>
          </w:p>
          <w:p w14:paraId="66B3A406" w14:textId="77777777" w:rsidR="00D8137E" w:rsidRPr="00EF4C2D" w:rsidRDefault="00D8137E" w:rsidP="00981D3B">
            <w:pPr>
              <w:pStyle w:val="KMC16-Tablecontent"/>
              <w:keepNext/>
              <w:numPr>
                <w:ilvl w:val="0"/>
                <w:numId w:val="6"/>
              </w:numPr>
              <w:rPr>
                <w:lang w:val="en-AU"/>
              </w:rPr>
            </w:pPr>
            <w:r w:rsidRPr="00EF4C2D">
              <w:rPr>
                <w:lang w:val="en-AU"/>
              </w:rPr>
              <w:t>mSWAT response rate</w:t>
            </w:r>
          </w:p>
          <w:p w14:paraId="14A8707F" w14:textId="77777777" w:rsidR="00D8137E" w:rsidRPr="00EF4C2D" w:rsidRDefault="00D8137E" w:rsidP="00981D3B">
            <w:pPr>
              <w:pStyle w:val="KMC16-Tablecontent"/>
              <w:keepNext/>
              <w:numPr>
                <w:ilvl w:val="0"/>
                <w:numId w:val="6"/>
              </w:numPr>
              <w:rPr>
                <w:lang w:val="en-AU"/>
              </w:rPr>
            </w:pPr>
            <w:r w:rsidRPr="00EF4C2D">
              <w:rPr>
                <w:lang w:val="en-AU"/>
              </w:rPr>
              <w:t>The time to a confirmed CAILS response</w:t>
            </w:r>
          </w:p>
          <w:p w14:paraId="1CF06459" w14:textId="77777777" w:rsidR="00D8137E" w:rsidRPr="00EF4C2D" w:rsidRDefault="00D8137E" w:rsidP="00981D3B">
            <w:pPr>
              <w:pStyle w:val="KMC16-Tablecontent"/>
              <w:keepNext/>
              <w:numPr>
                <w:ilvl w:val="0"/>
                <w:numId w:val="6"/>
              </w:numPr>
              <w:rPr>
                <w:lang w:val="en-AU"/>
              </w:rPr>
            </w:pPr>
            <w:r w:rsidRPr="00EF4C2D">
              <w:rPr>
                <w:lang w:val="en-AU"/>
              </w:rPr>
              <w:t xml:space="preserve">Duration of response </w:t>
            </w:r>
          </w:p>
          <w:p w14:paraId="4D466440" w14:textId="77777777" w:rsidR="00D8137E" w:rsidRPr="00EF4C2D" w:rsidRDefault="00D8137E" w:rsidP="00981D3B">
            <w:pPr>
              <w:pStyle w:val="KMC16-Tablecontent"/>
              <w:keepNext/>
              <w:numPr>
                <w:ilvl w:val="0"/>
                <w:numId w:val="6"/>
              </w:numPr>
              <w:rPr>
                <w:lang w:val="en-AU"/>
              </w:rPr>
            </w:pPr>
            <w:r w:rsidRPr="00EF4C2D">
              <w:rPr>
                <w:lang w:val="en-AU"/>
              </w:rPr>
              <w:t xml:space="preserve">Adverse effects of treatment </w:t>
            </w:r>
          </w:p>
          <w:p w14:paraId="2080D4C0" w14:textId="77777777" w:rsidR="00D8137E" w:rsidRPr="00EF4C2D" w:rsidRDefault="00D8137E" w:rsidP="007C08EB">
            <w:pPr>
              <w:pStyle w:val="TableText0"/>
            </w:pPr>
            <w:r w:rsidRPr="00EF4C2D">
              <w:t>Health-related quality of life (PROVe Study)</w:t>
            </w:r>
          </w:p>
        </w:tc>
      </w:tr>
      <w:tr w:rsidR="00D8137E" w:rsidRPr="00EF4C2D" w14:paraId="38714BAC" w14:textId="77777777" w:rsidTr="00610DFE">
        <w:tc>
          <w:tcPr>
            <w:tcW w:w="1315" w:type="dxa"/>
            <w:vAlign w:val="center"/>
          </w:tcPr>
          <w:p w14:paraId="7316BA14" w14:textId="77777777" w:rsidR="00D8137E" w:rsidRPr="00EF4C2D" w:rsidRDefault="00D8137E" w:rsidP="007C08EB">
            <w:pPr>
              <w:pStyle w:val="TableText0"/>
            </w:pPr>
            <w:r w:rsidRPr="00EF4C2D">
              <w:t>Clinical claim</w:t>
            </w:r>
          </w:p>
        </w:tc>
        <w:tc>
          <w:tcPr>
            <w:tcW w:w="7841" w:type="dxa"/>
          </w:tcPr>
          <w:p w14:paraId="49ED876D" w14:textId="4C210EEA" w:rsidR="00D8137E" w:rsidRPr="00EF4C2D" w:rsidRDefault="00B72EDF" w:rsidP="007C08EB">
            <w:pPr>
              <w:pStyle w:val="TableText0"/>
            </w:pPr>
            <w:r>
              <w:t>Chlormethine</w:t>
            </w:r>
            <w:r w:rsidR="00605FF5">
              <w:t xml:space="preserve"> provides non-inferior levels of efficacy in terms of restricted mean duration of complete response and improved effectiveness in terms of health related quality of life</w:t>
            </w:r>
            <w:r w:rsidR="00D8137E" w:rsidRPr="00EF4C2D" w:rsidDel="00434C29">
              <w:t xml:space="preserve"> and</w:t>
            </w:r>
            <w:r w:rsidR="00D8137E" w:rsidRPr="00EF4C2D">
              <w:t xml:space="preserve"> has</w:t>
            </w:r>
            <w:r w:rsidR="00D8137E" w:rsidRPr="00EF4C2D" w:rsidDel="00434C29">
              <w:t xml:space="preserve"> similar safety compared to phototherapy</w:t>
            </w:r>
          </w:p>
        </w:tc>
      </w:tr>
    </w:tbl>
    <w:p w14:paraId="0AF8BC48" w14:textId="77777777" w:rsidR="00D8137E" w:rsidRPr="00EF4C2D" w:rsidRDefault="00D8137E" w:rsidP="00D8137E">
      <w:pPr>
        <w:pStyle w:val="FooterTableFigure"/>
      </w:pPr>
      <w:r w:rsidRPr="00EF4C2D">
        <w:t xml:space="preserve">Source: Table 1-1 p15 of the submission </w:t>
      </w:r>
    </w:p>
    <w:p w14:paraId="035BBD46" w14:textId="77777777" w:rsidR="00D8137E" w:rsidRPr="00EF4C2D" w:rsidRDefault="00D8137E" w:rsidP="00D8137E">
      <w:pPr>
        <w:pStyle w:val="FooterTableFigure"/>
      </w:pPr>
      <w:bookmarkStart w:id="10" w:name="_Hlk121588671"/>
      <w:r w:rsidRPr="00EF4C2D">
        <w:t>CAILS=Composite Assessment of Index Lesion Severity; CR=complete response; MF-CTCL= mycosis fungoides-type cutaneous T-cell lymphoma; mSWAT= Modified Severity-Weighted Assessment Tool; PR=partial response; PUVA=psoralen ultraviolet A; UVA=ultraviolet A</w:t>
      </w:r>
      <w:bookmarkEnd w:id="10"/>
      <w:r w:rsidRPr="00EF4C2D">
        <w:t xml:space="preserve">; UVB=ultraviolet B; QALY=quality adjusted life years. </w:t>
      </w:r>
    </w:p>
    <w:p w14:paraId="7178D2DC" w14:textId="77777777" w:rsidR="00D8137E" w:rsidRPr="00EF4C2D" w:rsidRDefault="00D8137E" w:rsidP="00D8137E">
      <w:pPr>
        <w:pStyle w:val="2-SectionHeading"/>
      </w:pPr>
      <w:bookmarkStart w:id="11" w:name="_Toc107927619"/>
      <w:bookmarkStart w:id="12" w:name="_Toc121755813"/>
      <w:r w:rsidRPr="00EF4C2D">
        <w:t>Background</w:t>
      </w:r>
      <w:bookmarkEnd w:id="11"/>
      <w:bookmarkEnd w:id="12"/>
    </w:p>
    <w:p w14:paraId="433E371C" w14:textId="77777777" w:rsidR="00D8137E" w:rsidRPr="00EF4C2D" w:rsidRDefault="00D8137E" w:rsidP="00D8137E">
      <w:pPr>
        <w:pStyle w:val="4-SubsectionHeading"/>
      </w:pPr>
      <w:bookmarkStart w:id="13" w:name="_Toc22897638"/>
      <w:bookmarkStart w:id="14" w:name="_Toc107927620"/>
      <w:bookmarkStart w:id="15" w:name="_Toc121755814"/>
      <w:r w:rsidRPr="00EF4C2D">
        <w:t>Registration status</w:t>
      </w:r>
      <w:bookmarkEnd w:id="13"/>
      <w:bookmarkEnd w:id="14"/>
      <w:bookmarkEnd w:id="15"/>
    </w:p>
    <w:p w14:paraId="44D50A4F" w14:textId="763D5930" w:rsidR="00D8137E" w:rsidRPr="00630E6E" w:rsidRDefault="00D8137E" w:rsidP="00D8137E">
      <w:pPr>
        <w:pStyle w:val="3-BodyText"/>
        <w:ind w:left="709" w:hanging="709"/>
        <w:rPr>
          <w:iCs/>
        </w:rPr>
      </w:pPr>
      <w:r w:rsidRPr="00EF4C2D">
        <w:t xml:space="preserve">Chlormethine gel is registered for use in Australia, having been listed on the ARTG on 22 June 2021 for the topical treatment of MF-type CTCL in adult patients. </w:t>
      </w:r>
      <w:r w:rsidRPr="00630E6E">
        <w:rPr>
          <w:iCs/>
        </w:rPr>
        <w:t>The TGA approved indication is broader than the requested PBS restriction in that it is not restricted to those with</w:t>
      </w:r>
      <w:r w:rsidR="00B72EDF" w:rsidRPr="00630E6E">
        <w:rPr>
          <w:iCs/>
        </w:rPr>
        <w:t xml:space="preserve"> who have failed, are</w:t>
      </w:r>
      <w:r w:rsidRPr="00630E6E">
        <w:rPr>
          <w:iCs/>
        </w:rPr>
        <w:t xml:space="preserve"> intoleran</w:t>
      </w:r>
      <w:r w:rsidR="00B72EDF" w:rsidRPr="00630E6E">
        <w:rPr>
          <w:iCs/>
        </w:rPr>
        <w:t>t</w:t>
      </w:r>
      <w:r w:rsidRPr="00630E6E">
        <w:rPr>
          <w:iCs/>
        </w:rPr>
        <w:t xml:space="preserve"> </w:t>
      </w:r>
      <w:r w:rsidR="00B72EDF" w:rsidRPr="00630E6E">
        <w:rPr>
          <w:iCs/>
        </w:rPr>
        <w:t xml:space="preserve">of </w:t>
      </w:r>
      <w:r w:rsidRPr="00630E6E">
        <w:rPr>
          <w:iCs/>
        </w:rPr>
        <w:t>or</w:t>
      </w:r>
      <w:r w:rsidR="00B72EDF" w:rsidRPr="00630E6E">
        <w:rPr>
          <w:iCs/>
        </w:rPr>
        <w:t xml:space="preserve"> have a</w:t>
      </w:r>
      <w:r w:rsidRPr="00630E6E">
        <w:rPr>
          <w:iCs/>
        </w:rPr>
        <w:t xml:space="preserve"> contraindication to </w:t>
      </w:r>
      <w:r w:rsidR="00B72EDF" w:rsidRPr="00630E6E">
        <w:rPr>
          <w:iCs/>
        </w:rPr>
        <w:t xml:space="preserve">topical </w:t>
      </w:r>
      <w:r w:rsidRPr="00630E6E">
        <w:rPr>
          <w:iCs/>
        </w:rPr>
        <w:t xml:space="preserve">corticosteroids. </w:t>
      </w:r>
    </w:p>
    <w:p w14:paraId="4255D07A" w14:textId="7C06BCF5" w:rsidR="00DF296F" w:rsidRPr="00630E6E" w:rsidRDefault="00D8137E" w:rsidP="0020059A">
      <w:pPr>
        <w:pStyle w:val="3-BodyText"/>
        <w:ind w:left="709" w:hanging="709"/>
        <w:rPr>
          <w:iCs/>
          <w:color w:val="0066FF"/>
        </w:rPr>
      </w:pPr>
      <w:r w:rsidRPr="00630E6E">
        <w:rPr>
          <w:rFonts w:cs="Calibri"/>
          <w:iCs/>
          <w:snapToGrid/>
          <w:lang w:val="en-US"/>
        </w:rPr>
        <w:t xml:space="preserve">Chlormethine gel has not been previously considered by the PBAC for any indication. </w:t>
      </w:r>
    </w:p>
    <w:p w14:paraId="659B786B" w14:textId="5F1D8B04" w:rsidR="00D8137E" w:rsidRDefault="00D8137E" w:rsidP="00D8137E">
      <w:pPr>
        <w:pStyle w:val="2-SectionHeading"/>
      </w:pPr>
      <w:bookmarkStart w:id="16" w:name="_Toc107902078"/>
      <w:bookmarkStart w:id="17" w:name="_Toc107927622"/>
      <w:bookmarkStart w:id="18" w:name="_Toc121755815"/>
      <w:bookmarkEnd w:id="16"/>
      <w:r w:rsidRPr="00EF4C2D">
        <w:t>Requested listing</w:t>
      </w:r>
      <w:bookmarkEnd w:id="17"/>
      <w:bookmarkEnd w:id="18"/>
    </w:p>
    <w:p w14:paraId="0B6AF00C" w14:textId="3F5E199D" w:rsidR="00630E6E" w:rsidRPr="00D72E8F" w:rsidRDefault="00D72E8F" w:rsidP="00D72E8F">
      <w:pPr>
        <w:pStyle w:val="3-BodyText"/>
        <w:ind w:left="709" w:hanging="709"/>
        <w:rPr>
          <w:iCs/>
        </w:rPr>
      </w:pPr>
      <w:bookmarkStart w:id="19" w:name="_Ref131421391"/>
      <w:r w:rsidRPr="00D72E8F">
        <w:rPr>
          <w:iCs/>
        </w:rPr>
        <w:t>Suggestions and additions proposed by the Secretariat are added in italics and suggested deletions are crossed out with strikethrough.</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1311"/>
        <w:gridCol w:w="1704"/>
        <w:gridCol w:w="914"/>
        <w:gridCol w:w="976"/>
        <w:gridCol w:w="976"/>
        <w:gridCol w:w="934"/>
        <w:gridCol w:w="1253"/>
      </w:tblGrid>
      <w:tr w:rsidR="00D72E8F" w:rsidRPr="00EF4C2D" w14:paraId="0B0F2D40" w14:textId="77777777" w:rsidTr="00D72E8F">
        <w:trPr>
          <w:trHeight w:val="20"/>
        </w:trPr>
        <w:tc>
          <w:tcPr>
            <w:tcW w:w="1253" w:type="pct"/>
            <w:gridSpan w:val="2"/>
          </w:tcPr>
          <w:p w14:paraId="3CF877DB" w14:textId="77777777" w:rsidR="00D72E8F" w:rsidRPr="00D72E8F" w:rsidRDefault="00D72E8F" w:rsidP="00610DFE">
            <w:pPr>
              <w:keepNext/>
              <w:keepLines/>
              <w:jc w:val="center"/>
              <w:rPr>
                <w:rFonts w:ascii="Arial Narrow" w:hAnsi="Arial Narrow"/>
                <w:b/>
                <w:sz w:val="20"/>
                <w:szCs w:val="20"/>
              </w:rPr>
            </w:pPr>
            <w:r w:rsidRPr="00D72E8F">
              <w:rPr>
                <w:rFonts w:ascii="Arial Narrow" w:hAnsi="Arial Narrow"/>
                <w:b/>
                <w:sz w:val="20"/>
                <w:szCs w:val="20"/>
              </w:rPr>
              <w:t>MEDICINAL PRODUCT</w:t>
            </w:r>
          </w:p>
          <w:p w14:paraId="231AE1D4" w14:textId="77777777" w:rsidR="00D72E8F" w:rsidRPr="00D72E8F" w:rsidRDefault="00D72E8F" w:rsidP="00610DFE">
            <w:pPr>
              <w:keepNext/>
              <w:keepLines/>
              <w:jc w:val="center"/>
              <w:rPr>
                <w:rFonts w:ascii="Arial Narrow" w:hAnsi="Arial Narrow"/>
                <w:b/>
                <w:sz w:val="20"/>
                <w:szCs w:val="20"/>
              </w:rPr>
            </w:pPr>
            <w:r w:rsidRPr="00D72E8F">
              <w:rPr>
                <w:rFonts w:ascii="Arial Narrow" w:hAnsi="Arial Narrow"/>
                <w:b/>
                <w:sz w:val="20"/>
                <w:szCs w:val="20"/>
              </w:rPr>
              <w:t>medicinal product pack</w:t>
            </w:r>
          </w:p>
        </w:tc>
        <w:tc>
          <w:tcPr>
            <w:tcW w:w="945" w:type="pct"/>
            <w:vAlign w:val="center"/>
          </w:tcPr>
          <w:p w14:paraId="505CB4AA" w14:textId="174DFE19" w:rsidR="00D72E8F" w:rsidRPr="00EF4C2D" w:rsidRDefault="00D72E8F" w:rsidP="00610DFE">
            <w:pPr>
              <w:keepNext/>
              <w:keepLines/>
              <w:jc w:val="center"/>
              <w:rPr>
                <w:b/>
                <w:bCs/>
                <w:szCs w:val="20"/>
              </w:rPr>
            </w:pPr>
            <w:r w:rsidRPr="006E7867">
              <w:rPr>
                <w:rFonts w:ascii="Arial Narrow" w:hAnsi="Arial Narrow"/>
                <w:b/>
                <w:sz w:val="20"/>
                <w:szCs w:val="20"/>
              </w:rPr>
              <w:t>Dispensed Price for Max. Qty</w:t>
            </w:r>
          </w:p>
        </w:tc>
        <w:tc>
          <w:tcPr>
            <w:tcW w:w="507" w:type="pct"/>
            <w:vAlign w:val="center"/>
          </w:tcPr>
          <w:p w14:paraId="5956509D" w14:textId="67D2125D" w:rsidR="00D72E8F" w:rsidRPr="00EF4C2D" w:rsidRDefault="00D72E8F" w:rsidP="00610DFE">
            <w:pPr>
              <w:keepNext/>
              <w:keepLines/>
              <w:jc w:val="center"/>
              <w:rPr>
                <w:b/>
                <w:bCs/>
                <w:szCs w:val="20"/>
              </w:rPr>
            </w:pPr>
            <w:r w:rsidRPr="004F3892">
              <w:rPr>
                <w:rFonts w:ascii="Arial Narrow" w:hAnsi="Arial Narrow"/>
                <w:b/>
                <w:sz w:val="20"/>
                <w:szCs w:val="20"/>
              </w:rPr>
              <w:t>PBS item code</w:t>
            </w:r>
          </w:p>
        </w:tc>
        <w:tc>
          <w:tcPr>
            <w:tcW w:w="541" w:type="pct"/>
            <w:vAlign w:val="center"/>
          </w:tcPr>
          <w:p w14:paraId="5F5F85A1" w14:textId="77777777" w:rsidR="00D72E8F" w:rsidRPr="00EF4C2D" w:rsidRDefault="00D72E8F" w:rsidP="00610DFE">
            <w:pPr>
              <w:keepNext/>
              <w:keepLines/>
              <w:jc w:val="center"/>
              <w:rPr>
                <w:rFonts w:ascii="Arial Narrow" w:hAnsi="Arial Narrow"/>
                <w:b/>
                <w:sz w:val="20"/>
                <w:szCs w:val="20"/>
              </w:rPr>
            </w:pPr>
            <w:r w:rsidRPr="00EF4C2D">
              <w:rPr>
                <w:rFonts w:ascii="Arial Narrow" w:hAnsi="Arial Narrow"/>
                <w:b/>
                <w:sz w:val="20"/>
                <w:szCs w:val="20"/>
              </w:rPr>
              <w:t>Max. qty packs</w:t>
            </w:r>
          </w:p>
        </w:tc>
        <w:tc>
          <w:tcPr>
            <w:tcW w:w="541" w:type="pct"/>
            <w:vAlign w:val="center"/>
          </w:tcPr>
          <w:p w14:paraId="6E964F39" w14:textId="77777777" w:rsidR="00D72E8F" w:rsidRPr="00EF4C2D" w:rsidRDefault="00D72E8F" w:rsidP="00610DFE">
            <w:pPr>
              <w:keepNext/>
              <w:keepLines/>
              <w:jc w:val="center"/>
              <w:rPr>
                <w:rFonts w:ascii="Arial Narrow" w:hAnsi="Arial Narrow"/>
                <w:b/>
                <w:sz w:val="20"/>
                <w:szCs w:val="20"/>
              </w:rPr>
            </w:pPr>
            <w:r w:rsidRPr="00EF4C2D">
              <w:rPr>
                <w:rFonts w:ascii="Arial Narrow" w:hAnsi="Arial Narrow"/>
                <w:b/>
                <w:sz w:val="20"/>
                <w:szCs w:val="20"/>
              </w:rPr>
              <w:t>Max. qty units</w:t>
            </w:r>
          </w:p>
        </w:tc>
        <w:tc>
          <w:tcPr>
            <w:tcW w:w="518" w:type="pct"/>
            <w:vAlign w:val="center"/>
          </w:tcPr>
          <w:p w14:paraId="176A2077" w14:textId="77777777" w:rsidR="00D72E8F" w:rsidRPr="00EF4C2D" w:rsidRDefault="00D72E8F" w:rsidP="00610DFE">
            <w:pPr>
              <w:keepNext/>
              <w:keepLines/>
              <w:jc w:val="center"/>
              <w:rPr>
                <w:rFonts w:ascii="Arial Narrow" w:hAnsi="Arial Narrow"/>
                <w:b/>
                <w:sz w:val="20"/>
                <w:szCs w:val="20"/>
              </w:rPr>
            </w:pPr>
            <w:r w:rsidRPr="00EF4C2D">
              <w:rPr>
                <w:rFonts w:ascii="Arial Narrow" w:hAnsi="Arial Narrow"/>
                <w:b/>
                <w:sz w:val="20"/>
                <w:szCs w:val="20"/>
              </w:rPr>
              <w:t>№.of</w:t>
            </w:r>
          </w:p>
          <w:p w14:paraId="5D6C384A" w14:textId="77777777" w:rsidR="00D72E8F" w:rsidRPr="00EF4C2D" w:rsidRDefault="00D72E8F" w:rsidP="00610DFE">
            <w:pPr>
              <w:keepNext/>
              <w:keepLines/>
              <w:jc w:val="center"/>
              <w:rPr>
                <w:rFonts w:ascii="Arial Narrow" w:hAnsi="Arial Narrow"/>
                <w:b/>
                <w:sz w:val="20"/>
                <w:szCs w:val="20"/>
              </w:rPr>
            </w:pPr>
            <w:r w:rsidRPr="00EF4C2D">
              <w:rPr>
                <w:rFonts w:ascii="Arial Narrow" w:hAnsi="Arial Narrow"/>
                <w:b/>
                <w:sz w:val="20"/>
                <w:szCs w:val="20"/>
              </w:rPr>
              <w:t>Rpts</w:t>
            </w:r>
          </w:p>
        </w:tc>
        <w:tc>
          <w:tcPr>
            <w:tcW w:w="694" w:type="pct"/>
            <w:vAlign w:val="center"/>
          </w:tcPr>
          <w:p w14:paraId="1BB85E87" w14:textId="77777777" w:rsidR="00D72E8F" w:rsidRPr="00EF4C2D" w:rsidRDefault="00D72E8F" w:rsidP="00610DFE">
            <w:pPr>
              <w:keepNext/>
              <w:keepLines/>
              <w:jc w:val="center"/>
              <w:rPr>
                <w:rFonts w:ascii="Arial Narrow" w:hAnsi="Arial Narrow"/>
                <w:b/>
                <w:sz w:val="20"/>
                <w:szCs w:val="20"/>
                <w:lang w:val="fr-FR"/>
              </w:rPr>
            </w:pPr>
            <w:r w:rsidRPr="00EF4C2D">
              <w:rPr>
                <w:rFonts w:ascii="Arial Narrow" w:hAnsi="Arial Narrow"/>
                <w:b/>
                <w:sz w:val="20"/>
                <w:szCs w:val="20"/>
              </w:rPr>
              <w:t>Available brands</w:t>
            </w:r>
          </w:p>
        </w:tc>
      </w:tr>
      <w:tr w:rsidR="00D72E8F" w:rsidRPr="00EF4C2D" w14:paraId="40D41D5A" w14:textId="77777777" w:rsidTr="00603003">
        <w:trPr>
          <w:trHeight w:val="20"/>
        </w:trPr>
        <w:tc>
          <w:tcPr>
            <w:tcW w:w="1253" w:type="pct"/>
            <w:gridSpan w:val="2"/>
          </w:tcPr>
          <w:p w14:paraId="6047994F" w14:textId="44086CBB" w:rsidR="00D72E8F" w:rsidRPr="008A0628" w:rsidRDefault="00D72E8F" w:rsidP="00603003">
            <w:pPr>
              <w:keepNext/>
              <w:keepLines/>
              <w:jc w:val="left"/>
              <w:rPr>
                <w:rFonts w:ascii="Arial Narrow" w:hAnsi="Arial Narrow"/>
                <w:sz w:val="20"/>
                <w:szCs w:val="20"/>
                <w:lang w:val="de-DE"/>
              </w:rPr>
            </w:pPr>
            <w:r w:rsidRPr="008A0628">
              <w:rPr>
                <w:rFonts w:ascii="Arial Narrow" w:eastAsiaTheme="majorEastAsia" w:hAnsi="Arial Narrow" w:cstheme="majorBidi"/>
                <w:bCs/>
                <w:sz w:val="20"/>
                <w:lang w:val="de-DE"/>
              </w:rPr>
              <w:t>chlormethine 0.016% (</w:t>
            </w:r>
            <w:r w:rsidR="00603003" w:rsidRPr="008A0628">
              <w:rPr>
                <w:rFonts w:ascii="Arial Narrow" w:eastAsiaTheme="majorEastAsia" w:hAnsi="Arial Narrow" w:cstheme="majorBidi"/>
                <w:bCs/>
                <w:sz w:val="20"/>
                <w:lang w:val="de-DE"/>
              </w:rPr>
              <w:t>160 </w:t>
            </w:r>
            <w:r w:rsidRPr="008A0628">
              <w:rPr>
                <w:rFonts w:ascii="Arial Narrow" w:eastAsiaTheme="majorEastAsia" w:hAnsi="Arial Narrow" w:cstheme="majorBidi"/>
                <w:bCs/>
                <w:sz w:val="20"/>
                <w:lang w:val="de-DE"/>
              </w:rPr>
              <w:t>microgram/g) gel, 60</w:t>
            </w:r>
            <w:r w:rsidR="00603003" w:rsidRPr="008A0628">
              <w:rPr>
                <w:rFonts w:ascii="Arial Narrow" w:eastAsiaTheme="majorEastAsia" w:hAnsi="Arial Narrow" w:cstheme="majorBidi"/>
                <w:bCs/>
                <w:sz w:val="20"/>
                <w:lang w:val="de-DE"/>
              </w:rPr>
              <w:t> </w:t>
            </w:r>
            <w:r w:rsidRPr="008A0628">
              <w:rPr>
                <w:rFonts w:ascii="Arial Narrow" w:eastAsiaTheme="majorEastAsia" w:hAnsi="Arial Narrow" w:cstheme="majorBidi"/>
                <w:bCs/>
                <w:sz w:val="20"/>
                <w:lang w:val="de-DE"/>
              </w:rPr>
              <w:t>g</w:t>
            </w:r>
          </w:p>
        </w:tc>
        <w:tc>
          <w:tcPr>
            <w:tcW w:w="945" w:type="pct"/>
          </w:tcPr>
          <w:p w14:paraId="5E5926B4" w14:textId="3A1A7B7B" w:rsidR="00D72E8F" w:rsidRPr="0089581C" w:rsidRDefault="00D72E8F" w:rsidP="00610DFE">
            <w:pPr>
              <w:pStyle w:val="TableText0"/>
              <w:keepLines/>
              <w:jc w:val="center"/>
              <w:rPr>
                <w:szCs w:val="20"/>
              </w:rPr>
            </w:pPr>
            <w:r w:rsidRPr="0089581C">
              <w:rPr>
                <w:szCs w:val="20"/>
              </w:rPr>
              <w:t>$</w:t>
            </w:r>
            <w:r w:rsidR="001247F0" w:rsidRPr="007F1B4F">
              <w:rPr>
                <w:color w:val="000000"/>
                <w:spacing w:val="88"/>
                <w:szCs w:val="20"/>
                <w:shd w:val="solid" w:color="000000" w:fill="000000"/>
                <w:fitText w:val="174" w:id="-1236603904"/>
                <w14:textFill>
                  <w14:solidFill>
                    <w14:srgbClr w14:val="000000">
                      <w14:alpha w14:val="100000"/>
                    </w14:srgbClr>
                  </w14:solidFill>
                </w14:textFill>
              </w:rPr>
              <w:t>|</w:t>
            </w:r>
            <w:r w:rsidR="001247F0" w:rsidRPr="007F1B4F">
              <w:rPr>
                <w:color w:val="000000"/>
                <w:szCs w:val="20"/>
                <w:shd w:val="solid" w:color="000000" w:fill="000000"/>
                <w:fitText w:val="174" w:id="-1236603904"/>
                <w14:textFill>
                  <w14:solidFill>
                    <w14:srgbClr w14:val="000000">
                      <w14:alpha w14:val="100000"/>
                    </w14:srgbClr>
                  </w14:solidFill>
                </w14:textFill>
              </w:rPr>
              <w:t>|</w:t>
            </w:r>
            <w:r>
              <w:rPr>
                <w:szCs w:val="20"/>
              </w:rPr>
              <w:br/>
            </w:r>
            <w:r w:rsidRPr="0089581C">
              <w:rPr>
                <w:szCs w:val="20"/>
              </w:rPr>
              <w:t>published price</w:t>
            </w:r>
          </w:p>
          <w:p w14:paraId="3249B673" w14:textId="138423BE" w:rsidR="00D72E8F" w:rsidRPr="00EF4C2D" w:rsidRDefault="00D72E8F" w:rsidP="00610DFE">
            <w:pPr>
              <w:pStyle w:val="TableText0"/>
              <w:keepLines/>
              <w:jc w:val="center"/>
              <w:rPr>
                <w:szCs w:val="20"/>
              </w:rPr>
            </w:pPr>
            <w:r w:rsidRPr="0089581C">
              <w:rPr>
                <w:szCs w:val="20"/>
              </w:rPr>
              <w:t>$</w:t>
            </w:r>
            <w:r w:rsidR="001247F0" w:rsidRPr="007F1B4F">
              <w:rPr>
                <w:color w:val="000000"/>
                <w:spacing w:val="88"/>
                <w:szCs w:val="20"/>
                <w:shd w:val="solid" w:color="000000" w:fill="000000"/>
                <w:fitText w:val="174" w:id="-1236603903"/>
                <w14:textFill>
                  <w14:solidFill>
                    <w14:srgbClr w14:val="000000">
                      <w14:alpha w14:val="100000"/>
                    </w14:srgbClr>
                  </w14:solidFill>
                </w14:textFill>
              </w:rPr>
              <w:t>|</w:t>
            </w:r>
            <w:r w:rsidR="001247F0" w:rsidRPr="007F1B4F">
              <w:rPr>
                <w:color w:val="000000"/>
                <w:szCs w:val="20"/>
                <w:shd w:val="solid" w:color="000000" w:fill="000000"/>
                <w:fitText w:val="174" w:id="-1236603903"/>
                <w14:textFill>
                  <w14:solidFill>
                    <w14:srgbClr w14:val="000000">
                      <w14:alpha w14:val="100000"/>
                    </w14:srgbClr>
                  </w14:solidFill>
                </w14:textFill>
              </w:rPr>
              <w:t>|</w:t>
            </w:r>
            <w:r w:rsidRPr="0089581C">
              <w:rPr>
                <w:szCs w:val="20"/>
              </w:rPr>
              <w:t xml:space="preserve"> </w:t>
            </w:r>
            <w:r>
              <w:rPr>
                <w:szCs w:val="20"/>
              </w:rPr>
              <w:br/>
            </w:r>
            <w:r w:rsidRPr="0089581C">
              <w:rPr>
                <w:szCs w:val="20"/>
              </w:rPr>
              <w:t>effective price</w:t>
            </w:r>
          </w:p>
        </w:tc>
        <w:tc>
          <w:tcPr>
            <w:tcW w:w="507" w:type="pct"/>
          </w:tcPr>
          <w:p w14:paraId="35D15A38" w14:textId="594C7D98" w:rsidR="00D72E8F" w:rsidRPr="00EF4C2D" w:rsidRDefault="00D72E8F" w:rsidP="00610DFE">
            <w:pPr>
              <w:pStyle w:val="TableText0"/>
              <w:keepLines/>
              <w:jc w:val="center"/>
              <w:rPr>
                <w:szCs w:val="20"/>
              </w:rPr>
            </w:pPr>
            <w:r>
              <w:rPr>
                <w:szCs w:val="20"/>
              </w:rPr>
              <w:t>NEW</w:t>
            </w:r>
          </w:p>
        </w:tc>
        <w:tc>
          <w:tcPr>
            <w:tcW w:w="541" w:type="pct"/>
          </w:tcPr>
          <w:p w14:paraId="3B7EED1C" w14:textId="77777777" w:rsidR="00D72E8F" w:rsidRPr="00EF4C2D" w:rsidRDefault="00D72E8F" w:rsidP="00610DFE">
            <w:pPr>
              <w:keepNext/>
              <w:keepLines/>
              <w:jc w:val="center"/>
              <w:rPr>
                <w:rFonts w:ascii="Arial Narrow" w:hAnsi="Arial Narrow"/>
                <w:sz w:val="20"/>
                <w:szCs w:val="20"/>
              </w:rPr>
            </w:pPr>
            <w:r w:rsidRPr="00EF4C2D">
              <w:rPr>
                <w:rFonts w:ascii="Arial Narrow" w:hAnsi="Arial Narrow"/>
                <w:sz w:val="20"/>
                <w:szCs w:val="20"/>
              </w:rPr>
              <w:t>1</w:t>
            </w:r>
          </w:p>
        </w:tc>
        <w:tc>
          <w:tcPr>
            <w:tcW w:w="541" w:type="pct"/>
          </w:tcPr>
          <w:p w14:paraId="0F5B320D" w14:textId="77777777" w:rsidR="00D72E8F" w:rsidRPr="00EF4C2D" w:rsidRDefault="00D72E8F" w:rsidP="00610DFE">
            <w:pPr>
              <w:keepNext/>
              <w:keepLines/>
              <w:jc w:val="center"/>
              <w:rPr>
                <w:rFonts w:ascii="Arial Narrow" w:hAnsi="Arial Narrow"/>
                <w:sz w:val="20"/>
                <w:szCs w:val="20"/>
              </w:rPr>
            </w:pPr>
            <w:r w:rsidRPr="00EF4C2D">
              <w:rPr>
                <w:rFonts w:ascii="Arial Narrow" w:hAnsi="Arial Narrow"/>
                <w:sz w:val="20"/>
                <w:szCs w:val="20"/>
              </w:rPr>
              <w:t>1</w:t>
            </w:r>
          </w:p>
        </w:tc>
        <w:tc>
          <w:tcPr>
            <w:tcW w:w="518" w:type="pct"/>
          </w:tcPr>
          <w:p w14:paraId="389BDF42" w14:textId="77777777" w:rsidR="00D72E8F" w:rsidRPr="00EF4C2D" w:rsidRDefault="00D72E8F" w:rsidP="00610DFE">
            <w:pPr>
              <w:keepNext/>
              <w:keepLines/>
              <w:jc w:val="center"/>
              <w:rPr>
                <w:rFonts w:ascii="Arial Narrow" w:hAnsi="Arial Narrow"/>
                <w:sz w:val="20"/>
                <w:szCs w:val="20"/>
              </w:rPr>
            </w:pPr>
            <w:r w:rsidRPr="00EF4C2D">
              <w:rPr>
                <w:rFonts w:ascii="Arial Narrow" w:hAnsi="Arial Narrow"/>
                <w:sz w:val="20"/>
                <w:szCs w:val="20"/>
              </w:rPr>
              <w:t>5</w:t>
            </w:r>
          </w:p>
        </w:tc>
        <w:tc>
          <w:tcPr>
            <w:tcW w:w="694" w:type="pct"/>
          </w:tcPr>
          <w:p w14:paraId="4ED0CC34" w14:textId="77777777" w:rsidR="00D72E8F" w:rsidRPr="00EF4C2D" w:rsidRDefault="00D72E8F" w:rsidP="00610DFE">
            <w:pPr>
              <w:pStyle w:val="KMC16-Tablecontent"/>
              <w:keepNext/>
              <w:keepLines/>
              <w:ind w:left="0"/>
              <w:rPr>
                <w:color w:val="auto"/>
                <w:szCs w:val="20"/>
                <w:lang w:val="en-AU"/>
              </w:rPr>
            </w:pPr>
            <w:r w:rsidRPr="00EF4C2D">
              <w:rPr>
                <w:color w:val="auto"/>
                <w:szCs w:val="20"/>
                <w:lang w:val="en-AU"/>
              </w:rPr>
              <w:t>Ledaga</w:t>
            </w:r>
          </w:p>
          <w:p w14:paraId="3B36CFF1" w14:textId="77777777" w:rsidR="00D72E8F" w:rsidRPr="00EF4C2D" w:rsidRDefault="00D72E8F" w:rsidP="00610DFE">
            <w:pPr>
              <w:keepNext/>
              <w:keepLines/>
              <w:rPr>
                <w:rFonts w:ascii="Arial Narrow" w:hAnsi="Arial Narrow"/>
                <w:sz w:val="20"/>
                <w:szCs w:val="20"/>
              </w:rPr>
            </w:pPr>
            <w:r w:rsidRPr="00EF4C2D">
              <w:rPr>
                <w:rFonts w:ascii="Arial Narrow" w:hAnsi="Arial Narrow"/>
                <w:sz w:val="20"/>
                <w:szCs w:val="20"/>
              </w:rPr>
              <w:t>Juniper Biologics</w:t>
            </w:r>
          </w:p>
        </w:tc>
      </w:tr>
      <w:tr w:rsidR="00D72E8F" w:rsidRPr="00EF4C2D" w14:paraId="0075B06B" w14:textId="77777777" w:rsidTr="00756099">
        <w:trPr>
          <w:trHeight w:val="20"/>
        </w:trPr>
        <w:tc>
          <w:tcPr>
            <w:tcW w:w="5000" w:type="pct"/>
            <w:gridSpan w:val="8"/>
          </w:tcPr>
          <w:p w14:paraId="2476E681" w14:textId="77777777" w:rsidR="00D72E8F" w:rsidRPr="00EF4C2D" w:rsidRDefault="00D72E8F" w:rsidP="00756099">
            <w:pPr>
              <w:pStyle w:val="KMC16-Tablecontent"/>
              <w:ind w:left="0"/>
              <w:rPr>
                <w:color w:val="auto"/>
                <w:szCs w:val="20"/>
                <w:lang w:val="en-AU"/>
              </w:rPr>
            </w:pPr>
          </w:p>
        </w:tc>
      </w:tr>
      <w:tr w:rsidR="00D72E8F" w:rsidRPr="00EF4C2D" w14:paraId="47C6C422" w14:textId="77777777" w:rsidTr="00756099">
        <w:trPr>
          <w:trHeight w:val="20"/>
        </w:trPr>
        <w:tc>
          <w:tcPr>
            <w:tcW w:w="5000" w:type="pct"/>
            <w:gridSpan w:val="8"/>
          </w:tcPr>
          <w:p w14:paraId="3DFDAC46" w14:textId="77777777" w:rsidR="00D72E8F" w:rsidRPr="004F3892" w:rsidRDefault="00D72E8F" w:rsidP="00756099">
            <w:pPr>
              <w:tabs>
                <w:tab w:val="left" w:pos="1077"/>
              </w:tabs>
              <w:autoSpaceDE w:val="0"/>
              <w:autoSpaceDN w:val="0"/>
              <w:adjustRightInd w:val="0"/>
              <w:jc w:val="left"/>
              <w:rPr>
                <w:rFonts w:ascii="Arial Narrow" w:eastAsiaTheme="minorHAnsi" w:hAnsi="Arial Narrow" w:cs="Arial Narrow"/>
                <w:b/>
                <w:bCs/>
                <w:sz w:val="20"/>
                <w:szCs w:val="20"/>
                <w:lang w:eastAsia="en-US"/>
              </w:rPr>
            </w:pPr>
            <w:r>
              <w:rPr>
                <w:rFonts w:ascii="Arial Narrow" w:eastAsiaTheme="minorHAnsi" w:hAnsi="Arial Narrow" w:cs="Arial Narrow"/>
                <w:b/>
                <w:bCs/>
                <w:sz w:val="20"/>
                <w:szCs w:val="20"/>
                <w:lang w:eastAsia="en-US"/>
              </w:rPr>
              <w:t>Restriction Summary [new]</w:t>
            </w:r>
            <w:r>
              <w:rPr>
                <w:rFonts w:ascii="Arial Narrow" w:eastAsiaTheme="minorHAnsi" w:hAnsi="Arial Narrow" w:cs="Arial Narrow"/>
                <w:b/>
                <w:bCs/>
                <w:color w:val="FF0000"/>
                <w:sz w:val="20"/>
                <w:szCs w:val="20"/>
                <w:lang w:eastAsia="en-US"/>
              </w:rPr>
              <w:t xml:space="preserve"> </w:t>
            </w:r>
            <w:r>
              <w:rPr>
                <w:rFonts w:ascii="Arial Narrow" w:eastAsiaTheme="minorHAnsi" w:hAnsi="Arial Narrow" w:cs="Arial Narrow"/>
                <w:b/>
                <w:bCs/>
                <w:sz w:val="20"/>
                <w:szCs w:val="20"/>
                <w:lang w:eastAsia="en-US"/>
              </w:rPr>
              <w:t xml:space="preserve">/ Treatment of Concept: [new] </w:t>
            </w:r>
          </w:p>
        </w:tc>
      </w:tr>
      <w:tr w:rsidR="00D72E8F" w:rsidRPr="00EF4C2D" w14:paraId="3DDA4443" w14:textId="77777777" w:rsidTr="00D72E8F">
        <w:tblPrEx>
          <w:tblCellMar>
            <w:top w:w="15" w:type="dxa"/>
            <w:bottom w:w="15" w:type="dxa"/>
          </w:tblCellMar>
          <w:tblLook w:val="04A0" w:firstRow="1" w:lastRow="0" w:firstColumn="1" w:lastColumn="0" w:noHBand="0" w:noVBand="1"/>
        </w:tblPrEx>
        <w:trPr>
          <w:trHeight w:val="20"/>
        </w:trPr>
        <w:tc>
          <w:tcPr>
            <w:tcW w:w="526" w:type="pct"/>
            <w:vMerge w:val="restart"/>
            <w:tcBorders>
              <w:right w:val="nil"/>
            </w:tcBorders>
          </w:tcPr>
          <w:p w14:paraId="2F5F3554" w14:textId="77777777" w:rsidR="00D72E8F" w:rsidRPr="004F3892" w:rsidRDefault="00D72E8F" w:rsidP="00756099">
            <w:pPr>
              <w:tabs>
                <w:tab w:val="left" w:pos="1077"/>
              </w:tabs>
              <w:autoSpaceDE w:val="0"/>
              <w:autoSpaceDN w:val="0"/>
              <w:adjustRightInd w:val="0"/>
              <w:jc w:val="center"/>
              <w:rPr>
                <w:rFonts w:ascii="Arial Narrow" w:eastAsiaTheme="minorHAnsi" w:hAnsi="Arial Narrow" w:cs="Arial Narrow"/>
                <w:sz w:val="20"/>
                <w:szCs w:val="20"/>
                <w:lang w:eastAsia="en-US"/>
              </w:rPr>
            </w:pPr>
            <w:r>
              <w:rPr>
                <w:rFonts w:ascii="Arial Narrow" w:eastAsiaTheme="minorHAnsi" w:hAnsi="Arial Narrow" w:cs="Arial Narrow"/>
                <w:b/>
                <w:bCs/>
                <w:sz w:val="20"/>
                <w:szCs w:val="20"/>
                <w:lang w:eastAsia="en-US"/>
              </w:rPr>
              <w:t xml:space="preserve">Concept ID </w:t>
            </w:r>
            <w:r>
              <w:rPr>
                <w:rFonts w:ascii="Arial Narrow" w:eastAsiaTheme="minorHAnsi" w:hAnsi="Arial Narrow" w:cs="Arial Narrow"/>
                <w:sz w:val="20"/>
                <w:szCs w:val="20"/>
                <w:lang w:eastAsia="en-US"/>
              </w:rPr>
              <w:t>(for internal Dept. use</w:t>
            </w:r>
          </w:p>
        </w:tc>
        <w:tc>
          <w:tcPr>
            <w:tcW w:w="4474" w:type="pct"/>
            <w:gridSpan w:val="7"/>
          </w:tcPr>
          <w:p w14:paraId="728D9D59" w14:textId="77777777" w:rsidR="00D72E8F" w:rsidRPr="00EF4C2D" w:rsidRDefault="00D72E8F" w:rsidP="00756099">
            <w:pPr>
              <w:pStyle w:val="TableText0"/>
              <w:keepNext w:val="0"/>
              <w:rPr>
                <w:b/>
              </w:rPr>
            </w:pPr>
            <w:r w:rsidRPr="00EF4C2D">
              <w:rPr>
                <w:b/>
              </w:rPr>
              <w:t xml:space="preserve">Category / Program: </w:t>
            </w:r>
            <w:r w:rsidRPr="00EF4C2D">
              <w:t>General Schedule (Code GE)</w:t>
            </w:r>
          </w:p>
        </w:tc>
      </w:tr>
      <w:tr w:rsidR="00D72E8F" w:rsidRPr="00EF4C2D" w14:paraId="0DC38183" w14:textId="77777777" w:rsidTr="00D72E8F">
        <w:tblPrEx>
          <w:tblCellMar>
            <w:top w:w="15" w:type="dxa"/>
            <w:bottom w:w="15" w:type="dxa"/>
          </w:tblCellMar>
          <w:tblLook w:val="04A0" w:firstRow="1" w:lastRow="0" w:firstColumn="1" w:lastColumn="0" w:noHBand="0" w:noVBand="1"/>
        </w:tblPrEx>
        <w:trPr>
          <w:trHeight w:val="20"/>
        </w:trPr>
        <w:tc>
          <w:tcPr>
            <w:tcW w:w="526" w:type="pct"/>
            <w:vMerge/>
            <w:tcBorders>
              <w:right w:val="nil"/>
            </w:tcBorders>
          </w:tcPr>
          <w:p w14:paraId="79798B96" w14:textId="77777777" w:rsidR="00D72E8F" w:rsidRPr="00EF4C2D" w:rsidRDefault="00D72E8F" w:rsidP="00756099">
            <w:pPr>
              <w:pStyle w:val="TableText0"/>
              <w:keepNext w:val="0"/>
              <w:rPr>
                <w:b/>
              </w:rPr>
            </w:pPr>
          </w:p>
        </w:tc>
        <w:tc>
          <w:tcPr>
            <w:tcW w:w="4474" w:type="pct"/>
            <w:gridSpan w:val="7"/>
          </w:tcPr>
          <w:p w14:paraId="46ED041C" w14:textId="77777777" w:rsidR="00D72E8F" w:rsidRPr="00EF4C2D" w:rsidRDefault="00D72E8F" w:rsidP="00756099">
            <w:pPr>
              <w:pStyle w:val="TableText0"/>
              <w:keepNext w:val="0"/>
              <w:rPr>
                <w:b/>
              </w:rPr>
            </w:pPr>
            <w:r w:rsidRPr="00EF4C2D">
              <w:rPr>
                <w:b/>
              </w:rPr>
              <w:t xml:space="preserve">Prescriber type: </w:t>
            </w:r>
            <w:r w:rsidRPr="00EF4C2D">
              <w:fldChar w:fldCharType="begin">
                <w:ffData>
                  <w:name w:val=""/>
                  <w:enabled/>
                  <w:calcOnExit w:val="0"/>
                  <w:checkBox>
                    <w:sizeAuto/>
                    <w:default w:val="1"/>
                  </w:checkBox>
                </w:ffData>
              </w:fldChar>
            </w:r>
            <w:r w:rsidRPr="00EF4C2D">
              <w:instrText xml:space="preserve"> FORMCHECKBOX </w:instrText>
            </w:r>
            <w:r w:rsidR="00FD5578">
              <w:fldChar w:fldCharType="separate"/>
            </w:r>
            <w:r w:rsidRPr="00EF4C2D">
              <w:fldChar w:fldCharType="end"/>
            </w:r>
            <w:r w:rsidRPr="00EF4C2D">
              <w:t>Medical Practitioners</w:t>
            </w:r>
          </w:p>
        </w:tc>
      </w:tr>
      <w:tr w:rsidR="00D72E8F" w:rsidRPr="00EF4C2D" w14:paraId="3F7057B7" w14:textId="77777777" w:rsidTr="00D72E8F">
        <w:tblPrEx>
          <w:tblCellMar>
            <w:top w:w="15" w:type="dxa"/>
            <w:bottom w:w="15" w:type="dxa"/>
          </w:tblCellMar>
          <w:tblLook w:val="04A0" w:firstRow="1" w:lastRow="0" w:firstColumn="1" w:lastColumn="0" w:noHBand="0" w:noVBand="1"/>
        </w:tblPrEx>
        <w:trPr>
          <w:trHeight w:val="20"/>
        </w:trPr>
        <w:tc>
          <w:tcPr>
            <w:tcW w:w="526" w:type="pct"/>
            <w:vMerge/>
            <w:tcBorders>
              <w:right w:val="nil"/>
            </w:tcBorders>
          </w:tcPr>
          <w:p w14:paraId="204C422D" w14:textId="77777777" w:rsidR="00D72E8F" w:rsidRPr="00EF4C2D" w:rsidRDefault="00D72E8F" w:rsidP="00756099">
            <w:pPr>
              <w:pStyle w:val="TableText0"/>
              <w:keepNext w:val="0"/>
              <w:rPr>
                <w:b/>
              </w:rPr>
            </w:pPr>
          </w:p>
        </w:tc>
        <w:tc>
          <w:tcPr>
            <w:tcW w:w="4474" w:type="pct"/>
            <w:gridSpan w:val="7"/>
          </w:tcPr>
          <w:p w14:paraId="28938C0B" w14:textId="77777777" w:rsidR="00D72E8F" w:rsidRPr="00EF4C2D" w:rsidRDefault="00D72E8F" w:rsidP="00756099">
            <w:pPr>
              <w:pStyle w:val="TableText0"/>
              <w:keepNext w:val="0"/>
              <w:rPr>
                <w:b/>
              </w:rPr>
            </w:pPr>
            <w:r w:rsidRPr="00EF4C2D">
              <w:rPr>
                <w:b/>
              </w:rPr>
              <w:t xml:space="preserve">Restriction type: </w:t>
            </w:r>
            <w:r w:rsidRPr="00EF4C2D">
              <w:rPr>
                <w:rFonts w:eastAsia="Times New Roman"/>
              </w:rPr>
              <w:fldChar w:fldCharType="begin">
                <w:ffData>
                  <w:name w:val=""/>
                  <w:enabled/>
                  <w:calcOnExit w:val="0"/>
                  <w:checkBox>
                    <w:sizeAuto/>
                    <w:default w:val="1"/>
                  </w:checkBox>
                </w:ffData>
              </w:fldChar>
            </w:r>
            <w:r w:rsidRPr="00EF4C2D">
              <w:rPr>
                <w:rFonts w:eastAsia="Times New Roman"/>
              </w:rPr>
              <w:instrText xml:space="preserve"> FORMCHECKBOX </w:instrText>
            </w:r>
            <w:r w:rsidR="00FD5578">
              <w:rPr>
                <w:rFonts w:eastAsia="Times New Roman"/>
              </w:rPr>
            </w:r>
            <w:r w:rsidR="00FD5578">
              <w:rPr>
                <w:rFonts w:eastAsia="Times New Roman"/>
              </w:rPr>
              <w:fldChar w:fldCharType="separate"/>
            </w:r>
            <w:r w:rsidRPr="00EF4C2D">
              <w:rPr>
                <w:rFonts w:eastAsia="Times New Roman"/>
              </w:rPr>
              <w:fldChar w:fldCharType="end"/>
            </w:r>
            <w:r w:rsidRPr="00EF4C2D">
              <w:rPr>
                <w:rFonts w:eastAsia="Times New Roman"/>
              </w:rPr>
              <w:t xml:space="preserve">Authority Required </w:t>
            </w:r>
            <w:r>
              <w:rPr>
                <w:rFonts w:eastAsia="Times New Roman"/>
              </w:rPr>
              <w:t xml:space="preserve">– immediate/real time assessment by Services Australia </w:t>
            </w:r>
            <w:r w:rsidRPr="00EF4C2D">
              <w:rPr>
                <w:rFonts w:eastAsia="Times New Roman"/>
              </w:rPr>
              <w:t xml:space="preserve">(telephone/online PBS Authorities system) </w:t>
            </w:r>
          </w:p>
        </w:tc>
      </w:tr>
      <w:tr w:rsidR="00D72E8F" w:rsidRPr="00EF4C2D" w14:paraId="5F1AFBA0"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53E1D987" w14:textId="77777777" w:rsidR="00D72E8F" w:rsidRPr="00EF4C2D" w:rsidRDefault="00D72E8F" w:rsidP="00756099">
            <w:pPr>
              <w:pStyle w:val="TableText0"/>
              <w:keepNext w:val="0"/>
              <w:rPr>
                <w:b/>
              </w:rPr>
            </w:pPr>
          </w:p>
        </w:tc>
        <w:tc>
          <w:tcPr>
            <w:tcW w:w="4474" w:type="pct"/>
            <w:gridSpan w:val="7"/>
            <w:vAlign w:val="center"/>
          </w:tcPr>
          <w:p w14:paraId="1A62E5EA" w14:textId="77777777" w:rsidR="00D72E8F" w:rsidRPr="00EF4C2D" w:rsidRDefault="00D72E8F" w:rsidP="00756099">
            <w:pPr>
              <w:pStyle w:val="TableText0"/>
              <w:keepNext w:val="0"/>
              <w:rPr>
                <w:b/>
              </w:rPr>
            </w:pPr>
            <w:r w:rsidRPr="00EF4C2D">
              <w:rPr>
                <w:b/>
              </w:rPr>
              <w:t xml:space="preserve">Condition: </w:t>
            </w:r>
            <w:r w:rsidRPr="00EF4C2D">
              <w:rPr>
                <w:rFonts w:eastAsia="MS Gothic"/>
                <w:color w:val="000000"/>
              </w:rPr>
              <w:t xml:space="preserve">Mycosis </w:t>
            </w:r>
            <w:r>
              <w:rPr>
                <w:rFonts w:eastAsia="MS Gothic"/>
                <w:color w:val="000000"/>
              </w:rPr>
              <w:t>f</w:t>
            </w:r>
            <w:r w:rsidRPr="00EF4C2D">
              <w:rPr>
                <w:rFonts w:eastAsia="MS Gothic"/>
                <w:color w:val="000000"/>
              </w:rPr>
              <w:t>ungoides</w:t>
            </w:r>
            <w:r>
              <w:rPr>
                <w:rFonts w:eastAsia="MS Gothic"/>
                <w:color w:val="000000"/>
              </w:rPr>
              <w:t xml:space="preserve"> c</w:t>
            </w:r>
            <w:r w:rsidRPr="00EF4C2D">
              <w:rPr>
                <w:rFonts w:eastAsia="MS Gothic"/>
                <w:color w:val="000000"/>
              </w:rPr>
              <w:t>utaneous T-cell Lymphoma</w:t>
            </w:r>
          </w:p>
        </w:tc>
      </w:tr>
      <w:tr w:rsidR="00D72E8F" w:rsidRPr="00EF4C2D" w14:paraId="752297A5"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29341D1E" w14:textId="77777777" w:rsidR="00D72E8F" w:rsidRPr="00EF4C2D" w:rsidRDefault="00D72E8F" w:rsidP="00756099">
            <w:pPr>
              <w:pStyle w:val="TableText0"/>
              <w:keepNext w:val="0"/>
              <w:rPr>
                <w:b/>
              </w:rPr>
            </w:pPr>
          </w:p>
        </w:tc>
        <w:tc>
          <w:tcPr>
            <w:tcW w:w="4474" w:type="pct"/>
            <w:gridSpan w:val="7"/>
            <w:vAlign w:val="center"/>
            <w:hideMark/>
          </w:tcPr>
          <w:p w14:paraId="4F4DC244" w14:textId="77777777" w:rsidR="00D72E8F" w:rsidRPr="00EF4C2D" w:rsidRDefault="00D72E8F" w:rsidP="00756099">
            <w:pPr>
              <w:pStyle w:val="TableText0"/>
              <w:keepNext w:val="0"/>
              <w:rPr>
                <w:b/>
              </w:rPr>
            </w:pPr>
            <w:r w:rsidRPr="00EF4C2D">
              <w:rPr>
                <w:b/>
              </w:rPr>
              <w:t>Indication:</w:t>
            </w:r>
            <w:r w:rsidRPr="00EF4C2D">
              <w:t xml:space="preserve"> </w:t>
            </w:r>
            <w:r w:rsidRPr="00EF4C2D">
              <w:rPr>
                <w:rFonts w:eastAsia="MS Gothic"/>
                <w:color w:val="000000"/>
              </w:rPr>
              <w:t xml:space="preserve">Mycosis </w:t>
            </w:r>
            <w:r>
              <w:rPr>
                <w:rFonts w:eastAsia="MS Gothic"/>
                <w:color w:val="000000"/>
              </w:rPr>
              <w:t>f</w:t>
            </w:r>
            <w:r w:rsidRPr="00EF4C2D">
              <w:rPr>
                <w:rFonts w:eastAsia="MS Gothic"/>
                <w:color w:val="000000"/>
              </w:rPr>
              <w:t>ungoides</w:t>
            </w:r>
            <w:r>
              <w:rPr>
                <w:rFonts w:eastAsia="MS Gothic"/>
                <w:color w:val="000000"/>
              </w:rPr>
              <w:t xml:space="preserve"> c</w:t>
            </w:r>
            <w:r w:rsidRPr="00EF4C2D">
              <w:rPr>
                <w:rFonts w:eastAsia="MS Gothic"/>
                <w:color w:val="000000"/>
              </w:rPr>
              <w:t>utaneous T-cell Lymphoma</w:t>
            </w:r>
          </w:p>
        </w:tc>
      </w:tr>
      <w:tr w:rsidR="00D72E8F" w:rsidRPr="00EF4C2D" w14:paraId="22FE2DE5"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4B209931" w14:textId="77777777" w:rsidR="00D72E8F" w:rsidRPr="00EF4C2D" w:rsidRDefault="00D72E8F" w:rsidP="00756099">
            <w:pPr>
              <w:pStyle w:val="TableText0"/>
              <w:keepNext w:val="0"/>
              <w:rPr>
                <w:b/>
              </w:rPr>
            </w:pPr>
          </w:p>
        </w:tc>
        <w:tc>
          <w:tcPr>
            <w:tcW w:w="4474" w:type="pct"/>
            <w:gridSpan w:val="7"/>
            <w:vAlign w:val="center"/>
            <w:hideMark/>
          </w:tcPr>
          <w:p w14:paraId="3CA1B735" w14:textId="77777777" w:rsidR="00D72E8F" w:rsidRPr="00EF4C2D" w:rsidRDefault="00D72E8F" w:rsidP="00756099">
            <w:pPr>
              <w:pStyle w:val="TableText0"/>
              <w:keepNext w:val="0"/>
              <w:rPr>
                <w:b/>
              </w:rPr>
            </w:pPr>
            <w:r w:rsidRPr="00EF4C2D">
              <w:rPr>
                <w:b/>
              </w:rPr>
              <w:t>Treatment Phase:</w:t>
            </w:r>
            <w:r w:rsidRPr="00EF4C2D">
              <w:t xml:space="preserve"> </w:t>
            </w:r>
            <w:r w:rsidRPr="00705BA9">
              <w:rPr>
                <w:rFonts w:eastAsia="MS Gothic"/>
                <w:strike/>
                <w:color w:val="000000"/>
              </w:rPr>
              <w:t>Stages IA, IIA, IB</w:t>
            </w:r>
            <w:r w:rsidRPr="00705BA9">
              <w:rPr>
                <w:rFonts w:eastAsia="MS Gothic"/>
                <w:color w:val="000000"/>
              </w:rPr>
              <w:t xml:space="preserve"> </w:t>
            </w:r>
            <w:r>
              <w:rPr>
                <w:rFonts w:eastAsia="MS Gothic"/>
                <w:i/>
                <w:iCs/>
                <w:color w:val="000000"/>
              </w:rPr>
              <w:t>Initial treatment</w:t>
            </w:r>
          </w:p>
        </w:tc>
      </w:tr>
      <w:tr w:rsidR="00D72E8F" w:rsidRPr="00EF4C2D" w14:paraId="68662893"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0C33622B" w14:textId="77777777" w:rsidR="00D72E8F" w:rsidRPr="00EF4C2D" w:rsidRDefault="00D72E8F" w:rsidP="00756099">
            <w:pPr>
              <w:pStyle w:val="TableText0"/>
              <w:keepNext w:val="0"/>
              <w:rPr>
                <w:b/>
              </w:rPr>
            </w:pPr>
          </w:p>
        </w:tc>
        <w:tc>
          <w:tcPr>
            <w:tcW w:w="4474" w:type="pct"/>
            <w:gridSpan w:val="7"/>
            <w:vAlign w:val="center"/>
            <w:hideMark/>
          </w:tcPr>
          <w:p w14:paraId="2A49B309" w14:textId="77777777" w:rsidR="00D72E8F" w:rsidRPr="00EF4C2D" w:rsidRDefault="00D72E8F" w:rsidP="00756099">
            <w:pPr>
              <w:pStyle w:val="TableText0"/>
              <w:keepNext w:val="0"/>
              <w:rPr>
                <w:b/>
              </w:rPr>
            </w:pPr>
            <w:r w:rsidRPr="00EF4C2D">
              <w:rPr>
                <w:b/>
              </w:rPr>
              <w:t xml:space="preserve">Clinical criteria: </w:t>
            </w:r>
          </w:p>
        </w:tc>
      </w:tr>
      <w:tr w:rsidR="00D72E8F" w:rsidRPr="00EF4C2D" w14:paraId="6EE4EEB2"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322F741B" w14:textId="77777777" w:rsidR="00D72E8F" w:rsidRPr="00EF4C2D" w:rsidRDefault="00D72E8F" w:rsidP="00756099">
            <w:pPr>
              <w:pStyle w:val="TableText0"/>
              <w:keepNext w:val="0"/>
              <w:rPr>
                <w:b/>
              </w:rPr>
            </w:pPr>
          </w:p>
        </w:tc>
        <w:tc>
          <w:tcPr>
            <w:tcW w:w="4474" w:type="pct"/>
            <w:gridSpan w:val="7"/>
            <w:vAlign w:val="center"/>
          </w:tcPr>
          <w:p w14:paraId="61860E71" w14:textId="77777777" w:rsidR="00D72E8F" w:rsidRPr="00EF4C2D" w:rsidRDefault="00D72E8F" w:rsidP="00756099">
            <w:pPr>
              <w:pStyle w:val="TableText0"/>
              <w:keepNext w:val="0"/>
              <w:rPr>
                <w:b/>
              </w:rPr>
            </w:pPr>
            <w:r>
              <w:rPr>
                <w:bCs w:val="0"/>
                <w:i/>
                <w:iCs/>
              </w:rPr>
              <w:t xml:space="preserve">The condition </w:t>
            </w:r>
            <w:r w:rsidRPr="00705BA9">
              <w:rPr>
                <w:bCs w:val="0"/>
                <w:i/>
                <w:iCs/>
              </w:rPr>
              <w:t xml:space="preserve">must </w:t>
            </w:r>
            <w:r>
              <w:rPr>
                <w:bCs w:val="0"/>
                <w:i/>
                <w:iCs/>
              </w:rPr>
              <w:t xml:space="preserve">be any of: (i) Stage IA, (ii) IIA, (iii) IB </w:t>
            </w:r>
            <w:r>
              <w:rPr>
                <w:rFonts w:eastAsia="MS Gothic"/>
                <w:i/>
                <w:iCs/>
                <w:color w:val="000000"/>
              </w:rPr>
              <w:t>m</w:t>
            </w:r>
            <w:r w:rsidRPr="00705BA9">
              <w:rPr>
                <w:rFonts w:eastAsia="MS Gothic"/>
                <w:i/>
                <w:iCs/>
                <w:color w:val="000000"/>
              </w:rPr>
              <w:t>ycosis fungoides cutaneous T-cell Lymphoma</w:t>
            </w:r>
          </w:p>
        </w:tc>
      </w:tr>
      <w:tr w:rsidR="00D72E8F" w:rsidRPr="00EF4C2D" w14:paraId="6C9CB0B5"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5FA62736" w14:textId="77777777" w:rsidR="00D72E8F" w:rsidRPr="00EF4C2D" w:rsidRDefault="00D72E8F" w:rsidP="00756099">
            <w:pPr>
              <w:pStyle w:val="TableText0"/>
              <w:keepNext w:val="0"/>
              <w:rPr>
                <w:b/>
              </w:rPr>
            </w:pPr>
          </w:p>
        </w:tc>
        <w:tc>
          <w:tcPr>
            <w:tcW w:w="4474" w:type="pct"/>
            <w:gridSpan w:val="7"/>
            <w:vAlign w:val="center"/>
          </w:tcPr>
          <w:p w14:paraId="043B28E6" w14:textId="77777777" w:rsidR="00D72E8F" w:rsidRPr="00EF4C2D" w:rsidRDefault="00D72E8F" w:rsidP="00756099">
            <w:pPr>
              <w:pStyle w:val="TableText0"/>
              <w:keepNext w:val="0"/>
              <w:rPr>
                <w:b/>
              </w:rPr>
            </w:pPr>
            <w:r>
              <w:rPr>
                <w:b/>
              </w:rPr>
              <w:t>AND</w:t>
            </w:r>
          </w:p>
        </w:tc>
      </w:tr>
      <w:tr w:rsidR="00D72E8F" w:rsidRPr="00EF4C2D" w14:paraId="6A782457"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5233EF96" w14:textId="77777777" w:rsidR="00D72E8F" w:rsidRPr="00EF4C2D" w:rsidRDefault="00D72E8F" w:rsidP="00756099">
            <w:pPr>
              <w:pStyle w:val="TableText0"/>
              <w:keepNext w:val="0"/>
              <w:rPr>
                <w:b/>
              </w:rPr>
            </w:pPr>
          </w:p>
        </w:tc>
        <w:tc>
          <w:tcPr>
            <w:tcW w:w="4474" w:type="pct"/>
            <w:gridSpan w:val="7"/>
            <w:vAlign w:val="center"/>
          </w:tcPr>
          <w:p w14:paraId="2D7B339F" w14:textId="77777777" w:rsidR="00D72E8F" w:rsidRDefault="00D72E8F" w:rsidP="00756099">
            <w:pPr>
              <w:pStyle w:val="TableText0"/>
              <w:keepNext w:val="0"/>
              <w:rPr>
                <w:b/>
              </w:rPr>
            </w:pPr>
            <w:r>
              <w:rPr>
                <w:b/>
              </w:rPr>
              <w:t>Clinical criteria:</w:t>
            </w:r>
          </w:p>
        </w:tc>
      </w:tr>
      <w:tr w:rsidR="00D72E8F" w:rsidRPr="00EF4C2D" w14:paraId="1ADC969C"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1E1705AF" w14:textId="77777777" w:rsidR="00D72E8F" w:rsidRPr="00EF4C2D" w:rsidRDefault="00D72E8F" w:rsidP="00756099">
            <w:pPr>
              <w:pStyle w:val="TableText0"/>
              <w:keepNext w:val="0"/>
              <w:rPr>
                <w:b/>
              </w:rPr>
            </w:pPr>
          </w:p>
        </w:tc>
        <w:tc>
          <w:tcPr>
            <w:tcW w:w="4474" w:type="pct"/>
            <w:gridSpan w:val="7"/>
            <w:vAlign w:val="center"/>
          </w:tcPr>
          <w:p w14:paraId="7441C983" w14:textId="77777777" w:rsidR="00D72E8F" w:rsidRPr="00835FED" w:rsidRDefault="00D72E8F" w:rsidP="00756099">
            <w:pPr>
              <w:pStyle w:val="TableText0"/>
              <w:keepNext w:val="0"/>
              <w:rPr>
                <w:bCs w:val="0"/>
                <w:i/>
                <w:iCs/>
              </w:rPr>
            </w:pPr>
            <w:r w:rsidRPr="00835FED">
              <w:rPr>
                <w:bCs w:val="0"/>
                <w:i/>
                <w:iCs/>
              </w:rPr>
              <w:t xml:space="preserve">The condition must have been confirmed </w:t>
            </w:r>
            <w:r>
              <w:rPr>
                <w:bCs w:val="0"/>
                <w:i/>
                <w:iCs/>
              </w:rPr>
              <w:t>through</w:t>
            </w:r>
            <w:r w:rsidRPr="00835FED">
              <w:rPr>
                <w:bCs w:val="0"/>
                <w:i/>
                <w:iCs/>
              </w:rPr>
              <w:t xml:space="preserve"> a diagnostic lesion biopsy</w:t>
            </w:r>
            <w:r>
              <w:rPr>
                <w:bCs w:val="0"/>
                <w:i/>
                <w:iCs/>
              </w:rPr>
              <w:t xml:space="preserve"> from an Approved Pathology Authority</w:t>
            </w:r>
            <w:r w:rsidRPr="00835FED">
              <w:rPr>
                <w:bCs w:val="0"/>
                <w:i/>
                <w:iCs/>
              </w:rPr>
              <w:t xml:space="preserve"> </w:t>
            </w:r>
          </w:p>
        </w:tc>
      </w:tr>
      <w:tr w:rsidR="00D72E8F" w:rsidRPr="00EF4C2D" w14:paraId="61FED3A8"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1B8AA76E" w14:textId="77777777" w:rsidR="00D72E8F" w:rsidRPr="00EF4C2D" w:rsidRDefault="00D72E8F" w:rsidP="00756099">
            <w:pPr>
              <w:pStyle w:val="TableText0"/>
              <w:keepNext w:val="0"/>
              <w:rPr>
                <w:b/>
              </w:rPr>
            </w:pPr>
          </w:p>
        </w:tc>
        <w:tc>
          <w:tcPr>
            <w:tcW w:w="4474" w:type="pct"/>
            <w:gridSpan w:val="7"/>
            <w:vAlign w:val="center"/>
          </w:tcPr>
          <w:p w14:paraId="3145E8C0" w14:textId="77777777" w:rsidR="00D72E8F" w:rsidRPr="00835FED" w:rsidRDefault="00D72E8F" w:rsidP="00756099">
            <w:pPr>
              <w:pStyle w:val="TableText0"/>
              <w:keepNext w:val="0"/>
              <w:rPr>
                <w:b/>
                <w:i/>
                <w:iCs/>
              </w:rPr>
            </w:pPr>
            <w:r w:rsidRPr="00835FED">
              <w:rPr>
                <w:b/>
                <w:i/>
                <w:iCs/>
              </w:rPr>
              <w:t>AND</w:t>
            </w:r>
          </w:p>
        </w:tc>
      </w:tr>
      <w:tr w:rsidR="00D72E8F" w:rsidRPr="00EF4C2D" w14:paraId="6D3F639C"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080ABFEF" w14:textId="77777777" w:rsidR="00D72E8F" w:rsidRPr="00EF4C2D" w:rsidRDefault="00D72E8F" w:rsidP="00756099">
            <w:pPr>
              <w:pStyle w:val="TableText0"/>
              <w:keepNext w:val="0"/>
              <w:rPr>
                <w:b/>
              </w:rPr>
            </w:pPr>
          </w:p>
        </w:tc>
        <w:tc>
          <w:tcPr>
            <w:tcW w:w="4474" w:type="pct"/>
            <w:gridSpan w:val="7"/>
            <w:vAlign w:val="center"/>
          </w:tcPr>
          <w:p w14:paraId="1F71D685" w14:textId="77777777" w:rsidR="00D72E8F" w:rsidRPr="00EF4C2D" w:rsidRDefault="00D72E8F" w:rsidP="00756099">
            <w:pPr>
              <w:pStyle w:val="TableText0"/>
              <w:keepNext w:val="0"/>
              <w:rPr>
                <w:b/>
              </w:rPr>
            </w:pPr>
            <w:r>
              <w:rPr>
                <w:b/>
              </w:rPr>
              <w:t>Clinical criteria:</w:t>
            </w:r>
          </w:p>
        </w:tc>
      </w:tr>
      <w:tr w:rsidR="00D72E8F" w:rsidRPr="00EF4C2D" w14:paraId="1BC88CC7"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33DD59D3" w14:textId="77777777" w:rsidR="00D72E8F" w:rsidRPr="00EF4C2D" w:rsidRDefault="00D72E8F" w:rsidP="00756099">
            <w:pPr>
              <w:pStyle w:val="TableText0"/>
              <w:keepNext w:val="0"/>
            </w:pPr>
          </w:p>
        </w:tc>
        <w:tc>
          <w:tcPr>
            <w:tcW w:w="4474" w:type="pct"/>
            <w:gridSpan w:val="7"/>
            <w:vAlign w:val="center"/>
          </w:tcPr>
          <w:p w14:paraId="4DCBBAC2" w14:textId="77777777" w:rsidR="00D72E8F" w:rsidRPr="00EF4C2D" w:rsidRDefault="00D72E8F" w:rsidP="00756099">
            <w:pPr>
              <w:pStyle w:val="TableText0"/>
              <w:keepNext w:val="0"/>
            </w:pPr>
            <w:r w:rsidRPr="00EF4C2D">
              <w:t xml:space="preserve">Patients must have </w:t>
            </w:r>
            <w:r>
              <w:t xml:space="preserve">either of which: (i) </w:t>
            </w:r>
            <w:r w:rsidRPr="00EF4C2D">
              <w:t>failed treatment with topical corticosteroids</w:t>
            </w:r>
            <w:r>
              <w:t>, (ii)</w:t>
            </w:r>
            <w:r w:rsidRPr="00EF4C2D">
              <w:t xml:space="preserve"> </w:t>
            </w:r>
            <w:r>
              <w:t xml:space="preserve">have </w:t>
            </w:r>
            <w:r w:rsidRPr="00EF4C2D">
              <w:t>intoleran</w:t>
            </w:r>
            <w:r>
              <w:t>ce/contraindication to</w:t>
            </w:r>
            <w:r w:rsidRPr="00EF4C2D">
              <w:t xml:space="preserve"> </w:t>
            </w:r>
            <w:r>
              <w:rPr>
                <w:i/>
                <w:iCs/>
              </w:rPr>
              <w:t xml:space="preserve">topical corticosteroids </w:t>
            </w:r>
            <w:r w:rsidRPr="004F3892">
              <w:rPr>
                <w:strike/>
              </w:rPr>
              <w:t>steroids</w:t>
            </w:r>
            <w:r>
              <w:t xml:space="preserve">. </w:t>
            </w:r>
          </w:p>
        </w:tc>
      </w:tr>
      <w:tr w:rsidR="00D72E8F" w:rsidRPr="00EF4C2D" w14:paraId="69127277"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77CD8222" w14:textId="77777777" w:rsidR="00D72E8F" w:rsidRPr="00EF4C2D" w:rsidRDefault="00D72E8F" w:rsidP="00756099">
            <w:pPr>
              <w:pStyle w:val="TableText0"/>
              <w:keepNext w:val="0"/>
            </w:pPr>
          </w:p>
        </w:tc>
        <w:tc>
          <w:tcPr>
            <w:tcW w:w="4474" w:type="pct"/>
            <w:gridSpan w:val="7"/>
            <w:vAlign w:val="center"/>
          </w:tcPr>
          <w:p w14:paraId="22065C5F" w14:textId="77777777" w:rsidR="00D72E8F" w:rsidRPr="00EF4C2D" w:rsidRDefault="00D72E8F" w:rsidP="00756099">
            <w:pPr>
              <w:pStyle w:val="TableText0"/>
              <w:keepNext w:val="0"/>
            </w:pPr>
            <w:r w:rsidRPr="00EF4C2D">
              <w:t>AND</w:t>
            </w:r>
          </w:p>
        </w:tc>
      </w:tr>
      <w:tr w:rsidR="00D72E8F" w:rsidRPr="00EF4C2D" w14:paraId="45F095F2"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03BE23CA" w14:textId="77777777" w:rsidR="00D72E8F" w:rsidRPr="000C4B66" w:rsidRDefault="00D72E8F" w:rsidP="00756099">
            <w:pPr>
              <w:pStyle w:val="TableText0"/>
              <w:keepNext w:val="0"/>
              <w:rPr>
                <w:strike/>
              </w:rPr>
            </w:pPr>
          </w:p>
        </w:tc>
        <w:tc>
          <w:tcPr>
            <w:tcW w:w="4474" w:type="pct"/>
            <w:gridSpan w:val="7"/>
            <w:vAlign w:val="center"/>
          </w:tcPr>
          <w:p w14:paraId="306FA6B8" w14:textId="77777777" w:rsidR="00D72E8F" w:rsidRDefault="00D72E8F" w:rsidP="00756099">
            <w:pPr>
              <w:pStyle w:val="TableText0"/>
              <w:keepNext w:val="0"/>
              <w:rPr>
                <w:strike/>
              </w:rPr>
            </w:pPr>
            <w:r w:rsidRPr="000C4B66">
              <w:rPr>
                <w:strike/>
              </w:rPr>
              <w:t>Patients with no more than 10% of their body surface area affected</w:t>
            </w:r>
          </w:p>
          <w:p w14:paraId="465BAC5F" w14:textId="77777777" w:rsidR="00D72E8F" w:rsidRPr="00EF4C2D" w:rsidRDefault="00D72E8F" w:rsidP="00756099">
            <w:pPr>
              <w:pStyle w:val="TableText0"/>
              <w:keepNext w:val="0"/>
            </w:pPr>
            <w:r w:rsidRPr="000C4B66">
              <w:rPr>
                <w:i/>
                <w:iCs/>
              </w:rPr>
              <w:t>The condition must cover either of which: (i) no more than 10% of the patient’s body surface, (ii) no more than 25% of the patient’s body surface.</w:t>
            </w:r>
          </w:p>
        </w:tc>
      </w:tr>
      <w:tr w:rsidR="00D72E8F" w:rsidRPr="00EF4C2D" w14:paraId="1CB37118"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39B55229" w14:textId="77777777" w:rsidR="00D72E8F" w:rsidRPr="000C4B66" w:rsidRDefault="00D72E8F" w:rsidP="00756099">
            <w:pPr>
              <w:pStyle w:val="TableText0"/>
              <w:keepNext w:val="0"/>
              <w:rPr>
                <w:b/>
                <w:bCs w:val="0"/>
                <w:i/>
                <w:iCs/>
              </w:rPr>
            </w:pPr>
          </w:p>
        </w:tc>
        <w:tc>
          <w:tcPr>
            <w:tcW w:w="4474" w:type="pct"/>
            <w:gridSpan w:val="7"/>
            <w:vAlign w:val="center"/>
          </w:tcPr>
          <w:p w14:paraId="7C1DC249" w14:textId="77777777" w:rsidR="00D72E8F" w:rsidRPr="00EF4C2D" w:rsidRDefault="00D72E8F" w:rsidP="00756099">
            <w:pPr>
              <w:pStyle w:val="TableText0"/>
              <w:keepNext w:val="0"/>
            </w:pPr>
            <w:r w:rsidRPr="000C4B66">
              <w:rPr>
                <w:b/>
                <w:bCs w:val="0"/>
                <w:i/>
                <w:iCs/>
              </w:rPr>
              <w:t>Treatment criteria:</w:t>
            </w:r>
          </w:p>
        </w:tc>
      </w:tr>
      <w:tr w:rsidR="00D72E8F" w:rsidRPr="00EF4C2D" w14:paraId="4BE07A73"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2B0661E3" w14:textId="77777777" w:rsidR="00D72E8F" w:rsidRPr="000C4B66" w:rsidRDefault="00D72E8F" w:rsidP="00756099">
            <w:pPr>
              <w:pStyle w:val="TableText0"/>
              <w:keepNext w:val="0"/>
              <w:rPr>
                <w:i/>
                <w:iCs/>
              </w:rPr>
            </w:pPr>
          </w:p>
        </w:tc>
        <w:tc>
          <w:tcPr>
            <w:tcW w:w="4474" w:type="pct"/>
            <w:gridSpan w:val="7"/>
            <w:vAlign w:val="center"/>
          </w:tcPr>
          <w:p w14:paraId="2EE615D6" w14:textId="77777777" w:rsidR="00D72E8F" w:rsidRPr="00EF4C2D" w:rsidRDefault="00D72E8F" w:rsidP="00756099">
            <w:pPr>
              <w:pStyle w:val="TableText0"/>
              <w:keepNext w:val="0"/>
            </w:pPr>
            <w:r w:rsidRPr="000C4B66">
              <w:rPr>
                <w:i/>
                <w:iCs/>
              </w:rPr>
              <w:t>Patient must be treated by a dermatologist of haematologist</w:t>
            </w:r>
          </w:p>
        </w:tc>
      </w:tr>
      <w:tr w:rsidR="00D72E8F" w:rsidRPr="00EF4C2D" w14:paraId="7C0F9183"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7DC66118" w14:textId="77777777" w:rsidR="00D72E8F" w:rsidRPr="00EF4C2D" w:rsidRDefault="00D72E8F" w:rsidP="00756099">
            <w:pPr>
              <w:pStyle w:val="TableText0"/>
              <w:keepNext w:val="0"/>
              <w:rPr>
                <w:b/>
              </w:rPr>
            </w:pPr>
          </w:p>
        </w:tc>
        <w:tc>
          <w:tcPr>
            <w:tcW w:w="4474" w:type="pct"/>
            <w:gridSpan w:val="7"/>
            <w:vAlign w:val="center"/>
          </w:tcPr>
          <w:p w14:paraId="3E87D552" w14:textId="77777777" w:rsidR="00D72E8F" w:rsidRPr="00EF4C2D" w:rsidRDefault="00D72E8F" w:rsidP="00756099">
            <w:pPr>
              <w:pStyle w:val="TableText0"/>
              <w:keepNext w:val="0"/>
            </w:pPr>
            <w:r w:rsidRPr="00EF4C2D">
              <w:rPr>
                <w:b/>
              </w:rPr>
              <w:t>Population criteria:</w:t>
            </w:r>
          </w:p>
        </w:tc>
      </w:tr>
      <w:tr w:rsidR="00D72E8F" w:rsidRPr="00EF4C2D" w14:paraId="76173D6F"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7C4E4FEA" w14:textId="12402391" w:rsidR="00D72E8F" w:rsidRPr="00EF4C2D" w:rsidRDefault="00D72E8F" w:rsidP="00756099">
            <w:pPr>
              <w:pStyle w:val="TableText0"/>
              <w:keepNext w:val="0"/>
              <w:rPr>
                <w:rFonts w:eastAsia="MS Gothic"/>
                <w:color w:val="000000"/>
              </w:rPr>
            </w:pPr>
          </w:p>
        </w:tc>
        <w:tc>
          <w:tcPr>
            <w:tcW w:w="4474" w:type="pct"/>
            <w:gridSpan w:val="7"/>
            <w:vAlign w:val="center"/>
            <w:hideMark/>
          </w:tcPr>
          <w:p w14:paraId="635CB1A0" w14:textId="77777777" w:rsidR="00D72E8F" w:rsidRPr="00EF4C2D" w:rsidRDefault="00D72E8F" w:rsidP="00756099">
            <w:pPr>
              <w:pStyle w:val="TableText0"/>
              <w:keepNext w:val="0"/>
              <w:rPr>
                <w:b/>
              </w:rPr>
            </w:pPr>
            <w:r w:rsidRPr="004C45FE">
              <w:rPr>
                <w:rFonts w:eastAsia="MS Gothic"/>
                <w:strike/>
                <w:color w:val="000000"/>
              </w:rPr>
              <w:t>Patients ≥ 18 years</w:t>
            </w:r>
            <w:r w:rsidRPr="004C45FE">
              <w:rPr>
                <w:rFonts w:eastAsia="MS Gothic"/>
                <w:i/>
                <w:iCs/>
                <w:color w:val="000000"/>
              </w:rPr>
              <w:t xml:space="preserve"> Patient must be at least 18 years of age</w:t>
            </w:r>
          </w:p>
        </w:tc>
      </w:tr>
      <w:tr w:rsidR="00D72E8F" w:rsidRPr="00EF4C2D" w14:paraId="5B43A54A"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749CC441" w14:textId="77777777" w:rsidR="00D72E8F" w:rsidRPr="000C4B66" w:rsidRDefault="00D72E8F" w:rsidP="00756099">
            <w:pPr>
              <w:pStyle w:val="TableText0"/>
              <w:keepNext w:val="0"/>
              <w:rPr>
                <w:b/>
                <w:strike/>
              </w:rPr>
            </w:pPr>
          </w:p>
        </w:tc>
        <w:tc>
          <w:tcPr>
            <w:tcW w:w="4474" w:type="pct"/>
            <w:gridSpan w:val="7"/>
            <w:vAlign w:val="center"/>
            <w:hideMark/>
          </w:tcPr>
          <w:p w14:paraId="3D21F869" w14:textId="77777777" w:rsidR="00D72E8F" w:rsidRPr="00EF4C2D" w:rsidRDefault="00D72E8F" w:rsidP="00756099">
            <w:pPr>
              <w:pStyle w:val="TableText0"/>
              <w:keepNext w:val="0"/>
              <w:rPr>
                <w:b/>
              </w:rPr>
            </w:pPr>
            <w:r w:rsidRPr="000C4B66">
              <w:rPr>
                <w:b/>
                <w:strike/>
              </w:rPr>
              <w:t xml:space="preserve">Prescribing Instructions: </w:t>
            </w:r>
            <w:r w:rsidRPr="000C4B66">
              <w:rPr>
                <w:strike/>
              </w:rPr>
              <w:t>Treatment can only be initiated by a dermatologist or haematologist</w:t>
            </w:r>
            <w:r w:rsidRPr="000C4B66">
              <w:rPr>
                <w:b/>
                <w:strike/>
              </w:rPr>
              <w:t>.</w:t>
            </w:r>
          </w:p>
        </w:tc>
      </w:tr>
      <w:tr w:rsidR="00D72E8F" w:rsidRPr="00EF4C2D" w14:paraId="368C2A01"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4D28FD38" w14:textId="77777777" w:rsidR="00D72E8F" w:rsidRPr="000C4B66" w:rsidRDefault="00D72E8F" w:rsidP="00756099">
            <w:pPr>
              <w:pStyle w:val="TableText0"/>
              <w:keepNext w:val="0"/>
              <w:rPr>
                <w:b/>
                <w:strike/>
              </w:rPr>
            </w:pPr>
          </w:p>
        </w:tc>
        <w:tc>
          <w:tcPr>
            <w:tcW w:w="4474" w:type="pct"/>
            <w:gridSpan w:val="7"/>
            <w:vAlign w:val="center"/>
          </w:tcPr>
          <w:p w14:paraId="3887386B" w14:textId="77777777" w:rsidR="00D72E8F" w:rsidRPr="00EF4C2D" w:rsidRDefault="00D72E8F" w:rsidP="00756099">
            <w:pPr>
              <w:pStyle w:val="TableText0"/>
              <w:keepNext w:val="0"/>
              <w:rPr>
                <w:b/>
              </w:rPr>
            </w:pPr>
            <w:r>
              <w:rPr>
                <w:b/>
              </w:rPr>
              <w:t>Prescribing Instructions:</w:t>
            </w:r>
          </w:p>
        </w:tc>
      </w:tr>
      <w:tr w:rsidR="00D72E8F" w:rsidRPr="00EF4C2D" w14:paraId="0150B3F1"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3A3426A1" w14:textId="77777777" w:rsidR="00D72E8F" w:rsidRPr="000C4B66" w:rsidRDefault="00D72E8F" w:rsidP="00756099">
            <w:pPr>
              <w:pStyle w:val="TableText0"/>
              <w:keepNext w:val="0"/>
              <w:rPr>
                <w:b/>
                <w:strike/>
              </w:rPr>
            </w:pPr>
          </w:p>
        </w:tc>
        <w:tc>
          <w:tcPr>
            <w:tcW w:w="4474" w:type="pct"/>
            <w:gridSpan w:val="7"/>
            <w:vAlign w:val="center"/>
          </w:tcPr>
          <w:p w14:paraId="7DBAC627" w14:textId="77777777" w:rsidR="00D72E8F" w:rsidRPr="00EF4C2D" w:rsidRDefault="00D72E8F" w:rsidP="00756099">
            <w:pPr>
              <w:pStyle w:val="TableText0"/>
              <w:keepNext w:val="0"/>
              <w:rPr>
                <w:b/>
              </w:rPr>
            </w:pPr>
            <w:r>
              <w:rPr>
                <w:bCs w:val="0"/>
                <w:i/>
                <w:iCs/>
              </w:rPr>
              <w:t xml:space="preserve">The medical practitioner should request 1 pack for patients with no more than 10% of the patients body surface and 2 packs for patients with no more than 25% of the patients to provide 4 weeks of treatment. </w:t>
            </w:r>
          </w:p>
        </w:tc>
      </w:tr>
      <w:tr w:rsidR="00D72E8F" w:rsidRPr="00EF4C2D" w14:paraId="2EF9B6F8"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1013DC13" w14:textId="77777777" w:rsidR="00D72E8F" w:rsidRPr="000C4B66" w:rsidRDefault="00D72E8F" w:rsidP="00756099">
            <w:pPr>
              <w:pStyle w:val="TableText0"/>
              <w:keepNext w:val="0"/>
              <w:rPr>
                <w:b/>
                <w:strike/>
              </w:rPr>
            </w:pPr>
          </w:p>
        </w:tc>
        <w:tc>
          <w:tcPr>
            <w:tcW w:w="4474" w:type="pct"/>
            <w:gridSpan w:val="7"/>
            <w:vAlign w:val="center"/>
          </w:tcPr>
          <w:p w14:paraId="64EE8F3B" w14:textId="77777777" w:rsidR="00D72E8F" w:rsidRDefault="00D72E8F" w:rsidP="00756099">
            <w:pPr>
              <w:pStyle w:val="TableText0"/>
              <w:keepNext w:val="0"/>
              <w:rPr>
                <w:bCs w:val="0"/>
                <w:i/>
                <w:iCs/>
              </w:rPr>
            </w:pPr>
            <w:r>
              <w:rPr>
                <w:b/>
              </w:rPr>
              <w:t>Prescribing Instructions:</w:t>
            </w:r>
          </w:p>
        </w:tc>
      </w:tr>
      <w:tr w:rsidR="00D72E8F" w:rsidRPr="00EF4C2D" w14:paraId="25198081"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3CED12DF" w14:textId="41A13F27" w:rsidR="00D72E8F" w:rsidRDefault="00D72E8F" w:rsidP="00756099">
            <w:pPr>
              <w:pStyle w:val="TableText0"/>
              <w:keepNext w:val="0"/>
              <w:rPr>
                <w:rFonts w:eastAsiaTheme="minorHAnsi" w:cs="Arial Narrow"/>
                <w:szCs w:val="20"/>
                <w:lang w:eastAsia="en-US"/>
              </w:rPr>
            </w:pPr>
          </w:p>
        </w:tc>
        <w:tc>
          <w:tcPr>
            <w:tcW w:w="4474" w:type="pct"/>
            <w:gridSpan w:val="7"/>
          </w:tcPr>
          <w:p w14:paraId="6DF9D97D" w14:textId="77777777" w:rsidR="00D72E8F" w:rsidRPr="00C178B2" w:rsidRDefault="00D72E8F" w:rsidP="00756099">
            <w:pPr>
              <w:pStyle w:val="TableText0"/>
              <w:keepNext w:val="0"/>
              <w:rPr>
                <w:rFonts w:eastAsiaTheme="minorHAnsi" w:cs="Arial Narrow"/>
                <w:i/>
                <w:iCs/>
                <w:szCs w:val="20"/>
                <w:lang w:eastAsia="en-US"/>
              </w:rPr>
            </w:pPr>
            <w:r>
              <w:rPr>
                <w:rFonts w:eastAsiaTheme="minorHAnsi" w:cs="Arial Narrow"/>
                <w:i/>
                <w:iCs/>
                <w:szCs w:val="20"/>
                <w:lang w:eastAsia="en-US"/>
              </w:rPr>
              <w:t>Confirmation of eligibility for treatment with diagnostic reports must be documented in the patient’s medical records.</w:t>
            </w:r>
          </w:p>
        </w:tc>
      </w:tr>
      <w:tr w:rsidR="00D72E8F" w:rsidRPr="00EF4C2D" w14:paraId="50F75B12"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5E63A483" w14:textId="62008DF6" w:rsidR="00D72E8F" w:rsidRPr="000C4B66" w:rsidRDefault="00D72E8F" w:rsidP="00756099">
            <w:pPr>
              <w:pStyle w:val="TableText0"/>
              <w:keepNext w:val="0"/>
              <w:rPr>
                <w:b/>
                <w:strike/>
              </w:rPr>
            </w:pPr>
          </w:p>
        </w:tc>
        <w:tc>
          <w:tcPr>
            <w:tcW w:w="4474" w:type="pct"/>
            <w:gridSpan w:val="7"/>
          </w:tcPr>
          <w:p w14:paraId="2FAB12A7" w14:textId="77777777" w:rsidR="00D72E8F" w:rsidRPr="00EF4C2D" w:rsidRDefault="00D72E8F" w:rsidP="00756099">
            <w:pPr>
              <w:pStyle w:val="TableText0"/>
              <w:keepNext w:val="0"/>
              <w:rPr>
                <w:b/>
              </w:rPr>
            </w:pPr>
            <w:r>
              <w:rPr>
                <w:rFonts w:eastAsiaTheme="minorHAnsi" w:cs="Arial Narrow"/>
                <w:b/>
                <w:bCs w:val="0"/>
                <w:szCs w:val="20"/>
                <w:lang w:eastAsia="en-US"/>
              </w:rPr>
              <w:t xml:space="preserve">Administrative Advice: </w:t>
            </w:r>
            <w:r>
              <w:rPr>
                <w:rFonts w:eastAsiaTheme="minorHAnsi" w:cs="Arial Narrow"/>
                <w:szCs w:val="20"/>
                <w:lang w:eastAsia="en-US"/>
              </w:rPr>
              <w:t>Applications for authorisation under this restriction may be made in real time using the Online PBS Authorities system (see www.servicesaustralia.gov.au/HPOS) or by telephone by contacting Services Australia on 1800 888 333.</w:t>
            </w:r>
          </w:p>
        </w:tc>
      </w:tr>
      <w:tr w:rsidR="00D72E8F" w:rsidRPr="00EF4C2D" w14:paraId="6FF5565E"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3C6DA98A" w14:textId="77777777" w:rsidR="00D72E8F" w:rsidRPr="00EF4C2D" w:rsidRDefault="00D72E8F" w:rsidP="00756099">
            <w:pPr>
              <w:pStyle w:val="TableText0"/>
              <w:keepNext w:val="0"/>
              <w:rPr>
                <w:b/>
              </w:rPr>
            </w:pPr>
          </w:p>
        </w:tc>
        <w:tc>
          <w:tcPr>
            <w:tcW w:w="4474" w:type="pct"/>
            <w:gridSpan w:val="7"/>
          </w:tcPr>
          <w:p w14:paraId="560DF177" w14:textId="77777777" w:rsidR="00D72E8F" w:rsidRPr="00EF4C2D" w:rsidRDefault="00D72E8F" w:rsidP="00756099">
            <w:pPr>
              <w:pStyle w:val="TableText0"/>
              <w:keepNext w:val="0"/>
              <w:rPr>
                <w:b/>
              </w:rPr>
            </w:pPr>
            <w:r w:rsidRPr="00EF4C2D">
              <w:rPr>
                <w:b/>
              </w:rPr>
              <w:t xml:space="preserve">Category / Program: </w:t>
            </w:r>
            <w:r w:rsidRPr="00EF4C2D">
              <w:t>General Schedule (Code GE)</w:t>
            </w:r>
          </w:p>
        </w:tc>
      </w:tr>
      <w:tr w:rsidR="00D72E8F" w:rsidRPr="00EF4C2D" w14:paraId="7D604EFD"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31FF42D2" w14:textId="77777777" w:rsidR="00D72E8F" w:rsidRPr="00EF4C2D" w:rsidRDefault="00D72E8F" w:rsidP="00756099">
            <w:pPr>
              <w:pStyle w:val="TableText0"/>
              <w:keepNext w:val="0"/>
              <w:rPr>
                <w:b/>
              </w:rPr>
            </w:pPr>
          </w:p>
        </w:tc>
        <w:tc>
          <w:tcPr>
            <w:tcW w:w="4474" w:type="pct"/>
            <w:gridSpan w:val="7"/>
          </w:tcPr>
          <w:p w14:paraId="28B330B5" w14:textId="77777777" w:rsidR="00D72E8F" w:rsidRPr="00EF4C2D" w:rsidRDefault="00D72E8F" w:rsidP="00756099">
            <w:pPr>
              <w:pStyle w:val="TableText0"/>
              <w:keepNext w:val="0"/>
              <w:rPr>
                <w:b/>
              </w:rPr>
            </w:pPr>
            <w:r w:rsidRPr="00EF4C2D">
              <w:rPr>
                <w:b/>
              </w:rPr>
              <w:t xml:space="preserve">Prescriber type: </w:t>
            </w:r>
            <w:r w:rsidRPr="00EF4C2D">
              <w:fldChar w:fldCharType="begin">
                <w:ffData>
                  <w:name w:val=""/>
                  <w:enabled/>
                  <w:calcOnExit w:val="0"/>
                  <w:checkBox>
                    <w:sizeAuto/>
                    <w:default w:val="1"/>
                  </w:checkBox>
                </w:ffData>
              </w:fldChar>
            </w:r>
            <w:r w:rsidRPr="00EF4C2D">
              <w:instrText xml:space="preserve"> FORMCHECKBOX </w:instrText>
            </w:r>
            <w:r w:rsidR="00FD5578">
              <w:fldChar w:fldCharType="separate"/>
            </w:r>
            <w:r w:rsidRPr="00EF4C2D">
              <w:fldChar w:fldCharType="end"/>
            </w:r>
            <w:r w:rsidRPr="00EF4C2D">
              <w:t>Medical Practitioners</w:t>
            </w:r>
          </w:p>
        </w:tc>
      </w:tr>
      <w:tr w:rsidR="00D72E8F" w:rsidRPr="00EF4C2D" w14:paraId="3105B389"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72C34BCC" w14:textId="77777777" w:rsidR="00D72E8F" w:rsidRPr="00EF4C2D" w:rsidRDefault="00D72E8F" w:rsidP="00756099">
            <w:pPr>
              <w:pStyle w:val="TableText0"/>
              <w:keepNext w:val="0"/>
              <w:rPr>
                <w:b/>
              </w:rPr>
            </w:pPr>
          </w:p>
        </w:tc>
        <w:tc>
          <w:tcPr>
            <w:tcW w:w="4474" w:type="pct"/>
            <w:gridSpan w:val="7"/>
          </w:tcPr>
          <w:p w14:paraId="493FD61B" w14:textId="77777777" w:rsidR="00D72E8F" w:rsidRPr="00EF4C2D" w:rsidRDefault="00D72E8F" w:rsidP="00756099">
            <w:pPr>
              <w:pStyle w:val="TableText0"/>
              <w:keepNext w:val="0"/>
              <w:rPr>
                <w:b/>
              </w:rPr>
            </w:pPr>
            <w:r w:rsidRPr="00EF4C2D">
              <w:rPr>
                <w:b/>
              </w:rPr>
              <w:t xml:space="preserve">Restriction type: </w:t>
            </w:r>
            <w:r w:rsidRPr="00EF4C2D">
              <w:rPr>
                <w:rFonts w:eastAsia="Times New Roman"/>
              </w:rPr>
              <w:fldChar w:fldCharType="begin">
                <w:ffData>
                  <w:name w:val=""/>
                  <w:enabled/>
                  <w:calcOnExit w:val="0"/>
                  <w:checkBox>
                    <w:sizeAuto/>
                    <w:default w:val="1"/>
                  </w:checkBox>
                </w:ffData>
              </w:fldChar>
            </w:r>
            <w:r w:rsidRPr="00EF4C2D">
              <w:rPr>
                <w:rFonts w:eastAsia="Times New Roman"/>
              </w:rPr>
              <w:instrText xml:space="preserve"> FORMCHECKBOX </w:instrText>
            </w:r>
            <w:r w:rsidR="00FD5578">
              <w:rPr>
                <w:rFonts w:eastAsia="Times New Roman"/>
              </w:rPr>
            </w:r>
            <w:r w:rsidR="00FD5578">
              <w:rPr>
                <w:rFonts w:eastAsia="Times New Roman"/>
              </w:rPr>
              <w:fldChar w:fldCharType="separate"/>
            </w:r>
            <w:r w:rsidRPr="00EF4C2D">
              <w:rPr>
                <w:rFonts w:eastAsia="Times New Roman"/>
              </w:rPr>
              <w:fldChar w:fldCharType="end"/>
            </w:r>
            <w:r w:rsidRPr="00EF4C2D">
              <w:rPr>
                <w:rFonts w:eastAsia="Times New Roman"/>
              </w:rPr>
              <w:t xml:space="preserve">Authority Required (STREAMLINED) </w:t>
            </w:r>
          </w:p>
        </w:tc>
      </w:tr>
      <w:tr w:rsidR="00D72E8F" w:rsidRPr="00EF4C2D" w14:paraId="182788D5"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42C54D8F" w14:textId="77777777" w:rsidR="00D72E8F" w:rsidRPr="00EF4C2D" w:rsidRDefault="00D72E8F" w:rsidP="00756099">
            <w:pPr>
              <w:pStyle w:val="TableText0"/>
              <w:keepNext w:val="0"/>
              <w:rPr>
                <w:b/>
              </w:rPr>
            </w:pPr>
          </w:p>
        </w:tc>
        <w:tc>
          <w:tcPr>
            <w:tcW w:w="4474" w:type="pct"/>
            <w:gridSpan w:val="7"/>
            <w:vAlign w:val="center"/>
          </w:tcPr>
          <w:p w14:paraId="263D4908" w14:textId="77777777" w:rsidR="00D72E8F" w:rsidRPr="00EF4C2D" w:rsidRDefault="00D72E8F" w:rsidP="00756099">
            <w:pPr>
              <w:pStyle w:val="TableText0"/>
              <w:keepNext w:val="0"/>
              <w:rPr>
                <w:b/>
              </w:rPr>
            </w:pPr>
            <w:r w:rsidRPr="00EF4C2D">
              <w:rPr>
                <w:b/>
              </w:rPr>
              <w:t xml:space="preserve">Condition: </w:t>
            </w:r>
            <w:r w:rsidRPr="00EF4C2D">
              <w:rPr>
                <w:rFonts w:eastAsia="MS Gothic"/>
                <w:color w:val="000000"/>
              </w:rPr>
              <w:t xml:space="preserve">Mycosis </w:t>
            </w:r>
            <w:r>
              <w:rPr>
                <w:rFonts w:eastAsia="MS Gothic"/>
                <w:color w:val="000000"/>
              </w:rPr>
              <w:t>f</w:t>
            </w:r>
            <w:r w:rsidRPr="00EF4C2D">
              <w:rPr>
                <w:rFonts w:eastAsia="MS Gothic"/>
                <w:color w:val="000000"/>
              </w:rPr>
              <w:t>ungoides</w:t>
            </w:r>
            <w:r>
              <w:rPr>
                <w:rFonts w:eastAsia="MS Gothic"/>
                <w:color w:val="000000"/>
              </w:rPr>
              <w:t xml:space="preserve"> c</w:t>
            </w:r>
            <w:r w:rsidRPr="00EF4C2D">
              <w:rPr>
                <w:rFonts w:eastAsia="MS Gothic"/>
                <w:color w:val="000000"/>
              </w:rPr>
              <w:t>utaneous T-cell Lymphoma</w:t>
            </w:r>
          </w:p>
        </w:tc>
      </w:tr>
      <w:tr w:rsidR="00D72E8F" w:rsidRPr="00EF4C2D" w14:paraId="44C40434"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3FB90D73" w14:textId="77777777" w:rsidR="00D72E8F" w:rsidRPr="00EF4C2D" w:rsidRDefault="00D72E8F" w:rsidP="00756099">
            <w:pPr>
              <w:pStyle w:val="TableText0"/>
              <w:keepNext w:val="0"/>
              <w:rPr>
                <w:b/>
              </w:rPr>
            </w:pPr>
          </w:p>
        </w:tc>
        <w:tc>
          <w:tcPr>
            <w:tcW w:w="4474" w:type="pct"/>
            <w:gridSpan w:val="7"/>
            <w:vAlign w:val="center"/>
            <w:hideMark/>
          </w:tcPr>
          <w:p w14:paraId="3945C5DA" w14:textId="77777777" w:rsidR="00D72E8F" w:rsidRPr="00EF4C2D" w:rsidRDefault="00D72E8F" w:rsidP="00756099">
            <w:pPr>
              <w:pStyle w:val="TableText0"/>
              <w:keepNext w:val="0"/>
              <w:rPr>
                <w:b/>
              </w:rPr>
            </w:pPr>
            <w:r w:rsidRPr="00EF4C2D">
              <w:rPr>
                <w:b/>
              </w:rPr>
              <w:t>Indication:</w:t>
            </w:r>
            <w:r w:rsidRPr="00EF4C2D">
              <w:t xml:space="preserve"> </w:t>
            </w:r>
            <w:r w:rsidRPr="00EF4C2D">
              <w:rPr>
                <w:rFonts w:eastAsia="MS Gothic"/>
                <w:color w:val="000000"/>
              </w:rPr>
              <w:t xml:space="preserve">Mycosis </w:t>
            </w:r>
            <w:r>
              <w:rPr>
                <w:rFonts w:eastAsia="MS Gothic"/>
                <w:color w:val="000000"/>
              </w:rPr>
              <w:t>f</w:t>
            </w:r>
            <w:r w:rsidRPr="00EF4C2D">
              <w:rPr>
                <w:rFonts w:eastAsia="MS Gothic"/>
                <w:color w:val="000000"/>
              </w:rPr>
              <w:t>ungoides</w:t>
            </w:r>
            <w:r>
              <w:rPr>
                <w:rFonts w:eastAsia="MS Gothic"/>
                <w:color w:val="000000"/>
              </w:rPr>
              <w:t xml:space="preserve"> c</w:t>
            </w:r>
            <w:r w:rsidRPr="00EF4C2D">
              <w:rPr>
                <w:rFonts w:eastAsia="MS Gothic"/>
                <w:color w:val="000000"/>
              </w:rPr>
              <w:t>utaneous T-cell Lymphoma</w:t>
            </w:r>
          </w:p>
        </w:tc>
      </w:tr>
      <w:tr w:rsidR="00D72E8F" w:rsidRPr="00EF4C2D" w14:paraId="63B12184"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2EE207B9" w14:textId="77777777" w:rsidR="00D72E8F" w:rsidRPr="00EF4C2D" w:rsidRDefault="00D72E8F" w:rsidP="00756099">
            <w:pPr>
              <w:pStyle w:val="TableText0"/>
              <w:keepNext w:val="0"/>
              <w:rPr>
                <w:b/>
              </w:rPr>
            </w:pPr>
          </w:p>
        </w:tc>
        <w:tc>
          <w:tcPr>
            <w:tcW w:w="4474" w:type="pct"/>
            <w:gridSpan w:val="7"/>
            <w:vAlign w:val="center"/>
            <w:hideMark/>
          </w:tcPr>
          <w:p w14:paraId="304F0CF7" w14:textId="77777777" w:rsidR="00D72E8F" w:rsidRPr="00EF4C2D" w:rsidRDefault="00D72E8F" w:rsidP="00756099">
            <w:pPr>
              <w:pStyle w:val="TableText0"/>
              <w:keepNext w:val="0"/>
              <w:rPr>
                <w:b/>
              </w:rPr>
            </w:pPr>
            <w:r w:rsidRPr="00EF4C2D">
              <w:rPr>
                <w:b/>
              </w:rPr>
              <w:t>Treatment Phase:</w:t>
            </w:r>
            <w:r w:rsidRPr="00EF4C2D">
              <w:t xml:space="preserve"> </w:t>
            </w:r>
            <w:r w:rsidRPr="00705BA9">
              <w:rPr>
                <w:rFonts w:eastAsia="MS Gothic"/>
                <w:strike/>
                <w:color w:val="000000"/>
              </w:rPr>
              <w:t>Stages IA, IIA, IB</w:t>
            </w:r>
            <w:r>
              <w:rPr>
                <w:rFonts w:eastAsia="MS Gothic"/>
                <w:color w:val="000000"/>
              </w:rPr>
              <w:t xml:space="preserve"> </w:t>
            </w:r>
            <w:r>
              <w:rPr>
                <w:rFonts w:eastAsia="MS Gothic"/>
                <w:i/>
                <w:iCs/>
                <w:color w:val="000000"/>
              </w:rPr>
              <w:t>Continuing treatment</w:t>
            </w:r>
          </w:p>
        </w:tc>
      </w:tr>
      <w:tr w:rsidR="00D72E8F" w:rsidRPr="00EF4C2D" w14:paraId="6642DA5D"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1D5FB13A" w14:textId="4A530B8E" w:rsidR="00D72E8F" w:rsidRPr="004C45FE" w:rsidRDefault="00D72E8F" w:rsidP="00756099">
            <w:pPr>
              <w:pStyle w:val="TableText0"/>
              <w:keepNext w:val="0"/>
              <w:rPr>
                <w:bCs w:val="0"/>
              </w:rPr>
            </w:pPr>
          </w:p>
        </w:tc>
        <w:tc>
          <w:tcPr>
            <w:tcW w:w="4474" w:type="pct"/>
            <w:gridSpan w:val="7"/>
            <w:vAlign w:val="center"/>
            <w:hideMark/>
          </w:tcPr>
          <w:p w14:paraId="7B1EC39A" w14:textId="77777777" w:rsidR="00D72E8F" w:rsidRPr="00EF4C2D" w:rsidRDefault="00D72E8F" w:rsidP="00756099">
            <w:pPr>
              <w:pStyle w:val="TableText0"/>
              <w:keepNext w:val="0"/>
              <w:rPr>
                <w:b/>
              </w:rPr>
            </w:pPr>
            <w:r w:rsidRPr="00EF4C2D">
              <w:rPr>
                <w:b/>
              </w:rPr>
              <w:t>Clinical criteria:</w:t>
            </w:r>
            <w:r w:rsidRPr="00EF4C2D">
              <w:t xml:space="preserve"> </w:t>
            </w:r>
          </w:p>
        </w:tc>
      </w:tr>
      <w:tr w:rsidR="00D72E8F" w:rsidRPr="00EF4C2D" w14:paraId="4103BFD0"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2DBFFF86" w14:textId="6EEF23B8" w:rsidR="00D72E8F" w:rsidRPr="00EF4C2D" w:rsidRDefault="00D72E8F" w:rsidP="00756099">
            <w:pPr>
              <w:pStyle w:val="TableText0"/>
              <w:keepNext w:val="0"/>
              <w:rPr>
                <w:rFonts w:eastAsia="MS Gothic"/>
                <w:color w:val="000000"/>
              </w:rPr>
            </w:pPr>
          </w:p>
        </w:tc>
        <w:tc>
          <w:tcPr>
            <w:tcW w:w="4474" w:type="pct"/>
            <w:gridSpan w:val="7"/>
            <w:vAlign w:val="center"/>
          </w:tcPr>
          <w:p w14:paraId="39BA7413" w14:textId="77777777" w:rsidR="00D72E8F" w:rsidRPr="00EF4C2D" w:rsidRDefault="00D72E8F" w:rsidP="00756099">
            <w:pPr>
              <w:pStyle w:val="TableText0"/>
              <w:keepNext w:val="0"/>
              <w:rPr>
                <w:rFonts w:eastAsia="MS Gothic"/>
                <w:color w:val="000000"/>
              </w:rPr>
            </w:pPr>
            <w:r w:rsidRPr="00EF4C2D">
              <w:rPr>
                <w:rFonts w:eastAsia="MS Gothic"/>
                <w:color w:val="000000"/>
              </w:rPr>
              <w:t>Patient must have previously received PBS-subsidised treatment with this drug for this condition</w:t>
            </w:r>
          </w:p>
        </w:tc>
      </w:tr>
      <w:tr w:rsidR="00D72E8F" w:rsidRPr="00EF4C2D" w14:paraId="1066FF45"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47E27045" w14:textId="77777777" w:rsidR="00D72E8F" w:rsidRPr="00EF4C2D" w:rsidRDefault="00D72E8F" w:rsidP="00756099">
            <w:pPr>
              <w:pStyle w:val="TableText0"/>
              <w:keepNext w:val="0"/>
            </w:pPr>
          </w:p>
        </w:tc>
        <w:tc>
          <w:tcPr>
            <w:tcW w:w="4474" w:type="pct"/>
            <w:gridSpan w:val="7"/>
            <w:vAlign w:val="center"/>
          </w:tcPr>
          <w:p w14:paraId="54F9DB82" w14:textId="77777777" w:rsidR="00D72E8F" w:rsidRPr="00EF4C2D" w:rsidRDefault="00D72E8F" w:rsidP="00756099">
            <w:pPr>
              <w:pStyle w:val="TableText0"/>
              <w:keepNext w:val="0"/>
            </w:pPr>
            <w:r w:rsidRPr="00EF4C2D">
              <w:t>AND</w:t>
            </w:r>
          </w:p>
        </w:tc>
      </w:tr>
      <w:tr w:rsidR="00D72E8F" w:rsidRPr="00EF4C2D" w14:paraId="7D95B188"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5A5BA2E7" w14:textId="673A4194" w:rsidR="00D72E8F" w:rsidRPr="00EF4C2D" w:rsidRDefault="00D72E8F" w:rsidP="00756099">
            <w:pPr>
              <w:pStyle w:val="TableText0"/>
              <w:keepNext w:val="0"/>
            </w:pPr>
          </w:p>
        </w:tc>
        <w:tc>
          <w:tcPr>
            <w:tcW w:w="4474" w:type="pct"/>
            <w:gridSpan w:val="7"/>
            <w:vAlign w:val="center"/>
          </w:tcPr>
          <w:p w14:paraId="08855189" w14:textId="77777777" w:rsidR="00D72E8F" w:rsidRPr="00EF4C2D" w:rsidRDefault="00D72E8F" w:rsidP="00756099">
            <w:pPr>
              <w:pStyle w:val="TableText0"/>
              <w:keepNext w:val="0"/>
            </w:pPr>
            <w:r w:rsidRPr="00EF4C2D">
              <w:rPr>
                <w:b/>
              </w:rPr>
              <w:t>Clinical criteria:</w:t>
            </w:r>
          </w:p>
        </w:tc>
      </w:tr>
      <w:tr w:rsidR="00D72E8F" w:rsidRPr="00EF4C2D" w14:paraId="6E7455CA"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72C8BA85" w14:textId="40F2AECC" w:rsidR="00D72E8F" w:rsidRPr="00EF4C2D" w:rsidRDefault="00D72E8F" w:rsidP="00756099">
            <w:pPr>
              <w:pStyle w:val="TableText0"/>
              <w:keepNext w:val="0"/>
              <w:rPr>
                <w:rFonts w:eastAsia="MS Gothic"/>
                <w:color w:val="000000"/>
              </w:rPr>
            </w:pPr>
          </w:p>
        </w:tc>
        <w:tc>
          <w:tcPr>
            <w:tcW w:w="4474" w:type="pct"/>
            <w:gridSpan w:val="7"/>
            <w:vAlign w:val="center"/>
          </w:tcPr>
          <w:p w14:paraId="19A873EF" w14:textId="77777777" w:rsidR="00D72E8F" w:rsidRPr="00EF4C2D" w:rsidRDefault="00D72E8F" w:rsidP="00756099">
            <w:pPr>
              <w:pStyle w:val="TableText0"/>
              <w:keepNext w:val="0"/>
              <w:rPr>
                <w:rFonts w:eastAsia="MS Gothic"/>
                <w:color w:val="000000"/>
              </w:rPr>
            </w:pPr>
            <w:r w:rsidRPr="00EF4C2D">
              <w:rPr>
                <w:rFonts w:eastAsia="MS Gothic"/>
                <w:color w:val="000000"/>
              </w:rPr>
              <w:t>Patient must not have developed disease progression while receiving PBS-subsidised treatment with this drug for this condition</w:t>
            </w:r>
          </w:p>
        </w:tc>
      </w:tr>
      <w:tr w:rsidR="00D72E8F" w:rsidRPr="00EF4C2D" w14:paraId="537F783C"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000C088B" w14:textId="77777777" w:rsidR="00D72E8F" w:rsidRPr="000C4B66" w:rsidRDefault="00D72E8F" w:rsidP="00756099">
            <w:pPr>
              <w:pStyle w:val="TableText0"/>
              <w:keepNext w:val="0"/>
              <w:rPr>
                <w:rFonts w:eastAsia="MS Gothic"/>
                <w:strike/>
                <w:color w:val="000000"/>
              </w:rPr>
            </w:pPr>
          </w:p>
        </w:tc>
        <w:tc>
          <w:tcPr>
            <w:tcW w:w="4474" w:type="pct"/>
            <w:gridSpan w:val="7"/>
            <w:vAlign w:val="center"/>
          </w:tcPr>
          <w:p w14:paraId="68B06E2C" w14:textId="77777777" w:rsidR="00D72E8F" w:rsidRPr="00EF4C2D" w:rsidRDefault="00D72E8F" w:rsidP="00756099">
            <w:pPr>
              <w:pStyle w:val="TableText0"/>
              <w:keepNext w:val="0"/>
              <w:rPr>
                <w:rFonts w:eastAsia="MS Gothic"/>
                <w:color w:val="000000"/>
              </w:rPr>
            </w:pPr>
            <w:r w:rsidRPr="000C4B66">
              <w:rPr>
                <w:rFonts w:eastAsia="MS Gothic"/>
                <w:strike/>
                <w:color w:val="000000"/>
              </w:rPr>
              <w:t>AND</w:t>
            </w:r>
          </w:p>
        </w:tc>
      </w:tr>
      <w:tr w:rsidR="00D72E8F" w:rsidRPr="00EF4C2D" w14:paraId="3007FF3B"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5C346CA3" w14:textId="77777777" w:rsidR="00D72E8F" w:rsidRPr="000C4B66" w:rsidRDefault="00D72E8F" w:rsidP="00756099">
            <w:pPr>
              <w:pStyle w:val="TableText0"/>
              <w:keepNext w:val="0"/>
              <w:rPr>
                <w:rFonts w:eastAsia="MS Gothic"/>
                <w:strike/>
                <w:color w:val="000000"/>
              </w:rPr>
            </w:pPr>
          </w:p>
        </w:tc>
        <w:tc>
          <w:tcPr>
            <w:tcW w:w="4474" w:type="pct"/>
            <w:gridSpan w:val="7"/>
            <w:vAlign w:val="center"/>
          </w:tcPr>
          <w:p w14:paraId="6238970F" w14:textId="77777777" w:rsidR="00D72E8F" w:rsidRPr="00EF4C2D" w:rsidRDefault="00D72E8F" w:rsidP="00756099">
            <w:pPr>
              <w:pStyle w:val="TableText0"/>
              <w:keepNext w:val="0"/>
              <w:rPr>
                <w:rFonts w:eastAsia="MS Gothic"/>
                <w:color w:val="000000"/>
              </w:rPr>
            </w:pPr>
            <w:r w:rsidRPr="000C4B66">
              <w:rPr>
                <w:rFonts w:eastAsia="MS Gothic"/>
                <w:strike/>
                <w:color w:val="000000"/>
              </w:rPr>
              <w:t>Patients with no more than 10% of their body surface area affected</w:t>
            </w:r>
          </w:p>
        </w:tc>
      </w:tr>
      <w:tr w:rsidR="00D72E8F" w:rsidRPr="00EF4C2D" w14:paraId="2FB28EA7"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3DD739AC" w14:textId="77777777" w:rsidR="00D72E8F" w:rsidRPr="004C45FE" w:rsidRDefault="00D72E8F" w:rsidP="00756099">
            <w:pPr>
              <w:pStyle w:val="TableText0"/>
              <w:keepNext w:val="0"/>
              <w:rPr>
                <w:bCs w:val="0"/>
              </w:rPr>
            </w:pPr>
          </w:p>
        </w:tc>
        <w:tc>
          <w:tcPr>
            <w:tcW w:w="4474" w:type="pct"/>
            <w:gridSpan w:val="7"/>
            <w:vAlign w:val="center"/>
            <w:hideMark/>
          </w:tcPr>
          <w:p w14:paraId="04CC6104" w14:textId="77777777" w:rsidR="00D72E8F" w:rsidRPr="00EF4C2D" w:rsidRDefault="00D72E8F" w:rsidP="00756099">
            <w:pPr>
              <w:pStyle w:val="TableText0"/>
              <w:keepNext w:val="0"/>
              <w:rPr>
                <w:b/>
              </w:rPr>
            </w:pPr>
            <w:r w:rsidRPr="00EF4C2D">
              <w:rPr>
                <w:b/>
              </w:rPr>
              <w:t xml:space="preserve">Population criteria: </w:t>
            </w:r>
          </w:p>
        </w:tc>
      </w:tr>
      <w:tr w:rsidR="00D72E8F" w:rsidRPr="00EF4C2D" w14:paraId="675D9A05"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701758FC" w14:textId="39288E65" w:rsidR="00D72E8F" w:rsidRPr="00EF4C2D" w:rsidRDefault="00D72E8F" w:rsidP="00756099">
            <w:pPr>
              <w:pStyle w:val="TableText0"/>
              <w:keepNext w:val="0"/>
              <w:rPr>
                <w:b/>
              </w:rPr>
            </w:pPr>
          </w:p>
        </w:tc>
        <w:tc>
          <w:tcPr>
            <w:tcW w:w="4474" w:type="pct"/>
            <w:gridSpan w:val="7"/>
            <w:vAlign w:val="center"/>
          </w:tcPr>
          <w:p w14:paraId="4ABD9DDA" w14:textId="77777777" w:rsidR="00D72E8F" w:rsidRPr="00EF4C2D" w:rsidRDefault="00D72E8F" w:rsidP="00756099">
            <w:pPr>
              <w:pStyle w:val="TableText0"/>
              <w:keepNext w:val="0"/>
              <w:rPr>
                <w:b/>
              </w:rPr>
            </w:pPr>
            <w:r w:rsidRPr="004C45FE">
              <w:rPr>
                <w:rFonts w:eastAsia="MS Gothic"/>
                <w:strike/>
                <w:color w:val="000000"/>
              </w:rPr>
              <w:t>Patients ≥ 18 years</w:t>
            </w:r>
            <w:r w:rsidRPr="004C45FE">
              <w:rPr>
                <w:rFonts w:eastAsia="MS Gothic"/>
                <w:i/>
                <w:iCs/>
                <w:color w:val="000000"/>
              </w:rPr>
              <w:t xml:space="preserve"> Patient must be at least 18 years of age</w:t>
            </w:r>
          </w:p>
        </w:tc>
      </w:tr>
      <w:tr w:rsidR="00D72E8F" w:rsidRPr="00EF4C2D" w14:paraId="7F152A37"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0CEAAC41" w14:textId="77777777" w:rsidR="00D72E8F" w:rsidRPr="004C45FE" w:rsidRDefault="00D72E8F" w:rsidP="00756099">
            <w:pPr>
              <w:pStyle w:val="TableText0"/>
              <w:keepNext w:val="0"/>
              <w:rPr>
                <w:bCs w:val="0"/>
              </w:rPr>
            </w:pPr>
          </w:p>
        </w:tc>
        <w:tc>
          <w:tcPr>
            <w:tcW w:w="4474" w:type="pct"/>
            <w:gridSpan w:val="7"/>
          </w:tcPr>
          <w:p w14:paraId="21DEE573" w14:textId="77777777" w:rsidR="00D72E8F" w:rsidRPr="00EF4C2D" w:rsidRDefault="00D72E8F" w:rsidP="00756099">
            <w:pPr>
              <w:pStyle w:val="TableText0"/>
              <w:keepNext w:val="0"/>
              <w:rPr>
                <w:b/>
              </w:rPr>
            </w:pPr>
            <w:r w:rsidRPr="00F31E65">
              <w:rPr>
                <w:b/>
                <w:bCs w:val="0"/>
              </w:rPr>
              <w:t>Prescribing Instructions:</w:t>
            </w:r>
          </w:p>
        </w:tc>
      </w:tr>
      <w:tr w:rsidR="00D72E8F" w:rsidRPr="00EF4C2D" w14:paraId="2B052FB6"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6A017E15" w14:textId="77777777" w:rsidR="00D72E8F" w:rsidRPr="004C45FE" w:rsidRDefault="00D72E8F" w:rsidP="00756099">
            <w:pPr>
              <w:pStyle w:val="TableText0"/>
              <w:keepNext w:val="0"/>
              <w:rPr>
                <w:bCs w:val="0"/>
              </w:rPr>
            </w:pPr>
          </w:p>
        </w:tc>
        <w:tc>
          <w:tcPr>
            <w:tcW w:w="4474" w:type="pct"/>
            <w:gridSpan w:val="7"/>
          </w:tcPr>
          <w:p w14:paraId="564EE071" w14:textId="77777777" w:rsidR="00D72E8F" w:rsidRPr="00EF4C2D" w:rsidRDefault="00D72E8F" w:rsidP="00756099">
            <w:pPr>
              <w:pStyle w:val="TableText0"/>
              <w:keepNext w:val="0"/>
              <w:rPr>
                <w:b/>
              </w:rPr>
            </w:pPr>
            <w:r w:rsidRPr="00006D62">
              <w:t>The medical practitioner should request 1 pack for patients with no more than 10% of the patients body surface and 2 packs for patients with no more than 25% of the patients</w:t>
            </w:r>
            <w:r>
              <w:t xml:space="preserve"> </w:t>
            </w:r>
            <w:r>
              <w:rPr>
                <w:bCs w:val="0"/>
                <w:i/>
                <w:iCs/>
              </w:rPr>
              <w:t>to provide 4 weeks of treatment</w:t>
            </w:r>
            <w:r w:rsidRPr="00006D62">
              <w:t xml:space="preserve">.  </w:t>
            </w:r>
          </w:p>
        </w:tc>
      </w:tr>
      <w:tr w:rsidR="00D72E8F" w:rsidRPr="00EF4C2D" w14:paraId="4545AA82" w14:textId="77777777" w:rsidTr="00D72E8F">
        <w:tblPrEx>
          <w:tblCellMar>
            <w:top w:w="15" w:type="dxa"/>
            <w:bottom w:w="15" w:type="dxa"/>
          </w:tblCellMar>
          <w:tblLook w:val="04A0" w:firstRow="1" w:lastRow="0" w:firstColumn="1" w:lastColumn="0" w:noHBand="0" w:noVBand="1"/>
        </w:tblPrEx>
        <w:trPr>
          <w:trHeight w:val="20"/>
        </w:trPr>
        <w:tc>
          <w:tcPr>
            <w:tcW w:w="526" w:type="pct"/>
            <w:tcBorders>
              <w:right w:val="nil"/>
            </w:tcBorders>
          </w:tcPr>
          <w:p w14:paraId="010418BC" w14:textId="63EB7AB4" w:rsidR="00D72E8F" w:rsidRPr="004C45FE" w:rsidRDefault="00D72E8F" w:rsidP="00756099">
            <w:pPr>
              <w:pStyle w:val="TableText0"/>
              <w:keepNext w:val="0"/>
              <w:rPr>
                <w:bCs w:val="0"/>
              </w:rPr>
            </w:pPr>
          </w:p>
        </w:tc>
        <w:tc>
          <w:tcPr>
            <w:tcW w:w="4474" w:type="pct"/>
            <w:gridSpan w:val="7"/>
          </w:tcPr>
          <w:p w14:paraId="15359FF1" w14:textId="77777777" w:rsidR="00D72E8F" w:rsidRPr="00EF4C2D" w:rsidRDefault="00D72E8F" w:rsidP="00756099">
            <w:pPr>
              <w:pStyle w:val="TableText0"/>
              <w:keepNext w:val="0"/>
              <w:rPr>
                <w:b/>
              </w:rPr>
            </w:pPr>
            <w:r w:rsidRPr="004219A3">
              <w:rPr>
                <w:b/>
                <w:bCs w:val="0"/>
              </w:rPr>
              <w:t>Administrative Advice:</w:t>
            </w:r>
            <w:r w:rsidRPr="00104679">
              <w:t xml:space="preserve"> Applications for authorisation under this restriction may be made in real time using the Online PBS Authorities system (see www.servicesaustralia.gov.au/HPOS) or by telephone by contacting Services Australia on 1800 888 333.</w:t>
            </w:r>
          </w:p>
        </w:tc>
      </w:tr>
    </w:tbl>
    <w:p w14:paraId="1CAB06EC" w14:textId="77777777" w:rsidR="00D72E8F" w:rsidRPr="00950378" w:rsidRDefault="00D72E8F" w:rsidP="00950378">
      <w:pPr>
        <w:pStyle w:val="FooterTableFigure"/>
        <w:spacing w:after="0"/>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1547"/>
        <w:gridCol w:w="986"/>
        <w:gridCol w:w="1271"/>
        <w:gridCol w:w="986"/>
        <w:gridCol w:w="1661"/>
      </w:tblGrid>
      <w:tr w:rsidR="00D72E8F" w:rsidRPr="00EF4C2D" w14:paraId="5B209CA0" w14:textId="77777777" w:rsidTr="00756099">
        <w:trPr>
          <w:cantSplit/>
          <w:trHeight w:val="20"/>
        </w:trPr>
        <w:tc>
          <w:tcPr>
            <w:tcW w:w="1435" w:type="pct"/>
            <w:tcBorders>
              <w:top w:val="single" w:sz="4" w:space="0" w:color="auto"/>
              <w:left w:val="single" w:sz="4" w:space="0" w:color="auto"/>
              <w:bottom w:val="single" w:sz="4" w:space="0" w:color="auto"/>
              <w:right w:val="single" w:sz="4" w:space="0" w:color="auto"/>
            </w:tcBorders>
          </w:tcPr>
          <w:p w14:paraId="683544AE" w14:textId="77777777" w:rsidR="00D72E8F" w:rsidRPr="000C4B66" w:rsidRDefault="00D72E8F" w:rsidP="00950378">
            <w:pPr>
              <w:pStyle w:val="KMC16-Tablecontent"/>
              <w:keepLines/>
              <w:rPr>
                <w:b/>
                <w:bCs/>
                <w:strike/>
                <w:color w:val="auto"/>
                <w:szCs w:val="20"/>
                <w:lang w:val="en-AU"/>
              </w:rPr>
            </w:pPr>
            <w:r w:rsidRPr="000C4B66">
              <w:rPr>
                <w:b/>
                <w:bCs/>
                <w:strike/>
                <w:color w:val="auto"/>
                <w:szCs w:val="20"/>
                <w:lang w:val="en-AU"/>
              </w:rPr>
              <w:t>MEDICINAL PRODUCT</w:t>
            </w:r>
          </w:p>
          <w:p w14:paraId="5E98A2D9" w14:textId="77777777" w:rsidR="00D72E8F" w:rsidRPr="000C4B66" w:rsidRDefault="00D72E8F" w:rsidP="00950378">
            <w:pPr>
              <w:pStyle w:val="KMC16-Tablecontent"/>
              <w:keepLines/>
              <w:rPr>
                <w:b/>
                <w:bCs/>
                <w:strike/>
                <w:color w:val="auto"/>
                <w:szCs w:val="20"/>
                <w:lang w:val="en-AU"/>
              </w:rPr>
            </w:pPr>
            <w:r w:rsidRPr="000C4B66">
              <w:rPr>
                <w:b/>
                <w:bCs/>
                <w:strike/>
                <w:color w:val="auto"/>
                <w:szCs w:val="20"/>
                <w:lang w:val="en-AU"/>
              </w:rPr>
              <w:t>medicinal product pack</w:t>
            </w:r>
          </w:p>
        </w:tc>
        <w:tc>
          <w:tcPr>
            <w:tcW w:w="797" w:type="pct"/>
            <w:tcBorders>
              <w:top w:val="single" w:sz="4" w:space="0" w:color="auto"/>
              <w:left w:val="single" w:sz="4" w:space="0" w:color="auto"/>
              <w:bottom w:val="single" w:sz="4" w:space="0" w:color="auto"/>
              <w:right w:val="single" w:sz="4" w:space="0" w:color="auto"/>
            </w:tcBorders>
          </w:tcPr>
          <w:p w14:paraId="20AC3E4B" w14:textId="77777777" w:rsidR="00D72E8F" w:rsidRPr="000C4B66" w:rsidRDefault="00D72E8F" w:rsidP="00950378">
            <w:pPr>
              <w:pStyle w:val="TableText0"/>
              <w:keepNext w:val="0"/>
              <w:keepLines/>
              <w:jc w:val="center"/>
              <w:rPr>
                <w:b/>
                <w:strike/>
                <w:szCs w:val="20"/>
              </w:rPr>
            </w:pPr>
            <w:r w:rsidRPr="000C4B66">
              <w:rPr>
                <w:b/>
                <w:strike/>
                <w:szCs w:val="20"/>
              </w:rPr>
              <w:t xml:space="preserve">Dispensed Price for Max. Qty </w:t>
            </w:r>
          </w:p>
        </w:tc>
        <w:tc>
          <w:tcPr>
            <w:tcW w:w="559" w:type="pct"/>
            <w:tcBorders>
              <w:top w:val="single" w:sz="4" w:space="0" w:color="auto"/>
              <w:left w:val="single" w:sz="4" w:space="0" w:color="auto"/>
              <w:bottom w:val="single" w:sz="4" w:space="0" w:color="auto"/>
              <w:right w:val="single" w:sz="4" w:space="0" w:color="auto"/>
            </w:tcBorders>
          </w:tcPr>
          <w:p w14:paraId="0ADE8676" w14:textId="77777777" w:rsidR="00D72E8F" w:rsidRPr="000C4B66" w:rsidRDefault="00D72E8F" w:rsidP="00950378">
            <w:pPr>
              <w:keepLines/>
              <w:jc w:val="center"/>
              <w:rPr>
                <w:rFonts w:ascii="Arial Narrow" w:hAnsi="Arial Narrow"/>
                <w:b/>
                <w:bCs/>
                <w:strike/>
                <w:sz w:val="20"/>
                <w:szCs w:val="20"/>
              </w:rPr>
            </w:pPr>
            <w:r w:rsidRPr="000C4B66">
              <w:rPr>
                <w:rFonts w:ascii="Arial Narrow" w:hAnsi="Arial Narrow"/>
                <w:b/>
                <w:bCs/>
                <w:strike/>
                <w:sz w:val="20"/>
                <w:szCs w:val="20"/>
              </w:rPr>
              <w:t>Max. qty packs</w:t>
            </w:r>
          </w:p>
        </w:tc>
        <w:tc>
          <w:tcPr>
            <w:tcW w:w="717" w:type="pct"/>
            <w:tcBorders>
              <w:top w:val="single" w:sz="4" w:space="0" w:color="auto"/>
              <w:left w:val="single" w:sz="4" w:space="0" w:color="auto"/>
              <w:bottom w:val="single" w:sz="4" w:space="0" w:color="auto"/>
              <w:right w:val="single" w:sz="4" w:space="0" w:color="auto"/>
            </w:tcBorders>
          </w:tcPr>
          <w:p w14:paraId="15D90DB9" w14:textId="77777777" w:rsidR="00D72E8F" w:rsidRPr="000C4B66" w:rsidRDefault="00D72E8F" w:rsidP="00950378">
            <w:pPr>
              <w:keepLines/>
              <w:jc w:val="center"/>
              <w:rPr>
                <w:rFonts w:ascii="Arial Narrow" w:hAnsi="Arial Narrow"/>
                <w:b/>
                <w:bCs/>
                <w:strike/>
                <w:sz w:val="20"/>
                <w:szCs w:val="20"/>
              </w:rPr>
            </w:pPr>
            <w:r w:rsidRPr="000C4B66">
              <w:rPr>
                <w:rFonts w:ascii="Arial Narrow" w:hAnsi="Arial Narrow"/>
                <w:b/>
                <w:bCs/>
                <w:strike/>
                <w:sz w:val="20"/>
                <w:szCs w:val="20"/>
              </w:rPr>
              <w:t>Max. qty units</w:t>
            </w:r>
          </w:p>
        </w:tc>
        <w:tc>
          <w:tcPr>
            <w:tcW w:w="559" w:type="pct"/>
            <w:tcBorders>
              <w:top w:val="single" w:sz="4" w:space="0" w:color="auto"/>
              <w:left w:val="single" w:sz="4" w:space="0" w:color="auto"/>
              <w:bottom w:val="single" w:sz="4" w:space="0" w:color="auto"/>
              <w:right w:val="single" w:sz="4" w:space="0" w:color="auto"/>
            </w:tcBorders>
          </w:tcPr>
          <w:p w14:paraId="42F0362B" w14:textId="77777777" w:rsidR="00D72E8F" w:rsidRPr="000C4B66" w:rsidRDefault="00D72E8F" w:rsidP="00950378">
            <w:pPr>
              <w:keepLines/>
              <w:jc w:val="center"/>
              <w:rPr>
                <w:rFonts w:ascii="Arial Narrow" w:hAnsi="Arial Narrow"/>
                <w:b/>
                <w:bCs/>
                <w:strike/>
                <w:sz w:val="20"/>
                <w:szCs w:val="20"/>
              </w:rPr>
            </w:pPr>
            <w:r w:rsidRPr="000C4B66">
              <w:rPr>
                <w:rFonts w:ascii="Arial Narrow" w:hAnsi="Arial Narrow"/>
                <w:b/>
                <w:bCs/>
                <w:strike/>
                <w:sz w:val="20"/>
                <w:szCs w:val="20"/>
              </w:rPr>
              <w:t>№.of</w:t>
            </w:r>
          </w:p>
          <w:p w14:paraId="145ADFCC" w14:textId="77777777" w:rsidR="00D72E8F" w:rsidRPr="000C4B66" w:rsidRDefault="00D72E8F" w:rsidP="00950378">
            <w:pPr>
              <w:keepLines/>
              <w:jc w:val="center"/>
              <w:rPr>
                <w:rFonts w:ascii="Arial Narrow" w:hAnsi="Arial Narrow"/>
                <w:b/>
                <w:bCs/>
                <w:strike/>
                <w:sz w:val="20"/>
                <w:szCs w:val="20"/>
              </w:rPr>
            </w:pPr>
            <w:r w:rsidRPr="000C4B66">
              <w:rPr>
                <w:rFonts w:ascii="Arial Narrow" w:hAnsi="Arial Narrow"/>
                <w:b/>
                <w:bCs/>
                <w:strike/>
                <w:sz w:val="20"/>
                <w:szCs w:val="20"/>
              </w:rPr>
              <w:t>Rpts</w:t>
            </w:r>
          </w:p>
        </w:tc>
        <w:tc>
          <w:tcPr>
            <w:tcW w:w="933" w:type="pct"/>
            <w:tcBorders>
              <w:top w:val="single" w:sz="4" w:space="0" w:color="auto"/>
              <w:left w:val="single" w:sz="4" w:space="0" w:color="auto"/>
              <w:bottom w:val="single" w:sz="4" w:space="0" w:color="auto"/>
              <w:right w:val="single" w:sz="4" w:space="0" w:color="auto"/>
            </w:tcBorders>
          </w:tcPr>
          <w:p w14:paraId="7D485638" w14:textId="77777777" w:rsidR="00D72E8F" w:rsidRPr="000C4B66" w:rsidRDefault="00D72E8F" w:rsidP="00950378">
            <w:pPr>
              <w:pStyle w:val="KMC16-Tablecontent"/>
              <w:keepLines/>
              <w:rPr>
                <w:b/>
                <w:bCs/>
                <w:strike/>
                <w:color w:val="auto"/>
                <w:szCs w:val="20"/>
                <w:lang w:val="en-AU"/>
              </w:rPr>
            </w:pPr>
            <w:r w:rsidRPr="000C4B66">
              <w:rPr>
                <w:b/>
                <w:bCs/>
                <w:strike/>
                <w:color w:val="auto"/>
                <w:szCs w:val="20"/>
                <w:lang w:val="en-AU"/>
              </w:rPr>
              <w:t>Available brands</w:t>
            </w:r>
          </w:p>
        </w:tc>
      </w:tr>
      <w:tr w:rsidR="00D72E8F" w:rsidRPr="00EF4C2D" w14:paraId="5626FC75" w14:textId="77777777" w:rsidTr="00756099">
        <w:trPr>
          <w:cantSplit/>
          <w:trHeight w:val="20"/>
        </w:trPr>
        <w:tc>
          <w:tcPr>
            <w:tcW w:w="1435" w:type="pct"/>
          </w:tcPr>
          <w:p w14:paraId="0D2590C0" w14:textId="77777777" w:rsidR="00D72E8F" w:rsidRPr="008A0628" w:rsidRDefault="00D72E8F" w:rsidP="00950378">
            <w:pPr>
              <w:keepLines/>
              <w:rPr>
                <w:rFonts w:ascii="Arial Narrow" w:hAnsi="Arial Narrow"/>
                <w:strike/>
                <w:sz w:val="20"/>
                <w:szCs w:val="20"/>
                <w:lang w:val="de-DE"/>
              </w:rPr>
            </w:pPr>
            <w:r w:rsidRPr="008A0628">
              <w:rPr>
                <w:rFonts w:ascii="Arial Narrow" w:eastAsiaTheme="majorEastAsia" w:hAnsi="Arial Narrow" w:cstheme="majorBidi"/>
                <w:bCs/>
                <w:strike/>
                <w:sz w:val="20"/>
                <w:lang w:val="de-DE"/>
              </w:rPr>
              <w:t>chlormethine 0.016% (160 microgram/g) gel, 60 g</w:t>
            </w:r>
          </w:p>
        </w:tc>
        <w:tc>
          <w:tcPr>
            <w:tcW w:w="797" w:type="pct"/>
          </w:tcPr>
          <w:p w14:paraId="752EDB6E" w14:textId="3C48BAFB" w:rsidR="00D72E8F" w:rsidRPr="000C4B66" w:rsidRDefault="00D72E8F" w:rsidP="00950378">
            <w:pPr>
              <w:pStyle w:val="TableText0"/>
              <w:keepNext w:val="0"/>
              <w:keepLines/>
              <w:jc w:val="center"/>
              <w:rPr>
                <w:strike/>
                <w:szCs w:val="20"/>
              </w:rPr>
            </w:pPr>
            <w:r w:rsidRPr="000C4B66">
              <w:rPr>
                <w:strike/>
                <w:szCs w:val="20"/>
              </w:rPr>
              <w:t>$</w:t>
            </w:r>
            <w:r w:rsidR="001247F0" w:rsidRPr="007F1B4F">
              <w:rPr>
                <w:strike/>
                <w:color w:val="000000"/>
                <w:spacing w:val="28"/>
                <w:szCs w:val="20"/>
                <w:shd w:val="solid" w:color="000000" w:fill="000000"/>
                <w:fitText w:val="541" w:id="-1236603902"/>
                <w14:textFill>
                  <w14:solidFill>
                    <w14:srgbClr w14:val="000000">
                      <w14:alpha w14:val="100000"/>
                    </w14:srgbClr>
                  </w14:solidFill>
                </w14:textFill>
              </w:rPr>
              <w:t>|||||||</w:t>
            </w:r>
            <w:r w:rsidR="001247F0" w:rsidRPr="007F1B4F">
              <w:rPr>
                <w:strike/>
                <w:color w:val="000000"/>
                <w:spacing w:val="1"/>
                <w:szCs w:val="20"/>
                <w:shd w:val="solid" w:color="000000" w:fill="000000"/>
                <w:fitText w:val="541" w:id="-1236603902"/>
                <w14:textFill>
                  <w14:solidFill>
                    <w14:srgbClr w14:val="000000">
                      <w14:alpha w14:val="100000"/>
                    </w14:srgbClr>
                  </w14:solidFill>
                </w14:textFill>
              </w:rPr>
              <w:t>|</w:t>
            </w:r>
            <w:r w:rsidRPr="000C4B66">
              <w:rPr>
                <w:strike/>
                <w:szCs w:val="20"/>
              </w:rPr>
              <w:t>published price</w:t>
            </w:r>
          </w:p>
          <w:p w14:paraId="21A50851" w14:textId="12304F6E" w:rsidR="00D72E8F" w:rsidRPr="000C4B66" w:rsidRDefault="00D72E8F" w:rsidP="00950378">
            <w:pPr>
              <w:pStyle w:val="TableText0"/>
              <w:keepNext w:val="0"/>
              <w:keepLines/>
              <w:jc w:val="center"/>
              <w:rPr>
                <w:strike/>
                <w:szCs w:val="20"/>
              </w:rPr>
            </w:pPr>
            <w:r w:rsidRPr="000C4B66">
              <w:rPr>
                <w:strike/>
                <w:szCs w:val="20"/>
              </w:rPr>
              <w:t>$</w:t>
            </w:r>
            <w:r w:rsidR="001247F0" w:rsidRPr="007F1B4F">
              <w:rPr>
                <w:strike/>
                <w:color w:val="000000"/>
                <w:spacing w:val="172"/>
                <w:szCs w:val="20"/>
                <w:shd w:val="solid" w:color="000000" w:fill="000000"/>
                <w:fitText w:val="258" w:id="-1236603901"/>
                <w14:textFill>
                  <w14:solidFill>
                    <w14:srgbClr w14:val="000000">
                      <w14:alpha w14:val="100000"/>
                    </w14:srgbClr>
                  </w14:solidFill>
                </w14:textFill>
              </w:rPr>
              <w:t>|</w:t>
            </w:r>
            <w:r w:rsidR="001247F0" w:rsidRPr="007F1B4F">
              <w:rPr>
                <w:strike/>
                <w:color w:val="000000"/>
                <w:szCs w:val="20"/>
                <w:shd w:val="solid" w:color="000000" w:fill="000000"/>
                <w:fitText w:val="258" w:id="-1236603901"/>
                <w14:textFill>
                  <w14:solidFill>
                    <w14:srgbClr w14:val="000000">
                      <w14:alpha w14:val="100000"/>
                    </w14:srgbClr>
                  </w14:solidFill>
                </w14:textFill>
              </w:rPr>
              <w:t>|</w:t>
            </w:r>
            <w:r w:rsidRPr="000C4B66">
              <w:rPr>
                <w:strike/>
                <w:szCs w:val="20"/>
              </w:rPr>
              <w:t xml:space="preserve"> effective price</w:t>
            </w:r>
          </w:p>
        </w:tc>
        <w:tc>
          <w:tcPr>
            <w:tcW w:w="559" w:type="pct"/>
          </w:tcPr>
          <w:p w14:paraId="533CE0EB" w14:textId="77777777" w:rsidR="00D72E8F" w:rsidRPr="000C4B66" w:rsidRDefault="00D72E8F" w:rsidP="00950378">
            <w:pPr>
              <w:keepLines/>
              <w:jc w:val="center"/>
              <w:rPr>
                <w:rFonts w:ascii="Arial Narrow" w:hAnsi="Arial Narrow"/>
                <w:strike/>
                <w:sz w:val="20"/>
                <w:szCs w:val="20"/>
              </w:rPr>
            </w:pPr>
            <w:r w:rsidRPr="000C4B66">
              <w:rPr>
                <w:rFonts w:ascii="Arial Narrow" w:hAnsi="Arial Narrow"/>
                <w:strike/>
                <w:sz w:val="20"/>
                <w:szCs w:val="20"/>
              </w:rPr>
              <w:t>2</w:t>
            </w:r>
          </w:p>
        </w:tc>
        <w:tc>
          <w:tcPr>
            <w:tcW w:w="717" w:type="pct"/>
          </w:tcPr>
          <w:p w14:paraId="618D7AE0" w14:textId="77777777" w:rsidR="00D72E8F" w:rsidRPr="000C4B66" w:rsidRDefault="00D72E8F" w:rsidP="00950378">
            <w:pPr>
              <w:keepLines/>
              <w:jc w:val="center"/>
              <w:rPr>
                <w:rFonts w:ascii="Arial Narrow" w:hAnsi="Arial Narrow"/>
                <w:strike/>
                <w:sz w:val="20"/>
                <w:szCs w:val="20"/>
              </w:rPr>
            </w:pPr>
            <w:r w:rsidRPr="000C4B66">
              <w:rPr>
                <w:rFonts w:ascii="Arial Narrow" w:hAnsi="Arial Narrow"/>
                <w:strike/>
                <w:sz w:val="20"/>
                <w:szCs w:val="20"/>
              </w:rPr>
              <w:t>2</w:t>
            </w:r>
          </w:p>
        </w:tc>
        <w:tc>
          <w:tcPr>
            <w:tcW w:w="559" w:type="pct"/>
          </w:tcPr>
          <w:p w14:paraId="0BAFC59C" w14:textId="77777777" w:rsidR="00D72E8F" w:rsidRPr="000C4B66" w:rsidRDefault="00D72E8F" w:rsidP="00950378">
            <w:pPr>
              <w:keepLines/>
              <w:jc w:val="center"/>
              <w:rPr>
                <w:rFonts w:ascii="Arial Narrow" w:hAnsi="Arial Narrow"/>
                <w:strike/>
                <w:sz w:val="20"/>
                <w:szCs w:val="20"/>
              </w:rPr>
            </w:pPr>
            <w:r w:rsidRPr="000C4B66">
              <w:rPr>
                <w:rFonts w:ascii="Arial Narrow" w:hAnsi="Arial Narrow"/>
                <w:strike/>
                <w:sz w:val="20"/>
                <w:szCs w:val="20"/>
              </w:rPr>
              <w:t>5</w:t>
            </w:r>
          </w:p>
        </w:tc>
        <w:tc>
          <w:tcPr>
            <w:tcW w:w="933" w:type="pct"/>
            <w:tcBorders>
              <w:bottom w:val="single" w:sz="4" w:space="0" w:color="auto"/>
            </w:tcBorders>
          </w:tcPr>
          <w:p w14:paraId="713CAA2A" w14:textId="77777777" w:rsidR="00D72E8F" w:rsidRPr="000C4B66" w:rsidRDefault="00D72E8F" w:rsidP="00950378">
            <w:pPr>
              <w:pStyle w:val="KMC16-Tablecontent"/>
              <w:keepLines/>
              <w:ind w:left="0"/>
              <w:rPr>
                <w:strike/>
                <w:color w:val="auto"/>
                <w:szCs w:val="20"/>
                <w:lang w:val="en-AU"/>
              </w:rPr>
            </w:pPr>
            <w:r w:rsidRPr="000C4B66">
              <w:rPr>
                <w:strike/>
                <w:color w:val="auto"/>
                <w:szCs w:val="20"/>
                <w:lang w:val="en-AU"/>
              </w:rPr>
              <w:t>Ledaga</w:t>
            </w:r>
          </w:p>
          <w:p w14:paraId="3F590BD0" w14:textId="77777777" w:rsidR="00D72E8F" w:rsidRPr="000C4B66" w:rsidRDefault="00D72E8F" w:rsidP="00950378">
            <w:pPr>
              <w:keepLines/>
              <w:rPr>
                <w:rFonts w:ascii="Arial Narrow" w:hAnsi="Arial Narrow"/>
                <w:strike/>
                <w:sz w:val="20"/>
                <w:szCs w:val="20"/>
              </w:rPr>
            </w:pPr>
            <w:r w:rsidRPr="000C4B66">
              <w:rPr>
                <w:rFonts w:ascii="Arial Narrow" w:hAnsi="Arial Narrow"/>
                <w:strike/>
                <w:sz w:val="20"/>
                <w:szCs w:val="20"/>
              </w:rPr>
              <w:t>Juniper Biologics</w:t>
            </w:r>
          </w:p>
        </w:tc>
      </w:tr>
      <w:tr w:rsidR="00D72E8F" w:rsidRPr="00EF4C2D" w14:paraId="17AC941F"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tcPr>
          <w:p w14:paraId="30B002CD" w14:textId="77777777" w:rsidR="00D72E8F" w:rsidRPr="000C4B66" w:rsidRDefault="00D72E8F" w:rsidP="00950378">
            <w:pPr>
              <w:pStyle w:val="TableText0"/>
              <w:keepNext w:val="0"/>
              <w:keepLines/>
              <w:rPr>
                <w:b/>
                <w:strike/>
              </w:rPr>
            </w:pPr>
            <w:r w:rsidRPr="000C4B66">
              <w:rPr>
                <w:b/>
                <w:strike/>
              </w:rPr>
              <w:t>Initial treatment criteria</w:t>
            </w:r>
          </w:p>
        </w:tc>
        <w:tc>
          <w:tcPr>
            <w:tcW w:w="933" w:type="pct"/>
            <w:tcBorders>
              <w:left w:val="nil"/>
            </w:tcBorders>
          </w:tcPr>
          <w:p w14:paraId="6B683455" w14:textId="77777777" w:rsidR="00D72E8F" w:rsidRPr="000C4B66" w:rsidRDefault="00D72E8F" w:rsidP="00950378">
            <w:pPr>
              <w:pStyle w:val="TableText0"/>
              <w:keepNext w:val="0"/>
              <w:keepLines/>
              <w:rPr>
                <w:b/>
                <w:strike/>
              </w:rPr>
            </w:pPr>
          </w:p>
        </w:tc>
      </w:tr>
      <w:tr w:rsidR="00D72E8F" w:rsidRPr="00EF4C2D" w14:paraId="0CAE69B7"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tcPr>
          <w:p w14:paraId="52BB2AD3" w14:textId="77777777" w:rsidR="00D72E8F" w:rsidRPr="000C4B66" w:rsidRDefault="00D72E8F" w:rsidP="00950378">
            <w:pPr>
              <w:pStyle w:val="TableText0"/>
              <w:keepNext w:val="0"/>
              <w:keepLines/>
              <w:rPr>
                <w:strike/>
              </w:rPr>
            </w:pPr>
            <w:r w:rsidRPr="000C4B66">
              <w:rPr>
                <w:b/>
                <w:strike/>
              </w:rPr>
              <w:t xml:space="preserve">Category / Program: </w:t>
            </w:r>
            <w:r w:rsidRPr="000C4B66">
              <w:rPr>
                <w:strike/>
              </w:rPr>
              <w:t>General Schedule (Code GE)</w:t>
            </w:r>
          </w:p>
        </w:tc>
        <w:tc>
          <w:tcPr>
            <w:tcW w:w="933" w:type="pct"/>
            <w:tcBorders>
              <w:left w:val="nil"/>
            </w:tcBorders>
          </w:tcPr>
          <w:p w14:paraId="7166B804" w14:textId="77777777" w:rsidR="00D72E8F" w:rsidRPr="000C4B66" w:rsidRDefault="00D72E8F" w:rsidP="00950378">
            <w:pPr>
              <w:pStyle w:val="TableText0"/>
              <w:keepNext w:val="0"/>
              <w:keepLines/>
              <w:rPr>
                <w:b/>
                <w:strike/>
              </w:rPr>
            </w:pPr>
          </w:p>
        </w:tc>
      </w:tr>
      <w:tr w:rsidR="00D72E8F" w:rsidRPr="00EF4C2D" w14:paraId="7C85E847"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tcPr>
          <w:p w14:paraId="1A1A597D" w14:textId="77777777" w:rsidR="00D72E8F" w:rsidRPr="000C4B66" w:rsidRDefault="00D72E8F" w:rsidP="00950378">
            <w:pPr>
              <w:pStyle w:val="TableText0"/>
              <w:keepNext w:val="0"/>
              <w:keepLines/>
              <w:rPr>
                <w:b/>
                <w:strike/>
              </w:rPr>
            </w:pPr>
            <w:r w:rsidRPr="000C4B66">
              <w:rPr>
                <w:b/>
                <w:strike/>
              </w:rPr>
              <w:t xml:space="preserve">Prescriber type: </w:t>
            </w:r>
            <w:r w:rsidRPr="000C4B66">
              <w:rPr>
                <w:strike/>
              </w:rPr>
              <w:fldChar w:fldCharType="begin">
                <w:ffData>
                  <w:name w:val=""/>
                  <w:enabled/>
                  <w:calcOnExit w:val="0"/>
                  <w:checkBox>
                    <w:sizeAuto/>
                    <w:default w:val="1"/>
                  </w:checkBox>
                </w:ffData>
              </w:fldChar>
            </w:r>
            <w:r w:rsidRPr="000C4B66">
              <w:rPr>
                <w:strike/>
              </w:rPr>
              <w:instrText xml:space="preserve"> FORMCHECKBOX </w:instrText>
            </w:r>
            <w:r w:rsidR="00FD5578">
              <w:rPr>
                <w:strike/>
              </w:rPr>
            </w:r>
            <w:r w:rsidR="00FD5578">
              <w:rPr>
                <w:strike/>
              </w:rPr>
              <w:fldChar w:fldCharType="separate"/>
            </w:r>
            <w:r w:rsidRPr="000C4B66">
              <w:rPr>
                <w:strike/>
              </w:rPr>
              <w:fldChar w:fldCharType="end"/>
            </w:r>
            <w:r w:rsidRPr="000C4B66">
              <w:rPr>
                <w:strike/>
              </w:rPr>
              <w:t>Medical Practitioners</w:t>
            </w:r>
          </w:p>
        </w:tc>
        <w:tc>
          <w:tcPr>
            <w:tcW w:w="933" w:type="pct"/>
            <w:tcBorders>
              <w:left w:val="nil"/>
            </w:tcBorders>
          </w:tcPr>
          <w:p w14:paraId="7FE7D93D" w14:textId="77777777" w:rsidR="00D72E8F" w:rsidRPr="000C4B66" w:rsidRDefault="00D72E8F" w:rsidP="00950378">
            <w:pPr>
              <w:pStyle w:val="TableText0"/>
              <w:keepNext w:val="0"/>
              <w:keepLines/>
              <w:rPr>
                <w:b/>
                <w:strike/>
              </w:rPr>
            </w:pPr>
          </w:p>
        </w:tc>
      </w:tr>
      <w:tr w:rsidR="00D72E8F" w:rsidRPr="00EF4C2D" w14:paraId="51949DF2"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tcPr>
          <w:p w14:paraId="382CD405" w14:textId="77777777" w:rsidR="00D72E8F" w:rsidRPr="000C4B66" w:rsidRDefault="00D72E8F" w:rsidP="00950378">
            <w:pPr>
              <w:pStyle w:val="TableText0"/>
              <w:keepNext w:val="0"/>
              <w:keepLines/>
              <w:rPr>
                <w:rFonts w:eastAsia="Times New Roman"/>
                <w:strike/>
              </w:rPr>
            </w:pPr>
            <w:r w:rsidRPr="000C4B66">
              <w:rPr>
                <w:b/>
                <w:strike/>
              </w:rPr>
              <w:t xml:space="preserve">Restriction type: </w:t>
            </w:r>
            <w:r w:rsidRPr="000C4B66">
              <w:rPr>
                <w:rFonts w:eastAsia="Times New Roman"/>
                <w:strike/>
              </w:rPr>
              <w:fldChar w:fldCharType="begin">
                <w:ffData>
                  <w:name w:val=""/>
                  <w:enabled/>
                  <w:calcOnExit w:val="0"/>
                  <w:checkBox>
                    <w:sizeAuto/>
                    <w:default w:val="1"/>
                  </w:checkBox>
                </w:ffData>
              </w:fldChar>
            </w:r>
            <w:r w:rsidRPr="000C4B66">
              <w:rPr>
                <w:rFonts w:eastAsia="Times New Roman"/>
                <w:strike/>
              </w:rPr>
              <w:instrText xml:space="preserve"> FORMCHECKBOX </w:instrText>
            </w:r>
            <w:r w:rsidR="00FD5578">
              <w:rPr>
                <w:rFonts w:eastAsia="Times New Roman"/>
                <w:strike/>
              </w:rPr>
            </w:r>
            <w:r w:rsidR="00FD5578">
              <w:rPr>
                <w:rFonts w:eastAsia="Times New Roman"/>
                <w:strike/>
              </w:rPr>
              <w:fldChar w:fldCharType="separate"/>
            </w:r>
            <w:r w:rsidRPr="000C4B66">
              <w:rPr>
                <w:rFonts w:eastAsia="Times New Roman"/>
                <w:strike/>
              </w:rPr>
              <w:fldChar w:fldCharType="end"/>
            </w:r>
            <w:r w:rsidRPr="000C4B66">
              <w:rPr>
                <w:rFonts w:eastAsia="Times New Roman"/>
                <w:strike/>
              </w:rPr>
              <w:t xml:space="preserve">Authority Required (telephone/online PBS Authorities system) </w:t>
            </w:r>
          </w:p>
        </w:tc>
        <w:tc>
          <w:tcPr>
            <w:tcW w:w="933" w:type="pct"/>
            <w:tcBorders>
              <w:left w:val="nil"/>
            </w:tcBorders>
          </w:tcPr>
          <w:p w14:paraId="2ACE90C5" w14:textId="77777777" w:rsidR="00D72E8F" w:rsidRPr="000C4B66" w:rsidRDefault="00D72E8F" w:rsidP="00950378">
            <w:pPr>
              <w:pStyle w:val="TableText0"/>
              <w:keepNext w:val="0"/>
              <w:keepLines/>
              <w:rPr>
                <w:b/>
                <w:strike/>
              </w:rPr>
            </w:pPr>
          </w:p>
        </w:tc>
      </w:tr>
      <w:tr w:rsidR="00D72E8F" w:rsidRPr="00EF4C2D" w14:paraId="0960E964"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vAlign w:val="center"/>
          </w:tcPr>
          <w:p w14:paraId="4D7C3896" w14:textId="77777777" w:rsidR="00D72E8F" w:rsidRPr="000C4B66" w:rsidRDefault="00D72E8F" w:rsidP="00950378">
            <w:pPr>
              <w:pStyle w:val="TableText0"/>
              <w:keepNext w:val="0"/>
              <w:keepLines/>
              <w:rPr>
                <w:b/>
                <w:strike/>
              </w:rPr>
            </w:pPr>
            <w:r w:rsidRPr="000C4B66">
              <w:rPr>
                <w:b/>
                <w:strike/>
              </w:rPr>
              <w:t xml:space="preserve">Condition: </w:t>
            </w:r>
            <w:r w:rsidRPr="000C4B66">
              <w:rPr>
                <w:rFonts w:eastAsia="MS Gothic"/>
                <w:strike/>
                <w:color w:val="000000"/>
              </w:rPr>
              <w:t>Mycosis Fungoides-Cutaneous T-cell Lymphoma</w:t>
            </w:r>
          </w:p>
        </w:tc>
        <w:tc>
          <w:tcPr>
            <w:tcW w:w="933" w:type="pct"/>
            <w:tcBorders>
              <w:left w:val="nil"/>
            </w:tcBorders>
          </w:tcPr>
          <w:p w14:paraId="3193AD02" w14:textId="77777777" w:rsidR="00D72E8F" w:rsidRPr="000C4B66" w:rsidRDefault="00D72E8F" w:rsidP="00950378">
            <w:pPr>
              <w:pStyle w:val="TableText0"/>
              <w:keepNext w:val="0"/>
              <w:keepLines/>
              <w:rPr>
                <w:b/>
                <w:strike/>
              </w:rPr>
            </w:pPr>
          </w:p>
        </w:tc>
      </w:tr>
      <w:tr w:rsidR="00D72E8F" w:rsidRPr="00EF4C2D" w14:paraId="6D01C569"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vAlign w:val="center"/>
            <w:hideMark/>
          </w:tcPr>
          <w:p w14:paraId="65E655A0" w14:textId="77777777" w:rsidR="00D72E8F" w:rsidRPr="000C4B66" w:rsidRDefault="00D72E8F" w:rsidP="00950378">
            <w:pPr>
              <w:pStyle w:val="TableText0"/>
              <w:keepNext w:val="0"/>
              <w:keepLines/>
              <w:rPr>
                <w:strike/>
              </w:rPr>
            </w:pPr>
            <w:r w:rsidRPr="000C4B66">
              <w:rPr>
                <w:b/>
                <w:strike/>
              </w:rPr>
              <w:t>Indication:</w:t>
            </w:r>
            <w:r w:rsidRPr="000C4B66">
              <w:rPr>
                <w:strike/>
              </w:rPr>
              <w:t xml:space="preserve"> </w:t>
            </w:r>
            <w:r w:rsidRPr="000C4B66">
              <w:rPr>
                <w:rFonts w:eastAsia="MS Gothic"/>
                <w:strike/>
                <w:color w:val="000000"/>
              </w:rPr>
              <w:t>Mycosis Fungoides-Cutaneous T-cell Lymphoma</w:t>
            </w:r>
          </w:p>
        </w:tc>
        <w:tc>
          <w:tcPr>
            <w:tcW w:w="933" w:type="pct"/>
            <w:tcBorders>
              <w:left w:val="nil"/>
            </w:tcBorders>
          </w:tcPr>
          <w:p w14:paraId="506FD316" w14:textId="77777777" w:rsidR="00D72E8F" w:rsidRPr="000C4B66" w:rsidRDefault="00D72E8F" w:rsidP="00950378">
            <w:pPr>
              <w:pStyle w:val="TableText0"/>
              <w:keepNext w:val="0"/>
              <w:keepLines/>
              <w:rPr>
                <w:b/>
                <w:strike/>
              </w:rPr>
            </w:pPr>
          </w:p>
        </w:tc>
      </w:tr>
      <w:tr w:rsidR="00D72E8F" w:rsidRPr="00EF4C2D" w14:paraId="684B7FA1"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vAlign w:val="center"/>
            <w:hideMark/>
          </w:tcPr>
          <w:p w14:paraId="77FF45DA" w14:textId="77777777" w:rsidR="00D72E8F" w:rsidRPr="000C4B66" w:rsidRDefault="00D72E8F" w:rsidP="00950378">
            <w:pPr>
              <w:pStyle w:val="TableText0"/>
              <w:keepNext w:val="0"/>
              <w:keepLines/>
              <w:rPr>
                <w:strike/>
              </w:rPr>
            </w:pPr>
            <w:r w:rsidRPr="000C4B66">
              <w:rPr>
                <w:b/>
                <w:strike/>
              </w:rPr>
              <w:t>Treatment Phase:</w:t>
            </w:r>
            <w:r w:rsidRPr="000C4B66">
              <w:rPr>
                <w:strike/>
              </w:rPr>
              <w:t xml:space="preserve"> </w:t>
            </w:r>
            <w:r w:rsidRPr="000C4B66">
              <w:rPr>
                <w:rFonts w:eastAsia="MS Gothic"/>
                <w:strike/>
                <w:color w:val="000000"/>
              </w:rPr>
              <w:t>Stages IA, IIA, IB</w:t>
            </w:r>
          </w:p>
        </w:tc>
        <w:tc>
          <w:tcPr>
            <w:tcW w:w="933" w:type="pct"/>
            <w:tcBorders>
              <w:left w:val="nil"/>
            </w:tcBorders>
          </w:tcPr>
          <w:p w14:paraId="1727AE04" w14:textId="77777777" w:rsidR="00D72E8F" w:rsidRPr="000C4B66" w:rsidRDefault="00D72E8F" w:rsidP="00950378">
            <w:pPr>
              <w:pStyle w:val="TableText0"/>
              <w:keepNext w:val="0"/>
              <w:keepLines/>
              <w:rPr>
                <w:b/>
                <w:strike/>
              </w:rPr>
            </w:pPr>
          </w:p>
        </w:tc>
      </w:tr>
      <w:tr w:rsidR="00D72E8F" w:rsidRPr="00EF4C2D" w14:paraId="5EFCF153"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vAlign w:val="center"/>
            <w:hideMark/>
          </w:tcPr>
          <w:p w14:paraId="336C3BD3" w14:textId="77777777" w:rsidR="00D72E8F" w:rsidRPr="000C4B66" w:rsidRDefault="00D72E8F" w:rsidP="00950378">
            <w:pPr>
              <w:pStyle w:val="TableText0"/>
              <w:keepNext w:val="0"/>
              <w:keepLines/>
              <w:rPr>
                <w:strike/>
              </w:rPr>
            </w:pPr>
            <w:r w:rsidRPr="000C4B66">
              <w:rPr>
                <w:b/>
                <w:strike/>
              </w:rPr>
              <w:t xml:space="preserve">Clinical criteria: </w:t>
            </w:r>
          </w:p>
        </w:tc>
        <w:tc>
          <w:tcPr>
            <w:tcW w:w="933" w:type="pct"/>
            <w:tcBorders>
              <w:left w:val="nil"/>
            </w:tcBorders>
          </w:tcPr>
          <w:p w14:paraId="5A3FDC8D" w14:textId="77777777" w:rsidR="00D72E8F" w:rsidRPr="000C4B66" w:rsidRDefault="00D72E8F" w:rsidP="00950378">
            <w:pPr>
              <w:pStyle w:val="TableText0"/>
              <w:keepNext w:val="0"/>
              <w:keepLines/>
              <w:rPr>
                <w:b/>
                <w:strike/>
              </w:rPr>
            </w:pPr>
          </w:p>
        </w:tc>
      </w:tr>
      <w:tr w:rsidR="00D72E8F" w:rsidRPr="00EF4C2D" w14:paraId="3BA92AB1"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vAlign w:val="center"/>
          </w:tcPr>
          <w:p w14:paraId="28C2F0C5" w14:textId="77777777" w:rsidR="00D72E8F" w:rsidRPr="000C4B66" w:rsidRDefault="00D72E8F" w:rsidP="00950378">
            <w:pPr>
              <w:pStyle w:val="TableText0"/>
              <w:keepNext w:val="0"/>
              <w:keepLines/>
              <w:rPr>
                <w:b/>
                <w:strike/>
              </w:rPr>
            </w:pPr>
            <w:r w:rsidRPr="000C4B66">
              <w:rPr>
                <w:strike/>
              </w:rPr>
              <w:t>Patients must have failed treatment with topical corticosteroids or are intolerant to these or have a contraindication to steroids</w:t>
            </w:r>
          </w:p>
        </w:tc>
        <w:tc>
          <w:tcPr>
            <w:tcW w:w="933" w:type="pct"/>
            <w:tcBorders>
              <w:left w:val="nil"/>
            </w:tcBorders>
          </w:tcPr>
          <w:p w14:paraId="599B7375" w14:textId="77777777" w:rsidR="00D72E8F" w:rsidRPr="000C4B66" w:rsidRDefault="00D72E8F" w:rsidP="00950378">
            <w:pPr>
              <w:pStyle w:val="TableText0"/>
              <w:keepNext w:val="0"/>
              <w:keepLines/>
              <w:rPr>
                <w:strike/>
              </w:rPr>
            </w:pPr>
          </w:p>
        </w:tc>
      </w:tr>
      <w:tr w:rsidR="00D72E8F" w:rsidRPr="00EF4C2D" w14:paraId="17AD6DF9"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vAlign w:val="center"/>
          </w:tcPr>
          <w:p w14:paraId="63D7A450" w14:textId="77777777" w:rsidR="00D72E8F" w:rsidRPr="000C4B66" w:rsidRDefault="00D72E8F" w:rsidP="00950378">
            <w:pPr>
              <w:pStyle w:val="TableText0"/>
              <w:keepNext w:val="0"/>
              <w:keepLines/>
              <w:rPr>
                <w:b/>
                <w:strike/>
              </w:rPr>
            </w:pPr>
            <w:r w:rsidRPr="000C4B66">
              <w:rPr>
                <w:strike/>
              </w:rPr>
              <w:t>AND</w:t>
            </w:r>
          </w:p>
        </w:tc>
        <w:tc>
          <w:tcPr>
            <w:tcW w:w="933" w:type="pct"/>
            <w:tcBorders>
              <w:left w:val="nil"/>
            </w:tcBorders>
          </w:tcPr>
          <w:p w14:paraId="62C76CFF" w14:textId="77777777" w:rsidR="00D72E8F" w:rsidRPr="000C4B66" w:rsidRDefault="00D72E8F" w:rsidP="00950378">
            <w:pPr>
              <w:pStyle w:val="TableText0"/>
              <w:keepNext w:val="0"/>
              <w:keepLines/>
              <w:rPr>
                <w:strike/>
              </w:rPr>
            </w:pPr>
          </w:p>
        </w:tc>
      </w:tr>
      <w:tr w:rsidR="00D72E8F" w:rsidRPr="00EF4C2D" w14:paraId="331D149F"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vAlign w:val="center"/>
          </w:tcPr>
          <w:p w14:paraId="73609C2E" w14:textId="77777777" w:rsidR="00D72E8F" w:rsidRPr="000C4B66" w:rsidRDefault="00D72E8F" w:rsidP="00950378">
            <w:pPr>
              <w:pStyle w:val="TableText0"/>
              <w:keepNext w:val="0"/>
              <w:keepLines/>
              <w:rPr>
                <w:b/>
                <w:strike/>
              </w:rPr>
            </w:pPr>
            <w:r w:rsidRPr="000C4B66">
              <w:rPr>
                <w:strike/>
              </w:rPr>
              <w:t>Patients with no more than 25% of their body surface area affected</w:t>
            </w:r>
          </w:p>
        </w:tc>
        <w:tc>
          <w:tcPr>
            <w:tcW w:w="933" w:type="pct"/>
            <w:tcBorders>
              <w:left w:val="nil"/>
            </w:tcBorders>
          </w:tcPr>
          <w:p w14:paraId="5C548FCA" w14:textId="77777777" w:rsidR="00D72E8F" w:rsidRPr="000C4B66" w:rsidRDefault="00D72E8F" w:rsidP="00950378">
            <w:pPr>
              <w:pStyle w:val="TableText0"/>
              <w:keepNext w:val="0"/>
              <w:keepLines/>
              <w:rPr>
                <w:strike/>
              </w:rPr>
            </w:pPr>
          </w:p>
        </w:tc>
      </w:tr>
      <w:tr w:rsidR="00D72E8F" w:rsidRPr="00EF4C2D" w14:paraId="26802547"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vAlign w:val="center"/>
            <w:hideMark/>
          </w:tcPr>
          <w:p w14:paraId="7DACE23D" w14:textId="77777777" w:rsidR="00D72E8F" w:rsidRPr="000C4B66" w:rsidRDefault="00D72E8F" w:rsidP="00950378">
            <w:pPr>
              <w:pStyle w:val="TableText0"/>
              <w:keepNext w:val="0"/>
              <w:keepLines/>
              <w:rPr>
                <w:strike/>
              </w:rPr>
            </w:pPr>
            <w:r w:rsidRPr="000C4B66">
              <w:rPr>
                <w:b/>
                <w:strike/>
              </w:rPr>
              <w:t xml:space="preserve">Population criteria: </w:t>
            </w:r>
            <w:r w:rsidRPr="000C4B66">
              <w:rPr>
                <w:rFonts w:eastAsia="MS Gothic"/>
                <w:strike/>
                <w:color w:val="000000"/>
              </w:rPr>
              <w:t>Patients ≥ 18 years</w:t>
            </w:r>
          </w:p>
        </w:tc>
        <w:tc>
          <w:tcPr>
            <w:tcW w:w="933" w:type="pct"/>
            <w:tcBorders>
              <w:left w:val="nil"/>
            </w:tcBorders>
          </w:tcPr>
          <w:p w14:paraId="6C702D20" w14:textId="77777777" w:rsidR="00D72E8F" w:rsidRPr="000C4B66" w:rsidRDefault="00D72E8F" w:rsidP="00950378">
            <w:pPr>
              <w:pStyle w:val="TableText0"/>
              <w:keepNext w:val="0"/>
              <w:keepLines/>
              <w:rPr>
                <w:b/>
                <w:strike/>
              </w:rPr>
            </w:pPr>
          </w:p>
        </w:tc>
      </w:tr>
      <w:tr w:rsidR="00D72E8F" w:rsidRPr="00EF4C2D" w14:paraId="003FDEDA"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vAlign w:val="center"/>
            <w:hideMark/>
          </w:tcPr>
          <w:p w14:paraId="1D22E9FD" w14:textId="77777777" w:rsidR="00D72E8F" w:rsidRPr="000C4B66" w:rsidRDefault="00D72E8F" w:rsidP="00950378">
            <w:pPr>
              <w:pStyle w:val="TableText0"/>
              <w:keepNext w:val="0"/>
              <w:keepLines/>
              <w:rPr>
                <w:strike/>
              </w:rPr>
            </w:pPr>
            <w:r w:rsidRPr="000C4B66">
              <w:rPr>
                <w:b/>
                <w:strike/>
              </w:rPr>
              <w:t xml:space="preserve">Prescribing Instructions: </w:t>
            </w:r>
            <w:r w:rsidRPr="000C4B66">
              <w:rPr>
                <w:strike/>
              </w:rPr>
              <w:t>Treatment can only be initiated by a dermatologist or haematologist</w:t>
            </w:r>
            <w:r w:rsidRPr="000C4B66">
              <w:rPr>
                <w:b/>
                <w:strike/>
              </w:rPr>
              <w:t>.</w:t>
            </w:r>
          </w:p>
        </w:tc>
        <w:tc>
          <w:tcPr>
            <w:tcW w:w="933" w:type="pct"/>
            <w:tcBorders>
              <w:left w:val="nil"/>
            </w:tcBorders>
          </w:tcPr>
          <w:p w14:paraId="5F77568A" w14:textId="77777777" w:rsidR="00D72E8F" w:rsidRPr="000C4B66" w:rsidRDefault="00D72E8F" w:rsidP="00950378">
            <w:pPr>
              <w:pStyle w:val="TableText0"/>
              <w:keepNext w:val="0"/>
              <w:keepLines/>
              <w:rPr>
                <w:b/>
                <w:strike/>
              </w:rPr>
            </w:pPr>
          </w:p>
        </w:tc>
      </w:tr>
      <w:tr w:rsidR="00D72E8F" w:rsidRPr="00EF4C2D" w14:paraId="4949B32B"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tcPr>
          <w:p w14:paraId="2D550832" w14:textId="77777777" w:rsidR="00D72E8F" w:rsidRPr="000C4B66" w:rsidRDefault="00D72E8F" w:rsidP="00950378">
            <w:pPr>
              <w:pStyle w:val="TableText0"/>
              <w:keepNext w:val="0"/>
              <w:keepLines/>
              <w:rPr>
                <w:b/>
                <w:strike/>
              </w:rPr>
            </w:pPr>
            <w:r w:rsidRPr="000C4B66">
              <w:rPr>
                <w:b/>
                <w:strike/>
              </w:rPr>
              <w:t>Continuing treatment criteria</w:t>
            </w:r>
          </w:p>
        </w:tc>
        <w:tc>
          <w:tcPr>
            <w:tcW w:w="933" w:type="pct"/>
            <w:tcBorders>
              <w:left w:val="nil"/>
            </w:tcBorders>
          </w:tcPr>
          <w:p w14:paraId="32282615" w14:textId="77777777" w:rsidR="00D72E8F" w:rsidRPr="000C4B66" w:rsidRDefault="00D72E8F" w:rsidP="00950378">
            <w:pPr>
              <w:pStyle w:val="TableText0"/>
              <w:keepNext w:val="0"/>
              <w:keepLines/>
              <w:rPr>
                <w:b/>
                <w:strike/>
              </w:rPr>
            </w:pPr>
          </w:p>
        </w:tc>
      </w:tr>
      <w:tr w:rsidR="00D72E8F" w:rsidRPr="00EF4C2D" w14:paraId="616A07C5"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tcPr>
          <w:p w14:paraId="2B6B53A9" w14:textId="77777777" w:rsidR="00D72E8F" w:rsidRPr="000C4B66" w:rsidRDefault="00D72E8F" w:rsidP="00950378">
            <w:pPr>
              <w:pStyle w:val="TableText0"/>
              <w:keepNext w:val="0"/>
              <w:keepLines/>
              <w:rPr>
                <w:strike/>
              </w:rPr>
            </w:pPr>
            <w:r w:rsidRPr="000C4B66">
              <w:rPr>
                <w:b/>
                <w:strike/>
              </w:rPr>
              <w:t xml:space="preserve">Category / Program: </w:t>
            </w:r>
            <w:r w:rsidRPr="000C4B66">
              <w:rPr>
                <w:strike/>
              </w:rPr>
              <w:t>General Schedule (Code GE)</w:t>
            </w:r>
          </w:p>
        </w:tc>
        <w:tc>
          <w:tcPr>
            <w:tcW w:w="933" w:type="pct"/>
            <w:tcBorders>
              <w:left w:val="nil"/>
            </w:tcBorders>
          </w:tcPr>
          <w:p w14:paraId="4F754878" w14:textId="77777777" w:rsidR="00D72E8F" w:rsidRPr="000C4B66" w:rsidRDefault="00D72E8F" w:rsidP="00950378">
            <w:pPr>
              <w:pStyle w:val="TableText0"/>
              <w:keepNext w:val="0"/>
              <w:keepLines/>
              <w:rPr>
                <w:b/>
                <w:strike/>
              </w:rPr>
            </w:pPr>
          </w:p>
        </w:tc>
      </w:tr>
      <w:tr w:rsidR="00D72E8F" w:rsidRPr="00EF4C2D" w14:paraId="68DE22BF"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tcPr>
          <w:p w14:paraId="3BB90B26" w14:textId="77777777" w:rsidR="00D72E8F" w:rsidRPr="000C4B66" w:rsidRDefault="00D72E8F" w:rsidP="00950378">
            <w:pPr>
              <w:pStyle w:val="TableText0"/>
              <w:keepNext w:val="0"/>
              <w:keepLines/>
              <w:rPr>
                <w:b/>
                <w:strike/>
              </w:rPr>
            </w:pPr>
            <w:r w:rsidRPr="000C4B66">
              <w:rPr>
                <w:b/>
                <w:strike/>
              </w:rPr>
              <w:t xml:space="preserve">Prescriber type: </w:t>
            </w:r>
            <w:r w:rsidRPr="000C4B66">
              <w:rPr>
                <w:strike/>
              </w:rPr>
              <w:fldChar w:fldCharType="begin">
                <w:ffData>
                  <w:name w:val=""/>
                  <w:enabled/>
                  <w:calcOnExit w:val="0"/>
                  <w:checkBox>
                    <w:sizeAuto/>
                    <w:default w:val="1"/>
                  </w:checkBox>
                </w:ffData>
              </w:fldChar>
            </w:r>
            <w:r w:rsidRPr="000C4B66">
              <w:rPr>
                <w:strike/>
              </w:rPr>
              <w:instrText xml:space="preserve"> FORMCHECKBOX </w:instrText>
            </w:r>
            <w:r w:rsidR="00FD5578">
              <w:rPr>
                <w:strike/>
              </w:rPr>
            </w:r>
            <w:r w:rsidR="00FD5578">
              <w:rPr>
                <w:strike/>
              </w:rPr>
              <w:fldChar w:fldCharType="separate"/>
            </w:r>
            <w:r w:rsidRPr="000C4B66">
              <w:rPr>
                <w:strike/>
              </w:rPr>
              <w:fldChar w:fldCharType="end"/>
            </w:r>
            <w:r w:rsidRPr="000C4B66">
              <w:rPr>
                <w:strike/>
              </w:rPr>
              <w:t>Medical Practitioners</w:t>
            </w:r>
          </w:p>
        </w:tc>
        <w:tc>
          <w:tcPr>
            <w:tcW w:w="933" w:type="pct"/>
            <w:tcBorders>
              <w:left w:val="nil"/>
            </w:tcBorders>
          </w:tcPr>
          <w:p w14:paraId="44ED90F0" w14:textId="77777777" w:rsidR="00D72E8F" w:rsidRPr="000C4B66" w:rsidRDefault="00D72E8F" w:rsidP="00950378">
            <w:pPr>
              <w:pStyle w:val="TableText0"/>
              <w:keepNext w:val="0"/>
              <w:keepLines/>
              <w:rPr>
                <w:b/>
                <w:strike/>
              </w:rPr>
            </w:pPr>
          </w:p>
        </w:tc>
      </w:tr>
      <w:tr w:rsidR="00D72E8F" w:rsidRPr="00EF4C2D" w14:paraId="44F18D67"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tcPr>
          <w:p w14:paraId="2CE7F83E" w14:textId="77777777" w:rsidR="00D72E8F" w:rsidRPr="000C4B66" w:rsidRDefault="00D72E8F" w:rsidP="00950378">
            <w:pPr>
              <w:pStyle w:val="TableText0"/>
              <w:keepNext w:val="0"/>
              <w:keepLines/>
              <w:rPr>
                <w:rFonts w:eastAsia="Times New Roman"/>
                <w:strike/>
              </w:rPr>
            </w:pPr>
            <w:r w:rsidRPr="000C4B66">
              <w:rPr>
                <w:b/>
                <w:strike/>
              </w:rPr>
              <w:t xml:space="preserve">Restriction type: </w:t>
            </w:r>
            <w:r w:rsidRPr="000C4B66">
              <w:rPr>
                <w:rFonts w:eastAsia="Times New Roman"/>
                <w:strike/>
              </w:rPr>
              <w:fldChar w:fldCharType="begin">
                <w:ffData>
                  <w:name w:val=""/>
                  <w:enabled/>
                  <w:calcOnExit w:val="0"/>
                  <w:checkBox>
                    <w:sizeAuto/>
                    <w:default w:val="1"/>
                  </w:checkBox>
                </w:ffData>
              </w:fldChar>
            </w:r>
            <w:r w:rsidRPr="000C4B66">
              <w:rPr>
                <w:rFonts w:eastAsia="Times New Roman"/>
                <w:strike/>
              </w:rPr>
              <w:instrText xml:space="preserve"> FORMCHECKBOX </w:instrText>
            </w:r>
            <w:r w:rsidR="00FD5578">
              <w:rPr>
                <w:rFonts w:eastAsia="Times New Roman"/>
                <w:strike/>
              </w:rPr>
            </w:r>
            <w:r w:rsidR="00FD5578">
              <w:rPr>
                <w:rFonts w:eastAsia="Times New Roman"/>
                <w:strike/>
              </w:rPr>
              <w:fldChar w:fldCharType="separate"/>
            </w:r>
            <w:r w:rsidRPr="000C4B66">
              <w:rPr>
                <w:rFonts w:eastAsia="Times New Roman"/>
                <w:strike/>
              </w:rPr>
              <w:fldChar w:fldCharType="end"/>
            </w:r>
            <w:r w:rsidRPr="000C4B66">
              <w:rPr>
                <w:rFonts w:eastAsia="Times New Roman"/>
                <w:strike/>
              </w:rPr>
              <w:t xml:space="preserve">Authority Required (STREAMLINED) </w:t>
            </w:r>
          </w:p>
        </w:tc>
        <w:tc>
          <w:tcPr>
            <w:tcW w:w="933" w:type="pct"/>
            <w:tcBorders>
              <w:left w:val="nil"/>
            </w:tcBorders>
          </w:tcPr>
          <w:p w14:paraId="5A2B29DB" w14:textId="77777777" w:rsidR="00D72E8F" w:rsidRPr="000C4B66" w:rsidRDefault="00D72E8F" w:rsidP="00950378">
            <w:pPr>
              <w:pStyle w:val="TableText0"/>
              <w:keepNext w:val="0"/>
              <w:keepLines/>
              <w:rPr>
                <w:b/>
                <w:strike/>
              </w:rPr>
            </w:pPr>
          </w:p>
        </w:tc>
      </w:tr>
      <w:tr w:rsidR="00D72E8F" w:rsidRPr="00EF4C2D" w14:paraId="2FDA357C"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vAlign w:val="center"/>
          </w:tcPr>
          <w:p w14:paraId="01CA6FE7" w14:textId="77777777" w:rsidR="00D72E8F" w:rsidRPr="000C4B66" w:rsidRDefault="00D72E8F" w:rsidP="00950378">
            <w:pPr>
              <w:pStyle w:val="TableText0"/>
              <w:keepNext w:val="0"/>
              <w:keepLines/>
              <w:rPr>
                <w:b/>
                <w:strike/>
              </w:rPr>
            </w:pPr>
            <w:r w:rsidRPr="000C4B66">
              <w:rPr>
                <w:b/>
                <w:strike/>
              </w:rPr>
              <w:t xml:space="preserve">Condition: </w:t>
            </w:r>
            <w:r w:rsidRPr="000C4B66">
              <w:rPr>
                <w:rFonts w:eastAsia="MS Gothic"/>
                <w:strike/>
                <w:color w:val="000000"/>
              </w:rPr>
              <w:t>Mycosis Fungoides-Cutaneous T-cell Lymphoma</w:t>
            </w:r>
          </w:p>
        </w:tc>
        <w:tc>
          <w:tcPr>
            <w:tcW w:w="933" w:type="pct"/>
            <w:tcBorders>
              <w:left w:val="nil"/>
            </w:tcBorders>
          </w:tcPr>
          <w:p w14:paraId="4E33AF55" w14:textId="77777777" w:rsidR="00D72E8F" w:rsidRPr="000C4B66" w:rsidRDefault="00D72E8F" w:rsidP="00950378">
            <w:pPr>
              <w:pStyle w:val="TableText0"/>
              <w:keepNext w:val="0"/>
              <w:keepLines/>
              <w:rPr>
                <w:b/>
                <w:strike/>
              </w:rPr>
            </w:pPr>
          </w:p>
        </w:tc>
      </w:tr>
      <w:tr w:rsidR="00D72E8F" w:rsidRPr="00EF4C2D" w14:paraId="7CEDF875"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vAlign w:val="center"/>
            <w:hideMark/>
          </w:tcPr>
          <w:p w14:paraId="6142AC36" w14:textId="77777777" w:rsidR="00D72E8F" w:rsidRPr="000C4B66" w:rsidRDefault="00D72E8F" w:rsidP="00950378">
            <w:pPr>
              <w:pStyle w:val="TableText0"/>
              <w:keepNext w:val="0"/>
              <w:keepLines/>
              <w:rPr>
                <w:strike/>
              </w:rPr>
            </w:pPr>
            <w:r w:rsidRPr="000C4B66">
              <w:rPr>
                <w:b/>
                <w:strike/>
              </w:rPr>
              <w:t>Indication:</w:t>
            </w:r>
            <w:r w:rsidRPr="000C4B66">
              <w:rPr>
                <w:strike/>
              </w:rPr>
              <w:t xml:space="preserve"> </w:t>
            </w:r>
            <w:r w:rsidRPr="000C4B66">
              <w:rPr>
                <w:rFonts w:eastAsia="MS Gothic"/>
                <w:strike/>
                <w:color w:val="000000"/>
              </w:rPr>
              <w:t>Mycosis Fungoides-Cutaneous T-cell Lymphoma</w:t>
            </w:r>
          </w:p>
        </w:tc>
        <w:tc>
          <w:tcPr>
            <w:tcW w:w="933" w:type="pct"/>
            <w:tcBorders>
              <w:left w:val="nil"/>
            </w:tcBorders>
          </w:tcPr>
          <w:p w14:paraId="55D58F79" w14:textId="77777777" w:rsidR="00D72E8F" w:rsidRPr="000C4B66" w:rsidRDefault="00D72E8F" w:rsidP="00950378">
            <w:pPr>
              <w:pStyle w:val="TableText0"/>
              <w:keepNext w:val="0"/>
              <w:keepLines/>
              <w:rPr>
                <w:b/>
                <w:strike/>
              </w:rPr>
            </w:pPr>
          </w:p>
        </w:tc>
      </w:tr>
      <w:tr w:rsidR="00D72E8F" w:rsidRPr="00EF4C2D" w14:paraId="34FD8F9D"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vAlign w:val="center"/>
            <w:hideMark/>
          </w:tcPr>
          <w:p w14:paraId="5061A919" w14:textId="77777777" w:rsidR="00D72E8F" w:rsidRPr="000C4B66" w:rsidRDefault="00D72E8F" w:rsidP="00950378">
            <w:pPr>
              <w:pStyle w:val="TableText0"/>
              <w:keepNext w:val="0"/>
              <w:keepLines/>
              <w:rPr>
                <w:strike/>
              </w:rPr>
            </w:pPr>
            <w:r w:rsidRPr="000C4B66">
              <w:rPr>
                <w:b/>
                <w:strike/>
              </w:rPr>
              <w:t>Treatment Phase:</w:t>
            </w:r>
            <w:r w:rsidRPr="000C4B66">
              <w:rPr>
                <w:strike/>
              </w:rPr>
              <w:t xml:space="preserve"> </w:t>
            </w:r>
            <w:r w:rsidRPr="000C4B66">
              <w:rPr>
                <w:rFonts w:eastAsia="MS Gothic"/>
                <w:strike/>
                <w:color w:val="000000"/>
              </w:rPr>
              <w:t>Stages IA, IIA, IB</w:t>
            </w:r>
          </w:p>
        </w:tc>
        <w:tc>
          <w:tcPr>
            <w:tcW w:w="933" w:type="pct"/>
            <w:tcBorders>
              <w:left w:val="nil"/>
            </w:tcBorders>
          </w:tcPr>
          <w:p w14:paraId="4DA10304" w14:textId="77777777" w:rsidR="00D72E8F" w:rsidRPr="000C4B66" w:rsidRDefault="00D72E8F" w:rsidP="00950378">
            <w:pPr>
              <w:pStyle w:val="TableText0"/>
              <w:keepNext w:val="0"/>
              <w:keepLines/>
              <w:rPr>
                <w:b/>
                <w:strike/>
              </w:rPr>
            </w:pPr>
          </w:p>
        </w:tc>
      </w:tr>
      <w:tr w:rsidR="00D72E8F" w:rsidRPr="00EF4C2D" w14:paraId="5D26C576"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vAlign w:val="center"/>
            <w:hideMark/>
          </w:tcPr>
          <w:p w14:paraId="7E7B47BB" w14:textId="77777777" w:rsidR="00D72E8F" w:rsidRPr="000C4B66" w:rsidRDefault="00D72E8F" w:rsidP="00950378">
            <w:pPr>
              <w:pStyle w:val="TableText0"/>
              <w:keepNext w:val="0"/>
              <w:keepLines/>
              <w:rPr>
                <w:strike/>
              </w:rPr>
            </w:pPr>
            <w:r w:rsidRPr="000C4B66">
              <w:rPr>
                <w:b/>
                <w:strike/>
              </w:rPr>
              <w:t>Clinical criteria:</w:t>
            </w:r>
            <w:r w:rsidRPr="000C4B66">
              <w:rPr>
                <w:strike/>
              </w:rPr>
              <w:t xml:space="preserve"> </w:t>
            </w:r>
          </w:p>
        </w:tc>
        <w:tc>
          <w:tcPr>
            <w:tcW w:w="933" w:type="pct"/>
            <w:tcBorders>
              <w:left w:val="nil"/>
            </w:tcBorders>
          </w:tcPr>
          <w:p w14:paraId="5A7BDEFF" w14:textId="77777777" w:rsidR="00D72E8F" w:rsidRPr="000C4B66" w:rsidRDefault="00D72E8F" w:rsidP="00950378">
            <w:pPr>
              <w:pStyle w:val="TableText0"/>
              <w:keepNext w:val="0"/>
              <w:keepLines/>
              <w:rPr>
                <w:b/>
                <w:strike/>
              </w:rPr>
            </w:pPr>
          </w:p>
        </w:tc>
      </w:tr>
      <w:tr w:rsidR="00D72E8F" w:rsidRPr="00EF4C2D" w14:paraId="18AAC48A"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vAlign w:val="center"/>
          </w:tcPr>
          <w:p w14:paraId="33721E21" w14:textId="77777777" w:rsidR="00D72E8F" w:rsidRPr="000C4B66" w:rsidRDefault="00D72E8F" w:rsidP="00950378">
            <w:pPr>
              <w:pStyle w:val="TableText0"/>
              <w:keepNext w:val="0"/>
              <w:keepLines/>
              <w:rPr>
                <w:b/>
                <w:strike/>
              </w:rPr>
            </w:pPr>
            <w:r w:rsidRPr="000C4B66">
              <w:rPr>
                <w:rFonts w:eastAsia="MS Gothic"/>
                <w:strike/>
                <w:color w:val="000000"/>
              </w:rPr>
              <w:t>Patient must have previously received PBS-subsidised treatment with this drug for this condition</w:t>
            </w:r>
          </w:p>
        </w:tc>
        <w:tc>
          <w:tcPr>
            <w:tcW w:w="933" w:type="pct"/>
            <w:tcBorders>
              <w:left w:val="nil"/>
            </w:tcBorders>
          </w:tcPr>
          <w:p w14:paraId="3BFA9ECC" w14:textId="77777777" w:rsidR="00D72E8F" w:rsidRPr="000C4B66" w:rsidRDefault="00D72E8F" w:rsidP="00950378">
            <w:pPr>
              <w:pStyle w:val="TableText0"/>
              <w:keepNext w:val="0"/>
              <w:keepLines/>
              <w:rPr>
                <w:rFonts w:eastAsia="MS Gothic"/>
                <w:strike/>
                <w:color w:val="000000"/>
              </w:rPr>
            </w:pPr>
          </w:p>
        </w:tc>
      </w:tr>
      <w:tr w:rsidR="00D72E8F" w:rsidRPr="00EF4C2D" w14:paraId="6676190D"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vAlign w:val="center"/>
          </w:tcPr>
          <w:p w14:paraId="6A42A019" w14:textId="77777777" w:rsidR="00D72E8F" w:rsidRPr="000C4B66" w:rsidRDefault="00D72E8F" w:rsidP="00950378">
            <w:pPr>
              <w:pStyle w:val="TableText0"/>
              <w:keepNext w:val="0"/>
              <w:keepLines/>
              <w:rPr>
                <w:strike/>
              </w:rPr>
            </w:pPr>
            <w:r w:rsidRPr="000C4B66">
              <w:rPr>
                <w:strike/>
              </w:rPr>
              <w:t>AND</w:t>
            </w:r>
          </w:p>
        </w:tc>
        <w:tc>
          <w:tcPr>
            <w:tcW w:w="933" w:type="pct"/>
            <w:tcBorders>
              <w:left w:val="nil"/>
            </w:tcBorders>
          </w:tcPr>
          <w:p w14:paraId="1904C13E" w14:textId="77777777" w:rsidR="00D72E8F" w:rsidRPr="000C4B66" w:rsidRDefault="00D72E8F" w:rsidP="00950378">
            <w:pPr>
              <w:pStyle w:val="TableText0"/>
              <w:keepNext w:val="0"/>
              <w:keepLines/>
              <w:rPr>
                <w:strike/>
              </w:rPr>
            </w:pPr>
          </w:p>
        </w:tc>
      </w:tr>
      <w:tr w:rsidR="00D72E8F" w:rsidRPr="00EF4C2D" w14:paraId="06D39D55"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vAlign w:val="center"/>
          </w:tcPr>
          <w:p w14:paraId="5BABE408" w14:textId="77777777" w:rsidR="00D72E8F" w:rsidRPr="000C4B66" w:rsidRDefault="00D72E8F" w:rsidP="00950378">
            <w:pPr>
              <w:pStyle w:val="TableText0"/>
              <w:keepNext w:val="0"/>
              <w:keepLines/>
              <w:rPr>
                <w:b/>
                <w:strike/>
              </w:rPr>
            </w:pPr>
            <w:r w:rsidRPr="000C4B66">
              <w:rPr>
                <w:rFonts w:eastAsia="MS Gothic"/>
                <w:strike/>
                <w:color w:val="000000"/>
              </w:rPr>
              <w:t>Patient must not have developed disease progression while receiving PBS-subsidised treatment with this drug for this condition</w:t>
            </w:r>
          </w:p>
        </w:tc>
        <w:tc>
          <w:tcPr>
            <w:tcW w:w="933" w:type="pct"/>
            <w:tcBorders>
              <w:left w:val="nil"/>
            </w:tcBorders>
          </w:tcPr>
          <w:p w14:paraId="6C57FEB7" w14:textId="77777777" w:rsidR="00D72E8F" w:rsidRPr="000C4B66" w:rsidRDefault="00D72E8F" w:rsidP="00950378">
            <w:pPr>
              <w:pStyle w:val="TableText0"/>
              <w:keepNext w:val="0"/>
              <w:keepLines/>
              <w:rPr>
                <w:rFonts w:eastAsia="MS Gothic"/>
                <w:strike/>
                <w:color w:val="000000"/>
              </w:rPr>
            </w:pPr>
          </w:p>
        </w:tc>
      </w:tr>
      <w:tr w:rsidR="00D72E8F" w:rsidRPr="00EF4C2D" w14:paraId="06BCFB2A"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vAlign w:val="center"/>
          </w:tcPr>
          <w:p w14:paraId="7F477A40" w14:textId="77777777" w:rsidR="00D72E8F" w:rsidRPr="000C4B66" w:rsidRDefault="00D72E8F" w:rsidP="00950378">
            <w:pPr>
              <w:pStyle w:val="TableText0"/>
              <w:keepNext w:val="0"/>
              <w:keepLines/>
              <w:rPr>
                <w:rFonts w:eastAsia="MS Gothic"/>
                <w:strike/>
                <w:color w:val="000000"/>
              </w:rPr>
            </w:pPr>
            <w:r w:rsidRPr="000C4B66">
              <w:rPr>
                <w:rFonts w:eastAsia="MS Gothic"/>
                <w:strike/>
                <w:color w:val="000000"/>
              </w:rPr>
              <w:t>AND</w:t>
            </w:r>
          </w:p>
        </w:tc>
        <w:tc>
          <w:tcPr>
            <w:tcW w:w="933" w:type="pct"/>
            <w:tcBorders>
              <w:left w:val="nil"/>
            </w:tcBorders>
          </w:tcPr>
          <w:p w14:paraId="7429E82D" w14:textId="77777777" w:rsidR="00D72E8F" w:rsidRPr="000C4B66" w:rsidRDefault="00D72E8F" w:rsidP="00950378">
            <w:pPr>
              <w:pStyle w:val="TableText0"/>
              <w:keepNext w:val="0"/>
              <w:keepLines/>
              <w:rPr>
                <w:rFonts w:eastAsia="MS Gothic"/>
                <w:strike/>
                <w:color w:val="000000"/>
              </w:rPr>
            </w:pPr>
          </w:p>
        </w:tc>
      </w:tr>
      <w:tr w:rsidR="00D72E8F" w:rsidRPr="00EF4C2D" w14:paraId="202A4F6D"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vAlign w:val="center"/>
          </w:tcPr>
          <w:p w14:paraId="1AFC34A1" w14:textId="77777777" w:rsidR="00D72E8F" w:rsidRPr="000C4B66" w:rsidRDefault="00D72E8F" w:rsidP="00950378">
            <w:pPr>
              <w:pStyle w:val="TableText0"/>
              <w:keepNext w:val="0"/>
              <w:keepLines/>
              <w:rPr>
                <w:rFonts w:eastAsia="MS Gothic"/>
                <w:strike/>
                <w:color w:val="000000"/>
              </w:rPr>
            </w:pPr>
            <w:r w:rsidRPr="000C4B66">
              <w:rPr>
                <w:rFonts w:eastAsia="MS Gothic"/>
                <w:strike/>
                <w:color w:val="000000"/>
              </w:rPr>
              <w:t>Patients with no more than 25% of their body surface area affected</w:t>
            </w:r>
          </w:p>
        </w:tc>
        <w:tc>
          <w:tcPr>
            <w:tcW w:w="933" w:type="pct"/>
            <w:tcBorders>
              <w:left w:val="nil"/>
            </w:tcBorders>
          </w:tcPr>
          <w:p w14:paraId="587BCB12" w14:textId="77777777" w:rsidR="00D72E8F" w:rsidRPr="000C4B66" w:rsidRDefault="00D72E8F" w:rsidP="00950378">
            <w:pPr>
              <w:pStyle w:val="TableText0"/>
              <w:keepNext w:val="0"/>
              <w:keepLines/>
              <w:rPr>
                <w:rFonts w:eastAsia="MS Gothic"/>
                <w:strike/>
                <w:color w:val="000000"/>
              </w:rPr>
            </w:pPr>
          </w:p>
        </w:tc>
      </w:tr>
      <w:tr w:rsidR="00D72E8F" w:rsidRPr="00EF4C2D" w14:paraId="60F06771" w14:textId="77777777" w:rsidTr="00756099">
        <w:tblPrEx>
          <w:tblCellMar>
            <w:top w:w="15" w:type="dxa"/>
            <w:bottom w:w="15" w:type="dxa"/>
          </w:tblCellMar>
          <w:tblLook w:val="04A0" w:firstRow="1" w:lastRow="0" w:firstColumn="1" w:lastColumn="0" w:noHBand="0" w:noVBand="1"/>
        </w:tblPrEx>
        <w:trPr>
          <w:cantSplit/>
          <w:trHeight w:val="20"/>
        </w:trPr>
        <w:tc>
          <w:tcPr>
            <w:tcW w:w="4067" w:type="pct"/>
            <w:gridSpan w:val="5"/>
            <w:tcBorders>
              <w:right w:val="nil"/>
            </w:tcBorders>
            <w:vAlign w:val="center"/>
            <w:hideMark/>
          </w:tcPr>
          <w:p w14:paraId="1235D2EE" w14:textId="77777777" w:rsidR="00D72E8F" w:rsidRPr="000C4B66" w:rsidRDefault="00D72E8F" w:rsidP="00950378">
            <w:pPr>
              <w:pStyle w:val="TableText0"/>
              <w:keepNext w:val="0"/>
              <w:keepLines/>
              <w:rPr>
                <w:strike/>
              </w:rPr>
            </w:pPr>
            <w:r w:rsidRPr="000C4B66">
              <w:rPr>
                <w:b/>
                <w:strike/>
              </w:rPr>
              <w:t xml:space="preserve">Population criteria: </w:t>
            </w:r>
            <w:r w:rsidRPr="000C4B66">
              <w:rPr>
                <w:rFonts w:eastAsia="MS Gothic"/>
                <w:strike/>
                <w:color w:val="000000"/>
              </w:rPr>
              <w:t>Patients ≥ 18 years</w:t>
            </w:r>
          </w:p>
        </w:tc>
        <w:tc>
          <w:tcPr>
            <w:tcW w:w="933" w:type="pct"/>
            <w:tcBorders>
              <w:left w:val="nil"/>
            </w:tcBorders>
          </w:tcPr>
          <w:p w14:paraId="35E9AF21" w14:textId="77777777" w:rsidR="00D72E8F" w:rsidRPr="000C4B66" w:rsidRDefault="00D72E8F" w:rsidP="00950378">
            <w:pPr>
              <w:pStyle w:val="TableText0"/>
              <w:keepNext w:val="0"/>
              <w:keepLines/>
              <w:rPr>
                <w:b/>
                <w:strike/>
              </w:rPr>
            </w:pPr>
          </w:p>
        </w:tc>
      </w:tr>
    </w:tbl>
    <w:p w14:paraId="11051286" w14:textId="77777777" w:rsidR="00D72E8F" w:rsidRDefault="00D72E8F" w:rsidP="00D8137E">
      <w:pPr>
        <w:pStyle w:val="Caption"/>
      </w:pPr>
    </w:p>
    <w:p w14:paraId="4103AD2F" w14:textId="04C18EF7" w:rsidR="004C77DE" w:rsidRDefault="004C77DE" w:rsidP="00D8137E">
      <w:pPr>
        <w:pStyle w:val="3-BodyText"/>
        <w:ind w:left="709" w:hanging="709"/>
        <w:rPr>
          <w:iCs/>
        </w:rPr>
      </w:pPr>
      <w:r>
        <w:rPr>
          <w:iCs/>
        </w:rPr>
        <w:t xml:space="preserve">The pre-PBAC response offered a </w:t>
      </w:r>
      <w:r w:rsidR="001247F0" w:rsidRPr="007F1B4F">
        <w:rPr>
          <w:iCs/>
          <w:color w:val="000000"/>
          <w:spacing w:val="18"/>
          <w:w w:val="39"/>
          <w:shd w:val="solid" w:color="000000" w:fill="000000"/>
          <w:fitText w:val="796" w:id="-1236603900"/>
          <w14:textFill>
            <w14:solidFill>
              <w14:srgbClr w14:val="000000">
                <w14:alpha w14:val="100000"/>
              </w14:srgbClr>
            </w14:solidFill>
          </w14:textFill>
        </w:rPr>
        <w:t>||||||  |||||</w:t>
      </w:r>
      <w:r w:rsidR="001247F0" w:rsidRPr="007F1B4F">
        <w:rPr>
          <w:iCs/>
          <w:color w:val="000000"/>
          <w:spacing w:val="3"/>
          <w:w w:val="39"/>
          <w:shd w:val="solid" w:color="000000" w:fill="000000"/>
          <w:fitText w:val="796" w:id="-1236603900"/>
          <w14:textFill>
            <w14:solidFill>
              <w14:srgbClr w14:val="000000">
                <w14:alpha w14:val="100000"/>
              </w14:srgbClr>
            </w14:solidFill>
          </w14:textFill>
        </w:rPr>
        <w:t>|</w:t>
      </w:r>
      <w:r>
        <w:rPr>
          <w:iCs/>
        </w:rPr>
        <w:t>% price reduction reducing the proposed ex-manufacturer price (EMP) from $</w:t>
      </w:r>
      <w:r w:rsidR="001247F0" w:rsidRPr="007F1B4F">
        <w:rPr>
          <w:iCs/>
          <w:color w:val="000000"/>
          <w:spacing w:val="10"/>
          <w:w w:val="20"/>
          <w:shd w:val="solid" w:color="000000" w:fill="000000"/>
          <w:fitText w:val="96" w:id="-1236603899"/>
          <w14:textFill>
            <w14:solidFill>
              <w14:srgbClr w14:val="000000">
                <w14:alpha w14:val="100000"/>
              </w14:srgbClr>
            </w14:solidFill>
          </w14:textFill>
        </w:rPr>
        <w:t xml:space="preserve">|  </w:t>
      </w:r>
      <w:r w:rsidR="001247F0" w:rsidRPr="007F1B4F">
        <w:rPr>
          <w:iCs/>
          <w:color w:val="000000"/>
          <w:spacing w:val="1"/>
          <w:w w:val="20"/>
          <w:shd w:val="solid" w:color="000000" w:fill="000000"/>
          <w:fitText w:val="96" w:id="-1236603899"/>
          <w14:textFill>
            <w14:solidFill>
              <w14:srgbClr w14:val="000000">
                <w14:alpha w14:val="100000"/>
              </w14:srgbClr>
            </w14:solidFill>
          </w14:textFill>
        </w:rPr>
        <w:t>|</w:t>
      </w:r>
      <w:r>
        <w:rPr>
          <w:iCs/>
        </w:rPr>
        <w:t xml:space="preserve"> per tube to $</w:t>
      </w:r>
      <w:r w:rsidR="001247F0" w:rsidRPr="007F1B4F">
        <w:rPr>
          <w:iCs/>
          <w:color w:val="000000"/>
          <w:spacing w:val="10"/>
          <w:w w:val="20"/>
          <w:shd w:val="solid" w:color="000000" w:fill="000000"/>
          <w:fitText w:val="96" w:id="-1236603898"/>
          <w14:textFill>
            <w14:solidFill>
              <w14:srgbClr w14:val="000000">
                <w14:alpha w14:val="100000"/>
              </w14:srgbClr>
            </w14:solidFill>
          </w14:textFill>
        </w:rPr>
        <w:t xml:space="preserve">|  </w:t>
      </w:r>
      <w:r w:rsidR="001247F0" w:rsidRPr="007F1B4F">
        <w:rPr>
          <w:iCs/>
          <w:color w:val="000000"/>
          <w:spacing w:val="1"/>
          <w:w w:val="20"/>
          <w:shd w:val="solid" w:color="000000" w:fill="000000"/>
          <w:fitText w:val="96" w:id="-1236603898"/>
          <w14:textFill>
            <w14:solidFill>
              <w14:srgbClr w14:val="000000">
                <w14:alpha w14:val="100000"/>
              </w14:srgbClr>
            </w14:solidFill>
          </w14:textFill>
        </w:rPr>
        <w:t>|</w:t>
      </w:r>
      <w:r>
        <w:rPr>
          <w:iCs/>
        </w:rPr>
        <w:t xml:space="preserve"> per tube. </w:t>
      </w:r>
    </w:p>
    <w:p w14:paraId="1FEB307F" w14:textId="2D26D28C" w:rsidR="00D8137E" w:rsidRPr="00630E6E" w:rsidRDefault="00D8137E" w:rsidP="00D8137E">
      <w:pPr>
        <w:pStyle w:val="3-BodyText"/>
        <w:ind w:left="709" w:hanging="709"/>
        <w:rPr>
          <w:iCs/>
        </w:rPr>
      </w:pPr>
      <w:r w:rsidRPr="00EF4C2D">
        <w:rPr>
          <w:iCs/>
        </w:rPr>
        <w:t xml:space="preserve">Each chlormethine gel tube contains </w:t>
      </w:r>
      <w:r w:rsidR="00603003" w:rsidRPr="00EF4C2D">
        <w:rPr>
          <w:iCs/>
        </w:rPr>
        <w:t>60</w:t>
      </w:r>
      <w:r w:rsidR="00603003">
        <w:rPr>
          <w:iCs/>
        </w:rPr>
        <w:t> </w:t>
      </w:r>
      <w:r w:rsidRPr="00EF4C2D">
        <w:rPr>
          <w:iCs/>
        </w:rPr>
        <w:t>g of gel. The submission specified separate restrictions for patients with disease that affected no more than 10% or no more than 25% BSA, to facilitate the greater quantity required to treat larger BSA involvement.</w:t>
      </w:r>
      <w:r w:rsidRPr="00EF4C2D">
        <w:rPr>
          <w:i/>
        </w:rPr>
        <w:t xml:space="preserve"> </w:t>
      </w:r>
      <w:r w:rsidRPr="00630E6E">
        <w:rPr>
          <w:iCs/>
        </w:rPr>
        <w:t xml:space="preserve">This may be more efficiently managed through an amendment of the maximum quantity (and associated DPMQ) for the listing rather than proposing separate listings based on BSA. </w:t>
      </w:r>
      <w:r w:rsidR="00060E81">
        <w:rPr>
          <w:iCs/>
        </w:rPr>
        <w:t xml:space="preserve">The pre-PBAC response stated that the sponsor was amenable to the restriction wording proposed by the Secretariat (see paragraph </w:t>
      </w:r>
      <w:r w:rsidR="00060E81">
        <w:rPr>
          <w:iCs/>
        </w:rPr>
        <w:fldChar w:fldCharType="begin"/>
      </w:r>
      <w:r w:rsidR="00060E81">
        <w:rPr>
          <w:iCs/>
        </w:rPr>
        <w:instrText xml:space="preserve"> REF _Ref131421391 \r \h </w:instrText>
      </w:r>
      <w:r w:rsidR="00060E81">
        <w:rPr>
          <w:iCs/>
        </w:rPr>
      </w:r>
      <w:r w:rsidR="00060E81">
        <w:rPr>
          <w:iCs/>
        </w:rPr>
        <w:fldChar w:fldCharType="separate"/>
      </w:r>
      <w:r w:rsidR="00FD5578">
        <w:rPr>
          <w:iCs/>
        </w:rPr>
        <w:t>3.1</w:t>
      </w:r>
      <w:r w:rsidR="00060E81">
        <w:rPr>
          <w:iCs/>
        </w:rPr>
        <w:fldChar w:fldCharType="end"/>
      </w:r>
      <w:r w:rsidR="00060E81">
        <w:rPr>
          <w:iCs/>
        </w:rPr>
        <w:t xml:space="preserve">). </w:t>
      </w:r>
    </w:p>
    <w:p w14:paraId="1CB03641" w14:textId="0F7760AB" w:rsidR="00D8137E" w:rsidRPr="00630E6E" w:rsidRDefault="00D8137E" w:rsidP="00D8137E">
      <w:pPr>
        <w:pStyle w:val="3-BodyText"/>
        <w:ind w:left="709" w:hanging="709"/>
        <w:rPr>
          <w:iCs/>
        </w:rPr>
      </w:pPr>
      <w:bookmarkStart w:id="20" w:name="_Ref131491894"/>
      <w:r w:rsidRPr="00630E6E">
        <w:rPr>
          <w:iCs/>
        </w:rPr>
        <w:t>The maximum quantities of chlormethine gel are based on BSA involvement and are intended to provide enough repeats for a 6-month treatment course. Based on the average daily use of chlormethine gel reported in the key trial (Study 201), Stage IA patients required 1.77</w:t>
      </w:r>
      <w:r w:rsidR="00603003">
        <w:rPr>
          <w:iCs/>
        </w:rPr>
        <w:t> </w:t>
      </w:r>
      <w:r w:rsidRPr="00630E6E">
        <w:rPr>
          <w:iCs/>
        </w:rPr>
        <w:t>g/day and Stage IB/IIA required 4.28</w:t>
      </w:r>
      <w:r w:rsidR="00603003">
        <w:rPr>
          <w:iCs/>
        </w:rPr>
        <w:t> </w:t>
      </w:r>
      <w:r w:rsidRPr="00630E6E">
        <w:rPr>
          <w:iCs/>
        </w:rPr>
        <w:t>g/day. As such, most patients with Stage IB/IIA disease would require over 2 tubes per month, which exceeds the proposed maximum quantity for patients with 10% to 25% BSA involvement.</w:t>
      </w:r>
      <w:bookmarkEnd w:id="20"/>
      <w:r w:rsidRPr="00630E6E">
        <w:rPr>
          <w:iCs/>
        </w:rPr>
        <w:t xml:space="preserve"> </w:t>
      </w:r>
    </w:p>
    <w:p w14:paraId="2F1E2558" w14:textId="2C48FC79" w:rsidR="00D8137E" w:rsidRPr="00DF296F" w:rsidRDefault="00D8137E" w:rsidP="00D8137E">
      <w:pPr>
        <w:pStyle w:val="3-BodyText"/>
        <w:ind w:left="709" w:hanging="709"/>
        <w:rPr>
          <w:iCs/>
        </w:rPr>
      </w:pPr>
      <w:r w:rsidRPr="00630E6E">
        <w:rPr>
          <w:iCs/>
        </w:rPr>
        <w:t>The proposed criteria restrict use to patients with ≤25% BSA affected. Study 201 included 15% of patients with BSA affected &gt;25% (with the maximum being 77% affected in one patient). The results were not reported by BSA affected. It is unclear if restricting access to patients ≤25% BSA affected would deny access to PBS subsidised therapy to patients who might otherwise benefit. A recent Australian clinical practice statement noted that, “[chlormethine gel] is generally only useful for patients with small BSA involvement because of the potential for systemic absorption.”</w:t>
      </w:r>
      <w:r w:rsidRPr="00630E6E">
        <w:rPr>
          <w:rStyle w:val="FootnoteReference"/>
          <w:iCs/>
        </w:rPr>
        <w:footnoteReference w:id="1"/>
      </w:r>
      <w:r w:rsidR="00F16366">
        <w:rPr>
          <w:iCs/>
        </w:rPr>
        <w:t xml:space="preserve"> </w:t>
      </w:r>
      <w:r w:rsidR="00F16366" w:rsidRPr="00DF296F">
        <w:rPr>
          <w:iCs/>
        </w:rPr>
        <w:t xml:space="preserve">The ESC noted the </w:t>
      </w:r>
      <w:r w:rsidR="00603003">
        <w:rPr>
          <w:iCs/>
        </w:rPr>
        <w:t>Pre-Sub-Committee Response (</w:t>
      </w:r>
      <w:r w:rsidR="00F16366" w:rsidRPr="00DF296F">
        <w:rPr>
          <w:iCs/>
        </w:rPr>
        <w:t>PSCR</w:t>
      </w:r>
      <w:r w:rsidR="00603003">
        <w:rPr>
          <w:iCs/>
        </w:rPr>
        <w:t>)</w:t>
      </w:r>
      <w:r w:rsidR="00F16366" w:rsidRPr="00DF296F">
        <w:rPr>
          <w:iCs/>
        </w:rPr>
        <w:t xml:space="preserve"> provided a revised economic model that excluded patients with a BSA &gt;25%. The ESC advised that use in patients with &gt;10% and &lt;25% affected BSA was likely the most appropriate subgroup to benefit from treatment. </w:t>
      </w:r>
      <w:r w:rsidR="003A3671" w:rsidRPr="00DF296F">
        <w:rPr>
          <w:iCs/>
        </w:rPr>
        <w:t xml:space="preserve">However, the ESC considered the </w:t>
      </w:r>
      <w:r w:rsidR="00CC3BC2" w:rsidRPr="00DF296F">
        <w:rPr>
          <w:iCs/>
        </w:rPr>
        <w:t xml:space="preserve">overarching </w:t>
      </w:r>
      <w:r w:rsidR="003A3671" w:rsidRPr="00DF296F">
        <w:rPr>
          <w:iCs/>
        </w:rPr>
        <w:t xml:space="preserve">concerns raised regarding the reliability of the economic model also applied to the revised version provided with the PSCR (see paragraph </w:t>
      </w:r>
      <w:r w:rsidR="00E964F2" w:rsidRPr="00DF296F">
        <w:rPr>
          <w:iCs/>
        </w:rPr>
        <w:fldChar w:fldCharType="begin"/>
      </w:r>
      <w:r w:rsidR="00E964F2" w:rsidRPr="00DF296F">
        <w:rPr>
          <w:iCs/>
        </w:rPr>
        <w:instrText xml:space="preserve"> REF _Ref127389238 \r \h </w:instrText>
      </w:r>
      <w:r w:rsidR="00DF296F">
        <w:rPr>
          <w:iCs/>
        </w:rPr>
        <w:instrText xml:space="preserve"> \* MERGEFORMAT </w:instrText>
      </w:r>
      <w:r w:rsidR="00E964F2" w:rsidRPr="00DF296F">
        <w:rPr>
          <w:iCs/>
        </w:rPr>
      </w:r>
      <w:r w:rsidR="00E964F2" w:rsidRPr="00DF296F">
        <w:rPr>
          <w:iCs/>
        </w:rPr>
        <w:fldChar w:fldCharType="separate"/>
      </w:r>
      <w:r w:rsidR="00FD5578">
        <w:rPr>
          <w:iCs/>
        </w:rPr>
        <w:t>6.33</w:t>
      </w:r>
      <w:r w:rsidR="00E964F2" w:rsidRPr="00DF296F">
        <w:rPr>
          <w:iCs/>
        </w:rPr>
        <w:fldChar w:fldCharType="end"/>
      </w:r>
      <w:r w:rsidR="003A3671" w:rsidRPr="00DF296F">
        <w:rPr>
          <w:iCs/>
        </w:rPr>
        <w:t>).</w:t>
      </w:r>
    </w:p>
    <w:p w14:paraId="2C1AC93C" w14:textId="73995A4B" w:rsidR="000C241B" w:rsidRDefault="000C241B" w:rsidP="00D8137E">
      <w:pPr>
        <w:pStyle w:val="3-BodyText"/>
        <w:ind w:left="709" w:hanging="709"/>
        <w:rPr>
          <w:iCs/>
        </w:rPr>
      </w:pPr>
      <w:r w:rsidRPr="00DF296F">
        <w:rPr>
          <w:iCs/>
        </w:rPr>
        <w:t>The ESC noted that there is no restriction on use with other therapies (e.g. steroids or phototherapy) included in the proposed listing. The ESC noted that during Study 201 the use of other therapies to treat MF-CTCL were prohibited</w:t>
      </w:r>
      <w:r w:rsidR="00F16366" w:rsidRPr="00DF296F">
        <w:rPr>
          <w:iCs/>
        </w:rPr>
        <w:t xml:space="preserve">. </w:t>
      </w:r>
    </w:p>
    <w:p w14:paraId="5D29E5DB" w14:textId="0E45F245" w:rsidR="00DF296F" w:rsidRPr="00DF296F" w:rsidRDefault="00DF296F" w:rsidP="00DF296F">
      <w:pPr>
        <w:pStyle w:val="3-BodyText"/>
        <w:numPr>
          <w:ilvl w:val="0"/>
          <w:numId w:val="0"/>
        </w:numPr>
        <w:ind w:left="709"/>
        <w:rPr>
          <w:i/>
        </w:rPr>
      </w:pPr>
      <w:r w:rsidRPr="00DF296F">
        <w:rPr>
          <w:i/>
        </w:rPr>
        <w:t>For more detail on PBAC’s view, see section 7 PBAC outcome.</w:t>
      </w:r>
    </w:p>
    <w:p w14:paraId="2A6C3A76" w14:textId="77777777" w:rsidR="00D8137E" w:rsidRPr="00EF4C2D" w:rsidDel="00195452" w:rsidRDefault="00D8137E" w:rsidP="00D8137E">
      <w:pPr>
        <w:pStyle w:val="2-SectionHeading"/>
      </w:pPr>
      <w:bookmarkStart w:id="21" w:name="_Toc107927623"/>
      <w:bookmarkStart w:id="22" w:name="_Toc121755816"/>
      <w:r w:rsidRPr="00EF4C2D" w:rsidDel="00195452">
        <w:t>Population and disease</w:t>
      </w:r>
      <w:bookmarkEnd w:id="21"/>
      <w:bookmarkEnd w:id="22"/>
    </w:p>
    <w:p w14:paraId="150B8B46" w14:textId="77596F69" w:rsidR="00D8137E" w:rsidRPr="00EF4C2D" w:rsidRDefault="00D8137E" w:rsidP="00D8137E">
      <w:pPr>
        <w:pStyle w:val="3-BodyText"/>
        <w:ind w:left="709" w:hanging="709"/>
        <w:rPr>
          <w:color w:val="0066FF"/>
        </w:rPr>
      </w:pPr>
      <w:r w:rsidRPr="00EF4C2D">
        <w:t>Primary cutaneous lymphomas are an heterogenous group of T-cell and B-cell lymphomas. CTCLs account for approximately 80% of all cutaneous lymphomas. MF-CTCL is the most common form of CTCL; it primarily develops in the skin (as patches/plaques), with limited (if any) lymph node involvement and no visceral involvement. These patches and plaques can be painful and itchy and may progress to node-positive and visceral disease over time.</w:t>
      </w:r>
      <w:r w:rsidRPr="00EF4C2D" w:rsidDel="00195452">
        <w:rPr>
          <w:color w:val="0066FF"/>
        </w:rPr>
        <w:t xml:space="preserve"> </w:t>
      </w:r>
      <w:r w:rsidR="00236C73" w:rsidRPr="00F27374">
        <w:t>There are three clinically significant variants of MF-CTCL: folliculotropic, pagetoid reticulosis and granulomatous slack skin. These variants have distinct clinicopathological features</w:t>
      </w:r>
      <w:r w:rsidR="00BD1043" w:rsidRPr="00F27374">
        <w:t xml:space="preserve"> and prognoses</w:t>
      </w:r>
      <w:r w:rsidR="00236C73" w:rsidRPr="00F27374">
        <w:t>, and the submission considered them separate to MF-CTCL.</w:t>
      </w:r>
      <w:r w:rsidR="00637C05">
        <w:t xml:space="preserve"> </w:t>
      </w:r>
      <w:r w:rsidR="006723D8" w:rsidRPr="00630E6E">
        <w:t>This is reasonable, however t</w:t>
      </w:r>
      <w:r w:rsidR="00637C05" w:rsidRPr="00630E6E">
        <w:t>he proposed PBS restriction does not differentiate between these MF-CTCL variants.</w:t>
      </w:r>
    </w:p>
    <w:p w14:paraId="76EABE10" w14:textId="541B09F0" w:rsidR="00D8137E" w:rsidRPr="00EF4C2D" w:rsidRDefault="00D8137E" w:rsidP="00D8137E">
      <w:pPr>
        <w:pStyle w:val="3-BodyText"/>
        <w:ind w:left="709" w:hanging="709"/>
        <w:rPr>
          <w:color w:val="0066FF"/>
        </w:rPr>
      </w:pPr>
      <w:r w:rsidRPr="00EF4C2D">
        <w:t xml:space="preserve">MF-CTCL has been </w:t>
      </w:r>
      <w:r w:rsidR="00895467">
        <w:t>designated an orphan disease</w:t>
      </w:r>
      <w:r w:rsidRPr="00EF4C2D">
        <w:t xml:space="preserve"> (rare disease; affects less than five in 10,000 persons) in Australia. The submission stated the estimated incidence in the population was between 0.12 and 0.69 per 100,000 </w:t>
      </w:r>
      <w:r w:rsidR="00EB7AED">
        <w:t xml:space="preserve">adult </w:t>
      </w:r>
      <w:r w:rsidRPr="00EF4C2D">
        <w:t>population. The incidence of MF-CTCL is higher in males than females and increases with age, peaking in patients aged 50-70 years.</w:t>
      </w:r>
      <w:r w:rsidRPr="00EF4C2D" w:rsidDel="00195452">
        <w:rPr>
          <w:color w:val="0066FF"/>
        </w:rPr>
        <w:t xml:space="preserve"> </w:t>
      </w:r>
      <w:bookmarkStart w:id="23" w:name="_Toc107927624"/>
    </w:p>
    <w:p w14:paraId="268A7083" w14:textId="77777777" w:rsidR="00D8137E" w:rsidRPr="00EF4C2D" w:rsidRDefault="00D8137E" w:rsidP="00D8137E">
      <w:pPr>
        <w:pStyle w:val="3-BodyText"/>
        <w:ind w:left="709" w:hanging="709"/>
        <w:rPr>
          <w:color w:val="0066FF"/>
        </w:rPr>
      </w:pPr>
      <w:r w:rsidRPr="00EF4C2D">
        <w:rPr>
          <w:rFonts w:eastAsiaTheme="majorEastAsia"/>
        </w:rPr>
        <w:t>Monitoring of MF-CTCL involves the assessment of skin symptoms. The submission referred to two measures for assessment of MF-CTCL severity:</w:t>
      </w:r>
    </w:p>
    <w:p w14:paraId="280B1F71" w14:textId="77777777" w:rsidR="00D8137E" w:rsidRPr="00EF4C2D" w:rsidRDefault="00D8137E" w:rsidP="00610DFE">
      <w:pPr>
        <w:pStyle w:val="3-BodyText"/>
        <w:numPr>
          <w:ilvl w:val="0"/>
          <w:numId w:val="8"/>
        </w:numPr>
        <w:ind w:left="1080"/>
      </w:pPr>
      <w:r w:rsidRPr="00EF4C2D">
        <w:rPr>
          <w:rFonts w:eastAsiaTheme="majorEastAsia"/>
        </w:rPr>
        <w:t xml:space="preserve">The </w:t>
      </w:r>
      <w:bookmarkStart w:id="24" w:name="_Hlk122423894"/>
      <w:r w:rsidRPr="00EF4C2D">
        <w:rPr>
          <w:rFonts w:eastAsiaTheme="majorEastAsia"/>
        </w:rPr>
        <w:t xml:space="preserve">Composite Assessment of Index Lesion Severity </w:t>
      </w:r>
      <w:bookmarkEnd w:id="24"/>
      <w:r w:rsidRPr="00EF4C2D">
        <w:rPr>
          <w:rFonts w:eastAsiaTheme="majorEastAsia"/>
        </w:rPr>
        <w:t xml:space="preserve">(CAILS) index which is based on assessment of 5 index lesions, which are monitored for four clinical features of response (erythema, scaling, plaque elevation and surface area). </w:t>
      </w:r>
    </w:p>
    <w:p w14:paraId="4DC20153" w14:textId="736F7BDF" w:rsidR="00D8137E" w:rsidRPr="00EF4C2D" w:rsidRDefault="00D8137E" w:rsidP="00610DFE">
      <w:pPr>
        <w:pStyle w:val="3-BodyText"/>
        <w:numPr>
          <w:ilvl w:val="0"/>
          <w:numId w:val="8"/>
        </w:numPr>
        <w:ind w:left="1080"/>
      </w:pPr>
      <w:r w:rsidRPr="00EF4C2D">
        <w:rPr>
          <w:rFonts w:eastAsiaTheme="majorEastAsia"/>
        </w:rPr>
        <w:t xml:space="preserve">The </w:t>
      </w:r>
      <w:bookmarkStart w:id="25" w:name="_Hlk122423996"/>
      <w:r w:rsidRPr="00EF4C2D">
        <w:rPr>
          <w:rFonts w:eastAsiaTheme="majorEastAsia"/>
        </w:rPr>
        <w:t xml:space="preserve">modified Severity Weighted Assessment Tool </w:t>
      </w:r>
      <w:bookmarkEnd w:id="25"/>
      <w:r w:rsidRPr="00EF4C2D">
        <w:rPr>
          <w:rFonts w:eastAsiaTheme="majorEastAsia"/>
        </w:rPr>
        <w:t>(mSWAT) which is the most commonly used assessment tool; it scores the patient’s entire body for patches, plaques and tumours, assigning a numerical value to each of these three aspects (1 for patch, 2 for plaques and 3 for tumours</w:t>
      </w:r>
      <w:r w:rsidR="002E65BB">
        <w:rPr>
          <w:rFonts w:eastAsiaTheme="majorEastAsia"/>
        </w:rPr>
        <w:t>)</w:t>
      </w:r>
      <w:r w:rsidRPr="00EF4C2D">
        <w:rPr>
          <w:rFonts w:eastAsiaTheme="majorEastAsia"/>
        </w:rPr>
        <w:t>.</w:t>
      </w:r>
    </w:p>
    <w:p w14:paraId="26B9ADBD" w14:textId="56A681E3" w:rsidR="00D8137E" w:rsidRPr="00630E6E" w:rsidRDefault="00D8137E" w:rsidP="00D8137E">
      <w:pPr>
        <w:pStyle w:val="3-BodyText"/>
        <w:ind w:left="709" w:hanging="709"/>
      </w:pPr>
      <w:r w:rsidRPr="00630E6E">
        <w:t>The CAILS index is most useful in determining effectiveness of treatments which target some but not all lesions, or where it is desirable to monitor the effect of treatment to only one type of lesion.</w:t>
      </w:r>
      <w:r w:rsidRPr="00630E6E">
        <w:rPr>
          <w:rStyle w:val="FootnoteReference"/>
        </w:rPr>
        <w:footnoteReference w:id="2"/>
      </w:r>
      <w:r w:rsidRPr="00630E6E">
        <w:t xml:space="preserve"> As such, it is possible for a patient to be classified as a ‘complete responder’ in the CAILS score, but still have clinically apparent lesions (i.e. other than the 5 index lesions). Patients classified as a complete responder using the mSWAT must have no clinically apparent lesions of any type (patch/plaque/tumour). The PBAC have previously reviewed evidence utilising the mSWAT (brentuximab vedotin Public Summary Documents</w:t>
      </w:r>
      <w:r w:rsidR="00B44946">
        <w:t xml:space="preserve"> </w:t>
      </w:r>
      <w:r w:rsidR="006811B2">
        <w:t>(</w:t>
      </w:r>
      <w:r w:rsidR="00B44946">
        <w:t>PSD</w:t>
      </w:r>
      <w:r w:rsidR="006811B2">
        <w:t>)</w:t>
      </w:r>
      <w:r w:rsidRPr="00630E6E">
        <w:t>, July and November 2018 PBAC meetings).</w:t>
      </w:r>
    </w:p>
    <w:p w14:paraId="3C4AE44E" w14:textId="77777777" w:rsidR="00D8137E" w:rsidRPr="00EF4C2D" w:rsidRDefault="00D8137E" w:rsidP="00D8137E">
      <w:pPr>
        <w:pStyle w:val="3-BodyText"/>
        <w:ind w:left="709" w:hanging="709"/>
        <w:rPr>
          <w:color w:val="0066FF"/>
        </w:rPr>
      </w:pPr>
      <w:r w:rsidRPr="00EF4C2D">
        <w:rPr>
          <w:rFonts w:eastAsiaTheme="majorEastAsia"/>
        </w:rPr>
        <w:t xml:space="preserve">BSA coverage of lesions is also used as an outcome in MF-CTCL trials and for disease monitoring, in addition to its importance in MF-CTCL diagnosis and staging and as a component of the mSWAT scoring system. </w:t>
      </w:r>
      <w:r w:rsidRPr="00630E6E">
        <w:rPr>
          <w:rFonts w:eastAsiaTheme="majorEastAsia"/>
          <w:iCs/>
        </w:rPr>
        <w:t>The submission requested listing for MF-CTCL in adult patients who have less than 10% or 25% of their BSA involved.</w:t>
      </w:r>
      <w:r w:rsidRPr="00EF4C2D">
        <w:rPr>
          <w:rFonts w:eastAsiaTheme="majorEastAsia"/>
        </w:rPr>
        <w:t xml:space="preserve"> </w:t>
      </w:r>
    </w:p>
    <w:p w14:paraId="20256A77" w14:textId="3C204EA8" w:rsidR="00D8137E" w:rsidRPr="00EF4C2D" w:rsidRDefault="00D8137E" w:rsidP="00D8137E">
      <w:pPr>
        <w:pStyle w:val="3-BodyText"/>
        <w:ind w:left="709" w:hanging="709"/>
      </w:pPr>
      <w:r w:rsidRPr="00EF4C2D">
        <w:t xml:space="preserve">Chlormethine gel is proposed as an alternative to phototherapy for use in patients with early-stage MF-CTCL who have failed, are intolerant of or contraindicated to topical corticosteroids. The clinical management algorithm for current practice and for the intended use of chlormethine gel as proposed by the submission is presented in </w:t>
      </w:r>
      <w:r w:rsidRPr="00EF4C2D">
        <w:fldChar w:fldCharType="begin"/>
      </w:r>
      <w:r w:rsidRPr="00EF4C2D">
        <w:instrText xml:space="preserve"> REF _Ref121306908 \h </w:instrText>
      </w:r>
      <w:r w:rsidR="00EF4C2D">
        <w:instrText xml:space="preserve"> \* MERGEFORMAT </w:instrText>
      </w:r>
      <w:r w:rsidRPr="00EF4C2D">
        <w:fldChar w:fldCharType="separate"/>
      </w:r>
      <w:r w:rsidR="00FD5578" w:rsidRPr="00EF4C2D">
        <w:t xml:space="preserve">Figure </w:t>
      </w:r>
      <w:r w:rsidR="00FD5578">
        <w:rPr>
          <w:noProof/>
        </w:rPr>
        <w:t>1</w:t>
      </w:r>
      <w:r w:rsidRPr="00EF4C2D">
        <w:fldChar w:fldCharType="end"/>
      </w:r>
      <w:r w:rsidRPr="00EF4C2D">
        <w:t xml:space="preserve">. </w:t>
      </w:r>
    </w:p>
    <w:p w14:paraId="567220CF" w14:textId="266E8B66" w:rsidR="00D8137E" w:rsidRPr="00EF4C2D" w:rsidRDefault="00D8137E" w:rsidP="003B376A">
      <w:pPr>
        <w:pStyle w:val="Caption"/>
      </w:pPr>
      <w:bookmarkStart w:id="26" w:name="_Ref121306908"/>
      <w:r w:rsidRPr="00EF4C2D">
        <w:t xml:space="preserve">Figure </w:t>
      </w:r>
      <w:r w:rsidR="00FD5578">
        <w:fldChar w:fldCharType="begin"/>
      </w:r>
      <w:r w:rsidR="00FD5578">
        <w:instrText xml:space="preserve"> SEQ Figure \* ARABIC </w:instrText>
      </w:r>
      <w:r w:rsidR="00FD5578">
        <w:fldChar w:fldCharType="separate"/>
      </w:r>
      <w:r w:rsidR="00FD5578">
        <w:rPr>
          <w:noProof/>
        </w:rPr>
        <w:t>1</w:t>
      </w:r>
      <w:r w:rsidR="00FD5578">
        <w:rPr>
          <w:noProof/>
        </w:rPr>
        <w:fldChar w:fldCharType="end"/>
      </w:r>
      <w:bookmarkEnd w:id="26"/>
      <w:r w:rsidRPr="00EF4C2D">
        <w:t xml:space="preserve">: </w:t>
      </w:r>
      <w:r w:rsidRPr="00EF4C2D">
        <w:rPr>
          <w:szCs w:val="20"/>
        </w:rPr>
        <w:t>Proposed treatment algorithm</w:t>
      </w:r>
    </w:p>
    <w:p w14:paraId="73618D46" w14:textId="77777777" w:rsidR="00D8137E" w:rsidRPr="00EF4C2D" w:rsidRDefault="00D8137E" w:rsidP="003B376A">
      <w:pPr>
        <w:pStyle w:val="3-BodyText"/>
        <w:keepNext/>
        <w:numPr>
          <w:ilvl w:val="0"/>
          <w:numId w:val="0"/>
        </w:numPr>
        <w:spacing w:after="0"/>
      </w:pPr>
      <w:r w:rsidRPr="00EF4C2D">
        <w:rPr>
          <w:noProof/>
        </w:rPr>
        <w:drawing>
          <wp:inline distT="0" distB="0" distL="0" distR="0" wp14:anchorId="29055A98" wp14:editId="3D9BD2B7">
            <wp:extent cx="5731510" cy="2723515"/>
            <wp:effectExtent l="19050" t="19050" r="21590" b="19685"/>
            <wp:docPr id="20" name="Picture 20" descr="Figure 1: Proposed trea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1: Proposed treatment algorithm"/>
                    <pic:cNvPicPr/>
                  </pic:nvPicPr>
                  <pic:blipFill>
                    <a:blip r:embed="rId8"/>
                    <a:stretch>
                      <a:fillRect/>
                    </a:stretch>
                  </pic:blipFill>
                  <pic:spPr>
                    <a:xfrm>
                      <a:off x="0" y="0"/>
                      <a:ext cx="5731510" cy="2723515"/>
                    </a:xfrm>
                    <a:prstGeom prst="rect">
                      <a:avLst/>
                    </a:prstGeom>
                    <a:ln>
                      <a:solidFill>
                        <a:schemeClr val="tx1"/>
                      </a:solidFill>
                    </a:ln>
                  </pic:spPr>
                </pic:pic>
              </a:graphicData>
            </a:graphic>
          </wp:inline>
        </w:drawing>
      </w:r>
    </w:p>
    <w:p w14:paraId="00759BBD" w14:textId="77777777" w:rsidR="00D8137E" w:rsidRPr="00EF4C2D" w:rsidRDefault="00D8137E" w:rsidP="003B376A">
      <w:pPr>
        <w:keepNext/>
        <w:jc w:val="left"/>
        <w:rPr>
          <w:rFonts w:ascii="Arial Narrow" w:hAnsi="Arial Narrow"/>
          <w:sz w:val="18"/>
          <w:szCs w:val="18"/>
        </w:rPr>
      </w:pPr>
      <w:r w:rsidRPr="00EF4C2D">
        <w:rPr>
          <w:rFonts w:ascii="Arial Narrow" w:hAnsi="Arial Narrow"/>
          <w:sz w:val="18"/>
          <w:szCs w:val="18"/>
        </w:rPr>
        <w:t>Source: Figure 1-4 p 49 of the submission.</w:t>
      </w:r>
    </w:p>
    <w:p w14:paraId="3AE444F4" w14:textId="77777777" w:rsidR="00D8137E" w:rsidRPr="00EF4C2D" w:rsidRDefault="00D8137E" w:rsidP="00D8137E">
      <w:pPr>
        <w:pStyle w:val="FooterTableFigure"/>
        <w:jc w:val="left"/>
      </w:pPr>
      <w:r w:rsidRPr="00EF4C2D">
        <w:t xml:space="preserve">MF=CTCL= mycosis fungoides-type cutaneous T-cell Lymphoma; TSEBT=total skin electron beam therapy. </w:t>
      </w:r>
    </w:p>
    <w:p w14:paraId="453B8988" w14:textId="778683D1" w:rsidR="0084544F" w:rsidRPr="00630E6E" w:rsidRDefault="000F1EA8" w:rsidP="006A003D">
      <w:pPr>
        <w:pStyle w:val="3-BodyText"/>
        <w:ind w:left="709" w:hanging="709"/>
      </w:pPr>
      <w:r w:rsidRPr="00630E6E">
        <w:t>The proposed treatment algorithm does not provide a comprehensive overview of treatments in Australia; a</w:t>
      </w:r>
      <w:r w:rsidR="0084544F" w:rsidRPr="00630E6E">
        <w:t xml:space="preserve"> recent </w:t>
      </w:r>
      <w:r w:rsidR="006A003D" w:rsidRPr="00630E6E">
        <w:t>Australian Clinical Practice Statement</w:t>
      </w:r>
      <w:r w:rsidR="00236C73" w:rsidRPr="00630E6E">
        <w:rPr>
          <w:rStyle w:val="FootnoteReference"/>
        </w:rPr>
        <w:footnoteReference w:id="3"/>
      </w:r>
      <w:r w:rsidR="006A003D" w:rsidRPr="00630E6E">
        <w:t xml:space="preserve"> recommend</w:t>
      </w:r>
      <w:r w:rsidR="0084544F" w:rsidRPr="00630E6E">
        <w:t xml:space="preserve">ed the following </w:t>
      </w:r>
      <w:r w:rsidRPr="00630E6E">
        <w:t>skin-directed therapies</w:t>
      </w:r>
      <w:r w:rsidR="0084544F" w:rsidRPr="00630E6E">
        <w:t xml:space="preserve"> for Stage IA/IB/IIA disease:</w:t>
      </w:r>
    </w:p>
    <w:p w14:paraId="674B394F" w14:textId="1ECF1AB2" w:rsidR="0084544F" w:rsidRPr="00630E6E" w:rsidRDefault="0084544F" w:rsidP="00610DFE">
      <w:pPr>
        <w:pStyle w:val="3-BodyText"/>
        <w:numPr>
          <w:ilvl w:val="0"/>
          <w:numId w:val="11"/>
        </w:numPr>
        <w:ind w:left="1080"/>
      </w:pPr>
      <w:r w:rsidRPr="00630E6E">
        <w:t>Corticosteroids.</w:t>
      </w:r>
    </w:p>
    <w:p w14:paraId="01E7CE32" w14:textId="306D86BF" w:rsidR="0084544F" w:rsidRPr="00630E6E" w:rsidRDefault="0084544F" w:rsidP="00610DFE">
      <w:pPr>
        <w:pStyle w:val="3-BodyText"/>
        <w:numPr>
          <w:ilvl w:val="0"/>
          <w:numId w:val="11"/>
        </w:numPr>
        <w:ind w:left="1080"/>
      </w:pPr>
      <w:r w:rsidRPr="00630E6E">
        <w:t>Chemotherapy</w:t>
      </w:r>
      <w:r w:rsidR="000F1EA8" w:rsidRPr="00630E6E">
        <w:t xml:space="preserve"> (for patients with small BSA involvement</w:t>
      </w:r>
      <w:r w:rsidR="004F1474" w:rsidRPr="00630E6E">
        <w:t>; requires compounding</w:t>
      </w:r>
      <w:r w:rsidR="000F1EA8" w:rsidRPr="00630E6E">
        <w:t>)</w:t>
      </w:r>
      <w:r w:rsidRPr="00630E6E">
        <w:t>: nitrogen mustard</w:t>
      </w:r>
      <w:r w:rsidR="004F1474" w:rsidRPr="00630E6E">
        <w:t xml:space="preserve"> 0.1% to 0.2% in an aqueous or ointment base,</w:t>
      </w:r>
      <w:r w:rsidRPr="00630E6E">
        <w:t xml:space="preserve"> or carmustine, noting carmustine is now difficult to source.</w:t>
      </w:r>
    </w:p>
    <w:p w14:paraId="7D52F6A6" w14:textId="5D54EC0D" w:rsidR="0084544F" w:rsidRPr="00630E6E" w:rsidRDefault="0084544F" w:rsidP="00610DFE">
      <w:pPr>
        <w:pStyle w:val="3-BodyText"/>
        <w:numPr>
          <w:ilvl w:val="0"/>
          <w:numId w:val="11"/>
        </w:numPr>
        <w:ind w:left="1080"/>
      </w:pPr>
      <w:r w:rsidRPr="00630E6E">
        <w:t xml:space="preserve">Other therapy options: </w:t>
      </w:r>
      <w:r w:rsidR="004F1474" w:rsidRPr="00630E6E">
        <w:t>i</w:t>
      </w:r>
      <w:r w:rsidRPr="00630E6E">
        <w:t xml:space="preserve">miquimod 5% cream; 5-fluorouracil cream; </w:t>
      </w:r>
      <w:r w:rsidR="0015514E" w:rsidRPr="00630E6E">
        <w:t>tacrolimus</w:t>
      </w:r>
      <w:r w:rsidRPr="00630E6E">
        <w:t xml:space="preserve"> 0.1% ointment</w:t>
      </w:r>
      <w:r w:rsidR="0020447E" w:rsidRPr="00630E6E">
        <w:t>; retinoids such as tretinoin 0.1% cream and acitretin.</w:t>
      </w:r>
    </w:p>
    <w:p w14:paraId="080F4EE7" w14:textId="24D9D210" w:rsidR="0084544F" w:rsidRPr="00630E6E" w:rsidRDefault="0084544F" w:rsidP="00610DFE">
      <w:pPr>
        <w:pStyle w:val="3-BodyText"/>
        <w:numPr>
          <w:ilvl w:val="0"/>
          <w:numId w:val="11"/>
        </w:numPr>
        <w:ind w:left="1080"/>
      </w:pPr>
      <w:r w:rsidRPr="00630E6E">
        <w:t xml:space="preserve">Radiotherapy types: </w:t>
      </w:r>
      <w:r w:rsidR="000F1EA8" w:rsidRPr="00630E6E">
        <w:t xml:space="preserve">Phototherapy (psoralen ultraviolet A (PUVA) or narrowband ultraviolet B (NB UVB)); </w:t>
      </w:r>
      <w:r w:rsidRPr="00630E6E">
        <w:t xml:space="preserve">Localised radiotherapy; total skin electron </w:t>
      </w:r>
      <w:r w:rsidR="000F1EA8" w:rsidRPr="00630E6E">
        <w:t xml:space="preserve">beam </w:t>
      </w:r>
      <w:r w:rsidRPr="00630E6E">
        <w:t>therapy</w:t>
      </w:r>
      <w:r w:rsidR="000F1EA8" w:rsidRPr="00630E6E">
        <w:t>.</w:t>
      </w:r>
    </w:p>
    <w:p w14:paraId="340DE80F" w14:textId="77777777" w:rsidR="006300CD" w:rsidRPr="00630E6E" w:rsidRDefault="000F1EA8" w:rsidP="000F1EA8">
      <w:pPr>
        <w:pStyle w:val="3-BodyText"/>
      </w:pPr>
      <w:r w:rsidRPr="00630E6E">
        <w:t>Systemic treatments (potentially in combination with skin-directed therapy) may be considered in patients who are refractory to skin-directed therapy alone.</w:t>
      </w:r>
      <w:r w:rsidR="00236C73" w:rsidRPr="00630E6E">
        <w:t xml:space="preserve"> </w:t>
      </w:r>
    </w:p>
    <w:p w14:paraId="1A745FEF" w14:textId="5925F05A" w:rsidR="006A003D" w:rsidRPr="00630E6E" w:rsidRDefault="00236C73" w:rsidP="000F1EA8">
      <w:pPr>
        <w:pStyle w:val="3-BodyText"/>
      </w:pPr>
      <w:r w:rsidRPr="00630E6E">
        <w:t>It is noted that a gel preparation is preferable</w:t>
      </w:r>
      <w:r w:rsidR="006300CD" w:rsidRPr="00630E6E">
        <w:t xml:space="preserve"> to cream</w:t>
      </w:r>
      <w:r w:rsidRPr="00630E6E">
        <w:t xml:space="preserve"> for hair-bearing areas, as it is stable, non-greasy and quick-drying. The</w:t>
      </w:r>
      <w:r w:rsidR="00AA4B3F" w:rsidRPr="00630E6E">
        <w:t xml:space="preserve"> folliculotropic variant of MF-CTCL is an aggressive form which affects hair follicles, but is not part of the target population, and treated as advanced Stage IIIB-IV disease.</w:t>
      </w:r>
      <w:r w:rsidR="00AA4B3F" w:rsidRPr="00630E6E">
        <w:rPr>
          <w:rStyle w:val="FootnoteReference"/>
        </w:rPr>
        <w:footnoteReference w:id="4"/>
      </w:r>
      <w:r w:rsidR="00AA4B3F" w:rsidRPr="00630E6E">
        <w:t xml:space="preserve"> </w:t>
      </w:r>
    </w:p>
    <w:p w14:paraId="62360D52" w14:textId="5AF5957A" w:rsidR="00D8137E" w:rsidRPr="00EF4C2D" w:rsidRDefault="00D8137E" w:rsidP="00D8137E">
      <w:pPr>
        <w:pStyle w:val="3-BodyText"/>
        <w:ind w:left="709" w:hanging="709"/>
        <w:jc w:val="left"/>
      </w:pPr>
      <w:r w:rsidRPr="00EF4C2D">
        <w:t>The submission identified t</w:t>
      </w:r>
      <w:r w:rsidRPr="00EF4C2D">
        <w:rPr>
          <w:bCs/>
        </w:rPr>
        <w:t>he following patient groups that would be eligible for treatment with chlormethine gel under the proposed PBS listing:</w:t>
      </w:r>
    </w:p>
    <w:p w14:paraId="4EA9EF6F" w14:textId="77777777" w:rsidR="00D8137E" w:rsidRPr="00200E03" w:rsidRDefault="00D8137E" w:rsidP="00610DFE">
      <w:pPr>
        <w:pStyle w:val="3-BodyText"/>
        <w:numPr>
          <w:ilvl w:val="0"/>
          <w:numId w:val="8"/>
        </w:numPr>
        <w:ind w:left="1080"/>
        <w:rPr>
          <w:rFonts w:eastAsiaTheme="majorEastAsia"/>
        </w:rPr>
      </w:pPr>
      <w:r w:rsidRPr="00200E03">
        <w:rPr>
          <w:rFonts w:eastAsiaTheme="majorEastAsia"/>
        </w:rPr>
        <w:t xml:space="preserve">15% (20% of 75%) of Stage IA patients initiating phototherapy and not responding or relapsing. </w:t>
      </w:r>
    </w:p>
    <w:p w14:paraId="68535DB2" w14:textId="77777777" w:rsidR="00D8137E" w:rsidRPr="00200E03" w:rsidRDefault="00D8137E" w:rsidP="00610DFE">
      <w:pPr>
        <w:pStyle w:val="3-BodyText"/>
        <w:numPr>
          <w:ilvl w:val="0"/>
          <w:numId w:val="8"/>
        </w:numPr>
        <w:ind w:left="1080"/>
        <w:rPr>
          <w:rFonts w:eastAsiaTheme="majorEastAsia"/>
        </w:rPr>
      </w:pPr>
      <w:r w:rsidRPr="00200E03">
        <w:rPr>
          <w:rFonts w:eastAsiaTheme="majorEastAsia"/>
        </w:rPr>
        <w:t xml:space="preserve">25% of patients with Stage IA that cannot access phototherapy or are claustrophobic. </w:t>
      </w:r>
    </w:p>
    <w:p w14:paraId="613E76D7" w14:textId="77777777" w:rsidR="00D8137E" w:rsidRPr="008A0628" w:rsidRDefault="00D8137E" w:rsidP="00610DFE">
      <w:pPr>
        <w:pStyle w:val="3-BodyText"/>
        <w:numPr>
          <w:ilvl w:val="0"/>
          <w:numId w:val="8"/>
        </w:numPr>
        <w:ind w:left="1080"/>
        <w:rPr>
          <w:rFonts w:eastAsiaTheme="majorEastAsia"/>
        </w:rPr>
      </w:pPr>
      <w:r w:rsidRPr="00200E03">
        <w:rPr>
          <w:rFonts w:eastAsiaTheme="majorEastAsia"/>
        </w:rPr>
        <w:t>16% of Stage IIA/IB patients that cannot access phototherapy or are claustrophobic</w:t>
      </w:r>
      <w:r w:rsidRPr="008A0628">
        <w:rPr>
          <w:rFonts w:eastAsiaTheme="majorEastAsia"/>
        </w:rPr>
        <w:t xml:space="preserve">. </w:t>
      </w:r>
    </w:p>
    <w:p w14:paraId="3461F5A4" w14:textId="77777777" w:rsidR="00D8137E" w:rsidRPr="008A0628" w:rsidRDefault="00D8137E" w:rsidP="00610DFE">
      <w:pPr>
        <w:pStyle w:val="3-BodyText"/>
        <w:numPr>
          <w:ilvl w:val="0"/>
          <w:numId w:val="8"/>
        </w:numPr>
        <w:ind w:left="1080"/>
        <w:rPr>
          <w:rFonts w:eastAsiaTheme="majorEastAsia"/>
        </w:rPr>
      </w:pPr>
      <w:r w:rsidRPr="008A0628">
        <w:rPr>
          <w:rFonts w:eastAsiaTheme="majorEastAsia"/>
        </w:rPr>
        <w:t xml:space="preserve">Chlormethine gel would not be prescribed to Stage IIA/IB patients who had &gt;25% affected BSA. </w:t>
      </w:r>
    </w:p>
    <w:p w14:paraId="6EB46961" w14:textId="77777777" w:rsidR="00DF296F" w:rsidRDefault="00D8137E" w:rsidP="00DF296F">
      <w:pPr>
        <w:pStyle w:val="3-BodyText"/>
        <w:ind w:left="709" w:hanging="709"/>
        <w:rPr>
          <w:iCs/>
        </w:rPr>
      </w:pPr>
      <w:r w:rsidRPr="0096381E">
        <w:rPr>
          <w:iCs/>
        </w:rPr>
        <w:t xml:space="preserve">Assuming these patient groups are mutually exclusive, patients eligible for chlormethine gel may represent 56% of early-stage patients. The proposed PBS listing did not include specific criteria on the eligibility of patients with respect to claustrophobia, non-response to phototherapy, or capacity to access phototherapy. </w:t>
      </w:r>
    </w:p>
    <w:p w14:paraId="37FB7207" w14:textId="1A3B8EE6" w:rsidR="00DF296F" w:rsidRPr="00DF296F" w:rsidRDefault="00DF296F" w:rsidP="00DF296F">
      <w:pPr>
        <w:pStyle w:val="3-BodyText"/>
        <w:numPr>
          <w:ilvl w:val="0"/>
          <w:numId w:val="0"/>
        </w:numPr>
        <w:ind w:left="709"/>
        <w:rPr>
          <w:i/>
          <w:iCs/>
        </w:rPr>
      </w:pPr>
      <w:r w:rsidRPr="00DF296F">
        <w:rPr>
          <w:i/>
          <w:iCs/>
        </w:rPr>
        <w:t>For more detail on PBAC’s view, see section 7 PBAC outcome.</w:t>
      </w:r>
    </w:p>
    <w:p w14:paraId="41550B93" w14:textId="77777777" w:rsidR="00D8137E" w:rsidRPr="00EF4C2D" w:rsidRDefault="00D8137E" w:rsidP="00D8137E">
      <w:pPr>
        <w:pStyle w:val="2-SectionHeading"/>
      </w:pPr>
      <w:bookmarkStart w:id="27" w:name="_Toc121755817"/>
      <w:r w:rsidRPr="00EF4C2D">
        <w:t>Comparator</w:t>
      </w:r>
      <w:bookmarkEnd w:id="23"/>
      <w:bookmarkEnd w:id="27"/>
    </w:p>
    <w:p w14:paraId="76A9CABC" w14:textId="301F177E" w:rsidR="00D8137E" w:rsidRPr="0096381E" w:rsidRDefault="00D8137E" w:rsidP="00D8137E">
      <w:pPr>
        <w:pStyle w:val="3-BodyText"/>
        <w:ind w:left="709" w:hanging="709"/>
        <w:rPr>
          <w:iCs/>
          <w:snapToGrid/>
          <w:lang w:val="en-US"/>
        </w:rPr>
      </w:pPr>
      <w:r w:rsidRPr="00EF4C2D">
        <w:t>The submission nominated phototherapy as the main comparator, stating that chlormethine gel was expected to displace both PUVA and NB UVB. The submission stated that 95% of phototherapy treatment in MF-CTCL patients in Australia is provided with NB UVB and 5% with PUVA</w:t>
      </w:r>
      <w:r w:rsidRPr="00EF4C2D">
        <w:rPr>
          <w:i/>
        </w:rPr>
        <w:t>.</w:t>
      </w:r>
      <w:r w:rsidRPr="00EF4C2D">
        <w:t xml:space="preserve"> Thus, while the Australian clinical guidelines considered PUVA to be the mainstay of SDTs for early-stage MF-CTCL in Australia, the lack of available facilities for treatment delivery means it is not readily utilised. </w:t>
      </w:r>
      <w:r w:rsidRPr="0096381E">
        <w:rPr>
          <w:iCs/>
        </w:rPr>
        <w:t>A comparison between PUVA and NB UVB was not presented by the submission on the assumption that these therapies are non-inferior to each other with respect to efficacy and safety. The cost-effectiveness of phototherapy for MF-CTCL in Australia has not been previously assessed by the MSAC/PBAC.</w:t>
      </w:r>
    </w:p>
    <w:p w14:paraId="30620959" w14:textId="66A6F228" w:rsidR="0037253F" w:rsidRPr="00DF296F" w:rsidRDefault="0037253F" w:rsidP="00D8137E">
      <w:pPr>
        <w:pStyle w:val="3-BodyText"/>
        <w:ind w:left="709" w:hanging="709"/>
        <w:rPr>
          <w:iCs/>
          <w:snapToGrid/>
          <w:lang w:val="en-US"/>
        </w:rPr>
      </w:pPr>
      <w:r w:rsidRPr="00DF296F">
        <w:rPr>
          <w:iCs/>
        </w:rPr>
        <w:t>The ESC considered that there would only be a small group of patients for whom phototherapy would not be an appropriate comparator (e.g., patients with small areas of skin affected, patients who live in regional/rural/remote areas). The ESC also noted that some patients may use chlormethine at the same time as phototherapy or after phototherapy. Also, because MF-CTCL tended to be a chronic disease, some patients might cycle back to steroids or cycle through more than one course of phototherapy or chlormethine. Overall, the ESC considered phototherapy was the most appropriate comparator.</w:t>
      </w:r>
    </w:p>
    <w:p w14:paraId="5D37FD64" w14:textId="48482E0E" w:rsidR="00DF296F" w:rsidRPr="00DF296F" w:rsidRDefault="00DF296F" w:rsidP="00DF296F">
      <w:pPr>
        <w:pStyle w:val="3-BodyText"/>
        <w:numPr>
          <w:ilvl w:val="0"/>
          <w:numId w:val="0"/>
        </w:numPr>
        <w:ind w:left="709"/>
        <w:rPr>
          <w:i/>
        </w:rPr>
      </w:pPr>
      <w:r w:rsidRPr="00DF296F">
        <w:rPr>
          <w:i/>
        </w:rPr>
        <w:t>For more detail on PBAC’s view, see section 7 PBAC outcome.</w:t>
      </w:r>
    </w:p>
    <w:p w14:paraId="4F14AD02" w14:textId="77777777" w:rsidR="00D8137E" w:rsidRPr="00EF4C2D" w:rsidRDefault="00D8137E" w:rsidP="00D8137E">
      <w:pPr>
        <w:pStyle w:val="2-SectionHeading"/>
      </w:pPr>
      <w:bookmarkStart w:id="28" w:name="_Toc107927625"/>
      <w:bookmarkStart w:id="29" w:name="_Toc121755818"/>
      <w:bookmarkStart w:id="30" w:name="_Toc22897640"/>
      <w:r w:rsidRPr="00EF4C2D">
        <w:t>Consideration of the evidence</w:t>
      </w:r>
      <w:bookmarkEnd w:id="28"/>
      <w:bookmarkEnd w:id="29"/>
    </w:p>
    <w:p w14:paraId="353F850A" w14:textId="77777777" w:rsidR="00AD7B35" w:rsidRPr="006E1229" w:rsidRDefault="00AD7B35" w:rsidP="00AD7B35">
      <w:pPr>
        <w:pStyle w:val="4-SubsectionHeading"/>
      </w:pPr>
      <w:bookmarkStart w:id="31" w:name="_Toc107927626"/>
      <w:bookmarkStart w:id="32" w:name="_Toc121755819"/>
      <w:r w:rsidRPr="006E1229">
        <w:t>Sponsor hearing</w:t>
      </w:r>
    </w:p>
    <w:p w14:paraId="07784F34" w14:textId="0AA86192" w:rsidR="003949F5" w:rsidRPr="003949F5" w:rsidRDefault="00AD7B35" w:rsidP="00B34DCB">
      <w:pPr>
        <w:widowControl w:val="0"/>
        <w:numPr>
          <w:ilvl w:val="1"/>
          <w:numId w:val="1"/>
        </w:numPr>
        <w:spacing w:after="120"/>
        <w:ind w:left="720"/>
      </w:pPr>
      <w:bookmarkStart w:id="33" w:name="_Hlk76382586"/>
      <w:r w:rsidRPr="003949F5">
        <w:rPr>
          <w:rFonts w:asciiTheme="minorHAnsi" w:hAnsiTheme="minorHAnsi"/>
          <w:bCs/>
          <w:snapToGrid w:val="0"/>
        </w:rPr>
        <w:t xml:space="preserve">The sponsor requested a hearing for this item. The </w:t>
      </w:r>
      <w:r w:rsidR="0054129F" w:rsidRPr="003949F5">
        <w:rPr>
          <w:rFonts w:asciiTheme="minorHAnsi" w:hAnsiTheme="minorHAnsi"/>
          <w:bCs/>
          <w:snapToGrid w:val="0"/>
        </w:rPr>
        <w:t xml:space="preserve">dermatologist explained that although MF-type CTCL is rare in terms of incidence (new cases), the number of prevalent cases requiring treatment is much higher because the condition is chronic. </w:t>
      </w:r>
      <w:r w:rsidR="003949F5" w:rsidRPr="003949F5">
        <w:rPr>
          <w:rFonts w:asciiTheme="minorHAnsi" w:hAnsiTheme="minorHAnsi"/>
          <w:bCs/>
          <w:snapToGrid w:val="0"/>
        </w:rPr>
        <w:t>The preferred treatment strategy depends on factors such as patient age, place of residence, and sites of disease. Multiple therapeutic options are needed because most patients relapse and require ongoing treatment. Both clearance and duration of response are important to patients and even a partial response could have a significant effect on the patient’s quality-of-life. The dermatologist</w:t>
      </w:r>
      <w:r w:rsidRPr="003949F5">
        <w:rPr>
          <w:rFonts w:asciiTheme="minorHAnsi" w:hAnsiTheme="minorHAnsi"/>
          <w:bCs/>
          <w:snapToGrid w:val="0"/>
        </w:rPr>
        <w:t xml:space="preserve"> presented </w:t>
      </w:r>
      <w:r w:rsidR="003949F5" w:rsidRPr="003949F5">
        <w:rPr>
          <w:rFonts w:asciiTheme="minorHAnsi" w:hAnsiTheme="minorHAnsi"/>
          <w:bCs/>
          <w:snapToGrid w:val="0"/>
        </w:rPr>
        <w:t xml:space="preserve">two </w:t>
      </w:r>
      <w:r w:rsidRPr="003949F5">
        <w:rPr>
          <w:rFonts w:asciiTheme="minorHAnsi" w:hAnsiTheme="minorHAnsi"/>
          <w:bCs/>
          <w:snapToGrid w:val="0"/>
        </w:rPr>
        <w:t>case studies</w:t>
      </w:r>
      <w:r w:rsidR="003949F5" w:rsidRPr="003949F5">
        <w:rPr>
          <w:rFonts w:asciiTheme="minorHAnsi" w:hAnsiTheme="minorHAnsi"/>
          <w:bCs/>
          <w:snapToGrid w:val="0"/>
        </w:rPr>
        <w:t xml:space="preserve">, which </w:t>
      </w:r>
      <w:r w:rsidR="00E0663D">
        <w:rPr>
          <w:rFonts w:asciiTheme="minorHAnsi" w:hAnsiTheme="minorHAnsi"/>
          <w:bCs/>
          <w:snapToGrid w:val="0"/>
        </w:rPr>
        <w:t xml:space="preserve">the PBAC considered </w:t>
      </w:r>
      <w:r w:rsidR="003949F5" w:rsidRPr="003949F5">
        <w:rPr>
          <w:rFonts w:asciiTheme="minorHAnsi" w:hAnsiTheme="minorHAnsi"/>
          <w:bCs/>
          <w:snapToGrid w:val="0"/>
        </w:rPr>
        <w:t>provided useful clinical context.</w:t>
      </w:r>
      <w:bookmarkEnd w:id="33"/>
    </w:p>
    <w:p w14:paraId="3555CEFF" w14:textId="786CF823" w:rsidR="00AD7B35" w:rsidRPr="003949F5" w:rsidRDefault="00AD7B35" w:rsidP="003949F5">
      <w:pPr>
        <w:widowControl w:val="0"/>
        <w:spacing w:after="120"/>
        <w:rPr>
          <w:b/>
          <w:bCs/>
          <w:i/>
          <w:iCs/>
          <w:sz w:val="28"/>
          <w:szCs w:val="28"/>
        </w:rPr>
      </w:pPr>
      <w:r w:rsidRPr="003949F5">
        <w:rPr>
          <w:b/>
          <w:bCs/>
          <w:i/>
          <w:iCs/>
          <w:sz w:val="28"/>
          <w:szCs w:val="28"/>
        </w:rPr>
        <w:t>Consumer comments</w:t>
      </w:r>
    </w:p>
    <w:p w14:paraId="37F2EB6C" w14:textId="1A9D4864" w:rsidR="00AD7B35" w:rsidRPr="000907AA" w:rsidRDefault="00AD7B35" w:rsidP="000907AA">
      <w:pPr>
        <w:widowControl w:val="0"/>
        <w:numPr>
          <w:ilvl w:val="1"/>
          <w:numId w:val="1"/>
        </w:numPr>
        <w:spacing w:after="120"/>
        <w:ind w:left="720"/>
        <w:rPr>
          <w:rFonts w:asciiTheme="minorHAnsi" w:hAnsiTheme="minorHAnsi"/>
          <w:bCs/>
          <w:snapToGrid w:val="0"/>
          <w:lang w:eastAsia="en-US"/>
        </w:rPr>
      </w:pPr>
      <w:bookmarkStart w:id="34" w:name="_Hlk76382618"/>
      <w:r w:rsidRPr="00AD7B35">
        <w:rPr>
          <w:rFonts w:asciiTheme="minorHAnsi" w:hAnsiTheme="minorHAnsi"/>
          <w:bCs/>
          <w:snapToGrid w:val="0"/>
          <w:lang w:eastAsia="en-US"/>
        </w:rPr>
        <w:t xml:space="preserve">The PBAC noted and welcomed the input from </w:t>
      </w:r>
      <w:r w:rsidR="003949F5">
        <w:rPr>
          <w:rFonts w:asciiTheme="minorHAnsi" w:hAnsiTheme="minorHAnsi"/>
          <w:bCs/>
          <w:snapToGrid w:val="0"/>
          <w:lang w:eastAsia="en-US"/>
        </w:rPr>
        <w:t xml:space="preserve">an </w:t>
      </w:r>
      <w:r w:rsidRPr="00AD7B35">
        <w:rPr>
          <w:rFonts w:asciiTheme="minorHAnsi" w:hAnsiTheme="minorHAnsi"/>
          <w:bCs/>
          <w:snapToGrid w:val="0"/>
          <w:lang w:eastAsia="en-US"/>
        </w:rPr>
        <w:t>individual (</w:t>
      </w:r>
      <w:r w:rsidR="003949F5">
        <w:rPr>
          <w:rFonts w:asciiTheme="minorHAnsi" w:hAnsiTheme="minorHAnsi"/>
          <w:bCs/>
          <w:snapToGrid w:val="0"/>
          <w:lang w:eastAsia="en-US"/>
        </w:rPr>
        <w:t>1</w:t>
      </w:r>
      <w:r w:rsidRPr="00AD7B35">
        <w:rPr>
          <w:rFonts w:asciiTheme="minorHAnsi" w:hAnsiTheme="minorHAnsi"/>
          <w:bCs/>
          <w:snapToGrid w:val="0"/>
          <w:lang w:eastAsia="en-US"/>
        </w:rPr>
        <w:t>), health care professionals (</w:t>
      </w:r>
      <w:r w:rsidR="003949F5">
        <w:rPr>
          <w:rFonts w:asciiTheme="minorHAnsi" w:hAnsiTheme="minorHAnsi"/>
          <w:bCs/>
          <w:snapToGrid w:val="0"/>
          <w:lang w:eastAsia="en-US"/>
        </w:rPr>
        <w:t>4</w:t>
      </w:r>
      <w:r w:rsidRPr="00AD7B35">
        <w:rPr>
          <w:rFonts w:asciiTheme="minorHAnsi" w:hAnsiTheme="minorHAnsi"/>
          <w:bCs/>
          <w:snapToGrid w:val="0"/>
          <w:lang w:eastAsia="en-US"/>
        </w:rPr>
        <w:t xml:space="preserve">) and </w:t>
      </w:r>
      <w:r w:rsidR="003949F5">
        <w:rPr>
          <w:rFonts w:asciiTheme="minorHAnsi" w:hAnsiTheme="minorHAnsi"/>
          <w:bCs/>
          <w:snapToGrid w:val="0"/>
          <w:lang w:eastAsia="en-US"/>
        </w:rPr>
        <w:t xml:space="preserve">an </w:t>
      </w:r>
      <w:r w:rsidRPr="00AD7B35">
        <w:rPr>
          <w:rFonts w:asciiTheme="minorHAnsi" w:hAnsiTheme="minorHAnsi"/>
          <w:bCs/>
          <w:snapToGrid w:val="0"/>
          <w:lang w:eastAsia="en-US"/>
        </w:rPr>
        <w:t>organisation (1) via the Consumer Comments facility on the PBS website. The comments</w:t>
      </w:r>
      <w:r w:rsidR="00C44AC7">
        <w:rPr>
          <w:rFonts w:asciiTheme="minorHAnsi" w:hAnsiTheme="minorHAnsi"/>
          <w:bCs/>
          <w:snapToGrid w:val="0"/>
          <w:lang w:eastAsia="en-US"/>
        </w:rPr>
        <w:t xml:space="preserve"> from an individual who would like to access the medicine to treat their own health condition highlighted the lack of effective at home options when topical corticosteroids prove ineffective</w:t>
      </w:r>
      <w:r w:rsidR="000907AA">
        <w:rPr>
          <w:rFonts w:asciiTheme="minorHAnsi" w:hAnsiTheme="minorHAnsi"/>
          <w:bCs/>
          <w:snapToGrid w:val="0"/>
          <w:lang w:eastAsia="en-US"/>
        </w:rPr>
        <w:t xml:space="preserve"> or when phototherapy is difficult to access</w:t>
      </w:r>
      <w:r w:rsidR="00C44AC7">
        <w:rPr>
          <w:rFonts w:asciiTheme="minorHAnsi" w:hAnsiTheme="minorHAnsi"/>
          <w:bCs/>
          <w:snapToGrid w:val="0"/>
          <w:lang w:eastAsia="en-US"/>
        </w:rPr>
        <w:t xml:space="preserve">. </w:t>
      </w:r>
      <w:r w:rsidR="000907AA">
        <w:rPr>
          <w:rFonts w:asciiTheme="minorHAnsi" w:hAnsiTheme="minorHAnsi"/>
          <w:bCs/>
          <w:snapToGrid w:val="0"/>
          <w:lang w:eastAsia="en-US"/>
        </w:rPr>
        <w:t xml:space="preserve">The comments from health care professionals outlined the need for </w:t>
      </w:r>
      <w:r w:rsidR="00036EE0">
        <w:rPr>
          <w:rFonts w:asciiTheme="minorHAnsi" w:hAnsiTheme="minorHAnsi"/>
          <w:bCs/>
          <w:snapToGrid w:val="0"/>
          <w:lang w:eastAsia="en-US"/>
        </w:rPr>
        <w:t xml:space="preserve">an increased choice of </w:t>
      </w:r>
      <w:r w:rsidR="000907AA">
        <w:rPr>
          <w:rFonts w:asciiTheme="minorHAnsi" w:hAnsiTheme="minorHAnsi"/>
          <w:bCs/>
          <w:snapToGrid w:val="0"/>
          <w:lang w:eastAsia="en-US"/>
        </w:rPr>
        <w:t xml:space="preserve">effective, easy to use </w:t>
      </w:r>
      <w:r w:rsidR="00036EE0">
        <w:rPr>
          <w:rFonts w:asciiTheme="minorHAnsi" w:hAnsiTheme="minorHAnsi"/>
          <w:bCs/>
          <w:snapToGrid w:val="0"/>
          <w:lang w:eastAsia="en-US"/>
        </w:rPr>
        <w:t xml:space="preserve">topical preparations. Health care professionals also noted the access difficulties often associated with phototherapy. </w:t>
      </w:r>
      <w:r w:rsidR="000907AA">
        <w:rPr>
          <w:rFonts w:asciiTheme="minorHAnsi" w:hAnsiTheme="minorHAnsi"/>
          <w:bCs/>
          <w:snapToGrid w:val="0"/>
          <w:lang w:eastAsia="en-US"/>
        </w:rPr>
        <w:t xml:space="preserve">The comments from Lymphoma Australia </w:t>
      </w:r>
      <w:r w:rsidR="006B040B" w:rsidRPr="000907AA">
        <w:rPr>
          <w:rFonts w:asciiTheme="minorHAnsi" w:hAnsiTheme="minorHAnsi"/>
          <w:bCs/>
          <w:snapToGrid w:val="0"/>
          <w:lang w:eastAsia="en-US"/>
        </w:rPr>
        <w:t>emphasised that the condition can significantly reduce patients’ quality-of-life and also emphasised that because the disease is chronic a range of treatment options are ne</w:t>
      </w:r>
      <w:r w:rsidR="00F62C1E" w:rsidRPr="000907AA">
        <w:rPr>
          <w:rFonts w:asciiTheme="minorHAnsi" w:hAnsiTheme="minorHAnsi"/>
          <w:bCs/>
          <w:snapToGrid w:val="0"/>
          <w:lang w:eastAsia="en-US"/>
        </w:rPr>
        <w:t>e</w:t>
      </w:r>
      <w:r w:rsidR="006B040B" w:rsidRPr="000907AA">
        <w:rPr>
          <w:rFonts w:asciiTheme="minorHAnsi" w:hAnsiTheme="minorHAnsi"/>
          <w:bCs/>
          <w:snapToGrid w:val="0"/>
          <w:lang w:eastAsia="en-US"/>
        </w:rPr>
        <w:t xml:space="preserve">ded. </w:t>
      </w:r>
    </w:p>
    <w:bookmarkEnd w:id="34"/>
    <w:p w14:paraId="673E0290" w14:textId="6695E91A" w:rsidR="00D8137E" w:rsidRPr="00EF4C2D" w:rsidRDefault="00D8137E" w:rsidP="00D8137E">
      <w:pPr>
        <w:pStyle w:val="4-SubsectionHeading"/>
      </w:pPr>
      <w:r w:rsidRPr="00EF4C2D">
        <w:t xml:space="preserve">Clinical </w:t>
      </w:r>
      <w:bookmarkEnd w:id="30"/>
      <w:bookmarkEnd w:id="31"/>
      <w:r w:rsidRPr="00EF4C2D">
        <w:t>trials</w:t>
      </w:r>
      <w:bookmarkEnd w:id="32"/>
    </w:p>
    <w:p w14:paraId="50F52A2D" w14:textId="77777777" w:rsidR="00D8137E" w:rsidRPr="00EF4C2D" w:rsidRDefault="00D8137E" w:rsidP="00D8137E">
      <w:pPr>
        <w:pStyle w:val="3-BodyText"/>
        <w:ind w:left="709" w:hanging="709"/>
      </w:pPr>
      <w:r w:rsidRPr="00EF4C2D">
        <w:t xml:space="preserve">The clinical evidence presented in the submission was drawn from five studies: </w:t>
      </w:r>
    </w:p>
    <w:p w14:paraId="685FCE59" w14:textId="77777777" w:rsidR="00D8137E" w:rsidRPr="00EF4C2D" w:rsidRDefault="00D8137E" w:rsidP="00610DFE">
      <w:pPr>
        <w:pStyle w:val="3-BodyText"/>
        <w:numPr>
          <w:ilvl w:val="0"/>
          <w:numId w:val="8"/>
        </w:numPr>
        <w:ind w:left="1080"/>
        <w:rPr>
          <w:rFonts w:eastAsiaTheme="majorEastAsia"/>
        </w:rPr>
      </w:pPr>
      <w:r w:rsidRPr="00EF4C2D">
        <w:rPr>
          <w:rFonts w:eastAsiaTheme="majorEastAsia"/>
        </w:rPr>
        <w:t>Chlormethine: one randomised, controlled trial (Study 201); and PROVe, a prospective observational study.</w:t>
      </w:r>
    </w:p>
    <w:p w14:paraId="3E7C098B" w14:textId="77777777" w:rsidR="00D8137E" w:rsidRPr="00EF4C2D" w:rsidRDefault="00D8137E" w:rsidP="00610DFE">
      <w:pPr>
        <w:pStyle w:val="3-BodyText"/>
        <w:numPr>
          <w:ilvl w:val="0"/>
          <w:numId w:val="8"/>
        </w:numPr>
        <w:ind w:left="1080"/>
        <w:rPr>
          <w:rFonts w:eastAsiaTheme="majorEastAsia"/>
        </w:rPr>
      </w:pPr>
      <w:r w:rsidRPr="00EF4C2D">
        <w:rPr>
          <w:rFonts w:eastAsiaTheme="majorEastAsia"/>
        </w:rPr>
        <w:t>Phototherapy: three randomised, controlled trials (El-Mofty 2012; Whittaker 2012, and Vieyra-Garcia 2019).</w:t>
      </w:r>
    </w:p>
    <w:p w14:paraId="3786F1D6" w14:textId="77777777" w:rsidR="00D8137E" w:rsidRPr="00EF4C2D" w:rsidRDefault="00D8137E" w:rsidP="00D8137E">
      <w:pPr>
        <w:pStyle w:val="3-BodyText"/>
        <w:ind w:left="709" w:hanging="709"/>
      </w:pPr>
      <w:r w:rsidRPr="00EF4C2D">
        <w:t xml:space="preserve">All studies enrolled patients with early-stage MF-CTCL. </w:t>
      </w:r>
      <w:r w:rsidRPr="0096381E">
        <w:rPr>
          <w:iCs/>
        </w:rPr>
        <w:t>The pivotal study for chlormethine (Study 201) has not been reviewed previously by the PBAC.</w:t>
      </w:r>
      <w:r w:rsidRPr="00EF4C2D">
        <w:rPr>
          <w:i/>
        </w:rPr>
        <w:t xml:space="preserve"> </w:t>
      </w:r>
    </w:p>
    <w:p w14:paraId="4EF87E80" w14:textId="6BE46C4F" w:rsidR="00D8137E" w:rsidRPr="00EF4C2D" w:rsidRDefault="00D8137E" w:rsidP="00D8137E">
      <w:pPr>
        <w:pStyle w:val="3-BodyText"/>
        <w:ind w:left="709" w:hanging="709"/>
      </w:pPr>
      <w:r w:rsidRPr="00EF4C2D">
        <w:rPr>
          <w:rFonts w:cs="Calibri"/>
          <w:snapToGrid/>
          <w:lang w:val="en-US"/>
        </w:rPr>
        <w:t xml:space="preserve">Details of the trials presented in the submission are provided in </w:t>
      </w:r>
      <w:r w:rsidRPr="00EF4C2D">
        <w:rPr>
          <w:rFonts w:cs="Calibri"/>
          <w:snapToGrid/>
          <w:lang w:val="en-US"/>
        </w:rPr>
        <w:fldChar w:fldCharType="begin"/>
      </w:r>
      <w:r w:rsidRPr="00EF4C2D">
        <w:rPr>
          <w:rFonts w:cs="Calibri"/>
          <w:snapToGrid/>
          <w:lang w:val="en-US"/>
        </w:rPr>
        <w:instrText xml:space="preserve"> REF _Ref104803956 \h </w:instrText>
      </w:r>
      <w:r w:rsidR="00EF4C2D">
        <w:rPr>
          <w:rFonts w:cs="Calibri"/>
          <w:snapToGrid/>
          <w:lang w:val="en-US"/>
        </w:rPr>
        <w:instrText xml:space="preserve"> \* MERGEFORMAT </w:instrText>
      </w:r>
      <w:r w:rsidRPr="00EF4C2D">
        <w:rPr>
          <w:rFonts w:cs="Calibri"/>
          <w:snapToGrid/>
          <w:lang w:val="en-US"/>
        </w:rPr>
      </w:r>
      <w:r w:rsidRPr="00EF4C2D">
        <w:rPr>
          <w:rFonts w:cs="Calibri"/>
          <w:snapToGrid/>
          <w:lang w:val="en-US"/>
        </w:rPr>
        <w:fldChar w:fldCharType="separate"/>
      </w:r>
      <w:r w:rsidR="00FD5578" w:rsidRPr="00EF4C2D">
        <w:t xml:space="preserve">Table </w:t>
      </w:r>
      <w:r w:rsidR="00FD5578">
        <w:rPr>
          <w:noProof/>
        </w:rPr>
        <w:t>2</w:t>
      </w:r>
      <w:r w:rsidRPr="00EF4C2D">
        <w:rPr>
          <w:rFonts w:cs="Calibri"/>
          <w:snapToGrid/>
          <w:lang w:val="en-US"/>
        </w:rPr>
        <w:fldChar w:fldCharType="end"/>
      </w:r>
      <w:r w:rsidRPr="00EF4C2D">
        <w:rPr>
          <w:rFonts w:cs="Calibri"/>
          <w:snapToGrid/>
          <w:lang w:val="en-US"/>
        </w:rPr>
        <w:t xml:space="preserve">. These studies did not include a common reference that would have permitted an anchored indirect treatment comparison (ITC) of chlormethine gel against phototherapy. As such, the submission presented a naive </w:t>
      </w:r>
      <w:r w:rsidR="00DB6FDB">
        <w:rPr>
          <w:rFonts w:cs="Calibri"/>
          <w:snapToGrid/>
          <w:lang w:val="en-US"/>
        </w:rPr>
        <w:t>ITC</w:t>
      </w:r>
      <w:r w:rsidR="00DB6FDB" w:rsidRPr="00EF4C2D">
        <w:rPr>
          <w:rFonts w:cs="Calibri"/>
          <w:snapToGrid/>
          <w:lang w:val="en-US"/>
        </w:rPr>
        <w:t xml:space="preserve"> </w:t>
      </w:r>
      <w:r w:rsidRPr="00EF4C2D">
        <w:rPr>
          <w:rFonts w:cs="Calibri"/>
          <w:snapToGrid/>
          <w:lang w:val="en-US"/>
        </w:rPr>
        <w:t>of evidence extracted from single arms of the included studies.</w:t>
      </w:r>
    </w:p>
    <w:p w14:paraId="2E19D396" w14:textId="1E19AE0A" w:rsidR="00D8137E" w:rsidRPr="00895467" w:rsidRDefault="00D8137E" w:rsidP="00940DE5">
      <w:pPr>
        <w:pStyle w:val="TableFigureHeading"/>
        <w:rPr>
          <w:rStyle w:val="CommentReference"/>
          <w:b/>
        </w:rPr>
      </w:pPr>
      <w:bookmarkStart w:id="35" w:name="_Ref104803956"/>
      <w:r w:rsidRPr="00EF4C2D">
        <w:t xml:space="preserve">Table </w:t>
      </w:r>
      <w:r w:rsidR="00FD5578">
        <w:fldChar w:fldCharType="begin"/>
      </w:r>
      <w:r w:rsidR="00FD5578">
        <w:instrText xml:space="preserve"> SEQ Table \* ARABIC </w:instrText>
      </w:r>
      <w:r w:rsidR="00FD5578">
        <w:fldChar w:fldCharType="separate"/>
      </w:r>
      <w:r w:rsidR="00FD5578">
        <w:rPr>
          <w:noProof/>
        </w:rPr>
        <w:t>2</w:t>
      </w:r>
      <w:r w:rsidR="00FD5578">
        <w:rPr>
          <w:noProof/>
        </w:rPr>
        <w:fldChar w:fldCharType="end"/>
      </w:r>
      <w:bookmarkEnd w:id="35"/>
      <w:r w:rsidRPr="00895467">
        <w:rPr>
          <w:b w:val="0"/>
        </w:rPr>
        <w:t>:</w:t>
      </w:r>
      <w:r w:rsidRPr="00895467">
        <w:rPr>
          <w:rStyle w:val="CommentReference"/>
          <w:b/>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49"/>
        <w:gridCol w:w="4164"/>
        <w:gridCol w:w="4104"/>
      </w:tblGrid>
      <w:tr w:rsidR="00D8137E" w:rsidRPr="00EF4C2D" w14:paraId="13C5A88F" w14:textId="77777777" w:rsidTr="007F1B4F">
        <w:trPr>
          <w:cantSplit/>
          <w:tblHeader/>
        </w:trPr>
        <w:tc>
          <w:tcPr>
            <w:tcW w:w="415" w:type="pct"/>
            <w:vAlign w:val="center"/>
          </w:tcPr>
          <w:p w14:paraId="2FD6E83A" w14:textId="77777777" w:rsidR="00D8137E" w:rsidRPr="00EF4C2D" w:rsidRDefault="00D8137E" w:rsidP="00610DFE">
            <w:pPr>
              <w:pStyle w:val="In-tableHeading"/>
              <w:keepNext w:val="0"/>
            </w:pPr>
            <w:r w:rsidRPr="00EF4C2D">
              <w:t>Trial ID</w:t>
            </w:r>
          </w:p>
        </w:tc>
        <w:tc>
          <w:tcPr>
            <w:tcW w:w="2490" w:type="pct"/>
            <w:vAlign w:val="center"/>
          </w:tcPr>
          <w:p w14:paraId="6297BE87" w14:textId="77777777" w:rsidR="00D8137E" w:rsidRPr="00EF4C2D" w:rsidRDefault="00D8137E" w:rsidP="00610DFE">
            <w:pPr>
              <w:pStyle w:val="In-tableHeading"/>
              <w:keepNext w:val="0"/>
            </w:pPr>
            <w:r w:rsidRPr="00EF4C2D">
              <w:t>Protocol title/ Publication title</w:t>
            </w:r>
          </w:p>
        </w:tc>
        <w:tc>
          <w:tcPr>
            <w:tcW w:w="2094" w:type="pct"/>
            <w:vAlign w:val="center"/>
          </w:tcPr>
          <w:p w14:paraId="7275297E" w14:textId="77777777" w:rsidR="00D8137E" w:rsidRPr="00EF4C2D" w:rsidRDefault="00D8137E" w:rsidP="00610DFE">
            <w:pPr>
              <w:pStyle w:val="In-tableHeading"/>
              <w:keepNext w:val="0"/>
            </w:pPr>
            <w:r w:rsidRPr="00EF4C2D">
              <w:t>Publication citation</w:t>
            </w:r>
          </w:p>
        </w:tc>
      </w:tr>
      <w:tr w:rsidR="00D8137E" w:rsidRPr="00EF4C2D" w14:paraId="24511731" w14:textId="77777777" w:rsidTr="007F1B4F">
        <w:trPr>
          <w:cantSplit/>
        </w:trPr>
        <w:tc>
          <w:tcPr>
            <w:tcW w:w="415" w:type="pct"/>
            <w:tcBorders>
              <w:bottom w:val="nil"/>
            </w:tcBorders>
            <w:vAlign w:val="center"/>
          </w:tcPr>
          <w:p w14:paraId="20E02B13" w14:textId="77777777" w:rsidR="00D8137E" w:rsidRPr="00EF4C2D" w:rsidRDefault="00D8137E" w:rsidP="00610DFE">
            <w:pPr>
              <w:pStyle w:val="TableText0"/>
              <w:keepNext w:val="0"/>
            </w:pPr>
          </w:p>
        </w:tc>
        <w:tc>
          <w:tcPr>
            <w:tcW w:w="2490" w:type="pct"/>
            <w:tcBorders>
              <w:bottom w:val="nil"/>
            </w:tcBorders>
            <w:vAlign w:val="center"/>
          </w:tcPr>
          <w:p w14:paraId="52E1496C" w14:textId="77777777" w:rsidR="00D8137E" w:rsidRPr="00EF4C2D" w:rsidRDefault="00D8137E" w:rsidP="00610DFE">
            <w:pPr>
              <w:pStyle w:val="TableText0"/>
              <w:keepNext w:val="0"/>
              <w:rPr>
                <w:szCs w:val="18"/>
              </w:rPr>
            </w:pPr>
            <w:r w:rsidRPr="00EF4C2D">
              <w:t>A phase II pivotal trial to evaluate the safety and efficacy of nitrogen mustard (nm) 0.02% ointment formulations in patients with stage i or iia mycosis fungoides (MF) (2005NMMF-201-US)</w:t>
            </w:r>
          </w:p>
        </w:tc>
        <w:tc>
          <w:tcPr>
            <w:tcW w:w="2094" w:type="pct"/>
            <w:tcBorders>
              <w:bottom w:val="nil"/>
            </w:tcBorders>
            <w:vAlign w:val="center"/>
          </w:tcPr>
          <w:p w14:paraId="27CAA60D" w14:textId="77777777" w:rsidR="00D8137E" w:rsidRPr="00EF4C2D" w:rsidRDefault="00D8137E" w:rsidP="00610DFE">
            <w:pPr>
              <w:pStyle w:val="TableText0"/>
              <w:keepNext w:val="0"/>
            </w:pPr>
            <w:r w:rsidRPr="00EF4C2D">
              <w:t>July 2010</w:t>
            </w:r>
          </w:p>
        </w:tc>
      </w:tr>
      <w:tr w:rsidR="00D8137E" w:rsidRPr="00EF4C2D" w14:paraId="57F512BB" w14:textId="77777777" w:rsidTr="007F1B4F">
        <w:trPr>
          <w:cantSplit/>
        </w:trPr>
        <w:tc>
          <w:tcPr>
            <w:tcW w:w="415" w:type="pct"/>
            <w:tcBorders>
              <w:top w:val="nil"/>
              <w:bottom w:val="nil"/>
            </w:tcBorders>
            <w:vAlign w:val="center"/>
          </w:tcPr>
          <w:p w14:paraId="55F37DCE" w14:textId="77777777" w:rsidR="00D8137E" w:rsidRPr="00EF4C2D" w:rsidRDefault="00D8137E" w:rsidP="00610DFE">
            <w:pPr>
              <w:pStyle w:val="TableText0"/>
              <w:keepNext w:val="0"/>
            </w:pPr>
            <w:r w:rsidRPr="00EF4C2D">
              <w:t>Study 201</w:t>
            </w:r>
          </w:p>
        </w:tc>
        <w:tc>
          <w:tcPr>
            <w:tcW w:w="2490" w:type="pct"/>
            <w:tcBorders>
              <w:top w:val="nil"/>
              <w:bottom w:val="nil"/>
            </w:tcBorders>
            <w:vAlign w:val="center"/>
          </w:tcPr>
          <w:p w14:paraId="792E1ADA" w14:textId="77777777" w:rsidR="00D8137E" w:rsidRPr="00EF4C2D" w:rsidRDefault="00D8137E" w:rsidP="00610DFE">
            <w:pPr>
              <w:pStyle w:val="TableText0"/>
              <w:keepNext w:val="0"/>
              <w:rPr>
                <w:szCs w:val="18"/>
              </w:rPr>
            </w:pPr>
            <w:r w:rsidRPr="00EF4C2D">
              <w:t xml:space="preserve">Lessin, S. R., M. Duvic, J. Guitart, A. G. Pandya, B. E. Strober, E. A. Olsen, C. M. Hull, E. H. Knobler, A. H. Rook, E. J. Kim, M. F. Naylor, D. M. Adelson, A. B. Kimball, G. S. Wood, U. Sundram, H. Wu and Y. H. Kim (2013). Topical chemotherapy in cutaneous T-cell lymphoma: positive results of a randomized, controlled, multicenter trial testing the efficacy and safety of a novel mechlorethamine, 0.02%, gel in mycosis fungoides. </w:t>
            </w:r>
          </w:p>
        </w:tc>
        <w:tc>
          <w:tcPr>
            <w:tcW w:w="2094" w:type="pct"/>
            <w:tcBorders>
              <w:top w:val="nil"/>
              <w:bottom w:val="nil"/>
            </w:tcBorders>
            <w:vAlign w:val="center"/>
          </w:tcPr>
          <w:p w14:paraId="78C92749" w14:textId="77777777" w:rsidR="00D8137E" w:rsidRPr="00EF4C2D" w:rsidRDefault="00D8137E" w:rsidP="00610DFE">
            <w:pPr>
              <w:pStyle w:val="TableText0"/>
              <w:keepNext w:val="0"/>
              <w:rPr>
                <w:szCs w:val="18"/>
              </w:rPr>
            </w:pPr>
            <w:r w:rsidRPr="00EF4C2D">
              <w:t>JAMA dermatology 2013; 149(1): 25-32</w:t>
            </w:r>
          </w:p>
        </w:tc>
      </w:tr>
      <w:tr w:rsidR="00D8137E" w:rsidRPr="00EF4C2D" w14:paraId="0FA1A99A" w14:textId="77777777" w:rsidTr="007F1B4F">
        <w:trPr>
          <w:cantSplit/>
        </w:trPr>
        <w:tc>
          <w:tcPr>
            <w:tcW w:w="415" w:type="pct"/>
            <w:tcBorders>
              <w:top w:val="nil"/>
              <w:bottom w:val="nil"/>
            </w:tcBorders>
            <w:vAlign w:val="center"/>
          </w:tcPr>
          <w:p w14:paraId="6FDC6978" w14:textId="77777777" w:rsidR="00D8137E" w:rsidRPr="00EF4C2D" w:rsidRDefault="00D8137E" w:rsidP="00610DFE">
            <w:pPr>
              <w:pStyle w:val="TableText0"/>
              <w:keepNext w:val="0"/>
            </w:pPr>
          </w:p>
        </w:tc>
        <w:tc>
          <w:tcPr>
            <w:tcW w:w="2490" w:type="pct"/>
            <w:tcBorders>
              <w:top w:val="nil"/>
              <w:bottom w:val="nil"/>
            </w:tcBorders>
            <w:vAlign w:val="center"/>
          </w:tcPr>
          <w:p w14:paraId="75C7231E" w14:textId="77777777" w:rsidR="00D8137E" w:rsidRPr="00EF4C2D" w:rsidRDefault="00D8137E" w:rsidP="00610DFE">
            <w:pPr>
              <w:pStyle w:val="TableText0"/>
              <w:keepNext w:val="0"/>
              <w:rPr>
                <w:szCs w:val="18"/>
                <w:lang w:val="en-US"/>
              </w:rPr>
            </w:pPr>
            <w:r w:rsidRPr="00EF4C2D">
              <w:t>Yaupon Therapeutics. (2006).NCT00168064. Safety and Efficacy of Nitrogen Mustard in Treatment of Mycosis Fungoides.</w:t>
            </w:r>
          </w:p>
        </w:tc>
        <w:tc>
          <w:tcPr>
            <w:tcW w:w="2094" w:type="pct"/>
            <w:tcBorders>
              <w:top w:val="nil"/>
              <w:bottom w:val="nil"/>
            </w:tcBorders>
            <w:vAlign w:val="center"/>
          </w:tcPr>
          <w:p w14:paraId="739B1FEB" w14:textId="77777777" w:rsidR="00D8137E" w:rsidRPr="00EF4C2D" w:rsidRDefault="00D8137E" w:rsidP="00610DFE">
            <w:pPr>
              <w:pStyle w:val="TableText0"/>
              <w:keepNext w:val="0"/>
              <w:rPr>
                <w:szCs w:val="18"/>
                <w:lang w:val="en-US"/>
              </w:rPr>
            </w:pPr>
            <w:r w:rsidRPr="00EF4C2D">
              <w:t>Retrieved Sept 2022</w:t>
            </w:r>
          </w:p>
          <w:p w14:paraId="21247B7A" w14:textId="77777777" w:rsidR="00D8137E" w:rsidRPr="00EF4C2D" w:rsidRDefault="00FD5578" w:rsidP="00610DFE">
            <w:pPr>
              <w:pStyle w:val="TableText0"/>
              <w:keepNext w:val="0"/>
              <w:rPr>
                <w:szCs w:val="18"/>
                <w:lang w:val="en-US"/>
              </w:rPr>
            </w:pPr>
            <w:hyperlink r:id="rId9" w:history="1">
              <w:r w:rsidR="00D8137E" w:rsidRPr="00EF4C2D">
                <w:rPr>
                  <w:rStyle w:val="Hyperlink"/>
                  <w:szCs w:val="18"/>
                  <w:lang w:val="en-US"/>
                </w:rPr>
                <w:t>https://clinicaltrials.gov/ct2/show/NCT00168064</w:t>
              </w:r>
            </w:hyperlink>
            <w:r w:rsidR="00D8137E" w:rsidRPr="00EF4C2D">
              <w:rPr>
                <w:szCs w:val="18"/>
                <w:lang w:val="en-US"/>
              </w:rPr>
              <w:t>.</w:t>
            </w:r>
          </w:p>
        </w:tc>
      </w:tr>
      <w:tr w:rsidR="00D8137E" w:rsidRPr="00EF4C2D" w14:paraId="647B5D57" w14:textId="77777777" w:rsidTr="007F1B4F">
        <w:trPr>
          <w:cantSplit/>
        </w:trPr>
        <w:tc>
          <w:tcPr>
            <w:tcW w:w="415" w:type="pct"/>
            <w:tcBorders>
              <w:top w:val="nil"/>
              <w:bottom w:val="nil"/>
            </w:tcBorders>
            <w:vAlign w:val="center"/>
          </w:tcPr>
          <w:p w14:paraId="47F427DA" w14:textId="77777777" w:rsidR="00D8137E" w:rsidRPr="00EF4C2D" w:rsidRDefault="00D8137E" w:rsidP="00610DFE">
            <w:pPr>
              <w:pStyle w:val="TableText0"/>
              <w:keepNext w:val="0"/>
            </w:pPr>
          </w:p>
        </w:tc>
        <w:tc>
          <w:tcPr>
            <w:tcW w:w="2490" w:type="pct"/>
            <w:tcBorders>
              <w:top w:val="nil"/>
              <w:bottom w:val="nil"/>
            </w:tcBorders>
            <w:vAlign w:val="center"/>
          </w:tcPr>
          <w:p w14:paraId="7CA9A4CB" w14:textId="77777777" w:rsidR="00D8137E" w:rsidRPr="00EF4C2D" w:rsidRDefault="00D8137E" w:rsidP="00610DFE">
            <w:pPr>
              <w:pStyle w:val="TableText0"/>
              <w:keepNext w:val="0"/>
            </w:pPr>
            <w:r w:rsidRPr="00EF4C2D">
              <w:rPr>
                <w:lang w:val="nb-NO"/>
              </w:rPr>
              <w:t xml:space="preserve">Assaf C, Querfeld C, et al. </w:t>
            </w:r>
            <w:r w:rsidRPr="00EF4C2D">
              <w:t xml:space="preserve">A Post-Hoc Analysis of Clinical Trial Data Shows That Prior Phototherapy Does Not Affect Response to Chlormethine Gel in Patients With Mycosis Fungoides. </w:t>
            </w:r>
          </w:p>
        </w:tc>
        <w:tc>
          <w:tcPr>
            <w:tcW w:w="2094" w:type="pct"/>
            <w:tcBorders>
              <w:top w:val="nil"/>
              <w:bottom w:val="nil"/>
            </w:tcBorders>
            <w:vAlign w:val="center"/>
          </w:tcPr>
          <w:p w14:paraId="1323EE58" w14:textId="77777777" w:rsidR="00D8137E" w:rsidRPr="00EF4C2D" w:rsidRDefault="00D8137E" w:rsidP="00610DFE">
            <w:pPr>
              <w:pStyle w:val="TableText0"/>
              <w:keepNext w:val="0"/>
              <w:rPr>
                <w:i/>
                <w:szCs w:val="18"/>
                <w:lang w:val="en-US"/>
              </w:rPr>
            </w:pPr>
            <w:r w:rsidRPr="00EF4C2D">
              <w:t>EORTC 2022. Madrid Spain.</w:t>
            </w:r>
          </w:p>
        </w:tc>
      </w:tr>
      <w:tr w:rsidR="00D8137E" w:rsidRPr="00EF4C2D" w14:paraId="39F3D1D4" w14:textId="77777777" w:rsidTr="007F1B4F">
        <w:trPr>
          <w:cantSplit/>
        </w:trPr>
        <w:tc>
          <w:tcPr>
            <w:tcW w:w="415" w:type="pct"/>
            <w:tcBorders>
              <w:top w:val="nil"/>
              <w:bottom w:val="nil"/>
            </w:tcBorders>
            <w:vAlign w:val="center"/>
          </w:tcPr>
          <w:p w14:paraId="6BB8B55C" w14:textId="77777777" w:rsidR="00D8137E" w:rsidRPr="00EF4C2D" w:rsidRDefault="00D8137E" w:rsidP="00610DFE">
            <w:pPr>
              <w:pStyle w:val="TableText0"/>
              <w:keepNext w:val="0"/>
            </w:pPr>
          </w:p>
        </w:tc>
        <w:tc>
          <w:tcPr>
            <w:tcW w:w="2490" w:type="pct"/>
            <w:tcBorders>
              <w:top w:val="nil"/>
              <w:bottom w:val="nil"/>
            </w:tcBorders>
          </w:tcPr>
          <w:p w14:paraId="281273B3" w14:textId="77777777" w:rsidR="00D8137E" w:rsidRPr="00EF4C2D" w:rsidRDefault="00D8137E" w:rsidP="00610DFE">
            <w:pPr>
              <w:pStyle w:val="TableText0"/>
              <w:keepNext w:val="0"/>
            </w:pPr>
            <w:r w:rsidRPr="00EF4C2D">
              <w:t xml:space="preserve">Geskin, L., E. Kim, J. Angello and Y. Kim. Evaluating the Treatment Patterns of Chlormethine/Mechlorethamine Gel in Patients With Stage I-IIA Mycosis Fungoides: By-time Reanalysis of a Randomized Controlled Phase 2 Study. </w:t>
            </w:r>
          </w:p>
        </w:tc>
        <w:tc>
          <w:tcPr>
            <w:tcW w:w="2094" w:type="pct"/>
            <w:tcBorders>
              <w:top w:val="nil"/>
              <w:bottom w:val="nil"/>
            </w:tcBorders>
            <w:vAlign w:val="center"/>
          </w:tcPr>
          <w:p w14:paraId="66ED5572" w14:textId="77777777" w:rsidR="00D8137E" w:rsidRPr="00EF4C2D" w:rsidRDefault="00D8137E" w:rsidP="00610DFE">
            <w:pPr>
              <w:pStyle w:val="TableText0"/>
              <w:keepNext w:val="0"/>
            </w:pPr>
            <w:r w:rsidRPr="00EF4C2D">
              <w:t xml:space="preserve">Clinical Lymphoma, Myeloma and Leukemia 2021; 21(2): 119-124. </w:t>
            </w:r>
          </w:p>
        </w:tc>
      </w:tr>
      <w:tr w:rsidR="00D8137E" w:rsidRPr="00EF4C2D" w14:paraId="54FD2583" w14:textId="77777777" w:rsidTr="007F1B4F">
        <w:trPr>
          <w:cantSplit/>
        </w:trPr>
        <w:tc>
          <w:tcPr>
            <w:tcW w:w="415" w:type="pct"/>
            <w:tcBorders>
              <w:top w:val="nil"/>
              <w:bottom w:val="nil"/>
            </w:tcBorders>
            <w:vAlign w:val="center"/>
          </w:tcPr>
          <w:p w14:paraId="59C57C91" w14:textId="77777777" w:rsidR="00D8137E" w:rsidRPr="00EF4C2D" w:rsidRDefault="00D8137E" w:rsidP="00610DFE">
            <w:pPr>
              <w:pStyle w:val="TableText0"/>
              <w:keepNext w:val="0"/>
            </w:pPr>
          </w:p>
        </w:tc>
        <w:tc>
          <w:tcPr>
            <w:tcW w:w="2490" w:type="pct"/>
            <w:tcBorders>
              <w:top w:val="nil"/>
              <w:bottom w:val="nil"/>
            </w:tcBorders>
          </w:tcPr>
          <w:p w14:paraId="0848BC9E" w14:textId="77777777" w:rsidR="00D8137E" w:rsidRPr="00EF4C2D" w:rsidRDefault="00D8137E" w:rsidP="00610DFE">
            <w:pPr>
              <w:pStyle w:val="TableText0"/>
              <w:keepNext w:val="0"/>
            </w:pPr>
            <w:r w:rsidRPr="00EF4C2D">
              <w:t xml:space="preserve">Querfeld, C., J. J. Scarisbrick, C. Assaf, E. Guenova, M. Bagot, P. L. Ortiz-Romero, P. Quaglino, E. Bonizzoni and E. Hodak. "Post hoc Analysis of a Randomized, Controlled, Phase 2 Study to Assess Response Rates with Chlormethine/Mechlorethamine Gel in Patients with Stage IA-IIA Mycosis Fungoides." </w:t>
            </w:r>
          </w:p>
        </w:tc>
        <w:tc>
          <w:tcPr>
            <w:tcW w:w="2094" w:type="pct"/>
            <w:tcBorders>
              <w:top w:val="nil"/>
              <w:bottom w:val="nil"/>
            </w:tcBorders>
            <w:vAlign w:val="center"/>
          </w:tcPr>
          <w:p w14:paraId="6978A920" w14:textId="77777777" w:rsidR="00D8137E" w:rsidRPr="00EF4C2D" w:rsidRDefault="00D8137E" w:rsidP="00610DFE">
            <w:pPr>
              <w:pStyle w:val="TableText0"/>
              <w:keepNext w:val="0"/>
            </w:pPr>
            <w:r w:rsidRPr="00EF4C2D">
              <w:t xml:space="preserve">Dermatology (Basel, Switzerland) 2022; 238(2): 347-357. </w:t>
            </w:r>
          </w:p>
        </w:tc>
      </w:tr>
      <w:tr w:rsidR="00D8137E" w:rsidRPr="00EF4C2D" w14:paraId="5D4F6F0E" w14:textId="77777777" w:rsidTr="007F1B4F">
        <w:trPr>
          <w:cantSplit/>
        </w:trPr>
        <w:tc>
          <w:tcPr>
            <w:tcW w:w="415" w:type="pct"/>
            <w:tcBorders>
              <w:top w:val="nil"/>
              <w:bottom w:val="nil"/>
            </w:tcBorders>
            <w:vAlign w:val="center"/>
          </w:tcPr>
          <w:p w14:paraId="0E94FA38" w14:textId="77777777" w:rsidR="00D8137E" w:rsidRPr="00EF4C2D" w:rsidRDefault="00D8137E" w:rsidP="00610DFE">
            <w:pPr>
              <w:pStyle w:val="TableText0"/>
              <w:keepNext w:val="0"/>
            </w:pPr>
          </w:p>
        </w:tc>
        <w:tc>
          <w:tcPr>
            <w:tcW w:w="2490" w:type="pct"/>
            <w:tcBorders>
              <w:top w:val="nil"/>
              <w:bottom w:val="nil"/>
            </w:tcBorders>
          </w:tcPr>
          <w:p w14:paraId="044FF1D7" w14:textId="77777777" w:rsidR="00D8137E" w:rsidRPr="00EF4C2D" w:rsidRDefault="00D8137E" w:rsidP="00610DFE">
            <w:pPr>
              <w:pStyle w:val="TableText0"/>
              <w:keepNext w:val="0"/>
            </w:pPr>
            <w:r w:rsidRPr="00EF4C2D">
              <w:t>Querfeld, C., J. J. Scarisbrick, C. Assaf, Y. H. Kim, J. Guitart, P. Quaglino and E. Hodak. Chlormethine Gel Versus Chlormethine Ointment for Treatment of Patients with Mycosis Fungoides: A Post-Hoc Analysis of Clinical Trial Data.</w:t>
            </w:r>
          </w:p>
        </w:tc>
        <w:tc>
          <w:tcPr>
            <w:tcW w:w="2094" w:type="pct"/>
            <w:tcBorders>
              <w:top w:val="nil"/>
              <w:bottom w:val="nil"/>
            </w:tcBorders>
            <w:vAlign w:val="center"/>
          </w:tcPr>
          <w:p w14:paraId="09FD8120" w14:textId="77777777" w:rsidR="00D8137E" w:rsidRPr="00EF4C2D" w:rsidRDefault="00D8137E" w:rsidP="00610DFE">
            <w:pPr>
              <w:pStyle w:val="TableText0"/>
              <w:keepNext w:val="0"/>
            </w:pPr>
            <w:r w:rsidRPr="00EF4C2D">
              <w:t xml:space="preserve">Am J Clin Dermatol 2022; 23(4): 561-570. </w:t>
            </w:r>
          </w:p>
        </w:tc>
      </w:tr>
      <w:tr w:rsidR="00D8137E" w:rsidRPr="00EF4C2D" w14:paraId="4961CE48" w14:textId="77777777" w:rsidTr="007F1B4F">
        <w:trPr>
          <w:cantSplit/>
        </w:trPr>
        <w:tc>
          <w:tcPr>
            <w:tcW w:w="415" w:type="pct"/>
            <w:tcBorders>
              <w:top w:val="nil"/>
              <w:bottom w:val="nil"/>
            </w:tcBorders>
            <w:vAlign w:val="center"/>
          </w:tcPr>
          <w:p w14:paraId="4B646266" w14:textId="77777777" w:rsidR="00D8137E" w:rsidRPr="00EF4C2D" w:rsidRDefault="00D8137E" w:rsidP="00610DFE">
            <w:pPr>
              <w:pStyle w:val="TableText0"/>
              <w:keepNext w:val="0"/>
            </w:pPr>
          </w:p>
        </w:tc>
        <w:tc>
          <w:tcPr>
            <w:tcW w:w="2490" w:type="pct"/>
            <w:tcBorders>
              <w:top w:val="nil"/>
              <w:bottom w:val="nil"/>
            </w:tcBorders>
          </w:tcPr>
          <w:p w14:paraId="651FB5A0" w14:textId="77777777" w:rsidR="00D8137E" w:rsidRPr="00EF4C2D" w:rsidRDefault="00D8137E" w:rsidP="00610DFE">
            <w:pPr>
              <w:pStyle w:val="TableText0"/>
              <w:keepNext w:val="0"/>
              <w:rPr>
                <w:lang w:val="nb-NO"/>
              </w:rPr>
            </w:pPr>
            <w:r w:rsidRPr="00EF4C2D">
              <w:t>TGA. (2021). "Ledaga - AUSPAR."</w:t>
            </w:r>
          </w:p>
        </w:tc>
        <w:tc>
          <w:tcPr>
            <w:tcW w:w="2094" w:type="pct"/>
            <w:tcBorders>
              <w:top w:val="nil"/>
              <w:bottom w:val="nil"/>
            </w:tcBorders>
            <w:vAlign w:val="center"/>
          </w:tcPr>
          <w:p w14:paraId="0C879B69" w14:textId="77777777" w:rsidR="00D8137E" w:rsidRPr="00EF4C2D" w:rsidRDefault="00D8137E" w:rsidP="00610DFE">
            <w:pPr>
              <w:pStyle w:val="TableText0"/>
              <w:keepNext w:val="0"/>
            </w:pPr>
            <w:r w:rsidRPr="00EF4C2D">
              <w:t xml:space="preserve">Retrieved Sept 2022, from </w:t>
            </w:r>
            <w:hyperlink r:id="rId10" w:history="1">
              <w:r w:rsidRPr="00EF4C2D">
                <w:rPr>
                  <w:rStyle w:val="Hyperlink"/>
                </w:rPr>
                <w:t>https://www.tga.gov.au/sites/default/files/auspar-chlormethine-hydrochloride-210902.pdf</w:t>
              </w:r>
            </w:hyperlink>
            <w:r w:rsidRPr="00EF4C2D">
              <w:t xml:space="preserve">. </w:t>
            </w:r>
          </w:p>
        </w:tc>
      </w:tr>
      <w:tr w:rsidR="00D8137E" w:rsidRPr="00EF4C2D" w14:paraId="5182BBB3" w14:textId="77777777" w:rsidTr="007F1B4F">
        <w:trPr>
          <w:cantSplit/>
        </w:trPr>
        <w:tc>
          <w:tcPr>
            <w:tcW w:w="415" w:type="pct"/>
            <w:tcBorders>
              <w:top w:val="nil"/>
              <w:bottom w:val="nil"/>
            </w:tcBorders>
            <w:vAlign w:val="center"/>
          </w:tcPr>
          <w:p w14:paraId="48337067" w14:textId="77777777" w:rsidR="00D8137E" w:rsidRPr="00EF4C2D" w:rsidRDefault="00D8137E" w:rsidP="00610DFE">
            <w:pPr>
              <w:pStyle w:val="TableText0"/>
              <w:keepNext w:val="0"/>
            </w:pPr>
          </w:p>
        </w:tc>
        <w:tc>
          <w:tcPr>
            <w:tcW w:w="2490" w:type="pct"/>
            <w:tcBorders>
              <w:top w:val="nil"/>
              <w:bottom w:val="single" w:sz="4" w:space="0" w:color="auto"/>
            </w:tcBorders>
          </w:tcPr>
          <w:p w14:paraId="786C0DDC" w14:textId="77777777" w:rsidR="00D8137E" w:rsidRPr="00EF4C2D" w:rsidRDefault="00D8137E" w:rsidP="00610DFE">
            <w:pPr>
              <w:pStyle w:val="TableText0"/>
              <w:keepNext w:val="0"/>
            </w:pPr>
            <w:r w:rsidRPr="00EF4C2D">
              <w:t>EMA. (2016). LEDAGA - Assessment Report (Procedure No. EMEA/H/C/002826/0000).</w:t>
            </w:r>
          </w:p>
        </w:tc>
        <w:tc>
          <w:tcPr>
            <w:tcW w:w="2094" w:type="pct"/>
            <w:tcBorders>
              <w:top w:val="nil"/>
              <w:bottom w:val="single" w:sz="4" w:space="0" w:color="auto"/>
            </w:tcBorders>
            <w:vAlign w:val="center"/>
          </w:tcPr>
          <w:p w14:paraId="645CA715" w14:textId="77777777" w:rsidR="00D8137E" w:rsidRPr="00EF4C2D" w:rsidRDefault="00D8137E" w:rsidP="00610DFE">
            <w:pPr>
              <w:pStyle w:val="TableText0"/>
              <w:keepNext w:val="0"/>
            </w:pPr>
            <w:r w:rsidRPr="00EF4C2D">
              <w:t xml:space="preserve">Retrieved Sept 2022, from </w:t>
            </w:r>
            <w:hyperlink r:id="rId11" w:history="1">
              <w:r w:rsidRPr="00EF4C2D">
                <w:rPr>
                  <w:rStyle w:val="Hyperlink"/>
                </w:rPr>
                <w:t>https://www.ema.europa.eu/en/documents/assessment-report/ledaga-epar-public-assessment-report_en.pdf</w:t>
              </w:r>
            </w:hyperlink>
            <w:r w:rsidRPr="00EF4C2D">
              <w:t xml:space="preserve">. </w:t>
            </w:r>
          </w:p>
        </w:tc>
      </w:tr>
      <w:tr w:rsidR="00D8137E" w:rsidRPr="00EF4C2D" w14:paraId="29F40295" w14:textId="77777777" w:rsidTr="007F1B4F">
        <w:trPr>
          <w:cantSplit/>
        </w:trPr>
        <w:tc>
          <w:tcPr>
            <w:tcW w:w="415" w:type="pct"/>
            <w:vMerge w:val="restart"/>
            <w:vAlign w:val="center"/>
          </w:tcPr>
          <w:p w14:paraId="1F67B186" w14:textId="77777777" w:rsidR="00D8137E" w:rsidRPr="00EF4C2D" w:rsidRDefault="00D8137E" w:rsidP="00610DFE">
            <w:pPr>
              <w:pStyle w:val="TableText0"/>
              <w:keepNext w:val="0"/>
            </w:pPr>
            <w:r w:rsidRPr="00EF4C2D">
              <w:t>PROVe</w:t>
            </w:r>
          </w:p>
        </w:tc>
        <w:tc>
          <w:tcPr>
            <w:tcW w:w="2490" w:type="pct"/>
            <w:tcBorders>
              <w:bottom w:val="single" w:sz="4" w:space="0" w:color="auto"/>
            </w:tcBorders>
            <w:vAlign w:val="center"/>
          </w:tcPr>
          <w:p w14:paraId="68121FF1" w14:textId="77777777" w:rsidR="00D8137E" w:rsidRPr="00EF4C2D" w:rsidRDefault="00D8137E" w:rsidP="00610DFE">
            <w:pPr>
              <w:pStyle w:val="TableText0"/>
              <w:keepNext w:val="0"/>
            </w:pPr>
            <w:r w:rsidRPr="00EF4C2D">
              <w:t>Helsinn Therapeutics (U.S.) Inc. (2014). NCT02296164: Clinical Study Assessing Outcomes, Adverse Events, Treatment Patterns, and Quality of Life in Patients Diagnosed With Mycosis Fungoides Cutaneous T-cell Lymphoma (PROVe).</w:t>
            </w:r>
          </w:p>
        </w:tc>
        <w:tc>
          <w:tcPr>
            <w:tcW w:w="2094" w:type="pct"/>
            <w:tcBorders>
              <w:bottom w:val="single" w:sz="4" w:space="0" w:color="auto"/>
            </w:tcBorders>
            <w:vAlign w:val="center"/>
          </w:tcPr>
          <w:p w14:paraId="1A605E95" w14:textId="77777777" w:rsidR="00D8137E" w:rsidRPr="00EF4C2D" w:rsidRDefault="00D8137E" w:rsidP="00610DFE">
            <w:pPr>
              <w:pStyle w:val="TableText0"/>
              <w:keepNext w:val="0"/>
            </w:pPr>
            <w:r w:rsidRPr="00EF4C2D">
              <w:t>Retrieved Sept 2022, from https://clinicaltrials.gov/show/NCT02296164.</w:t>
            </w:r>
          </w:p>
          <w:p w14:paraId="7E194188" w14:textId="77777777" w:rsidR="00D8137E" w:rsidRPr="00EF4C2D" w:rsidRDefault="00D8137E" w:rsidP="00610DFE">
            <w:pPr>
              <w:pStyle w:val="TableText0"/>
              <w:keepNext w:val="0"/>
            </w:pPr>
          </w:p>
        </w:tc>
      </w:tr>
      <w:tr w:rsidR="00D8137E" w:rsidRPr="00EF4C2D" w14:paraId="2CC4869E" w14:textId="77777777" w:rsidTr="007F1B4F">
        <w:trPr>
          <w:cantSplit/>
        </w:trPr>
        <w:tc>
          <w:tcPr>
            <w:tcW w:w="415" w:type="pct"/>
            <w:vMerge/>
            <w:vAlign w:val="center"/>
          </w:tcPr>
          <w:p w14:paraId="1113D17E" w14:textId="77777777" w:rsidR="00D8137E" w:rsidRPr="00EF4C2D" w:rsidRDefault="00D8137E" w:rsidP="007C08EB">
            <w:pPr>
              <w:pStyle w:val="TableText0"/>
              <w:keepNext w:val="0"/>
              <w:keepLines/>
            </w:pPr>
          </w:p>
        </w:tc>
        <w:tc>
          <w:tcPr>
            <w:tcW w:w="2490" w:type="pct"/>
            <w:tcBorders>
              <w:top w:val="single" w:sz="4" w:space="0" w:color="auto"/>
              <w:bottom w:val="nil"/>
            </w:tcBorders>
          </w:tcPr>
          <w:p w14:paraId="40588D90" w14:textId="77777777" w:rsidR="00D8137E" w:rsidRPr="00EF4C2D" w:rsidRDefault="00D8137E" w:rsidP="007C08EB">
            <w:pPr>
              <w:pStyle w:val="TableText0"/>
              <w:keepNext w:val="0"/>
              <w:keepLines/>
              <w:rPr>
                <w:szCs w:val="18"/>
              </w:rPr>
            </w:pPr>
            <w:r w:rsidRPr="00EF4C2D">
              <w:t>Kim, E. J., J. Guitart, C. Querfeld, M. Girardi, A. Musiek, O. E. Akilov, J. T. Angello, W. L. Bailey and L. J. Geskin. The PROVe Study: US Real-World Experience with Chlormethine/Mechlorethamine Gel in Combination with Other Therapies for Patients with Mycosis Fungoides Cutaneous T-Cell Lymphoma.</w:t>
            </w:r>
          </w:p>
        </w:tc>
        <w:tc>
          <w:tcPr>
            <w:tcW w:w="2094" w:type="pct"/>
            <w:tcBorders>
              <w:top w:val="single" w:sz="4" w:space="0" w:color="auto"/>
              <w:bottom w:val="nil"/>
            </w:tcBorders>
            <w:vAlign w:val="center"/>
          </w:tcPr>
          <w:p w14:paraId="203BAF65" w14:textId="77777777" w:rsidR="00D8137E" w:rsidRPr="00EF4C2D" w:rsidRDefault="00D8137E" w:rsidP="007C08EB">
            <w:pPr>
              <w:pStyle w:val="TableText0"/>
              <w:keepNext w:val="0"/>
              <w:keepLines/>
              <w:rPr>
                <w:i/>
              </w:rPr>
            </w:pPr>
            <w:r w:rsidRPr="00EF4C2D">
              <w:t xml:space="preserve">Am J Clin Dermatol 2021; 22(3): 407-411. </w:t>
            </w:r>
          </w:p>
        </w:tc>
      </w:tr>
      <w:tr w:rsidR="00D8137E" w:rsidRPr="00EF4C2D" w14:paraId="22C917D2" w14:textId="77777777" w:rsidTr="007F1B4F">
        <w:trPr>
          <w:cantSplit/>
        </w:trPr>
        <w:tc>
          <w:tcPr>
            <w:tcW w:w="415" w:type="pct"/>
            <w:vMerge/>
            <w:tcBorders>
              <w:bottom w:val="nil"/>
            </w:tcBorders>
            <w:vAlign w:val="center"/>
          </w:tcPr>
          <w:p w14:paraId="0A6D1579" w14:textId="77777777" w:rsidR="00D8137E" w:rsidRPr="00EF4C2D" w:rsidRDefault="00D8137E" w:rsidP="007C08EB">
            <w:pPr>
              <w:pStyle w:val="TableText0"/>
              <w:keepNext w:val="0"/>
              <w:keepLines/>
            </w:pPr>
          </w:p>
        </w:tc>
        <w:tc>
          <w:tcPr>
            <w:tcW w:w="2490" w:type="pct"/>
            <w:tcBorders>
              <w:top w:val="nil"/>
              <w:bottom w:val="nil"/>
            </w:tcBorders>
          </w:tcPr>
          <w:p w14:paraId="15DD6DAB" w14:textId="77777777" w:rsidR="00D8137E" w:rsidRPr="00EF4C2D" w:rsidRDefault="00D8137E" w:rsidP="007C08EB">
            <w:pPr>
              <w:pStyle w:val="TableText0"/>
              <w:keepNext w:val="0"/>
              <w:keepLines/>
              <w:rPr>
                <w:szCs w:val="18"/>
              </w:rPr>
            </w:pPr>
            <w:r w:rsidRPr="00EF4C2D">
              <w:t>Kim, E., E. Gilmore, B. Poligone and C. Querfeld. Chlormethine Gel for Mycosis Fungoides T-cell Lymphoma: Recent Real-World Data.</w:t>
            </w:r>
          </w:p>
        </w:tc>
        <w:tc>
          <w:tcPr>
            <w:tcW w:w="2094" w:type="pct"/>
            <w:tcBorders>
              <w:top w:val="nil"/>
              <w:bottom w:val="nil"/>
            </w:tcBorders>
            <w:vAlign w:val="center"/>
          </w:tcPr>
          <w:p w14:paraId="6AC50120" w14:textId="77777777" w:rsidR="00D8137E" w:rsidRPr="00EF4C2D" w:rsidRDefault="00D8137E" w:rsidP="007C08EB">
            <w:pPr>
              <w:pStyle w:val="TableText0"/>
              <w:keepNext w:val="0"/>
              <w:keepLines/>
            </w:pPr>
            <w:r w:rsidRPr="00EF4C2D">
              <w:t xml:space="preserve">EMJ 2020; 5(2): 37-41. </w:t>
            </w:r>
          </w:p>
        </w:tc>
      </w:tr>
      <w:tr w:rsidR="00D8137E" w:rsidRPr="00EF4C2D" w14:paraId="7AA63A25" w14:textId="77777777" w:rsidTr="00610DFE">
        <w:trPr>
          <w:cantSplit/>
        </w:trPr>
        <w:tc>
          <w:tcPr>
            <w:tcW w:w="5000" w:type="pct"/>
            <w:gridSpan w:val="3"/>
            <w:tcBorders>
              <w:bottom w:val="nil"/>
            </w:tcBorders>
            <w:vAlign w:val="center"/>
          </w:tcPr>
          <w:p w14:paraId="17A39C0C" w14:textId="77777777" w:rsidR="00D8137E" w:rsidRPr="00EF4C2D" w:rsidRDefault="00D8137E" w:rsidP="007C08EB">
            <w:pPr>
              <w:pStyle w:val="TableText0"/>
              <w:keepNext w:val="0"/>
              <w:keepLines/>
            </w:pPr>
            <w:r w:rsidRPr="00EF4C2D">
              <w:t>Phototherapy trials</w:t>
            </w:r>
          </w:p>
        </w:tc>
      </w:tr>
      <w:tr w:rsidR="00FA2806" w:rsidRPr="00EF4C2D" w14:paraId="73A84BC6" w14:textId="77777777" w:rsidTr="007F1B4F">
        <w:trPr>
          <w:cantSplit/>
          <w:trHeight w:val="999"/>
        </w:trPr>
        <w:tc>
          <w:tcPr>
            <w:tcW w:w="415" w:type="pct"/>
            <w:vMerge w:val="restart"/>
            <w:vAlign w:val="center"/>
          </w:tcPr>
          <w:p w14:paraId="561189B6" w14:textId="77777777" w:rsidR="00FA2806" w:rsidRPr="00EF4C2D" w:rsidRDefault="00FA2806" w:rsidP="007C08EB">
            <w:pPr>
              <w:pStyle w:val="TableText0"/>
              <w:keepNext w:val="0"/>
              <w:keepLines/>
            </w:pPr>
            <w:r w:rsidRPr="00EF4C2D">
              <w:t>El-Mofty 2012</w:t>
            </w:r>
          </w:p>
        </w:tc>
        <w:tc>
          <w:tcPr>
            <w:tcW w:w="2490" w:type="pct"/>
            <w:tcBorders>
              <w:bottom w:val="nil"/>
            </w:tcBorders>
            <w:vAlign w:val="center"/>
          </w:tcPr>
          <w:p w14:paraId="79DCF716" w14:textId="77777777" w:rsidR="00FA2806" w:rsidRPr="00EF4C2D" w:rsidRDefault="00FA2806" w:rsidP="007C08EB">
            <w:pPr>
              <w:pStyle w:val="TableText0"/>
              <w:keepNext w:val="0"/>
              <w:keepLines/>
            </w:pPr>
            <w:r w:rsidRPr="00EF4C2D">
              <w:t xml:space="preserve">El Mofty, M., S. Ramadan, M. M. Fawzy, R. A. Hegazy and S. Sayed. Broad band UVA: a possible reliable alternative to PUVA in the treatment of early-stage mycosis fungoides. </w:t>
            </w:r>
          </w:p>
        </w:tc>
        <w:tc>
          <w:tcPr>
            <w:tcW w:w="2094" w:type="pct"/>
            <w:tcBorders>
              <w:bottom w:val="nil"/>
            </w:tcBorders>
            <w:vAlign w:val="center"/>
          </w:tcPr>
          <w:p w14:paraId="2CFFFD61" w14:textId="77777777" w:rsidR="00FA2806" w:rsidRPr="00EF4C2D" w:rsidRDefault="00FA2806" w:rsidP="007C08EB">
            <w:pPr>
              <w:pStyle w:val="TableText0"/>
              <w:keepNext w:val="0"/>
              <w:keepLines/>
            </w:pPr>
            <w:r w:rsidRPr="00EF4C2D">
              <w:t>Photodermatol Photoimmunol Photomed 2012; 28(5): 274-277.</w:t>
            </w:r>
          </w:p>
        </w:tc>
      </w:tr>
      <w:tr w:rsidR="00FA2806" w:rsidRPr="00EF4C2D" w14:paraId="71DFED54" w14:textId="77777777" w:rsidTr="007F1B4F">
        <w:trPr>
          <w:cantSplit/>
        </w:trPr>
        <w:tc>
          <w:tcPr>
            <w:tcW w:w="415" w:type="pct"/>
            <w:vMerge/>
            <w:vAlign w:val="center"/>
          </w:tcPr>
          <w:p w14:paraId="1A6FED75" w14:textId="34400D4A" w:rsidR="00FA2806" w:rsidRPr="00EF4C2D" w:rsidRDefault="00FA2806" w:rsidP="007C08EB">
            <w:pPr>
              <w:pStyle w:val="TableText0"/>
              <w:keepNext w:val="0"/>
              <w:keepLines/>
            </w:pPr>
          </w:p>
        </w:tc>
        <w:tc>
          <w:tcPr>
            <w:tcW w:w="2490" w:type="pct"/>
            <w:tcBorders>
              <w:top w:val="nil"/>
              <w:bottom w:val="single" w:sz="4" w:space="0" w:color="auto"/>
            </w:tcBorders>
            <w:vAlign w:val="center"/>
          </w:tcPr>
          <w:p w14:paraId="52F5652A" w14:textId="77777777" w:rsidR="00FA2806" w:rsidRPr="00EF4C2D" w:rsidRDefault="00FA2806" w:rsidP="007C08EB">
            <w:pPr>
              <w:pStyle w:val="TableText0"/>
              <w:keepNext w:val="0"/>
              <w:keepLines/>
              <w:rPr>
                <w:szCs w:val="18"/>
              </w:rPr>
            </w:pPr>
            <w:r w:rsidRPr="00EF4C2D">
              <w:t xml:space="preserve">Medical University of Graz. (2012). "NCT01686594: PUVA Maintenance Therapy in Mycosis Fungoides."   </w:t>
            </w:r>
          </w:p>
        </w:tc>
        <w:tc>
          <w:tcPr>
            <w:tcW w:w="2094" w:type="pct"/>
            <w:tcBorders>
              <w:top w:val="nil"/>
              <w:bottom w:val="single" w:sz="4" w:space="0" w:color="auto"/>
            </w:tcBorders>
            <w:vAlign w:val="center"/>
          </w:tcPr>
          <w:p w14:paraId="2B36D6EC" w14:textId="77777777" w:rsidR="00FA2806" w:rsidRPr="00EF4C2D" w:rsidRDefault="00FA2806" w:rsidP="007C08EB">
            <w:pPr>
              <w:pStyle w:val="TableText0"/>
              <w:keepNext w:val="0"/>
              <w:keepLines/>
            </w:pPr>
            <w:r w:rsidRPr="00EF4C2D">
              <w:t xml:space="preserve">Retrieved Sept 2022, from </w:t>
            </w:r>
            <w:hyperlink r:id="rId12" w:history="1">
              <w:r w:rsidRPr="00EF4C2D">
                <w:rPr>
                  <w:rStyle w:val="Hyperlink"/>
                </w:rPr>
                <w:t>https://ClinicalTrials.gov/show/NCT01686594</w:t>
              </w:r>
            </w:hyperlink>
            <w:r w:rsidRPr="00EF4C2D">
              <w:t xml:space="preserve">. </w:t>
            </w:r>
          </w:p>
        </w:tc>
      </w:tr>
      <w:tr w:rsidR="00FA2806" w:rsidRPr="00EF4C2D" w14:paraId="1EBD661F" w14:textId="77777777" w:rsidTr="007F1B4F">
        <w:trPr>
          <w:cantSplit/>
        </w:trPr>
        <w:tc>
          <w:tcPr>
            <w:tcW w:w="415" w:type="pct"/>
            <w:vMerge w:val="restart"/>
            <w:vAlign w:val="center"/>
          </w:tcPr>
          <w:p w14:paraId="36A0A84D" w14:textId="184A9D70" w:rsidR="00FA2806" w:rsidRPr="00EF4C2D" w:rsidRDefault="00FA2806" w:rsidP="007C08EB">
            <w:pPr>
              <w:pStyle w:val="TableText0"/>
              <w:keepNext w:val="0"/>
              <w:keepLines/>
            </w:pPr>
            <w:r w:rsidRPr="00EF4C2D">
              <w:t>Viyera-Garcia 2019</w:t>
            </w:r>
          </w:p>
        </w:tc>
        <w:tc>
          <w:tcPr>
            <w:tcW w:w="2490" w:type="pct"/>
            <w:tcBorders>
              <w:top w:val="nil"/>
              <w:bottom w:val="single" w:sz="4" w:space="0" w:color="auto"/>
            </w:tcBorders>
          </w:tcPr>
          <w:p w14:paraId="4C656452" w14:textId="77777777" w:rsidR="00FA2806" w:rsidRPr="00EF4C2D" w:rsidRDefault="00FA2806" w:rsidP="007C08EB">
            <w:pPr>
              <w:pStyle w:val="TableText0"/>
              <w:keepNext w:val="0"/>
              <w:keepLines/>
            </w:pPr>
            <w:r w:rsidRPr="00EF4C2D">
              <w:t>Vieyra-Garcia, P., R. Fink-Puches, S. Porkert, R. Lang, S. Pochlauer, G. Ratzinger, A. Tanew, S. Selhofer, S. Paul-Gunther, A. Hofer, A. Gruber-Wackernagel, F. Legat, V. Patra, F. Quehenberger, L. Cerroni, R. Clark and P. Wolf . Evaluation of Low-Dose, Low-Frequency Oral Psoralen-UV-A Treatment With or Without Maintenance on Early-Stage Mycosis Fungoides: A Randomized Clinical Trial.</w:t>
            </w:r>
          </w:p>
        </w:tc>
        <w:tc>
          <w:tcPr>
            <w:tcW w:w="2094" w:type="pct"/>
            <w:tcBorders>
              <w:top w:val="nil"/>
              <w:bottom w:val="single" w:sz="4" w:space="0" w:color="auto"/>
            </w:tcBorders>
            <w:vAlign w:val="center"/>
          </w:tcPr>
          <w:p w14:paraId="68C6692A" w14:textId="77777777" w:rsidR="00FA2806" w:rsidRPr="00EF4C2D" w:rsidRDefault="00FA2806" w:rsidP="007C08EB">
            <w:pPr>
              <w:pStyle w:val="TableText0"/>
              <w:keepNext w:val="0"/>
              <w:keepLines/>
            </w:pPr>
            <w:r w:rsidRPr="00EF4C2D">
              <w:t xml:space="preserve">JAMA dermatology 2019; 155(5): 538-547. </w:t>
            </w:r>
          </w:p>
        </w:tc>
      </w:tr>
      <w:tr w:rsidR="00FA2806" w:rsidRPr="00EF4C2D" w14:paraId="3848801D" w14:textId="77777777" w:rsidTr="007F1B4F">
        <w:trPr>
          <w:cantSplit/>
        </w:trPr>
        <w:tc>
          <w:tcPr>
            <w:tcW w:w="415" w:type="pct"/>
            <w:vMerge/>
            <w:vAlign w:val="center"/>
          </w:tcPr>
          <w:p w14:paraId="63038262" w14:textId="77777777" w:rsidR="00FA2806" w:rsidRPr="00EF4C2D" w:rsidRDefault="00FA2806" w:rsidP="007C08EB">
            <w:pPr>
              <w:pStyle w:val="TableText0"/>
              <w:keepNext w:val="0"/>
              <w:keepLines/>
            </w:pPr>
          </w:p>
        </w:tc>
        <w:tc>
          <w:tcPr>
            <w:tcW w:w="2490" w:type="pct"/>
            <w:tcBorders>
              <w:top w:val="nil"/>
              <w:bottom w:val="single" w:sz="4" w:space="0" w:color="auto"/>
            </w:tcBorders>
          </w:tcPr>
          <w:p w14:paraId="18ADE29D" w14:textId="77777777" w:rsidR="00FA2806" w:rsidRPr="00EF4C2D" w:rsidRDefault="00FA2806" w:rsidP="007C08EB">
            <w:pPr>
              <w:pStyle w:val="TableText0"/>
              <w:keepNext w:val="0"/>
              <w:keepLines/>
            </w:pPr>
            <w:r w:rsidRPr="00EF4C2D">
              <w:t xml:space="preserve">Anonymous. "Wording Errors in Abstract, Numeric Errors in Results, and Labeling Errors in Figure 2." </w:t>
            </w:r>
          </w:p>
        </w:tc>
        <w:tc>
          <w:tcPr>
            <w:tcW w:w="2094" w:type="pct"/>
            <w:tcBorders>
              <w:top w:val="nil"/>
              <w:bottom w:val="single" w:sz="4" w:space="0" w:color="auto"/>
            </w:tcBorders>
            <w:vAlign w:val="center"/>
          </w:tcPr>
          <w:p w14:paraId="61DB61EC" w14:textId="77777777" w:rsidR="00FA2806" w:rsidRPr="00EF4C2D" w:rsidRDefault="00FA2806" w:rsidP="007C08EB">
            <w:pPr>
              <w:pStyle w:val="KMC16-Tablecontent"/>
              <w:keepLines/>
              <w:ind w:left="0"/>
            </w:pPr>
            <w:r w:rsidRPr="00EF4C2D">
              <w:rPr>
                <w:lang w:val="en-AU"/>
              </w:rPr>
              <w:t>JAMA Dermatol 2019; 155(5): 638.Correction to Vieyra-Garcia 2019</w:t>
            </w:r>
          </w:p>
        </w:tc>
      </w:tr>
      <w:tr w:rsidR="00FA2806" w:rsidRPr="00EF4C2D" w14:paraId="5B042E89" w14:textId="77777777" w:rsidTr="007F1B4F">
        <w:trPr>
          <w:cantSplit/>
        </w:trPr>
        <w:tc>
          <w:tcPr>
            <w:tcW w:w="415" w:type="pct"/>
            <w:vMerge/>
            <w:vAlign w:val="center"/>
          </w:tcPr>
          <w:p w14:paraId="5067A928" w14:textId="77777777" w:rsidR="00FA2806" w:rsidRPr="00EF4C2D" w:rsidRDefault="00FA2806" w:rsidP="007C08EB">
            <w:pPr>
              <w:pStyle w:val="TableText0"/>
              <w:keepNext w:val="0"/>
              <w:keepLines/>
            </w:pPr>
          </w:p>
        </w:tc>
        <w:tc>
          <w:tcPr>
            <w:tcW w:w="2490" w:type="pct"/>
            <w:tcBorders>
              <w:top w:val="nil"/>
              <w:bottom w:val="single" w:sz="4" w:space="0" w:color="auto"/>
            </w:tcBorders>
          </w:tcPr>
          <w:p w14:paraId="33D14E74" w14:textId="77777777" w:rsidR="00FA2806" w:rsidRPr="00EF4C2D" w:rsidRDefault="00FA2806" w:rsidP="007C08EB">
            <w:pPr>
              <w:pStyle w:val="TableText0"/>
              <w:keepNext w:val="0"/>
              <w:keepLines/>
            </w:pPr>
            <w:r w:rsidRPr="00EF4C2D">
              <w:t>Vieyra-Garcia, P., R. Fink-Puches, R. Clark and et al. PUVA and maintenance treatment in mycosis fungoides: Systemic aberrant cytokine expression is a predictor of outcome.</w:t>
            </w:r>
          </w:p>
        </w:tc>
        <w:tc>
          <w:tcPr>
            <w:tcW w:w="2094" w:type="pct"/>
            <w:tcBorders>
              <w:top w:val="nil"/>
              <w:bottom w:val="single" w:sz="4" w:space="0" w:color="auto"/>
            </w:tcBorders>
            <w:vAlign w:val="center"/>
          </w:tcPr>
          <w:p w14:paraId="7FBB99B2" w14:textId="77777777" w:rsidR="00FA2806" w:rsidRPr="00EF4C2D" w:rsidRDefault="00FA2806" w:rsidP="007C08EB">
            <w:pPr>
              <w:pStyle w:val="TableText0"/>
              <w:keepNext w:val="0"/>
              <w:keepLines/>
            </w:pPr>
            <w:r w:rsidRPr="00EF4C2D">
              <w:t xml:space="preserve">Journal of Investigative Dermatology 2018; 138(5 Suppl 1): S98. </w:t>
            </w:r>
          </w:p>
        </w:tc>
      </w:tr>
      <w:tr w:rsidR="00FA2806" w:rsidRPr="00EF4C2D" w14:paraId="7541A9F0" w14:textId="77777777" w:rsidTr="007F1B4F">
        <w:trPr>
          <w:cantSplit/>
        </w:trPr>
        <w:tc>
          <w:tcPr>
            <w:tcW w:w="415" w:type="pct"/>
            <w:vMerge/>
            <w:vAlign w:val="center"/>
          </w:tcPr>
          <w:p w14:paraId="4A7A14C3" w14:textId="77777777" w:rsidR="00FA2806" w:rsidRPr="00EF4C2D" w:rsidRDefault="00FA2806" w:rsidP="007C08EB">
            <w:pPr>
              <w:pStyle w:val="TableText0"/>
              <w:keepNext w:val="0"/>
              <w:keepLines/>
            </w:pPr>
          </w:p>
        </w:tc>
        <w:tc>
          <w:tcPr>
            <w:tcW w:w="2490" w:type="pct"/>
            <w:tcBorders>
              <w:top w:val="nil"/>
              <w:bottom w:val="single" w:sz="4" w:space="0" w:color="auto"/>
            </w:tcBorders>
          </w:tcPr>
          <w:p w14:paraId="487B5242" w14:textId="77777777" w:rsidR="00FA2806" w:rsidRPr="00EF4C2D" w:rsidRDefault="00FA2806" w:rsidP="007C08EB">
            <w:pPr>
              <w:pStyle w:val="TableText0"/>
              <w:keepNext w:val="0"/>
              <w:keepLines/>
            </w:pPr>
            <w:r w:rsidRPr="00EF4C2D">
              <w:t>Vieyra-Garcia, P., R. Fink-Puches, S. Porkert and et al. Effectiveness of low-dose, low-frequency PUVA treatment and maintenance in early-stage (IA-IIA) mycosis fungoides.</w:t>
            </w:r>
          </w:p>
        </w:tc>
        <w:tc>
          <w:tcPr>
            <w:tcW w:w="2094" w:type="pct"/>
            <w:tcBorders>
              <w:top w:val="nil"/>
              <w:bottom w:val="single" w:sz="4" w:space="0" w:color="auto"/>
            </w:tcBorders>
            <w:vAlign w:val="center"/>
          </w:tcPr>
          <w:p w14:paraId="3E0F8A83" w14:textId="77777777" w:rsidR="00FA2806" w:rsidRPr="00EF4C2D" w:rsidRDefault="00FA2806" w:rsidP="007C08EB">
            <w:pPr>
              <w:pStyle w:val="TableText0"/>
              <w:keepNext w:val="0"/>
              <w:keepLines/>
            </w:pPr>
            <w:r w:rsidRPr="00EF4C2D">
              <w:t xml:space="preserve">Experimental Dermatology 2018; 27(Suppl 2): 46. </w:t>
            </w:r>
          </w:p>
        </w:tc>
      </w:tr>
      <w:tr w:rsidR="00FA2806" w:rsidRPr="00EF4C2D" w14:paraId="3732DFE3" w14:textId="77777777" w:rsidTr="007F1B4F">
        <w:trPr>
          <w:cantSplit/>
        </w:trPr>
        <w:tc>
          <w:tcPr>
            <w:tcW w:w="415" w:type="pct"/>
            <w:vMerge/>
            <w:vAlign w:val="center"/>
          </w:tcPr>
          <w:p w14:paraId="73216108" w14:textId="77777777" w:rsidR="00FA2806" w:rsidRPr="00EF4C2D" w:rsidRDefault="00FA2806" w:rsidP="007C08EB">
            <w:pPr>
              <w:pStyle w:val="TableText0"/>
              <w:keepNext w:val="0"/>
              <w:keepLines/>
            </w:pPr>
          </w:p>
        </w:tc>
        <w:tc>
          <w:tcPr>
            <w:tcW w:w="2490" w:type="pct"/>
            <w:tcBorders>
              <w:top w:val="nil"/>
              <w:bottom w:val="single" w:sz="4" w:space="0" w:color="auto"/>
            </w:tcBorders>
          </w:tcPr>
          <w:p w14:paraId="6294720E" w14:textId="77777777" w:rsidR="00FA2806" w:rsidRPr="00EF4C2D" w:rsidRDefault="00FA2806" w:rsidP="007C08EB">
            <w:pPr>
              <w:pStyle w:val="TableText0"/>
              <w:keepNext w:val="0"/>
              <w:keepLines/>
            </w:pPr>
            <w:r w:rsidRPr="00EF4C2D">
              <w:rPr>
                <w:lang w:val="de-DE"/>
              </w:rPr>
              <w:t xml:space="preserve">Graier, T., R. Fink-Puches, S. Porkert, R. Lang, S. Pöchlauer, G. Ratzinger, A. Tanew, S. Selhofer, P. G. Sator, A. Hofer, A. Gruber-Wackernagel, F. J. Legat, P. A. Vieyra-Garcia, F. Quehenberger and P. Wolf. </w:t>
            </w:r>
            <w:r w:rsidRPr="00EF4C2D">
              <w:t>Quality of Life, Anxiety, and Depression in Patients With Early-Stage Mycosis Fungoides and the Effect of Oral Psoralen Plus UV-A (PUVA) Photochemotherapy on it.</w:t>
            </w:r>
          </w:p>
        </w:tc>
        <w:tc>
          <w:tcPr>
            <w:tcW w:w="2094" w:type="pct"/>
            <w:tcBorders>
              <w:top w:val="nil"/>
              <w:bottom w:val="single" w:sz="4" w:space="0" w:color="auto"/>
            </w:tcBorders>
            <w:vAlign w:val="center"/>
          </w:tcPr>
          <w:p w14:paraId="73E8708E" w14:textId="77777777" w:rsidR="00FA2806" w:rsidRPr="00EF4C2D" w:rsidRDefault="00FA2806" w:rsidP="007C08EB">
            <w:pPr>
              <w:pStyle w:val="TableText0"/>
              <w:keepNext w:val="0"/>
              <w:keepLines/>
            </w:pPr>
            <w:r w:rsidRPr="00EF4C2D">
              <w:t xml:space="preserve">Front Med (Lausanne) 2020; 7: 330. </w:t>
            </w:r>
          </w:p>
        </w:tc>
      </w:tr>
      <w:tr w:rsidR="00FA2806" w:rsidRPr="00EF4C2D" w14:paraId="3E7681E7" w14:textId="77777777" w:rsidTr="007F1B4F">
        <w:trPr>
          <w:cantSplit/>
        </w:trPr>
        <w:tc>
          <w:tcPr>
            <w:tcW w:w="415" w:type="pct"/>
            <w:vMerge/>
            <w:tcBorders>
              <w:bottom w:val="single" w:sz="4" w:space="0" w:color="auto"/>
            </w:tcBorders>
            <w:vAlign w:val="center"/>
          </w:tcPr>
          <w:p w14:paraId="35C3DB50" w14:textId="77777777" w:rsidR="00FA2806" w:rsidRPr="00EF4C2D" w:rsidRDefault="00FA2806" w:rsidP="007C08EB">
            <w:pPr>
              <w:pStyle w:val="TableText0"/>
              <w:keepNext w:val="0"/>
              <w:keepLines/>
            </w:pPr>
          </w:p>
        </w:tc>
        <w:tc>
          <w:tcPr>
            <w:tcW w:w="2490" w:type="pct"/>
            <w:tcBorders>
              <w:top w:val="nil"/>
              <w:bottom w:val="single" w:sz="4" w:space="0" w:color="auto"/>
            </w:tcBorders>
            <w:vAlign w:val="center"/>
          </w:tcPr>
          <w:p w14:paraId="35C1495B" w14:textId="77777777" w:rsidR="00FA2806" w:rsidRPr="00EF4C2D" w:rsidRDefault="00FA2806" w:rsidP="007C08EB">
            <w:pPr>
              <w:pStyle w:val="TableText0"/>
              <w:keepNext w:val="0"/>
              <w:keepLines/>
            </w:pPr>
            <w:r w:rsidRPr="00EF4C2D">
              <w:rPr>
                <w:lang w:val="de-DE"/>
              </w:rPr>
              <w:t xml:space="preserve">Graier, T., R. Fink-Puches, S. Porkert, R. Lang, S. Pöchlauer, G. Ratzinger, A. Tanew, S. Selhofer, P. G. Sator, A. Hofer, A. Gruber-Wackernagel, F. J. Legat, P. A. Vieyra-Garcia, F. Quehenberger and P. Wolf. </w:t>
            </w:r>
            <w:r w:rsidRPr="00EF4C2D">
              <w:t>Quality of Life, Anxiety, and Depression in Patients With Early-Stage Mycosis Fungoides and the Effect of Oral Psoralen Plus UV-A (PUVA) Photochemotherapy on it.</w:t>
            </w:r>
          </w:p>
        </w:tc>
        <w:tc>
          <w:tcPr>
            <w:tcW w:w="2094" w:type="pct"/>
            <w:tcBorders>
              <w:top w:val="nil"/>
              <w:bottom w:val="single" w:sz="4" w:space="0" w:color="auto"/>
            </w:tcBorders>
            <w:vAlign w:val="center"/>
          </w:tcPr>
          <w:p w14:paraId="5327F1DD" w14:textId="77777777" w:rsidR="00FA2806" w:rsidRPr="00EF4C2D" w:rsidRDefault="00FA2806" w:rsidP="007C08EB">
            <w:pPr>
              <w:pStyle w:val="TableText0"/>
              <w:keepNext w:val="0"/>
              <w:keepLines/>
            </w:pPr>
            <w:r w:rsidRPr="00EF4C2D">
              <w:t xml:space="preserve">Front Med (Lausanne) 2020; 7: 330. </w:t>
            </w:r>
          </w:p>
        </w:tc>
      </w:tr>
      <w:tr w:rsidR="00D8137E" w:rsidRPr="00EF4C2D" w14:paraId="65A2B0F4" w14:textId="77777777" w:rsidTr="007F1B4F">
        <w:trPr>
          <w:cantSplit/>
        </w:trPr>
        <w:tc>
          <w:tcPr>
            <w:tcW w:w="415" w:type="pct"/>
            <w:tcBorders>
              <w:top w:val="nil"/>
              <w:bottom w:val="single" w:sz="4" w:space="0" w:color="auto"/>
            </w:tcBorders>
            <w:vAlign w:val="center"/>
          </w:tcPr>
          <w:p w14:paraId="636253DB" w14:textId="77777777" w:rsidR="00D8137E" w:rsidRPr="00EF4C2D" w:rsidRDefault="00D8137E" w:rsidP="007C08EB">
            <w:pPr>
              <w:pStyle w:val="TableText0"/>
              <w:keepNext w:val="0"/>
              <w:keepLines/>
            </w:pPr>
            <w:r w:rsidRPr="00EF4C2D">
              <w:t>Whittaker 2012</w:t>
            </w:r>
          </w:p>
        </w:tc>
        <w:tc>
          <w:tcPr>
            <w:tcW w:w="2490" w:type="pct"/>
            <w:tcBorders>
              <w:top w:val="nil"/>
              <w:bottom w:val="single" w:sz="4" w:space="0" w:color="auto"/>
            </w:tcBorders>
            <w:vAlign w:val="center"/>
          </w:tcPr>
          <w:p w14:paraId="4E37E9B3" w14:textId="77777777" w:rsidR="00D8137E" w:rsidRPr="00EF4C2D" w:rsidRDefault="00D8137E" w:rsidP="007C08EB">
            <w:pPr>
              <w:pStyle w:val="TableText0"/>
              <w:keepNext w:val="0"/>
              <w:keepLines/>
            </w:pPr>
            <w:r w:rsidRPr="00EF4C2D">
              <w:t>European Organisation for Research and Treatment of Cancer – EORTC. (2007). NCT00056056: A Randomized, Open-Label Phase III Trial to Evaluate the Efficacy and Safety of Bexarotene (Targretin) Capsules Combined With PUVA, Compared to PUVA Treatment Alone in Patients With Mycosis Fungoides.</w:t>
            </w:r>
          </w:p>
        </w:tc>
        <w:tc>
          <w:tcPr>
            <w:tcW w:w="2094" w:type="pct"/>
            <w:tcBorders>
              <w:top w:val="nil"/>
              <w:bottom w:val="single" w:sz="4" w:space="0" w:color="auto"/>
            </w:tcBorders>
            <w:vAlign w:val="center"/>
          </w:tcPr>
          <w:p w14:paraId="520D5C81" w14:textId="77777777" w:rsidR="00D8137E" w:rsidRPr="00EF4C2D" w:rsidRDefault="00D8137E" w:rsidP="007C08EB">
            <w:pPr>
              <w:pStyle w:val="TableText0"/>
              <w:keepNext w:val="0"/>
              <w:keepLines/>
            </w:pPr>
            <w:r w:rsidRPr="00EF4C2D">
              <w:t xml:space="preserve">Retrieved Sept 2022, from </w:t>
            </w:r>
            <w:hyperlink r:id="rId13" w:history="1">
              <w:r w:rsidRPr="00EF4C2D">
                <w:rPr>
                  <w:rStyle w:val="Hyperlink"/>
                </w:rPr>
                <w:t>https://www.clinicaltrials.gov/ct2/show/NCT00056056</w:t>
              </w:r>
            </w:hyperlink>
            <w:r w:rsidRPr="00EF4C2D">
              <w:t xml:space="preserve">. </w:t>
            </w:r>
          </w:p>
        </w:tc>
      </w:tr>
      <w:tr w:rsidR="00D8137E" w:rsidRPr="00EF4C2D" w14:paraId="476CE43E" w14:textId="77777777" w:rsidTr="007F1B4F">
        <w:trPr>
          <w:cantSplit/>
        </w:trPr>
        <w:tc>
          <w:tcPr>
            <w:tcW w:w="415" w:type="pct"/>
            <w:tcBorders>
              <w:top w:val="nil"/>
              <w:bottom w:val="single" w:sz="4" w:space="0" w:color="auto"/>
            </w:tcBorders>
            <w:vAlign w:val="center"/>
          </w:tcPr>
          <w:p w14:paraId="2D6B76A7" w14:textId="77777777" w:rsidR="00D8137E" w:rsidRPr="00EF4C2D" w:rsidRDefault="00D8137E" w:rsidP="007C08EB">
            <w:pPr>
              <w:pStyle w:val="TableText0"/>
              <w:keepNext w:val="0"/>
              <w:keepLines/>
            </w:pPr>
          </w:p>
        </w:tc>
        <w:tc>
          <w:tcPr>
            <w:tcW w:w="2490" w:type="pct"/>
            <w:tcBorders>
              <w:top w:val="nil"/>
              <w:bottom w:val="single" w:sz="4" w:space="0" w:color="auto"/>
            </w:tcBorders>
            <w:vAlign w:val="center"/>
          </w:tcPr>
          <w:p w14:paraId="0EB3C1BB" w14:textId="77777777" w:rsidR="00D8137E" w:rsidRPr="00EF4C2D" w:rsidRDefault="00D8137E" w:rsidP="007C08EB">
            <w:pPr>
              <w:pStyle w:val="TableText0"/>
              <w:keepNext w:val="0"/>
              <w:keepLines/>
              <w:rPr>
                <w:szCs w:val="18"/>
              </w:rPr>
            </w:pPr>
            <w:r w:rsidRPr="00EF4C2D">
              <w:rPr>
                <w:lang w:val="de-DE"/>
              </w:rPr>
              <w:t xml:space="preserve">Whittaker, S., P. Ortiz, R. Dummer, A. Ranki, B. Hasan, B. Meulemans, S. Gellrich, R. Knobler, R. Stadler and M. Karrasch. </w:t>
            </w:r>
            <w:r w:rsidRPr="00EF4C2D">
              <w:t>“Efficacy and safety of bexarotene combined with psoralen-ultraviolet A (PUVA) compared with PUVA treatment alone in Stage IB-IIA mycosis fungoides: final results from the EORTC Cutaneous Lymphoma Task Force phase III randomized clinical trial (NCT00056056)</w:t>
            </w:r>
          </w:p>
        </w:tc>
        <w:tc>
          <w:tcPr>
            <w:tcW w:w="2094" w:type="pct"/>
            <w:tcBorders>
              <w:top w:val="nil"/>
              <w:bottom w:val="single" w:sz="4" w:space="0" w:color="auto"/>
            </w:tcBorders>
            <w:vAlign w:val="center"/>
          </w:tcPr>
          <w:p w14:paraId="211BED57" w14:textId="77777777" w:rsidR="00D8137E" w:rsidRPr="00EF4C2D" w:rsidRDefault="00D8137E" w:rsidP="007C08EB">
            <w:pPr>
              <w:pStyle w:val="TableText0"/>
              <w:keepNext w:val="0"/>
              <w:keepLines/>
            </w:pPr>
            <w:r w:rsidRPr="00EF4C2D">
              <w:t xml:space="preserve">The British journal of dermatology 2012; 167(3): 678-687. </w:t>
            </w:r>
          </w:p>
        </w:tc>
      </w:tr>
    </w:tbl>
    <w:p w14:paraId="377CFCDC" w14:textId="77777777" w:rsidR="00D8137E" w:rsidRPr="00EF4C2D" w:rsidRDefault="00D8137E" w:rsidP="00D8137E">
      <w:pPr>
        <w:pStyle w:val="FooterTableFigure"/>
      </w:pPr>
      <w:bookmarkStart w:id="36" w:name="_Hlk121403313"/>
      <w:r w:rsidRPr="00EF4C2D">
        <w:t>Source: Table 2-5 pp60-62 of the submission.</w:t>
      </w:r>
    </w:p>
    <w:p w14:paraId="50FD51B2" w14:textId="77777777" w:rsidR="00D8137E" w:rsidRPr="00EF4C2D" w:rsidRDefault="00D8137E" w:rsidP="00D8137E">
      <w:pPr>
        <w:pStyle w:val="FooterTableFigure"/>
        <w:rPr>
          <w:sz w:val="20"/>
        </w:rPr>
      </w:pPr>
      <w:r w:rsidRPr="00EF4C2D">
        <w:t xml:space="preserve">BB=broad band; EORT= European Organisation for Research and Treatment; EMA=European Medicines Agency; ITC=indirect treatment comparison; </w:t>
      </w:r>
      <w:r w:rsidRPr="00EF4C2D">
        <w:rPr>
          <w:szCs w:val="18"/>
        </w:rPr>
        <w:t>MF-CTCL= mycosis fungoides-type cutaneous T-cell Lymphoma</w:t>
      </w:r>
      <w:r w:rsidRPr="00EF4C2D">
        <w:t>; PUVA=psoralen ultraviolet A; UVA= ultraviolet A</w:t>
      </w:r>
      <w:bookmarkEnd w:id="36"/>
    </w:p>
    <w:p w14:paraId="21340856" w14:textId="0FC7C56F" w:rsidR="00D8137E" w:rsidRPr="00EF4C2D" w:rsidRDefault="00D8137E" w:rsidP="00D8137E">
      <w:pPr>
        <w:pStyle w:val="3-BodyText"/>
        <w:ind w:left="709" w:hanging="709"/>
        <w:rPr>
          <w:color w:val="0066FF"/>
        </w:rPr>
      </w:pPr>
      <w:r w:rsidRPr="00EF4C2D">
        <w:t xml:space="preserve">The key features of the included studies are summarised in </w:t>
      </w:r>
      <w:r w:rsidRPr="00EF4C2D">
        <w:fldChar w:fldCharType="begin"/>
      </w:r>
      <w:r w:rsidRPr="00EF4C2D">
        <w:instrText xml:space="preserve"> REF _Ref104804098 \h  \* MERGEFORMAT </w:instrText>
      </w:r>
      <w:r w:rsidRPr="00EF4C2D">
        <w:fldChar w:fldCharType="separate"/>
      </w:r>
      <w:r w:rsidR="00FD5578" w:rsidRPr="00FD5578">
        <w:t>Table 3</w:t>
      </w:r>
      <w:r w:rsidRPr="00EF4C2D">
        <w:fldChar w:fldCharType="end"/>
      </w:r>
      <w:r w:rsidRPr="00EF4C2D">
        <w:t xml:space="preserve">. </w:t>
      </w:r>
    </w:p>
    <w:p w14:paraId="64308995" w14:textId="154C22E6" w:rsidR="00D8137E" w:rsidRPr="007238FF" w:rsidRDefault="00D8137E" w:rsidP="00D8137E">
      <w:pPr>
        <w:pStyle w:val="Caption"/>
        <w:rPr>
          <w:rStyle w:val="CommentReference"/>
          <w:rFonts w:eastAsiaTheme="majorEastAsia" w:cstheme="majorBidi"/>
          <w:b/>
          <w:bCs w:val="0"/>
          <w:szCs w:val="24"/>
        </w:rPr>
      </w:pPr>
      <w:bookmarkStart w:id="37" w:name="_Ref104804098"/>
      <w:r w:rsidRPr="007238FF">
        <w:rPr>
          <w:rStyle w:val="CommentReference"/>
          <w:rFonts w:eastAsiaTheme="majorEastAsia" w:cstheme="majorBidi"/>
          <w:b/>
          <w:bCs w:val="0"/>
          <w:szCs w:val="24"/>
        </w:rPr>
        <w:t xml:space="preserve">Table </w:t>
      </w:r>
      <w:r w:rsidRPr="007238FF">
        <w:rPr>
          <w:rStyle w:val="CommentReference"/>
          <w:rFonts w:eastAsiaTheme="majorEastAsia" w:cstheme="majorBidi"/>
          <w:b/>
          <w:bCs w:val="0"/>
          <w:szCs w:val="24"/>
        </w:rPr>
        <w:fldChar w:fldCharType="begin"/>
      </w:r>
      <w:r w:rsidRPr="007238FF">
        <w:rPr>
          <w:rStyle w:val="CommentReference"/>
          <w:rFonts w:eastAsiaTheme="majorEastAsia" w:cstheme="majorBidi"/>
          <w:b/>
          <w:bCs w:val="0"/>
          <w:szCs w:val="24"/>
        </w:rPr>
        <w:instrText xml:space="preserve"> SEQ Table \* ARABIC </w:instrText>
      </w:r>
      <w:r w:rsidRPr="007238FF">
        <w:rPr>
          <w:rStyle w:val="CommentReference"/>
          <w:rFonts w:eastAsiaTheme="majorEastAsia" w:cstheme="majorBidi"/>
          <w:b/>
          <w:bCs w:val="0"/>
          <w:szCs w:val="24"/>
        </w:rPr>
        <w:fldChar w:fldCharType="separate"/>
      </w:r>
      <w:r w:rsidR="00FD5578">
        <w:rPr>
          <w:rStyle w:val="CommentReference"/>
          <w:rFonts w:eastAsiaTheme="majorEastAsia" w:cstheme="majorBidi"/>
          <w:b/>
          <w:bCs w:val="0"/>
          <w:noProof/>
          <w:szCs w:val="24"/>
        </w:rPr>
        <w:t>3</w:t>
      </w:r>
      <w:r w:rsidRPr="007238FF">
        <w:rPr>
          <w:rStyle w:val="CommentReference"/>
          <w:rFonts w:eastAsiaTheme="majorEastAsia" w:cstheme="majorBidi"/>
          <w:b/>
          <w:bCs w:val="0"/>
          <w:szCs w:val="24"/>
        </w:rPr>
        <w:fldChar w:fldCharType="end"/>
      </w:r>
      <w:bookmarkEnd w:id="37"/>
      <w:r w:rsidRPr="007238FF">
        <w:rPr>
          <w:rStyle w:val="CommentReference"/>
          <w:rFonts w:eastAsiaTheme="majorEastAsia" w:cstheme="majorBidi"/>
          <w:b/>
          <w:bCs w:val="0"/>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1546"/>
        <w:gridCol w:w="1122"/>
        <w:gridCol w:w="1693"/>
      </w:tblGrid>
      <w:tr w:rsidR="00D8137E" w:rsidRPr="00EF4C2D" w14:paraId="7E0BDED3" w14:textId="77777777" w:rsidTr="007C08EB">
        <w:trPr>
          <w:cantSplit/>
          <w:tblHeader/>
        </w:trPr>
        <w:tc>
          <w:tcPr>
            <w:tcW w:w="713" w:type="pct"/>
            <w:shd w:val="clear" w:color="auto" w:fill="auto"/>
            <w:vAlign w:val="center"/>
          </w:tcPr>
          <w:p w14:paraId="351AF7C4" w14:textId="77777777" w:rsidR="00D8137E" w:rsidRPr="0096381E" w:rsidRDefault="00D8137E" w:rsidP="007C08EB">
            <w:pPr>
              <w:pStyle w:val="In-tableHeading"/>
              <w:rPr>
                <w:iCs/>
              </w:rPr>
            </w:pPr>
            <w:r w:rsidRPr="0096381E">
              <w:rPr>
                <w:iCs/>
              </w:rPr>
              <w:t>Trial</w:t>
            </w:r>
          </w:p>
        </w:tc>
        <w:tc>
          <w:tcPr>
            <w:tcW w:w="466" w:type="pct"/>
            <w:shd w:val="clear" w:color="auto" w:fill="auto"/>
            <w:vAlign w:val="center"/>
          </w:tcPr>
          <w:p w14:paraId="669FDD7D" w14:textId="77777777" w:rsidR="00D8137E" w:rsidRPr="0096381E" w:rsidRDefault="00D8137E" w:rsidP="007C08EB">
            <w:pPr>
              <w:pStyle w:val="In-tableHeading"/>
              <w:jc w:val="center"/>
              <w:rPr>
                <w:iCs/>
              </w:rPr>
            </w:pPr>
            <w:r w:rsidRPr="0096381E">
              <w:rPr>
                <w:iCs/>
              </w:rPr>
              <w:t>N</w:t>
            </w:r>
          </w:p>
        </w:tc>
        <w:tc>
          <w:tcPr>
            <w:tcW w:w="782" w:type="pct"/>
            <w:shd w:val="clear" w:color="auto" w:fill="auto"/>
            <w:vAlign w:val="center"/>
          </w:tcPr>
          <w:p w14:paraId="1E00E299" w14:textId="77777777" w:rsidR="00D8137E" w:rsidRPr="0096381E" w:rsidRDefault="00D8137E" w:rsidP="007C08EB">
            <w:pPr>
              <w:pStyle w:val="In-tableHeading"/>
              <w:jc w:val="center"/>
              <w:rPr>
                <w:iCs/>
              </w:rPr>
            </w:pPr>
            <w:r w:rsidRPr="0096381E">
              <w:rPr>
                <w:iCs/>
              </w:rPr>
              <w:t>Design/ duration</w:t>
            </w:r>
          </w:p>
        </w:tc>
        <w:tc>
          <w:tcPr>
            <w:tcW w:w="621" w:type="pct"/>
            <w:shd w:val="clear" w:color="auto" w:fill="auto"/>
            <w:vAlign w:val="center"/>
          </w:tcPr>
          <w:p w14:paraId="2301C76C" w14:textId="77777777" w:rsidR="00D8137E" w:rsidRPr="0096381E" w:rsidRDefault="00D8137E" w:rsidP="007C08EB">
            <w:pPr>
              <w:pStyle w:val="In-tableHeading"/>
              <w:jc w:val="center"/>
              <w:rPr>
                <w:iCs/>
              </w:rPr>
            </w:pPr>
            <w:r w:rsidRPr="0096381E">
              <w:rPr>
                <w:iCs/>
              </w:rPr>
              <w:t>Risk of bias</w:t>
            </w:r>
          </w:p>
        </w:tc>
        <w:tc>
          <w:tcPr>
            <w:tcW w:w="857" w:type="pct"/>
            <w:shd w:val="clear" w:color="auto" w:fill="auto"/>
            <w:vAlign w:val="center"/>
          </w:tcPr>
          <w:p w14:paraId="164C4AC9" w14:textId="77777777" w:rsidR="00D8137E" w:rsidRPr="0096381E" w:rsidRDefault="00D8137E" w:rsidP="007C08EB">
            <w:pPr>
              <w:pStyle w:val="In-tableHeading"/>
              <w:jc w:val="center"/>
              <w:rPr>
                <w:iCs/>
              </w:rPr>
            </w:pPr>
            <w:r w:rsidRPr="0096381E">
              <w:rPr>
                <w:iCs/>
              </w:rPr>
              <w:t>Patient population</w:t>
            </w:r>
          </w:p>
        </w:tc>
        <w:tc>
          <w:tcPr>
            <w:tcW w:w="622" w:type="pct"/>
            <w:shd w:val="clear" w:color="auto" w:fill="auto"/>
            <w:vAlign w:val="center"/>
          </w:tcPr>
          <w:p w14:paraId="07DDBE9D" w14:textId="77777777" w:rsidR="00D8137E" w:rsidRPr="0096381E" w:rsidRDefault="00D8137E" w:rsidP="007C08EB">
            <w:pPr>
              <w:pStyle w:val="In-tableHeading"/>
              <w:jc w:val="center"/>
              <w:rPr>
                <w:iCs/>
              </w:rPr>
            </w:pPr>
            <w:r w:rsidRPr="0096381E">
              <w:rPr>
                <w:iCs/>
              </w:rPr>
              <w:t>Outcome(s)</w:t>
            </w:r>
          </w:p>
        </w:tc>
        <w:tc>
          <w:tcPr>
            <w:tcW w:w="939" w:type="pct"/>
            <w:shd w:val="clear" w:color="auto" w:fill="auto"/>
            <w:vAlign w:val="center"/>
          </w:tcPr>
          <w:p w14:paraId="60E64C59" w14:textId="77777777" w:rsidR="00D8137E" w:rsidRPr="0096381E" w:rsidRDefault="00D8137E" w:rsidP="007C08EB">
            <w:pPr>
              <w:pStyle w:val="In-tableHeading"/>
              <w:jc w:val="center"/>
              <w:rPr>
                <w:iCs/>
              </w:rPr>
            </w:pPr>
            <w:r w:rsidRPr="0096381E">
              <w:rPr>
                <w:iCs/>
              </w:rPr>
              <w:t>Use in modelled evaluation</w:t>
            </w:r>
          </w:p>
        </w:tc>
      </w:tr>
      <w:tr w:rsidR="00D8137E" w:rsidRPr="00EF4C2D" w14:paraId="76255645" w14:textId="77777777" w:rsidTr="007C08EB">
        <w:trPr>
          <w:cantSplit/>
        </w:trPr>
        <w:tc>
          <w:tcPr>
            <w:tcW w:w="5000" w:type="pct"/>
            <w:gridSpan w:val="7"/>
            <w:shd w:val="clear" w:color="auto" w:fill="auto"/>
            <w:vAlign w:val="center"/>
          </w:tcPr>
          <w:p w14:paraId="28704575" w14:textId="77777777" w:rsidR="00D8137E" w:rsidRPr="0096381E" w:rsidRDefault="00D8137E" w:rsidP="007C08EB">
            <w:pPr>
              <w:pStyle w:val="In-tableHeading"/>
              <w:rPr>
                <w:iCs/>
              </w:rPr>
            </w:pPr>
            <w:r w:rsidRPr="0096381E">
              <w:rPr>
                <w:iCs/>
              </w:rPr>
              <w:t xml:space="preserve">Chlormethine </w:t>
            </w:r>
          </w:p>
        </w:tc>
      </w:tr>
      <w:tr w:rsidR="00D8137E" w:rsidRPr="00EF4C2D" w14:paraId="66A95808" w14:textId="77777777" w:rsidTr="007C08EB">
        <w:trPr>
          <w:cantSplit/>
        </w:trPr>
        <w:tc>
          <w:tcPr>
            <w:tcW w:w="713" w:type="pct"/>
            <w:shd w:val="clear" w:color="auto" w:fill="auto"/>
            <w:vAlign w:val="center"/>
          </w:tcPr>
          <w:p w14:paraId="116B7AD2" w14:textId="77777777" w:rsidR="00D8137E" w:rsidRPr="0096381E" w:rsidRDefault="00D8137E" w:rsidP="007C08EB">
            <w:pPr>
              <w:pStyle w:val="TableText0"/>
              <w:rPr>
                <w:iCs/>
                <w:lang w:val="en-US"/>
              </w:rPr>
            </w:pPr>
            <w:r w:rsidRPr="0096381E">
              <w:rPr>
                <w:iCs/>
                <w:lang w:val="en-US"/>
              </w:rPr>
              <w:t>Study 201</w:t>
            </w:r>
          </w:p>
        </w:tc>
        <w:tc>
          <w:tcPr>
            <w:tcW w:w="466" w:type="pct"/>
            <w:shd w:val="clear" w:color="auto" w:fill="auto"/>
            <w:vAlign w:val="center"/>
          </w:tcPr>
          <w:p w14:paraId="6353978A" w14:textId="77777777" w:rsidR="00D8137E" w:rsidRPr="0096381E" w:rsidRDefault="00D8137E" w:rsidP="007C08EB">
            <w:pPr>
              <w:pStyle w:val="TableText0"/>
              <w:jc w:val="center"/>
              <w:rPr>
                <w:iCs/>
                <w:lang w:val="en-US"/>
              </w:rPr>
            </w:pPr>
            <w:r w:rsidRPr="0096381E">
              <w:rPr>
                <w:iCs/>
                <w:lang w:val="en-US"/>
              </w:rPr>
              <w:t>260</w:t>
            </w:r>
          </w:p>
        </w:tc>
        <w:tc>
          <w:tcPr>
            <w:tcW w:w="782" w:type="pct"/>
            <w:shd w:val="clear" w:color="auto" w:fill="auto"/>
            <w:vAlign w:val="center"/>
          </w:tcPr>
          <w:p w14:paraId="18E96D64" w14:textId="77777777" w:rsidR="00D8137E" w:rsidRPr="0096381E" w:rsidRDefault="00D8137E" w:rsidP="007C08EB">
            <w:pPr>
              <w:pStyle w:val="TableText0"/>
              <w:jc w:val="center"/>
              <w:rPr>
                <w:iCs/>
                <w:lang w:val="en-US"/>
              </w:rPr>
            </w:pPr>
            <w:r w:rsidRPr="0096381E">
              <w:rPr>
                <w:iCs/>
                <w:lang w:val="en-US"/>
              </w:rPr>
              <w:t>R, SB</w:t>
            </w:r>
          </w:p>
          <w:p w14:paraId="4E164A27" w14:textId="77777777" w:rsidR="00D8137E" w:rsidRPr="0096381E" w:rsidRDefault="00D8137E" w:rsidP="007C08EB">
            <w:pPr>
              <w:pStyle w:val="TableText0"/>
              <w:jc w:val="center"/>
              <w:rPr>
                <w:iCs/>
                <w:lang w:val="en-US"/>
              </w:rPr>
            </w:pPr>
            <w:r w:rsidRPr="0096381E">
              <w:rPr>
                <w:iCs/>
                <w:lang w:val="en-US"/>
              </w:rPr>
              <w:t>12 mths</w:t>
            </w:r>
          </w:p>
        </w:tc>
        <w:tc>
          <w:tcPr>
            <w:tcW w:w="621" w:type="pct"/>
            <w:shd w:val="clear" w:color="auto" w:fill="auto"/>
            <w:vAlign w:val="center"/>
          </w:tcPr>
          <w:p w14:paraId="4827962E" w14:textId="77777777" w:rsidR="00D8137E" w:rsidRPr="0096381E" w:rsidRDefault="00D8137E" w:rsidP="007C08EB">
            <w:pPr>
              <w:pStyle w:val="TableText0"/>
              <w:jc w:val="center"/>
              <w:rPr>
                <w:iCs/>
                <w:lang w:val="en-US"/>
              </w:rPr>
            </w:pPr>
            <w:r w:rsidRPr="0096381E">
              <w:rPr>
                <w:iCs/>
                <w:lang w:val="en-US"/>
              </w:rPr>
              <w:t>Low-Moderate</w:t>
            </w:r>
          </w:p>
        </w:tc>
        <w:tc>
          <w:tcPr>
            <w:tcW w:w="857" w:type="pct"/>
            <w:shd w:val="clear" w:color="auto" w:fill="auto"/>
            <w:vAlign w:val="center"/>
          </w:tcPr>
          <w:p w14:paraId="31B93EA6" w14:textId="77777777" w:rsidR="00D8137E" w:rsidRPr="0096381E" w:rsidRDefault="00D8137E" w:rsidP="007C08EB">
            <w:pPr>
              <w:pStyle w:val="TableText0"/>
              <w:jc w:val="center"/>
              <w:rPr>
                <w:iCs/>
                <w:lang w:val="en-US"/>
              </w:rPr>
            </w:pPr>
            <w:r w:rsidRPr="0096381E">
              <w:rPr>
                <w:iCs/>
                <w:lang w:val="en-US"/>
              </w:rPr>
              <w:t>Stage IA-IIA</w:t>
            </w:r>
            <w:r w:rsidRPr="0096381E">
              <w:rPr>
                <w:iCs/>
                <w:lang w:val="en-US"/>
              </w:rPr>
              <w:br/>
              <w:t xml:space="preserve"> MF-CTCL</w:t>
            </w:r>
          </w:p>
        </w:tc>
        <w:tc>
          <w:tcPr>
            <w:tcW w:w="622" w:type="pct"/>
            <w:shd w:val="clear" w:color="auto" w:fill="auto"/>
            <w:vAlign w:val="center"/>
          </w:tcPr>
          <w:p w14:paraId="2AA53B46" w14:textId="77777777" w:rsidR="00D8137E" w:rsidRPr="0096381E" w:rsidRDefault="00D8137E" w:rsidP="007C08EB">
            <w:pPr>
              <w:pStyle w:val="TableText0"/>
              <w:jc w:val="center"/>
              <w:rPr>
                <w:iCs/>
                <w:lang w:val="nb-NO"/>
              </w:rPr>
            </w:pPr>
            <w:r w:rsidRPr="0096381E">
              <w:rPr>
                <w:iCs/>
                <w:lang w:val="nb-NO"/>
              </w:rPr>
              <w:t>CR, PR, DoR, SD, PD, TFR, Safety</w:t>
            </w:r>
          </w:p>
        </w:tc>
        <w:tc>
          <w:tcPr>
            <w:tcW w:w="939" w:type="pct"/>
            <w:shd w:val="clear" w:color="auto" w:fill="auto"/>
            <w:vAlign w:val="center"/>
          </w:tcPr>
          <w:p w14:paraId="1FDFC586" w14:textId="77777777" w:rsidR="00D8137E" w:rsidRPr="0096381E" w:rsidRDefault="00D8137E" w:rsidP="007C08EB">
            <w:pPr>
              <w:pStyle w:val="TableText0"/>
              <w:jc w:val="center"/>
              <w:rPr>
                <w:iCs/>
                <w:vertAlign w:val="superscript"/>
                <w:lang w:val="en-US"/>
              </w:rPr>
            </w:pPr>
            <w:r w:rsidRPr="0096381E">
              <w:rPr>
                <w:iCs/>
                <w:lang w:val="en-US"/>
              </w:rPr>
              <w:t>Used</w:t>
            </w:r>
            <w:r w:rsidRPr="0096381E">
              <w:rPr>
                <w:iCs/>
                <w:vertAlign w:val="superscript"/>
                <w:lang w:val="en-US"/>
              </w:rPr>
              <w:t>b</w:t>
            </w:r>
          </w:p>
        </w:tc>
      </w:tr>
      <w:tr w:rsidR="00D8137E" w:rsidRPr="00EF4C2D" w14:paraId="5C95A213" w14:textId="77777777" w:rsidTr="007C08EB">
        <w:trPr>
          <w:cantSplit/>
        </w:trPr>
        <w:tc>
          <w:tcPr>
            <w:tcW w:w="713" w:type="pct"/>
            <w:shd w:val="clear" w:color="auto" w:fill="auto"/>
            <w:vAlign w:val="center"/>
          </w:tcPr>
          <w:p w14:paraId="09A30726" w14:textId="77777777" w:rsidR="00D8137E" w:rsidRPr="0096381E" w:rsidRDefault="00D8137E" w:rsidP="007C08EB">
            <w:pPr>
              <w:pStyle w:val="TableText0"/>
              <w:rPr>
                <w:iCs/>
                <w:lang w:val="en-US"/>
              </w:rPr>
            </w:pPr>
            <w:r w:rsidRPr="0096381E">
              <w:rPr>
                <w:iCs/>
                <w:lang w:val="en-US"/>
              </w:rPr>
              <w:t>PROVe</w:t>
            </w:r>
          </w:p>
        </w:tc>
        <w:tc>
          <w:tcPr>
            <w:tcW w:w="466" w:type="pct"/>
            <w:shd w:val="clear" w:color="auto" w:fill="auto"/>
            <w:vAlign w:val="center"/>
          </w:tcPr>
          <w:p w14:paraId="4E55E0EB" w14:textId="77777777" w:rsidR="00D8137E" w:rsidRPr="0096381E" w:rsidRDefault="00D8137E" w:rsidP="007C08EB">
            <w:pPr>
              <w:pStyle w:val="TableText0"/>
              <w:jc w:val="center"/>
              <w:rPr>
                <w:iCs/>
                <w:lang w:val="en-US"/>
              </w:rPr>
            </w:pPr>
            <w:r w:rsidRPr="0096381E">
              <w:rPr>
                <w:iCs/>
                <w:lang w:val="en-US"/>
              </w:rPr>
              <w:t>298</w:t>
            </w:r>
          </w:p>
        </w:tc>
        <w:tc>
          <w:tcPr>
            <w:tcW w:w="782" w:type="pct"/>
            <w:shd w:val="clear" w:color="auto" w:fill="auto"/>
            <w:vAlign w:val="center"/>
          </w:tcPr>
          <w:p w14:paraId="4FA28657" w14:textId="77777777" w:rsidR="00D8137E" w:rsidRPr="0096381E" w:rsidRDefault="00D8137E" w:rsidP="007C08EB">
            <w:pPr>
              <w:pStyle w:val="TableText0"/>
              <w:jc w:val="center"/>
              <w:rPr>
                <w:iCs/>
                <w:lang w:val="en-US"/>
              </w:rPr>
            </w:pPr>
            <w:r w:rsidRPr="0096381E">
              <w:rPr>
                <w:iCs/>
                <w:lang w:val="en-US"/>
              </w:rPr>
              <w:t>P, OS</w:t>
            </w:r>
          </w:p>
          <w:p w14:paraId="290891D2" w14:textId="77777777" w:rsidR="00D8137E" w:rsidRPr="0096381E" w:rsidRDefault="00D8137E" w:rsidP="007C08EB">
            <w:pPr>
              <w:pStyle w:val="TableText0"/>
              <w:jc w:val="center"/>
              <w:rPr>
                <w:iCs/>
                <w:lang w:val="en-US"/>
              </w:rPr>
            </w:pPr>
            <w:r w:rsidRPr="0096381E">
              <w:rPr>
                <w:iCs/>
                <w:lang w:val="en-US"/>
              </w:rPr>
              <w:t>24 mths</w:t>
            </w:r>
          </w:p>
        </w:tc>
        <w:tc>
          <w:tcPr>
            <w:tcW w:w="621" w:type="pct"/>
            <w:shd w:val="clear" w:color="auto" w:fill="auto"/>
            <w:vAlign w:val="center"/>
          </w:tcPr>
          <w:p w14:paraId="48CEF370" w14:textId="77777777" w:rsidR="00D8137E" w:rsidRPr="0096381E" w:rsidRDefault="00D8137E" w:rsidP="007C08EB">
            <w:pPr>
              <w:pStyle w:val="TableText0"/>
              <w:jc w:val="center"/>
              <w:rPr>
                <w:iCs/>
                <w:lang w:val="en-US"/>
              </w:rPr>
            </w:pPr>
            <w:r w:rsidRPr="0096381E">
              <w:rPr>
                <w:iCs/>
                <w:lang w:val="en-US"/>
              </w:rPr>
              <w:t>High</w:t>
            </w:r>
          </w:p>
        </w:tc>
        <w:tc>
          <w:tcPr>
            <w:tcW w:w="857" w:type="pct"/>
            <w:shd w:val="clear" w:color="auto" w:fill="auto"/>
            <w:vAlign w:val="center"/>
          </w:tcPr>
          <w:p w14:paraId="465DFAD6" w14:textId="77777777" w:rsidR="00D8137E" w:rsidRPr="0096381E" w:rsidRDefault="00D8137E" w:rsidP="007C08EB">
            <w:pPr>
              <w:pStyle w:val="TableText0"/>
              <w:jc w:val="center"/>
              <w:rPr>
                <w:iCs/>
                <w:lang w:val="en-US"/>
              </w:rPr>
            </w:pPr>
            <w:r w:rsidRPr="0096381E">
              <w:rPr>
                <w:iCs/>
                <w:lang w:val="en-US"/>
              </w:rPr>
              <w:t xml:space="preserve">Stage IA-IV </w:t>
            </w:r>
            <w:r w:rsidRPr="0096381E">
              <w:rPr>
                <w:iCs/>
                <w:lang w:val="en-US"/>
              </w:rPr>
              <w:br/>
              <w:t>MF-CTCL</w:t>
            </w:r>
          </w:p>
        </w:tc>
        <w:tc>
          <w:tcPr>
            <w:tcW w:w="622" w:type="pct"/>
            <w:shd w:val="clear" w:color="auto" w:fill="auto"/>
            <w:vAlign w:val="center"/>
          </w:tcPr>
          <w:p w14:paraId="1E6CB3D8" w14:textId="77777777" w:rsidR="00D8137E" w:rsidRPr="0096381E" w:rsidRDefault="00D8137E" w:rsidP="007C08EB">
            <w:pPr>
              <w:pStyle w:val="TableText0"/>
              <w:jc w:val="center"/>
              <w:rPr>
                <w:iCs/>
                <w:lang w:val="en-US"/>
              </w:rPr>
            </w:pPr>
            <w:r w:rsidRPr="0096381E">
              <w:rPr>
                <w:iCs/>
                <w:lang w:val="en-US"/>
              </w:rPr>
              <w:t>ORR</w:t>
            </w:r>
            <w:r w:rsidRPr="0096381E">
              <w:rPr>
                <w:iCs/>
                <w:vertAlign w:val="superscript"/>
                <w:lang w:val="en-US"/>
              </w:rPr>
              <w:t>a</w:t>
            </w:r>
            <w:r w:rsidRPr="0096381E">
              <w:rPr>
                <w:iCs/>
                <w:lang w:val="en-US"/>
              </w:rPr>
              <w:t xml:space="preserve">, QoL, Safety </w:t>
            </w:r>
          </w:p>
        </w:tc>
        <w:tc>
          <w:tcPr>
            <w:tcW w:w="939" w:type="pct"/>
            <w:shd w:val="clear" w:color="auto" w:fill="auto"/>
            <w:vAlign w:val="center"/>
          </w:tcPr>
          <w:p w14:paraId="4B3C1F9D" w14:textId="77777777" w:rsidR="00D8137E" w:rsidRPr="0096381E" w:rsidRDefault="00D8137E" w:rsidP="007C08EB">
            <w:pPr>
              <w:pStyle w:val="TableText0"/>
              <w:jc w:val="center"/>
              <w:rPr>
                <w:iCs/>
                <w:lang w:val="en-US"/>
              </w:rPr>
            </w:pPr>
            <w:r w:rsidRPr="0096381E">
              <w:rPr>
                <w:iCs/>
                <w:lang w:val="en-US"/>
              </w:rPr>
              <w:t>Not used</w:t>
            </w:r>
          </w:p>
        </w:tc>
      </w:tr>
      <w:tr w:rsidR="00D8137E" w:rsidRPr="00EF4C2D" w14:paraId="4ED4AA5F" w14:textId="77777777" w:rsidTr="007C08EB">
        <w:trPr>
          <w:cantSplit/>
        </w:trPr>
        <w:tc>
          <w:tcPr>
            <w:tcW w:w="5000" w:type="pct"/>
            <w:gridSpan w:val="7"/>
            <w:shd w:val="clear" w:color="auto" w:fill="auto"/>
            <w:vAlign w:val="center"/>
          </w:tcPr>
          <w:p w14:paraId="73779D26" w14:textId="77777777" w:rsidR="00D8137E" w:rsidRPr="0096381E" w:rsidRDefault="00D8137E" w:rsidP="007C08EB">
            <w:pPr>
              <w:pStyle w:val="TableText0"/>
              <w:rPr>
                <w:b/>
                <w:iCs/>
                <w:lang w:val="en-US"/>
              </w:rPr>
            </w:pPr>
            <w:r w:rsidRPr="0096381E">
              <w:rPr>
                <w:b/>
                <w:iCs/>
                <w:lang w:val="en-US"/>
              </w:rPr>
              <w:t xml:space="preserve">Phototherapy </w:t>
            </w:r>
          </w:p>
        </w:tc>
      </w:tr>
      <w:tr w:rsidR="00D8137E" w:rsidRPr="00EF4C2D" w14:paraId="3F5DFA11" w14:textId="77777777" w:rsidTr="00FA2806">
        <w:trPr>
          <w:cantSplit/>
        </w:trPr>
        <w:tc>
          <w:tcPr>
            <w:tcW w:w="713" w:type="pct"/>
            <w:shd w:val="clear" w:color="auto" w:fill="auto"/>
            <w:vAlign w:val="center"/>
          </w:tcPr>
          <w:p w14:paraId="4F98EA2F" w14:textId="77777777" w:rsidR="00D8137E" w:rsidRPr="0096381E" w:rsidRDefault="00D8137E" w:rsidP="007C08EB">
            <w:pPr>
              <w:pStyle w:val="TableText0"/>
              <w:rPr>
                <w:iCs/>
                <w:lang w:val="en-US"/>
              </w:rPr>
            </w:pPr>
            <w:r w:rsidRPr="0096381E">
              <w:rPr>
                <w:iCs/>
                <w:lang w:val="en-US"/>
              </w:rPr>
              <w:t>El-Mofty 2012</w:t>
            </w:r>
          </w:p>
        </w:tc>
        <w:tc>
          <w:tcPr>
            <w:tcW w:w="466" w:type="pct"/>
            <w:shd w:val="clear" w:color="auto" w:fill="auto"/>
            <w:vAlign w:val="center"/>
          </w:tcPr>
          <w:p w14:paraId="385CE797" w14:textId="77777777" w:rsidR="00D8137E" w:rsidRPr="0096381E" w:rsidRDefault="00D8137E" w:rsidP="007C08EB">
            <w:pPr>
              <w:pStyle w:val="TableText0"/>
              <w:jc w:val="center"/>
              <w:rPr>
                <w:iCs/>
                <w:lang w:val="en-US"/>
              </w:rPr>
            </w:pPr>
            <w:r w:rsidRPr="0096381E">
              <w:rPr>
                <w:iCs/>
                <w:lang w:val="en-US"/>
              </w:rPr>
              <w:t>30</w:t>
            </w:r>
          </w:p>
        </w:tc>
        <w:tc>
          <w:tcPr>
            <w:tcW w:w="782" w:type="pct"/>
            <w:shd w:val="clear" w:color="auto" w:fill="auto"/>
            <w:vAlign w:val="center"/>
          </w:tcPr>
          <w:p w14:paraId="5F2D4F84" w14:textId="77777777" w:rsidR="00D8137E" w:rsidRPr="0096381E" w:rsidRDefault="00D8137E" w:rsidP="007C08EB">
            <w:pPr>
              <w:pStyle w:val="TableText0"/>
              <w:jc w:val="center"/>
              <w:rPr>
                <w:iCs/>
                <w:lang w:val="en-US"/>
              </w:rPr>
            </w:pPr>
            <w:r w:rsidRPr="0096381E">
              <w:rPr>
                <w:iCs/>
                <w:lang w:val="en-US"/>
              </w:rPr>
              <w:t>R, DB</w:t>
            </w:r>
          </w:p>
          <w:p w14:paraId="6850559D" w14:textId="77777777" w:rsidR="00D8137E" w:rsidRPr="0096381E" w:rsidRDefault="00D8137E" w:rsidP="007C08EB">
            <w:pPr>
              <w:pStyle w:val="TableText0"/>
              <w:jc w:val="center"/>
              <w:rPr>
                <w:iCs/>
                <w:lang w:val="en-US"/>
              </w:rPr>
            </w:pPr>
            <w:r w:rsidRPr="0096381E">
              <w:rPr>
                <w:iCs/>
                <w:lang w:val="en-US"/>
              </w:rPr>
              <w:t>36 mths</w:t>
            </w:r>
          </w:p>
        </w:tc>
        <w:tc>
          <w:tcPr>
            <w:tcW w:w="621" w:type="pct"/>
            <w:shd w:val="clear" w:color="auto" w:fill="auto"/>
            <w:vAlign w:val="center"/>
          </w:tcPr>
          <w:p w14:paraId="6CF15FFE" w14:textId="77777777" w:rsidR="00D8137E" w:rsidRPr="0096381E" w:rsidRDefault="00D8137E" w:rsidP="007C08EB">
            <w:pPr>
              <w:pStyle w:val="TableText0"/>
              <w:jc w:val="center"/>
              <w:rPr>
                <w:iCs/>
                <w:lang w:val="en-US"/>
              </w:rPr>
            </w:pPr>
            <w:r w:rsidRPr="0096381E">
              <w:rPr>
                <w:iCs/>
                <w:lang w:val="en-US"/>
              </w:rPr>
              <w:t>Low</w:t>
            </w:r>
          </w:p>
        </w:tc>
        <w:tc>
          <w:tcPr>
            <w:tcW w:w="857" w:type="pct"/>
            <w:shd w:val="clear" w:color="auto" w:fill="auto"/>
            <w:vAlign w:val="center"/>
          </w:tcPr>
          <w:p w14:paraId="02FC8C10" w14:textId="77777777" w:rsidR="00D8137E" w:rsidRPr="0096381E" w:rsidRDefault="00D8137E" w:rsidP="007C08EB">
            <w:pPr>
              <w:pStyle w:val="TableText0"/>
              <w:jc w:val="center"/>
              <w:rPr>
                <w:iCs/>
                <w:lang w:val="en-US"/>
              </w:rPr>
            </w:pPr>
            <w:r w:rsidRPr="0096381E">
              <w:rPr>
                <w:iCs/>
                <w:lang w:val="en-US"/>
              </w:rPr>
              <w:t>Stage IA-IB</w:t>
            </w:r>
          </w:p>
          <w:p w14:paraId="2D95EDCC" w14:textId="77777777" w:rsidR="00D8137E" w:rsidRPr="0096381E" w:rsidRDefault="00D8137E" w:rsidP="007C08EB">
            <w:pPr>
              <w:pStyle w:val="TableText0"/>
              <w:jc w:val="center"/>
              <w:rPr>
                <w:iCs/>
                <w:lang w:val="en-US"/>
              </w:rPr>
            </w:pPr>
            <w:r w:rsidRPr="0096381E">
              <w:rPr>
                <w:iCs/>
                <w:lang w:val="en-US"/>
              </w:rPr>
              <w:t>MF-CTCL</w:t>
            </w:r>
          </w:p>
        </w:tc>
        <w:tc>
          <w:tcPr>
            <w:tcW w:w="622" w:type="pct"/>
            <w:shd w:val="clear" w:color="auto" w:fill="auto"/>
            <w:vAlign w:val="center"/>
          </w:tcPr>
          <w:p w14:paraId="6BD0767D" w14:textId="77777777" w:rsidR="00D8137E" w:rsidRPr="0096381E" w:rsidRDefault="00D8137E" w:rsidP="007C08EB">
            <w:pPr>
              <w:pStyle w:val="TableText0"/>
              <w:jc w:val="center"/>
              <w:rPr>
                <w:iCs/>
                <w:lang w:val="en-US"/>
              </w:rPr>
            </w:pPr>
            <w:r w:rsidRPr="0096381E">
              <w:rPr>
                <w:iCs/>
                <w:lang w:val="en-US"/>
              </w:rPr>
              <w:t>CR, Safety</w:t>
            </w:r>
          </w:p>
        </w:tc>
        <w:tc>
          <w:tcPr>
            <w:tcW w:w="939" w:type="pct"/>
            <w:shd w:val="clear" w:color="auto" w:fill="auto"/>
            <w:vAlign w:val="center"/>
          </w:tcPr>
          <w:p w14:paraId="375E7FEA" w14:textId="77777777" w:rsidR="00D8137E" w:rsidRPr="0096381E" w:rsidRDefault="00D8137E" w:rsidP="00FA2806">
            <w:pPr>
              <w:pStyle w:val="TableText0"/>
              <w:jc w:val="center"/>
              <w:rPr>
                <w:iCs/>
                <w:vertAlign w:val="superscript"/>
                <w:lang w:val="en-US"/>
              </w:rPr>
            </w:pPr>
            <w:r w:rsidRPr="0096381E">
              <w:rPr>
                <w:iCs/>
                <w:lang w:val="en-US"/>
              </w:rPr>
              <w:t>Used</w:t>
            </w:r>
            <w:r w:rsidRPr="0096381E">
              <w:rPr>
                <w:iCs/>
                <w:vertAlign w:val="superscript"/>
                <w:lang w:val="en-US"/>
              </w:rPr>
              <w:t>b</w:t>
            </w:r>
          </w:p>
        </w:tc>
      </w:tr>
      <w:tr w:rsidR="00D8137E" w:rsidRPr="00EF4C2D" w14:paraId="7DD2E44F" w14:textId="77777777" w:rsidTr="00FA2806">
        <w:trPr>
          <w:cantSplit/>
        </w:trPr>
        <w:tc>
          <w:tcPr>
            <w:tcW w:w="713" w:type="pct"/>
            <w:shd w:val="clear" w:color="auto" w:fill="auto"/>
            <w:vAlign w:val="center"/>
          </w:tcPr>
          <w:p w14:paraId="134F31A6" w14:textId="77777777" w:rsidR="00D8137E" w:rsidRPr="0096381E" w:rsidRDefault="00D8137E" w:rsidP="007C08EB">
            <w:pPr>
              <w:pStyle w:val="TableText0"/>
              <w:rPr>
                <w:iCs/>
                <w:lang w:val="en-US"/>
              </w:rPr>
            </w:pPr>
            <w:r w:rsidRPr="0096381E">
              <w:rPr>
                <w:iCs/>
                <w:lang w:val="en-US"/>
              </w:rPr>
              <w:t>Whittaker 2012</w:t>
            </w:r>
          </w:p>
        </w:tc>
        <w:tc>
          <w:tcPr>
            <w:tcW w:w="466" w:type="pct"/>
            <w:shd w:val="clear" w:color="auto" w:fill="auto"/>
            <w:vAlign w:val="center"/>
          </w:tcPr>
          <w:p w14:paraId="60306E1E" w14:textId="77777777" w:rsidR="00D8137E" w:rsidRPr="0096381E" w:rsidRDefault="00D8137E" w:rsidP="007C08EB">
            <w:pPr>
              <w:pStyle w:val="TableText0"/>
              <w:jc w:val="center"/>
              <w:rPr>
                <w:iCs/>
                <w:lang w:val="en-US"/>
              </w:rPr>
            </w:pPr>
            <w:r w:rsidRPr="0096381E">
              <w:rPr>
                <w:iCs/>
                <w:lang w:val="en-US"/>
              </w:rPr>
              <w:t>93</w:t>
            </w:r>
          </w:p>
        </w:tc>
        <w:tc>
          <w:tcPr>
            <w:tcW w:w="782" w:type="pct"/>
            <w:shd w:val="clear" w:color="auto" w:fill="auto"/>
            <w:vAlign w:val="center"/>
          </w:tcPr>
          <w:p w14:paraId="3CFD534F" w14:textId="77777777" w:rsidR="00D8137E" w:rsidRPr="0096381E" w:rsidRDefault="00D8137E" w:rsidP="007C08EB">
            <w:pPr>
              <w:pStyle w:val="TableText0"/>
              <w:jc w:val="center"/>
              <w:rPr>
                <w:iCs/>
                <w:lang w:val="en-US"/>
              </w:rPr>
            </w:pPr>
            <w:r w:rsidRPr="0096381E">
              <w:rPr>
                <w:iCs/>
                <w:lang w:val="en-US"/>
              </w:rPr>
              <w:t>R, SB</w:t>
            </w:r>
          </w:p>
          <w:p w14:paraId="5D71D271" w14:textId="77777777" w:rsidR="00D8137E" w:rsidRPr="0096381E" w:rsidRDefault="00D8137E" w:rsidP="007C08EB">
            <w:pPr>
              <w:pStyle w:val="TableText0"/>
              <w:jc w:val="center"/>
              <w:rPr>
                <w:iCs/>
                <w:lang w:val="en-US"/>
              </w:rPr>
            </w:pPr>
            <w:r w:rsidRPr="0096381E">
              <w:rPr>
                <w:iCs/>
                <w:lang w:val="en-US"/>
              </w:rPr>
              <w:t xml:space="preserve">76 mths </w:t>
            </w:r>
          </w:p>
        </w:tc>
        <w:tc>
          <w:tcPr>
            <w:tcW w:w="621" w:type="pct"/>
            <w:shd w:val="clear" w:color="auto" w:fill="auto"/>
            <w:vAlign w:val="center"/>
          </w:tcPr>
          <w:p w14:paraId="72A32399" w14:textId="77777777" w:rsidR="00D8137E" w:rsidRPr="0096381E" w:rsidRDefault="00D8137E" w:rsidP="007C08EB">
            <w:pPr>
              <w:pStyle w:val="TableText0"/>
              <w:jc w:val="center"/>
              <w:rPr>
                <w:iCs/>
                <w:lang w:val="en-US"/>
              </w:rPr>
            </w:pPr>
            <w:r w:rsidRPr="0096381E">
              <w:rPr>
                <w:iCs/>
                <w:lang w:val="en-US"/>
              </w:rPr>
              <w:t>Low-Moderate</w:t>
            </w:r>
          </w:p>
        </w:tc>
        <w:tc>
          <w:tcPr>
            <w:tcW w:w="857" w:type="pct"/>
            <w:shd w:val="clear" w:color="auto" w:fill="auto"/>
            <w:vAlign w:val="center"/>
          </w:tcPr>
          <w:p w14:paraId="779989A8" w14:textId="77777777" w:rsidR="00D8137E" w:rsidRPr="0096381E" w:rsidRDefault="00D8137E" w:rsidP="007C08EB">
            <w:pPr>
              <w:pStyle w:val="TableText0"/>
              <w:jc w:val="center"/>
              <w:rPr>
                <w:iCs/>
                <w:lang w:val="en-US"/>
              </w:rPr>
            </w:pPr>
            <w:r w:rsidRPr="0096381E">
              <w:rPr>
                <w:iCs/>
                <w:lang w:val="en-US"/>
              </w:rPr>
              <w:t>Stage IB-IIA</w:t>
            </w:r>
          </w:p>
          <w:p w14:paraId="5842F395" w14:textId="77777777" w:rsidR="00D8137E" w:rsidRPr="0096381E" w:rsidRDefault="00D8137E" w:rsidP="007C08EB">
            <w:pPr>
              <w:pStyle w:val="TableText0"/>
              <w:jc w:val="center"/>
              <w:rPr>
                <w:iCs/>
                <w:lang w:val="en-US"/>
              </w:rPr>
            </w:pPr>
            <w:r w:rsidRPr="0096381E">
              <w:rPr>
                <w:iCs/>
                <w:lang w:val="en-US"/>
              </w:rPr>
              <w:t>MF-CTCL</w:t>
            </w:r>
          </w:p>
        </w:tc>
        <w:tc>
          <w:tcPr>
            <w:tcW w:w="622" w:type="pct"/>
            <w:shd w:val="clear" w:color="auto" w:fill="auto"/>
            <w:vAlign w:val="center"/>
          </w:tcPr>
          <w:p w14:paraId="1B877738" w14:textId="77777777" w:rsidR="00D8137E" w:rsidRPr="0096381E" w:rsidRDefault="00D8137E" w:rsidP="007C08EB">
            <w:pPr>
              <w:pStyle w:val="TableText0"/>
              <w:jc w:val="center"/>
              <w:rPr>
                <w:iCs/>
                <w:lang w:val="nb-NO"/>
              </w:rPr>
            </w:pPr>
            <w:r w:rsidRPr="0096381E">
              <w:rPr>
                <w:iCs/>
                <w:lang w:val="nb-NO"/>
              </w:rPr>
              <w:t xml:space="preserve">CR, PR, SD, PD, TTR, DoR, Safey </w:t>
            </w:r>
          </w:p>
        </w:tc>
        <w:tc>
          <w:tcPr>
            <w:tcW w:w="939" w:type="pct"/>
            <w:shd w:val="clear" w:color="auto" w:fill="auto"/>
            <w:vAlign w:val="center"/>
          </w:tcPr>
          <w:p w14:paraId="36F55BE3" w14:textId="77777777" w:rsidR="00D8137E" w:rsidRPr="0096381E" w:rsidRDefault="00D8137E" w:rsidP="00FA2806">
            <w:pPr>
              <w:pStyle w:val="TableText0"/>
              <w:jc w:val="center"/>
              <w:rPr>
                <w:iCs/>
                <w:vertAlign w:val="superscript"/>
                <w:lang w:val="nb-NO"/>
              </w:rPr>
            </w:pPr>
            <w:r w:rsidRPr="0096381E">
              <w:rPr>
                <w:iCs/>
                <w:lang w:val="en-US"/>
              </w:rPr>
              <w:t>Used</w:t>
            </w:r>
            <w:r w:rsidRPr="0096381E">
              <w:rPr>
                <w:iCs/>
                <w:vertAlign w:val="superscript"/>
                <w:lang w:val="en-US"/>
              </w:rPr>
              <w:t>b</w:t>
            </w:r>
          </w:p>
        </w:tc>
      </w:tr>
      <w:tr w:rsidR="00D8137E" w:rsidRPr="00EF4C2D" w14:paraId="2BAC0CE4" w14:textId="77777777" w:rsidTr="00FA2806">
        <w:trPr>
          <w:cantSplit/>
        </w:trPr>
        <w:tc>
          <w:tcPr>
            <w:tcW w:w="713" w:type="pct"/>
            <w:shd w:val="clear" w:color="auto" w:fill="auto"/>
            <w:vAlign w:val="center"/>
          </w:tcPr>
          <w:p w14:paraId="1E8DAA87" w14:textId="77777777" w:rsidR="00D8137E" w:rsidRPr="0096381E" w:rsidRDefault="00D8137E" w:rsidP="007C08EB">
            <w:pPr>
              <w:pStyle w:val="TableText0"/>
              <w:rPr>
                <w:iCs/>
                <w:lang w:val="en-US"/>
              </w:rPr>
            </w:pPr>
            <w:r w:rsidRPr="0096381E">
              <w:rPr>
                <w:iCs/>
                <w:lang w:val="en-US"/>
              </w:rPr>
              <w:t>Vieyra-Garcia 2019</w:t>
            </w:r>
          </w:p>
        </w:tc>
        <w:tc>
          <w:tcPr>
            <w:tcW w:w="466" w:type="pct"/>
            <w:shd w:val="clear" w:color="auto" w:fill="auto"/>
            <w:vAlign w:val="center"/>
          </w:tcPr>
          <w:p w14:paraId="3BD3D263" w14:textId="77777777" w:rsidR="00D8137E" w:rsidRPr="0096381E" w:rsidRDefault="00D8137E" w:rsidP="007C08EB">
            <w:pPr>
              <w:pStyle w:val="TableText0"/>
              <w:jc w:val="center"/>
              <w:rPr>
                <w:iCs/>
                <w:lang w:val="en-US"/>
              </w:rPr>
            </w:pPr>
            <w:r w:rsidRPr="0096381E">
              <w:rPr>
                <w:iCs/>
                <w:lang w:val="en-US"/>
              </w:rPr>
              <w:t>27</w:t>
            </w:r>
          </w:p>
        </w:tc>
        <w:tc>
          <w:tcPr>
            <w:tcW w:w="782" w:type="pct"/>
            <w:shd w:val="clear" w:color="auto" w:fill="auto"/>
            <w:vAlign w:val="center"/>
          </w:tcPr>
          <w:p w14:paraId="483AF588" w14:textId="77777777" w:rsidR="00D8137E" w:rsidRPr="0096381E" w:rsidRDefault="00D8137E" w:rsidP="007C08EB">
            <w:pPr>
              <w:pStyle w:val="TableText0"/>
              <w:jc w:val="center"/>
              <w:rPr>
                <w:iCs/>
                <w:lang w:val="en-US"/>
              </w:rPr>
            </w:pPr>
            <w:r w:rsidRPr="0096381E">
              <w:rPr>
                <w:iCs/>
                <w:lang w:val="en-US"/>
              </w:rPr>
              <w:t>R, DB</w:t>
            </w:r>
          </w:p>
          <w:p w14:paraId="18EA4CE2" w14:textId="77777777" w:rsidR="00D8137E" w:rsidRPr="0096381E" w:rsidRDefault="00D8137E" w:rsidP="007C08EB">
            <w:pPr>
              <w:pStyle w:val="TableText0"/>
              <w:jc w:val="center"/>
              <w:rPr>
                <w:iCs/>
                <w:lang w:val="en-US"/>
              </w:rPr>
            </w:pPr>
            <w:r w:rsidRPr="0096381E">
              <w:rPr>
                <w:iCs/>
                <w:lang w:val="en-US"/>
              </w:rPr>
              <w:t>60 months</w:t>
            </w:r>
          </w:p>
        </w:tc>
        <w:tc>
          <w:tcPr>
            <w:tcW w:w="621" w:type="pct"/>
            <w:shd w:val="clear" w:color="auto" w:fill="auto"/>
            <w:vAlign w:val="center"/>
          </w:tcPr>
          <w:p w14:paraId="6F9431D8" w14:textId="77777777" w:rsidR="00D8137E" w:rsidRPr="0096381E" w:rsidRDefault="00D8137E" w:rsidP="007C08EB">
            <w:pPr>
              <w:pStyle w:val="TableText0"/>
              <w:jc w:val="center"/>
              <w:rPr>
                <w:iCs/>
                <w:lang w:val="en-US"/>
              </w:rPr>
            </w:pPr>
            <w:r w:rsidRPr="0096381E">
              <w:rPr>
                <w:iCs/>
                <w:lang w:val="en-US"/>
              </w:rPr>
              <w:t xml:space="preserve">Low-Moderate </w:t>
            </w:r>
          </w:p>
        </w:tc>
        <w:tc>
          <w:tcPr>
            <w:tcW w:w="857" w:type="pct"/>
            <w:shd w:val="clear" w:color="auto" w:fill="auto"/>
            <w:vAlign w:val="center"/>
          </w:tcPr>
          <w:p w14:paraId="23493111" w14:textId="77777777" w:rsidR="00D8137E" w:rsidRPr="0096381E" w:rsidRDefault="00D8137E" w:rsidP="007C08EB">
            <w:pPr>
              <w:pStyle w:val="TableText0"/>
              <w:jc w:val="center"/>
              <w:rPr>
                <w:iCs/>
                <w:lang w:val="en-US"/>
              </w:rPr>
            </w:pPr>
            <w:r w:rsidRPr="0096381E">
              <w:rPr>
                <w:iCs/>
                <w:lang w:val="en-US"/>
              </w:rPr>
              <w:t>Stage IA-IB</w:t>
            </w:r>
          </w:p>
          <w:p w14:paraId="49EC2DEB" w14:textId="77777777" w:rsidR="00D8137E" w:rsidRPr="0096381E" w:rsidRDefault="00D8137E" w:rsidP="007C08EB">
            <w:pPr>
              <w:pStyle w:val="TableText0"/>
              <w:jc w:val="center"/>
              <w:rPr>
                <w:iCs/>
                <w:lang w:val="en-US"/>
              </w:rPr>
            </w:pPr>
            <w:r w:rsidRPr="0096381E">
              <w:rPr>
                <w:iCs/>
                <w:lang w:val="en-US"/>
              </w:rPr>
              <w:t>MF-CTCL</w:t>
            </w:r>
          </w:p>
        </w:tc>
        <w:tc>
          <w:tcPr>
            <w:tcW w:w="622" w:type="pct"/>
            <w:shd w:val="clear" w:color="auto" w:fill="auto"/>
            <w:vAlign w:val="center"/>
          </w:tcPr>
          <w:p w14:paraId="04AA7AEC" w14:textId="77777777" w:rsidR="00D8137E" w:rsidRPr="0096381E" w:rsidRDefault="00D8137E" w:rsidP="007C08EB">
            <w:pPr>
              <w:pStyle w:val="TableText0"/>
              <w:jc w:val="center"/>
              <w:rPr>
                <w:iCs/>
                <w:lang w:val="en-US"/>
              </w:rPr>
            </w:pPr>
            <w:r w:rsidRPr="0096381E">
              <w:rPr>
                <w:iCs/>
                <w:lang w:val="en-US"/>
              </w:rPr>
              <w:t xml:space="preserve">CR, PR, TTR, Safety </w:t>
            </w:r>
          </w:p>
        </w:tc>
        <w:tc>
          <w:tcPr>
            <w:tcW w:w="939" w:type="pct"/>
            <w:shd w:val="clear" w:color="auto" w:fill="auto"/>
            <w:vAlign w:val="center"/>
          </w:tcPr>
          <w:p w14:paraId="1B3A6E74" w14:textId="77777777" w:rsidR="00D8137E" w:rsidRPr="0096381E" w:rsidRDefault="00D8137E" w:rsidP="00FA2806">
            <w:pPr>
              <w:pStyle w:val="TableText0"/>
              <w:jc w:val="center"/>
              <w:rPr>
                <w:iCs/>
                <w:vertAlign w:val="superscript"/>
                <w:lang w:val="en-US"/>
              </w:rPr>
            </w:pPr>
            <w:r w:rsidRPr="0096381E">
              <w:rPr>
                <w:iCs/>
                <w:lang w:val="en-US"/>
              </w:rPr>
              <w:t>Used</w:t>
            </w:r>
            <w:r w:rsidRPr="0096381E">
              <w:rPr>
                <w:iCs/>
                <w:vertAlign w:val="superscript"/>
                <w:lang w:val="en-US"/>
              </w:rPr>
              <w:t>b</w:t>
            </w:r>
          </w:p>
        </w:tc>
      </w:tr>
    </w:tbl>
    <w:p w14:paraId="02775BE0" w14:textId="77777777" w:rsidR="00D8137E" w:rsidRPr="00EF4C2D" w:rsidRDefault="00D8137E" w:rsidP="003B376A">
      <w:pPr>
        <w:pStyle w:val="FooterTableFigure"/>
        <w:rPr>
          <w:szCs w:val="18"/>
        </w:rPr>
      </w:pPr>
      <w:r w:rsidRPr="00EF4C2D">
        <w:rPr>
          <w:szCs w:val="18"/>
        </w:rPr>
        <w:t>Source: Compiled during the evaluation based on</w:t>
      </w:r>
      <w:r w:rsidRPr="00EF4C2D">
        <w:rPr>
          <w:iCs/>
          <w:szCs w:val="18"/>
        </w:rPr>
        <w:t xml:space="preserve"> Table 2-22 p100; Table 2-23 p102, </w:t>
      </w:r>
      <w:r w:rsidRPr="00EF4C2D">
        <w:rPr>
          <w:szCs w:val="18"/>
        </w:rPr>
        <w:t xml:space="preserve">Table </w:t>
      </w:r>
      <w:r w:rsidRPr="00EF4C2D">
        <w:t>2-25 p104-105, Table 2-25 p106-108 of the submission; Table 5 p684 Whittaker 2012.</w:t>
      </w:r>
    </w:p>
    <w:p w14:paraId="33C3CE41" w14:textId="77777777" w:rsidR="003B376A" w:rsidRDefault="00D8137E" w:rsidP="003B376A">
      <w:pPr>
        <w:pStyle w:val="FooterTableFigure"/>
        <w:rPr>
          <w:szCs w:val="18"/>
        </w:rPr>
      </w:pPr>
      <w:bookmarkStart w:id="38" w:name="_Hlk121396743"/>
      <w:r w:rsidRPr="00EF4C2D">
        <w:rPr>
          <w:szCs w:val="18"/>
        </w:rPr>
        <w:t>CR=complete response; D0R=duration of response; HRQoL=health-related quality of life; MF-CTCL=</w:t>
      </w:r>
      <w:r w:rsidRPr="00EF4C2D">
        <w:t xml:space="preserve"> </w:t>
      </w:r>
      <w:r w:rsidRPr="00EF4C2D">
        <w:rPr>
          <w:szCs w:val="18"/>
        </w:rPr>
        <w:t>mycosis fungoides-type cutaneous T-cell lymphoma; mths= months; NR=not reported; OS=observational study; ORR=overall response rate; P=prospective; PD=progressive disease; PR=partial response; QoL= quality of life SB=single blinded; R=randomised; SD=stable disease; TFR=time to first response; TTR=time to relapse</w:t>
      </w:r>
      <w:bookmarkEnd w:id="38"/>
    </w:p>
    <w:p w14:paraId="380C5A12" w14:textId="5DAC3D98" w:rsidR="00D8137E" w:rsidRPr="00EF4C2D" w:rsidRDefault="00D8137E" w:rsidP="003B376A">
      <w:pPr>
        <w:pStyle w:val="FooterTableFigure"/>
        <w:rPr>
          <w:sz w:val="20"/>
        </w:rPr>
      </w:pPr>
      <w:r w:rsidRPr="00EF4C2D">
        <w:rPr>
          <w:szCs w:val="18"/>
        </w:rPr>
        <w:t>a. Kim et al 2021 reported the evaluable clinical response, defined as ≥ 50% reduction from baseline in the body surface area percentage (%BSA) at 12 months and overall response rate (ORR-2) as the proportion of patients with a ≥ 50% reduction from baseline in %BSA for two consecutive visits</w:t>
      </w:r>
      <w:r w:rsidRPr="00EF4C2D">
        <w:t>; b. Applied the CR and PR.</w:t>
      </w:r>
    </w:p>
    <w:p w14:paraId="4CE83923" w14:textId="073E83D7" w:rsidR="00D8137E" w:rsidRPr="0096381E" w:rsidRDefault="00D8137E" w:rsidP="00D8137E">
      <w:pPr>
        <w:pStyle w:val="3-BodyText"/>
        <w:ind w:left="709" w:hanging="709"/>
      </w:pPr>
      <w:r w:rsidRPr="0096381E">
        <w:t xml:space="preserve">The overall risk of bias in Study 201 (chlormethine), El-Mofty 2012, Vieyra-Garcia 2019 and Whittaker 2012 (phototherapy) was low to moderate. PROVe had a high likelihood of selection bias (no allocation concealment), performance bias (no blinding of participants or personnel) and detection bias (no blinding of outcomes assessment), the magnitude and direction of which cannot be determined. However, evidence from PROVe did not inform the naïve </w:t>
      </w:r>
      <w:r w:rsidR="00DB6FDB" w:rsidRPr="0096381E">
        <w:t>ITC</w:t>
      </w:r>
      <w:r w:rsidRPr="0096381E">
        <w:t xml:space="preserve"> presented by the submission. While Vieyra-Garcia 2019 was a prospective randomised trial, the randomisation was conducted among patients who achieved a complete response (CR) after a 9-month induction phase. As such, the submission reported the proportion of patients with a CR prior to randomisation, thereby essentially reporting the results as if from a single arm study. In the absence of a comparator group in either PROVe or Vieyra-Garcia 2019, it is difficult to conclude that the observed clinical outcomes in those studies are attributable to the nominated treatment. All studies (except El-Mofty 2012; 6%) reported a high proportion (30%-36%) of patients discontinuing from the respective trials. </w:t>
      </w:r>
    </w:p>
    <w:p w14:paraId="52294A9E" w14:textId="4CA3B89C" w:rsidR="00770018" w:rsidRPr="0096381E" w:rsidRDefault="00770018" w:rsidP="00D8137E">
      <w:pPr>
        <w:pStyle w:val="3-BodyText"/>
        <w:ind w:left="709" w:hanging="709"/>
      </w:pPr>
      <w:r w:rsidRPr="00EF4C2D">
        <w:rPr>
          <w:iCs/>
        </w:rPr>
        <w:t>The submission reported protocol violations in Study 201. In Study 201 there was an error in randomisation at one of the sites (N</w:t>
      </w:r>
      <w:r>
        <w:rPr>
          <w:iCs/>
        </w:rPr>
        <w:t xml:space="preserve">ew </w:t>
      </w:r>
      <w:r w:rsidRPr="00EF4C2D">
        <w:rPr>
          <w:iCs/>
        </w:rPr>
        <w:t>Y</w:t>
      </w:r>
      <w:r>
        <w:rPr>
          <w:iCs/>
        </w:rPr>
        <w:t xml:space="preserve">ork </w:t>
      </w:r>
      <w:r w:rsidRPr="00EF4C2D">
        <w:rPr>
          <w:iCs/>
        </w:rPr>
        <w:t>U</w:t>
      </w:r>
      <w:r>
        <w:rPr>
          <w:iCs/>
        </w:rPr>
        <w:t>niversity</w:t>
      </w:r>
      <w:r w:rsidRPr="00EF4C2D">
        <w:rPr>
          <w:iCs/>
        </w:rPr>
        <w:t>) where study treatment was assigned to 16 patients based on their MF stage and not as per randomisation</w:t>
      </w:r>
      <w:r w:rsidR="00E0663D">
        <w:rPr>
          <w:iCs/>
        </w:rPr>
        <w:t>.</w:t>
      </w:r>
      <w:r w:rsidRPr="00EF4C2D">
        <w:rPr>
          <w:iCs/>
        </w:rPr>
        <w:t xml:space="preserve"> </w:t>
      </w:r>
      <w:r>
        <w:rPr>
          <w:iCs/>
        </w:rPr>
        <w:t xml:space="preserve">The </w:t>
      </w:r>
      <w:r w:rsidRPr="00EF4C2D">
        <w:rPr>
          <w:iCs/>
        </w:rPr>
        <w:t xml:space="preserve">analyses in Study 201 were performed for the ITT population, including the </w:t>
      </w:r>
      <w:r>
        <w:rPr>
          <w:iCs/>
        </w:rPr>
        <w:t>NYU</w:t>
      </w:r>
      <w:r w:rsidRPr="00EF4C2D">
        <w:rPr>
          <w:iCs/>
        </w:rPr>
        <w:t xml:space="preserve"> patients as assigned and treated (N =260) and the ITT population that included all patients randomised and assessed by a blinded observer, excluding NYU patients (N =242).</w:t>
      </w:r>
      <w:r w:rsidRPr="00EF4C2D">
        <w:rPr>
          <w:i/>
          <w:iCs/>
        </w:rPr>
        <w:t xml:space="preserve"> </w:t>
      </w:r>
      <w:r w:rsidRPr="0096381E">
        <w:t>The results of analyses adjusting for the randomisation error at the NYU site showed that inclusion of the results for patients from that site did not impact on the overall response rate.</w:t>
      </w:r>
    </w:p>
    <w:p w14:paraId="03E4C0F8" w14:textId="77777777" w:rsidR="00D8137E" w:rsidRPr="0096381E" w:rsidRDefault="00D8137E" w:rsidP="00D8137E">
      <w:pPr>
        <w:pStyle w:val="3-BodyText"/>
        <w:ind w:left="709" w:hanging="709"/>
        <w:rPr>
          <w:iCs/>
        </w:rPr>
      </w:pPr>
      <w:r w:rsidRPr="00EF4C2D">
        <w:t>The submission stated that clinically relevant outcomes were based on the CAILS and SWAT/mSWAT clinical end points. The primary efficacy endpoint in Study 201 was a ≥50% improvement (i.e., a partial response (PR) or CR) in a patient’s CAILS score versus baseline measurement.</w:t>
      </w:r>
      <w:r w:rsidRPr="00EF4C2D">
        <w:rPr>
          <w:i/>
        </w:rPr>
        <w:t xml:space="preserve"> </w:t>
      </w:r>
      <w:r w:rsidRPr="00EF4C2D">
        <w:rPr>
          <w:iCs/>
        </w:rPr>
        <w:t xml:space="preserve">PROVe did not mandate collection of specific response scores, and mSWAT scores were not documented universally during the study. </w:t>
      </w:r>
      <w:r w:rsidRPr="00EF4C2D">
        <w:t xml:space="preserve">The outcomes presented for the comparator studies were based on treatment response (CR, PR and duration of response). </w:t>
      </w:r>
      <w:r w:rsidRPr="0096381E">
        <w:rPr>
          <w:iCs/>
        </w:rPr>
        <w:t xml:space="preserve">However, only Vieyra-Garcia 2019 reported response based on the mSWAT score. Neither El-Mofty 2012 nor Whittaker 2012 explicitly reported the use of either the CAILS or mSWAT scores for assessment of response. </w:t>
      </w:r>
    </w:p>
    <w:p w14:paraId="79CBA7FB" w14:textId="77777777" w:rsidR="00D8137E" w:rsidRPr="0096381E" w:rsidRDefault="00D8137E" w:rsidP="00D8137E">
      <w:pPr>
        <w:pStyle w:val="3-BodyText"/>
        <w:ind w:left="709" w:hanging="709"/>
        <w:rPr>
          <w:iCs/>
        </w:rPr>
      </w:pPr>
      <w:r w:rsidRPr="0096381E">
        <w:rPr>
          <w:iCs/>
        </w:rPr>
        <w:t xml:space="preserve">The definition of PR varied across the trials. While the definition of PR was a &gt;50% reduction in skin symptoms (by some measure of skin symptoms) in Study 201, Vieyra-Garcia 2019 and Whittaker 2012, this outcome was not reported in El-Mofty 2012. </w:t>
      </w:r>
    </w:p>
    <w:p w14:paraId="14F849BD" w14:textId="2C00E988" w:rsidR="00D8137E" w:rsidRPr="0096381E" w:rsidRDefault="00D8137E" w:rsidP="00D8137E">
      <w:pPr>
        <w:pStyle w:val="3-BodyText"/>
        <w:ind w:left="709" w:hanging="709"/>
        <w:rPr>
          <w:iCs/>
        </w:rPr>
      </w:pPr>
      <w:bookmarkStart w:id="39" w:name="_Ref127370744"/>
      <w:r w:rsidRPr="00EF4C2D">
        <w:rPr>
          <w:iCs/>
        </w:rPr>
        <w:t>The submission conducted a meta-analysis across the studies of a derived outcome -restricted mean duration of complete response (rmDOCR)</w:t>
      </w:r>
      <w:r w:rsidRPr="00EF4C2D">
        <w:rPr>
          <w:i/>
        </w:rPr>
        <w:t xml:space="preserve">. </w:t>
      </w:r>
      <w:r w:rsidRPr="0096381E">
        <w:rPr>
          <w:iCs/>
        </w:rPr>
        <w:t>The rmDOCR is a bespoke outcome measure presented for the purposes of this submission. It has not been assessed previously by the PBAC in the context of other treatments for MF-CTCL or therapies used in the treatment of other skin conditions. The analysis was restricted to a maximum follow-up duration of 10 months for the duration of response outcome in Study 201 which did not account for the initial 8 weeks of time until first response reported in Study 201. Th</w:t>
      </w:r>
      <w:r w:rsidR="007523D8">
        <w:rPr>
          <w:iCs/>
        </w:rPr>
        <w:t>e evaluation considered this</w:t>
      </w:r>
      <w:r w:rsidRPr="0096381E">
        <w:rPr>
          <w:iCs/>
        </w:rPr>
        <w:t xml:space="preserve"> was inappropriate. In addition, the follow-up in the comparator studies was well beyond this period (20, 36 and 76 months in Vieyra-Gracia 2019, El-Mofty 2012 and Whittaker 2012 respectively). Data verification and assessment of the impact of applying longer follow-up duration for the estimated rmDOCR outcome was not possible because the workbook with calculations and data applied in estimating the rmDOCR was not supplied by the submission. </w:t>
      </w:r>
      <w:r w:rsidR="007523D8" w:rsidRPr="00DF296F">
        <w:rPr>
          <w:iCs/>
        </w:rPr>
        <w:t xml:space="preserve">The ESC noted the PSCR provided additional detail on the derivation of rmDOCR in a revised statistical report, which also included individual patient data </w:t>
      </w:r>
      <w:r w:rsidR="00DA236D" w:rsidRPr="00DF296F">
        <w:rPr>
          <w:iCs/>
        </w:rPr>
        <w:t xml:space="preserve">(IPD) </w:t>
      </w:r>
      <w:r w:rsidR="007523D8" w:rsidRPr="00DF296F">
        <w:rPr>
          <w:iCs/>
        </w:rPr>
        <w:t>applied in the estimation of rmDOCR.</w:t>
      </w:r>
      <w:r w:rsidR="00DA236D" w:rsidRPr="00DF296F">
        <w:rPr>
          <w:iCs/>
        </w:rPr>
        <w:t xml:space="preserve"> The results of the meta-analysis were verified using the IPD data provided with the PSCR.</w:t>
      </w:r>
      <w:r w:rsidR="007523D8" w:rsidRPr="00DF296F">
        <w:rPr>
          <w:iCs/>
        </w:rPr>
        <w:t xml:space="preserve"> The ESC considered that, while the empirical application of rmDOCR appeared statistically sound, there were transitivity concerns regarding the use of this outcome in the naïve ITC</w:t>
      </w:r>
      <w:r w:rsidR="0003718F" w:rsidRPr="00DF296F">
        <w:rPr>
          <w:iCs/>
        </w:rPr>
        <w:t xml:space="preserve"> (see paragraph </w:t>
      </w:r>
      <w:r w:rsidR="0003718F" w:rsidRPr="00DF296F">
        <w:rPr>
          <w:iCs/>
        </w:rPr>
        <w:fldChar w:fldCharType="begin"/>
      </w:r>
      <w:r w:rsidR="0003718F" w:rsidRPr="00DF296F">
        <w:rPr>
          <w:iCs/>
        </w:rPr>
        <w:instrText xml:space="preserve"> REF _Ref127359476 \r \h </w:instrText>
      </w:r>
      <w:r w:rsidR="00DF296F">
        <w:rPr>
          <w:iCs/>
        </w:rPr>
        <w:instrText xml:space="preserve"> \* MERGEFORMAT </w:instrText>
      </w:r>
      <w:r w:rsidR="0003718F" w:rsidRPr="00DF296F">
        <w:rPr>
          <w:iCs/>
        </w:rPr>
      </w:r>
      <w:r w:rsidR="0003718F" w:rsidRPr="00DF296F">
        <w:rPr>
          <w:iCs/>
        </w:rPr>
        <w:fldChar w:fldCharType="separate"/>
      </w:r>
      <w:r w:rsidR="00FD5578">
        <w:rPr>
          <w:iCs/>
        </w:rPr>
        <w:t>6.18</w:t>
      </w:r>
      <w:r w:rsidR="0003718F" w:rsidRPr="00DF296F">
        <w:rPr>
          <w:iCs/>
        </w:rPr>
        <w:fldChar w:fldCharType="end"/>
      </w:r>
      <w:r w:rsidR="0003718F" w:rsidRPr="00DF296F">
        <w:rPr>
          <w:iCs/>
        </w:rPr>
        <w:t>)</w:t>
      </w:r>
      <w:r w:rsidR="007523D8" w:rsidRPr="00DF296F">
        <w:rPr>
          <w:iCs/>
        </w:rPr>
        <w:t>.</w:t>
      </w:r>
      <w:bookmarkEnd w:id="39"/>
      <w:r w:rsidR="007523D8">
        <w:rPr>
          <w:i/>
        </w:rPr>
        <w:t xml:space="preserve"> </w:t>
      </w:r>
    </w:p>
    <w:p w14:paraId="14318D63" w14:textId="6D94C180" w:rsidR="00D8137E" w:rsidRPr="0096381E" w:rsidRDefault="00D8137E" w:rsidP="00D8137E">
      <w:pPr>
        <w:pStyle w:val="3-BodyText"/>
        <w:ind w:left="709" w:hanging="709"/>
        <w:rPr>
          <w:iCs/>
        </w:rPr>
      </w:pPr>
      <w:r w:rsidRPr="0096381E">
        <w:rPr>
          <w:iCs/>
        </w:rPr>
        <w:t xml:space="preserve">There were issues identified in the evaluation with regards to comparability of the studies included in the naïve </w:t>
      </w:r>
      <w:r w:rsidR="00DB6FDB" w:rsidRPr="0096381E">
        <w:rPr>
          <w:iCs/>
        </w:rPr>
        <w:t>ITC</w:t>
      </w:r>
      <w:r w:rsidRPr="0096381E">
        <w:rPr>
          <w:iCs/>
        </w:rPr>
        <w:t>, namely:</w:t>
      </w:r>
    </w:p>
    <w:p w14:paraId="4C09CB82" w14:textId="0A3F8A5F" w:rsidR="00D8137E" w:rsidRPr="0096381E" w:rsidRDefault="00D8137E" w:rsidP="00610DFE">
      <w:pPr>
        <w:pStyle w:val="3-BodyText"/>
        <w:numPr>
          <w:ilvl w:val="4"/>
          <w:numId w:val="10"/>
        </w:numPr>
        <w:ind w:left="1080"/>
        <w:rPr>
          <w:iCs/>
        </w:rPr>
      </w:pPr>
      <w:r w:rsidRPr="0096381E">
        <w:rPr>
          <w:iCs/>
        </w:rPr>
        <w:t>There were limited data available for the phototherapy studies, which inhibited comparison of baseline demographic and disease characteristics. The available data indicated differences across the studies in gender</w:t>
      </w:r>
      <w:r w:rsidR="00960E45" w:rsidRPr="0096381E">
        <w:rPr>
          <w:iCs/>
        </w:rPr>
        <w:t xml:space="preserve"> and</w:t>
      </w:r>
      <w:r w:rsidRPr="0096381E">
        <w:rPr>
          <w:iCs/>
        </w:rPr>
        <w:t xml:space="preserve"> prior treatment</w:t>
      </w:r>
      <w:r w:rsidR="00960E45" w:rsidRPr="0096381E">
        <w:rPr>
          <w:iCs/>
        </w:rPr>
        <w:t>. The</w:t>
      </w:r>
      <w:r w:rsidRPr="0096381E">
        <w:rPr>
          <w:iCs/>
        </w:rPr>
        <w:t xml:space="preserve"> sample size </w:t>
      </w:r>
      <w:r w:rsidR="00960E45" w:rsidRPr="0096381E">
        <w:rPr>
          <w:iCs/>
        </w:rPr>
        <w:t xml:space="preserve">of the chlormethine studies were much larger than those of the phototherapy studies </w:t>
      </w:r>
      <w:r w:rsidRPr="0096381E">
        <w:rPr>
          <w:rFonts w:cstheme="minorHAnsi"/>
          <w:iCs/>
        </w:rPr>
        <w:t xml:space="preserve">(see </w:t>
      </w:r>
      <w:r w:rsidRPr="0096381E">
        <w:rPr>
          <w:rFonts w:cstheme="minorHAnsi"/>
          <w:iCs/>
        </w:rPr>
        <w:fldChar w:fldCharType="begin"/>
      </w:r>
      <w:r w:rsidRPr="0096381E">
        <w:rPr>
          <w:rFonts w:cstheme="minorHAnsi"/>
          <w:iCs/>
        </w:rPr>
        <w:instrText xml:space="preserve"> REF _Ref121726780 \h </w:instrText>
      </w:r>
      <w:r w:rsidR="00EF4C2D" w:rsidRPr="0096381E">
        <w:rPr>
          <w:rFonts w:cstheme="minorHAnsi"/>
          <w:iCs/>
        </w:rPr>
        <w:instrText xml:space="preserve"> \* MERGEFORMAT </w:instrText>
      </w:r>
      <w:r w:rsidRPr="0096381E">
        <w:rPr>
          <w:rFonts w:cstheme="minorHAnsi"/>
          <w:iCs/>
        </w:rPr>
      </w:r>
      <w:r w:rsidRPr="0096381E">
        <w:rPr>
          <w:rFonts w:cstheme="minorHAnsi"/>
          <w:iCs/>
        </w:rPr>
        <w:fldChar w:fldCharType="separate"/>
      </w:r>
      <w:r w:rsidR="00FD5578" w:rsidRPr="00FD5578">
        <w:rPr>
          <w:rFonts w:cstheme="minorHAnsi"/>
          <w:iCs/>
        </w:rPr>
        <w:t xml:space="preserve">Table </w:t>
      </w:r>
      <w:r w:rsidR="00FD5578" w:rsidRPr="00FD5578">
        <w:rPr>
          <w:rFonts w:cstheme="minorHAnsi"/>
          <w:iCs/>
          <w:noProof/>
        </w:rPr>
        <w:t>4</w:t>
      </w:r>
      <w:r w:rsidRPr="0096381E">
        <w:rPr>
          <w:rFonts w:cstheme="minorHAnsi"/>
          <w:iCs/>
        </w:rPr>
        <w:fldChar w:fldCharType="end"/>
      </w:r>
      <w:r w:rsidRPr="0096381E">
        <w:rPr>
          <w:rFonts w:cstheme="minorHAnsi"/>
          <w:iCs/>
        </w:rPr>
        <w:t>).</w:t>
      </w:r>
      <w:r w:rsidRPr="0096381E">
        <w:rPr>
          <w:iCs/>
        </w:rPr>
        <w:t xml:space="preserve"> </w:t>
      </w:r>
    </w:p>
    <w:p w14:paraId="2ED10B13" w14:textId="77777777" w:rsidR="00D8137E" w:rsidRPr="0096381E" w:rsidRDefault="00D8137E" w:rsidP="00610DFE">
      <w:pPr>
        <w:pStyle w:val="3-BodyText"/>
        <w:numPr>
          <w:ilvl w:val="4"/>
          <w:numId w:val="10"/>
        </w:numPr>
        <w:ind w:left="1080"/>
      </w:pPr>
      <w:r w:rsidRPr="0096381E">
        <w:t>The location and time at which the studies were conducted. The recruitment period for the phototherapy studies was on average later than that of Study 201. Patients recruited in later time periods are more likely to benefit from advances in treatment options and supportive care, which may have biased the analysis in favour of PUVA.</w:t>
      </w:r>
    </w:p>
    <w:p w14:paraId="24A2B15E" w14:textId="79F00FCC" w:rsidR="00D8137E" w:rsidRDefault="00D8137E" w:rsidP="00610DFE">
      <w:pPr>
        <w:pStyle w:val="3-BodyText"/>
        <w:numPr>
          <w:ilvl w:val="4"/>
          <w:numId w:val="10"/>
        </w:numPr>
        <w:ind w:left="1080"/>
      </w:pPr>
      <w:r w:rsidRPr="0096381E">
        <w:t>Differences in the duration of follow-up (being 12 months for Study 201 and up to 76 months for the phototherapy studies) that impact the assessment of rmDOCR.</w:t>
      </w:r>
    </w:p>
    <w:p w14:paraId="099B016B" w14:textId="0C6D73DB" w:rsidR="00D27893" w:rsidRPr="00DF296F" w:rsidRDefault="00D27893" w:rsidP="00D27893">
      <w:pPr>
        <w:pStyle w:val="3-BodyText"/>
        <w:numPr>
          <w:ilvl w:val="0"/>
          <w:numId w:val="0"/>
        </w:numPr>
        <w:ind w:left="774"/>
      </w:pPr>
      <w:r w:rsidRPr="00DF296F">
        <w:t xml:space="preserve">The PSCR (2) stated that while a naïve ITC introduces issues of transitivity related to potential differences in patient demographics and baseline disease characteristics and study design, this limitation primarily arises from the lack of well conducted, full reported phototherapy studies in this rare disease. The PSCR argued that differences in prior therapy may potentially bias against chlormethine gel since 38.5% of patients in Study 201 had experienced prior phototherapy </w:t>
      </w:r>
      <w:r w:rsidRPr="00DF296F">
        <w:rPr>
          <w:rFonts w:cstheme="minorHAnsi"/>
        </w:rPr>
        <w:t xml:space="preserve">(see </w:t>
      </w:r>
      <w:r w:rsidRPr="00DF296F">
        <w:rPr>
          <w:rFonts w:cstheme="minorHAnsi"/>
        </w:rPr>
        <w:fldChar w:fldCharType="begin"/>
      </w:r>
      <w:r w:rsidRPr="00DF296F">
        <w:rPr>
          <w:rFonts w:cstheme="minorHAnsi"/>
        </w:rPr>
        <w:instrText xml:space="preserve"> REF _Ref121726780 \h  \* MERGEFORMAT </w:instrText>
      </w:r>
      <w:r w:rsidRPr="00DF296F">
        <w:rPr>
          <w:rFonts w:cstheme="minorHAnsi"/>
        </w:rPr>
      </w:r>
      <w:r w:rsidRPr="00DF296F">
        <w:rPr>
          <w:rFonts w:cstheme="minorHAnsi"/>
        </w:rPr>
        <w:fldChar w:fldCharType="separate"/>
      </w:r>
      <w:r w:rsidR="00FD5578" w:rsidRPr="00FD5578">
        <w:rPr>
          <w:rFonts w:cstheme="minorHAnsi"/>
        </w:rPr>
        <w:t xml:space="preserve">Table </w:t>
      </w:r>
      <w:r w:rsidR="00FD5578" w:rsidRPr="00FD5578">
        <w:rPr>
          <w:rFonts w:cstheme="minorHAnsi"/>
          <w:noProof/>
        </w:rPr>
        <w:t>4</w:t>
      </w:r>
      <w:r w:rsidRPr="00DF296F">
        <w:rPr>
          <w:rFonts w:cstheme="minorHAnsi"/>
        </w:rPr>
        <w:fldChar w:fldCharType="end"/>
      </w:r>
      <w:r w:rsidRPr="00DF296F">
        <w:rPr>
          <w:rFonts w:cstheme="minorHAnsi"/>
        </w:rPr>
        <w:t>)</w:t>
      </w:r>
      <w:r w:rsidRPr="00DF296F">
        <w:t xml:space="preserve">. The ESC noted that the prior treatment with phototherapy seen in Study 201 was not consistent with the proposed treatment algorithm but </w:t>
      </w:r>
      <w:r w:rsidR="00D768D1" w:rsidRPr="00DF296F">
        <w:t xml:space="preserve">acknowledged that such use is not prohibited by the restriction submitted. </w:t>
      </w:r>
    </w:p>
    <w:p w14:paraId="622D4F99" w14:textId="0802BB9E" w:rsidR="00D8137E" w:rsidRPr="003B376A" w:rsidRDefault="00D8137E" w:rsidP="003B376A">
      <w:pPr>
        <w:pStyle w:val="3-BodyText"/>
        <w:ind w:left="709" w:hanging="709"/>
        <w:rPr>
          <w:color w:val="0066FF"/>
        </w:rPr>
      </w:pPr>
      <w:r w:rsidRPr="00EF4C2D">
        <w:rPr>
          <w:iCs/>
        </w:rPr>
        <w:t xml:space="preserve">The submission did not nominate a non-inferiority margin for rmDOCR. </w:t>
      </w:r>
      <w:r w:rsidRPr="00EF4C2D">
        <w:t xml:space="preserve">The non-inferiority finding in the </w:t>
      </w:r>
      <w:r w:rsidR="00DB6FDB">
        <w:t xml:space="preserve">naïve </w:t>
      </w:r>
      <w:r w:rsidRPr="00EF4C2D">
        <w:t xml:space="preserve">ITC was interpreted based on the absence of statistically significant differences in rmDOCR. </w:t>
      </w:r>
      <w:r w:rsidRPr="0096381E">
        <w:t xml:space="preserve">Non-inferiority was also inferred based on the comparison of the point estimates of rmDOCR from each study. The rmDOCR outcome was not applied in the economic evaluation. </w:t>
      </w:r>
    </w:p>
    <w:p w14:paraId="7F53934B" w14:textId="0CDF0580" w:rsidR="00D8137E" w:rsidRPr="00EF4C2D" w:rsidRDefault="00D8137E" w:rsidP="003B376A">
      <w:pPr>
        <w:keepNext/>
        <w:keepLines/>
        <w:rPr>
          <w:rFonts w:ascii="Arial Narrow" w:hAnsi="Arial Narrow"/>
          <w:b/>
          <w:sz w:val="20"/>
          <w:szCs w:val="20"/>
        </w:rPr>
      </w:pPr>
      <w:bookmarkStart w:id="40" w:name="_Ref121726780"/>
      <w:r w:rsidRPr="00EF4C2D">
        <w:rPr>
          <w:rFonts w:ascii="Arial Narrow" w:hAnsi="Arial Narrow"/>
          <w:b/>
          <w:sz w:val="20"/>
          <w:szCs w:val="20"/>
        </w:rPr>
        <w:t xml:space="preserve">Table </w:t>
      </w:r>
      <w:r w:rsidRPr="00EF4C2D">
        <w:rPr>
          <w:rFonts w:ascii="Arial Narrow" w:hAnsi="Arial Narrow"/>
          <w:b/>
          <w:sz w:val="20"/>
          <w:szCs w:val="20"/>
        </w:rPr>
        <w:fldChar w:fldCharType="begin"/>
      </w:r>
      <w:r w:rsidRPr="00EF4C2D">
        <w:rPr>
          <w:rFonts w:ascii="Arial Narrow" w:hAnsi="Arial Narrow"/>
          <w:b/>
          <w:sz w:val="20"/>
          <w:szCs w:val="20"/>
        </w:rPr>
        <w:instrText xml:space="preserve"> SEQ Table \* ARABIC </w:instrText>
      </w:r>
      <w:r w:rsidRPr="00EF4C2D">
        <w:rPr>
          <w:rFonts w:ascii="Arial Narrow" w:hAnsi="Arial Narrow"/>
          <w:b/>
          <w:sz w:val="20"/>
          <w:szCs w:val="20"/>
        </w:rPr>
        <w:fldChar w:fldCharType="separate"/>
      </w:r>
      <w:r w:rsidR="00FD5578">
        <w:rPr>
          <w:rFonts w:ascii="Arial Narrow" w:hAnsi="Arial Narrow"/>
          <w:b/>
          <w:noProof/>
          <w:sz w:val="20"/>
          <w:szCs w:val="20"/>
        </w:rPr>
        <w:t>4</w:t>
      </w:r>
      <w:r w:rsidRPr="00EF4C2D">
        <w:rPr>
          <w:rFonts w:ascii="Arial Narrow" w:hAnsi="Arial Narrow"/>
          <w:b/>
          <w:sz w:val="20"/>
          <w:szCs w:val="20"/>
        </w:rPr>
        <w:fldChar w:fldCharType="end"/>
      </w:r>
      <w:bookmarkEnd w:id="40"/>
      <w:r w:rsidRPr="00EF4C2D">
        <w:rPr>
          <w:rFonts w:ascii="Arial Narrow" w:hAnsi="Arial Narrow"/>
          <w:b/>
          <w:sz w:val="20"/>
          <w:szCs w:val="20"/>
        </w:rPr>
        <w:t xml:space="preserve">: </w:t>
      </w:r>
      <w:r w:rsidRPr="00EF4C2D">
        <w:rPr>
          <w:rFonts w:ascii="Arial Narrow" w:eastAsia="MS Gothic" w:hAnsi="Arial Narrow"/>
          <w:b/>
          <w:sz w:val="20"/>
          <w:szCs w:val="20"/>
        </w:rPr>
        <w:t>Baseline demographics and disease characteristics which may influence the transitivity of included studies</w:t>
      </w:r>
    </w:p>
    <w:tbl>
      <w:tblPr>
        <w:tblStyle w:val="Sourcetable1"/>
        <w:tblW w:w="5000" w:type="pct"/>
        <w:tblInd w:w="0" w:type="dxa"/>
        <w:tblLook w:val="04A0" w:firstRow="1" w:lastRow="0" w:firstColumn="1" w:lastColumn="0" w:noHBand="0" w:noVBand="1"/>
      </w:tblPr>
      <w:tblGrid>
        <w:gridCol w:w="1837"/>
        <w:gridCol w:w="1278"/>
        <w:gridCol w:w="1398"/>
        <w:gridCol w:w="1438"/>
        <w:gridCol w:w="1838"/>
        <w:gridCol w:w="1228"/>
      </w:tblGrid>
      <w:tr w:rsidR="00D8137E" w:rsidRPr="00EF4C2D" w14:paraId="44B89ECF" w14:textId="77777777" w:rsidTr="007C08EB">
        <w:trPr>
          <w:trHeight w:val="462"/>
        </w:trPr>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4446A7F8" w14:textId="77777777" w:rsidR="00D8137E" w:rsidRPr="00EF4C2D" w:rsidRDefault="00D8137E" w:rsidP="003B376A">
            <w:pPr>
              <w:keepNext/>
              <w:keepLines/>
              <w:jc w:val="left"/>
              <w:rPr>
                <w:rFonts w:ascii="Arial Narrow" w:hAnsi="Arial Narrow" w:cs="Calibri"/>
                <w:b/>
                <w:bCs/>
                <w:sz w:val="20"/>
                <w:szCs w:val="20"/>
              </w:rPr>
            </w:pPr>
            <w:r w:rsidRPr="00EF4C2D">
              <w:rPr>
                <w:rFonts w:ascii="Arial Narrow" w:hAnsi="Arial Narrow" w:cs="Calibri"/>
                <w:b/>
                <w:bCs/>
                <w:sz w:val="20"/>
                <w:szCs w:val="20"/>
              </w:rPr>
              <w:t>Study</w:t>
            </w:r>
          </w:p>
        </w:tc>
        <w:tc>
          <w:tcPr>
            <w:tcW w:w="1484"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65A6BB85" w14:textId="77777777" w:rsidR="00D8137E" w:rsidRPr="00EF4C2D" w:rsidRDefault="00D8137E" w:rsidP="003B376A">
            <w:pPr>
              <w:keepNext/>
              <w:keepLines/>
              <w:jc w:val="center"/>
              <w:rPr>
                <w:rFonts w:ascii="Arial Narrow" w:hAnsi="Arial Narrow" w:cs="Calibri"/>
                <w:b/>
                <w:bCs/>
                <w:sz w:val="20"/>
                <w:szCs w:val="20"/>
              </w:rPr>
            </w:pPr>
            <w:r w:rsidRPr="00EF4C2D">
              <w:rPr>
                <w:rFonts w:ascii="Arial Narrow" w:hAnsi="Arial Narrow"/>
                <w:b/>
                <w:bCs/>
                <w:sz w:val="20"/>
                <w:szCs w:val="20"/>
              </w:rPr>
              <w:t>Study 201</w:t>
            </w:r>
          </w:p>
        </w:tc>
        <w:tc>
          <w:tcPr>
            <w:tcW w:w="797" w:type="pct"/>
            <w:tcBorders>
              <w:top w:val="single" w:sz="4" w:space="0" w:color="000000"/>
              <w:left w:val="single" w:sz="4" w:space="0" w:color="000000"/>
              <w:bottom w:val="single" w:sz="4" w:space="0" w:color="000000"/>
              <w:right w:val="single" w:sz="4" w:space="0" w:color="000000"/>
            </w:tcBorders>
            <w:shd w:val="clear" w:color="auto" w:fill="auto"/>
            <w:hideMark/>
          </w:tcPr>
          <w:p w14:paraId="4874C2C5" w14:textId="77777777" w:rsidR="00D8137E" w:rsidRPr="00EF4C2D" w:rsidRDefault="00D8137E" w:rsidP="003B376A">
            <w:pPr>
              <w:keepNext/>
              <w:keepLines/>
              <w:jc w:val="center"/>
              <w:rPr>
                <w:rFonts w:ascii="Arial Narrow" w:hAnsi="Arial Narrow" w:cs="Calibri"/>
                <w:b/>
                <w:bCs/>
                <w:sz w:val="20"/>
                <w:szCs w:val="20"/>
              </w:rPr>
            </w:pPr>
            <w:r w:rsidRPr="00EF4C2D">
              <w:rPr>
                <w:rFonts w:ascii="Arial Narrow" w:hAnsi="Arial Narrow" w:cs="Calibri"/>
                <w:b/>
                <w:bCs/>
                <w:sz w:val="20"/>
                <w:szCs w:val="20"/>
              </w:rPr>
              <w:t>El-Mofty 2012</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4260D728" w14:textId="77777777" w:rsidR="00D8137E" w:rsidRPr="00EF4C2D" w:rsidRDefault="00D8137E" w:rsidP="003B376A">
            <w:pPr>
              <w:keepNext/>
              <w:keepLines/>
              <w:jc w:val="center"/>
              <w:rPr>
                <w:rFonts w:ascii="Arial Narrow" w:hAnsi="Arial Narrow" w:cs="Calibri"/>
                <w:b/>
                <w:bCs/>
                <w:sz w:val="20"/>
                <w:szCs w:val="20"/>
              </w:rPr>
            </w:pPr>
            <w:r w:rsidRPr="00EF4C2D">
              <w:rPr>
                <w:rFonts w:ascii="Arial Narrow" w:hAnsi="Arial Narrow" w:cs="Calibri"/>
                <w:b/>
                <w:bCs/>
                <w:sz w:val="20"/>
                <w:szCs w:val="20"/>
              </w:rPr>
              <w:t>Whittaker 2012</w:t>
            </w:r>
          </w:p>
        </w:tc>
        <w:tc>
          <w:tcPr>
            <w:tcW w:w="680" w:type="pct"/>
            <w:tcBorders>
              <w:top w:val="single" w:sz="4" w:space="0" w:color="000000"/>
              <w:left w:val="single" w:sz="4" w:space="0" w:color="000000"/>
              <w:bottom w:val="single" w:sz="4" w:space="0" w:color="000000"/>
              <w:right w:val="single" w:sz="4" w:space="0" w:color="000000"/>
            </w:tcBorders>
            <w:shd w:val="clear" w:color="auto" w:fill="auto"/>
            <w:hideMark/>
          </w:tcPr>
          <w:p w14:paraId="182B0056" w14:textId="77777777" w:rsidR="00D8137E" w:rsidRPr="00EF4C2D" w:rsidRDefault="00D8137E" w:rsidP="003B376A">
            <w:pPr>
              <w:keepNext/>
              <w:keepLines/>
              <w:jc w:val="center"/>
              <w:rPr>
                <w:rFonts w:ascii="Arial Narrow" w:hAnsi="Arial Narrow" w:cs="Calibri"/>
                <w:b/>
                <w:bCs/>
                <w:sz w:val="20"/>
                <w:szCs w:val="20"/>
              </w:rPr>
            </w:pPr>
            <w:r w:rsidRPr="00EF4C2D">
              <w:rPr>
                <w:rFonts w:ascii="Arial Narrow" w:hAnsi="Arial Narrow" w:cs="Calibri"/>
                <w:b/>
                <w:bCs/>
                <w:sz w:val="20"/>
                <w:szCs w:val="20"/>
              </w:rPr>
              <w:t>Vieyra-Garcia 2012</w:t>
            </w:r>
          </w:p>
        </w:tc>
      </w:tr>
      <w:tr w:rsidR="00D8137E" w:rsidRPr="00EF4C2D" w14:paraId="78D51D90" w14:textId="77777777" w:rsidTr="007C08EB">
        <w:trPr>
          <w:trHeight w:val="462"/>
        </w:trPr>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79B1548C" w14:textId="77777777" w:rsidR="00D8137E" w:rsidRPr="00EF4C2D" w:rsidRDefault="00D8137E" w:rsidP="003B376A">
            <w:pPr>
              <w:keepNext/>
              <w:keepLines/>
              <w:jc w:val="left"/>
              <w:rPr>
                <w:rFonts w:ascii="Arial Narrow" w:hAnsi="Arial Narrow" w:cs="Calibri"/>
                <w:b/>
                <w:bCs/>
                <w:sz w:val="20"/>
                <w:szCs w:val="20"/>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23056789" w14:textId="77777777" w:rsidR="00D8137E" w:rsidRPr="00EF4C2D" w:rsidRDefault="00D8137E" w:rsidP="003B376A">
            <w:pPr>
              <w:keepNext/>
              <w:keepLines/>
              <w:jc w:val="center"/>
              <w:rPr>
                <w:rFonts w:ascii="Arial Narrow" w:hAnsi="Arial Narrow"/>
                <w:b/>
                <w:bCs/>
                <w:sz w:val="20"/>
                <w:szCs w:val="20"/>
              </w:rPr>
            </w:pPr>
            <w:r w:rsidRPr="00EF4C2D">
              <w:rPr>
                <w:rFonts w:ascii="Arial Narrow" w:hAnsi="Arial Narrow"/>
                <w:b/>
                <w:bCs/>
                <w:sz w:val="20"/>
                <w:szCs w:val="20"/>
              </w:rPr>
              <w:t>Chlormethine gel</w:t>
            </w:r>
          </w:p>
        </w:tc>
        <w:tc>
          <w:tcPr>
            <w:tcW w:w="775" w:type="pct"/>
            <w:tcBorders>
              <w:top w:val="single" w:sz="4" w:space="0" w:color="000000"/>
              <w:left w:val="single" w:sz="4" w:space="0" w:color="000000"/>
              <w:bottom w:val="single" w:sz="4" w:space="0" w:color="000000"/>
              <w:right w:val="single" w:sz="4" w:space="0" w:color="000000"/>
            </w:tcBorders>
          </w:tcPr>
          <w:p w14:paraId="2161C32B" w14:textId="77777777" w:rsidR="00D8137E" w:rsidRPr="00EF4C2D" w:rsidRDefault="00D8137E" w:rsidP="003B376A">
            <w:pPr>
              <w:keepNext/>
              <w:keepLines/>
              <w:jc w:val="center"/>
              <w:rPr>
                <w:rFonts w:ascii="Arial Narrow" w:hAnsi="Arial Narrow" w:cs="Calibri"/>
                <w:b/>
                <w:bCs/>
                <w:sz w:val="20"/>
                <w:szCs w:val="20"/>
              </w:rPr>
            </w:pPr>
            <w:r w:rsidRPr="00EF4C2D">
              <w:rPr>
                <w:rFonts w:ascii="Arial Narrow" w:hAnsi="Arial Narrow" w:cs="Calibri"/>
                <w:b/>
                <w:bCs/>
                <w:sz w:val="20"/>
                <w:szCs w:val="20"/>
              </w:rPr>
              <w:t>Chlormethine ointment</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3E891EA4" w14:textId="35E07F07" w:rsidR="00D8137E" w:rsidRPr="00EF4C2D" w:rsidRDefault="0098638A" w:rsidP="003B376A">
            <w:pPr>
              <w:keepNext/>
              <w:keepLines/>
              <w:jc w:val="center"/>
              <w:rPr>
                <w:rFonts w:ascii="Arial Narrow" w:hAnsi="Arial Narrow" w:cs="Calibri"/>
                <w:b/>
                <w:bCs/>
                <w:sz w:val="20"/>
                <w:szCs w:val="20"/>
              </w:rPr>
            </w:pPr>
            <w:r>
              <w:rPr>
                <w:rFonts w:ascii="Arial Narrow" w:hAnsi="Arial Narrow" w:cs="Calibri"/>
                <w:b/>
                <w:bCs/>
                <w:sz w:val="20"/>
                <w:szCs w:val="20"/>
              </w:rPr>
              <w:t xml:space="preserve">All </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2D694123" w14:textId="63BEA2E6" w:rsidR="00D8137E" w:rsidRPr="00EF4C2D" w:rsidRDefault="0098638A" w:rsidP="003B376A">
            <w:pPr>
              <w:keepNext/>
              <w:keepLines/>
              <w:jc w:val="center"/>
              <w:rPr>
                <w:rFonts w:ascii="Arial Narrow" w:hAnsi="Arial Narrow" w:cs="Calibri"/>
                <w:b/>
                <w:bCs/>
                <w:sz w:val="20"/>
                <w:szCs w:val="20"/>
              </w:rPr>
            </w:pPr>
            <w:r>
              <w:rPr>
                <w:rFonts w:ascii="Arial Narrow" w:hAnsi="Arial Narrow" w:cs="Calibri"/>
                <w:b/>
                <w:bCs/>
                <w:sz w:val="20"/>
                <w:szCs w:val="20"/>
              </w:rPr>
              <w:t xml:space="preserve">PUVA </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39F4A119" w14:textId="6953B0FF" w:rsidR="00D8137E" w:rsidRPr="00EF4C2D" w:rsidRDefault="0098638A" w:rsidP="003B376A">
            <w:pPr>
              <w:keepNext/>
              <w:keepLines/>
              <w:jc w:val="center"/>
              <w:rPr>
                <w:rFonts w:ascii="Arial Narrow" w:hAnsi="Arial Narrow" w:cs="Calibri"/>
                <w:b/>
                <w:bCs/>
                <w:sz w:val="20"/>
                <w:szCs w:val="20"/>
              </w:rPr>
            </w:pPr>
            <w:r>
              <w:rPr>
                <w:rFonts w:ascii="Arial Narrow" w:hAnsi="Arial Narrow" w:cs="Calibri"/>
                <w:b/>
                <w:bCs/>
                <w:sz w:val="20"/>
                <w:szCs w:val="20"/>
              </w:rPr>
              <w:t>PUVA</w:t>
            </w:r>
          </w:p>
        </w:tc>
      </w:tr>
      <w:tr w:rsidR="00D8137E" w:rsidRPr="00EF4C2D" w14:paraId="360C1412" w14:textId="77777777" w:rsidTr="007C08EB">
        <w:trPr>
          <w:trHeight w:val="231"/>
        </w:trPr>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22DC0338" w14:textId="77777777" w:rsidR="00D8137E" w:rsidRPr="00EF4C2D" w:rsidRDefault="00D8137E" w:rsidP="003B376A">
            <w:pPr>
              <w:keepNext/>
              <w:keepLines/>
              <w:jc w:val="left"/>
              <w:rPr>
                <w:rFonts w:ascii="Arial Narrow" w:hAnsi="Arial Narrow" w:cs="Calibri"/>
                <w:b/>
                <w:sz w:val="20"/>
                <w:szCs w:val="20"/>
              </w:rPr>
            </w:pPr>
            <w:r w:rsidRPr="00EF4C2D">
              <w:rPr>
                <w:rFonts w:ascii="Arial Narrow" w:hAnsi="Arial Narrow" w:cs="Calibri"/>
                <w:b/>
                <w:sz w:val="20"/>
                <w:szCs w:val="20"/>
              </w:rPr>
              <w:t>N</w:t>
            </w: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6D743004"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cs="Calibri"/>
                <w:sz w:val="20"/>
                <w:szCs w:val="20"/>
              </w:rPr>
              <w:t>130</w:t>
            </w:r>
          </w:p>
        </w:tc>
        <w:tc>
          <w:tcPr>
            <w:tcW w:w="775" w:type="pct"/>
            <w:tcBorders>
              <w:top w:val="single" w:sz="4" w:space="0" w:color="000000"/>
              <w:left w:val="single" w:sz="4" w:space="0" w:color="000000"/>
              <w:bottom w:val="single" w:sz="4" w:space="0" w:color="000000"/>
              <w:right w:val="single" w:sz="4" w:space="0" w:color="000000"/>
            </w:tcBorders>
          </w:tcPr>
          <w:p w14:paraId="1D62FDE5"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cs="Calibri"/>
                <w:sz w:val="20"/>
                <w:szCs w:val="20"/>
              </w:rPr>
              <w:t>130</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79B2F827"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cs="Calibri"/>
                <w:sz w:val="20"/>
                <w:szCs w:val="20"/>
              </w:rPr>
              <w:t>30</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61E6F8B0" w14:textId="10448135" w:rsidR="00D8137E" w:rsidRPr="0096381E" w:rsidRDefault="0098638A" w:rsidP="003B376A">
            <w:pPr>
              <w:keepNext/>
              <w:keepLines/>
              <w:jc w:val="center"/>
              <w:rPr>
                <w:rFonts w:ascii="Arial Narrow" w:hAnsi="Arial Narrow" w:cs="Calibri"/>
                <w:sz w:val="20"/>
                <w:szCs w:val="20"/>
              </w:rPr>
            </w:pPr>
            <w:r w:rsidRPr="0096381E">
              <w:rPr>
                <w:rFonts w:ascii="Arial Narrow" w:hAnsi="Arial Narrow" w:cs="Calibri"/>
                <w:sz w:val="20"/>
                <w:szCs w:val="20"/>
              </w:rPr>
              <w:t>45</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74DF4FFA"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cs="Calibri"/>
                <w:sz w:val="20"/>
                <w:szCs w:val="20"/>
              </w:rPr>
              <w:t>27</w:t>
            </w:r>
          </w:p>
        </w:tc>
      </w:tr>
      <w:tr w:rsidR="00D8137E" w:rsidRPr="00EF4C2D" w14:paraId="0250875E" w14:textId="77777777" w:rsidTr="007C08EB">
        <w:trPr>
          <w:trHeight w:val="231"/>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086ABFE6" w14:textId="77777777" w:rsidR="00D8137E" w:rsidRPr="0096381E" w:rsidRDefault="00D8137E" w:rsidP="003B376A">
            <w:pPr>
              <w:keepNext/>
              <w:keepLines/>
              <w:jc w:val="left"/>
              <w:rPr>
                <w:rFonts w:ascii="Arial Narrow" w:hAnsi="Arial Narrow" w:cs="Calibri"/>
                <w:b/>
                <w:sz w:val="20"/>
                <w:szCs w:val="20"/>
              </w:rPr>
            </w:pPr>
            <w:r w:rsidRPr="0096381E">
              <w:rPr>
                <w:rFonts w:ascii="Arial Narrow" w:hAnsi="Arial Narrow" w:cs="Calibri"/>
                <w:b/>
                <w:sz w:val="20"/>
                <w:szCs w:val="20"/>
              </w:rPr>
              <w:t>Age</w:t>
            </w:r>
          </w:p>
        </w:tc>
      </w:tr>
      <w:tr w:rsidR="00D8137E" w:rsidRPr="00EF4C2D" w14:paraId="0CCF7431" w14:textId="77777777" w:rsidTr="007C08EB">
        <w:trPr>
          <w:trHeight w:val="231"/>
        </w:trPr>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6665C616" w14:textId="77777777" w:rsidR="00D8137E" w:rsidRPr="00EF4C2D" w:rsidRDefault="00D8137E" w:rsidP="003B376A">
            <w:pPr>
              <w:keepNext/>
              <w:keepLines/>
              <w:jc w:val="left"/>
              <w:rPr>
                <w:rFonts w:ascii="Arial Narrow" w:hAnsi="Arial Narrow" w:cs="Calibri"/>
                <w:sz w:val="20"/>
                <w:szCs w:val="20"/>
              </w:rPr>
            </w:pPr>
            <w:r w:rsidRPr="00EF4C2D">
              <w:rPr>
                <w:rFonts w:ascii="Arial Narrow" w:hAnsi="Arial Narrow"/>
                <w:sz w:val="20"/>
                <w:szCs w:val="20"/>
                <w:lang w:val="en-AU"/>
              </w:rPr>
              <w:t>&lt;65 years</w:t>
            </w: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696D28E3"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NR</w:t>
            </w:r>
          </w:p>
        </w:tc>
        <w:tc>
          <w:tcPr>
            <w:tcW w:w="775" w:type="pct"/>
            <w:tcBorders>
              <w:top w:val="single" w:sz="4" w:space="0" w:color="000000"/>
              <w:left w:val="single" w:sz="4" w:space="0" w:color="000000"/>
              <w:bottom w:val="single" w:sz="4" w:space="0" w:color="000000"/>
              <w:right w:val="single" w:sz="4" w:space="0" w:color="000000"/>
            </w:tcBorders>
          </w:tcPr>
          <w:p w14:paraId="1BC676B7"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87 (66.9)</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27C513B0" w14:textId="1C6DD8EF" w:rsidR="00D8137E" w:rsidRPr="0096381E" w:rsidRDefault="00500E4D" w:rsidP="003B376A">
            <w:pPr>
              <w:keepNext/>
              <w:keepLines/>
              <w:jc w:val="center"/>
              <w:rPr>
                <w:rFonts w:ascii="Arial Narrow" w:hAnsi="Arial Narrow" w:cs="Calibri"/>
                <w:sz w:val="20"/>
                <w:szCs w:val="20"/>
              </w:rPr>
            </w:pPr>
            <w:r w:rsidRPr="0096381E">
              <w:rPr>
                <w:rFonts w:ascii="Arial Narrow" w:hAnsi="Arial Narrow"/>
                <w:sz w:val="20"/>
                <w:szCs w:val="20"/>
                <w:lang w:val="en-AU"/>
              </w:rPr>
              <w:t>NR</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4E910C2C"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33 (73)</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2D8CC788"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NR</w:t>
            </w:r>
          </w:p>
        </w:tc>
      </w:tr>
      <w:tr w:rsidR="00D8137E" w:rsidRPr="00EF4C2D" w14:paraId="7E21D71A" w14:textId="77777777" w:rsidTr="007C08EB">
        <w:trPr>
          <w:trHeight w:val="231"/>
        </w:trPr>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0DA92FBB" w14:textId="77777777" w:rsidR="00D8137E" w:rsidRPr="00EF4C2D" w:rsidRDefault="00D8137E" w:rsidP="003B376A">
            <w:pPr>
              <w:keepNext/>
              <w:keepLines/>
              <w:jc w:val="left"/>
              <w:rPr>
                <w:rFonts w:ascii="Arial Narrow" w:hAnsi="Arial Narrow" w:cs="Calibri"/>
                <w:sz w:val="20"/>
                <w:szCs w:val="20"/>
              </w:rPr>
            </w:pPr>
            <w:r w:rsidRPr="00EF4C2D">
              <w:rPr>
                <w:rFonts w:ascii="Arial Narrow" w:hAnsi="Arial Narrow"/>
                <w:sz w:val="20"/>
                <w:szCs w:val="20"/>
                <w:lang w:val="en-AU"/>
              </w:rPr>
              <w:t>≥65 years</w:t>
            </w: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2E98C7B1"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NR</w:t>
            </w:r>
          </w:p>
        </w:tc>
        <w:tc>
          <w:tcPr>
            <w:tcW w:w="775" w:type="pct"/>
            <w:tcBorders>
              <w:top w:val="single" w:sz="4" w:space="0" w:color="000000"/>
              <w:left w:val="single" w:sz="4" w:space="0" w:color="000000"/>
              <w:bottom w:val="single" w:sz="4" w:space="0" w:color="000000"/>
              <w:right w:val="single" w:sz="4" w:space="0" w:color="000000"/>
            </w:tcBorders>
          </w:tcPr>
          <w:p w14:paraId="363191F7"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43 (33.1)</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26B98135"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NR</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359E84E1"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12 (27)</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1D5C6F2D"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NR</w:t>
            </w:r>
          </w:p>
        </w:tc>
      </w:tr>
      <w:tr w:rsidR="00D8137E" w:rsidRPr="00EF4C2D" w14:paraId="51DD71EA" w14:textId="77777777" w:rsidTr="007C08EB">
        <w:trPr>
          <w:trHeight w:val="231"/>
        </w:trPr>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734604C4" w14:textId="77777777" w:rsidR="00D8137E" w:rsidRPr="00EF4C2D" w:rsidRDefault="00D8137E" w:rsidP="003B376A">
            <w:pPr>
              <w:keepNext/>
              <w:keepLines/>
              <w:jc w:val="left"/>
              <w:rPr>
                <w:rFonts w:ascii="Arial Narrow" w:hAnsi="Arial Narrow" w:cs="Calibri"/>
                <w:sz w:val="20"/>
                <w:szCs w:val="20"/>
              </w:rPr>
            </w:pPr>
            <w:r w:rsidRPr="00EF4C2D">
              <w:rPr>
                <w:rFonts w:ascii="Arial Narrow" w:hAnsi="Arial Narrow"/>
                <w:sz w:val="20"/>
                <w:szCs w:val="20"/>
                <w:lang w:val="en-AU"/>
              </w:rPr>
              <w:t>Mean (range)</w:t>
            </w: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6031CB03"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NR</w:t>
            </w:r>
          </w:p>
        </w:tc>
        <w:tc>
          <w:tcPr>
            <w:tcW w:w="775" w:type="pct"/>
            <w:tcBorders>
              <w:top w:val="single" w:sz="4" w:space="0" w:color="000000"/>
              <w:left w:val="single" w:sz="4" w:space="0" w:color="000000"/>
              <w:bottom w:val="single" w:sz="4" w:space="0" w:color="000000"/>
              <w:right w:val="single" w:sz="4" w:space="0" w:color="000000"/>
            </w:tcBorders>
          </w:tcPr>
          <w:p w14:paraId="71461D03"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NR</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29D3DDA6"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NR</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3FEAEFF6"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NR</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33049539"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61.7 (48-75)</w:t>
            </w:r>
          </w:p>
        </w:tc>
      </w:tr>
      <w:tr w:rsidR="00D8137E" w:rsidRPr="00EF4C2D" w14:paraId="4D475C09" w14:textId="77777777" w:rsidTr="007C08EB">
        <w:trPr>
          <w:trHeight w:val="231"/>
        </w:trPr>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3767FF6A" w14:textId="77777777" w:rsidR="00D8137E" w:rsidRPr="00EF4C2D" w:rsidRDefault="00D8137E" w:rsidP="003B376A">
            <w:pPr>
              <w:keepNext/>
              <w:keepLines/>
              <w:jc w:val="left"/>
              <w:rPr>
                <w:rFonts w:ascii="Arial Narrow" w:hAnsi="Arial Narrow" w:cs="Calibri"/>
                <w:sz w:val="20"/>
                <w:szCs w:val="20"/>
              </w:rPr>
            </w:pPr>
            <w:r w:rsidRPr="00EF4C2D">
              <w:rPr>
                <w:rFonts w:ascii="Arial Narrow" w:hAnsi="Arial Narrow"/>
                <w:sz w:val="20"/>
                <w:szCs w:val="20"/>
                <w:lang w:val="en-AU"/>
              </w:rPr>
              <w:t>Mean (SD)</w:t>
            </w: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2BBE6472"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NR</w:t>
            </w:r>
          </w:p>
        </w:tc>
        <w:tc>
          <w:tcPr>
            <w:tcW w:w="775" w:type="pct"/>
            <w:tcBorders>
              <w:top w:val="single" w:sz="4" w:space="0" w:color="000000"/>
              <w:left w:val="single" w:sz="4" w:space="0" w:color="000000"/>
              <w:bottom w:val="single" w:sz="4" w:space="0" w:color="000000"/>
              <w:right w:val="single" w:sz="4" w:space="0" w:color="000000"/>
            </w:tcBorders>
          </w:tcPr>
          <w:p w14:paraId="42202236"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NR</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65CD3F51"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35.73 (16.34)</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0E02EE21"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NR</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21762A74"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NR</w:t>
            </w:r>
          </w:p>
        </w:tc>
      </w:tr>
      <w:tr w:rsidR="00D8137E" w:rsidRPr="00EF4C2D" w14:paraId="7AFDCD9C" w14:textId="77777777" w:rsidTr="007C08EB">
        <w:trPr>
          <w:trHeight w:val="231"/>
        </w:trPr>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45A2B271" w14:textId="77777777" w:rsidR="00D8137E" w:rsidRPr="00EF4C2D" w:rsidRDefault="00D8137E" w:rsidP="003B376A">
            <w:pPr>
              <w:keepNext/>
              <w:keepLines/>
              <w:jc w:val="left"/>
              <w:rPr>
                <w:rFonts w:ascii="Arial Narrow" w:hAnsi="Arial Narrow" w:cs="Calibri"/>
                <w:sz w:val="20"/>
                <w:szCs w:val="20"/>
              </w:rPr>
            </w:pPr>
            <w:r w:rsidRPr="00EF4C2D">
              <w:rPr>
                <w:rFonts w:ascii="Arial Narrow" w:hAnsi="Arial Narrow" w:cs="Calibri"/>
                <w:sz w:val="20"/>
                <w:szCs w:val="20"/>
              </w:rPr>
              <w:t>Duration (months)</w:t>
            </w: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0DA4657B"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cs="Calibri"/>
                <w:sz w:val="20"/>
                <w:szCs w:val="20"/>
              </w:rPr>
              <w:t>12</w:t>
            </w:r>
          </w:p>
        </w:tc>
        <w:tc>
          <w:tcPr>
            <w:tcW w:w="775" w:type="pct"/>
            <w:tcBorders>
              <w:top w:val="single" w:sz="4" w:space="0" w:color="000000"/>
              <w:left w:val="single" w:sz="4" w:space="0" w:color="000000"/>
              <w:bottom w:val="single" w:sz="4" w:space="0" w:color="000000"/>
              <w:right w:val="single" w:sz="4" w:space="0" w:color="000000"/>
            </w:tcBorders>
          </w:tcPr>
          <w:p w14:paraId="76D5DDA5" w14:textId="77777777" w:rsidR="00D8137E" w:rsidRPr="0096381E" w:rsidRDefault="00D8137E" w:rsidP="003B376A">
            <w:pPr>
              <w:keepNext/>
              <w:keepLines/>
              <w:jc w:val="center"/>
              <w:rPr>
                <w:rFonts w:ascii="Arial Narrow" w:hAnsi="Arial Narrow" w:cs="Calibri"/>
                <w:sz w:val="20"/>
                <w:szCs w:val="20"/>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05A50B77"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cs="Calibri"/>
                <w:sz w:val="20"/>
                <w:szCs w:val="20"/>
              </w:rPr>
              <w:t>24</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27B585E9"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cs="Calibri"/>
                <w:sz w:val="20"/>
                <w:szCs w:val="20"/>
              </w:rPr>
              <w:t>36</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79DEFF87"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cs="Calibri"/>
                <w:sz w:val="20"/>
                <w:szCs w:val="20"/>
              </w:rPr>
              <w:t>76</w:t>
            </w:r>
          </w:p>
        </w:tc>
      </w:tr>
      <w:tr w:rsidR="00D8137E" w:rsidRPr="00EF4C2D" w14:paraId="315CBF13" w14:textId="77777777" w:rsidTr="007C08EB">
        <w:trPr>
          <w:trHeight w:val="231"/>
        </w:trPr>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75C5C557" w14:textId="77777777" w:rsidR="00D8137E" w:rsidRPr="00EF4C2D" w:rsidRDefault="00D8137E" w:rsidP="003B376A">
            <w:pPr>
              <w:keepNext/>
              <w:keepLines/>
              <w:jc w:val="left"/>
              <w:rPr>
                <w:rFonts w:ascii="Arial Narrow" w:hAnsi="Arial Narrow" w:cs="Calibri"/>
                <w:sz w:val="20"/>
                <w:szCs w:val="20"/>
              </w:rPr>
            </w:pPr>
            <w:r w:rsidRPr="00EF4C2D">
              <w:rPr>
                <w:rFonts w:ascii="Arial Narrow" w:hAnsi="Arial Narrow" w:cs="Calibri"/>
                <w:sz w:val="20"/>
                <w:szCs w:val="20"/>
              </w:rPr>
              <w:t>Gender, males (n,%)</w:t>
            </w: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3F309B8F"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rPr>
              <w:t>77 (59.2)</w:t>
            </w:r>
          </w:p>
        </w:tc>
        <w:tc>
          <w:tcPr>
            <w:tcW w:w="775" w:type="pct"/>
            <w:tcBorders>
              <w:top w:val="single" w:sz="4" w:space="0" w:color="000000"/>
              <w:left w:val="single" w:sz="4" w:space="0" w:color="000000"/>
              <w:bottom w:val="single" w:sz="4" w:space="0" w:color="000000"/>
              <w:right w:val="single" w:sz="4" w:space="0" w:color="000000"/>
            </w:tcBorders>
          </w:tcPr>
          <w:p w14:paraId="46CC87A7"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rPr>
              <w:t>77 (59.2)</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2F7CEF2E"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cs="Calibri"/>
                <w:sz w:val="20"/>
                <w:szCs w:val="20"/>
              </w:rPr>
              <w:t>NA</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66F0858F"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cs="Calibri"/>
                <w:sz w:val="20"/>
                <w:szCs w:val="20"/>
              </w:rPr>
              <w:t>NA</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3440B496"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19 (70.0)</w:t>
            </w:r>
          </w:p>
        </w:tc>
      </w:tr>
      <w:tr w:rsidR="00D8137E" w:rsidRPr="00EF4C2D" w14:paraId="00E442C7" w14:textId="77777777" w:rsidTr="007C08EB">
        <w:trPr>
          <w:trHeight w:val="231"/>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4E1B1AE9" w14:textId="77777777" w:rsidR="00D8137E" w:rsidRPr="0096381E" w:rsidRDefault="00D8137E" w:rsidP="003B376A">
            <w:pPr>
              <w:keepNext/>
              <w:keepLines/>
              <w:jc w:val="left"/>
              <w:rPr>
                <w:rFonts w:ascii="Arial Narrow" w:hAnsi="Arial Narrow" w:cs="Calibri"/>
                <w:b/>
                <w:sz w:val="20"/>
                <w:szCs w:val="20"/>
              </w:rPr>
            </w:pPr>
            <w:r w:rsidRPr="0096381E">
              <w:rPr>
                <w:rFonts w:ascii="Arial Narrow" w:hAnsi="Arial Narrow" w:cs="Calibri"/>
                <w:b/>
                <w:sz w:val="20"/>
                <w:szCs w:val="20"/>
              </w:rPr>
              <w:t>Prior treatment</w:t>
            </w:r>
          </w:p>
        </w:tc>
      </w:tr>
      <w:tr w:rsidR="00D8137E" w:rsidRPr="00EF4C2D" w14:paraId="7FA4686B" w14:textId="77777777" w:rsidTr="007C08EB">
        <w:trPr>
          <w:trHeight w:val="231"/>
        </w:trPr>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4FE26F82" w14:textId="77777777" w:rsidR="00D8137E" w:rsidRPr="00EF4C2D" w:rsidRDefault="00D8137E" w:rsidP="003B376A">
            <w:pPr>
              <w:keepNext/>
              <w:keepLines/>
              <w:jc w:val="left"/>
              <w:rPr>
                <w:rFonts w:ascii="Arial Narrow" w:hAnsi="Arial Narrow" w:cs="Calibri"/>
                <w:sz w:val="20"/>
                <w:szCs w:val="20"/>
              </w:rPr>
            </w:pPr>
            <w:r w:rsidRPr="00EF4C2D">
              <w:rPr>
                <w:rFonts w:ascii="Arial Narrow" w:hAnsi="Arial Narrow"/>
                <w:sz w:val="20"/>
                <w:szCs w:val="20"/>
                <w:lang w:val="en-AU"/>
              </w:rPr>
              <w:t>Topical steroids</w:t>
            </w: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3CDCB64E"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112 (86.1)</w:t>
            </w:r>
          </w:p>
        </w:tc>
        <w:tc>
          <w:tcPr>
            <w:tcW w:w="775" w:type="pct"/>
            <w:tcBorders>
              <w:top w:val="single" w:sz="4" w:space="0" w:color="000000"/>
              <w:left w:val="single" w:sz="4" w:space="0" w:color="000000"/>
              <w:bottom w:val="single" w:sz="4" w:space="0" w:color="000000"/>
              <w:right w:val="single" w:sz="4" w:space="0" w:color="000000"/>
            </w:tcBorders>
          </w:tcPr>
          <w:p w14:paraId="7A4A98BD"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113 (86.9)</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1AD272AA"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cs="Calibri"/>
                <w:sz w:val="20"/>
                <w:szCs w:val="20"/>
              </w:rPr>
              <w:t>NR</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16859BBB"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NR</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1EB422B6"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NR</w:t>
            </w:r>
          </w:p>
        </w:tc>
      </w:tr>
      <w:tr w:rsidR="00D8137E" w:rsidRPr="00EF4C2D" w14:paraId="35D559E7" w14:textId="77777777" w:rsidTr="007C08EB">
        <w:trPr>
          <w:trHeight w:val="231"/>
        </w:trPr>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6146DBF0" w14:textId="77777777" w:rsidR="00D8137E" w:rsidRPr="00EF4C2D" w:rsidRDefault="00D8137E" w:rsidP="003B376A">
            <w:pPr>
              <w:keepNext/>
              <w:keepLines/>
              <w:jc w:val="left"/>
              <w:rPr>
                <w:rFonts w:ascii="Arial Narrow" w:hAnsi="Arial Narrow" w:cs="Calibri"/>
                <w:sz w:val="20"/>
                <w:szCs w:val="20"/>
              </w:rPr>
            </w:pPr>
            <w:r w:rsidRPr="00EF4C2D">
              <w:rPr>
                <w:rFonts w:ascii="Arial Narrow" w:hAnsi="Arial Narrow"/>
                <w:sz w:val="20"/>
                <w:szCs w:val="20"/>
                <w:lang w:val="en-AU"/>
              </w:rPr>
              <w:t>Phototherapy</w:t>
            </w: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767064D2"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50 (38.5)</w:t>
            </w:r>
          </w:p>
        </w:tc>
        <w:tc>
          <w:tcPr>
            <w:tcW w:w="775" w:type="pct"/>
            <w:tcBorders>
              <w:top w:val="single" w:sz="4" w:space="0" w:color="000000"/>
              <w:left w:val="single" w:sz="4" w:space="0" w:color="000000"/>
              <w:bottom w:val="single" w:sz="4" w:space="0" w:color="000000"/>
              <w:right w:val="single" w:sz="4" w:space="0" w:color="000000"/>
            </w:tcBorders>
          </w:tcPr>
          <w:p w14:paraId="50D8B5F0"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53 (40.8)</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24C89686"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cs="Calibri"/>
                <w:sz w:val="20"/>
                <w:szCs w:val="20"/>
              </w:rPr>
              <w:t>NR</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3E436075"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15 (33.3)</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39D830CF"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14 (52)</w:t>
            </w:r>
          </w:p>
        </w:tc>
      </w:tr>
      <w:tr w:rsidR="00D8137E" w:rsidRPr="00EF4C2D" w14:paraId="3AB790F3" w14:textId="77777777" w:rsidTr="007C08EB">
        <w:trPr>
          <w:trHeight w:val="231"/>
        </w:trPr>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54E6D18D" w14:textId="77777777" w:rsidR="00D8137E" w:rsidRPr="00EF4C2D" w:rsidRDefault="00D8137E" w:rsidP="003B376A">
            <w:pPr>
              <w:keepNext/>
              <w:keepLines/>
              <w:jc w:val="left"/>
              <w:rPr>
                <w:rFonts w:ascii="Arial Narrow" w:hAnsi="Arial Narrow"/>
                <w:sz w:val="20"/>
                <w:szCs w:val="20"/>
              </w:rPr>
            </w:pPr>
            <w:r w:rsidRPr="00EF4C2D">
              <w:rPr>
                <w:rFonts w:ascii="Arial Narrow" w:hAnsi="Arial Narrow"/>
                <w:sz w:val="20"/>
                <w:szCs w:val="20"/>
                <w:lang w:val="en-AU"/>
              </w:rPr>
              <w:t>Bexarotene (topical and oral)</w:t>
            </w: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3601F7DF" w14:textId="77777777" w:rsidR="00D8137E" w:rsidRPr="0096381E" w:rsidRDefault="00D8137E" w:rsidP="003B376A">
            <w:pPr>
              <w:keepNext/>
              <w:keepLines/>
              <w:jc w:val="center"/>
              <w:rPr>
                <w:rFonts w:ascii="Arial Narrow" w:hAnsi="Arial Narrow"/>
                <w:sz w:val="20"/>
                <w:szCs w:val="20"/>
              </w:rPr>
            </w:pPr>
            <w:r w:rsidRPr="0096381E">
              <w:rPr>
                <w:rFonts w:ascii="Arial Narrow" w:hAnsi="Arial Narrow"/>
                <w:sz w:val="20"/>
                <w:szCs w:val="20"/>
                <w:lang w:val="en-AU"/>
              </w:rPr>
              <w:t>23 (17.7)</w:t>
            </w:r>
          </w:p>
        </w:tc>
        <w:tc>
          <w:tcPr>
            <w:tcW w:w="775" w:type="pct"/>
            <w:tcBorders>
              <w:top w:val="single" w:sz="4" w:space="0" w:color="000000"/>
              <w:left w:val="single" w:sz="4" w:space="0" w:color="000000"/>
              <w:bottom w:val="single" w:sz="4" w:space="0" w:color="000000"/>
              <w:right w:val="single" w:sz="4" w:space="0" w:color="000000"/>
            </w:tcBorders>
          </w:tcPr>
          <w:p w14:paraId="048F0433" w14:textId="77777777" w:rsidR="00D8137E" w:rsidRPr="0096381E" w:rsidRDefault="00D8137E" w:rsidP="003B376A">
            <w:pPr>
              <w:keepNext/>
              <w:keepLines/>
              <w:jc w:val="center"/>
              <w:rPr>
                <w:rFonts w:ascii="Arial Narrow" w:hAnsi="Arial Narrow"/>
                <w:sz w:val="20"/>
                <w:szCs w:val="20"/>
              </w:rPr>
            </w:pPr>
            <w:r w:rsidRPr="0096381E">
              <w:rPr>
                <w:rFonts w:ascii="Arial Narrow" w:hAnsi="Arial Narrow"/>
                <w:sz w:val="20"/>
                <w:szCs w:val="20"/>
                <w:lang w:val="en-AU"/>
              </w:rPr>
              <w:t>23 (17.7)</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7DA0D85D"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rPr>
              <w:t>NR</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1E995EB3" w14:textId="77777777" w:rsidR="00D8137E" w:rsidRPr="0096381E" w:rsidRDefault="00D8137E" w:rsidP="003B376A">
            <w:pPr>
              <w:keepNext/>
              <w:keepLines/>
              <w:jc w:val="center"/>
              <w:rPr>
                <w:rFonts w:ascii="Arial Narrow" w:hAnsi="Arial Narrow"/>
                <w:sz w:val="20"/>
                <w:szCs w:val="20"/>
              </w:rPr>
            </w:pPr>
            <w:r w:rsidRPr="0096381E">
              <w:rPr>
                <w:rFonts w:ascii="Arial Narrow" w:hAnsi="Arial Narrow"/>
                <w:sz w:val="20"/>
                <w:szCs w:val="20"/>
              </w:rPr>
              <w:t>NR</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7CD2B6B1" w14:textId="77777777" w:rsidR="00D8137E" w:rsidRPr="0096381E" w:rsidRDefault="00D8137E" w:rsidP="003B376A">
            <w:pPr>
              <w:keepNext/>
              <w:keepLines/>
              <w:jc w:val="center"/>
              <w:rPr>
                <w:rFonts w:ascii="Arial Narrow" w:hAnsi="Arial Narrow"/>
                <w:sz w:val="20"/>
                <w:szCs w:val="20"/>
              </w:rPr>
            </w:pPr>
            <w:r w:rsidRPr="0096381E">
              <w:rPr>
                <w:rFonts w:ascii="Arial Narrow" w:hAnsi="Arial Narrow"/>
                <w:sz w:val="20"/>
                <w:szCs w:val="20"/>
              </w:rPr>
              <w:t>NR</w:t>
            </w:r>
          </w:p>
        </w:tc>
      </w:tr>
      <w:tr w:rsidR="00D8137E" w:rsidRPr="00EF4C2D" w14:paraId="2F72AE5E" w14:textId="77777777" w:rsidTr="007C08EB">
        <w:trPr>
          <w:trHeight w:val="231"/>
        </w:trPr>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2F407C71" w14:textId="77777777" w:rsidR="00D8137E" w:rsidRPr="00EF4C2D" w:rsidRDefault="00D8137E" w:rsidP="003B376A">
            <w:pPr>
              <w:keepNext/>
              <w:keepLines/>
              <w:jc w:val="left"/>
              <w:rPr>
                <w:rFonts w:ascii="Arial Narrow" w:hAnsi="Arial Narrow"/>
                <w:sz w:val="20"/>
                <w:szCs w:val="20"/>
              </w:rPr>
            </w:pPr>
            <w:r w:rsidRPr="00EF4C2D">
              <w:rPr>
                <w:rFonts w:ascii="Arial Narrow" w:hAnsi="Arial Narrow"/>
                <w:sz w:val="20"/>
                <w:szCs w:val="20"/>
                <w:lang w:val="en-AU"/>
              </w:rPr>
              <w:t>Topical chlormethine</w:t>
            </w: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57F2BD70" w14:textId="77777777" w:rsidR="00D8137E" w:rsidRPr="0096381E" w:rsidRDefault="00D8137E" w:rsidP="003B376A">
            <w:pPr>
              <w:keepNext/>
              <w:keepLines/>
              <w:jc w:val="center"/>
              <w:rPr>
                <w:rFonts w:ascii="Arial Narrow" w:hAnsi="Arial Narrow"/>
                <w:sz w:val="20"/>
                <w:szCs w:val="20"/>
              </w:rPr>
            </w:pPr>
            <w:r w:rsidRPr="0096381E">
              <w:rPr>
                <w:rFonts w:ascii="Arial Narrow" w:hAnsi="Arial Narrow"/>
                <w:sz w:val="20"/>
                <w:szCs w:val="20"/>
                <w:lang w:val="en-AU"/>
              </w:rPr>
              <w:t>16 (12.3)</w:t>
            </w:r>
          </w:p>
        </w:tc>
        <w:tc>
          <w:tcPr>
            <w:tcW w:w="775" w:type="pct"/>
            <w:tcBorders>
              <w:top w:val="single" w:sz="4" w:space="0" w:color="000000"/>
              <w:left w:val="single" w:sz="4" w:space="0" w:color="000000"/>
              <w:bottom w:val="single" w:sz="4" w:space="0" w:color="000000"/>
              <w:right w:val="single" w:sz="4" w:space="0" w:color="000000"/>
            </w:tcBorders>
          </w:tcPr>
          <w:p w14:paraId="165A48FB" w14:textId="77777777" w:rsidR="00D8137E" w:rsidRPr="0096381E" w:rsidRDefault="00D8137E" w:rsidP="003B376A">
            <w:pPr>
              <w:keepNext/>
              <w:keepLines/>
              <w:jc w:val="center"/>
              <w:rPr>
                <w:rFonts w:ascii="Arial Narrow" w:hAnsi="Arial Narrow"/>
                <w:sz w:val="20"/>
                <w:szCs w:val="20"/>
              </w:rPr>
            </w:pPr>
            <w:r w:rsidRPr="0096381E">
              <w:rPr>
                <w:rFonts w:ascii="Arial Narrow" w:hAnsi="Arial Narrow"/>
                <w:sz w:val="20"/>
                <w:szCs w:val="20"/>
                <w:lang w:val="en-AU"/>
              </w:rPr>
              <w:t>13 (10.0)</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20AE901D"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rPr>
              <w:t>NR</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63DB7496" w14:textId="77777777" w:rsidR="00D8137E" w:rsidRPr="0096381E" w:rsidRDefault="00D8137E" w:rsidP="003B376A">
            <w:pPr>
              <w:keepNext/>
              <w:keepLines/>
              <w:jc w:val="center"/>
              <w:rPr>
                <w:rFonts w:ascii="Arial Narrow" w:hAnsi="Arial Narrow"/>
                <w:sz w:val="20"/>
                <w:szCs w:val="20"/>
              </w:rPr>
            </w:pPr>
            <w:r w:rsidRPr="0096381E">
              <w:rPr>
                <w:rFonts w:ascii="Arial Narrow" w:hAnsi="Arial Narrow"/>
                <w:sz w:val="20"/>
                <w:szCs w:val="20"/>
              </w:rPr>
              <w:t>NR</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75148657" w14:textId="77777777" w:rsidR="00D8137E" w:rsidRPr="0096381E" w:rsidRDefault="00D8137E" w:rsidP="003B376A">
            <w:pPr>
              <w:keepNext/>
              <w:keepLines/>
              <w:jc w:val="center"/>
              <w:rPr>
                <w:rFonts w:ascii="Arial Narrow" w:hAnsi="Arial Narrow"/>
                <w:sz w:val="20"/>
                <w:szCs w:val="20"/>
              </w:rPr>
            </w:pPr>
            <w:r w:rsidRPr="0096381E">
              <w:rPr>
                <w:rFonts w:ascii="Arial Narrow" w:hAnsi="Arial Narrow"/>
                <w:sz w:val="20"/>
                <w:szCs w:val="20"/>
              </w:rPr>
              <w:t>NR</w:t>
            </w:r>
          </w:p>
        </w:tc>
      </w:tr>
      <w:tr w:rsidR="00D8137E" w:rsidRPr="00EF4C2D" w14:paraId="3CEFC63B" w14:textId="77777777" w:rsidTr="007C08EB">
        <w:trPr>
          <w:trHeight w:val="231"/>
        </w:trPr>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5D98223D" w14:textId="77777777" w:rsidR="00D8137E" w:rsidRPr="00EF4C2D" w:rsidRDefault="00D8137E" w:rsidP="003B376A">
            <w:pPr>
              <w:keepNext/>
              <w:keepLines/>
              <w:jc w:val="left"/>
              <w:rPr>
                <w:rFonts w:ascii="Arial Narrow" w:hAnsi="Arial Narrow" w:cs="Calibri"/>
                <w:sz w:val="20"/>
                <w:szCs w:val="20"/>
              </w:rPr>
            </w:pPr>
            <w:r w:rsidRPr="00EF4C2D">
              <w:rPr>
                <w:rFonts w:ascii="Arial Narrow" w:hAnsi="Arial Narrow"/>
                <w:sz w:val="20"/>
                <w:szCs w:val="20"/>
                <w:lang w:val="en-AU"/>
              </w:rPr>
              <w:t>IFNs</w:t>
            </w: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3066730D"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3 (2.3)</w:t>
            </w:r>
          </w:p>
        </w:tc>
        <w:tc>
          <w:tcPr>
            <w:tcW w:w="775" w:type="pct"/>
            <w:tcBorders>
              <w:top w:val="single" w:sz="4" w:space="0" w:color="000000"/>
              <w:left w:val="single" w:sz="4" w:space="0" w:color="000000"/>
              <w:bottom w:val="single" w:sz="4" w:space="0" w:color="000000"/>
              <w:right w:val="single" w:sz="4" w:space="0" w:color="000000"/>
            </w:tcBorders>
          </w:tcPr>
          <w:p w14:paraId="65587AFC"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5 (3.8)</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0E72F768"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rPr>
              <w:t>NR</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6B8A0CCC"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rPr>
              <w:t>NR</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2A19DAE8"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rPr>
              <w:t>NR</w:t>
            </w:r>
          </w:p>
        </w:tc>
      </w:tr>
      <w:tr w:rsidR="00D8137E" w:rsidRPr="00EF4C2D" w14:paraId="2D4666D8" w14:textId="77777777" w:rsidTr="007C08EB">
        <w:trPr>
          <w:trHeight w:val="231"/>
        </w:trPr>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55949801" w14:textId="77777777" w:rsidR="00D8137E" w:rsidRPr="00EF4C2D" w:rsidRDefault="00D8137E" w:rsidP="003B376A">
            <w:pPr>
              <w:keepNext/>
              <w:keepLines/>
              <w:jc w:val="left"/>
              <w:rPr>
                <w:rFonts w:ascii="Arial Narrow" w:hAnsi="Arial Narrow" w:cs="Calibri"/>
                <w:sz w:val="20"/>
                <w:szCs w:val="20"/>
              </w:rPr>
            </w:pPr>
            <w:r w:rsidRPr="00EF4C2D">
              <w:rPr>
                <w:rFonts w:ascii="Arial Narrow" w:hAnsi="Arial Narrow"/>
                <w:sz w:val="20"/>
                <w:szCs w:val="20"/>
                <w:lang w:val="en-AU"/>
              </w:rPr>
              <w:t>Methotrexate</w:t>
            </w: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40983EA5"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3 (2.3)</w:t>
            </w:r>
          </w:p>
        </w:tc>
        <w:tc>
          <w:tcPr>
            <w:tcW w:w="775" w:type="pct"/>
            <w:tcBorders>
              <w:top w:val="single" w:sz="4" w:space="0" w:color="000000"/>
              <w:left w:val="single" w:sz="4" w:space="0" w:color="000000"/>
              <w:bottom w:val="single" w:sz="4" w:space="0" w:color="000000"/>
              <w:right w:val="single" w:sz="4" w:space="0" w:color="000000"/>
            </w:tcBorders>
          </w:tcPr>
          <w:p w14:paraId="2BA82971"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3 (2.3)</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6D4AA44C"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rPr>
              <w:t>NR</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638DE60D"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rPr>
              <w:t>NR</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55BF7709"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rPr>
              <w:t>NR</w:t>
            </w:r>
          </w:p>
        </w:tc>
      </w:tr>
      <w:tr w:rsidR="00D8137E" w:rsidRPr="00EF4C2D" w14:paraId="5E5D432F" w14:textId="77777777" w:rsidTr="007C08EB">
        <w:trPr>
          <w:trHeight w:val="231"/>
        </w:trPr>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00E42664" w14:textId="77777777" w:rsidR="00D8137E" w:rsidRPr="00EF4C2D" w:rsidRDefault="00D8137E" w:rsidP="003B376A">
            <w:pPr>
              <w:keepNext/>
              <w:keepLines/>
              <w:jc w:val="left"/>
              <w:rPr>
                <w:rFonts w:ascii="Arial Narrow" w:hAnsi="Arial Narrow" w:cs="Calibri"/>
                <w:sz w:val="20"/>
                <w:szCs w:val="20"/>
              </w:rPr>
            </w:pPr>
            <w:r w:rsidRPr="00EF4C2D">
              <w:rPr>
                <w:rFonts w:ascii="Arial Narrow" w:hAnsi="Arial Narrow"/>
                <w:sz w:val="20"/>
                <w:szCs w:val="20"/>
                <w:lang w:val="en-AU"/>
              </w:rPr>
              <w:t>Radiation (local and total skin)</w:t>
            </w: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4BA18D77"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3 (2.3)</w:t>
            </w:r>
          </w:p>
        </w:tc>
        <w:tc>
          <w:tcPr>
            <w:tcW w:w="775" w:type="pct"/>
            <w:tcBorders>
              <w:top w:val="single" w:sz="4" w:space="0" w:color="000000"/>
              <w:left w:val="single" w:sz="4" w:space="0" w:color="000000"/>
              <w:bottom w:val="single" w:sz="4" w:space="0" w:color="000000"/>
              <w:right w:val="single" w:sz="4" w:space="0" w:color="000000"/>
            </w:tcBorders>
          </w:tcPr>
          <w:p w14:paraId="0FBCDE7C"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2 (1.5)</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5BAFE83A"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rPr>
              <w:t>NR</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066CE738"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rPr>
              <w:t>NR</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1AEF0346"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rPr>
              <w:t>NR</w:t>
            </w:r>
          </w:p>
        </w:tc>
      </w:tr>
      <w:tr w:rsidR="00D8137E" w:rsidRPr="00EF4C2D" w14:paraId="03EC1D49" w14:textId="77777777" w:rsidTr="007C08EB">
        <w:trPr>
          <w:trHeight w:val="231"/>
        </w:trPr>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3AE7491A" w14:textId="77777777" w:rsidR="00D8137E" w:rsidRPr="00EF4C2D" w:rsidRDefault="00D8137E" w:rsidP="003B376A">
            <w:pPr>
              <w:keepNext/>
              <w:keepLines/>
              <w:jc w:val="left"/>
              <w:rPr>
                <w:rFonts w:ascii="Arial Narrow" w:hAnsi="Arial Narrow"/>
                <w:sz w:val="20"/>
                <w:szCs w:val="20"/>
              </w:rPr>
            </w:pPr>
            <w:r w:rsidRPr="00EF4C2D">
              <w:rPr>
                <w:rFonts w:ascii="Arial Narrow" w:hAnsi="Arial Narrow"/>
                <w:sz w:val="20"/>
                <w:szCs w:val="20"/>
                <w:lang w:val="en-AU"/>
              </w:rPr>
              <w:t>TSEB</w:t>
            </w: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55EC3AEB" w14:textId="77777777" w:rsidR="00D8137E" w:rsidRPr="0096381E" w:rsidRDefault="00D8137E" w:rsidP="003B376A">
            <w:pPr>
              <w:keepNext/>
              <w:keepLines/>
              <w:jc w:val="center"/>
              <w:rPr>
                <w:rFonts w:ascii="Arial Narrow" w:hAnsi="Arial Narrow"/>
                <w:sz w:val="20"/>
                <w:szCs w:val="20"/>
              </w:rPr>
            </w:pPr>
            <w:r w:rsidRPr="0096381E">
              <w:rPr>
                <w:rFonts w:ascii="Arial Narrow" w:hAnsi="Arial Narrow"/>
                <w:sz w:val="20"/>
                <w:szCs w:val="20"/>
              </w:rPr>
              <w:t>NR</w:t>
            </w:r>
          </w:p>
        </w:tc>
        <w:tc>
          <w:tcPr>
            <w:tcW w:w="775" w:type="pct"/>
            <w:tcBorders>
              <w:top w:val="single" w:sz="4" w:space="0" w:color="000000"/>
              <w:left w:val="single" w:sz="4" w:space="0" w:color="000000"/>
              <w:bottom w:val="single" w:sz="4" w:space="0" w:color="000000"/>
              <w:right w:val="single" w:sz="4" w:space="0" w:color="000000"/>
            </w:tcBorders>
          </w:tcPr>
          <w:p w14:paraId="629D265B" w14:textId="77777777" w:rsidR="00D8137E" w:rsidRPr="0096381E" w:rsidRDefault="00D8137E" w:rsidP="003B376A">
            <w:pPr>
              <w:keepNext/>
              <w:keepLines/>
              <w:jc w:val="center"/>
              <w:rPr>
                <w:rFonts w:ascii="Arial Narrow" w:hAnsi="Arial Narrow"/>
                <w:sz w:val="20"/>
                <w:szCs w:val="20"/>
              </w:rPr>
            </w:pPr>
            <w:r w:rsidRPr="0096381E">
              <w:rPr>
                <w:rFonts w:ascii="Arial Narrow" w:hAnsi="Arial Narrow"/>
                <w:sz w:val="20"/>
                <w:szCs w:val="20"/>
              </w:rPr>
              <w:t>NR</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41D55ADC"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rPr>
              <w:t>NR</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310B6FAE"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3 (6.7)</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1EC8442C"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rPr>
              <w:t>NR</w:t>
            </w:r>
          </w:p>
        </w:tc>
      </w:tr>
      <w:tr w:rsidR="00D8137E" w:rsidRPr="00EF4C2D" w14:paraId="5C40EB21" w14:textId="77777777" w:rsidTr="007C08EB">
        <w:trPr>
          <w:trHeight w:val="231"/>
        </w:trPr>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142C3012" w14:textId="77777777" w:rsidR="00D8137E" w:rsidRPr="00EF4C2D" w:rsidRDefault="00D8137E" w:rsidP="003B376A">
            <w:pPr>
              <w:keepNext/>
              <w:keepLines/>
              <w:jc w:val="left"/>
              <w:rPr>
                <w:rFonts w:ascii="Arial Narrow" w:hAnsi="Arial Narrow"/>
                <w:sz w:val="20"/>
                <w:szCs w:val="20"/>
              </w:rPr>
            </w:pPr>
            <w:r w:rsidRPr="00EF4C2D">
              <w:rPr>
                <w:rFonts w:ascii="Arial Narrow" w:hAnsi="Arial Narrow"/>
                <w:sz w:val="20"/>
                <w:szCs w:val="20"/>
                <w:lang w:val="en-AU"/>
              </w:rPr>
              <w:t>Photopheresis, interferons, topical chemotherapy</w:t>
            </w: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7E3CDF01" w14:textId="77777777" w:rsidR="00D8137E" w:rsidRPr="0096381E" w:rsidRDefault="00D8137E" w:rsidP="003B376A">
            <w:pPr>
              <w:keepNext/>
              <w:keepLines/>
              <w:jc w:val="center"/>
              <w:rPr>
                <w:rFonts w:ascii="Arial Narrow" w:hAnsi="Arial Narrow"/>
                <w:sz w:val="20"/>
                <w:szCs w:val="20"/>
              </w:rPr>
            </w:pPr>
            <w:r w:rsidRPr="0096381E">
              <w:rPr>
                <w:rFonts w:ascii="Arial Narrow" w:hAnsi="Arial Narrow"/>
                <w:sz w:val="20"/>
                <w:szCs w:val="20"/>
              </w:rPr>
              <w:t>NR</w:t>
            </w:r>
          </w:p>
        </w:tc>
        <w:tc>
          <w:tcPr>
            <w:tcW w:w="775" w:type="pct"/>
            <w:tcBorders>
              <w:top w:val="single" w:sz="4" w:space="0" w:color="000000"/>
              <w:left w:val="single" w:sz="4" w:space="0" w:color="000000"/>
              <w:bottom w:val="single" w:sz="4" w:space="0" w:color="000000"/>
              <w:right w:val="single" w:sz="4" w:space="0" w:color="000000"/>
            </w:tcBorders>
          </w:tcPr>
          <w:p w14:paraId="0044199C" w14:textId="77777777" w:rsidR="00D8137E" w:rsidRPr="0096381E" w:rsidRDefault="00D8137E" w:rsidP="003B376A">
            <w:pPr>
              <w:keepNext/>
              <w:keepLines/>
              <w:jc w:val="center"/>
              <w:rPr>
                <w:rFonts w:ascii="Arial Narrow" w:hAnsi="Arial Narrow"/>
                <w:sz w:val="20"/>
                <w:szCs w:val="20"/>
              </w:rPr>
            </w:pPr>
            <w:r w:rsidRPr="0096381E">
              <w:rPr>
                <w:rFonts w:ascii="Arial Narrow" w:hAnsi="Arial Narrow"/>
                <w:sz w:val="20"/>
                <w:szCs w:val="20"/>
              </w:rPr>
              <w:t>NR</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4F972D0B"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rPr>
              <w:t>NR</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75A7E1C0"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4 (8.9)</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448C7A69"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rPr>
              <w:t>NR</w:t>
            </w:r>
          </w:p>
        </w:tc>
      </w:tr>
      <w:tr w:rsidR="00D8137E" w:rsidRPr="00EF4C2D" w14:paraId="1D6C57ED" w14:textId="77777777" w:rsidTr="007C08EB">
        <w:trPr>
          <w:trHeight w:val="231"/>
        </w:trPr>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41893ACA" w14:textId="77777777" w:rsidR="00D8137E" w:rsidRPr="00EF4C2D" w:rsidRDefault="00D8137E" w:rsidP="003B376A">
            <w:pPr>
              <w:keepNext/>
              <w:keepLines/>
              <w:jc w:val="left"/>
              <w:rPr>
                <w:rFonts w:ascii="Arial Narrow" w:hAnsi="Arial Narrow"/>
                <w:sz w:val="20"/>
                <w:szCs w:val="20"/>
              </w:rPr>
            </w:pPr>
            <w:r w:rsidRPr="00EF4C2D">
              <w:rPr>
                <w:rFonts w:ascii="Arial Narrow" w:hAnsi="Arial Narrow"/>
                <w:sz w:val="20"/>
                <w:szCs w:val="20"/>
                <w:lang w:val="en-AU"/>
              </w:rPr>
              <w:t>Topical therapy, radiotherapy, UVB, retinoids, b-carotene</w:t>
            </w: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48A11D24" w14:textId="77777777" w:rsidR="00D8137E" w:rsidRPr="0096381E" w:rsidRDefault="00D8137E" w:rsidP="003B376A">
            <w:pPr>
              <w:keepNext/>
              <w:keepLines/>
              <w:jc w:val="center"/>
              <w:rPr>
                <w:rFonts w:ascii="Arial Narrow" w:hAnsi="Arial Narrow"/>
                <w:sz w:val="20"/>
                <w:szCs w:val="20"/>
              </w:rPr>
            </w:pPr>
            <w:r w:rsidRPr="0096381E">
              <w:rPr>
                <w:rFonts w:ascii="Arial Narrow" w:hAnsi="Arial Narrow"/>
                <w:sz w:val="20"/>
                <w:szCs w:val="20"/>
              </w:rPr>
              <w:t>NR</w:t>
            </w:r>
          </w:p>
        </w:tc>
        <w:tc>
          <w:tcPr>
            <w:tcW w:w="775" w:type="pct"/>
            <w:tcBorders>
              <w:top w:val="single" w:sz="4" w:space="0" w:color="000000"/>
              <w:left w:val="single" w:sz="4" w:space="0" w:color="000000"/>
              <w:bottom w:val="single" w:sz="4" w:space="0" w:color="000000"/>
              <w:right w:val="single" w:sz="4" w:space="0" w:color="000000"/>
            </w:tcBorders>
          </w:tcPr>
          <w:p w14:paraId="67E7CC09" w14:textId="77777777" w:rsidR="00D8137E" w:rsidRPr="0096381E" w:rsidRDefault="00D8137E" w:rsidP="003B376A">
            <w:pPr>
              <w:keepNext/>
              <w:keepLines/>
              <w:jc w:val="center"/>
              <w:rPr>
                <w:rFonts w:ascii="Arial Narrow" w:hAnsi="Arial Narrow"/>
                <w:sz w:val="20"/>
                <w:szCs w:val="20"/>
              </w:rPr>
            </w:pPr>
            <w:r w:rsidRPr="0096381E">
              <w:rPr>
                <w:rFonts w:ascii="Arial Narrow" w:hAnsi="Arial Narrow"/>
                <w:sz w:val="20"/>
                <w:szCs w:val="20"/>
              </w:rPr>
              <w:t>NR</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428B6CEE"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rPr>
              <w:t>NR</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79DEC35E"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24 (53.3)</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71F9F657"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rPr>
              <w:t>NR</w:t>
            </w:r>
          </w:p>
        </w:tc>
      </w:tr>
      <w:tr w:rsidR="00D8137E" w:rsidRPr="00EF4C2D" w14:paraId="24BA1074" w14:textId="77777777" w:rsidTr="007C08EB">
        <w:trPr>
          <w:trHeight w:val="231"/>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6075DD5D" w14:textId="77777777" w:rsidR="00D8137E" w:rsidRPr="0096381E" w:rsidRDefault="00D8137E" w:rsidP="003B376A">
            <w:pPr>
              <w:keepNext/>
              <w:keepLines/>
              <w:jc w:val="left"/>
              <w:rPr>
                <w:rFonts w:ascii="Arial Narrow" w:hAnsi="Arial Narrow" w:cs="Calibri"/>
                <w:b/>
                <w:sz w:val="20"/>
                <w:szCs w:val="20"/>
              </w:rPr>
            </w:pPr>
            <w:r w:rsidRPr="0096381E">
              <w:rPr>
                <w:rFonts w:ascii="Arial Narrow" w:hAnsi="Arial Narrow" w:cs="Calibri"/>
                <w:b/>
                <w:sz w:val="20"/>
                <w:szCs w:val="20"/>
              </w:rPr>
              <w:t>Definition of response</w:t>
            </w:r>
          </w:p>
        </w:tc>
      </w:tr>
      <w:tr w:rsidR="00D8137E" w:rsidRPr="00EF4C2D" w14:paraId="2CE71565" w14:textId="77777777" w:rsidTr="007C08EB">
        <w:trPr>
          <w:trHeight w:val="231"/>
        </w:trPr>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1115F98D" w14:textId="77777777" w:rsidR="00D8137E" w:rsidRPr="00EF4C2D" w:rsidRDefault="00D8137E" w:rsidP="003B376A">
            <w:pPr>
              <w:keepNext/>
              <w:keepLines/>
              <w:jc w:val="left"/>
              <w:rPr>
                <w:rFonts w:ascii="Arial Narrow" w:hAnsi="Arial Narrow" w:cs="Calibri"/>
                <w:sz w:val="20"/>
                <w:szCs w:val="20"/>
              </w:rPr>
            </w:pPr>
            <w:r w:rsidRPr="00EF4C2D">
              <w:rPr>
                <w:rFonts w:ascii="Arial Narrow" w:hAnsi="Arial Narrow" w:cs="Calibri"/>
                <w:sz w:val="20"/>
                <w:szCs w:val="20"/>
              </w:rPr>
              <w:t>CR</w:t>
            </w:r>
          </w:p>
        </w:tc>
        <w:tc>
          <w:tcPr>
            <w:tcW w:w="1484" w:type="pct"/>
            <w:gridSpan w:val="2"/>
            <w:tcBorders>
              <w:top w:val="single" w:sz="4" w:space="0" w:color="000000"/>
              <w:left w:val="single" w:sz="4" w:space="0" w:color="000000"/>
              <w:bottom w:val="single" w:sz="4" w:space="0" w:color="000000"/>
              <w:right w:val="single" w:sz="4" w:space="0" w:color="000000"/>
            </w:tcBorders>
            <w:shd w:val="clear" w:color="auto" w:fill="auto"/>
          </w:tcPr>
          <w:p w14:paraId="13134DAC" w14:textId="2CF6EE09"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 xml:space="preserve">no evidence of disease; 100% improvement from Baseline </w:t>
            </w:r>
            <w:r w:rsidR="00B41E98" w:rsidRPr="0096381E">
              <w:rPr>
                <w:rFonts w:ascii="Arial Narrow" w:hAnsi="Arial Narrow"/>
                <w:sz w:val="20"/>
                <w:szCs w:val="20"/>
                <w:lang w:val="en-AU"/>
              </w:rPr>
              <w:t xml:space="preserve">CAILS </w:t>
            </w:r>
            <w:r w:rsidRPr="0096381E">
              <w:rPr>
                <w:rFonts w:ascii="Arial Narrow" w:hAnsi="Arial Narrow"/>
                <w:sz w:val="20"/>
                <w:szCs w:val="20"/>
                <w:lang w:val="en-AU"/>
              </w:rPr>
              <w:t>score</w:t>
            </w:r>
            <w:r w:rsidR="008F17A2" w:rsidRPr="0096381E">
              <w:rPr>
                <w:rFonts w:ascii="Arial Narrow" w:hAnsi="Arial Narrow"/>
                <w:sz w:val="20"/>
                <w:szCs w:val="20"/>
                <w:lang w:val="en-AU"/>
              </w:rPr>
              <w:t xml:space="preserve"> for five index lesion</w:t>
            </w:r>
            <w:r w:rsidRPr="0096381E">
              <w:rPr>
                <w:rFonts w:ascii="Arial Narrow" w:hAnsi="Arial Narrow"/>
                <w:sz w:val="20"/>
                <w:szCs w:val="20"/>
                <w:lang w:val="en-AU"/>
              </w:rPr>
              <w:t xml:space="preserve"> (score of 0), confirmed at the next visit ≥28 days later</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669782D8"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complete clinical and histopathological clearance</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5D837D9F" w14:textId="77777777" w:rsidR="00D8137E" w:rsidRPr="0096381E" w:rsidRDefault="00D8137E" w:rsidP="003B376A">
            <w:pPr>
              <w:pStyle w:val="KMC16-Tablecontent"/>
              <w:keepNext/>
              <w:keepLines/>
              <w:jc w:val="center"/>
            </w:pPr>
            <w:r w:rsidRPr="0096381E">
              <w:rPr>
                <w:szCs w:val="20"/>
                <w:lang w:val="en-AU"/>
              </w:rPr>
              <w:t>complete resolution of all clinically apparent cutaneous disease for at least 28 days</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18771ED8"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mSWAT score reduced to zero</w:t>
            </w:r>
          </w:p>
        </w:tc>
      </w:tr>
      <w:tr w:rsidR="00D8137E" w:rsidRPr="00EF4C2D" w14:paraId="536ADB94" w14:textId="77777777" w:rsidTr="007C08EB">
        <w:trPr>
          <w:trHeight w:val="231"/>
        </w:trPr>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382C7DC3" w14:textId="77777777" w:rsidR="00D8137E" w:rsidRPr="00EF4C2D" w:rsidRDefault="00D8137E" w:rsidP="003B376A">
            <w:pPr>
              <w:keepNext/>
              <w:keepLines/>
              <w:jc w:val="left"/>
              <w:rPr>
                <w:rFonts w:ascii="Arial Narrow" w:hAnsi="Arial Narrow" w:cs="Calibri"/>
                <w:sz w:val="20"/>
                <w:szCs w:val="20"/>
              </w:rPr>
            </w:pPr>
            <w:r w:rsidRPr="00EF4C2D">
              <w:rPr>
                <w:rFonts w:ascii="Arial Narrow" w:hAnsi="Arial Narrow" w:cs="Calibri"/>
                <w:sz w:val="20"/>
                <w:szCs w:val="20"/>
              </w:rPr>
              <w:t>PR</w:t>
            </w:r>
          </w:p>
        </w:tc>
        <w:tc>
          <w:tcPr>
            <w:tcW w:w="1484" w:type="pct"/>
            <w:gridSpan w:val="2"/>
            <w:tcBorders>
              <w:top w:val="single" w:sz="4" w:space="0" w:color="000000"/>
              <w:left w:val="single" w:sz="4" w:space="0" w:color="000000"/>
              <w:bottom w:val="single" w:sz="4" w:space="0" w:color="000000"/>
              <w:right w:val="single" w:sz="4" w:space="0" w:color="000000"/>
            </w:tcBorders>
            <w:shd w:val="clear" w:color="auto" w:fill="auto"/>
          </w:tcPr>
          <w:p w14:paraId="1DE172EA" w14:textId="7837C5C9"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 xml:space="preserve">partial but incomplete clearance of disease (evidence of disease remains); ≥50% improvement from baseline </w:t>
            </w:r>
            <w:r w:rsidR="00B41E98" w:rsidRPr="0096381E">
              <w:rPr>
                <w:rFonts w:ascii="Arial Narrow" w:hAnsi="Arial Narrow"/>
                <w:sz w:val="20"/>
                <w:szCs w:val="20"/>
                <w:lang w:val="en-AU"/>
              </w:rPr>
              <w:t xml:space="preserve">CAILS </w:t>
            </w:r>
            <w:r w:rsidRPr="0096381E">
              <w:rPr>
                <w:rFonts w:ascii="Arial Narrow" w:hAnsi="Arial Narrow"/>
                <w:sz w:val="20"/>
                <w:szCs w:val="20"/>
                <w:lang w:val="en-AU"/>
              </w:rPr>
              <w:t>score</w:t>
            </w:r>
            <w:r w:rsidR="008F17A2" w:rsidRPr="0096381E">
              <w:rPr>
                <w:rFonts w:ascii="Arial Narrow" w:hAnsi="Arial Narrow"/>
                <w:sz w:val="20"/>
                <w:szCs w:val="20"/>
                <w:lang w:val="en-AU"/>
              </w:rPr>
              <w:t xml:space="preserve"> for five index lesions</w:t>
            </w:r>
            <w:r w:rsidRPr="0096381E">
              <w:rPr>
                <w:rFonts w:ascii="Arial Narrow" w:hAnsi="Arial Narrow"/>
                <w:sz w:val="20"/>
                <w:szCs w:val="20"/>
                <w:lang w:val="en-AU"/>
              </w:rPr>
              <w:t>, confirmed at the next visit ≥28 days later</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6D024303"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cs="Calibri"/>
                <w:sz w:val="20"/>
                <w:szCs w:val="20"/>
              </w:rPr>
              <w:t>Not measured</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0AD1B949"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&gt;50% reduction of cutaneous disease burden based on tumour burden index score compared with baseline score and sustained for at least 4 weeks</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2ABDEE47" w14:textId="77777777" w:rsidR="00D8137E" w:rsidRPr="0096381E" w:rsidRDefault="00D8137E" w:rsidP="003B376A">
            <w:pPr>
              <w:keepNext/>
              <w:keepLines/>
              <w:jc w:val="center"/>
              <w:rPr>
                <w:rFonts w:ascii="Arial Narrow" w:hAnsi="Arial Narrow" w:cs="Calibri"/>
                <w:sz w:val="20"/>
                <w:szCs w:val="20"/>
              </w:rPr>
            </w:pPr>
            <w:r w:rsidRPr="0096381E">
              <w:rPr>
                <w:rFonts w:ascii="Arial Narrow" w:hAnsi="Arial Narrow"/>
                <w:sz w:val="20"/>
                <w:szCs w:val="20"/>
                <w:lang w:val="en-AU"/>
              </w:rPr>
              <w:t>mSWAT score reduction of more than 50%</w:t>
            </w:r>
          </w:p>
        </w:tc>
      </w:tr>
    </w:tbl>
    <w:p w14:paraId="4576A909" w14:textId="77777777" w:rsidR="00D8137E" w:rsidRPr="00EF4C2D" w:rsidRDefault="00D8137E" w:rsidP="003B376A">
      <w:pPr>
        <w:keepNext/>
        <w:keepLines/>
        <w:rPr>
          <w:rFonts w:ascii="Arial Narrow" w:hAnsi="Arial Narrow"/>
          <w:sz w:val="18"/>
          <w:szCs w:val="18"/>
        </w:rPr>
      </w:pPr>
      <w:r w:rsidRPr="00EF4C2D">
        <w:rPr>
          <w:rFonts w:ascii="Arial Narrow" w:hAnsi="Arial Narrow"/>
          <w:sz w:val="18"/>
          <w:szCs w:val="18"/>
        </w:rPr>
        <w:t>Source: Table 2-12 p88, Table 2-26 p 109 of the submission</w:t>
      </w:r>
    </w:p>
    <w:p w14:paraId="743FAA2A" w14:textId="77777777" w:rsidR="00D8137E" w:rsidRPr="00EF4C2D" w:rsidRDefault="00D8137E" w:rsidP="00D8137E">
      <w:pPr>
        <w:rPr>
          <w:rFonts w:ascii="Arial Narrow" w:hAnsi="Arial Narrow"/>
          <w:sz w:val="18"/>
          <w:szCs w:val="18"/>
        </w:rPr>
      </w:pPr>
      <w:r w:rsidRPr="00EF4C2D">
        <w:rPr>
          <w:rFonts w:ascii="Arial Narrow" w:hAnsi="Arial Narrow"/>
          <w:sz w:val="18"/>
          <w:szCs w:val="18"/>
        </w:rPr>
        <w:t>BSA=body surface area; CAILS= Composite Assessment of Index Lesion Severity CR=complete response; IFN=interferon; MF-CTCL= mycosis fungoides-type cutaneous t-cell Lymphoma; ITT=intention to treat; mSWAT= Mycosis Fungoides-type Cutaneous T-cell Lymphoma; mSWAT= Modified Severity-Weighted Assessment Tool; n= number of participants with event; N=total participants in group NA=not available; nm=nanometre;  NR= not reported; NYU=New York University; PUVA=psoralen ultraviolet A; PR=partial response; TSEB= total skin electron beam UVA=ultraviolet A; UVB=ultraviolet B; SD=standard deviation.</w:t>
      </w:r>
    </w:p>
    <w:p w14:paraId="496FFCAD" w14:textId="77777777" w:rsidR="00D8137E" w:rsidRPr="00EF4C2D" w:rsidRDefault="00D8137E" w:rsidP="00D8137E">
      <w:pPr>
        <w:rPr>
          <w:rFonts w:asciiTheme="minorHAnsi" w:hAnsiTheme="minorHAnsi"/>
          <w:i/>
          <w:color w:val="0066FF"/>
        </w:rPr>
      </w:pPr>
    </w:p>
    <w:p w14:paraId="683D5695" w14:textId="77777777" w:rsidR="00D8137E" w:rsidRPr="00EF4C2D" w:rsidRDefault="00D8137E" w:rsidP="00D8137E">
      <w:pPr>
        <w:pStyle w:val="4-SubsectionHeading"/>
      </w:pPr>
      <w:bookmarkStart w:id="41" w:name="_Toc22897641"/>
      <w:bookmarkStart w:id="42" w:name="_Toc107927627"/>
      <w:bookmarkStart w:id="43" w:name="_Toc121755820"/>
      <w:r w:rsidRPr="00EF4C2D">
        <w:t>Comparative effectiveness</w:t>
      </w:r>
      <w:bookmarkEnd w:id="41"/>
      <w:bookmarkEnd w:id="42"/>
      <w:bookmarkEnd w:id="43"/>
    </w:p>
    <w:p w14:paraId="142F74E3" w14:textId="6B16C14C" w:rsidR="00D8137E" w:rsidRPr="00EF4C2D" w:rsidRDefault="00D8137E" w:rsidP="00D8137E">
      <w:pPr>
        <w:pStyle w:val="3-BodyText"/>
        <w:ind w:left="709" w:hanging="709"/>
        <w:rPr>
          <w:color w:val="0066FF"/>
        </w:rPr>
      </w:pPr>
      <w:r w:rsidRPr="00EF4C2D">
        <w:t xml:space="preserve">A summary of the primary efficacy outcome (response rate) reported in </w:t>
      </w:r>
      <w:r w:rsidR="00F52DA1">
        <w:t>Study 201 and the phototherapy</w:t>
      </w:r>
      <w:r w:rsidRPr="00EF4C2D">
        <w:t xml:space="preserve"> studies is provided in </w:t>
      </w:r>
      <w:r w:rsidRPr="00EF4C2D">
        <w:fldChar w:fldCharType="begin"/>
      </w:r>
      <w:r w:rsidRPr="00EF4C2D">
        <w:instrText xml:space="preserve"> REF _Ref121317280 \h </w:instrText>
      </w:r>
      <w:r w:rsidR="00EF4C2D">
        <w:instrText xml:space="preserve"> \* MERGEFORMAT </w:instrText>
      </w:r>
      <w:r w:rsidRPr="00EF4C2D">
        <w:fldChar w:fldCharType="separate"/>
      </w:r>
      <w:r w:rsidR="00FD5578" w:rsidRPr="00EF4C2D">
        <w:t xml:space="preserve">Table </w:t>
      </w:r>
      <w:r w:rsidR="00FD5578">
        <w:rPr>
          <w:noProof/>
        </w:rPr>
        <w:t>5</w:t>
      </w:r>
      <w:r w:rsidRPr="00EF4C2D">
        <w:fldChar w:fldCharType="end"/>
      </w:r>
      <w:r w:rsidRPr="00EF4C2D">
        <w:t xml:space="preserve">. The proportion of patients with CR varied across the studies. The results of Study 201 for the ITT including NYU population, showed that the confirmed response rate (CR+PR) was higher for chlormethine gel versus chlormethine ointment, with response rates of 58.5% and 47.7%, respectively. The ratio of these response rates was 1.23 (95% CI: 0.97, 1.55; </w:t>
      </w:r>
      <w:r w:rsidRPr="00D768D1">
        <w:rPr>
          <w:iCs/>
        </w:rPr>
        <w:t>p=0.068),</w:t>
      </w:r>
      <w:r w:rsidRPr="00EF4C2D">
        <w:t xml:space="preserve"> which met the pre-defined non-inferiority criterion. </w:t>
      </w:r>
    </w:p>
    <w:p w14:paraId="7BA3EB5F" w14:textId="0EDF871E" w:rsidR="00D8137E" w:rsidRPr="00EF4C2D" w:rsidRDefault="00D8137E" w:rsidP="00D8137E">
      <w:pPr>
        <w:pStyle w:val="Caption"/>
        <w:rPr>
          <w:color w:val="0066FF"/>
        </w:rPr>
      </w:pPr>
      <w:bookmarkStart w:id="44" w:name="_Ref121317280"/>
      <w:r w:rsidRPr="00EF4C2D">
        <w:t xml:space="preserve">Table </w:t>
      </w:r>
      <w:r w:rsidR="00FD5578">
        <w:fldChar w:fldCharType="begin"/>
      </w:r>
      <w:r w:rsidR="00FD5578">
        <w:instrText xml:space="preserve"> SEQ Table \* ARABIC </w:instrText>
      </w:r>
      <w:r w:rsidR="00FD5578">
        <w:fldChar w:fldCharType="separate"/>
      </w:r>
      <w:r w:rsidR="00FD5578">
        <w:rPr>
          <w:noProof/>
        </w:rPr>
        <w:t>5</w:t>
      </w:r>
      <w:r w:rsidR="00FD5578">
        <w:rPr>
          <w:noProof/>
        </w:rPr>
        <w:fldChar w:fldCharType="end"/>
      </w:r>
      <w:bookmarkEnd w:id="44"/>
      <w:r w:rsidRPr="00EF4C2D">
        <w:t>: Results of objective response rate across the single-arm studies</w:t>
      </w:r>
    </w:p>
    <w:tbl>
      <w:tblPr>
        <w:tblStyle w:val="TableGrid"/>
        <w:tblW w:w="0" w:type="auto"/>
        <w:tblLayout w:type="fixed"/>
        <w:tblLook w:val="04A0" w:firstRow="1" w:lastRow="0" w:firstColumn="1" w:lastColumn="0" w:noHBand="0" w:noVBand="1"/>
      </w:tblPr>
      <w:tblGrid>
        <w:gridCol w:w="2471"/>
        <w:gridCol w:w="1262"/>
        <w:gridCol w:w="2615"/>
        <w:gridCol w:w="2615"/>
      </w:tblGrid>
      <w:tr w:rsidR="00D8137E" w:rsidRPr="00EF4C2D" w14:paraId="1AB125AA" w14:textId="77777777" w:rsidTr="007C08EB">
        <w:trPr>
          <w:trHeight w:val="63"/>
          <w:tblHeader/>
        </w:trPr>
        <w:tc>
          <w:tcPr>
            <w:tcW w:w="2471" w:type="dxa"/>
            <w:tcBorders>
              <w:bottom w:val="single" w:sz="4" w:space="0" w:color="auto"/>
            </w:tcBorders>
            <w:shd w:val="clear" w:color="auto" w:fill="auto"/>
          </w:tcPr>
          <w:p w14:paraId="5A89A395" w14:textId="77777777" w:rsidR="00D8137E" w:rsidRPr="00EF4C2D" w:rsidRDefault="00D8137E" w:rsidP="007C08EB">
            <w:pPr>
              <w:pStyle w:val="KMC-Tabletext"/>
              <w:keepNext/>
              <w:keepLines/>
              <w:spacing w:before="20" w:after="20"/>
              <w:ind w:left="-73"/>
              <w:jc w:val="left"/>
              <w:rPr>
                <w:b/>
                <w:sz w:val="20"/>
              </w:rPr>
            </w:pPr>
            <w:r w:rsidRPr="00EF4C2D">
              <w:rPr>
                <w:b/>
                <w:sz w:val="20"/>
              </w:rPr>
              <w:t>Regimen</w:t>
            </w:r>
          </w:p>
        </w:tc>
        <w:tc>
          <w:tcPr>
            <w:tcW w:w="1262" w:type="dxa"/>
            <w:tcBorders>
              <w:bottom w:val="single" w:sz="4" w:space="0" w:color="auto"/>
            </w:tcBorders>
            <w:shd w:val="clear" w:color="auto" w:fill="auto"/>
          </w:tcPr>
          <w:p w14:paraId="6D555F92" w14:textId="77777777" w:rsidR="00D8137E" w:rsidRPr="00EF4C2D" w:rsidRDefault="00D8137E" w:rsidP="007C08EB">
            <w:pPr>
              <w:pStyle w:val="KMC-Tabletext"/>
              <w:keepNext/>
              <w:keepLines/>
              <w:spacing w:before="20" w:after="20"/>
              <w:jc w:val="center"/>
              <w:rPr>
                <w:b/>
                <w:sz w:val="20"/>
              </w:rPr>
            </w:pPr>
            <w:r w:rsidRPr="00EF4C2D">
              <w:rPr>
                <w:b/>
                <w:sz w:val="20"/>
              </w:rPr>
              <w:t>N</w:t>
            </w:r>
          </w:p>
        </w:tc>
        <w:tc>
          <w:tcPr>
            <w:tcW w:w="2615" w:type="dxa"/>
            <w:tcBorders>
              <w:bottom w:val="single" w:sz="4" w:space="0" w:color="auto"/>
            </w:tcBorders>
            <w:shd w:val="clear" w:color="auto" w:fill="auto"/>
          </w:tcPr>
          <w:p w14:paraId="7F405913" w14:textId="77777777" w:rsidR="00D8137E" w:rsidRPr="00EF4C2D" w:rsidRDefault="00D8137E" w:rsidP="007C08EB">
            <w:pPr>
              <w:pStyle w:val="KMC-Tabletext"/>
              <w:keepNext/>
              <w:keepLines/>
              <w:spacing w:before="20" w:after="20"/>
              <w:ind w:left="-65" w:right="-90"/>
              <w:jc w:val="center"/>
              <w:rPr>
                <w:b/>
                <w:sz w:val="20"/>
              </w:rPr>
            </w:pPr>
            <w:r w:rsidRPr="00EF4C2D">
              <w:rPr>
                <w:b/>
                <w:sz w:val="20"/>
              </w:rPr>
              <w:t>CR</w:t>
            </w:r>
            <w:r w:rsidRPr="00EF4C2D">
              <w:rPr>
                <w:b/>
                <w:sz w:val="20"/>
              </w:rPr>
              <w:br/>
              <w:t>n (%)</w:t>
            </w:r>
          </w:p>
        </w:tc>
        <w:tc>
          <w:tcPr>
            <w:tcW w:w="2615" w:type="dxa"/>
            <w:tcBorders>
              <w:bottom w:val="single" w:sz="4" w:space="0" w:color="auto"/>
            </w:tcBorders>
            <w:shd w:val="clear" w:color="auto" w:fill="auto"/>
          </w:tcPr>
          <w:p w14:paraId="62A6239D" w14:textId="77777777" w:rsidR="00D8137E" w:rsidRPr="00EF4C2D" w:rsidRDefault="00D8137E" w:rsidP="007C08EB">
            <w:pPr>
              <w:pStyle w:val="KMC-Tabletext"/>
              <w:keepNext/>
              <w:keepLines/>
              <w:spacing w:before="20" w:after="20"/>
              <w:ind w:left="-65" w:right="-90"/>
              <w:jc w:val="center"/>
              <w:rPr>
                <w:b/>
                <w:sz w:val="20"/>
              </w:rPr>
            </w:pPr>
            <w:r w:rsidRPr="00EF4C2D">
              <w:rPr>
                <w:b/>
                <w:sz w:val="20"/>
              </w:rPr>
              <w:t xml:space="preserve">PR </w:t>
            </w:r>
            <w:r w:rsidRPr="00EF4C2D">
              <w:rPr>
                <w:b/>
                <w:sz w:val="20"/>
              </w:rPr>
              <w:br/>
              <w:t>n (%)</w:t>
            </w:r>
          </w:p>
        </w:tc>
      </w:tr>
      <w:tr w:rsidR="000D6A87" w:rsidRPr="00EF4C2D" w14:paraId="4497A62A" w14:textId="77777777" w:rsidTr="007C08EB">
        <w:trPr>
          <w:trHeight w:val="63"/>
          <w:tblHeader/>
        </w:trPr>
        <w:tc>
          <w:tcPr>
            <w:tcW w:w="8963" w:type="dxa"/>
            <w:gridSpan w:val="4"/>
            <w:tcBorders>
              <w:bottom w:val="single" w:sz="4" w:space="0" w:color="auto"/>
            </w:tcBorders>
            <w:shd w:val="clear" w:color="auto" w:fill="auto"/>
          </w:tcPr>
          <w:p w14:paraId="5B1EB877" w14:textId="7C7C306E" w:rsidR="000D6A87" w:rsidRPr="00EF4C2D" w:rsidRDefault="000D6A87" w:rsidP="000D6A87">
            <w:pPr>
              <w:pStyle w:val="KMC-Tabletext"/>
              <w:keepNext/>
              <w:keepLines/>
              <w:spacing w:before="20" w:after="20"/>
              <w:ind w:left="-65" w:right="-90"/>
              <w:jc w:val="left"/>
              <w:rPr>
                <w:b/>
                <w:sz w:val="20"/>
              </w:rPr>
            </w:pPr>
            <w:r w:rsidRPr="00EF4C2D">
              <w:rPr>
                <w:b/>
                <w:sz w:val="20"/>
              </w:rPr>
              <w:t>Randomised studies</w:t>
            </w:r>
          </w:p>
        </w:tc>
      </w:tr>
      <w:tr w:rsidR="00D8137E" w:rsidRPr="00EF4C2D" w14:paraId="62DA8EB6" w14:textId="77777777" w:rsidTr="007C08EB">
        <w:trPr>
          <w:trHeight w:val="63"/>
        </w:trPr>
        <w:tc>
          <w:tcPr>
            <w:tcW w:w="2471" w:type="dxa"/>
            <w:tcBorders>
              <w:bottom w:val="single" w:sz="4" w:space="0" w:color="auto"/>
              <w:right w:val="nil"/>
            </w:tcBorders>
            <w:shd w:val="clear" w:color="auto" w:fill="auto"/>
          </w:tcPr>
          <w:p w14:paraId="08CE798B" w14:textId="77777777" w:rsidR="00D8137E" w:rsidRPr="00EF4C2D" w:rsidRDefault="00D8137E" w:rsidP="007C08EB">
            <w:pPr>
              <w:pStyle w:val="KMC-Tabletext"/>
              <w:keepNext/>
              <w:keepLines/>
              <w:spacing w:before="20" w:after="20"/>
              <w:ind w:left="-73"/>
              <w:jc w:val="left"/>
              <w:rPr>
                <w:b/>
                <w:sz w:val="20"/>
              </w:rPr>
            </w:pPr>
            <w:r w:rsidRPr="00EF4C2D">
              <w:rPr>
                <w:b/>
                <w:sz w:val="20"/>
              </w:rPr>
              <w:t>Chlormethine gel - Study 201</w:t>
            </w:r>
          </w:p>
        </w:tc>
        <w:tc>
          <w:tcPr>
            <w:tcW w:w="1262" w:type="dxa"/>
            <w:tcBorders>
              <w:left w:val="nil"/>
              <w:right w:val="nil"/>
            </w:tcBorders>
            <w:shd w:val="clear" w:color="auto" w:fill="auto"/>
          </w:tcPr>
          <w:p w14:paraId="74198CA1" w14:textId="77777777" w:rsidR="00D8137E" w:rsidRPr="00EF4C2D" w:rsidRDefault="00D8137E" w:rsidP="007C08EB">
            <w:pPr>
              <w:pStyle w:val="KMC-Tabletext"/>
              <w:keepNext/>
              <w:keepLines/>
              <w:spacing w:before="20" w:after="20"/>
              <w:jc w:val="center"/>
              <w:rPr>
                <w:b/>
                <w:sz w:val="20"/>
              </w:rPr>
            </w:pPr>
          </w:p>
        </w:tc>
        <w:tc>
          <w:tcPr>
            <w:tcW w:w="2615" w:type="dxa"/>
            <w:tcBorders>
              <w:left w:val="nil"/>
              <w:right w:val="nil"/>
            </w:tcBorders>
            <w:shd w:val="clear" w:color="auto" w:fill="auto"/>
          </w:tcPr>
          <w:p w14:paraId="1334F31A" w14:textId="77777777" w:rsidR="00D8137E" w:rsidRPr="00EF4C2D" w:rsidRDefault="00D8137E" w:rsidP="007C08EB">
            <w:pPr>
              <w:pStyle w:val="KMC-Tabletext"/>
              <w:keepNext/>
              <w:keepLines/>
              <w:spacing w:before="20" w:after="20"/>
              <w:ind w:left="-65" w:right="-90"/>
              <w:jc w:val="center"/>
              <w:rPr>
                <w:b/>
                <w:sz w:val="20"/>
              </w:rPr>
            </w:pPr>
          </w:p>
        </w:tc>
        <w:tc>
          <w:tcPr>
            <w:tcW w:w="2615" w:type="dxa"/>
            <w:tcBorders>
              <w:left w:val="nil"/>
            </w:tcBorders>
            <w:shd w:val="clear" w:color="auto" w:fill="auto"/>
          </w:tcPr>
          <w:p w14:paraId="715EF499" w14:textId="77777777" w:rsidR="00D8137E" w:rsidRPr="00EF4C2D" w:rsidRDefault="00D8137E" w:rsidP="007C08EB">
            <w:pPr>
              <w:pStyle w:val="KMC-Tabletext"/>
              <w:keepNext/>
              <w:keepLines/>
              <w:spacing w:before="20" w:after="20"/>
              <w:ind w:left="-65" w:right="-90"/>
              <w:jc w:val="center"/>
              <w:rPr>
                <w:b/>
                <w:sz w:val="20"/>
              </w:rPr>
            </w:pPr>
          </w:p>
        </w:tc>
      </w:tr>
      <w:tr w:rsidR="00154A93" w:rsidRPr="00EF4C2D" w14:paraId="67B74D26" w14:textId="77777777" w:rsidTr="007C08EB">
        <w:trPr>
          <w:trHeight w:val="63"/>
        </w:trPr>
        <w:tc>
          <w:tcPr>
            <w:tcW w:w="2471" w:type="dxa"/>
            <w:tcBorders>
              <w:bottom w:val="single" w:sz="4" w:space="0" w:color="auto"/>
              <w:right w:val="nil"/>
            </w:tcBorders>
            <w:shd w:val="clear" w:color="auto" w:fill="auto"/>
          </w:tcPr>
          <w:p w14:paraId="4FE0808A" w14:textId="06E52F3B" w:rsidR="00154A93" w:rsidRPr="00EF4C2D" w:rsidRDefault="00154A93" w:rsidP="007C08EB">
            <w:pPr>
              <w:pStyle w:val="KMC-Tabletext"/>
              <w:keepNext/>
              <w:keepLines/>
              <w:spacing w:before="20" w:after="20"/>
              <w:ind w:left="-73"/>
              <w:jc w:val="left"/>
              <w:rPr>
                <w:b/>
                <w:sz w:val="20"/>
              </w:rPr>
            </w:pPr>
            <w:r>
              <w:rPr>
                <w:b/>
                <w:sz w:val="20"/>
              </w:rPr>
              <w:t>CAILS (primary outcome)</w:t>
            </w:r>
          </w:p>
        </w:tc>
        <w:tc>
          <w:tcPr>
            <w:tcW w:w="1262" w:type="dxa"/>
            <w:tcBorders>
              <w:left w:val="nil"/>
              <w:right w:val="nil"/>
            </w:tcBorders>
            <w:shd w:val="clear" w:color="auto" w:fill="auto"/>
          </w:tcPr>
          <w:p w14:paraId="72B00400" w14:textId="77777777" w:rsidR="00154A93" w:rsidRPr="00EF4C2D" w:rsidRDefault="00154A93" w:rsidP="007C08EB">
            <w:pPr>
              <w:pStyle w:val="KMC-Tabletext"/>
              <w:keepNext/>
              <w:keepLines/>
              <w:spacing w:before="20" w:after="20"/>
              <w:jc w:val="center"/>
              <w:rPr>
                <w:b/>
                <w:sz w:val="20"/>
              </w:rPr>
            </w:pPr>
          </w:p>
        </w:tc>
        <w:tc>
          <w:tcPr>
            <w:tcW w:w="2615" w:type="dxa"/>
            <w:tcBorders>
              <w:left w:val="nil"/>
              <w:right w:val="nil"/>
            </w:tcBorders>
            <w:shd w:val="clear" w:color="auto" w:fill="auto"/>
          </w:tcPr>
          <w:p w14:paraId="65966AFC" w14:textId="77777777" w:rsidR="00154A93" w:rsidRPr="00EF4C2D" w:rsidRDefault="00154A93" w:rsidP="007C08EB">
            <w:pPr>
              <w:pStyle w:val="KMC-Tabletext"/>
              <w:keepNext/>
              <w:keepLines/>
              <w:spacing w:before="20" w:after="20"/>
              <w:ind w:left="-65" w:right="-90"/>
              <w:jc w:val="center"/>
              <w:rPr>
                <w:b/>
                <w:sz w:val="20"/>
              </w:rPr>
            </w:pPr>
          </w:p>
        </w:tc>
        <w:tc>
          <w:tcPr>
            <w:tcW w:w="2615" w:type="dxa"/>
            <w:tcBorders>
              <w:left w:val="nil"/>
            </w:tcBorders>
            <w:shd w:val="clear" w:color="auto" w:fill="auto"/>
          </w:tcPr>
          <w:p w14:paraId="56933078" w14:textId="77777777" w:rsidR="00154A93" w:rsidRPr="00EF4C2D" w:rsidRDefault="00154A93" w:rsidP="007C08EB">
            <w:pPr>
              <w:pStyle w:val="KMC-Tabletext"/>
              <w:keepNext/>
              <w:keepLines/>
              <w:spacing w:before="20" w:after="20"/>
              <w:ind w:left="-65" w:right="-90"/>
              <w:jc w:val="center"/>
              <w:rPr>
                <w:b/>
                <w:sz w:val="20"/>
              </w:rPr>
            </w:pPr>
          </w:p>
        </w:tc>
      </w:tr>
      <w:tr w:rsidR="00D8137E" w:rsidRPr="00EF4C2D" w14:paraId="55D05397" w14:textId="77777777" w:rsidTr="007C08EB">
        <w:trPr>
          <w:trHeight w:val="63"/>
        </w:trPr>
        <w:tc>
          <w:tcPr>
            <w:tcW w:w="2471" w:type="dxa"/>
            <w:tcBorders>
              <w:top w:val="nil"/>
              <w:bottom w:val="single" w:sz="4" w:space="0" w:color="auto"/>
            </w:tcBorders>
            <w:shd w:val="clear" w:color="auto" w:fill="auto"/>
          </w:tcPr>
          <w:p w14:paraId="75A1C324" w14:textId="77777777" w:rsidR="00D8137E" w:rsidRPr="00EF4C2D" w:rsidRDefault="00D8137E" w:rsidP="007C08EB">
            <w:pPr>
              <w:pStyle w:val="KMC-Tabletext"/>
              <w:keepNext/>
              <w:keepLines/>
              <w:spacing w:before="20" w:after="20"/>
              <w:ind w:left="-73"/>
              <w:jc w:val="left"/>
              <w:rPr>
                <w:sz w:val="20"/>
              </w:rPr>
            </w:pPr>
            <w:r w:rsidRPr="00EF4C2D">
              <w:rPr>
                <w:sz w:val="20"/>
              </w:rPr>
              <w:t>Chlormethine gel</w:t>
            </w:r>
          </w:p>
        </w:tc>
        <w:tc>
          <w:tcPr>
            <w:tcW w:w="1262" w:type="dxa"/>
            <w:tcBorders>
              <w:bottom w:val="single" w:sz="4" w:space="0" w:color="auto"/>
            </w:tcBorders>
            <w:shd w:val="clear" w:color="auto" w:fill="auto"/>
          </w:tcPr>
          <w:p w14:paraId="59C832EA" w14:textId="77777777" w:rsidR="00D8137E" w:rsidRPr="00EF4C2D" w:rsidRDefault="00D8137E" w:rsidP="007C08EB">
            <w:pPr>
              <w:pStyle w:val="KMC-Tabletext"/>
              <w:keepNext/>
              <w:keepLines/>
              <w:spacing w:before="20" w:after="20"/>
              <w:jc w:val="center"/>
              <w:rPr>
                <w:sz w:val="20"/>
              </w:rPr>
            </w:pPr>
            <w:r w:rsidRPr="00EF4C2D">
              <w:rPr>
                <w:sz w:val="20"/>
              </w:rPr>
              <w:t>130</w:t>
            </w:r>
          </w:p>
        </w:tc>
        <w:tc>
          <w:tcPr>
            <w:tcW w:w="2615" w:type="dxa"/>
            <w:tcBorders>
              <w:bottom w:val="single" w:sz="4" w:space="0" w:color="auto"/>
            </w:tcBorders>
            <w:shd w:val="clear" w:color="auto" w:fill="auto"/>
          </w:tcPr>
          <w:p w14:paraId="70561824" w14:textId="77777777" w:rsidR="00D8137E" w:rsidRPr="00EF4C2D" w:rsidRDefault="00D8137E" w:rsidP="007C08EB">
            <w:pPr>
              <w:pStyle w:val="KMC-Tabletext"/>
              <w:keepNext/>
              <w:keepLines/>
              <w:spacing w:before="20" w:after="20"/>
              <w:ind w:left="-65"/>
              <w:jc w:val="center"/>
              <w:rPr>
                <w:sz w:val="20"/>
              </w:rPr>
            </w:pPr>
            <w:r w:rsidRPr="00EF4C2D">
              <w:rPr>
                <w:sz w:val="20"/>
              </w:rPr>
              <w:t>18 (13.8)</w:t>
            </w:r>
          </w:p>
        </w:tc>
        <w:tc>
          <w:tcPr>
            <w:tcW w:w="2615" w:type="dxa"/>
            <w:tcBorders>
              <w:bottom w:val="single" w:sz="4" w:space="0" w:color="auto"/>
            </w:tcBorders>
            <w:shd w:val="clear" w:color="auto" w:fill="auto"/>
          </w:tcPr>
          <w:p w14:paraId="31E914D1" w14:textId="77777777" w:rsidR="00D8137E" w:rsidRPr="00EF4C2D" w:rsidRDefault="00D8137E" w:rsidP="007C08EB">
            <w:pPr>
              <w:pStyle w:val="KMC-Tabletext"/>
              <w:keepNext/>
              <w:keepLines/>
              <w:spacing w:before="20" w:after="20"/>
              <w:ind w:left="-65" w:right="-21"/>
              <w:jc w:val="center"/>
              <w:rPr>
                <w:sz w:val="20"/>
              </w:rPr>
            </w:pPr>
            <w:r w:rsidRPr="00EF4C2D">
              <w:rPr>
                <w:sz w:val="20"/>
              </w:rPr>
              <w:t>58 (44.6)</w:t>
            </w:r>
          </w:p>
        </w:tc>
      </w:tr>
      <w:tr w:rsidR="00D8137E" w:rsidRPr="00EF4C2D" w14:paraId="466D18A3" w14:textId="77777777" w:rsidTr="00B10CFA">
        <w:trPr>
          <w:trHeight w:val="63"/>
        </w:trPr>
        <w:tc>
          <w:tcPr>
            <w:tcW w:w="2471" w:type="dxa"/>
            <w:tcBorders>
              <w:top w:val="nil"/>
              <w:bottom w:val="single" w:sz="4" w:space="0" w:color="auto"/>
            </w:tcBorders>
            <w:shd w:val="clear" w:color="auto" w:fill="auto"/>
          </w:tcPr>
          <w:p w14:paraId="3423B481" w14:textId="77777777" w:rsidR="00D8137E" w:rsidRPr="00EF4C2D" w:rsidRDefault="00D8137E" w:rsidP="007C08EB">
            <w:pPr>
              <w:pStyle w:val="KMC-Tabletext"/>
              <w:keepNext/>
              <w:keepLines/>
              <w:spacing w:before="20" w:after="20"/>
              <w:ind w:left="-73"/>
              <w:jc w:val="left"/>
              <w:rPr>
                <w:sz w:val="20"/>
              </w:rPr>
            </w:pPr>
            <w:r w:rsidRPr="00EF4C2D">
              <w:rPr>
                <w:sz w:val="20"/>
              </w:rPr>
              <w:t>Chlormethine ointment</w:t>
            </w:r>
          </w:p>
        </w:tc>
        <w:tc>
          <w:tcPr>
            <w:tcW w:w="1262" w:type="dxa"/>
            <w:tcBorders>
              <w:bottom w:val="single" w:sz="4" w:space="0" w:color="auto"/>
            </w:tcBorders>
            <w:shd w:val="clear" w:color="auto" w:fill="auto"/>
          </w:tcPr>
          <w:p w14:paraId="58D07AE0" w14:textId="77777777" w:rsidR="00D8137E" w:rsidRPr="00EF4C2D" w:rsidRDefault="00D8137E" w:rsidP="007C08EB">
            <w:pPr>
              <w:pStyle w:val="KMC-Tabletext"/>
              <w:keepNext/>
              <w:keepLines/>
              <w:spacing w:before="20" w:after="20"/>
              <w:jc w:val="center"/>
              <w:rPr>
                <w:sz w:val="20"/>
              </w:rPr>
            </w:pPr>
            <w:r w:rsidRPr="00EF4C2D">
              <w:rPr>
                <w:sz w:val="20"/>
              </w:rPr>
              <w:t>130</w:t>
            </w:r>
          </w:p>
        </w:tc>
        <w:tc>
          <w:tcPr>
            <w:tcW w:w="2615" w:type="dxa"/>
            <w:tcBorders>
              <w:bottom w:val="single" w:sz="4" w:space="0" w:color="auto"/>
            </w:tcBorders>
            <w:shd w:val="clear" w:color="auto" w:fill="auto"/>
          </w:tcPr>
          <w:p w14:paraId="5106BE30" w14:textId="77777777" w:rsidR="00D8137E" w:rsidRPr="00EF4C2D" w:rsidRDefault="00D8137E" w:rsidP="007C08EB">
            <w:pPr>
              <w:pStyle w:val="KMC-Tabletext"/>
              <w:keepNext/>
              <w:keepLines/>
              <w:spacing w:before="20" w:after="20"/>
              <w:ind w:left="-65"/>
              <w:jc w:val="center"/>
              <w:rPr>
                <w:sz w:val="20"/>
              </w:rPr>
            </w:pPr>
            <w:r w:rsidRPr="00EF4C2D">
              <w:rPr>
                <w:sz w:val="20"/>
              </w:rPr>
              <w:t>15 (11.5)</w:t>
            </w:r>
          </w:p>
        </w:tc>
        <w:tc>
          <w:tcPr>
            <w:tcW w:w="2615" w:type="dxa"/>
            <w:tcBorders>
              <w:bottom w:val="single" w:sz="4" w:space="0" w:color="auto"/>
            </w:tcBorders>
            <w:shd w:val="clear" w:color="auto" w:fill="auto"/>
          </w:tcPr>
          <w:p w14:paraId="0ABB16FA" w14:textId="77777777" w:rsidR="00D8137E" w:rsidRPr="00EF4C2D" w:rsidRDefault="00D8137E" w:rsidP="007C08EB">
            <w:pPr>
              <w:pStyle w:val="KMC-Tabletext"/>
              <w:keepNext/>
              <w:keepLines/>
              <w:spacing w:before="20" w:after="20"/>
              <w:ind w:left="-65" w:right="-21"/>
              <w:jc w:val="center"/>
              <w:rPr>
                <w:sz w:val="20"/>
              </w:rPr>
            </w:pPr>
            <w:r w:rsidRPr="00EF4C2D">
              <w:rPr>
                <w:sz w:val="20"/>
              </w:rPr>
              <w:t>47 (36.2)</w:t>
            </w:r>
          </w:p>
        </w:tc>
      </w:tr>
      <w:tr w:rsidR="00B10CFA" w:rsidRPr="00EF4C2D" w14:paraId="55BD07AF" w14:textId="77777777" w:rsidTr="000173F7">
        <w:trPr>
          <w:trHeight w:val="63"/>
        </w:trPr>
        <w:tc>
          <w:tcPr>
            <w:tcW w:w="3733" w:type="dxa"/>
            <w:gridSpan w:val="2"/>
            <w:tcBorders>
              <w:top w:val="single" w:sz="4" w:space="0" w:color="auto"/>
              <w:left w:val="single" w:sz="4" w:space="0" w:color="auto"/>
              <w:bottom w:val="single" w:sz="4" w:space="0" w:color="auto"/>
              <w:right w:val="nil"/>
            </w:tcBorders>
            <w:shd w:val="clear" w:color="auto" w:fill="auto"/>
          </w:tcPr>
          <w:p w14:paraId="3D11F987" w14:textId="3D57D210" w:rsidR="00B10CFA" w:rsidRPr="00EF4C2D" w:rsidRDefault="00B10CFA" w:rsidP="00B10CFA">
            <w:pPr>
              <w:pStyle w:val="KMC-Tabletext"/>
              <w:keepNext/>
              <w:keepLines/>
              <w:spacing w:before="20" w:after="20"/>
              <w:rPr>
                <w:sz w:val="20"/>
              </w:rPr>
            </w:pPr>
            <w:r w:rsidRPr="00E54A43">
              <w:rPr>
                <w:b/>
                <w:sz w:val="20"/>
              </w:rPr>
              <w:t>mSWAT (secondary</w:t>
            </w:r>
            <w:r>
              <w:rPr>
                <w:b/>
                <w:sz w:val="20"/>
              </w:rPr>
              <w:t xml:space="preserve"> </w:t>
            </w:r>
            <w:r w:rsidRPr="00E54A43">
              <w:rPr>
                <w:b/>
                <w:sz w:val="20"/>
              </w:rPr>
              <w:t xml:space="preserve">outcome) </w:t>
            </w:r>
          </w:p>
        </w:tc>
        <w:tc>
          <w:tcPr>
            <w:tcW w:w="2615" w:type="dxa"/>
            <w:tcBorders>
              <w:top w:val="single" w:sz="4" w:space="0" w:color="auto"/>
              <w:left w:val="nil"/>
              <w:bottom w:val="single" w:sz="4" w:space="0" w:color="auto"/>
              <w:right w:val="nil"/>
            </w:tcBorders>
            <w:shd w:val="clear" w:color="auto" w:fill="auto"/>
          </w:tcPr>
          <w:p w14:paraId="759E7EB7" w14:textId="6F6123F1" w:rsidR="00B10CFA" w:rsidRPr="00EF4C2D" w:rsidRDefault="00B10CFA" w:rsidP="007C08EB">
            <w:pPr>
              <w:pStyle w:val="KMC-Tabletext"/>
              <w:keepNext/>
              <w:keepLines/>
              <w:spacing w:before="20" w:after="20"/>
              <w:ind w:left="-65"/>
              <w:jc w:val="center"/>
              <w:rPr>
                <w:sz w:val="20"/>
              </w:rPr>
            </w:pPr>
          </w:p>
        </w:tc>
        <w:tc>
          <w:tcPr>
            <w:tcW w:w="2615" w:type="dxa"/>
            <w:tcBorders>
              <w:top w:val="single" w:sz="4" w:space="0" w:color="auto"/>
              <w:left w:val="nil"/>
              <w:bottom w:val="single" w:sz="4" w:space="0" w:color="auto"/>
              <w:right w:val="single" w:sz="4" w:space="0" w:color="auto"/>
            </w:tcBorders>
            <w:shd w:val="clear" w:color="auto" w:fill="auto"/>
          </w:tcPr>
          <w:p w14:paraId="5C70280B" w14:textId="68A0CDDF" w:rsidR="00B10CFA" w:rsidRPr="00EF4C2D" w:rsidRDefault="00B10CFA" w:rsidP="007C08EB">
            <w:pPr>
              <w:pStyle w:val="KMC-Tabletext"/>
              <w:keepNext/>
              <w:keepLines/>
              <w:spacing w:before="20" w:after="20"/>
              <w:ind w:left="-65" w:right="-21"/>
              <w:jc w:val="center"/>
              <w:rPr>
                <w:sz w:val="20"/>
              </w:rPr>
            </w:pPr>
          </w:p>
        </w:tc>
      </w:tr>
      <w:tr w:rsidR="00E54A43" w:rsidRPr="00EF4C2D" w14:paraId="40B9615C" w14:textId="77777777" w:rsidTr="00B10CFA">
        <w:trPr>
          <w:trHeight w:val="63"/>
        </w:trPr>
        <w:tc>
          <w:tcPr>
            <w:tcW w:w="2471" w:type="dxa"/>
            <w:tcBorders>
              <w:top w:val="single" w:sz="4" w:space="0" w:color="auto"/>
              <w:bottom w:val="single" w:sz="4" w:space="0" w:color="auto"/>
            </w:tcBorders>
            <w:shd w:val="clear" w:color="auto" w:fill="auto"/>
          </w:tcPr>
          <w:p w14:paraId="582BD997" w14:textId="7BA8E954" w:rsidR="00E54A43" w:rsidRDefault="00E54A43" w:rsidP="00E54A43">
            <w:pPr>
              <w:pStyle w:val="KMC-Tabletext"/>
              <w:keepNext/>
              <w:keepLines/>
              <w:spacing w:before="20" w:after="20"/>
              <w:ind w:left="-73"/>
              <w:jc w:val="left"/>
              <w:rPr>
                <w:sz w:val="20"/>
              </w:rPr>
            </w:pPr>
            <w:r w:rsidRPr="00EF4C2D">
              <w:rPr>
                <w:sz w:val="20"/>
              </w:rPr>
              <w:t>Chlormethine gel</w:t>
            </w:r>
          </w:p>
        </w:tc>
        <w:tc>
          <w:tcPr>
            <w:tcW w:w="1262" w:type="dxa"/>
            <w:tcBorders>
              <w:top w:val="single" w:sz="4" w:space="0" w:color="auto"/>
              <w:bottom w:val="single" w:sz="4" w:space="0" w:color="auto"/>
            </w:tcBorders>
            <w:shd w:val="clear" w:color="auto" w:fill="auto"/>
          </w:tcPr>
          <w:p w14:paraId="25474C79" w14:textId="25FAAB51" w:rsidR="00E54A43" w:rsidRPr="00EF4C2D" w:rsidRDefault="00E54A43" w:rsidP="00E54A43">
            <w:pPr>
              <w:pStyle w:val="KMC-Tabletext"/>
              <w:keepNext/>
              <w:keepLines/>
              <w:spacing w:before="20" w:after="20"/>
              <w:jc w:val="center"/>
              <w:rPr>
                <w:sz w:val="20"/>
              </w:rPr>
            </w:pPr>
            <w:r>
              <w:rPr>
                <w:sz w:val="20"/>
              </w:rPr>
              <w:t>130</w:t>
            </w:r>
          </w:p>
        </w:tc>
        <w:tc>
          <w:tcPr>
            <w:tcW w:w="2615" w:type="dxa"/>
            <w:tcBorders>
              <w:top w:val="single" w:sz="4" w:space="0" w:color="auto"/>
              <w:bottom w:val="single" w:sz="4" w:space="0" w:color="auto"/>
            </w:tcBorders>
            <w:shd w:val="clear" w:color="auto" w:fill="auto"/>
          </w:tcPr>
          <w:p w14:paraId="3B4D96E6" w14:textId="7CACD38D" w:rsidR="00E54A43" w:rsidRPr="00EF4C2D" w:rsidRDefault="00E54A43" w:rsidP="00E54A43">
            <w:pPr>
              <w:pStyle w:val="KMC-Tabletext"/>
              <w:keepNext/>
              <w:keepLines/>
              <w:spacing w:before="20" w:after="20"/>
              <w:ind w:left="-65"/>
              <w:jc w:val="center"/>
              <w:rPr>
                <w:sz w:val="20"/>
              </w:rPr>
            </w:pPr>
            <w:r>
              <w:rPr>
                <w:sz w:val="20"/>
              </w:rPr>
              <w:t>9 (6.9)</w:t>
            </w:r>
          </w:p>
        </w:tc>
        <w:tc>
          <w:tcPr>
            <w:tcW w:w="2615" w:type="dxa"/>
            <w:tcBorders>
              <w:top w:val="single" w:sz="4" w:space="0" w:color="auto"/>
              <w:bottom w:val="single" w:sz="4" w:space="0" w:color="auto"/>
            </w:tcBorders>
            <w:shd w:val="clear" w:color="auto" w:fill="auto"/>
          </w:tcPr>
          <w:p w14:paraId="2AA2C056" w14:textId="7C06D8E6" w:rsidR="00E54A43" w:rsidRPr="00EF4C2D" w:rsidRDefault="00E54A43" w:rsidP="00E54A43">
            <w:pPr>
              <w:pStyle w:val="KMC-Tabletext"/>
              <w:keepNext/>
              <w:keepLines/>
              <w:spacing w:before="20" w:after="20"/>
              <w:ind w:left="-65" w:right="-21"/>
              <w:jc w:val="center"/>
              <w:rPr>
                <w:sz w:val="20"/>
              </w:rPr>
            </w:pPr>
            <w:r>
              <w:rPr>
                <w:sz w:val="20"/>
              </w:rPr>
              <w:t>52 (40.0)</w:t>
            </w:r>
          </w:p>
        </w:tc>
      </w:tr>
      <w:tr w:rsidR="00E54A43" w:rsidRPr="00EF4C2D" w14:paraId="35C97283" w14:textId="77777777" w:rsidTr="007C08EB">
        <w:trPr>
          <w:trHeight w:val="63"/>
        </w:trPr>
        <w:tc>
          <w:tcPr>
            <w:tcW w:w="2471" w:type="dxa"/>
            <w:tcBorders>
              <w:top w:val="nil"/>
              <w:bottom w:val="single" w:sz="4" w:space="0" w:color="auto"/>
            </w:tcBorders>
            <w:shd w:val="clear" w:color="auto" w:fill="auto"/>
          </w:tcPr>
          <w:p w14:paraId="1794CF98" w14:textId="1A0C3A12" w:rsidR="00E54A43" w:rsidRDefault="00E54A43" w:rsidP="00E54A43">
            <w:pPr>
              <w:pStyle w:val="KMC-Tabletext"/>
              <w:keepNext/>
              <w:keepLines/>
              <w:spacing w:before="20" w:after="20"/>
              <w:ind w:left="-73"/>
              <w:jc w:val="left"/>
              <w:rPr>
                <w:sz w:val="20"/>
              </w:rPr>
            </w:pPr>
            <w:r w:rsidRPr="00EF4C2D">
              <w:rPr>
                <w:sz w:val="20"/>
              </w:rPr>
              <w:t>Chlormethine ointment</w:t>
            </w:r>
          </w:p>
        </w:tc>
        <w:tc>
          <w:tcPr>
            <w:tcW w:w="1262" w:type="dxa"/>
            <w:tcBorders>
              <w:bottom w:val="single" w:sz="4" w:space="0" w:color="auto"/>
            </w:tcBorders>
            <w:shd w:val="clear" w:color="auto" w:fill="auto"/>
          </w:tcPr>
          <w:p w14:paraId="42ECAE98" w14:textId="723882DF" w:rsidR="00E54A43" w:rsidRDefault="00E54A43" w:rsidP="00E54A43">
            <w:pPr>
              <w:pStyle w:val="KMC-Tabletext"/>
              <w:keepNext/>
              <w:keepLines/>
              <w:spacing w:before="20" w:after="20"/>
              <w:jc w:val="center"/>
              <w:rPr>
                <w:sz w:val="20"/>
              </w:rPr>
            </w:pPr>
            <w:r>
              <w:rPr>
                <w:sz w:val="20"/>
              </w:rPr>
              <w:t>130</w:t>
            </w:r>
          </w:p>
        </w:tc>
        <w:tc>
          <w:tcPr>
            <w:tcW w:w="2615" w:type="dxa"/>
            <w:tcBorders>
              <w:bottom w:val="single" w:sz="4" w:space="0" w:color="auto"/>
            </w:tcBorders>
            <w:shd w:val="clear" w:color="auto" w:fill="auto"/>
          </w:tcPr>
          <w:p w14:paraId="0CF2D5CA" w14:textId="5F431B19" w:rsidR="00E54A43" w:rsidRDefault="00E54A43" w:rsidP="00E54A43">
            <w:pPr>
              <w:pStyle w:val="KMC-Tabletext"/>
              <w:keepNext/>
              <w:keepLines/>
              <w:spacing w:before="20" w:after="20"/>
              <w:ind w:left="-65"/>
              <w:jc w:val="center"/>
              <w:rPr>
                <w:sz w:val="20"/>
              </w:rPr>
            </w:pPr>
            <w:r>
              <w:rPr>
                <w:sz w:val="20"/>
              </w:rPr>
              <w:t>4 (3.1)</w:t>
            </w:r>
          </w:p>
        </w:tc>
        <w:tc>
          <w:tcPr>
            <w:tcW w:w="2615" w:type="dxa"/>
            <w:tcBorders>
              <w:bottom w:val="single" w:sz="4" w:space="0" w:color="auto"/>
            </w:tcBorders>
            <w:shd w:val="clear" w:color="auto" w:fill="auto"/>
          </w:tcPr>
          <w:p w14:paraId="5B004E51" w14:textId="1944E2E8" w:rsidR="00E54A43" w:rsidRDefault="00E54A43" w:rsidP="00E54A43">
            <w:pPr>
              <w:pStyle w:val="KMC-Tabletext"/>
              <w:keepNext/>
              <w:keepLines/>
              <w:spacing w:before="20" w:after="20"/>
              <w:ind w:left="-65" w:right="-21"/>
              <w:jc w:val="center"/>
              <w:rPr>
                <w:sz w:val="20"/>
              </w:rPr>
            </w:pPr>
            <w:r>
              <w:rPr>
                <w:sz w:val="20"/>
              </w:rPr>
              <w:t>56 (43.1)</w:t>
            </w:r>
          </w:p>
        </w:tc>
      </w:tr>
      <w:tr w:rsidR="00E54A43" w:rsidRPr="00EF4C2D" w14:paraId="4E2D73EB" w14:textId="77777777" w:rsidTr="007C08EB">
        <w:trPr>
          <w:trHeight w:val="63"/>
        </w:trPr>
        <w:tc>
          <w:tcPr>
            <w:tcW w:w="8963" w:type="dxa"/>
            <w:gridSpan w:val="4"/>
            <w:tcBorders>
              <w:top w:val="nil"/>
              <w:bottom w:val="single" w:sz="4" w:space="0" w:color="auto"/>
            </w:tcBorders>
            <w:shd w:val="clear" w:color="auto" w:fill="auto"/>
          </w:tcPr>
          <w:p w14:paraId="70D8F49F" w14:textId="3F0B5F0A" w:rsidR="00E54A43" w:rsidRPr="00EF4C2D" w:rsidRDefault="00E54A43" w:rsidP="00E54A43">
            <w:pPr>
              <w:pStyle w:val="KMC-Tabletext"/>
              <w:keepNext/>
              <w:keepLines/>
              <w:spacing w:before="20" w:after="20"/>
              <w:ind w:left="-65" w:right="-21"/>
              <w:jc w:val="left"/>
              <w:rPr>
                <w:b/>
                <w:bCs w:val="0"/>
                <w:sz w:val="20"/>
              </w:rPr>
            </w:pPr>
            <w:r w:rsidRPr="00EF4C2D">
              <w:rPr>
                <w:b/>
                <w:bCs w:val="0"/>
                <w:sz w:val="20"/>
              </w:rPr>
              <w:t>Single arm studies</w:t>
            </w:r>
          </w:p>
        </w:tc>
      </w:tr>
      <w:tr w:rsidR="00E54A43" w:rsidRPr="00EF4C2D" w14:paraId="237E2319" w14:textId="77777777" w:rsidTr="007C08EB">
        <w:trPr>
          <w:trHeight w:val="63"/>
        </w:trPr>
        <w:tc>
          <w:tcPr>
            <w:tcW w:w="2471" w:type="dxa"/>
            <w:tcBorders>
              <w:top w:val="single" w:sz="4" w:space="0" w:color="auto"/>
              <w:left w:val="single" w:sz="4" w:space="0" w:color="auto"/>
              <w:bottom w:val="single" w:sz="4" w:space="0" w:color="auto"/>
              <w:right w:val="nil"/>
            </w:tcBorders>
            <w:shd w:val="clear" w:color="auto" w:fill="auto"/>
          </w:tcPr>
          <w:p w14:paraId="40C4D776" w14:textId="77777777" w:rsidR="00E54A43" w:rsidRPr="00EF4C2D" w:rsidRDefault="00E54A43" w:rsidP="00E54A43">
            <w:pPr>
              <w:pStyle w:val="KMC-Tabletext"/>
              <w:keepNext/>
              <w:keepLines/>
              <w:spacing w:before="20" w:after="20"/>
              <w:ind w:left="-73"/>
              <w:jc w:val="left"/>
              <w:rPr>
                <w:b/>
                <w:sz w:val="20"/>
              </w:rPr>
            </w:pPr>
            <w:r w:rsidRPr="00EF4C2D">
              <w:rPr>
                <w:b/>
                <w:sz w:val="20"/>
              </w:rPr>
              <w:t>Phototherapy (PUVA)</w:t>
            </w:r>
          </w:p>
        </w:tc>
        <w:tc>
          <w:tcPr>
            <w:tcW w:w="1262" w:type="dxa"/>
            <w:tcBorders>
              <w:top w:val="single" w:sz="4" w:space="0" w:color="auto"/>
              <w:left w:val="nil"/>
              <w:bottom w:val="single" w:sz="4" w:space="0" w:color="auto"/>
              <w:right w:val="nil"/>
            </w:tcBorders>
            <w:shd w:val="clear" w:color="auto" w:fill="auto"/>
          </w:tcPr>
          <w:p w14:paraId="5A8AA295" w14:textId="77777777" w:rsidR="00E54A43" w:rsidRPr="00EF4C2D" w:rsidRDefault="00E54A43" w:rsidP="00E54A43">
            <w:pPr>
              <w:pStyle w:val="KMC-Tabletext"/>
              <w:keepNext/>
              <w:keepLines/>
              <w:spacing w:before="20" w:after="20"/>
              <w:jc w:val="center"/>
              <w:rPr>
                <w:sz w:val="20"/>
              </w:rPr>
            </w:pPr>
          </w:p>
        </w:tc>
        <w:tc>
          <w:tcPr>
            <w:tcW w:w="2615" w:type="dxa"/>
            <w:tcBorders>
              <w:top w:val="single" w:sz="4" w:space="0" w:color="auto"/>
              <w:left w:val="nil"/>
              <w:bottom w:val="single" w:sz="4" w:space="0" w:color="auto"/>
              <w:right w:val="nil"/>
            </w:tcBorders>
            <w:shd w:val="clear" w:color="auto" w:fill="auto"/>
          </w:tcPr>
          <w:p w14:paraId="138C0A5E" w14:textId="77777777" w:rsidR="00E54A43" w:rsidRPr="00EF4C2D" w:rsidRDefault="00E54A43" w:rsidP="00E54A43">
            <w:pPr>
              <w:pStyle w:val="KMC-Tabletext"/>
              <w:keepNext/>
              <w:keepLines/>
              <w:spacing w:before="20" w:after="20"/>
              <w:ind w:left="-65" w:right="-90"/>
              <w:jc w:val="center"/>
              <w:rPr>
                <w:i/>
                <w:iCs/>
                <w:sz w:val="20"/>
              </w:rPr>
            </w:pPr>
          </w:p>
        </w:tc>
        <w:tc>
          <w:tcPr>
            <w:tcW w:w="2615" w:type="dxa"/>
            <w:tcBorders>
              <w:top w:val="single" w:sz="4" w:space="0" w:color="auto"/>
              <w:left w:val="nil"/>
              <w:bottom w:val="single" w:sz="4" w:space="0" w:color="auto"/>
              <w:right w:val="single" w:sz="4" w:space="0" w:color="auto"/>
            </w:tcBorders>
            <w:shd w:val="clear" w:color="auto" w:fill="auto"/>
          </w:tcPr>
          <w:p w14:paraId="7E7682A0" w14:textId="77777777" w:rsidR="00E54A43" w:rsidRPr="00EF4C2D" w:rsidRDefault="00E54A43" w:rsidP="00E54A43">
            <w:pPr>
              <w:pStyle w:val="KMC-Tabletext"/>
              <w:keepNext/>
              <w:keepLines/>
              <w:spacing w:before="20" w:after="20"/>
              <w:ind w:left="-65" w:right="-90"/>
              <w:jc w:val="center"/>
              <w:rPr>
                <w:i/>
                <w:iCs/>
                <w:sz w:val="20"/>
              </w:rPr>
            </w:pPr>
          </w:p>
        </w:tc>
      </w:tr>
      <w:tr w:rsidR="00E54A43" w:rsidRPr="00EF4C2D" w14:paraId="477BB187" w14:textId="77777777" w:rsidTr="007C08EB">
        <w:trPr>
          <w:trHeight w:val="63"/>
        </w:trPr>
        <w:tc>
          <w:tcPr>
            <w:tcW w:w="2471" w:type="dxa"/>
            <w:tcBorders>
              <w:top w:val="single" w:sz="4" w:space="0" w:color="auto"/>
              <w:bottom w:val="nil"/>
            </w:tcBorders>
            <w:shd w:val="clear" w:color="auto" w:fill="auto"/>
          </w:tcPr>
          <w:p w14:paraId="39152A02" w14:textId="7A138C2A" w:rsidR="00E54A43" w:rsidRPr="00EF4C2D" w:rsidRDefault="00E54A43" w:rsidP="00E54A43">
            <w:pPr>
              <w:pStyle w:val="KMC-Tabletext"/>
              <w:keepNext/>
              <w:keepLines/>
              <w:spacing w:before="20" w:after="20"/>
              <w:ind w:left="-73"/>
              <w:jc w:val="left"/>
              <w:rPr>
                <w:sz w:val="20"/>
              </w:rPr>
            </w:pPr>
            <w:r w:rsidRPr="00EF4C2D">
              <w:rPr>
                <w:sz w:val="20"/>
              </w:rPr>
              <w:t xml:space="preserve">El-Mofty 2012 </w:t>
            </w:r>
          </w:p>
        </w:tc>
        <w:tc>
          <w:tcPr>
            <w:tcW w:w="1262" w:type="dxa"/>
            <w:tcBorders>
              <w:top w:val="single" w:sz="4" w:space="0" w:color="auto"/>
            </w:tcBorders>
            <w:shd w:val="clear" w:color="auto" w:fill="auto"/>
          </w:tcPr>
          <w:p w14:paraId="7BF963D7" w14:textId="77777777" w:rsidR="00E54A43" w:rsidRPr="00EF4C2D" w:rsidRDefault="00E54A43" w:rsidP="00E54A43">
            <w:pPr>
              <w:pStyle w:val="KMC-Tabletext"/>
              <w:keepNext/>
              <w:keepLines/>
              <w:spacing w:before="20" w:after="20"/>
              <w:jc w:val="center"/>
              <w:rPr>
                <w:sz w:val="20"/>
              </w:rPr>
            </w:pPr>
            <w:r w:rsidRPr="00EF4C2D">
              <w:rPr>
                <w:sz w:val="20"/>
              </w:rPr>
              <w:t>15</w:t>
            </w:r>
          </w:p>
        </w:tc>
        <w:tc>
          <w:tcPr>
            <w:tcW w:w="2615" w:type="dxa"/>
            <w:tcBorders>
              <w:top w:val="single" w:sz="4" w:space="0" w:color="auto"/>
            </w:tcBorders>
            <w:shd w:val="clear" w:color="auto" w:fill="auto"/>
          </w:tcPr>
          <w:p w14:paraId="29783C7F" w14:textId="04186BD7" w:rsidR="00E54A43" w:rsidRPr="002F1980" w:rsidRDefault="00E54A43" w:rsidP="00E54A43">
            <w:pPr>
              <w:pStyle w:val="KMC-Tabletext"/>
              <w:keepNext/>
              <w:keepLines/>
              <w:spacing w:before="20" w:after="20"/>
              <w:ind w:left="-65" w:right="-90"/>
              <w:jc w:val="center"/>
              <w:rPr>
                <w:bCs w:val="0"/>
                <w:sz w:val="20"/>
                <w:vertAlign w:val="superscript"/>
              </w:rPr>
            </w:pPr>
            <w:r w:rsidRPr="00EF4C2D">
              <w:rPr>
                <w:bCs w:val="0"/>
                <w:sz w:val="20"/>
              </w:rPr>
              <w:t>11 (73.3)</w:t>
            </w:r>
            <w:r w:rsidR="002F1980">
              <w:rPr>
                <w:bCs w:val="0"/>
                <w:sz w:val="20"/>
                <w:vertAlign w:val="superscript"/>
              </w:rPr>
              <w:t>a</w:t>
            </w:r>
          </w:p>
        </w:tc>
        <w:tc>
          <w:tcPr>
            <w:tcW w:w="2615" w:type="dxa"/>
            <w:tcBorders>
              <w:top w:val="single" w:sz="4" w:space="0" w:color="auto"/>
            </w:tcBorders>
            <w:shd w:val="clear" w:color="auto" w:fill="auto"/>
          </w:tcPr>
          <w:p w14:paraId="04B5A4B0" w14:textId="77777777" w:rsidR="00E54A43" w:rsidRPr="00BD6A8B" w:rsidRDefault="00E54A43" w:rsidP="00E54A43">
            <w:pPr>
              <w:pStyle w:val="KMC-Tabletext"/>
              <w:keepNext/>
              <w:keepLines/>
              <w:spacing w:before="20" w:after="20"/>
              <w:ind w:left="-65" w:right="-90"/>
              <w:jc w:val="center"/>
              <w:rPr>
                <w:sz w:val="20"/>
              </w:rPr>
            </w:pPr>
            <w:r w:rsidRPr="00BD6A8B">
              <w:rPr>
                <w:sz w:val="20"/>
              </w:rPr>
              <w:t>NR</w:t>
            </w:r>
          </w:p>
        </w:tc>
      </w:tr>
      <w:tr w:rsidR="00E54A43" w:rsidRPr="00EF4C2D" w14:paraId="3BC11282" w14:textId="77777777" w:rsidTr="007C08EB">
        <w:trPr>
          <w:trHeight w:val="63"/>
        </w:trPr>
        <w:tc>
          <w:tcPr>
            <w:tcW w:w="2471" w:type="dxa"/>
            <w:tcBorders>
              <w:bottom w:val="nil"/>
            </w:tcBorders>
            <w:shd w:val="clear" w:color="auto" w:fill="auto"/>
          </w:tcPr>
          <w:p w14:paraId="6F566DB8" w14:textId="6D2273B2" w:rsidR="00E54A43" w:rsidRPr="00EF4C2D" w:rsidRDefault="00E54A43" w:rsidP="00E54A43">
            <w:pPr>
              <w:pStyle w:val="KMC-Tabletext"/>
              <w:keepNext/>
              <w:keepLines/>
              <w:spacing w:before="20" w:after="20"/>
              <w:ind w:left="-73"/>
              <w:jc w:val="left"/>
              <w:rPr>
                <w:sz w:val="20"/>
              </w:rPr>
            </w:pPr>
            <w:r w:rsidRPr="00EF4C2D">
              <w:rPr>
                <w:sz w:val="20"/>
              </w:rPr>
              <w:t>Whittaker 2012</w:t>
            </w:r>
          </w:p>
        </w:tc>
        <w:tc>
          <w:tcPr>
            <w:tcW w:w="1262" w:type="dxa"/>
            <w:shd w:val="clear" w:color="auto" w:fill="auto"/>
          </w:tcPr>
          <w:p w14:paraId="61BC1857" w14:textId="77777777" w:rsidR="00E54A43" w:rsidRPr="00EF4C2D" w:rsidRDefault="00E54A43" w:rsidP="00E54A43">
            <w:pPr>
              <w:pStyle w:val="KMC-Tabletext"/>
              <w:keepNext/>
              <w:keepLines/>
              <w:spacing w:before="20" w:after="20"/>
              <w:jc w:val="center"/>
              <w:rPr>
                <w:iCs/>
                <w:sz w:val="20"/>
              </w:rPr>
            </w:pPr>
            <w:r w:rsidRPr="00EF4C2D">
              <w:rPr>
                <w:iCs/>
                <w:sz w:val="20"/>
              </w:rPr>
              <w:t>45</w:t>
            </w:r>
          </w:p>
        </w:tc>
        <w:tc>
          <w:tcPr>
            <w:tcW w:w="2615" w:type="dxa"/>
            <w:shd w:val="clear" w:color="auto" w:fill="auto"/>
          </w:tcPr>
          <w:p w14:paraId="07FE9C0C" w14:textId="1C79DFEE" w:rsidR="00E54A43" w:rsidRPr="009407BD" w:rsidRDefault="00E54A43" w:rsidP="00E54A43">
            <w:pPr>
              <w:pStyle w:val="KMC-Tabletext"/>
              <w:keepNext/>
              <w:keepLines/>
              <w:spacing w:before="20" w:after="20"/>
              <w:ind w:left="-65" w:right="-90"/>
              <w:jc w:val="center"/>
              <w:rPr>
                <w:i/>
                <w:iCs/>
                <w:sz w:val="20"/>
                <w:vertAlign w:val="superscript"/>
              </w:rPr>
            </w:pPr>
            <w:r w:rsidRPr="00EF4C2D">
              <w:rPr>
                <w:bCs w:val="0"/>
                <w:sz w:val="20"/>
              </w:rPr>
              <w:t>10 (22.2)</w:t>
            </w:r>
            <w:r w:rsidR="009407BD">
              <w:rPr>
                <w:bCs w:val="0"/>
                <w:sz w:val="20"/>
                <w:vertAlign w:val="superscript"/>
              </w:rPr>
              <w:t>b</w:t>
            </w:r>
          </w:p>
        </w:tc>
        <w:tc>
          <w:tcPr>
            <w:tcW w:w="2615" w:type="dxa"/>
            <w:shd w:val="clear" w:color="auto" w:fill="auto"/>
          </w:tcPr>
          <w:p w14:paraId="4DB5350D" w14:textId="0A9074B6" w:rsidR="00E54A43" w:rsidRPr="009407BD" w:rsidRDefault="00E54A43" w:rsidP="00E54A43">
            <w:pPr>
              <w:pStyle w:val="KMC-Tabletext"/>
              <w:keepNext/>
              <w:keepLines/>
              <w:spacing w:before="20" w:after="20"/>
              <w:ind w:left="-65" w:right="-90"/>
              <w:jc w:val="center"/>
              <w:rPr>
                <w:i/>
                <w:iCs/>
                <w:sz w:val="20"/>
                <w:vertAlign w:val="superscript"/>
              </w:rPr>
            </w:pPr>
            <w:r w:rsidRPr="00EF4C2D">
              <w:rPr>
                <w:bCs w:val="0"/>
                <w:sz w:val="20"/>
              </w:rPr>
              <w:t>22 (48.9)</w:t>
            </w:r>
            <w:r w:rsidR="009407BD">
              <w:rPr>
                <w:bCs w:val="0"/>
                <w:sz w:val="20"/>
                <w:vertAlign w:val="superscript"/>
              </w:rPr>
              <w:t>b</w:t>
            </w:r>
          </w:p>
        </w:tc>
      </w:tr>
      <w:tr w:rsidR="00E54A43" w:rsidRPr="00EF4C2D" w14:paraId="558EED08" w14:textId="77777777" w:rsidTr="007C08EB">
        <w:trPr>
          <w:trHeight w:val="63"/>
        </w:trPr>
        <w:tc>
          <w:tcPr>
            <w:tcW w:w="2471" w:type="dxa"/>
            <w:tcBorders>
              <w:bottom w:val="single" w:sz="4" w:space="0" w:color="auto"/>
            </w:tcBorders>
            <w:shd w:val="clear" w:color="auto" w:fill="auto"/>
          </w:tcPr>
          <w:p w14:paraId="78EFD672" w14:textId="5AF50E0F" w:rsidR="00E54A43" w:rsidRPr="00AD3A7C" w:rsidRDefault="00E54A43" w:rsidP="00E54A43">
            <w:pPr>
              <w:pStyle w:val="KMC-Tabletext"/>
              <w:keepNext/>
              <w:keepLines/>
              <w:spacing w:before="20" w:after="20"/>
              <w:ind w:left="-73"/>
              <w:jc w:val="left"/>
              <w:rPr>
                <w:sz w:val="20"/>
                <w:vertAlign w:val="superscript"/>
              </w:rPr>
            </w:pPr>
            <w:r w:rsidRPr="00EF4C2D">
              <w:rPr>
                <w:sz w:val="20"/>
              </w:rPr>
              <w:t>Vieyra-Garcia 2019</w:t>
            </w:r>
          </w:p>
        </w:tc>
        <w:tc>
          <w:tcPr>
            <w:tcW w:w="1262" w:type="dxa"/>
            <w:shd w:val="clear" w:color="auto" w:fill="auto"/>
          </w:tcPr>
          <w:p w14:paraId="2402CFB9" w14:textId="77777777" w:rsidR="00E54A43" w:rsidRPr="00EF4C2D" w:rsidRDefault="00E54A43" w:rsidP="00E54A43">
            <w:pPr>
              <w:pStyle w:val="KMC-Tabletext"/>
              <w:keepNext/>
              <w:keepLines/>
              <w:spacing w:before="20" w:after="20"/>
              <w:jc w:val="center"/>
              <w:rPr>
                <w:sz w:val="20"/>
              </w:rPr>
            </w:pPr>
            <w:r w:rsidRPr="00EF4C2D">
              <w:rPr>
                <w:sz w:val="20"/>
              </w:rPr>
              <w:t>27</w:t>
            </w:r>
          </w:p>
        </w:tc>
        <w:tc>
          <w:tcPr>
            <w:tcW w:w="2615" w:type="dxa"/>
            <w:shd w:val="clear" w:color="auto" w:fill="auto"/>
          </w:tcPr>
          <w:p w14:paraId="1AE7ACDF" w14:textId="66A69B31" w:rsidR="00E54A43" w:rsidRPr="002F1980" w:rsidRDefault="00E54A43" w:rsidP="00E54A43">
            <w:pPr>
              <w:pStyle w:val="KMC-Tabletext"/>
              <w:keepNext/>
              <w:keepLines/>
              <w:spacing w:before="20" w:after="20"/>
              <w:ind w:left="-65" w:right="-90"/>
              <w:jc w:val="center"/>
              <w:rPr>
                <w:i/>
                <w:iCs/>
                <w:sz w:val="20"/>
                <w:vertAlign w:val="superscript"/>
              </w:rPr>
            </w:pPr>
            <w:r w:rsidRPr="00EF4C2D">
              <w:rPr>
                <w:bCs w:val="0"/>
                <w:sz w:val="20"/>
              </w:rPr>
              <w:t>19 (70.4)</w:t>
            </w:r>
            <w:r w:rsidR="009407BD">
              <w:rPr>
                <w:bCs w:val="0"/>
                <w:sz w:val="20"/>
                <w:vertAlign w:val="superscript"/>
              </w:rPr>
              <w:t>c</w:t>
            </w:r>
          </w:p>
        </w:tc>
        <w:tc>
          <w:tcPr>
            <w:tcW w:w="2615" w:type="dxa"/>
            <w:shd w:val="clear" w:color="auto" w:fill="auto"/>
          </w:tcPr>
          <w:p w14:paraId="44DFB77C" w14:textId="32A61B38" w:rsidR="00E54A43" w:rsidRPr="002F1980" w:rsidRDefault="00E54A43" w:rsidP="00E54A43">
            <w:pPr>
              <w:pStyle w:val="KMC-Tabletext"/>
              <w:keepNext/>
              <w:keepLines/>
              <w:spacing w:before="20" w:after="20"/>
              <w:ind w:left="-65" w:right="-90"/>
              <w:jc w:val="center"/>
              <w:rPr>
                <w:i/>
                <w:iCs/>
                <w:sz w:val="20"/>
                <w:vertAlign w:val="superscript"/>
              </w:rPr>
            </w:pPr>
            <w:r w:rsidRPr="00EF4C2D">
              <w:rPr>
                <w:bCs w:val="0"/>
                <w:sz w:val="20"/>
              </w:rPr>
              <w:t>8 (29.6)</w:t>
            </w:r>
            <w:r w:rsidR="009407BD">
              <w:rPr>
                <w:bCs w:val="0"/>
                <w:sz w:val="20"/>
                <w:vertAlign w:val="superscript"/>
              </w:rPr>
              <w:t>c</w:t>
            </w:r>
          </w:p>
        </w:tc>
      </w:tr>
    </w:tbl>
    <w:p w14:paraId="5C343D9D" w14:textId="77777777" w:rsidR="003B376A" w:rsidRDefault="00D8137E" w:rsidP="003B376A">
      <w:pPr>
        <w:pStyle w:val="3-BodyText"/>
        <w:numPr>
          <w:ilvl w:val="0"/>
          <w:numId w:val="0"/>
        </w:numPr>
        <w:spacing w:after="0"/>
        <w:rPr>
          <w:rFonts w:ascii="Arial Narrow" w:hAnsi="Arial Narrow"/>
          <w:sz w:val="18"/>
          <w:szCs w:val="18"/>
        </w:rPr>
      </w:pPr>
      <w:r w:rsidRPr="00EF4C2D">
        <w:rPr>
          <w:rFonts w:ascii="Arial Narrow" w:hAnsi="Arial Narrow"/>
          <w:sz w:val="18"/>
          <w:szCs w:val="18"/>
        </w:rPr>
        <w:t>Source: Table 2-30 p115; Table 2-39 p132 of the submission, p275 El-Mofty et al 2012, Table 5 p694 Whittaker 2012</w:t>
      </w:r>
    </w:p>
    <w:p w14:paraId="42C82821" w14:textId="77777777" w:rsidR="003B376A" w:rsidRDefault="00D8137E" w:rsidP="003B376A">
      <w:pPr>
        <w:pStyle w:val="3-BodyText"/>
        <w:numPr>
          <w:ilvl w:val="0"/>
          <w:numId w:val="0"/>
        </w:numPr>
        <w:spacing w:after="0"/>
        <w:rPr>
          <w:rFonts w:ascii="Arial Narrow" w:hAnsi="Arial Narrow"/>
          <w:sz w:val="18"/>
          <w:szCs w:val="18"/>
        </w:rPr>
      </w:pPr>
      <w:r w:rsidRPr="00EF4C2D">
        <w:rPr>
          <w:rFonts w:ascii="Arial Narrow" w:hAnsi="Arial Narrow"/>
          <w:sz w:val="18"/>
          <w:szCs w:val="18"/>
        </w:rPr>
        <w:t>CR=complete response; n=number of participants with event; N=total participants in group; PR=partial response; PUVA=</w:t>
      </w:r>
      <w:r w:rsidRPr="00EF4C2D">
        <w:t xml:space="preserve"> </w:t>
      </w:r>
      <w:r w:rsidRPr="00EF4C2D">
        <w:rPr>
          <w:rFonts w:ascii="Arial Narrow" w:hAnsi="Arial Narrow"/>
          <w:sz w:val="18"/>
          <w:szCs w:val="18"/>
        </w:rPr>
        <w:t>psoralen ultraviolet A.</w:t>
      </w:r>
    </w:p>
    <w:p w14:paraId="31F92F05" w14:textId="3CD7EDBC" w:rsidR="00187B14" w:rsidRPr="00EF4C2D" w:rsidRDefault="00187B14" w:rsidP="00D8137E">
      <w:pPr>
        <w:pStyle w:val="3-BodyText"/>
        <w:numPr>
          <w:ilvl w:val="0"/>
          <w:numId w:val="0"/>
        </w:numPr>
        <w:rPr>
          <w:rFonts w:ascii="Arial Narrow" w:hAnsi="Arial Narrow"/>
          <w:sz w:val="18"/>
          <w:szCs w:val="18"/>
        </w:rPr>
      </w:pPr>
      <w:r>
        <w:rPr>
          <w:rFonts w:ascii="Arial Narrow" w:hAnsi="Arial Narrow"/>
          <w:sz w:val="18"/>
          <w:szCs w:val="18"/>
        </w:rPr>
        <w:t xml:space="preserve">a. </w:t>
      </w:r>
      <w:r w:rsidR="00AD3A7C">
        <w:rPr>
          <w:rFonts w:ascii="Arial Narrow" w:hAnsi="Arial Narrow"/>
          <w:sz w:val="18"/>
          <w:szCs w:val="18"/>
        </w:rPr>
        <w:t xml:space="preserve">Based on </w:t>
      </w:r>
      <w:r w:rsidR="002F1980">
        <w:rPr>
          <w:rFonts w:ascii="Arial Narrow" w:hAnsi="Arial Narrow"/>
          <w:sz w:val="18"/>
          <w:szCs w:val="18"/>
        </w:rPr>
        <w:t>c</w:t>
      </w:r>
      <w:r w:rsidR="002F1980" w:rsidRPr="002F1980">
        <w:rPr>
          <w:rFonts w:ascii="Arial Narrow" w:hAnsi="Arial Narrow"/>
          <w:sz w:val="18"/>
          <w:szCs w:val="18"/>
        </w:rPr>
        <w:t>omplete clinical and histopathological clearance</w:t>
      </w:r>
      <w:r w:rsidR="002F1980">
        <w:rPr>
          <w:rFonts w:ascii="Arial Narrow" w:hAnsi="Arial Narrow"/>
          <w:sz w:val="18"/>
          <w:szCs w:val="18"/>
        </w:rPr>
        <w:t xml:space="preserve">; </w:t>
      </w:r>
      <w:r w:rsidR="00AD3A7C">
        <w:rPr>
          <w:rFonts w:ascii="Arial Narrow" w:hAnsi="Arial Narrow"/>
          <w:sz w:val="18"/>
          <w:szCs w:val="18"/>
        </w:rPr>
        <w:t xml:space="preserve">b. </w:t>
      </w:r>
      <w:r>
        <w:rPr>
          <w:rFonts w:ascii="Arial Narrow" w:hAnsi="Arial Narrow"/>
          <w:sz w:val="18"/>
          <w:szCs w:val="18"/>
        </w:rPr>
        <w:t xml:space="preserve">Based on </w:t>
      </w:r>
      <w:r w:rsidR="002F1980">
        <w:rPr>
          <w:rFonts w:ascii="Arial Narrow" w:hAnsi="Arial Narrow"/>
          <w:sz w:val="18"/>
          <w:szCs w:val="18"/>
        </w:rPr>
        <w:t>c</w:t>
      </w:r>
      <w:r w:rsidR="002F1980" w:rsidRPr="002F1980">
        <w:rPr>
          <w:rFonts w:ascii="Arial Narrow" w:hAnsi="Arial Narrow"/>
          <w:sz w:val="18"/>
          <w:szCs w:val="18"/>
        </w:rPr>
        <w:t>omplete resolution of all clinically apparent cutaneous disease for at least four weeks</w:t>
      </w:r>
      <w:r w:rsidR="002F1980">
        <w:rPr>
          <w:rFonts w:ascii="Arial Narrow" w:hAnsi="Arial Narrow"/>
          <w:sz w:val="18"/>
          <w:szCs w:val="18"/>
        </w:rPr>
        <w:t xml:space="preserve">; c. Based on </w:t>
      </w:r>
      <w:r>
        <w:rPr>
          <w:rFonts w:ascii="Arial Narrow" w:hAnsi="Arial Narrow"/>
          <w:sz w:val="18"/>
          <w:szCs w:val="18"/>
        </w:rPr>
        <w:t xml:space="preserve">mSWAT score </w:t>
      </w:r>
    </w:p>
    <w:p w14:paraId="0CA12684" w14:textId="6591BCDF" w:rsidR="00D8137E" w:rsidRPr="0096381E" w:rsidRDefault="00D8137E" w:rsidP="00D8137E">
      <w:pPr>
        <w:pStyle w:val="3-BodyText"/>
        <w:ind w:left="709" w:hanging="709"/>
        <w:rPr>
          <w:color w:val="0066FF"/>
        </w:rPr>
      </w:pPr>
      <w:r w:rsidRPr="00EF4C2D">
        <w:t>The results of Study 201 showed 65/76 (85.6%) patients in the chlormethine gel arm and 51/62 (82.2%) patients in the chlormethine ointment arm maintained their CAILS response through to the end of the trial</w:t>
      </w:r>
      <w:r w:rsidR="00D768D1">
        <w:t>.</w:t>
      </w:r>
      <w:r w:rsidRPr="00EF4C2D">
        <w:t xml:space="preserve"> </w:t>
      </w:r>
      <w:r w:rsidRPr="00EF4C2D">
        <w:fldChar w:fldCharType="begin"/>
      </w:r>
      <w:r w:rsidRPr="00EF4C2D">
        <w:instrText xml:space="preserve"> REF _Ref121472036 \h </w:instrText>
      </w:r>
      <w:r w:rsidR="00EF4C2D">
        <w:instrText xml:space="preserve"> \* MERGEFORMAT </w:instrText>
      </w:r>
      <w:r w:rsidRPr="00EF4C2D">
        <w:fldChar w:fldCharType="separate"/>
      </w:r>
      <w:r w:rsidR="00FD5578" w:rsidRPr="00EF4C2D">
        <w:t xml:space="preserve">Figure </w:t>
      </w:r>
      <w:r w:rsidR="00FD5578">
        <w:rPr>
          <w:noProof/>
        </w:rPr>
        <w:t>2</w:t>
      </w:r>
      <w:r w:rsidRPr="00EF4C2D">
        <w:fldChar w:fldCharType="end"/>
      </w:r>
      <w:r w:rsidR="00D768D1">
        <w:t xml:space="preserve"> provides the Kaplan-Meier survival curve for duration of response from CAILS assessment</w:t>
      </w:r>
      <w:r w:rsidRPr="00EF4C2D">
        <w:t xml:space="preserve">. The submission stated that 11 patients in total “lost” their response during the trial, and of these patients 4 in the chlormethine gel arm and 7 in the chlormethine ointment arm re-achieved a response (i.e., had a second response) prior to the end of the trial. </w:t>
      </w:r>
      <w:r w:rsidRPr="0096381E">
        <w:t>This approach to treatment is incongruent with the proposed PBS continuation criteria, which state “Patient must not have developed disease progression while receiving PBS-subsidised treatment with this drug for this condition.”</w:t>
      </w:r>
    </w:p>
    <w:p w14:paraId="1D4F4D8D" w14:textId="2F60D3CE" w:rsidR="00D8137E" w:rsidRPr="00EF4C2D" w:rsidRDefault="00D8137E" w:rsidP="00D8137E">
      <w:pPr>
        <w:pStyle w:val="Caption"/>
        <w:rPr>
          <w:color w:val="0066FF"/>
        </w:rPr>
      </w:pPr>
      <w:bookmarkStart w:id="45" w:name="_Ref121472036"/>
      <w:r w:rsidRPr="00EF4C2D">
        <w:t xml:space="preserve">Figure </w:t>
      </w:r>
      <w:r w:rsidR="00FD5578">
        <w:fldChar w:fldCharType="begin"/>
      </w:r>
      <w:r w:rsidR="00FD5578">
        <w:instrText xml:space="preserve"> SEQ Figure \* ARABIC </w:instrText>
      </w:r>
      <w:r w:rsidR="00FD5578">
        <w:fldChar w:fldCharType="separate"/>
      </w:r>
      <w:r w:rsidR="00FD5578">
        <w:rPr>
          <w:noProof/>
        </w:rPr>
        <w:t>2</w:t>
      </w:r>
      <w:r w:rsidR="00FD5578">
        <w:rPr>
          <w:noProof/>
        </w:rPr>
        <w:fldChar w:fldCharType="end"/>
      </w:r>
      <w:bookmarkEnd w:id="45"/>
      <w:r w:rsidRPr="00EF4C2D">
        <w:t>: Kaplan-Meier survival curve of duration of response from CAILS assessment by treatment group, ITT</w:t>
      </w:r>
    </w:p>
    <w:p w14:paraId="065EEB86" w14:textId="77777777" w:rsidR="00D8137E" w:rsidRPr="00EF4C2D" w:rsidRDefault="00D8137E" w:rsidP="003B376A">
      <w:pPr>
        <w:pStyle w:val="3-BodyText"/>
        <w:numPr>
          <w:ilvl w:val="0"/>
          <w:numId w:val="0"/>
        </w:numPr>
        <w:spacing w:after="0"/>
        <w:rPr>
          <w:color w:val="0066FF"/>
        </w:rPr>
      </w:pPr>
      <w:r w:rsidRPr="00EF4C2D">
        <w:rPr>
          <w:noProof/>
        </w:rPr>
        <w:drawing>
          <wp:inline distT="0" distB="0" distL="0" distR="0" wp14:anchorId="0B6D4796" wp14:editId="17E16FE8">
            <wp:extent cx="5140618" cy="3284142"/>
            <wp:effectExtent l="0" t="0" r="3175" b="5715"/>
            <wp:docPr id="21" name="Picture 21" descr="Figure 2: Kaplan-Meier survival curve of duration of response from CAILS assessment by treatment group,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gure 2: Kaplan-Meier survival curve of duration of response from CAILS assessment by treatment group, ITT"/>
                    <pic:cNvPicPr/>
                  </pic:nvPicPr>
                  <pic:blipFill>
                    <a:blip r:embed="rId14">
                      <a:extLst>
                        <a:ext uri="{28A0092B-C50C-407E-A947-70E740481C1C}">
                          <a14:useLocalDpi xmlns:a14="http://schemas.microsoft.com/office/drawing/2010/main" val="0"/>
                        </a:ext>
                      </a:extLst>
                    </a:blip>
                    <a:stretch>
                      <a:fillRect/>
                    </a:stretch>
                  </pic:blipFill>
                  <pic:spPr>
                    <a:xfrm>
                      <a:off x="0" y="0"/>
                      <a:ext cx="5160129" cy="3296607"/>
                    </a:xfrm>
                    <a:prstGeom prst="rect">
                      <a:avLst/>
                    </a:prstGeom>
                  </pic:spPr>
                </pic:pic>
              </a:graphicData>
            </a:graphic>
          </wp:inline>
        </w:drawing>
      </w:r>
    </w:p>
    <w:p w14:paraId="027E2A3B" w14:textId="77777777" w:rsidR="00D8137E" w:rsidRPr="00EF4C2D" w:rsidRDefault="00D8137E" w:rsidP="00D8137E">
      <w:pPr>
        <w:pStyle w:val="3-BodyText"/>
        <w:numPr>
          <w:ilvl w:val="0"/>
          <w:numId w:val="0"/>
        </w:numPr>
        <w:jc w:val="left"/>
        <w:rPr>
          <w:color w:val="0066FF"/>
        </w:rPr>
      </w:pPr>
      <w:r w:rsidRPr="00EF4C2D">
        <w:rPr>
          <w:rFonts w:ascii="Arial Narrow" w:hAnsi="Arial Narrow"/>
          <w:sz w:val="18"/>
          <w:szCs w:val="18"/>
        </w:rPr>
        <w:t>Source: Figure 2-5 p119 of the submission</w:t>
      </w:r>
      <w:r w:rsidRPr="00EF4C2D">
        <w:rPr>
          <w:rFonts w:ascii="Arial Narrow" w:hAnsi="Arial Narrow"/>
          <w:sz w:val="18"/>
          <w:szCs w:val="18"/>
        </w:rPr>
        <w:br/>
        <w:t>CAILS= Composite Assessment of Index Lesion Severity; ITT=intention to treat; NYU=New York University</w:t>
      </w:r>
    </w:p>
    <w:p w14:paraId="2D1CE10F" w14:textId="1E883CF7" w:rsidR="00A4619C" w:rsidRPr="00EF4C2D" w:rsidRDefault="00D8137E" w:rsidP="005F00D8">
      <w:pPr>
        <w:pStyle w:val="3-BodyText"/>
        <w:ind w:left="709" w:hanging="709"/>
      </w:pPr>
      <w:r w:rsidRPr="00EF4C2D">
        <w:t xml:space="preserve">The mean duration of CR in the phototherapy studies was obtained by the submission using the Kaplan-Meier curves presented in Vieyra-Garcia 2019 and Whittaker 2012. </w:t>
      </w:r>
      <w:bookmarkStart w:id="46" w:name="_Hlk121722944"/>
      <w:r w:rsidRPr="00EF4C2D">
        <w:t>Response times were not directly provided in El-Mofty 2012 and were inferred by the mean duration of response (26.6 months) and its range (9-36 months), with the assumption that 1 patient relapsed prior to 10 months</w:t>
      </w:r>
      <w:bookmarkEnd w:id="46"/>
      <w:r w:rsidRPr="0096381E">
        <w:t>. Data verification was not possible for</w:t>
      </w:r>
      <w:r w:rsidR="005F00D8" w:rsidRPr="0096381E">
        <w:t xml:space="preserve"> </w:t>
      </w:r>
      <w:r w:rsidRPr="0096381E">
        <w:t>the estimated duration of response in the phototherapy trials because the workbook containing those estimates was not supplied by the submission.</w:t>
      </w:r>
      <w:r w:rsidRPr="00EF4C2D">
        <w:rPr>
          <w:i/>
        </w:rPr>
        <w:t xml:space="preserve"> </w:t>
      </w:r>
    </w:p>
    <w:p w14:paraId="3EAF18AA" w14:textId="7B677935" w:rsidR="005C30A5" w:rsidRPr="0096381E" w:rsidRDefault="005C30A5" w:rsidP="005C30A5">
      <w:pPr>
        <w:pStyle w:val="3-BodyText"/>
        <w:ind w:left="709" w:hanging="709"/>
        <w:rPr>
          <w:color w:val="0066FF"/>
        </w:rPr>
      </w:pPr>
      <w:r w:rsidRPr="00EF4C2D">
        <w:t xml:space="preserve">Based on the results of the naïve </w:t>
      </w:r>
      <w:r>
        <w:t>ITC</w:t>
      </w:r>
      <w:r w:rsidRPr="00EF4C2D">
        <w:t xml:space="preserve"> the submission stated there was no statistically significant difference between phototherapy and chlormethine gel in rmDOCR (mean difference in months = 2.1; 95% CI: -1.0, 5.4; p=0.185) (</w:t>
      </w:r>
      <w:r w:rsidR="006F341E">
        <w:fldChar w:fldCharType="begin"/>
      </w:r>
      <w:r w:rsidR="006F341E">
        <w:instrText xml:space="preserve"> REF _Ref125543588 \h </w:instrText>
      </w:r>
      <w:r w:rsidR="006F341E">
        <w:fldChar w:fldCharType="separate"/>
      </w:r>
      <w:r w:rsidR="00FD5578" w:rsidRPr="00EF4C2D">
        <w:t xml:space="preserve">Figure </w:t>
      </w:r>
      <w:r w:rsidR="00FD5578">
        <w:rPr>
          <w:noProof/>
        </w:rPr>
        <w:t>3</w:t>
      </w:r>
      <w:r w:rsidR="006F341E">
        <w:fldChar w:fldCharType="end"/>
      </w:r>
      <w:r w:rsidRPr="00EF4C2D">
        <w:t xml:space="preserve">). </w:t>
      </w:r>
      <w:r w:rsidRPr="0096381E">
        <w:t>The reported difference favoured phototherapy but is difficult to interpret given the nature of the comparison, the variability in the definition of response included in the assessment of rmDOCR and the high degree of heterogeneity identified in the studies for which estimates of effect are being compared (with an I</w:t>
      </w:r>
      <w:r w:rsidRPr="0096381E">
        <w:rPr>
          <w:vertAlign w:val="superscript"/>
        </w:rPr>
        <w:t>2</w:t>
      </w:r>
      <w:r w:rsidRPr="0096381E">
        <w:t xml:space="preserve"> &gt; 90%). Further, the lack of a statistically significant difference does not necessarily imply treatments are equivalent, unless the study was powered to detect a difference.</w:t>
      </w:r>
    </w:p>
    <w:p w14:paraId="5E520693" w14:textId="077F47A4" w:rsidR="005C30A5" w:rsidRPr="00EF4C2D" w:rsidRDefault="005C30A5" w:rsidP="005C30A5">
      <w:pPr>
        <w:pStyle w:val="Caption"/>
        <w:rPr>
          <w:snapToGrid w:val="0"/>
          <w:color w:val="0066FF"/>
        </w:rPr>
      </w:pPr>
      <w:bookmarkStart w:id="47" w:name="_Ref125543588"/>
      <w:r w:rsidRPr="00EF4C2D">
        <w:t xml:space="preserve">Figure </w:t>
      </w:r>
      <w:r w:rsidR="00FD5578">
        <w:fldChar w:fldCharType="begin"/>
      </w:r>
      <w:r w:rsidR="00FD5578">
        <w:instrText xml:space="preserve"> SEQ Figure \* ARABIC </w:instrText>
      </w:r>
      <w:r w:rsidR="00FD5578">
        <w:fldChar w:fldCharType="separate"/>
      </w:r>
      <w:r w:rsidR="00FD5578">
        <w:rPr>
          <w:noProof/>
        </w:rPr>
        <w:t>3</w:t>
      </w:r>
      <w:r w:rsidR="00FD5578">
        <w:rPr>
          <w:noProof/>
        </w:rPr>
        <w:fldChar w:fldCharType="end"/>
      </w:r>
      <w:bookmarkEnd w:id="47"/>
      <w:r w:rsidRPr="00EF4C2D">
        <w:t>: rmDOCR outcomes summary (chlormethine gel vs. phototherapy)</w:t>
      </w:r>
    </w:p>
    <w:tbl>
      <w:tblPr>
        <w:tblStyle w:val="TableGrid"/>
        <w:tblW w:w="0" w:type="auto"/>
        <w:tblLook w:val="04A0" w:firstRow="1" w:lastRow="0" w:firstColumn="1" w:lastColumn="0" w:noHBand="0" w:noVBand="1"/>
      </w:tblPr>
      <w:tblGrid>
        <w:gridCol w:w="8641"/>
      </w:tblGrid>
      <w:tr w:rsidR="008E09A6" w:rsidRPr="00EF4C2D" w14:paraId="04273DD1" w14:textId="77777777" w:rsidTr="000173F7">
        <w:trPr>
          <w:trHeight w:val="4966"/>
        </w:trPr>
        <w:tc>
          <w:tcPr>
            <w:tcW w:w="8641" w:type="dxa"/>
          </w:tcPr>
          <w:p w14:paraId="0BD326EC" w14:textId="77777777" w:rsidR="005C30A5" w:rsidRPr="00EF4C2D" w:rsidRDefault="005C30A5" w:rsidP="000173F7">
            <w:pPr>
              <w:pStyle w:val="3-BodyText"/>
              <w:numPr>
                <w:ilvl w:val="0"/>
                <w:numId w:val="0"/>
              </w:numPr>
              <w:rPr>
                <w:color w:val="0066FF"/>
              </w:rPr>
            </w:pPr>
            <w:r w:rsidRPr="00EF4C2D">
              <w:rPr>
                <w:noProof/>
              </w:rPr>
              <w:drawing>
                <wp:inline distT="0" distB="0" distL="0" distR="0" wp14:anchorId="7F81F7E2" wp14:editId="25ACD8A2">
                  <wp:extent cx="2256559" cy="1077191"/>
                  <wp:effectExtent l="133350" t="114300" r="125095" b="142240"/>
                  <wp:docPr id="11" name="Picture 11" descr="Figure 3: rmDOCR outcomes summary (chlormethine gel vs. phototherapy)"/>
                  <wp:cNvGraphicFramePr/>
                  <a:graphic xmlns:a="http://schemas.openxmlformats.org/drawingml/2006/main">
                    <a:graphicData uri="http://schemas.openxmlformats.org/drawingml/2006/picture">
                      <pic:pic xmlns:pic="http://schemas.openxmlformats.org/drawingml/2006/picture">
                        <pic:nvPicPr>
                          <pic:cNvPr id="11" name="Picture 11" descr="Figure 3: rmDOCR outcomes summary (chlormethine gel vs. phototherapy)"/>
                          <pic:cNvPicPr/>
                        </pic:nvPicPr>
                        <pic:blipFill>
                          <a:blip r:embed="rId15"/>
                          <a:stretch>
                            <a:fillRect/>
                          </a:stretch>
                        </pic:blipFill>
                        <pic:spPr>
                          <a:xfrm>
                            <a:off x="0" y="0"/>
                            <a:ext cx="2091363" cy="9983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EF4C2D">
              <w:rPr>
                <w:noProof/>
              </w:rPr>
              <w:drawing>
                <wp:inline distT="0" distB="0" distL="0" distR="0" wp14:anchorId="47512FEA" wp14:editId="37E1284B">
                  <wp:extent cx="5091545" cy="1873789"/>
                  <wp:effectExtent l="0" t="0" r="0" b="0"/>
                  <wp:docPr id="12" name="Picture 12" descr="Figure 3: rmDOCR outcomes summary (chlormethine gel vs. phot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3: rmDOCR outcomes summary (chlormethine gel vs. phototherap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2305" cy="1885109"/>
                          </a:xfrm>
                          <a:prstGeom prst="rect">
                            <a:avLst/>
                          </a:prstGeom>
                          <a:noFill/>
                          <a:ln>
                            <a:noFill/>
                          </a:ln>
                        </pic:spPr>
                      </pic:pic>
                    </a:graphicData>
                  </a:graphic>
                </wp:inline>
              </w:drawing>
            </w:r>
          </w:p>
        </w:tc>
      </w:tr>
    </w:tbl>
    <w:p w14:paraId="24F90001" w14:textId="77777777" w:rsidR="005C30A5" w:rsidRPr="00EF4C2D" w:rsidRDefault="005C30A5" w:rsidP="003B376A">
      <w:pPr>
        <w:spacing w:after="120"/>
        <w:jc w:val="left"/>
        <w:rPr>
          <w:rFonts w:ascii="Arial Narrow" w:hAnsi="Arial Narrow"/>
          <w:sz w:val="18"/>
          <w:szCs w:val="18"/>
        </w:rPr>
      </w:pPr>
      <w:r w:rsidRPr="00EF4C2D">
        <w:rPr>
          <w:rFonts w:ascii="Arial Narrow" w:hAnsi="Arial Narrow"/>
          <w:sz w:val="18"/>
          <w:szCs w:val="18"/>
        </w:rPr>
        <w:t xml:space="preserve">Source: Figure 2-12 p139 of the submission </w:t>
      </w:r>
      <w:r w:rsidRPr="00EF4C2D">
        <w:rPr>
          <w:rFonts w:ascii="Arial Narrow" w:hAnsi="Arial Narrow"/>
          <w:sz w:val="18"/>
          <w:szCs w:val="18"/>
        </w:rPr>
        <w:br/>
        <w:t>I</w:t>
      </w:r>
      <w:r w:rsidRPr="00EF4C2D">
        <w:rPr>
          <w:rFonts w:ascii="Arial Narrow" w:hAnsi="Arial Narrow"/>
          <w:sz w:val="18"/>
          <w:szCs w:val="18"/>
          <w:vertAlign w:val="superscript"/>
        </w:rPr>
        <w:t>2</w:t>
      </w:r>
      <w:r w:rsidRPr="00EF4C2D">
        <w:rPr>
          <w:rFonts w:ascii="Arial Narrow" w:hAnsi="Arial Narrow"/>
          <w:sz w:val="18"/>
          <w:szCs w:val="18"/>
        </w:rPr>
        <w:t>=heterogeneity statistic; CI=confidence interval; n = number of participants with event; rmDOCR=restricted mean duration of complete response.</w:t>
      </w:r>
    </w:p>
    <w:p w14:paraId="15E8C8CD" w14:textId="3B7B24C6" w:rsidR="00D8137E" w:rsidRPr="0096381E" w:rsidRDefault="005F00D8" w:rsidP="00D8137E">
      <w:pPr>
        <w:pStyle w:val="3-BodyText"/>
        <w:ind w:left="709" w:hanging="709"/>
      </w:pPr>
      <w:bookmarkStart w:id="48" w:name="_Ref127359476"/>
      <w:bookmarkStart w:id="49" w:name="_Hlk127364420"/>
      <w:r w:rsidRPr="0096381E">
        <w:t>The submission presented a naïve ITC</w:t>
      </w:r>
      <w:r w:rsidR="00874C04" w:rsidRPr="0096381E">
        <w:t xml:space="preserve"> of rmDO</w:t>
      </w:r>
      <w:r w:rsidR="00A90749">
        <w:t>C</w:t>
      </w:r>
      <w:r w:rsidR="00874C04" w:rsidRPr="0096381E">
        <w:t>R.</w:t>
      </w:r>
      <w:r w:rsidRPr="0096381E">
        <w:t xml:space="preserve"> </w:t>
      </w:r>
      <w:r w:rsidR="00D8137E" w:rsidRPr="0096381E">
        <w:t>The following decisions biased the</w:t>
      </w:r>
      <w:r w:rsidR="00F52DA1" w:rsidRPr="0096381E">
        <w:t xml:space="preserve"> naïve</w:t>
      </w:r>
      <w:r w:rsidR="00D8137E" w:rsidRPr="0096381E">
        <w:t xml:space="preserve"> ITC in favour of chlormethine gel:</w:t>
      </w:r>
      <w:bookmarkEnd w:id="48"/>
    </w:p>
    <w:p w14:paraId="1E6C2EB3" w14:textId="77777777" w:rsidR="00D8137E" w:rsidRPr="0096381E" w:rsidRDefault="00D8137E" w:rsidP="00610DFE">
      <w:pPr>
        <w:pStyle w:val="3-BodyText"/>
        <w:numPr>
          <w:ilvl w:val="0"/>
          <w:numId w:val="7"/>
        </w:numPr>
        <w:ind w:left="1080"/>
      </w:pPr>
      <w:r w:rsidRPr="0096381E">
        <w:t xml:space="preserve">The efficacy data were truncated to 10 months, which was the maximum follow-up of Study 201. </w:t>
      </w:r>
      <w:r w:rsidRPr="0096381E">
        <w:rPr>
          <w:rFonts w:eastAsia="Calibri"/>
        </w:rPr>
        <w:t>The comparator trials had follow-up periods ranging 20 to 76 months, and two of them had a mean duration of complete response of 18 and 27 months; these were censored at 10 months in the ITC.</w:t>
      </w:r>
    </w:p>
    <w:p w14:paraId="374854C8" w14:textId="5DFDF87D" w:rsidR="00D8137E" w:rsidRPr="00DF296F" w:rsidRDefault="00D8137E" w:rsidP="00610DFE">
      <w:pPr>
        <w:pStyle w:val="3-BodyText"/>
        <w:numPr>
          <w:ilvl w:val="0"/>
          <w:numId w:val="7"/>
        </w:numPr>
        <w:ind w:left="1080"/>
      </w:pPr>
      <w:bookmarkStart w:id="50" w:name="_Hlk121681909"/>
      <w:r w:rsidRPr="0096381E">
        <w:t xml:space="preserve">The classification of CR used the CAILS scores from Study 201, while the comparator trials used </w:t>
      </w:r>
      <w:r w:rsidR="00FF335B">
        <w:t xml:space="preserve">‘complete clinical and histopathological clearance’, </w:t>
      </w:r>
      <w:r w:rsidRPr="0096381E">
        <w:t>‘</w:t>
      </w:r>
      <w:r w:rsidR="00FF335B">
        <w:t>c</w:t>
      </w:r>
      <w:r w:rsidRPr="0096381E">
        <w:t>omplete resolution of all clinically apparent cutaneous disease for at least four weeks’</w:t>
      </w:r>
      <w:r w:rsidR="00FF335B">
        <w:t xml:space="preserve"> or ‘mSWAT score reduced to zero’</w:t>
      </w:r>
      <w:r w:rsidRPr="0096381E">
        <w:t xml:space="preserve">; the comparator scores required all clinically apparent lesions to completely resolve, whereas the CAILS score only requires the 5 index lesions to resolve (see </w:t>
      </w:r>
      <w:r w:rsidRPr="0096381E">
        <w:rPr>
          <w:rFonts w:cstheme="minorHAnsi"/>
        </w:rPr>
        <w:fldChar w:fldCharType="begin"/>
      </w:r>
      <w:r w:rsidRPr="0096381E">
        <w:rPr>
          <w:rFonts w:cstheme="minorHAnsi"/>
        </w:rPr>
        <w:instrText xml:space="preserve"> REF _Ref121726780 \h  \* MERGEFORMAT </w:instrText>
      </w:r>
      <w:r w:rsidRPr="0096381E">
        <w:rPr>
          <w:rFonts w:cstheme="minorHAnsi"/>
        </w:rPr>
      </w:r>
      <w:r w:rsidRPr="0096381E">
        <w:rPr>
          <w:rFonts w:cstheme="minorHAnsi"/>
        </w:rPr>
        <w:fldChar w:fldCharType="separate"/>
      </w:r>
      <w:r w:rsidR="00FD5578" w:rsidRPr="00FD5578">
        <w:rPr>
          <w:rFonts w:cstheme="minorHAnsi"/>
        </w:rPr>
        <w:t>Table</w:t>
      </w:r>
      <w:r w:rsidR="00FD5578" w:rsidRPr="00FD5578">
        <w:rPr>
          <w:rFonts w:ascii="Arial Narrow" w:hAnsi="Arial Narrow"/>
          <w:sz w:val="20"/>
          <w:szCs w:val="20"/>
        </w:rPr>
        <w:t xml:space="preserve"> </w:t>
      </w:r>
      <w:r w:rsidR="00FD5578" w:rsidRPr="00FD5578">
        <w:rPr>
          <w:rFonts w:ascii="Arial Narrow" w:hAnsi="Arial Narrow"/>
          <w:noProof/>
          <w:sz w:val="20"/>
          <w:szCs w:val="20"/>
        </w:rPr>
        <w:t>4</w:t>
      </w:r>
      <w:r w:rsidRPr="0096381E">
        <w:fldChar w:fldCharType="end"/>
      </w:r>
      <w:r w:rsidRPr="0096381E">
        <w:t xml:space="preserve">). This means patients may be classified as a ‘complete responder’ by the CAILS score, but not mSWAT; this is evident in </w:t>
      </w:r>
      <w:r w:rsidRPr="0096381E">
        <w:fldChar w:fldCharType="begin"/>
      </w:r>
      <w:r w:rsidRPr="0096381E">
        <w:instrText xml:space="preserve"> REF _Ref121317280 \h  \* MERGEFORMAT </w:instrText>
      </w:r>
      <w:r w:rsidRPr="0096381E">
        <w:fldChar w:fldCharType="separate"/>
      </w:r>
      <w:r w:rsidR="00FD5578" w:rsidRPr="00EF4C2D">
        <w:t xml:space="preserve">Table </w:t>
      </w:r>
      <w:r w:rsidR="00FD5578">
        <w:rPr>
          <w:noProof/>
        </w:rPr>
        <w:t>5</w:t>
      </w:r>
      <w:r w:rsidRPr="0096381E">
        <w:fldChar w:fldCharType="end"/>
      </w:r>
      <w:r w:rsidRPr="0096381E">
        <w:t>, which shows that 18 (13.8%) patients in the chlormethine gel arm of Study 201 achieved a CAILS CR, but only 9 (6.9%) achieved an mSWAT CR. The potential for bias with respect to the comparison of rmDOCR would have been reduced if the analysis had applied the mSWAT definition of CR in the ITC, and included patients who met the Study 201 protocol-definition of a complete responder, which was similar to the definitions used in the comparator trials.</w:t>
      </w:r>
      <w:r w:rsidR="00FF335B">
        <w:t xml:space="preserve"> </w:t>
      </w:r>
      <w:r w:rsidR="00FF335B" w:rsidRPr="00DF296F">
        <w:t>The PSCR (p2) argued that as only one of the comparator studies used mSWAT</w:t>
      </w:r>
      <w:r w:rsidR="00361647" w:rsidRPr="00DF296F">
        <w:t>, it</w:t>
      </w:r>
      <w:r w:rsidR="005863A2" w:rsidRPr="00DF296F">
        <w:t xml:space="preserve"> was considered more reasonable to use the primary Study 201 outcome based on CAILS response for the ITC. The PSCR stated the CAILS is a sensitive instrument and could also be considered more relevant to measure response in the early stages of MF-CTCL in patients with a BSA </w:t>
      </w:r>
      <w:r w:rsidR="005863A2" w:rsidRPr="00DF296F">
        <w:rPr>
          <w:rFonts w:cstheme="minorHAnsi"/>
        </w:rPr>
        <w:t>≤</w:t>
      </w:r>
      <w:r w:rsidR="005863A2" w:rsidRPr="00DF296F">
        <w:t xml:space="preserve"> 25%. </w:t>
      </w:r>
      <w:r w:rsidR="00F22C51" w:rsidRPr="00DF296F">
        <w:t xml:space="preserve">The ESC </w:t>
      </w:r>
      <w:r w:rsidR="00B33274" w:rsidRPr="00DF296F">
        <w:t>was concerned about the comparability of the endpoints used to inform the ITC of rmDO</w:t>
      </w:r>
      <w:r w:rsidR="00A90749" w:rsidRPr="00DF296F">
        <w:t>C</w:t>
      </w:r>
      <w:r w:rsidR="00B33274" w:rsidRPr="00DF296F">
        <w:t>R</w:t>
      </w:r>
      <w:r w:rsidR="00F124BE" w:rsidRPr="00DF296F">
        <w:t>. The ESC considered that mSWAT, or as a surrogate the ‘complete resolution of all clinically apparent cutaneous disease for at least four weeks’</w:t>
      </w:r>
      <w:r w:rsidR="00C839DC" w:rsidRPr="00DF296F">
        <w:t>,</w:t>
      </w:r>
      <w:r w:rsidR="00F124BE" w:rsidRPr="00DF296F">
        <w:t xml:space="preserve"> </w:t>
      </w:r>
      <w:r w:rsidR="00C839DC" w:rsidRPr="00DF296F">
        <w:t>would be</w:t>
      </w:r>
      <w:r w:rsidR="00F124BE" w:rsidRPr="00DF296F">
        <w:t xml:space="preserve"> a more reliable estimate of response that better reflects disease control and the requirement for potential future therapy.</w:t>
      </w:r>
    </w:p>
    <w:p w14:paraId="3638B52E" w14:textId="4A9F6D12" w:rsidR="005C30A5" w:rsidRPr="00DF296F" w:rsidRDefault="00D8137E" w:rsidP="00610DFE">
      <w:pPr>
        <w:pStyle w:val="3-BodyText"/>
        <w:numPr>
          <w:ilvl w:val="0"/>
          <w:numId w:val="7"/>
        </w:numPr>
        <w:ind w:left="1080"/>
      </w:pPr>
      <w:r w:rsidRPr="0096381E">
        <w:t>The ITC classified 28 (21.5%) chlormethine gel patients as ‘complete responders’ – 10 more than reported in Study 201</w:t>
      </w:r>
      <w:r w:rsidR="005C30A5" w:rsidRPr="0096381E">
        <w:t xml:space="preserve"> (</w:t>
      </w:r>
      <w:r w:rsidR="005C30A5" w:rsidRPr="0096381E">
        <w:fldChar w:fldCharType="begin"/>
      </w:r>
      <w:r w:rsidR="005C30A5" w:rsidRPr="0096381E">
        <w:instrText xml:space="preserve"> REF _Ref122362838 \h </w:instrText>
      </w:r>
      <w:r w:rsidR="0096381E">
        <w:instrText xml:space="preserve"> \* MERGEFORMAT </w:instrText>
      </w:r>
      <w:r w:rsidR="005C30A5" w:rsidRPr="0096381E">
        <w:fldChar w:fldCharType="separate"/>
      </w:r>
      <w:r w:rsidR="00FD5578">
        <w:t xml:space="preserve">Table </w:t>
      </w:r>
      <w:r w:rsidR="00FD5578">
        <w:rPr>
          <w:noProof/>
        </w:rPr>
        <w:t>6</w:t>
      </w:r>
      <w:r w:rsidR="005C30A5" w:rsidRPr="0096381E">
        <w:fldChar w:fldCharType="end"/>
      </w:r>
      <w:r w:rsidR="005C30A5" w:rsidRPr="0096381E">
        <w:t>)</w:t>
      </w:r>
      <w:r w:rsidRPr="0096381E">
        <w:t>. The submission did not discuss this discrepancy, but it was noted these 10 patients had a single ‘CR’ classification at one visit, and did not meet the Study 201 protocol definition of complete responder (that the complete response was maintained for at least two consecutive visits, or at least 28 days).</w:t>
      </w:r>
      <w:r w:rsidRPr="00EF4C2D">
        <w:rPr>
          <w:i/>
          <w:iCs/>
        </w:rPr>
        <w:t xml:space="preserve"> </w:t>
      </w:r>
      <w:bookmarkEnd w:id="50"/>
      <w:r w:rsidR="00F22C51" w:rsidRPr="00DF296F">
        <w:t xml:space="preserve">The PSCR (p3) noted that only one of the comparator studies (Whittaker 2012) required a confirmed response after 28 days. As such, the PSCR argued inclusion of Study 201 patients who reported any response (i.e. removing the requirement for the patient to have a confirmed response 28 days later) would allow a more consistent comparison with the phototherapy studies. </w:t>
      </w:r>
      <w:r w:rsidR="00B33274" w:rsidRPr="00DF296F">
        <w:t xml:space="preserve">The ESC considered the 10 patients classified as having a CR during the post hoc analysis of Study 201 should be excluded from the </w:t>
      </w:r>
      <w:r w:rsidR="00F124BE" w:rsidRPr="00DF296F">
        <w:t>analysis</w:t>
      </w:r>
      <w:r w:rsidR="00B33274" w:rsidRPr="00DF296F">
        <w:t xml:space="preserve">. </w:t>
      </w:r>
    </w:p>
    <w:p w14:paraId="6A5510DE" w14:textId="3FCA81DF" w:rsidR="009E5017" w:rsidRPr="00EF4C2D" w:rsidRDefault="009E5017" w:rsidP="009E5017">
      <w:pPr>
        <w:pStyle w:val="Caption"/>
        <w:rPr>
          <w:color w:val="0066FF"/>
        </w:rPr>
      </w:pPr>
      <w:bookmarkStart w:id="51" w:name="_Ref122362838"/>
      <w:bookmarkEnd w:id="49"/>
      <w:r>
        <w:t xml:space="preserve">Table </w:t>
      </w:r>
      <w:r w:rsidR="00FD5578">
        <w:fldChar w:fldCharType="begin"/>
      </w:r>
      <w:r w:rsidR="00FD5578">
        <w:instrText xml:space="preserve"> SEQ Table \* ARABIC </w:instrText>
      </w:r>
      <w:r w:rsidR="00FD5578">
        <w:fldChar w:fldCharType="separate"/>
      </w:r>
      <w:r w:rsidR="00FD5578">
        <w:rPr>
          <w:noProof/>
        </w:rPr>
        <w:t>6</w:t>
      </w:r>
      <w:r w:rsidR="00FD5578">
        <w:rPr>
          <w:noProof/>
        </w:rPr>
        <w:fldChar w:fldCharType="end"/>
      </w:r>
      <w:bookmarkEnd w:id="51"/>
      <w:r>
        <w:t xml:space="preserve">: </w:t>
      </w:r>
      <w:r w:rsidRPr="005C30A5">
        <w:t>rmDOCR in the studies</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55"/>
        <w:gridCol w:w="1110"/>
        <w:gridCol w:w="678"/>
        <w:gridCol w:w="795"/>
        <w:gridCol w:w="1559"/>
        <w:gridCol w:w="2785"/>
      </w:tblGrid>
      <w:tr w:rsidR="009E5017" w:rsidRPr="00EF4C2D" w14:paraId="51F521A4" w14:textId="77777777" w:rsidTr="000173F7">
        <w:trPr>
          <w:trHeight w:val="2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50890" w14:textId="77777777" w:rsidR="009E5017" w:rsidRPr="00EF4C2D" w:rsidRDefault="009E5017" w:rsidP="000173F7">
            <w:pPr>
              <w:pStyle w:val="KMC16-TableHeading"/>
              <w:keepNext/>
              <w:keepLines/>
              <w:spacing w:before="0" w:after="0"/>
              <w:jc w:val="both"/>
              <w:rPr>
                <w:lang w:eastAsia="en-US"/>
              </w:rPr>
            </w:pPr>
            <w:r w:rsidRPr="00EF4C2D">
              <w:rPr>
                <w:lang w:eastAsia="en-US"/>
              </w:rPr>
              <w:t>Study</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65614" w14:textId="77777777" w:rsidR="009E5017" w:rsidRPr="00EF4C2D" w:rsidRDefault="009E5017" w:rsidP="000173F7">
            <w:pPr>
              <w:pStyle w:val="KMC16-TableHeading"/>
              <w:keepNext/>
              <w:keepLines/>
              <w:spacing w:before="0" w:after="0"/>
              <w:rPr>
                <w:lang w:eastAsia="en-US"/>
              </w:rPr>
            </w:pPr>
            <w:r w:rsidRPr="00EF4C2D">
              <w:rPr>
                <w:lang w:eastAsia="en-US"/>
              </w:rPr>
              <w:t>N</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107F9" w14:textId="77777777" w:rsidR="009E5017" w:rsidRPr="00EF4C2D" w:rsidRDefault="009E5017" w:rsidP="000173F7">
            <w:pPr>
              <w:pStyle w:val="KMC16-TableHeading"/>
              <w:keepNext/>
              <w:keepLines/>
              <w:spacing w:before="0" w:after="0"/>
              <w:rPr>
                <w:lang w:eastAsia="en-US"/>
              </w:rPr>
            </w:pPr>
            <w:r w:rsidRPr="00EF4C2D">
              <w:rPr>
                <w:lang w:eastAsia="en-US"/>
              </w:rPr>
              <w:t>Non-responders</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B929A" w14:textId="77777777" w:rsidR="009E5017" w:rsidRPr="00EF4C2D" w:rsidRDefault="009E5017" w:rsidP="000173F7">
            <w:pPr>
              <w:pStyle w:val="KMC16-TableHeading"/>
              <w:keepNext/>
              <w:keepLines/>
              <w:spacing w:before="0" w:after="0"/>
              <w:rPr>
                <w:lang w:eastAsia="en-US"/>
              </w:rPr>
            </w:pPr>
            <w:r w:rsidRPr="00EF4C2D">
              <w:rPr>
                <w:lang w:eastAsia="en-US"/>
              </w:rPr>
              <w:t>Mean</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41228" w14:textId="77777777" w:rsidR="009E5017" w:rsidRPr="00EF4C2D" w:rsidRDefault="009E5017" w:rsidP="000173F7">
            <w:pPr>
              <w:pStyle w:val="KMC16-TableHeading"/>
              <w:keepNext/>
              <w:keepLines/>
              <w:spacing w:before="0" w:after="0"/>
              <w:rPr>
                <w:lang w:eastAsia="en-US"/>
              </w:rPr>
            </w:pPr>
            <w:r w:rsidRPr="00EF4C2D">
              <w:rPr>
                <w:lang w:eastAsia="en-US"/>
              </w:rPr>
              <w:t>SE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97E2C" w14:textId="77777777" w:rsidR="009E5017" w:rsidRPr="00EF4C2D" w:rsidRDefault="009E5017" w:rsidP="000173F7">
            <w:pPr>
              <w:pStyle w:val="KMC16-TableHeading"/>
              <w:keepNext/>
              <w:keepLines/>
              <w:spacing w:before="0" w:after="0"/>
              <w:rPr>
                <w:lang w:eastAsia="en-US"/>
              </w:rPr>
            </w:pPr>
            <w:r w:rsidRPr="00EF4C2D">
              <w:rPr>
                <w:lang w:eastAsia="en-US"/>
              </w:rPr>
              <w:t>95% CI</w:t>
            </w:r>
          </w:p>
        </w:tc>
        <w:tc>
          <w:tcPr>
            <w:tcW w:w="2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A185B" w14:textId="77777777" w:rsidR="009E5017" w:rsidRPr="00EF4C2D" w:rsidRDefault="009E5017" w:rsidP="000173F7">
            <w:pPr>
              <w:pStyle w:val="KMC16-TableHeading"/>
              <w:keepNext/>
              <w:keepLines/>
              <w:spacing w:before="0" w:after="0"/>
              <w:rPr>
                <w:lang w:eastAsia="en-US"/>
              </w:rPr>
            </w:pPr>
            <w:r w:rsidRPr="00EF4C2D">
              <w:rPr>
                <w:lang w:eastAsia="en-US"/>
              </w:rPr>
              <w:t>Notes</w:t>
            </w:r>
          </w:p>
        </w:tc>
      </w:tr>
      <w:tr w:rsidR="009E5017" w:rsidRPr="00EF4C2D" w14:paraId="7852958E" w14:textId="77777777" w:rsidTr="000173F7">
        <w:trPr>
          <w:trHeight w:val="20"/>
        </w:trPr>
        <w:tc>
          <w:tcPr>
            <w:tcW w:w="901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4186E77" w14:textId="77777777" w:rsidR="009E5017" w:rsidRPr="00EF4C2D" w:rsidRDefault="009E5017" w:rsidP="000173F7">
            <w:pPr>
              <w:pStyle w:val="KMC16-TableHeading"/>
              <w:keepNext/>
              <w:keepLines/>
              <w:spacing w:before="0" w:after="0"/>
              <w:jc w:val="left"/>
              <w:rPr>
                <w:lang w:eastAsia="en-US"/>
              </w:rPr>
            </w:pPr>
            <w:r w:rsidRPr="00EF4C2D">
              <w:rPr>
                <w:lang w:eastAsia="en-US"/>
              </w:rPr>
              <w:t>Chlormethine</w:t>
            </w:r>
          </w:p>
        </w:tc>
      </w:tr>
      <w:tr w:rsidR="009E5017" w:rsidRPr="00EF4C2D" w14:paraId="31D104F4" w14:textId="77777777" w:rsidTr="000173F7">
        <w:trPr>
          <w:trHeight w:val="2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06FFC" w14:textId="77777777" w:rsidR="009E5017" w:rsidRPr="00EF4C2D" w:rsidRDefault="009E5017" w:rsidP="000173F7">
            <w:pPr>
              <w:pStyle w:val="KMC16-Tablecontent"/>
              <w:keepNext/>
              <w:keepLines/>
              <w:spacing w:before="0" w:after="0"/>
              <w:rPr>
                <w:b/>
                <w:lang w:val="en-AU" w:eastAsia="en-US"/>
              </w:rPr>
            </w:pPr>
            <w:r w:rsidRPr="00EF4C2D">
              <w:rPr>
                <w:b/>
                <w:lang w:val="en-AU" w:eastAsia="en-US"/>
              </w:rPr>
              <w:t>Study 201</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4D2B7" w14:textId="77777777" w:rsidR="009E5017" w:rsidRPr="00EF4C2D" w:rsidRDefault="009E5017" w:rsidP="000173F7">
            <w:pPr>
              <w:pStyle w:val="KMC16-Tablecontent"/>
              <w:keepNext/>
              <w:keepLines/>
              <w:spacing w:before="0" w:after="0"/>
              <w:jc w:val="center"/>
              <w:rPr>
                <w:lang w:val="en-AU" w:eastAsia="en-US"/>
              </w:rPr>
            </w:pPr>
            <w:r w:rsidRPr="00EF4C2D">
              <w:rPr>
                <w:lang w:val="en-AU" w:eastAsia="en-US"/>
              </w:rPr>
              <w:t>130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48AD9" w14:textId="77777777" w:rsidR="009E5017" w:rsidRPr="00EF4C2D" w:rsidRDefault="009E5017" w:rsidP="000173F7">
            <w:pPr>
              <w:pStyle w:val="KMC16-Tablecontent"/>
              <w:keepNext/>
              <w:keepLines/>
              <w:spacing w:before="0" w:after="0"/>
              <w:jc w:val="center"/>
              <w:rPr>
                <w:lang w:val="en-AU" w:eastAsia="en-US"/>
              </w:rPr>
            </w:pPr>
            <w:r w:rsidRPr="00EF4C2D">
              <w:rPr>
                <w:lang w:val="en-AU" w:eastAsia="en-US"/>
              </w:rPr>
              <w:t>102</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F94E8" w14:textId="77777777" w:rsidR="009E5017" w:rsidRPr="00EF4C2D" w:rsidRDefault="009E5017" w:rsidP="000173F7">
            <w:pPr>
              <w:pStyle w:val="KMC16-Tablecontent"/>
              <w:keepNext/>
              <w:keepLines/>
              <w:spacing w:before="0" w:after="0"/>
              <w:jc w:val="center"/>
              <w:rPr>
                <w:b/>
                <w:lang w:val="en-AU" w:eastAsia="en-US"/>
              </w:rPr>
            </w:pPr>
            <w:r w:rsidRPr="00EF4C2D">
              <w:rPr>
                <w:b/>
                <w:lang w:val="en-AU" w:eastAsia="en-US"/>
              </w:rPr>
              <w:t>1.82</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03551" w14:textId="77777777" w:rsidR="009E5017" w:rsidRPr="00EF4C2D" w:rsidRDefault="009E5017" w:rsidP="000173F7">
            <w:pPr>
              <w:pStyle w:val="KMC16-Tablecontent"/>
              <w:keepNext/>
              <w:keepLines/>
              <w:spacing w:before="0" w:after="0"/>
              <w:jc w:val="center"/>
              <w:rPr>
                <w:b/>
                <w:lang w:val="en-AU" w:eastAsia="en-US"/>
              </w:rPr>
            </w:pPr>
            <w:r w:rsidRPr="00EF4C2D">
              <w:rPr>
                <w:b/>
                <w:lang w:val="en-AU" w:eastAsia="en-US"/>
              </w:rPr>
              <w:t>0.35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A1E46" w14:textId="77777777" w:rsidR="009E5017" w:rsidRPr="00EF4C2D" w:rsidRDefault="009E5017" w:rsidP="000173F7">
            <w:pPr>
              <w:pStyle w:val="KMC16-Tablecontent"/>
              <w:keepNext/>
              <w:keepLines/>
              <w:spacing w:before="0" w:after="0"/>
              <w:jc w:val="center"/>
              <w:rPr>
                <w:b/>
                <w:lang w:val="en-AU" w:eastAsia="en-US"/>
              </w:rPr>
            </w:pPr>
            <w:r w:rsidRPr="00EF4C2D">
              <w:rPr>
                <w:b/>
                <w:lang w:val="en-AU" w:eastAsia="en-US"/>
              </w:rPr>
              <w:t>(1.14, 2.50)</w:t>
            </w:r>
          </w:p>
        </w:tc>
        <w:tc>
          <w:tcPr>
            <w:tcW w:w="2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81F99" w14:textId="77777777" w:rsidR="009E5017" w:rsidRPr="00EF4C2D" w:rsidRDefault="009E5017" w:rsidP="000173F7">
            <w:pPr>
              <w:pStyle w:val="KMC16-Tablecontent"/>
              <w:keepNext/>
              <w:keepLines/>
              <w:spacing w:before="0" w:after="0"/>
              <w:rPr>
                <w:lang w:val="en-AU" w:eastAsia="en-US"/>
              </w:rPr>
            </w:pPr>
            <w:r w:rsidRPr="00EF4C2D">
              <w:rPr>
                <w:lang w:val="en-AU" w:eastAsia="en-US"/>
              </w:rPr>
              <w:t>Actual follow-up times utilised for each patient from trial listings. Individual patient data utilised for all patients reporting a CR up to Month 12.</w:t>
            </w:r>
          </w:p>
        </w:tc>
      </w:tr>
      <w:tr w:rsidR="009E5017" w:rsidRPr="00EF4C2D" w14:paraId="382745A7" w14:textId="77777777" w:rsidTr="000173F7">
        <w:trPr>
          <w:trHeight w:val="20"/>
        </w:trPr>
        <w:tc>
          <w:tcPr>
            <w:tcW w:w="901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AB7CC59" w14:textId="77777777" w:rsidR="009E5017" w:rsidRPr="00EF4C2D" w:rsidRDefault="009E5017" w:rsidP="000173F7">
            <w:pPr>
              <w:pStyle w:val="KMC16-Tablecontent"/>
              <w:keepNext/>
              <w:keepLines/>
              <w:spacing w:before="0" w:after="0"/>
              <w:rPr>
                <w:lang w:val="en-AU" w:eastAsia="en-US"/>
              </w:rPr>
            </w:pPr>
            <w:r w:rsidRPr="00EF4C2D">
              <w:rPr>
                <w:b/>
                <w:lang w:val="en-AU" w:eastAsia="en-US"/>
              </w:rPr>
              <w:t>Phototherapy</w:t>
            </w:r>
          </w:p>
        </w:tc>
      </w:tr>
      <w:tr w:rsidR="009E5017" w:rsidRPr="00EF4C2D" w14:paraId="6EC0B3AF" w14:textId="77777777" w:rsidTr="000173F7">
        <w:trPr>
          <w:trHeight w:val="2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7F0E8" w14:textId="77777777" w:rsidR="009E5017" w:rsidRPr="00EF4C2D" w:rsidRDefault="009E5017" w:rsidP="000173F7">
            <w:pPr>
              <w:pStyle w:val="KMC16-Tablecontent"/>
              <w:keepNext/>
              <w:keepLines/>
              <w:spacing w:before="0" w:after="0"/>
              <w:rPr>
                <w:lang w:val="en-AU" w:eastAsia="en-US"/>
              </w:rPr>
            </w:pPr>
            <w:r w:rsidRPr="00EF4C2D">
              <w:rPr>
                <w:lang w:val="en-AU" w:eastAsia="en-US"/>
              </w:rPr>
              <w:t>El Mofty 2012</w:t>
            </w:r>
            <w:r w:rsidRPr="00EF4C2D">
              <w:rPr>
                <w:vertAlign w:val="superscript"/>
                <w:lang w:val="en-AU" w:eastAsia="en-US"/>
              </w:rPr>
              <w:t>a</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1DAEF" w14:textId="77777777" w:rsidR="009E5017" w:rsidRPr="00EF4C2D" w:rsidRDefault="009E5017" w:rsidP="000173F7">
            <w:pPr>
              <w:pStyle w:val="KMC16-Tablecontent"/>
              <w:keepNext/>
              <w:keepLines/>
              <w:spacing w:before="0" w:after="0"/>
              <w:jc w:val="center"/>
              <w:rPr>
                <w:lang w:val="en-AU" w:eastAsia="en-US"/>
              </w:rPr>
            </w:pPr>
            <w:r w:rsidRPr="00EF4C2D">
              <w:rPr>
                <w:lang w:val="en-AU" w:eastAsia="en-US"/>
              </w:rPr>
              <w:t>15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8D6D1" w14:textId="77777777" w:rsidR="009E5017" w:rsidRPr="00EF4C2D" w:rsidRDefault="009E5017" w:rsidP="000173F7">
            <w:pPr>
              <w:pStyle w:val="KMC16-Tablecontent"/>
              <w:keepNext/>
              <w:keepLines/>
              <w:spacing w:before="0" w:after="0"/>
              <w:jc w:val="center"/>
              <w:rPr>
                <w:lang w:val="en-AU" w:eastAsia="en-US"/>
              </w:rPr>
            </w:pPr>
            <w:r w:rsidRPr="00EF4C2D">
              <w:rPr>
                <w:lang w:val="en-AU" w:eastAsia="en-US"/>
              </w:rPr>
              <w:t>4</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60184" w14:textId="77777777" w:rsidR="009E5017" w:rsidRPr="00EF4C2D" w:rsidRDefault="009E5017" w:rsidP="000173F7">
            <w:pPr>
              <w:pStyle w:val="KMC16-Tablecontent"/>
              <w:keepNext/>
              <w:keepLines/>
              <w:spacing w:before="0" w:after="0"/>
              <w:jc w:val="center"/>
              <w:rPr>
                <w:lang w:val="en-AU" w:eastAsia="en-US"/>
              </w:rPr>
            </w:pPr>
            <w:r w:rsidRPr="00EF4C2D">
              <w:rPr>
                <w:lang w:val="en-AU" w:eastAsia="en-US"/>
              </w:rPr>
              <w:t>7.27</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50CE2" w14:textId="77777777" w:rsidR="009E5017" w:rsidRPr="00EF4C2D" w:rsidRDefault="009E5017" w:rsidP="000173F7">
            <w:pPr>
              <w:pStyle w:val="KMC16-Tablecontent"/>
              <w:keepNext/>
              <w:keepLines/>
              <w:spacing w:before="0" w:after="0"/>
              <w:jc w:val="center"/>
              <w:rPr>
                <w:lang w:val="en-AU" w:eastAsia="en-US"/>
              </w:rPr>
            </w:pPr>
            <w:r w:rsidRPr="00EF4C2D">
              <w:rPr>
                <w:lang w:val="en-AU" w:eastAsia="en-US"/>
              </w:rPr>
              <w:t>1.13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BEB1A" w14:textId="77777777" w:rsidR="009E5017" w:rsidRPr="00EF4C2D" w:rsidRDefault="009E5017" w:rsidP="000173F7">
            <w:pPr>
              <w:pStyle w:val="KMC16-Tablecontent"/>
              <w:keepNext/>
              <w:keepLines/>
              <w:spacing w:before="0" w:after="0"/>
              <w:jc w:val="center"/>
              <w:rPr>
                <w:lang w:val="en-AU" w:eastAsia="en-US"/>
              </w:rPr>
            </w:pPr>
            <w:r w:rsidRPr="00EF4C2D">
              <w:rPr>
                <w:lang w:val="en-AU" w:eastAsia="en-US"/>
              </w:rPr>
              <w:t>(5.05, 9.49)</w:t>
            </w:r>
          </w:p>
        </w:tc>
        <w:tc>
          <w:tcPr>
            <w:tcW w:w="2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73CB5" w14:textId="77777777" w:rsidR="009E5017" w:rsidRPr="00EF4C2D" w:rsidRDefault="009E5017" w:rsidP="000173F7">
            <w:pPr>
              <w:pStyle w:val="KMC16-Tablecontent"/>
              <w:keepNext/>
              <w:keepLines/>
              <w:spacing w:before="0" w:after="0"/>
              <w:rPr>
                <w:lang w:val="en-AU" w:eastAsia="en-US"/>
              </w:rPr>
            </w:pPr>
            <w:r w:rsidRPr="00EF4C2D">
              <w:rPr>
                <w:lang w:val="en-AU" w:eastAsia="en-US"/>
              </w:rPr>
              <w:t>Only summary data provided but clearly one patient relapsed at 9 months and the remaining lasted beyond 10 months</w:t>
            </w:r>
          </w:p>
        </w:tc>
      </w:tr>
      <w:tr w:rsidR="009E5017" w:rsidRPr="00EF4C2D" w14:paraId="1908BED6" w14:textId="77777777" w:rsidTr="000173F7">
        <w:trPr>
          <w:trHeight w:val="2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A28CC" w14:textId="77777777" w:rsidR="009E5017" w:rsidRPr="00EF4C2D" w:rsidRDefault="009E5017" w:rsidP="000173F7">
            <w:pPr>
              <w:pStyle w:val="KMC16-Tablecontent"/>
              <w:keepNext/>
              <w:keepLines/>
              <w:spacing w:before="0" w:after="0"/>
              <w:rPr>
                <w:lang w:val="en-AU" w:eastAsia="en-US"/>
              </w:rPr>
            </w:pPr>
            <w:r w:rsidRPr="00EF4C2D">
              <w:rPr>
                <w:lang w:val="en-AU" w:eastAsia="en-US"/>
              </w:rPr>
              <w:t>Whittaker 2012</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C0D6D" w14:textId="77777777" w:rsidR="009E5017" w:rsidRPr="00EF4C2D" w:rsidRDefault="009E5017" w:rsidP="000173F7">
            <w:pPr>
              <w:pStyle w:val="KMC16-Tablecontent"/>
              <w:keepNext/>
              <w:keepLines/>
              <w:spacing w:before="0" w:after="0"/>
              <w:jc w:val="center"/>
              <w:rPr>
                <w:lang w:val="en-AU" w:eastAsia="en-US"/>
              </w:rPr>
            </w:pPr>
            <w:r w:rsidRPr="00EF4C2D">
              <w:rPr>
                <w:lang w:val="en-AU" w:eastAsia="en-US"/>
              </w:rPr>
              <w:t>45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BD70F" w14:textId="77777777" w:rsidR="009E5017" w:rsidRPr="00EF4C2D" w:rsidRDefault="009E5017" w:rsidP="000173F7">
            <w:pPr>
              <w:pStyle w:val="KMC16-Tablecontent"/>
              <w:keepNext/>
              <w:keepLines/>
              <w:spacing w:before="0" w:after="0"/>
              <w:jc w:val="center"/>
              <w:rPr>
                <w:lang w:val="en-AU" w:eastAsia="en-US"/>
              </w:rPr>
            </w:pPr>
            <w:r w:rsidRPr="00EF4C2D">
              <w:rPr>
                <w:lang w:val="en-AU" w:eastAsia="en-US"/>
              </w:rPr>
              <w:t>35</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6005E" w14:textId="77777777" w:rsidR="009E5017" w:rsidRPr="00EF4C2D" w:rsidRDefault="009E5017" w:rsidP="000173F7">
            <w:pPr>
              <w:pStyle w:val="KMC16-Tablecontent"/>
              <w:keepNext/>
              <w:keepLines/>
              <w:spacing w:before="0" w:after="0"/>
              <w:jc w:val="center"/>
              <w:rPr>
                <w:lang w:val="en-AU" w:eastAsia="en-US"/>
              </w:rPr>
            </w:pPr>
            <w:r w:rsidRPr="00EF4C2D">
              <w:rPr>
                <w:lang w:val="en-AU" w:eastAsia="en-US"/>
              </w:rPr>
              <w:t>1.80</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8C62E" w14:textId="77777777" w:rsidR="009E5017" w:rsidRPr="00EF4C2D" w:rsidRDefault="009E5017" w:rsidP="000173F7">
            <w:pPr>
              <w:pStyle w:val="KMC16-Tablecontent"/>
              <w:keepNext/>
              <w:keepLines/>
              <w:spacing w:before="0" w:after="0"/>
              <w:jc w:val="center"/>
              <w:rPr>
                <w:lang w:val="en-AU" w:eastAsia="en-US"/>
              </w:rPr>
            </w:pPr>
            <w:r w:rsidRPr="00EF4C2D">
              <w:rPr>
                <w:lang w:val="en-AU" w:eastAsia="en-US"/>
              </w:rPr>
              <w:t>0.54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7ADC1" w14:textId="77777777" w:rsidR="009E5017" w:rsidRPr="00EF4C2D" w:rsidRDefault="009E5017" w:rsidP="000173F7">
            <w:pPr>
              <w:pStyle w:val="KMC16-Tablecontent"/>
              <w:keepNext/>
              <w:keepLines/>
              <w:spacing w:before="0" w:after="0"/>
              <w:jc w:val="center"/>
              <w:rPr>
                <w:lang w:val="en-AU" w:eastAsia="en-US"/>
              </w:rPr>
            </w:pPr>
            <w:r w:rsidRPr="00EF4C2D">
              <w:rPr>
                <w:lang w:val="en-AU" w:eastAsia="en-US"/>
              </w:rPr>
              <w:t>(0.75, 2.85)</w:t>
            </w:r>
          </w:p>
        </w:tc>
        <w:tc>
          <w:tcPr>
            <w:tcW w:w="2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16CD3" w14:textId="77777777" w:rsidR="009E5017" w:rsidRPr="00EF4C2D" w:rsidRDefault="009E5017" w:rsidP="000173F7">
            <w:pPr>
              <w:pStyle w:val="KMC16-Tablecontent"/>
              <w:keepNext/>
              <w:keepLines/>
              <w:spacing w:before="0" w:after="0"/>
              <w:rPr>
                <w:lang w:val="en-AU" w:eastAsia="en-US"/>
              </w:rPr>
            </w:pPr>
            <w:r w:rsidRPr="00EF4C2D">
              <w:rPr>
                <w:lang w:val="en-AU" w:eastAsia="en-US"/>
              </w:rPr>
              <w:t>Patient level data extracted from Fig 4</w:t>
            </w:r>
          </w:p>
        </w:tc>
      </w:tr>
      <w:tr w:rsidR="009E5017" w:rsidRPr="00EF4C2D" w14:paraId="77B7920A" w14:textId="77777777" w:rsidTr="000173F7">
        <w:trPr>
          <w:trHeight w:val="2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DC598" w14:textId="77777777" w:rsidR="009E5017" w:rsidRPr="00EF4C2D" w:rsidRDefault="009E5017" w:rsidP="000173F7">
            <w:pPr>
              <w:pStyle w:val="KMC16-Tablecontent"/>
              <w:keepNext/>
              <w:keepLines/>
              <w:spacing w:before="0" w:after="0"/>
              <w:rPr>
                <w:lang w:val="en-AU" w:eastAsia="en-US"/>
              </w:rPr>
            </w:pPr>
            <w:r w:rsidRPr="00EF4C2D">
              <w:rPr>
                <w:lang w:val="en-AU" w:eastAsia="en-US"/>
              </w:rPr>
              <w:t>Vieyra-Garcia 2019</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25EB6" w14:textId="77777777" w:rsidR="009E5017" w:rsidRPr="00EF4C2D" w:rsidRDefault="009E5017" w:rsidP="000173F7">
            <w:pPr>
              <w:pStyle w:val="KMC16-Tablecontent"/>
              <w:keepNext/>
              <w:keepLines/>
              <w:spacing w:before="0" w:after="0"/>
              <w:jc w:val="center"/>
              <w:rPr>
                <w:lang w:val="en-AU" w:eastAsia="en-US"/>
              </w:rPr>
            </w:pPr>
            <w:r w:rsidRPr="00EF4C2D">
              <w:rPr>
                <w:lang w:val="en-AU" w:eastAsia="en-US"/>
              </w:rPr>
              <w:t>11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86E1F" w14:textId="77777777" w:rsidR="009E5017" w:rsidRPr="00EF4C2D" w:rsidRDefault="009E5017" w:rsidP="000173F7">
            <w:pPr>
              <w:pStyle w:val="KMC16-Tablecontent"/>
              <w:keepNext/>
              <w:keepLines/>
              <w:spacing w:before="0" w:after="0"/>
              <w:jc w:val="center"/>
              <w:rPr>
                <w:lang w:val="en-AU" w:eastAsia="en-US"/>
              </w:rPr>
            </w:pPr>
            <w:r w:rsidRPr="00EF4C2D">
              <w:rPr>
                <w:lang w:val="en-AU" w:eastAsia="en-US"/>
              </w:rPr>
              <w:t>3</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5546F" w14:textId="77777777" w:rsidR="009E5017" w:rsidRPr="00EF4C2D" w:rsidRDefault="009E5017" w:rsidP="000173F7">
            <w:pPr>
              <w:pStyle w:val="KMC16-Tablecontent"/>
              <w:keepNext/>
              <w:keepLines/>
              <w:spacing w:before="0" w:after="0"/>
              <w:jc w:val="center"/>
              <w:rPr>
                <w:lang w:val="en-AU" w:eastAsia="en-US"/>
              </w:rPr>
            </w:pPr>
            <w:r w:rsidRPr="00EF4C2D">
              <w:rPr>
                <w:lang w:val="en-AU" w:eastAsia="en-US"/>
              </w:rPr>
              <w:t>3.29</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4F082" w14:textId="77777777" w:rsidR="009E5017" w:rsidRPr="00EF4C2D" w:rsidRDefault="009E5017" w:rsidP="000173F7">
            <w:pPr>
              <w:pStyle w:val="KMC16-Tablecontent"/>
              <w:keepNext/>
              <w:keepLines/>
              <w:spacing w:before="0" w:after="0"/>
              <w:jc w:val="center"/>
              <w:rPr>
                <w:lang w:val="en-AU" w:eastAsia="en-US"/>
              </w:rPr>
            </w:pPr>
            <w:r w:rsidRPr="00EF4C2D">
              <w:rPr>
                <w:lang w:val="en-AU" w:eastAsia="en-US"/>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B57F6" w14:textId="77777777" w:rsidR="009E5017" w:rsidRPr="00EF4C2D" w:rsidRDefault="009E5017" w:rsidP="000173F7">
            <w:pPr>
              <w:pStyle w:val="KMC16-Tablecontent"/>
              <w:keepNext/>
              <w:keepLines/>
              <w:spacing w:before="0" w:after="0"/>
              <w:jc w:val="center"/>
              <w:rPr>
                <w:lang w:val="en-AU" w:eastAsia="en-US"/>
              </w:rPr>
            </w:pPr>
            <w:r w:rsidRPr="00EF4C2D">
              <w:rPr>
                <w:lang w:val="en-AU" w:eastAsia="en-US"/>
              </w:rPr>
              <w:t>(1.32, 5.25)</w:t>
            </w:r>
          </w:p>
        </w:tc>
        <w:tc>
          <w:tcPr>
            <w:tcW w:w="2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A3CB5" w14:textId="77777777" w:rsidR="009E5017" w:rsidRPr="00EF4C2D" w:rsidRDefault="009E5017" w:rsidP="000173F7">
            <w:pPr>
              <w:pStyle w:val="KMC16-Tablecontent"/>
              <w:keepNext/>
              <w:keepLines/>
              <w:spacing w:before="0" w:after="0"/>
              <w:rPr>
                <w:lang w:val="en-AU" w:eastAsia="en-US"/>
              </w:rPr>
            </w:pPr>
            <w:r w:rsidRPr="00EF4C2D">
              <w:rPr>
                <w:lang w:val="en-AU" w:eastAsia="en-US"/>
              </w:rPr>
              <w:t>Patient Level data extracted from Fig 3B, actually 8 non-responders but reduced to 3 (+8 =11) to best approximate the actual rate of non-response of 8/27</w:t>
            </w:r>
          </w:p>
        </w:tc>
      </w:tr>
      <w:tr w:rsidR="009E5017" w:rsidRPr="00EF4C2D" w14:paraId="3AC61890" w14:textId="77777777" w:rsidTr="000173F7">
        <w:trPr>
          <w:trHeight w:val="20"/>
        </w:trPr>
        <w:tc>
          <w:tcPr>
            <w:tcW w:w="32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A82DE" w14:textId="77777777" w:rsidR="009E5017" w:rsidRPr="00EF4C2D" w:rsidRDefault="009E5017" w:rsidP="000173F7">
            <w:pPr>
              <w:pStyle w:val="KMC16-Tablecontent"/>
              <w:keepNext/>
              <w:keepLines/>
              <w:spacing w:before="0" w:after="0"/>
              <w:rPr>
                <w:b/>
                <w:lang w:val="en-AU" w:eastAsia="en-US"/>
              </w:rPr>
            </w:pPr>
            <w:r w:rsidRPr="00EF4C2D">
              <w:rPr>
                <w:b/>
                <w:lang w:val="en-AU" w:eastAsia="en-US"/>
              </w:rPr>
              <w:t>Combined</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B5498" w14:textId="77777777" w:rsidR="009E5017" w:rsidRPr="00EF4C2D" w:rsidRDefault="009E5017" w:rsidP="000173F7">
            <w:pPr>
              <w:pStyle w:val="KMC16-Tablecontent"/>
              <w:keepNext/>
              <w:keepLines/>
              <w:spacing w:before="0" w:after="0"/>
              <w:jc w:val="center"/>
              <w:rPr>
                <w:b/>
                <w:lang w:val="en-AU" w:eastAsia="en-US"/>
              </w:rPr>
            </w:pPr>
            <w:r w:rsidRPr="00EF4C2D">
              <w:rPr>
                <w:b/>
                <w:lang w:val="en-AU" w:eastAsia="en-US"/>
              </w:rPr>
              <w:t>4.01</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90BCE" w14:textId="77777777" w:rsidR="009E5017" w:rsidRPr="00EF4C2D" w:rsidRDefault="009E5017" w:rsidP="000173F7">
            <w:pPr>
              <w:pStyle w:val="KMC16-Tablecontent"/>
              <w:keepNext/>
              <w:keepLines/>
              <w:spacing w:before="0" w:after="0"/>
              <w:jc w:val="center"/>
              <w:rPr>
                <w:b/>
                <w:lang w:val="en-AU" w:eastAsia="en-US"/>
              </w:rPr>
            </w:pPr>
            <w:r w:rsidRPr="00EF4C2D">
              <w:rPr>
                <w:b/>
                <w:lang w:val="en-AU" w:eastAsia="en-US"/>
              </w:rPr>
              <w:t>1.62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6CDB5" w14:textId="77777777" w:rsidR="009E5017" w:rsidRPr="00EF4C2D" w:rsidRDefault="009E5017" w:rsidP="000173F7">
            <w:pPr>
              <w:pStyle w:val="KMC16-Tablecontent"/>
              <w:keepNext/>
              <w:keepLines/>
              <w:spacing w:before="0" w:after="0"/>
              <w:jc w:val="center"/>
              <w:rPr>
                <w:b/>
                <w:lang w:val="en-AU" w:eastAsia="en-US"/>
              </w:rPr>
            </w:pPr>
            <w:r w:rsidRPr="00EF4C2D">
              <w:rPr>
                <w:b/>
                <w:lang w:val="en-AU" w:eastAsia="en-US"/>
              </w:rPr>
              <w:t>(0.84, 7.18)</w:t>
            </w:r>
          </w:p>
        </w:tc>
        <w:tc>
          <w:tcPr>
            <w:tcW w:w="2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E5380" w14:textId="77777777" w:rsidR="009E5017" w:rsidRPr="00EF4C2D" w:rsidRDefault="009E5017" w:rsidP="000173F7">
            <w:pPr>
              <w:keepNext/>
              <w:keepLines/>
              <w:rPr>
                <w:b/>
                <w:lang w:eastAsia="en-US"/>
              </w:rPr>
            </w:pPr>
          </w:p>
        </w:tc>
      </w:tr>
    </w:tbl>
    <w:p w14:paraId="5CA91598" w14:textId="77777777" w:rsidR="009E5017" w:rsidRPr="00EF4C2D" w:rsidRDefault="009E5017" w:rsidP="00F37439">
      <w:pPr>
        <w:pStyle w:val="ListBullet"/>
        <w:numPr>
          <w:ilvl w:val="0"/>
          <w:numId w:val="0"/>
        </w:numPr>
        <w:ind w:left="360" w:hanging="360"/>
        <w:rPr>
          <w:rStyle w:val="CommentReference"/>
          <w:b w:val="0"/>
          <w:sz w:val="18"/>
          <w:szCs w:val="18"/>
        </w:rPr>
      </w:pPr>
      <w:r w:rsidRPr="00EF4C2D">
        <w:rPr>
          <w:rStyle w:val="CommentReference"/>
          <w:b w:val="0"/>
          <w:sz w:val="18"/>
          <w:szCs w:val="18"/>
        </w:rPr>
        <w:t>Source: Table 2-41 p140 of the submission</w:t>
      </w:r>
    </w:p>
    <w:p w14:paraId="00D5AEE0" w14:textId="285B6519" w:rsidR="009E5017" w:rsidRPr="00BD6A8B" w:rsidRDefault="009E5017" w:rsidP="00BD6A8B">
      <w:pPr>
        <w:pStyle w:val="ListBullet"/>
        <w:numPr>
          <w:ilvl w:val="0"/>
          <w:numId w:val="0"/>
        </w:numPr>
        <w:rPr>
          <w:rStyle w:val="CommentReference"/>
          <w:b w:val="0"/>
          <w:sz w:val="18"/>
          <w:szCs w:val="18"/>
        </w:rPr>
      </w:pPr>
      <w:r w:rsidRPr="00EF4C2D">
        <w:rPr>
          <w:rStyle w:val="CommentReference"/>
          <w:b w:val="0"/>
          <w:sz w:val="18"/>
          <w:szCs w:val="18"/>
        </w:rPr>
        <w:t>CI=confidence interval; CR=complete response; N=total participants in group; rmDOCR=restricted mean duration of complete response;</w:t>
      </w:r>
      <w:r w:rsidR="00F37439">
        <w:rPr>
          <w:rStyle w:val="CommentReference"/>
          <w:b w:val="0"/>
          <w:sz w:val="18"/>
          <w:szCs w:val="18"/>
        </w:rPr>
        <w:t xml:space="preserve"> </w:t>
      </w:r>
      <w:r w:rsidRPr="005C30A5">
        <w:rPr>
          <w:rStyle w:val="CommentReference"/>
          <w:b w:val="0"/>
          <w:sz w:val="18"/>
          <w:szCs w:val="18"/>
        </w:rPr>
        <w:t xml:space="preserve">SE=standard error. </w:t>
      </w:r>
      <w:r w:rsidRPr="005C30A5">
        <w:rPr>
          <w:rStyle w:val="CommentReference"/>
          <w:sz w:val="18"/>
          <w:szCs w:val="18"/>
        </w:rPr>
        <w:t>The results showing restricted mean duration of complete response could not be verified during the evaluation</w:t>
      </w:r>
    </w:p>
    <w:p w14:paraId="6DE81024" w14:textId="77777777" w:rsidR="00FF335B" w:rsidRPr="00FF335B" w:rsidRDefault="00FF335B" w:rsidP="00FF335B"/>
    <w:p w14:paraId="4C944FBC" w14:textId="764BFECA" w:rsidR="00D8137E" w:rsidRPr="00EF4C2D" w:rsidRDefault="00D8137E" w:rsidP="00D8137E">
      <w:pPr>
        <w:pStyle w:val="3-BodyText"/>
        <w:ind w:left="709" w:hanging="709"/>
        <w:rPr>
          <w:color w:val="0066FF"/>
        </w:rPr>
      </w:pPr>
      <w:r w:rsidRPr="00EF4C2D">
        <w:t xml:space="preserve">The submission stated that in Study 201 chlormethine gel achieved a lower initial CR rate, but </w:t>
      </w:r>
      <w:r w:rsidR="001B0D78">
        <w:t xml:space="preserve">CR was generally </w:t>
      </w:r>
      <w:r w:rsidRPr="00EF4C2D">
        <w:t>maint</w:t>
      </w:r>
      <w:r w:rsidR="00462A91">
        <w:t>ain</w:t>
      </w:r>
      <w:r w:rsidRPr="00EF4C2D">
        <w:t>e</w:t>
      </w:r>
      <w:r w:rsidR="001B0D78">
        <w:t>d</w:t>
      </w:r>
      <w:r w:rsidRPr="00EF4C2D">
        <w:t>, whereas the phototherapy studies generally showed initial higher response rates that decline over time (</w:t>
      </w:r>
      <w:r w:rsidRPr="00EF4C2D">
        <w:fldChar w:fldCharType="begin"/>
      </w:r>
      <w:r w:rsidRPr="00EF4C2D">
        <w:instrText xml:space="preserve"> REF _Ref121322878 \h </w:instrText>
      </w:r>
      <w:r w:rsidR="00EF4C2D">
        <w:instrText xml:space="preserve"> \* MERGEFORMAT </w:instrText>
      </w:r>
      <w:r w:rsidRPr="00EF4C2D">
        <w:fldChar w:fldCharType="separate"/>
      </w:r>
      <w:r w:rsidR="00FD5578" w:rsidRPr="00EF4C2D">
        <w:t xml:space="preserve">Figure </w:t>
      </w:r>
      <w:r w:rsidR="00FD5578">
        <w:rPr>
          <w:noProof/>
        </w:rPr>
        <w:t>4</w:t>
      </w:r>
      <w:r w:rsidRPr="00EF4C2D">
        <w:fldChar w:fldCharType="end"/>
      </w:r>
      <w:r w:rsidRPr="00EF4C2D">
        <w:t xml:space="preserve">). </w:t>
      </w:r>
      <w:r w:rsidRPr="0096381E">
        <w:t>The submission’s conclusion was not supported by the data in the plot which showed the curve for Study 201 to be consistent with that from Whittaker 2012 and Vieyra-Garcia 2019 from approximately 4 months, all of which were well below that of El-Mofty 2012</w:t>
      </w:r>
      <w:r w:rsidRPr="0096381E">
        <w:rPr>
          <w:snapToGrid/>
          <w:lang w:val="en-US"/>
        </w:rPr>
        <w:t xml:space="preserve">. </w:t>
      </w:r>
    </w:p>
    <w:p w14:paraId="70C3B3E3" w14:textId="398A8B6B" w:rsidR="00D8137E" w:rsidRPr="00EF4C2D" w:rsidRDefault="00D8137E" w:rsidP="00D8137E">
      <w:pPr>
        <w:pStyle w:val="Caption"/>
        <w:rPr>
          <w:snapToGrid w:val="0"/>
          <w:color w:val="0066FF"/>
        </w:rPr>
      </w:pPr>
      <w:bookmarkStart w:id="52" w:name="_Ref121322878"/>
      <w:r w:rsidRPr="00EF4C2D">
        <w:t xml:space="preserve">Figure </w:t>
      </w:r>
      <w:r w:rsidR="00FD5578">
        <w:fldChar w:fldCharType="begin"/>
      </w:r>
      <w:r w:rsidR="00FD5578">
        <w:instrText xml:space="preserve"> SEQ Figure \* ARABIC </w:instrText>
      </w:r>
      <w:r w:rsidR="00FD5578">
        <w:fldChar w:fldCharType="separate"/>
      </w:r>
      <w:r w:rsidR="00FD5578">
        <w:rPr>
          <w:noProof/>
        </w:rPr>
        <w:t>4</w:t>
      </w:r>
      <w:r w:rsidR="00FD5578">
        <w:rPr>
          <w:noProof/>
        </w:rPr>
        <w:fldChar w:fldCharType="end"/>
      </w:r>
      <w:bookmarkEnd w:id="52"/>
      <w:r w:rsidRPr="00EF4C2D">
        <w:t>: KM curves for rmDOCR for chlormethine gel and phototherapy studies</w:t>
      </w:r>
    </w:p>
    <w:p w14:paraId="1ED90E71" w14:textId="77777777" w:rsidR="00D8137E" w:rsidRPr="00EF4C2D" w:rsidRDefault="00D8137E" w:rsidP="003B376A">
      <w:pPr>
        <w:pStyle w:val="3-BodyText"/>
        <w:numPr>
          <w:ilvl w:val="0"/>
          <w:numId w:val="0"/>
        </w:numPr>
        <w:spacing w:after="0"/>
        <w:rPr>
          <w:color w:val="0066FF"/>
        </w:rPr>
      </w:pPr>
      <w:r w:rsidRPr="00EF4C2D">
        <w:rPr>
          <w:noProof/>
        </w:rPr>
        <w:drawing>
          <wp:inline distT="0" distB="0" distL="0" distR="0" wp14:anchorId="513D987A" wp14:editId="7B265D0A">
            <wp:extent cx="5732145" cy="2521638"/>
            <wp:effectExtent l="0" t="0" r="1905" b="0"/>
            <wp:docPr id="22" name="Picture 22" descr="Figure 4: KM curves for rmDOCR for chlormethine gel and phototherapy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4: KM curves for rmDOCR for chlormethine gel and phototherapy studi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2145" cy="2521638"/>
                    </a:xfrm>
                    <a:prstGeom prst="rect">
                      <a:avLst/>
                    </a:prstGeom>
                    <a:noFill/>
                    <a:ln>
                      <a:noFill/>
                    </a:ln>
                  </pic:spPr>
                </pic:pic>
              </a:graphicData>
            </a:graphic>
          </wp:inline>
        </w:drawing>
      </w:r>
    </w:p>
    <w:p w14:paraId="080BCC03" w14:textId="77777777" w:rsidR="00D8137E" w:rsidRPr="00EF4C2D" w:rsidRDefault="00D8137E" w:rsidP="003B376A">
      <w:pPr>
        <w:pStyle w:val="KMC16-TFNotes"/>
        <w:spacing w:before="0"/>
        <w:rPr>
          <w:rFonts w:ascii="Arial Narrow" w:hAnsi="Arial Narrow"/>
          <w:sz w:val="18"/>
          <w:szCs w:val="18"/>
        </w:rPr>
      </w:pPr>
      <w:r w:rsidRPr="00EF4C2D">
        <w:rPr>
          <w:rFonts w:ascii="Arial Narrow" w:hAnsi="Arial Narrow"/>
          <w:sz w:val="18"/>
          <w:szCs w:val="18"/>
        </w:rPr>
        <w:t xml:space="preserve">Source: Figure 2-13 p140 of the submission </w:t>
      </w:r>
    </w:p>
    <w:p w14:paraId="479E4317" w14:textId="77777777" w:rsidR="00D8137E" w:rsidRPr="00EF4C2D" w:rsidRDefault="00D8137E" w:rsidP="00D8137E">
      <w:pPr>
        <w:pStyle w:val="KMC16-TFNotes"/>
      </w:pPr>
      <w:r w:rsidRPr="00EF4C2D">
        <w:rPr>
          <w:rFonts w:ascii="Arial Narrow" w:hAnsi="Arial Narrow"/>
          <w:sz w:val="18"/>
          <w:szCs w:val="18"/>
        </w:rPr>
        <w:t>KM=Kaplan-Meier; rmDOCR=restricted mean duration of complete response</w:t>
      </w:r>
    </w:p>
    <w:p w14:paraId="2D8A0361" w14:textId="6CC57573" w:rsidR="00D8137E" w:rsidRPr="00DF296F" w:rsidRDefault="00777673" w:rsidP="005F00D8">
      <w:pPr>
        <w:pStyle w:val="3-BodyText"/>
        <w:ind w:left="709" w:hanging="708"/>
        <w:rPr>
          <w:rFonts w:cstheme="minorHAnsi"/>
          <w:iCs/>
        </w:rPr>
      </w:pPr>
      <w:bookmarkStart w:id="53" w:name="_Ref131433164"/>
      <w:r w:rsidRPr="005F00D8">
        <w:rPr>
          <w:rFonts w:cstheme="minorHAnsi"/>
          <w:iCs/>
        </w:rPr>
        <w:t xml:space="preserve">Health-related quality of life (HRQoL) was not investigated in Study 201. </w:t>
      </w:r>
      <w:r w:rsidRPr="005F00D8" w:rsidDel="00F52DA1">
        <w:rPr>
          <w:rFonts w:cstheme="minorHAnsi"/>
          <w:iCs/>
        </w:rPr>
        <w:t xml:space="preserve">The submission reported HRQoL results from PROVe for chlormethine gel and from a publication arising from the same study as Vieyra-Garcia 2019 (Graier et al. 2020) for phototherapy. </w:t>
      </w:r>
      <w:r w:rsidRPr="0096381E" w:rsidDel="00F52DA1">
        <w:rPr>
          <w:rFonts w:cstheme="minorHAnsi"/>
          <w:iCs/>
        </w:rPr>
        <w:t xml:space="preserve">These studies used different disease-specific instruments for the assessment of quality of life in patients with MF-CTCL (Skindex-28 questionnaire in PROVe and the Dermatology Life Quality Index (DLQI) in Graier et al 2020). Hence the results in Graier 2020 cannot be directly compared with the HRQoL outcomes reported with chlormethine gel in PROVe. The results from Graier 2020 and PROVe did not inform the economic evaluation presented in </w:t>
      </w:r>
      <w:r w:rsidR="00462A91">
        <w:rPr>
          <w:rFonts w:cstheme="minorHAnsi"/>
          <w:iCs/>
        </w:rPr>
        <w:t>the</w:t>
      </w:r>
      <w:r w:rsidRPr="0096381E" w:rsidDel="00F52DA1">
        <w:rPr>
          <w:rFonts w:cstheme="minorHAnsi"/>
          <w:iCs/>
        </w:rPr>
        <w:t xml:space="preserve"> submission.</w:t>
      </w:r>
      <w:r w:rsidR="00DE6983">
        <w:rPr>
          <w:rFonts w:cstheme="minorHAnsi"/>
          <w:iCs/>
        </w:rPr>
        <w:t xml:space="preserve"> </w:t>
      </w:r>
      <w:r w:rsidR="00DE6983" w:rsidRPr="00DF296F">
        <w:rPr>
          <w:rFonts w:cstheme="minorHAnsi"/>
          <w:iCs/>
        </w:rPr>
        <w:t xml:space="preserve">The </w:t>
      </w:r>
      <w:r w:rsidR="00DE6983" w:rsidRPr="00DF296F">
        <w:rPr>
          <w:rFonts w:eastAsia="Calibri"/>
          <w:iCs/>
        </w:rPr>
        <w:t>ESC noted the statements in the PSCR that the submission included the best available data on HRQoL. However, ESC remained concerned about the validity of the HRQoL comparison between chlormethine and phototherapy, given it relied on different questionnaires from single-arm studies.</w:t>
      </w:r>
      <w:bookmarkEnd w:id="53"/>
    </w:p>
    <w:p w14:paraId="6553F970" w14:textId="1F3E4057" w:rsidR="00D8137E" w:rsidRPr="00EF4C2D" w:rsidRDefault="00D8137E" w:rsidP="00D8137E">
      <w:pPr>
        <w:pStyle w:val="4-SubsectionHeading"/>
      </w:pPr>
      <w:bookmarkStart w:id="54" w:name="_Toc22897642"/>
      <w:bookmarkStart w:id="55" w:name="_Toc107927628"/>
      <w:bookmarkStart w:id="56" w:name="_Toc121755821"/>
      <w:r w:rsidRPr="00EF4C2D">
        <w:t>Comparative harms</w:t>
      </w:r>
      <w:bookmarkEnd w:id="54"/>
      <w:bookmarkEnd w:id="55"/>
      <w:bookmarkEnd w:id="56"/>
    </w:p>
    <w:p w14:paraId="6195319A" w14:textId="00F0EF1A" w:rsidR="00D8137E" w:rsidRPr="00EF4C2D" w:rsidRDefault="00D8137E" w:rsidP="00D8137E">
      <w:pPr>
        <w:pStyle w:val="3-BodyText"/>
        <w:ind w:left="709" w:hanging="709"/>
      </w:pPr>
      <w:bookmarkStart w:id="57" w:name="_Hlk104801403"/>
      <w:r w:rsidRPr="00EF4C2D">
        <w:t xml:space="preserve">A summary of the safety outcomes in Study 201 is presented in </w:t>
      </w:r>
      <w:r w:rsidRPr="00EF4C2D">
        <w:fldChar w:fldCharType="begin"/>
      </w:r>
      <w:r w:rsidRPr="00EF4C2D">
        <w:instrText xml:space="preserve"> REF _Ref121323793 \h </w:instrText>
      </w:r>
      <w:r w:rsidR="00EF4C2D">
        <w:instrText xml:space="preserve"> \* MERGEFORMAT </w:instrText>
      </w:r>
      <w:r w:rsidRPr="00EF4C2D">
        <w:fldChar w:fldCharType="separate"/>
      </w:r>
      <w:r w:rsidR="00FD5578" w:rsidRPr="00EF4C2D">
        <w:t xml:space="preserve">Table </w:t>
      </w:r>
      <w:r w:rsidR="00FD5578">
        <w:rPr>
          <w:noProof/>
        </w:rPr>
        <w:t>7</w:t>
      </w:r>
      <w:r w:rsidRPr="00EF4C2D">
        <w:fldChar w:fldCharType="end"/>
      </w:r>
      <w:r w:rsidRPr="00EF4C2D">
        <w:t>. The overall incidence of treatment emergent adverse events (TEAEs) was comparable across treatment groups (21% versus</w:t>
      </w:r>
      <w:r w:rsidR="00DE6983">
        <w:t xml:space="preserve"> </w:t>
      </w:r>
      <w:r w:rsidRPr="00EF4C2D">
        <w:t>17%). The submission concluded that overall, chlormethine gel is generally well tolerated and AEs are manageable by dose interruption, dose reduction and/or standard medical therapy.</w:t>
      </w:r>
      <w:bookmarkEnd w:id="57"/>
    </w:p>
    <w:p w14:paraId="339CBAB6" w14:textId="2121382B" w:rsidR="00D8137E" w:rsidRPr="00EF4C2D" w:rsidRDefault="00D8137E" w:rsidP="00D8137E">
      <w:pPr>
        <w:pStyle w:val="TableFigureHeading"/>
        <w:rPr>
          <w:rStyle w:val="CommentReference"/>
          <w:b/>
        </w:rPr>
      </w:pPr>
      <w:bookmarkStart w:id="58" w:name="_Ref121323793"/>
      <w:r w:rsidRPr="00EF4C2D">
        <w:t xml:space="preserve">Table </w:t>
      </w:r>
      <w:r w:rsidR="00FD5578">
        <w:fldChar w:fldCharType="begin"/>
      </w:r>
      <w:r w:rsidR="00FD5578">
        <w:instrText xml:space="preserve"> SEQ Table \* ARABIC </w:instrText>
      </w:r>
      <w:r w:rsidR="00FD5578">
        <w:fldChar w:fldCharType="separate"/>
      </w:r>
      <w:r w:rsidR="00FD5578">
        <w:rPr>
          <w:noProof/>
        </w:rPr>
        <w:t>7</w:t>
      </w:r>
      <w:r w:rsidR="00FD5578">
        <w:rPr>
          <w:noProof/>
        </w:rPr>
        <w:fldChar w:fldCharType="end"/>
      </w:r>
      <w:bookmarkEnd w:id="58"/>
      <w:r w:rsidRPr="00EF4C2D">
        <w:t xml:space="preserve">: </w:t>
      </w:r>
      <w:r w:rsidRPr="001B0D78">
        <w:rPr>
          <w:rStyle w:val="CommentReference"/>
          <w:b/>
        </w:rPr>
        <w:t>Summary of key adverse events in Study 201 (safety set)</w:t>
      </w:r>
    </w:p>
    <w:tbl>
      <w:tblPr>
        <w:tblW w:w="9015" w:type="dxa"/>
        <w:tblLook w:val="04A0" w:firstRow="1" w:lastRow="0" w:firstColumn="1" w:lastColumn="0" w:noHBand="0" w:noVBand="1"/>
      </w:tblPr>
      <w:tblGrid>
        <w:gridCol w:w="2768"/>
        <w:gridCol w:w="2119"/>
        <w:gridCol w:w="2102"/>
        <w:gridCol w:w="2026"/>
      </w:tblGrid>
      <w:tr w:rsidR="00D8137E" w:rsidRPr="00EF4C2D" w14:paraId="73DB1A0C" w14:textId="77777777" w:rsidTr="007C08EB">
        <w:trPr>
          <w:trHeight w:val="102"/>
        </w:trPr>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3A2D3" w14:textId="77777777" w:rsidR="00D8137E" w:rsidRPr="00EF4C2D" w:rsidRDefault="00D8137E" w:rsidP="007C08EB">
            <w:pPr>
              <w:pStyle w:val="KMC16-Tablecontent"/>
              <w:spacing w:before="0" w:after="0" w:line="257" w:lineRule="auto"/>
              <w:ind w:left="79"/>
              <w:rPr>
                <w:b/>
                <w:lang w:val="en-AU" w:eastAsia="en-US"/>
              </w:rPr>
            </w:pPr>
            <w:r w:rsidRPr="00EF4C2D">
              <w:rPr>
                <w:b/>
                <w:lang w:val="en-AU" w:eastAsia="en-US"/>
              </w:rPr>
              <w:t>AEs, n (%)</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6C7A2FCC" w14:textId="77777777" w:rsidR="00D8137E" w:rsidRPr="00EF4C2D" w:rsidRDefault="00D8137E" w:rsidP="007C08EB">
            <w:pPr>
              <w:pStyle w:val="KMC16-Tablecontent"/>
              <w:spacing w:before="0" w:after="0" w:line="257" w:lineRule="auto"/>
              <w:ind w:left="79"/>
              <w:jc w:val="center"/>
              <w:rPr>
                <w:b/>
                <w:lang w:val="en-AU" w:eastAsia="en-US"/>
              </w:rPr>
            </w:pPr>
            <w:r w:rsidRPr="00EF4C2D">
              <w:rPr>
                <w:b/>
                <w:lang w:val="en-AU" w:eastAsia="en-US"/>
              </w:rPr>
              <w:t>Chlormethine gel (N=128)</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14:paraId="26889953" w14:textId="77777777" w:rsidR="00D8137E" w:rsidRPr="00EF4C2D" w:rsidRDefault="00D8137E" w:rsidP="007C08EB">
            <w:pPr>
              <w:pStyle w:val="KMC16-Tablecontent"/>
              <w:spacing w:before="0" w:after="0" w:line="257" w:lineRule="auto"/>
              <w:ind w:left="79"/>
              <w:jc w:val="center"/>
              <w:rPr>
                <w:b/>
                <w:lang w:val="en-AU" w:eastAsia="en-US"/>
              </w:rPr>
            </w:pPr>
            <w:r w:rsidRPr="00EF4C2D">
              <w:rPr>
                <w:b/>
                <w:lang w:val="en-AU" w:eastAsia="en-US"/>
              </w:rPr>
              <w:t>Chlormethine ointment (N=127)</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ED480" w14:textId="77777777" w:rsidR="00D8137E" w:rsidRPr="00EF4C2D" w:rsidRDefault="00D8137E" w:rsidP="007C08EB">
            <w:pPr>
              <w:pStyle w:val="KMC16-Tablecontent"/>
              <w:spacing w:before="0" w:after="0" w:line="257" w:lineRule="auto"/>
              <w:ind w:left="79"/>
              <w:jc w:val="center"/>
              <w:rPr>
                <w:b/>
                <w:lang w:val="en-AU" w:eastAsia="en-US"/>
              </w:rPr>
            </w:pPr>
            <w:r w:rsidRPr="00EF4C2D">
              <w:rPr>
                <w:b/>
                <w:color w:val="auto"/>
                <w:lang w:val="en-AU" w:eastAsia="en-US"/>
              </w:rPr>
              <w:t>p-value</w:t>
            </w:r>
            <w:r w:rsidRPr="00EF4C2D">
              <w:rPr>
                <w:b/>
                <w:color w:val="auto"/>
                <w:vertAlign w:val="superscript"/>
                <w:lang w:val="en-AU" w:eastAsia="en-US"/>
              </w:rPr>
              <w:t>a</w:t>
            </w:r>
          </w:p>
        </w:tc>
      </w:tr>
      <w:tr w:rsidR="00D8137E" w:rsidRPr="00EF4C2D" w14:paraId="3ABE69A1" w14:textId="77777777" w:rsidTr="007C08EB">
        <w:trPr>
          <w:trHeight w:val="102"/>
        </w:trPr>
        <w:tc>
          <w:tcPr>
            <w:tcW w:w="2768" w:type="dxa"/>
            <w:tcBorders>
              <w:top w:val="nil"/>
              <w:left w:val="single" w:sz="4" w:space="0" w:color="auto"/>
              <w:bottom w:val="single" w:sz="4" w:space="0" w:color="auto"/>
              <w:right w:val="single" w:sz="4" w:space="0" w:color="auto"/>
            </w:tcBorders>
            <w:shd w:val="clear" w:color="auto" w:fill="auto"/>
            <w:vAlign w:val="center"/>
            <w:hideMark/>
          </w:tcPr>
          <w:p w14:paraId="37833F9D" w14:textId="77777777" w:rsidR="00D8137E" w:rsidRPr="00EF4C2D" w:rsidRDefault="00D8137E" w:rsidP="007C08EB">
            <w:pPr>
              <w:pStyle w:val="KMC16-Tablecontent"/>
              <w:spacing w:before="0" w:after="0" w:line="257" w:lineRule="auto"/>
              <w:ind w:left="79"/>
              <w:rPr>
                <w:color w:val="auto"/>
                <w:lang w:val="en-AU" w:eastAsia="en-US"/>
              </w:rPr>
            </w:pPr>
            <w:r w:rsidRPr="00EF4C2D">
              <w:rPr>
                <w:color w:val="auto"/>
                <w:lang w:val="en-AU" w:eastAsia="en-US"/>
              </w:rPr>
              <w:t>AEs</w:t>
            </w:r>
          </w:p>
        </w:tc>
        <w:tc>
          <w:tcPr>
            <w:tcW w:w="2119" w:type="dxa"/>
            <w:tcBorders>
              <w:top w:val="nil"/>
              <w:left w:val="nil"/>
              <w:bottom w:val="single" w:sz="4" w:space="0" w:color="auto"/>
              <w:right w:val="single" w:sz="4" w:space="0" w:color="auto"/>
            </w:tcBorders>
            <w:shd w:val="clear" w:color="auto" w:fill="auto"/>
            <w:vAlign w:val="center"/>
            <w:hideMark/>
          </w:tcPr>
          <w:p w14:paraId="412C2A40" w14:textId="77777777" w:rsidR="00D8137E" w:rsidRPr="00EF4C2D" w:rsidRDefault="00D8137E" w:rsidP="007C08EB">
            <w:pPr>
              <w:pStyle w:val="KMC16-Tablecontent"/>
              <w:spacing w:before="0" w:after="0" w:line="257" w:lineRule="auto"/>
              <w:ind w:left="79"/>
              <w:jc w:val="center"/>
              <w:rPr>
                <w:color w:val="auto"/>
                <w:lang w:val="en-AU" w:eastAsia="en-US"/>
              </w:rPr>
            </w:pPr>
            <w:r w:rsidRPr="00EF4C2D">
              <w:rPr>
                <w:lang w:val="en-AU" w:eastAsia="en-US"/>
              </w:rPr>
              <w:t>108 (84.4)</w:t>
            </w:r>
          </w:p>
        </w:tc>
        <w:tc>
          <w:tcPr>
            <w:tcW w:w="2102" w:type="dxa"/>
            <w:tcBorders>
              <w:top w:val="nil"/>
              <w:left w:val="nil"/>
              <w:bottom w:val="single" w:sz="4" w:space="0" w:color="auto"/>
              <w:right w:val="single" w:sz="4" w:space="0" w:color="auto"/>
            </w:tcBorders>
            <w:shd w:val="clear" w:color="auto" w:fill="auto"/>
            <w:vAlign w:val="center"/>
            <w:hideMark/>
          </w:tcPr>
          <w:p w14:paraId="565DA646" w14:textId="77777777" w:rsidR="00D8137E" w:rsidRPr="00EF4C2D" w:rsidRDefault="00D8137E" w:rsidP="007C08EB">
            <w:pPr>
              <w:pStyle w:val="KMC16-Tablecontent"/>
              <w:spacing w:before="0" w:after="0" w:line="257" w:lineRule="auto"/>
              <w:ind w:left="79"/>
              <w:jc w:val="center"/>
              <w:rPr>
                <w:lang w:val="en-AU" w:eastAsia="en-US"/>
              </w:rPr>
            </w:pPr>
            <w:r w:rsidRPr="00EF4C2D">
              <w:rPr>
                <w:lang w:val="en-AU" w:eastAsia="en-US"/>
              </w:rPr>
              <w:t>115 (90.6)</w:t>
            </w:r>
          </w:p>
        </w:tc>
        <w:tc>
          <w:tcPr>
            <w:tcW w:w="2026" w:type="dxa"/>
            <w:tcBorders>
              <w:top w:val="nil"/>
              <w:left w:val="nil"/>
              <w:bottom w:val="single" w:sz="4" w:space="0" w:color="auto"/>
              <w:right w:val="single" w:sz="4" w:space="0" w:color="auto"/>
            </w:tcBorders>
            <w:shd w:val="clear" w:color="auto" w:fill="auto"/>
            <w:vAlign w:val="center"/>
            <w:hideMark/>
          </w:tcPr>
          <w:p w14:paraId="61C0C124" w14:textId="77777777" w:rsidR="00D8137E" w:rsidRPr="00EF4C2D" w:rsidRDefault="00D8137E" w:rsidP="007C08EB">
            <w:pPr>
              <w:pStyle w:val="KMC16-Tablecontent"/>
              <w:spacing w:before="0" w:after="0" w:line="257" w:lineRule="auto"/>
              <w:ind w:left="79"/>
              <w:jc w:val="center"/>
              <w:rPr>
                <w:lang w:val="en-AU" w:eastAsia="en-US"/>
              </w:rPr>
            </w:pPr>
            <w:r w:rsidRPr="00EF4C2D">
              <w:rPr>
                <w:lang w:val="en-AU" w:eastAsia="en-US"/>
              </w:rPr>
              <w:t>0.19</w:t>
            </w:r>
          </w:p>
        </w:tc>
      </w:tr>
      <w:tr w:rsidR="00D8137E" w:rsidRPr="00EF4C2D" w14:paraId="70EE554F" w14:textId="77777777" w:rsidTr="007C08EB">
        <w:trPr>
          <w:trHeight w:val="102"/>
        </w:trPr>
        <w:tc>
          <w:tcPr>
            <w:tcW w:w="2768" w:type="dxa"/>
            <w:tcBorders>
              <w:top w:val="nil"/>
              <w:left w:val="single" w:sz="4" w:space="0" w:color="auto"/>
              <w:bottom w:val="single" w:sz="4" w:space="0" w:color="auto"/>
              <w:right w:val="single" w:sz="4" w:space="0" w:color="auto"/>
            </w:tcBorders>
            <w:shd w:val="clear" w:color="auto" w:fill="auto"/>
            <w:vAlign w:val="center"/>
            <w:hideMark/>
          </w:tcPr>
          <w:p w14:paraId="35E72061" w14:textId="77777777" w:rsidR="00D8137E" w:rsidRPr="00EF4C2D" w:rsidRDefault="00D8137E" w:rsidP="007C08EB">
            <w:pPr>
              <w:pStyle w:val="KMC16-Tablecontent"/>
              <w:spacing w:before="0" w:after="0" w:line="257" w:lineRule="auto"/>
              <w:ind w:left="79"/>
              <w:rPr>
                <w:color w:val="auto"/>
                <w:lang w:val="en-AU" w:eastAsia="en-US"/>
              </w:rPr>
            </w:pPr>
            <w:r w:rsidRPr="00EF4C2D">
              <w:rPr>
                <w:color w:val="auto"/>
                <w:lang w:val="en-AU" w:eastAsia="en-US"/>
              </w:rPr>
              <w:t>Drug-related AEs</w:t>
            </w:r>
            <w:r w:rsidRPr="00EF4C2D">
              <w:rPr>
                <w:color w:val="auto"/>
                <w:vertAlign w:val="superscript"/>
                <w:lang w:val="en-AU" w:eastAsia="en-US"/>
              </w:rPr>
              <w:t>b</w:t>
            </w:r>
          </w:p>
        </w:tc>
        <w:tc>
          <w:tcPr>
            <w:tcW w:w="2119" w:type="dxa"/>
            <w:tcBorders>
              <w:top w:val="nil"/>
              <w:left w:val="nil"/>
              <w:bottom w:val="single" w:sz="4" w:space="0" w:color="auto"/>
              <w:right w:val="single" w:sz="4" w:space="0" w:color="auto"/>
            </w:tcBorders>
            <w:shd w:val="clear" w:color="auto" w:fill="auto"/>
            <w:vAlign w:val="center"/>
            <w:hideMark/>
          </w:tcPr>
          <w:p w14:paraId="7ED1E960" w14:textId="77777777" w:rsidR="00D8137E" w:rsidRPr="00EF4C2D" w:rsidRDefault="00D8137E" w:rsidP="007C08EB">
            <w:pPr>
              <w:pStyle w:val="KMC16-Tablecontent"/>
              <w:spacing w:before="0" w:after="0" w:line="257" w:lineRule="auto"/>
              <w:ind w:left="79"/>
              <w:jc w:val="center"/>
              <w:rPr>
                <w:color w:val="auto"/>
                <w:lang w:val="en-AU" w:eastAsia="en-US"/>
              </w:rPr>
            </w:pPr>
            <w:r w:rsidRPr="00EF4C2D">
              <w:rPr>
                <w:lang w:val="en-AU" w:eastAsia="en-US"/>
              </w:rPr>
              <w:t>79 (61.7)</w:t>
            </w:r>
          </w:p>
        </w:tc>
        <w:tc>
          <w:tcPr>
            <w:tcW w:w="2102" w:type="dxa"/>
            <w:tcBorders>
              <w:top w:val="nil"/>
              <w:left w:val="nil"/>
              <w:bottom w:val="single" w:sz="4" w:space="0" w:color="auto"/>
              <w:right w:val="single" w:sz="4" w:space="0" w:color="auto"/>
            </w:tcBorders>
            <w:shd w:val="clear" w:color="auto" w:fill="auto"/>
            <w:vAlign w:val="center"/>
            <w:hideMark/>
          </w:tcPr>
          <w:p w14:paraId="55F2F44C" w14:textId="77777777" w:rsidR="00D8137E" w:rsidRPr="00EF4C2D" w:rsidRDefault="00D8137E" w:rsidP="007C08EB">
            <w:pPr>
              <w:pStyle w:val="KMC16-Tablecontent"/>
              <w:spacing w:before="0" w:after="0" w:line="257" w:lineRule="auto"/>
              <w:ind w:left="79"/>
              <w:jc w:val="center"/>
              <w:rPr>
                <w:lang w:val="en-AU" w:eastAsia="en-US"/>
              </w:rPr>
            </w:pPr>
            <w:r w:rsidRPr="00EF4C2D">
              <w:rPr>
                <w:lang w:val="en-AU" w:eastAsia="en-US"/>
              </w:rPr>
              <w:t>64 (50.4)</w:t>
            </w:r>
          </w:p>
        </w:tc>
        <w:tc>
          <w:tcPr>
            <w:tcW w:w="2026" w:type="dxa"/>
            <w:tcBorders>
              <w:top w:val="nil"/>
              <w:left w:val="nil"/>
              <w:bottom w:val="single" w:sz="4" w:space="0" w:color="auto"/>
              <w:right w:val="single" w:sz="4" w:space="0" w:color="auto"/>
            </w:tcBorders>
            <w:shd w:val="clear" w:color="auto" w:fill="auto"/>
            <w:vAlign w:val="center"/>
            <w:hideMark/>
          </w:tcPr>
          <w:p w14:paraId="6492DB27" w14:textId="77777777" w:rsidR="00D8137E" w:rsidRPr="00EF4C2D" w:rsidRDefault="00D8137E" w:rsidP="007C08EB">
            <w:pPr>
              <w:pStyle w:val="KMC16-Tablecontent"/>
              <w:spacing w:before="0" w:after="0" w:line="257" w:lineRule="auto"/>
              <w:ind w:left="79"/>
              <w:jc w:val="center"/>
              <w:rPr>
                <w:lang w:val="en-AU" w:eastAsia="en-US"/>
              </w:rPr>
            </w:pPr>
            <w:r w:rsidRPr="00EF4C2D">
              <w:rPr>
                <w:lang w:val="en-AU" w:eastAsia="en-US"/>
              </w:rPr>
              <w:t>0.08</w:t>
            </w:r>
          </w:p>
        </w:tc>
      </w:tr>
      <w:tr w:rsidR="00D8137E" w:rsidRPr="00EF4C2D" w14:paraId="3E073800" w14:textId="77777777" w:rsidTr="007C08EB">
        <w:trPr>
          <w:trHeight w:val="102"/>
        </w:trPr>
        <w:tc>
          <w:tcPr>
            <w:tcW w:w="2768" w:type="dxa"/>
            <w:tcBorders>
              <w:top w:val="nil"/>
              <w:left w:val="single" w:sz="4" w:space="0" w:color="auto"/>
              <w:bottom w:val="single" w:sz="4" w:space="0" w:color="auto"/>
              <w:right w:val="single" w:sz="4" w:space="0" w:color="auto"/>
            </w:tcBorders>
            <w:shd w:val="clear" w:color="auto" w:fill="auto"/>
            <w:vAlign w:val="center"/>
          </w:tcPr>
          <w:p w14:paraId="024BB85B" w14:textId="77777777" w:rsidR="00D8137E" w:rsidRPr="00EF4C2D" w:rsidRDefault="00D8137E" w:rsidP="007C08EB">
            <w:pPr>
              <w:pStyle w:val="KMC16-Tablecontent"/>
              <w:spacing w:before="0" w:after="0" w:line="257" w:lineRule="auto"/>
              <w:ind w:left="79"/>
              <w:rPr>
                <w:color w:val="auto"/>
                <w:lang w:val="en-AU" w:eastAsia="en-US"/>
              </w:rPr>
            </w:pPr>
            <w:r w:rsidRPr="00EF4C2D">
              <w:rPr>
                <w:color w:val="auto"/>
                <w:lang w:val="en-AU" w:eastAsia="en-US"/>
              </w:rPr>
              <w:t>Grade 3-4 drug-related AEs</w:t>
            </w:r>
          </w:p>
        </w:tc>
        <w:tc>
          <w:tcPr>
            <w:tcW w:w="2119" w:type="dxa"/>
            <w:tcBorders>
              <w:top w:val="nil"/>
              <w:left w:val="nil"/>
              <w:bottom w:val="single" w:sz="4" w:space="0" w:color="auto"/>
              <w:right w:val="single" w:sz="4" w:space="0" w:color="auto"/>
            </w:tcBorders>
            <w:shd w:val="clear" w:color="auto" w:fill="auto"/>
            <w:vAlign w:val="center"/>
          </w:tcPr>
          <w:p w14:paraId="2DEC29E4" w14:textId="77777777" w:rsidR="00D8137E" w:rsidRPr="00EF4C2D" w:rsidRDefault="00D8137E" w:rsidP="007C08EB">
            <w:pPr>
              <w:pStyle w:val="KMC16-Tablecontent"/>
              <w:spacing w:before="0" w:after="0" w:line="257" w:lineRule="auto"/>
              <w:ind w:left="79"/>
              <w:jc w:val="center"/>
              <w:rPr>
                <w:lang w:val="en-AU" w:eastAsia="en-US"/>
              </w:rPr>
            </w:pPr>
            <w:r w:rsidRPr="00EF4C2D">
              <w:rPr>
                <w:lang w:val="en-AU" w:eastAsia="en-US"/>
              </w:rPr>
              <w:t>36 (28.1)</w:t>
            </w:r>
          </w:p>
        </w:tc>
        <w:tc>
          <w:tcPr>
            <w:tcW w:w="2102" w:type="dxa"/>
            <w:tcBorders>
              <w:top w:val="nil"/>
              <w:left w:val="nil"/>
              <w:bottom w:val="single" w:sz="4" w:space="0" w:color="auto"/>
              <w:right w:val="single" w:sz="4" w:space="0" w:color="auto"/>
            </w:tcBorders>
            <w:shd w:val="clear" w:color="auto" w:fill="auto"/>
            <w:vAlign w:val="center"/>
          </w:tcPr>
          <w:p w14:paraId="580FD776" w14:textId="77777777" w:rsidR="00D8137E" w:rsidRPr="00EF4C2D" w:rsidRDefault="00D8137E" w:rsidP="007C08EB">
            <w:pPr>
              <w:pStyle w:val="KMC16-Tablecontent"/>
              <w:spacing w:before="0" w:after="0" w:line="257" w:lineRule="auto"/>
              <w:ind w:left="79"/>
              <w:jc w:val="center"/>
              <w:rPr>
                <w:lang w:val="en-AU" w:eastAsia="en-US"/>
              </w:rPr>
            </w:pPr>
            <w:r w:rsidRPr="00EF4C2D">
              <w:rPr>
                <w:lang w:val="en-AU" w:eastAsia="en-US"/>
              </w:rPr>
              <w:t>22 (17.3)</w:t>
            </w:r>
          </w:p>
        </w:tc>
        <w:tc>
          <w:tcPr>
            <w:tcW w:w="2026" w:type="dxa"/>
            <w:tcBorders>
              <w:top w:val="nil"/>
              <w:left w:val="nil"/>
              <w:bottom w:val="single" w:sz="4" w:space="0" w:color="auto"/>
              <w:right w:val="single" w:sz="4" w:space="0" w:color="auto"/>
            </w:tcBorders>
            <w:shd w:val="clear" w:color="auto" w:fill="auto"/>
            <w:vAlign w:val="center"/>
          </w:tcPr>
          <w:p w14:paraId="72C9AD38" w14:textId="77777777" w:rsidR="00D8137E" w:rsidRPr="00EF4C2D" w:rsidRDefault="00D8137E" w:rsidP="007C08EB">
            <w:pPr>
              <w:pStyle w:val="KMC16-Tablecontent"/>
              <w:spacing w:before="0" w:after="0" w:line="257" w:lineRule="auto"/>
              <w:ind w:left="79"/>
              <w:jc w:val="center"/>
              <w:rPr>
                <w:lang w:val="en-AU" w:eastAsia="en-US"/>
              </w:rPr>
            </w:pPr>
            <w:r w:rsidRPr="00EF4C2D">
              <w:rPr>
                <w:lang w:val="en-AU" w:eastAsia="en-US"/>
              </w:rPr>
              <w:t>0.05</w:t>
            </w:r>
          </w:p>
        </w:tc>
      </w:tr>
      <w:tr w:rsidR="00D8137E" w:rsidRPr="00EF4C2D" w14:paraId="157C400F" w14:textId="77777777" w:rsidTr="007C08EB">
        <w:trPr>
          <w:trHeight w:val="102"/>
        </w:trPr>
        <w:tc>
          <w:tcPr>
            <w:tcW w:w="2768" w:type="dxa"/>
            <w:tcBorders>
              <w:top w:val="nil"/>
              <w:left w:val="single" w:sz="4" w:space="0" w:color="auto"/>
              <w:bottom w:val="single" w:sz="4" w:space="0" w:color="auto"/>
              <w:right w:val="single" w:sz="4" w:space="0" w:color="auto"/>
            </w:tcBorders>
            <w:shd w:val="clear" w:color="auto" w:fill="auto"/>
            <w:vAlign w:val="center"/>
            <w:hideMark/>
          </w:tcPr>
          <w:p w14:paraId="35FC3F2D" w14:textId="77777777" w:rsidR="00D8137E" w:rsidRPr="00EF4C2D" w:rsidRDefault="00D8137E" w:rsidP="007C08EB">
            <w:pPr>
              <w:pStyle w:val="KMC16-Tablecontent"/>
              <w:spacing w:before="0" w:after="0" w:line="257" w:lineRule="auto"/>
              <w:ind w:left="79"/>
              <w:rPr>
                <w:color w:val="auto"/>
                <w:lang w:val="en-AU" w:eastAsia="en-US"/>
              </w:rPr>
            </w:pPr>
            <w:r w:rsidRPr="00EF4C2D">
              <w:rPr>
                <w:color w:val="auto"/>
                <w:lang w:val="en-AU" w:eastAsia="en-US"/>
              </w:rPr>
              <w:t>SAEs</w:t>
            </w:r>
            <w:r w:rsidRPr="00EF4C2D">
              <w:rPr>
                <w:color w:val="auto"/>
                <w:vertAlign w:val="superscript"/>
                <w:lang w:val="en-AU" w:eastAsia="en-US"/>
              </w:rPr>
              <w:t>c</w:t>
            </w:r>
          </w:p>
        </w:tc>
        <w:tc>
          <w:tcPr>
            <w:tcW w:w="2119" w:type="dxa"/>
            <w:tcBorders>
              <w:top w:val="nil"/>
              <w:left w:val="nil"/>
              <w:bottom w:val="single" w:sz="4" w:space="0" w:color="auto"/>
              <w:right w:val="single" w:sz="4" w:space="0" w:color="auto"/>
            </w:tcBorders>
            <w:shd w:val="clear" w:color="auto" w:fill="auto"/>
            <w:vAlign w:val="center"/>
            <w:hideMark/>
          </w:tcPr>
          <w:p w14:paraId="29107FC2" w14:textId="77777777" w:rsidR="00D8137E" w:rsidRPr="00EF4C2D" w:rsidRDefault="00D8137E" w:rsidP="007C08EB">
            <w:pPr>
              <w:pStyle w:val="KMC16-Tablecontent"/>
              <w:spacing w:before="0" w:after="0" w:line="257" w:lineRule="auto"/>
              <w:ind w:left="79"/>
              <w:jc w:val="center"/>
              <w:rPr>
                <w:color w:val="auto"/>
                <w:lang w:val="en-AU" w:eastAsia="en-US"/>
              </w:rPr>
            </w:pPr>
            <w:r w:rsidRPr="00EF4C2D">
              <w:rPr>
                <w:lang w:val="en-AU" w:eastAsia="en-US"/>
              </w:rPr>
              <w:t>14 (10.9)</w:t>
            </w:r>
          </w:p>
        </w:tc>
        <w:tc>
          <w:tcPr>
            <w:tcW w:w="2102" w:type="dxa"/>
            <w:tcBorders>
              <w:top w:val="nil"/>
              <w:left w:val="nil"/>
              <w:bottom w:val="single" w:sz="4" w:space="0" w:color="auto"/>
              <w:right w:val="single" w:sz="4" w:space="0" w:color="auto"/>
            </w:tcBorders>
            <w:shd w:val="clear" w:color="auto" w:fill="auto"/>
            <w:vAlign w:val="center"/>
            <w:hideMark/>
          </w:tcPr>
          <w:p w14:paraId="79020A38" w14:textId="77777777" w:rsidR="00D8137E" w:rsidRPr="00EF4C2D" w:rsidRDefault="00D8137E" w:rsidP="007C08EB">
            <w:pPr>
              <w:pStyle w:val="KMC16-Tablecontent"/>
              <w:spacing w:before="0" w:after="0" w:line="257" w:lineRule="auto"/>
              <w:ind w:left="79"/>
              <w:jc w:val="center"/>
              <w:rPr>
                <w:lang w:val="en-AU" w:eastAsia="en-US"/>
              </w:rPr>
            </w:pPr>
            <w:r w:rsidRPr="00EF4C2D">
              <w:rPr>
                <w:lang w:val="en-AU" w:eastAsia="en-US"/>
              </w:rPr>
              <w:t>11 (8.7)</w:t>
            </w:r>
          </w:p>
        </w:tc>
        <w:tc>
          <w:tcPr>
            <w:tcW w:w="2026" w:type="dxa"/>
            <w:tcBorders>
              <w:top w:val="nil"/>
              <w:left w:val="nil"/>
              <w:bottom w:val="single" w:sz="4" w:space="0" w:color="auto"/>
              <w:right w:val="single" w:sz="4" w:space="0" w:color="auto"/>
            </w:tcBorders>
            <w:shd w:val="clear" w:color="auto" w:fill="auto"/>
            <w:vAlign w:val="center"/>
            <w:hideMark/>
          </w:tcPr>
          <w:p w14:paraId="5E4EF0E4" w14:textId="77777777" w:rsidR="00D8137E" w:rsidRPr="00EF4C2D" w:rsidRDefault="00D8137E" w:rsidP="007C08EB">
            <w:pPr>
              <w:pStyle w:val="KMC16-Tablecontent"/>
              <w:spacing w:before="0" w:after="0" w:line="257" w:lineRule="auto"/>
              <w:ind w:left="79"/>
              <w:jc w:val="center"/>
              <w:rPr>
                <w:lang w:val="en-AU" w:eastAsia="en-US"/>
              </w:rPr>
            </w:pPr>
            <w:r w:rsidRPr="00EF4C2D">
              <w:rPr>
                <w:lang w:val="en-AU" w:eastAsia="en-US"/>
              </w:rPr>
              <w:t>0.67</w:t>
            </w:r>
          </w:p>
        </w:tc>
      </w:tr>
      <w:tr w:rsidR="00D8137E" w:rsidRPr="00EF4C2D" w14:paraId="2BF80518" w14:textId="77777777" w:rsidTr="007C08EB">
        <w:trPr>
          <w:trHeight w:val="102"/>
        </w:trPr>
        <w:tc>
          <w:tcPr>
            <w:tcW w:w="2768" w:type="dxa"/>
            <w:tcBorders>
              <w:top w:val="nil"/>
              <w:left w:val="single" w:sz="4" w:space="0" w:color="auto"/>
              <w:bottom w:val="single" w:sz="4" w:space="0" w:color="auto"/>
              <w:right w:val="single" w:sz="4" w:space="0" w:color="auto"/>
            </w:tcBorders>
            <w:shd w:val="clear" w:color="auto" w:fill="auto"/>
            <w:vAlign w:val="center"/>
            <w:hideMark/>
          </w:tcPr>
          <w:p w14:paraId="5AB24222" w14:textId="77777777" w:rsidR="00D8137E" w:rsidRPr="00EF4C2D" w:rsidRDefault="00D8137E" w:rsidP="007C08EB">
            <w:pPr>
              <w:pStyle w:val="KMC16-Tablecontent"/>
              <w:spacing w:before="0" w:after="0" w:line="257" w:lineRule="auto"/>
              <w:ind w:left="79"/>
              <w:rPr>
                <w:color w:val="auto"/>
                <w:lang w:val="en-AU" w:eastAsia="en-US"/>
              </w:rPr>
            </w:pPr>
            <w:r w:rsidRPr="00EF4C2D">
              <w:rPr>
                <w:color w:val="auto"/>
                <w:lang w:val="en-AU" w:eastAsia="en-US"/>
              </w:rPr>
              <w:t>Discontinuation due to AEs</w:t>
            </w:r>
            <w:r w:rsidRPr="00EF4C2D">
              <w:rPr>
                <w:color w:val="auto"/>
                <w:vertAlign w:val="superscript"/>
                <w:lang w:val="en-AU" w:eastAsia="en-US"/>
              </w:rPr>
              <w:t>d</w:t>
            </w:r>
          </w:p>
        </w:tc>
        <w:tc>
          <w:tcPr>
            <w:tcW w:w="2119" w:type="dxa"/>
            <w:tcBorders>
              <w:top w:val="nil"/>
              <w:left w:val="nil"/>
              <w:bottom w:val="single" w:sz="4" w:space="0" w:color="auto"/>
              <w:right w:val="single" w:sz="4" w:space="0" w:color="auto"/>
            </w:tcBorders>
            <w:shd w:val="clear" w:color="auto" w:fill="auto"/>
            <w:vAlign w:val="center"/>
            <w:hideMark/>
          </w:tcPr>
          <w:p w14:paraId="03A00585" w14:textId="77777777" w:rsidR="00D8137E" w:rsidRPr="00EF4C2D" w:rsidRDefault="00D8137E" w:rsidP="007C08EB">
            <w:pPr>
              <w:pStyle w:val="KMC16-Tablecontent"/>
              <w:spacing w:before="0" w:after="0" w:line="257" w:lineRule="auto"/>
              <w:ind w:left="79"/>
              <w:jc w:val="center"/>
              <w:rPr>
                <w:color w:val="auto"/>
                <w:lang w:val="en-AU" w:eastAsia="en-US"/>
              </w:rPr>
            </w:pPr>
            <w:r w:rsidRPr="00EF4C2D">
              <w:rPr>
                <w:lang w:val="en-AU" w:eastAsia="en-US"/>
              </w:rPr>
              <w:t>28 (21.9)</w:t>
            </w:r>
          </w:p>
        </w:tc>
        <w:tc>
          <w:tcPr>
            <w:tcW w:w="2102" w:type="dxa"/>
            <w:tcBorders>
              <w:top w:val="nil"/>
              <w:left w:val="nil"/>
              <w:bottom w:val="single" w:sz="4" w:space="0" w:color="auto"/>
              <w:right w:val="single" w:sz="4" w:space="0" w:color="auto"/>
            </w:tcBorders>
            <w:shd w:val="clear" w:color="auto" w:fill="auto"/>
            <w:vAlign w:val="center"/>
            <w:hideMark/>
          </w:tcPr>
          <w:p w14:paraId="2D0079C3" w14:textId="77777777" w:rsidR="00D8137E" w:rsidRPr="00EF4C2D" w:rsidRDefault="00D8137E" w:rsidP="007C08EB">
            <w:pPr>
              <w:pStyle w:val="KMC16-Tablecontent"/>
              <w:spacing w:before="0" w:after="0" w:line="257" w:lineRule="auto"/>
              <w:ind w:left="79"/>
              <w:jc w:val="center"/>
              <w:rPr>
                <w:lang w:val="en-AU" w:eastAsia="en-US"/>
              </w:rPr>
            </w:pPr>
            <w:r w:rsidRPr="00EF4C2D">
              <w:rPr>
                <w:lang w:val="en-AU" w:eastAsia="en-US"/>
              </w:rPr>
              <w:t>23 (18.1)</w:t>
            </w:r>
          </w:p>
        </w:tc>
        <w:tc>
          <w:tcPr>
            <w:tcW w:w="2026" w:type="dxa"/>
            <w:tcBorders>
              <w:top w:val="nil"/>
              <w:left w:val="nil"/>
              <w:bottom w:val="single" w:sz="4" w:space="0" w:color="auto"/>
              <w:right w:val="single" w:sz="4" w:space="0" w:color="auto"/>
            </w:tcBorders>
            <w:shd w:val="clear" w:color="auto" w:fill="auto"/>
            <w:vAlign w:val="center"/>
            <w:hideMark/>
          </w:tcPr>
          <w:p w14:paraId="064BFB65" w14:textId="77777777" w:rsidR="00D8137E" w:rsidRPr="00EF4C2D" w:rsidRDefault="00D8137E" w:rsidP="007C08EB">
            <w:pPr>
              <w:pStyle w:val="KMC16-Tablecontent"/>
              <w:spacing w:before="0" w:after="0" w:line="257" w:lineRule="auto"/>
              <w:ind w:left="79"/>
              <w:jc w:val="center"/>
              <w:rPr>
                <w:lang w:val="en-AU" w:eastAsia="en-US"/>
              </w:rPr>
            </w:pPr>
            <w:r w:rsidRPr="00EF4C2D">
              <w:rPr>
                <w:lang w:val="en-AU" w:eastAsia="en-US"/>
              </w:rPr>
              <w:t>0.53</w:t>
            </w:r>
          </w:p>
        </w:tc>
      </w:tr>
      <w:tr w:rsidR="00D8137E" w:rsidRPr="00EF4C2D" w14:paraId="5B980EE8" w14:textId="77777777" w:rsidTr="007C08EB">
        <w:trPr>
          <w:trHeight w:val="102"/>
        </w:trPr>
        <w:tc>
          <w:tcPr>
            <w:tcW w:w="2768" w:type="dxa"/>
            <w:tcBorders>
              <w:top w:val="nil"/>
              <w:left w:val="single" w:sz="4" w:space="0" w:color="auto"/>
              <w:bottom w:val="single" w:sz="4" w:space="0" w:color="auto"/>
              <w:right w:val="single" w:sz="4" w:space="0" w:color="auto"/>
            </w:tcBorders>
            <w:shd w:val="clear" w:color="auto" w:fill="auto"/>
            <w:vAlign w:val="center"/>
            <w:hideMark/>
          </w:tcPr>
          <w:p w14:paraId="64E8346C" w14:textId="77777777" w:rsidR="00D8137E" w:rsidRPr="00EF4C2D" w:rsidRDefault="00D8137E" w:rsidP="007C08EB">
            <w:pPr>
              <w:pStyle w:val="KMC16-Tablecontent"/>
              <w:spacing w:before="0" w:after="0" w:line="257" w:lineRule="auto"/>
              <w:ind w:left="79"/>
              <w:rPr>
                <w:color w:val="auto"/>
                <w:lang w:val="en-AU" w:eastAsia="en-US"/>
              </w:rPr>
            </w:pPr>
            <w:r w:rsidRPr="00EF4C2D">
              <w:rPr>
                <w:color w:val="auto"/>
                <w:lang w:val="en-AU" w:eastAsia="en-US"/>
              </w:rPr>
              <w:t>Discontinuation due to drug related AEs</w:t>
            </w:r>
            <w:r w:rsidRPr="00EF4C2D">
              <w:rPr>
                <w:color w:val="auto"/>
                <w:vertAlign w:val="superscript"/>
                <w:lang w:val="en-AU" w:eastAsia="en-US"/>
              </w:rPr>
              <w:t>d</w:t>
            </w:r>
          </w:p>
        </w:tc>
        <w:tc>
          <w:tcPr>
            <w:tcW w:w="2119" w:type="dxa"/>
            <w:tcBorders>
              <w:top w:val="nil"/>
              <w:left w:val="nil"/>
              <w:bottom w:val="single" w:sz="4" w:space="0" w:color="auto"/>
              <w:right w:val="single" w:sz="4" w:space="0" w:color="auto"/>
            </w:tcBorders>
            <w:shd w:val="clear" w:color="auto" w:fill="auto"/>
            <w:vAlign w:val="center"/>
            <w:hideMark/>
          </w:tcPr>
          <w:p w14:paraId="3B2FF0BF" w14:textId="77777777" w:rsidR="00D8137E" w:rsidRPr="00EF4C2D" w:rsidRDefault="00D8137E" w:rsidP="007C08EB">
            <w:pPr>
              <w:pStyle w:val="KMC16-Tablecontent"/>
              <w:spacing w:before="0" w:after="0" w:line="257" w:lineRule="auto"/>
              <w:ind w:left="79"/>
              <w:jc w:val="center"/>
              <w:rPr>
                <w:color w:val="auto"/>
                <w:lang w:val="en-AU" w:eastAsia="en-US"/>
              </w:rPr>
            </w:pPr>
            <w:r w:rsidRPr="00EF4C2D">
              <w:rPr>
                <w:lang w:val="en-AU" w:eastAsia="en-US"/>
              </w:rPr>
              <w:t>27 (21.1)</w:t>
            </w:r>
          </w:p>
        </w:tc>
        <w:tc>
          <w:tcPr>
            <w:tcW w:w="2102" w:type="dxa"/>
            <w:tcBorders>
              <w:top w:val="nil"/>
              <w:left w:val="nil"/>
              <w:bottom w:val="single" w:sz="4" w:space="0" w:color="auto"/>
              <w:right w:val="single" w:sz="4" w:space="0" w:color="auto"/>
            </w:tcBorders>
            <w:shd w:val="clear" w:color="auto" w:fill="auto"/>
            <w:vAlign w:val="center"/>
            <w:hideMark/>
          </w:tcPr>
          <w:p w14:paraId="39339D3D" w14:textId="77777777" w:rsidR="00D8137E" w:rsidRPr="00EF4C2D" w:rsidRDefault="00D8137E" w:rsidP="007C08EB">
            <w:pPr>
              <w:pStyle w:val="KMC16-Tablecontent"/>
              <w:spacing w:before="0" w:after="0" w:line="257" w:lineRule="auto"/>
              <w:ind w:left="79"/>
              <w:jc w:val="center"/>
              <w:rPr>
                <w:lang w:val="en-AU" w:eastAsia="en-US"/>
              </w:rPr>
            </w:pPr>
            <w:r w:rsidRPr="00EF4C2D">
              <w:rPr>
                <w:lang w:val="en-AU" w:eastAsia="en-US"/>
              </w:rPr>
              <w:t>22 (17.3)</w:t>
            </w:r>
          </w:p>
        </w:tc>
        <w:tc>
          <w:tcPr>
            <w:tcW w:w="2026" w:type="dxa"/>
            <w:tcBorders>
              <w:top w:val="nil"/>
              <w:left w:val="nil"/>
              <w:bottom w:val="single" w:sz="4" w:space="0" w:color="auto"/>
              <w:right w:val="single" w:sz="4" w:space="0" w:color="auto"/>
            </w:tcBorders>
            <w:shd w:val="clear" w:color="auto" w:fill="auto"/>
            <w:vAlign w:val="center"/>
            <w:hideMark/>
          </w:tcPr>
          <w:p w14:paraId="0C23FC70" w14:textId="77777777" w:rsidR="00D8137E" w:rsidRPr="00EF4C2D" w:rsidRDefault="00D8137E" w:rsidP="007C08EB">
            <w:pPr>
              <w:pStyle w:val="KMC16-Tablecontent"/>
              <w:spacing w:before="0" w:after="0" w:line="257" w:lineRule="auto"/>
              <w:ind w:left="79"/>
              <w:jc w:val="center"/>
              <w:rPr>
                <w:lang w:val="en-AU" w:eastAsia="en-US"/>
              </w:rPr>
            </w:pPr>
            <w:r w:rsidRPr="00EF4C2D">
              <w:rPr>
                <w:lang w:val="en-AU" w:eastAsia="en-US"/>
              </w:rPr>
              <w:t>0.53</w:t>
            </w:r>
          </w:p>
        </w:tc>
      </w:tr>
      <w:tr w:rsidR="00D8137E" w:rsidRPr="00EF4C2D" w14:paraId="67E04B5B" w14:textId="77777777" w:rsidTr="007C08EB">
        <w:trPr>
          <w:trHeight w:val="102"/>
        </w:trPr>
        <w:tc>
          <w:tcPr>
            <w:tcW w:w="2768" w:type="dxa"/>
            <w:tcBorders>
              <w:top w:val="nil"/>
              <w:left w:val="single" w:sz="4" w:space="0" w:color="auto"/>
              <w:bottom w:val="single" w:sz="4" w:space="0" w:color="auto"/>
              <w:right w:val="single" w:sz="4" w:space="0" w:color="auto"/>
            </w:tcBorders>
            <w:shd w:val="clear" w:color="auto" w:fill="auto"/>
            <w:vAlign w:val="center"/>
            <w:hideMark/>
          </w:tcPr>
          <w:p w14:paraId="7380B94A" w14:textId="77777777" w:rsidR="00D8137E" w:rsidRPr="00EF4C2D" w:rsidRDefault="00D8137E" w:rsidP="007C08EB">
            <w:pPr>
              <w:pStyle w:val="KMC16-Tablecontent"/>
              <w:spacing w:before="0" w:after="0" w:line="257" w:lineRule="auto"/>
              <w:ind w:left="79"/>
              <w:rPr>
                <w:color w:val="auto"/>
                <w:lang w:val="en-AU" w:eastAsia="en-US"/>
              </w:rPr>
            </w:pPr>
            <w:r w:rsidRPr="00EF4C2D">
              <w:rPr>
                <w:color w:val="auto"/>
                <w:lang w:val="en-AU" w:eastAsia="en-US"/>
              </w:rPr>
              <w:t>Deaths</w:t>
            </w:r>
            <w:r w:rsidRPr="00EF4C2D">
              <w:rPr>
                <w:color w:val="auto"/>
                <w:vertAlign w:val="superscript"/>
                <w:lang w:val="en-AU" w:eastAsia="en-US"/>
              </w:rPr>
              <w:t>e</w:t>
            </w:r>
          </w:p>
        </w:tc>
        <w:tc>
          <w:tcPr>
            <w:tcW w:w="2119" w:type="dxa"/>
            <w:tcBorders>
              <w:top w:val="nil"/>
              <w:left w:val="nil"/>
              <w:bottom w:val="single" w:sz="4" w:space="0" w:color="auto"/>
              <w:right w:val="single" w:sz="4" w:space="0" w:color="auto"/>
            </w:tcBorders>
            <w:shd w:val="clear" w:color="auto" w:fill="auto"/>
            <w:vAlign w:val="center"/>
            <w:hideMark/>
          </w:tcPr>
          <w:p w14:paraId="2C513203" w14:textId="77777777" w:rsidR="00D8137E" w:rsidRPr="00EF4C2D" w:rsidRDefault="00D8137E" w:rsidP="007C08EB">
            <w:pPr>
              <w:pStyle w:val="KMC16-Tablecontent"/>
              <w:spacing w:before="0" w:after="0" w:line="257" w:lineRule="auto"/>
              <w:ind w:left="79"/>
              <w:jc w:val="center"/>
              <w:rPr>
                <w:color w:val="auto"/>
                <w:lang w:val="en-AU" w:eastAsia="en-US"/>
              </w:rPr>
            </w:pPr>
            <w:r w:rsidRPr="00EF4C2D">
              <w:rPr>
                <w:lang w:val="en-AU" w:eastAsia="en-US"/>
              </w:rPr>
              <w:t>1 (0.01)</w:t>
            </w:r>
          </w:p>
        </w:tc>
        <w:tc>
          <w:tcPr>
            <w:tcW w:w="2102" w:type="dxa"/>
            <w:tcBorders>
              <w:top w:val="nil"/>
              <w:left w:val="nil"/>
              <w:bottom w:val="single" w:sz="4" w:space="0" w:color="auto"/>
              <w:right w:val="single" w:sz="4" w:space="0" w:color="auto"/>
            </w:tcBorders>
            <w:shd w:val="clear" w:color="auto" w:fill="auto"/>
            <w:vAlign w:val="center"/>
            <w:hideMark/>
          </w:tcPr>
          <w:p w14:paraId="41F866BF" w14:textId="77777777" w:rsidR="00D8137E" w:rsidRPr="00EF4C2D" w:rsidRDefault="00D8137E" w:rsidP="007C08EB">
            <w:pPr>
              <w:pStyle w:val="KMC16-Tablecontent"/>
              <w:spacing w:before="0" w:after="0" w:line="257" w:lineRule="auto"/>
              <w:ind w:left="79"/>
              <w:jc w:val="center"/>
              <w:rPr>
                <w:lang w:val="en-AU" w:eastAsia="en-US"/>
              </w:rPr>
            </w:pPr>
            <w:r w:rsidRPr="00EF4C2D">
              <w:rPr>
                <w:lang w:val="en-AU" w:eastAsia="en-US"/>
              </w:rPr>
              <w:t>0 (0.0)</w:t>
            </w:r>
          </w:p>
        </w:tc>
        <w:tc>
          <w:tcPr>
            <w:tcW w:w="2026" w:type="dxa"/>
            <w:tcBorders>
              <w:top w:val="nil"/>
              <w:left w:val="nil"/>
              <w:bottom w:val="single" w:sz="4" w:space="0" w:color="auto"/>
              <w:right w:val="single" w:sz="4" w:space="0" w:color="auto"/>
            </w:tcBorders>
            <w:shd w:val="clear" w:color="auto" w:fill="auto"/>
            <w:vAlign w:val="center"/>
            <w:hideMark/>
          </w:tcPr>
          <w:p w14:paraId="718A7611" w14:textId="77777777" w:rsidR="00D8137E" w:rsidRPr="00EF4C2D" w:rsidRDefault="00D8137E" w:rsidP="007C08EB">
            <w:pPr>
              <w:pStyle w:val="KMC16-Tablecontent"/>
              <w:spacing w:before="0" w:after="0" w:line="257" w:lineRule="auto"/>
              <w:ind w:left="79"/>
              <w:jc w:val="center"/>
              <w:rPr>
                <w:lang w:val="en-AU" w:eastAsia="en-US"/>
              </w:rPr>
            </w:pPr>
            <w:r w:rsidRPr="00EF4C2D">
              <w:rPr>
                <w:lang w:val="en-AU" w:eastAsia="en-US"/>
              </w:rPr>
              <w:t>-</w:t>
            </w:r>
          </w:p>
        </w:tc>
      </w:tr>
    </w:tbl>
    <w:p w14:paraId="5607C79D" w14:textId="77777777" w:rsidR="003B376A" w:rsidRDefault="00D8137E" w:rsidP="003B376A">
      <w:pPr>
        <w:pStyle w:val="TableFigureFooter"/>
      </w:pPr>
      <w:r w:rsidRPr="00EF4C2D">
        <w:t xml:space="preserve">Source: Table 2-34 p125, Table 2-36 p127of the submission,  </w:t>
      </w:r>
    </w:p>
    <w:p w14:paraId="71CF970C" w14:textId="77777777" w:rsidR="003B376A" w:rsidRDefault="00D8137E" w:rsidP="003B376A">
      <w:pPr>
        <w:pStyle w:val="TableFigureFooter"/>
      </w:pPr>
      <w:r w:rsidRPr="00EF4C2D">
        <w:t>AE=adverse event; N=total participants in group; SAE=serious adverse event;</w:t>
      </w:r>
    </w:p>
    <w:p w14:paraId="671B29E3" w14:textId="77777777" w:rsidR="003B376A" w:rsidRDefault="00D8137E" w:rsidP="003B376A">
      <w:pPr>
        <w:pStyle w:val="TableFigureFooter"/>
      </w:pPr>
      <w:r w:rsidRPr="00EF4C2D">
        <w:rPr>
          <w:vertAlign w:val="superscript"/>
        </w:rPr>
        <w:t xml:space="preserve">a </w:t>
      </w:r>
      <w:r w:rsidRPr="00EF4C2D">
        <w:t xml:space="preserve">Fisher's exact test. </w:t>
      </w:r>
    </w:p>
    <w:p w14:paraId="0D3D4460" w14:textId="77777777" w:rsidR="003B376A" w:rsidRDefault="00D8137E" w:rsidP="003B376A">
      <w:pPr>
        <w:pStyle w:val="TableFigureFooter"/>
      </w:pPr>
      <w:r w:rsidRPr="00EF4C2D">
        <w:rPr>
          <w:vertAlign w:val="superscript"/>
        </w:rPr>
        <w:t xml:space="preserve">b </w:t>
      </w:r>
      <w:r w:rsidRPr="00EF4C2D">
        <w:t xml:space="preserve">AEs with relation to drug of 'Yes, related', 'Probably related', 'Possibly related' or where such a relationship was not specified. </w:t>
      </w:r>
    </w:p>
    <w:p w14:paraId="570D7EA6" w14:textId="77777777" w:rsidR="003B376A" w:rsidRDefault="00D8137E" w:rsidP="003B376A">
      <w:pPr>
        <w:pStyle w:val="TableFigureFooter"/>
      </w:pPr>
      <w:r w:rsidRPr="00EF4C2D">
        <w:rPr>
          <w:vertAlign w:val="superscript"/>
        </w:rPr>
        <w:t>c</w:t>
      </w:r>
      <w:r w:rsidRPr="00EF4C2D">
        <w:t xml:space="preserve"> No SAEs were considered possibly, probably or definitely related to study drug. </w:t>
      </w:r>
    </w:p>
    <w:p w14:paraId="64908223" w14:textId="77777777" w:rsidR="003B376A" w:rsidRDefault="00D8137E" w:rsidP="003B376A">
      <w:pPr>
        <w:pStyle w:val="TableFigureFooter"/>
      </w:pPr>
      <w:r w:rsidRPr="00EF4C2D">
        <w:rPr>
          <w:vertAlign w:val="superscript"/>
        </w:rPr>
        <w:t>d</w:t>
      </w:r>
      <w:r w:rsidRPr="00EF4C2D">
        <w:t xml:space="preserve"> Patients were categorised as 'Discontinued' if the course of action following an AE included ‘Study Discontinuation’. Three patients, two on the chlormethine gel arm and one on the chlormethine ointment arm met this criterion. The reasons for withdrawal checked on the CRF were categorised as follows: 1. “Other”: need for prohibited chemotherapy (Xeloda) for recurrence of metastatic squamous cell carcinoma originating on the scalp (untreated area); the AE was recurrent SCC, not related to study drug. 2. “Lack of Efficacy”: the AE listed with action discontinued was “skin pain” which was “probably related” to study drug. 3. “Withdrew Consent”: the AE was itching on lesion (severe) probably related to study drug. </w:t>
      </w:r>
    </w:p>
    <w:p w14:paraId="22B7D287" w14:textId="3BC08A90" w:rsidR="00D8137E" w:rsidRPr="00EF4C2D" w:rsidRDefault="00D8137E" w:rsidP="003B376A">
      <w:pPr>
        <w:pStyle w:val="TableFigureFooter"/>
      </w:pPr>
      <w:r w:rsidRPr="00EF4C2D">
        <w:rPr>
          <w:vertAlign w:val="superscript"/>
        </w:rPr>
        <w:t xml:space="preserve">e </w:t>
      </w:r>
      <w:r w:rsidRPr="00EF4C2D">
        <w:t>This was reported as an SAE not related to study drug</w:t>
      </w:r>
    </w:p>
    <w:p w14:paraId="0114512D" w14:textId="0C869EDB" w:rsidR="00D8137E" w:rsidRPr="00EF4C2D" w:rsidRDefault="00D8137E" w:rsidP="00D8137E">
      <w:pPr>
        <w:pStyle w:val="3-BodyText"/>
        <w:ind w:left="709" w:hanging="708"/>
      </w:pPr>
      <w:r w:rsidRPr="00EF4C2D">
        <w:t>The most frequent AEs in Study 201 were skin-related, characterised mainly as local dermatitis (skin irritation), pruritis and erythema. Skin irritation occurred in 32 patients (25.0%) and 18 patients (14.2%) in the chlormethine gel and chlormethine ointment groups, respectively (p=0.040). The submission noted that topical steroids, which may be applied to treat dermatitis in clinical practice, were not permitted in Study 201</w:t>
      </w:r>
      <w:r w:rsidRPr="00EF4C2D">
        <w:rPr>
          <w:i/>
        </w:rPr>
        <w:t xml:space="preserve">. </w:t>
      </w:r>
      <w:r w:rsidRPr="0096381E">
        <w:rPr>
          <w:rFonts w:cstheme="minorHAnsi"/>
          <w:iCs/>
        </w:rPr>
        <w:t>The data from Study 201 indicated that 5% (n=13) of patients were receiving topical corticosteroids while on chlormethine</w:t>
      </w:r>
      <w:r w:rsidR="005D4341" w:rsidRPr="0096381E">
        <w:rPr>
          <w:rFonts w:cstheme="minorHAnsi"/>
          <w:iCs/>
        </w:rPr>
        <w:t xml:space="preserve"> gel</w:t>
      </w:r>
      <w:r w:rsidRPr="0096381E">
        <w:rPr>
          <w:rFonts w:cstheme="minorHAnsi"/>
          <w:iCs/>
        </w:rPr>
        <w:t xml:space="preserve"> treatment.</w:t>
      </w:r>
    </w:p>
    <w:p w14:paraId="037ACD72" w14:textId="77777777" w:rsidR="00D8137E" w:rsidRPr="0096381E" w:rsidRDefault="00D8137E" w:rsidP="00D8137E">
      <w:pPr>
        <w:pStyle w:val="3-BodyText"/>
        <w:ind w:left="709" w:hanging="708"/>
        <w:rPr>
          <w:iCs/>
        </w:rPr>
      </w:pPr>
      <w:r w:rsidRPr="00EF4C2D">
        <w:rPr>
          <w:rFonts w:cstheme="minorHAnsi"/>
        </w:rPr>
        <w:t xml:space="preserve">The submission reported that after 2 years of follow-up in PROVe, the incidence of AEs was lower than those seen in Study 201 (44.6% versus 84.4%, respectively). </w:t>
      </w:r>
      <w:r w:rsidRPr="00EF4C2D">
        <w:t>The submission provided a Periodic Safety Update Report (PSUR, 26 October 2021) which covered the period from the 23 August 2020 to 22 August 2021 on potential safety concerns beyond those identified in the clinical trials.</w:t>
      </w:r>
      <w:r w:rsidRPr="00EF4C2D">
        <w:rPr>
          <w:i/>
          <w:iCs/>
        </w:rPr>
        <w:t xml:space="preserve"> </w:t>
      </w:r>
      <w:r w:rsidRPr="00EF4C2D">
        <w:t xml:space="preserve">No new safety concerns have arisen during the reporting period. </w:t>
      </w:r>
      <w:r w:rsidRPr="0096381E">
        <w:rPr>
          <w:iCs/>
        </w:rPr>
        <w:t>The results from longer-term studies and clinical use indicated that the safety profile of chlormethine gel was largely consistent with the safety results presented in Study 201.</w:t>
      </w:r>
    </w:p>
    <w:p w14:paraId="19283455" w14:textId="77777777" w:rsidR="00D8137E" w:rsidRPr="00EF4C2D" w:rsidRDefault="00D8137E" w:rsidP="00D8137E">
      <w:pPr>
        <w:pStyle w:val="3-BodyText"/>
        <w:ind w:left="709" w:hanging="708"/>
      </w:pPr>
      <w:r w:rsidRPr="00EF4C2D">
        <w:t xml:space="preserve">The submission reported that AEs in the phototherapy studies included nausea, pruritus, dryness and photosensitivity that sometimes necessitated topical steroids or treatment dose reduction. </w:t>
      </w:r>
    </w:p>
    <w:p w14:paraId="366C5C68" w14:textId="77777777" w:rsidR="00D8137E" w:rsidRPr="00EF4C2D" w:rsidRDefault="00D8137E" w:rsidP="00D8137E">
      <w:pPr>
        <w:pStyle w:val="3-BodyText"/>
        <w:ind w:left="709" w:hanging="708"/>
      </w:pPr>
      <w:bookmarkStart w:id="59" w:name="_Ref131434545"/>
      <w:r w:rsidRPr="00EF4C2D">
        <w:rPr>
          <w:rFonts w:cstheme="minorHAnsi"/>
        </w:rPr>
        <w:t xml:space="preserve">The submission stated it was difficult to compare the AE profiles of a topical therapy applied daily on multiple days per week with a phototherapy that patients attend three weekly sessions over studies of different duration, with different levels of AE monitoring intensity. Overall, the submission considered both therapies were tolerable with acceptable discontinuation rates. </w:t>
      </w:r>
      <w:r w:rsidRPr="0096381E">
        <w:rPr>
          <w:rFonts w:cstheme="minorHAnsi"/>
        </w:rPr>
        <w:t>Given these results are based on a naïve comparison of single arms from the included studies, it was not possible to use the event rates in a common reference arm to form a meaningful indirect comparison.</w:t>
      </w:r>
      <w:bookmarkStart w:id="60" w:name="_Toc22897643"/>
      <w:bookmarkStart w:id="61" w:name="_Toc107927629"/>
      <w:bookmarkEnd w:id="59"/>
    </w:p>
    <w:p w14:paraId="7621CCD6" w14:textId="77777777" w:rsidR="00D8137E" w:rsidRPr="00EF4C2D" w:rsidRDefault="00D8137E" w:rsidP="00D8137E">
      <w:pPr>
        <w:pStyle w:val="4-SubsectionHeading"/>
        <w:rPr>
          <w:rFonts w:cs="Arial"/>
        </w:rPr>
      </w:pPr>
      <w:bookmarkStart w:id="62" w:name="_Toc121755822"/>
      <w:r w:rsidRPr="00EF4C2D">
        <w:t>Benefits/harms</w:t>
      </w:r>
      <w:bookmarkEnd w:id="60"/>
      <w:bookmarkEnd w:id="61"/>
      <w:bookmarkEnd w:id="62"/>
    </w:p>
    <w:p w14:paraId="09BC35F7" w14:textId="1FC63EB3" w:rsidR="00D8137E" w:rsidRPr="0096381E" w:rsidRDefault="00D8137E" w:rsidP="00D8137E">
      <w:pPr>
        <w:pStyle w:val="3-BodyText"/>
        <w:ind w:left="709" w:hanging="709"/>
        <w:rPr>
          <w:snapToGrid/>
          <w:lang w:val="en-US"/>
        </w:rPr>
      </w:pPr>
      <w:r w:rsidRPr="0096381E">
        <w:rPr>
          <w:snapToGrid/>
          <w:lang w:val="en-US"/>
        </w:rPr>
        <w:t xml:space="preserve">While the submission included a superiority claim, this was not supported by the </w:t>
      </w:r>
      <w:r w:rsidR="00027D3F" w:rsidRPr="0096381E">
        <w:rPr>
          <w:snapToGrid/>
          <w:lang w:val="en-US"/>
        </w:rPr>
        <w:t xml:space="preserve">clinical </w:t>
      </w:r>
      <w:r w:rsidRPr="0096381E">
        <w:rPr>
          <w:snapToGrid/>
          <w:lang w:val="en-US"/>
        </w:rPr>
        <w:t>evidence presented with respect to response (rmDOCR), HRQoL or safety. Accordingly, a benefits/harms table has not been presented.</w:t>
      </w:r>
      <w:r w:rsidRPr="0096381E">
        <w:rPr>
          <w:b/>
          <w:snapToGrid/>
          <w:lang w:val="en-US"/>
        </w:rPr>
        <w:t xml:space="preserve"> </w:t>
      </w:r>
    </w:p>
    <w:p w14:paraId="146F00E7" w14:textId="77777777" w:rsidR="00D8137E" w:rsidRPr="00EF4C2D" w:rsidRDefault="00D8137E" w:rsidP="00D8137E">
      <w:pPr>
        <w:pStyle w:val="4-SubsectionHeading"/>
      </w:pPr>
      <w:bookmarkStart w:id="63" w:name="_Toc22897644"/>
      <w:bookmarkStart w:id="64" w:name="_Toc107927630"/>
      <w:bookmarkStart w:id="65" w:name="_Toc121755823"/>
      <w:r w:rsidRPr="00EF4C2D">
        <w:t>Clinical claim</w:t>
      </w:r>
      <w:bookmarkEnd w:id="63"/>
      <w:bookmarkEnd w:id="64"/>
      <w:bookmarkEnd w:id="65"/>
    </w:p>
    <w:p w14:paraId="3A8DC435" w14:textId="30B2867D" w:rsidR="006E7867" w:rsidRPr="006E7867" w:rsidRDefault="00D8137E" w:rsidP="00D8137E">
      <w:pPr>
        <w:pStyle w:val="3-BodyText"/>
        <w:ind w:left="709" w:hanging="709"/>
        <w:rPr>
          <w:color w:val="0066FF"/>
        </w:rPr>
      </w:pPr>
      <w:r w:rsidRPr="00EF4C2D">
        <w:t xml:space="preserve">The submission described chlormethine </w:t>
      </w:r>
      <w:r w:rsidR="00605FF5">
        <w:t>gel as having non-inferior efficacy in terms of rmDOCR and improved effectiveness in terms of HRQoL</w:t>
      </w:r>
      <w:r w:rsidR="00605FF5" w:rsidRPr="00EF4C2D" w:rsidDel="00434C29">
        <w:t xml:space="preserve"> and</w:t>
      </w:r>
      <w:r w:rsidR="00605FF5" w:rsidRPr="00EF4C2D">
        <w:t xml:space="preserve"> has</w:t>
      </w:r>
      <w:r w:rsidR="00605FF5" w:rsidRPr="00EF4C2D" w:rsidDel="00434C29">
        <w:t xml:space="preserve"> similar safety compared to phototherapy</w:t>
      </w:r>
      <w:r w:rsidR="00605FF5">
        <w:t>.</w:t>
      </w:r>
    </w:p>
    <w:p w14:paraId="01824BEE" w14:textId="11B98C72" w:rsidR="00D8137E" w:rsidRPr="0096381E" w:rsidRDefault="00D8137E" w:rsidP="00D8137E">
      <w:pPr>
        <w:pStyle w:val="3-BodyText"/>
        <w:ind w:left="709" w:hanging="709"/>
        <w:rPr>
          <w:color w:val="0066FF"/>
        </w:rPr>
      </w:pPr>
      <w:r w:rsidRPr="00EF4C2D">
        <w:t>Th</w:t>
      </w:r>
      <w:r w:rsidR="000E2B4D">
        <w:t>e claim of non-inferior efficacy in terms of rmDOCR</w:t>
      </w:r>
      <w:r w:rsidRPr="00EF4C2D">
        <w:t xml:space="preserve"> was based on the results of a naïve </w:t>
      </w:r>
      <w:r w:rsidR="00027D3F">
        <w:t>ITC</w:t>
      </w:r>
      <w:r w:rsidRPr="00EF4C2D">
        <w:t xml:space="preserve">. </w:t>
      </w:r>
      <w:r w:rsidRPr="0096381E">
        <w:t xml:space="preserve">The </w:t>
      </w:r>
      <w:r w:rsidR="00F124BE">
        <w:t xml:space="preserve">evaluation considered the </w:t>
      </w:r>
      <w:r w:rsidRPr="0096381E">
        <w:t>therapeutic conclusion with respect to both efficacy and safety presented in the submission was not supported by the evidence presented for the following reasons:</w:t>
      </w:r>
    </w:p>
    <w:p w14:paraId="7EA78ACD" w14:textId="17E91111" w:rsidR="00D8137E" w:rsidRPr="00DF296F" w:rsidRDefault="00D8137E" w:rsidP="003E27F7">
      <w:pPr>
        <w:pStyle w:val="ListParagraph"/>
        <w:ind w:left="1077" w:hanging="357"/>
        <w:rPr>
          <w:iCs/>
        </w:rPr>
      </w:pPr>
      <w:r w:rsidRPr="0096381E">
        <w:t xml:space="preserve">There were significant transitivity issues between the included trials, mainly pertaining to the duration of the studies, differences in the definition of response, the time and location of conduct, gender, prior treatment and study sample size. </w:t>
      </w:r>
      <w:r w:rsidR="00404769" w:rsidRPr="00DF296F">
        <w:rPr>
          <w:iCs/>
        </w:rPr>
        <w:t xml:space="preserve">The PSCR (p2) stated that the transitivity issues largely arose from the low-quality phototherapy studies. </w:t>
      </w:r>
    </w:p>
    <w:p w14:paraId="7C84D427" w14:textId="56602328" w:rsidR="00D8137E" w:rsidRPr="00DF296F" w:rsidRDefault="00D8137E" w:rsidP="003E27F7">
      <w:pPr>
        <w:pStyle w:val="ListParagraph"/>
        <w:ind w:left="1077" w:hanging="357"/>
      </w:pPr>
      <w:r w:rsidRPr="0096381E">
        <w:t>The ITC was biased in favour of chlormethine gel, through the use of data for different definitions of ‘complete response’</w:t>
      </w:r>
      <w:r w:rsidR="00DE6983">
        <w:t xml:space="preserve"> </w:t>
      </w:r>
      <w:r w:rsidRPr="0096381E">
        <w:t>and the addition of 10 ‘complete responders’ from the chlormethine gel arm, who did not meet the Study 201 protocol definition of ‘complete responder’.</w:t>
      </w:r>
      <w:r w:rsidR="00404769">
        <w:t xml:space="preserve"> </w:t>
      </w:r>
      <w:r w:rsidR="00404769" w:rsidRPr="00DF296F">
        <w:t xml:space="preserve">The PSCR argued inclusion of Study 201 patients who reported any response (i.e. including the additional 10 patients) would allow a more consistent comparison with the phototherapy studies (see paragraph </w:t>
      </w:r>
      <w:r w:rsidR="00404769" w:rsidRPr="00DF296F">
        <w:fldChar w:fldCharType="begin"/>
      </w:r>
      <w:r w:rsidR="00404769" w:rsidRPr="00DF296F">
        <w:instrText xml:space="preserve"> REF _Ref127359476 \r \h </w:instrText>
      </w:r>
      <w:r w:rsidR="00DF296F">
        <w:instrText xml:space="preserve"> \* MERGEFORMAT </w:instrText>
      </w:r>
      <w:r w:rsidR="00404769" w:rsidRPr="00DF296F">
        <w:fldChar w:fldCharType="separate"/>
      </w:r>
      <w:r w:rsidR="00FD5578">
        <w:t>6.18</w:t>
      </w:r>
      <w:r w:rsidR="00404769" w:rsidRPr="00DF296F">
        <w:fldChar w:fldCharType="end"/>
      </w:r>
      <w:r w:rsidR="00404769" w:rsidRPr="00DF296F">
        <w:t>).</w:t>
      </w:r>
    </w:p>
    <w:p w14:paraId="0ECBE750" w14:textId="77777777" w:rsidR="00D8137E" w:rsidRPr="0096381E" w:rsidRDefault="00D8137E" w:rsidP="003E27F7">
      <w:pPr>
        <w:pStyle w:val="ListParagraph"/>
        <w:ind w:left="1077" w:hanging="357"/>
      </w:pPr>
      <w:r w:rsidRPr="0096381E">
        <w:t>There was a high degree of heterogeneity identified in the phototherapy studies for which estimates of effect were compared (I</w:t>
      </w:r>
      <w:r w:rsidRPr="0096381E">
        <w:rPr>
          <w:vertAlign w:val="superscript"/>
        </w:rPr>
        <w:t>2</w:t>
      </w:r>
      <w:r w:rsidRPr="0096381E">
        <w:t xml:space="preserve"> &gt; 90%).</w:t>
      </w:r>
    </w:p>
    <w:p w14:paraId="3F75A761" w14:textId="3C856A2B" w:rsidR="00D8137E" w:rsidRDefault="00D8137E" w:rsidP="003E27F7">
      <w:pPr>
        <w:pStyle w:val="ListBullet"/>
        <w:tabs>
          <w:tab w:val="clear" w:pos="360"/>
        </w:tabs>
        <w:spacing w:after="120"/>
        <w:ind w:left="1077" w:hanging="357"/>
        <w:contextualSpacing w:val="0"/>
      </w:pPr>
      <w:r w:rsidRPr="0096381E">
        <w:t>The comparison lacked a common reference, without a non-inferiority bound, and therefore the conclusion of non-inferiority based on the absence of a statistically significant difference is poorly supported.</w:t>
      </w:r>
    </w:p>
    <w:p w14:paraId="6546D70D" w14:textId="623BCADA" w:rsidR="00DE6983" w:rsidRPr="00DF296F" w:rsidRDefault="00DE6983" w:rsidP="002F44E9">
      <w:pPr>
        <w:pStyle w:val="3-BodyText"/>
        <w:ind w:left="709" w:hanging="709"/>
        <w:rPr>
          <w:iCs/>
        </w:rPr>
      </w:pPr>
      <w:r w:rsidRPr="00DF296F">
        <w:rPr>
          <w:iCs/>
        </w:rPr>
        <w:t xml:space="preserve">The </w:t>
      </w:r>
      <w:r w:rsidR="00404769" w:rsidRPr="00DF296F">
        <w:rPr>
          <w:iCs/>
        </w:rPr>
        <w:t xml:space="preserve">ESC acknowledged the difficulty in developing an evidence base for treatments for rare diseases such as MF-CTCL and agreed with the PSCR that the phototherapy studies were of low quality. However, </w:t>
      </w:r>
      <w:r w:rsidR="00F124BE" w:rsidRPr="00DF296F">
        <w:rPr>
          <w:iCs/>
        </w:rPr>
        <w:t xml:space="preserve">the </w:t>
      </w:r>
      <w:r w:rsidRPr="00DF296F">
        <w:rPr>
          <w:iCs/>
        </w:rPr>
        <w:t xml:space="preserve">ESC </w:t>
      </w:r>
      <w:r w:rsidR="00404769" w:rsidRPr="00DF296F">
        <w:rPr>
          <w:iCs/>
        </w:rPr>
        <w:t xml:space="preserve">considered that </w:t>
      </w:r>
      <w:r w:rsidR="00F124BE" w:rsidRPr="00DF296F">
        <w:rPr>
          <w:iCs/>
        </w:rPr>
        <w:t xml:space="preserve">the </w:t>
      </w:r>
      <w:r w:rsidR="00404769" w:rsidRPr="00DF296F">
        <w:rPr>
          <w:iCs/>
        </w:rPr>
        <w:t xml:space="preserve">issues raised by the evaluation </w:t>
      </w:r>
      <w:r w:rsidRPr="00DF296F">
        <w:rPr>
          <w:iCs/>
        </w:rPr>
        <w:t xml:space="preserve">about the comparability of the measured endpoints and the inclusion/exclusion of patients in the ITC added to concerns about the validity of the ITC. </w:t>
      </w:r>
      <w:r w:rsidR="00404769" w:rsidRPr="00DF296F">
        <w:rPr>
          <w:iCs/>
        </w:rPr>
        <w:t xml:space="preserve">The </w:t>
      </w:r>
      <w:r w:rsidRPr="00DF296F">
        <w:rPr>
          <w:iCs/>
        </w:rPr>
        <w:t>ESC further noted that, although the ITC result was not statistically significant (p=0.185), the point estimate favoured phototherapy (mean difference in rmDOR = 2.1</w:t>
      </w:r>
      <w:r w:rsidR="00404769" w:rsidRPr="00DF296F">
        <w:rPr>
          <w:iCs/>
        </w:rPr>
        <w:t xml:space="preserve"> </w:t>
      </w:r>
      <w:r w:rsidRPr="00DF296F">
        <w:rPr>
          <w:iCs/>
        </w:rPr>
        <w:t>months) with a wide confidence interval (-1.0, 5.4). T</w:t>
      </w:r>
      <w:r w:rsidR="00404769" w:rsidRPr="00DF296F">
        <w:rPr>
          <w:iCs/>
        </w:rPr>
        <w:t>he ESC advised t</w:t>
      </w:r>
      <w:r w:rsidRPr="00DF296F">
        <w:rPr>
          <w:iCs/>
        </w:rPr>
        <w:t>hese inconclusive statistical results further added to concerns about whether the ITC had satisfactorily established non-inferiority to phototherapy.</w:t>
      </w:r>
      <w:r w:rsidR="00404769" w:rsidRPr="00DF296F">
        <w:rPr>
          <w:iCs/>
        </w:rPr>
        <w:t xml:space="preserve"> </w:t>
      </w:r>
    </w:p>
    <w:p w14:paraId="1FA2FA60" w14:textId="19B97685" w:rsidR="00D8137E" w:rsidRPr="00AD7B35" w:rsidRDefault="00D8137E" w:rsidP="00D8137E">
      <w:pPr>
        <w:pStyle w:val="3-BodyText"/>
        <w:ind w:left="709" w:hanging="709"/>
        <w:rPr>
          <w:rFonts w:eastAsia="Calibri"/>
        </w:rPr>
      </w:pPr>
      <w:bookmarkStart w:id="66" w:name="_Ref127388447"/>
      <w:r w:rsidRPr="0096381E">
        <w:t xml:space="preserve">The submission </w:t>
      </w:r>
      <w:r w:rsidR="00605FF5">
        <w:t>c</w:t>
      </w:r>
      <w:r w:rsidRPr="0096381E">
        <w:t>laimed that chlormethine</w:t>
      </w:r>
      <w:r w:rsidR="005D4341" w:rsidRPr="0096381E">
        <w:t xml:space="preserve"> gel</w:t>
      </w:r>
      <w:r w:rsidRPr="0096381E">
        <w:t xml:space="preserve"> provided improved effectiveness compared to phototherapy with respect to HRQoL. </w:t>
      </w:r>
      <w:r w:rsidRPr="00DF296F">
        <w:t>Th</w:t>
      </w:r>
      <w:r w:rsidR="00F124BE" w:rsidRPr="00DF296F">
        <w:t xml:space="preserve">e ESC considered this </w:t>
      </w:r>
      <w:r w:rsidRPr="00DF296F">
        <w:t xml:space="preserve">claim was not supported by the </w:t>
      </w:r>
      <w:r w:rsidR="00027D3F" w:rsidRPr="00DF296F">
        <w:t xml:space="preserve">clinical </w:t>
      </w:r>
      <w:r w:rsidR="00B02CB7" w:rsidRPr="00DF296F">
        <w:t xml:space="preserve">trial </w:t>
      </w:r>
      <w:r w:rsidRPr="00DF296F">
        <w:t xml:space="preserve">evidence </w:t>
      </w:r>
      <w:r w:rsidR="00B02CB7" w:rsidRPr="00DF296F">
        <w:t>presented in</w:t>
      </w:r>
      <w:r w:rsidR="00B02CB7" w:rsidRPr="0096381E">
        <w:t xml:space="preserve"> the submission. HRQoL</w:t>
      </w:r>
      <w:r w:rsidRPr="0096381E">
        <w:t xml:space="preserve"> was derived from single arm data from two non-randomised studies which reported different HRQoL instruments</w:t>
      </w:r>
      <w:r w:rsidR="00B02CB7" w:rsidRPr="0096381E">
        <w:t xml:space="preserve"> and was considered inconclusive. HRQoL data </w:t>
      </w:r>
      <w:r w:rsidRPr="0096381E">
        <w:t>were not used in the ITC.</w:t>
      </w:r>
      <w:bookmarkEnd w:id="66"/>
      <w:r w:rsidRPr="0096381E">
        <w:t xml:space="preserve"> </w:t>
      </w:r>
    </w:p>
    <w:p w14:paraId="121207E5" w14:textId="67609712" w:rsidR="00AD7B35" w:rsidRPr="00B81077" w:rsidRDefault="00B81077" w:rsidP="00B81077">
      <w:pPr>
        <w:widowControl w:val="0"/>
        <w:numPr>
          <w:ilvl w:val="1"/>
          <w:numId w:val="1"/>
        </w:numPr>
        <w:spacing w:after="120"/>
        <w:ind w:left="720"/>
        <w:rPr>
          <w:rFonts w:asciiTheme="minorHAnsi" w:hAnsiTheme="minorHAnsi"/>
          <w:snapToGrid w:val="0"/>
          <w:szCs w:val="20"/>
        </w:rPr>
      </w:pPr>
      <w:bookmarkStart w:id="67" w:name="_Hlk76376200"/>
      <w:r w:rsidRPr="00B81077">
        <w:rPr>
          <w:rFonts w:asciiTheme="minorHAnsi" w:hAnsiTheme="minorHAnsi"/>
          <w:iCs/>
          <w:snapToGrid w:val="0"/>
        </w:rPr>
        <w:t>The</w:t>
      </w:r>
      <w:r w:rsidRPr="00B81077">
        <w:rPr>
          <w:rFonts w:asciiTheme="minorHAnsi" w:hAnsiTheme="minorHAnsi"/>
          <w:snapToGrid w:val="0"/>
          <w:szCs w:val="20"/>
        </w:rPr>
        <w:t xml:space="preserve"> PBAC considered that the claim of superior comparative effectiveness </w:t>
      </w:r>
      <w:r>
        <w:rPr>
          <w:rFonts w:asciiTheme="minorHAnsi" w:hAnsiTheme="minorHAnsi"/>
          <w:snapToGrid w:val="0"/>
          <w:szCs w:val="20"/>
        </w:rPr>
        <w:t xml:space="preserve">compared to phototherapy with respect to HRQoL </w:t>
      </w:r>
      <w:r w:rsidRPr="00B81077">
        <w:rPr>
          <w:rFonts w:asciiTheme="minorHAnsi" w:hAnsiTheme="minorHAnsi"/>
          <w:snapToGrid w:val="0"/>
          <w:szCs w:val="20"/>
        </w:rPr>
        <w:t xml:space="preserve">was not adequately supported by the data. </w:t>
      </w:r>
      <w:r w:rsidR="00AD7B35" w:rsidRPr="00B81077">
        <w:rPr>
          <w:rFonts w:asciiTheme="minorHAnsi" w:hAnsiTheme="minorHAnsi"/>
          <w:iCs/>
          <w:snapToGrid w:val="0"/>
        </w:rPr>
        <w:t>The</w:t>
      </w:r>
      <w:r w:rsidR="00AD7B35" w:rsidRPr="00B81077">
        <w:rPr>
          <w:rFonts w:asciiTheme="minorHAnsi" w:hAnsiTheme="minorHAnsi"/>
          <w:snapToGrid w:val="0"/>
          <w:szCs w:val="20"/>
        </w:rPr>
        <w:t xml:space="preserve"> PBAC considered that the claim </w:t>
      </w:r>
      <w:r>
        <w:rPr>
          <w:rFonts w:asciiTheme="minorHAnsi" w:hAnsiTheme="minorHAnsi"/>
          <w:snapToGrid w:val="0"/>
          <w:szCs w:val="20"/>
        </w:rPr>
        <w:t xml:space="preserve">of </w:t>
      </w:r>
      <w:r w:rsidR="00AD7B35" w:rsidRPr="00B81077">
        <w:rPr>
          <w:rFonts w:asciiTheme="minorHAnsi" w:hAnsiTheme="minorHAnsi"/>
          <w:snapToGrid w:val="0"/>
          <w:szCs w:val="20"/>
        </w:rPr>
        <w:t xml:space="preserve">non-inferior comparative effectiveness </w:t>
      </w:r>
      <w:r w:rsidR="00F62C1E" w:rsidRPr="00B81077">
        <w:rPr>
          <w:rFonts w:asciiTheme="minorHAnsi" w:hAnsiTheme="minorHAnsi"/>
          <w:snapToGrid w:val="0"/>
          <w:szCs w:val="20"/>
        </w:rPr>
        <w:t>versus phototherapy was subject to much uncertainty.</w:t>
      </w:r>
      <w:r w:rsidR="00AE3BB8" w:rsidRPr="00B81077">
        <w:rPr>
          <w:rFonts w:asciiTheme="minorHAnsi" w:hAnsiTheme="minorHAnsi"/>
          <w:snapToGrid w:val="0"/>
          <w:szCs w:val="20"/>
        </w:rPr>
        <w:t xml:space="preserve"> </w:t>
      </w:r>
    </w:p>
    <w:p w14:paraId="10DD3A4B" w14:textId="3C0DD035" w:rsidR="00AD7B35" w:rsidRPr="0057107D" w:rsidRDefault="00AD7B35" w:rsidP="00AD7B35">
      <w:pPr>
        <w:widowControl w:val="0"/>
        <w:numPr>
          <w:ilvl w:val="1"/>
          <w:numId w:val="1"/>
        </w:numPr>
        <w:spacing w:after="120"/>
        <w:ind w:left="720"/>
        <w:rPr>
          <w:rFonts w:asciiTheme="minorHAnsi" w:hAnsiTheme="minorHAnsi"/>
          <w:snapToGrid w:val="0"/>
          <w:szCs w:val="20"/>
        </w:rPr>
      </w:pPr>
      <w:bookmarkStart w:id="68" w:name="_Hlk131434230"/>
      <w:r w:rsidRPr="00F62C1E">
        <w:rPr>
          <w:rFonts w:asciiTheme="minorHAnsi" w:hAnsiTheme="minorHAnsi"/>
          <w:snapToGrid w:val="0"/>
          <w:szCs w:val="20"/>
        </w:rPr>
        <w:t xml:space="preserve">The PBAC considered that </w:t>
      </w:r>
      <w:bookmarkEnd w:id="67"/>
      <w:r w:rsidR="00F62C1E">
        <w:rPr>
          <w:rFonts w:asciiTheme="minorHAnsi" w:hAnsiTheme="minorHAnsi"/>
          <w:snapToGrid w:val="0"/>
          <w:szCs w:val="20"/>
        </w:rPr>
        <w:t xml:space="preserve">the </w:t>
      </w:r>
      <w:r w:rsidR="00B81077">
        <w:rPr>
          <w:rFonts w:asciiTheme="minorHAnsi" w:hAnsiTheme="minorHAnsi"/>
          <w:snapToGrid w:val="0"/>
          <w:szCs w:val="20"/>
        </w:rPr>
        <w:t xml:space="preserve">claim of non-inferior </w:t>
      </w:r>
      <w:r w:rsidR="00F62C1E">
        <w:rPr>
          <w:rFonts w:asciiTheme="minorHAnsi" w:hAnsiTheme="minorHAnsi"/>
          <w:snapToGrid w:val="0"/>
          <w:szCs w:val="20"/>
        </w:rPr>
        <w:t xml:space="preserve">safety </w:t>
      </w:r>
      <w:r w:rsidR="00B81077">
        <w:rPr>
          <w:rFonts w:asciiTheme="minorHAnsi" w:hAnsiTheme="minorHAnsi"/>
          <w:snapToGrid w:val="0"/>
          <w:szCs w:val="20"/>
        </w:rPr>
        <w:t xml:space="preserve">was not adequately supported by the </w:t>
      </w:r>
      <w:r w:rsidR="00B81077" w:rsidRPr="0057107D">
        <w:rPr>
          <w:rFonts w:asciiTheme="minorHAnsi" w:hAnsiTheme="minorHAnsi"/>
          <w:snapToGrid w:val="0"/>
          <w:szCs w:val="20"/>
        </w:rPr>
        <w:t xml:space="preserve">data but that the safety </w:t>
      </w:r>
      <w:r w:rsidR="00F62C1E" w:rsidRPr="0057107D">
        <w:rPr>
          <w:rFonts w:asciiTheme="minorHAnsi" w:hAnsiTheme="minorHAnsi"/>
          <w:snapToGrid w:val="0"/>
          <w:szCs w:val="20"/>
        </w:rPr>
        <w:t>of chlormethine gel was manageable</w:t>
      </w:r>
      <w:r w:rsidR="00DB280B" w:rsidRPr="0057107D">
        <w:rPr>
          <w:rFonts w:asciiTheme="minorHAnsi" w:hAnsiTheme="minorHAnsi"/>
          <w:snapToGrid w:val="0"/>
          <w:szCs w:val="20"/>
        </w:rPr>
        <w:t>, given the intended use.</w:t>
      </w:r>
    </w:p>
    <w:p w14:paraId="4A6BE8F3" w14:textId="77777777" w:rsidR="00D8137E" w:rsidRPr="00EF4C2D" w:rsidRDefault="00D8137E" w:rsidP="00D8137E">
      <w:pPr>
        <w:pStyle w:val="4-SubsectionHeading"/>
      </w:pPr>
      <w:bookmarkStart w:id="69" w:name="_Toc22897645"/>
      <w:bookmarkStart w:id="70" w:name="_Toc107927631"/>
      <w:bookmarkStart w:id="71" w:name="_Toc121755824"/>
      <w:bookmarkEnd w:id="68"/>
      <w:r w:rsidRPr="00EF4C2D">
        <w:t>Economic analysis</w:t>
      </w:r>
      <w:bookmarkEnd w:id="69"/>
      <w:bookmarkEnd w:id="70"/>
      <w:bookmarkEnd w:id="71"/>
      <w:r w:rsidRPr="00EF4C2D">
        <w:t xml:space="preserve"> </w:t>
      </w:r>
    </w:p>
    <w:p w14:paraId="2BD32FDC" w14:textId="4582D54E" w:rsidR="00856E8E" w:rsidRPr="00856E8E" w:rsidRDefault="00D8137E" w:rsidP="00856E8E">
      <w:pPr>
        <w:pStyle w:val="3-BodyText"/>
        <w:ind w:left="709" w:hanging="709"/>
        <w:rPr>
          <w:rFonts w:eastAsia="Calibri"/>
        </w:rPr>
      </w:pPr>
      <w:r w:rsidRPr="00EF4C2D">
        <w:t xml:space="preserve">The submission presented a modelled economic evaluation; a CUA, comparing chlormethine gel with phototherapy (PUVA) based on data from one arm of Study 201 for chlormethine gel and one arm each of three studies for the nominated comparator, PUVA. </w:t>
      </w:r>
      <w:bookmarkStart w:id="72" w:name="_Ref127389238"/>
      <w:r w:rsidRPr="0096381E">
        <w:t xml:space="preserve">The CUA resulted in an estimated difference in </w:t>
      </w:r>
      <w:r w:rsidR="004C6294" w:rsidRPr="0096381E">
        <w:t>HRQoL</w:t>
      </w:r>
      <w:r w:rsidRPr="0096381E">
        <w:t xml:space="preserve"> in favour of chlormethine gel arising from patients treated with chlormethine gel spending less time in the initial health states, inferring a better and more durable response to therapy than achieved with phototherapy. </w:t>
      </w:r>
      <w:r w:rsidR="00856E8E" w:rsidRPr="00DF296F">
        <w:t xml:space="preserve">The ESC considered the clinical evidence did not provide a reliable basis for a CUA </w:t>
      </w:r>
      <w:r w:rsidR="00BE6A74" w:rsidRPr="00DF296F">
        <w:t xml:space="preserve">with </w:t>
      </w:r>
      <w:r w:rsidR="00856E8E" w:rsidRPr="00DF296F">
        <w:t>the claim that chlormethine gel provided improved effectiveness compared to phototherapy with respect to HRQoL not supported</w:t>
      </w:r>
      <w:r w:rsidR="00A055DD" w:rsidRPr="00DF296F">
        <w:t xml:space="preserve"> (see paragraph </w:t>
      </w:r>
      <w:r w:rsidR="00A055DD" w:rsidRPr="00DF296F">
        <w:fldChar w:fldCharType="begin"/>
      </w:r>
      <w:r w:rsidR="00A055DD" w:rsidRPr="00DF296F">
        <w:instrText xml:space="preserve"> REF _Ref127388447 \r \h </w:instrText>
      </w:r>
      <w:r w:rsidR="00DF296F">
        <w:instrText xml:space="preserve"> \* MERGEFORMAT </w:instrText>
      </w:r>
      <w:r w:rsidR="00A055DD" w:rsidRPr="00DF296F">
        <w:fldChar w:fldCharType="separate"/>
      </w:r>
      <w:r w:rsidR="00FD5578">
        <w:t>6.30</w:t>
      </w:r>
      <w:r w:rsidR="00A055DD" w:rsidRPr="00DF296F">
        <w:fldChar w:fldCharType="end"/>
      </w:r>
      <w:r w:rsidR="00A055DD" w:rsidRPr="00DF296F">
        <w:t>)</w:t>
      </w:r>
      <w:r w:rsidR="00856E8E" w:rsidRPr="00DF296F">
        <w:t>.</w:t>
      </w:r>
      <w:bookmarkEnd w:id="72"/>
      <w:r w:rsidR="00856E8E" w:rsidRPr="00DF296F">
        <w:t xml:space="preserve"> </w:t>
      </w:r>
    </w:p>
    <w:p w14:paraId="7E71BCA9" w14:textId="74017BD6" w:rsidR="00D8137E" w:rsidRPr="00856E8E" w:rsidRDefault="00D8137E" w:rsidP="00856E8E">
      <w:pPr>
        <w:pStyle w:val="3-BodyText"/>
        <w:ind w:left="709" w:hanging="709"/>
        <w:rPr>
          <w:rFonts w:eastAsia="Calibri"/>
        </w:rPr>
      </w:pPr>
      <w:r w:rsidRPr="0096381E">
        <w:t xml:space="preserve">A summary of the model structure is presented in </w:t>
      </w:r>
      <w:r w:rsidRPr="0096381E">
        <w:fldChar w:fldCharType="begin"/>
      </w:r>
      <w:r w:rsidRPr="0096381E">
        <w:instrText xml:space="preserve"> REF _Ref121381314 \h </w:instrText>
      </w:r>
      <w:r w:rsidR="00EF4C2D" w:rsidRPr="0096381E">
        <w:instrText xml:space="preserve"> \* MERGEFORMAT </w:instrText>
      </w:r>
      <w:r w:rsidRPr="0096381E">
        <w:fldChar w:fldCharType="separate"/>
      </w:r>
      <w:r w:rsidR="00FD5578" w:rsidRPr="007238FF">
        <w:t xml:space="preserve">Table </w:t>
      </w:r>
      <w:r w:rsidR="00FD5578">
        <w:rPr>
          <w:noProof/>
        </w:rPr>
        <w:t>8</w:t>
      </w:r>
      <w:r w:rsidRPr="0096381E">
        <w:fldChar w:fldCharType="end"/>
      </w:r>
      <w:r w:rsidR="004C6294" w:rsidRPr="0096381E">
        <w:t>.</w:t>
      </w:r>
    </w:p>
    <w:p w14:paraId="6C5F96FA" w14:textId="110CAF4A" w:rsidR="00D8137E" w:rsidRPr="007238FF" w:rsidRDefault="00D8137E" w:rsidP="00D8137E">
      <w:pPr>
        <w:pStyle w:val="Caption"/>
        <w:jc w:val="left"/>
        <w:rPr>
          <w:rStyle w:val="CommentReference"/>
          <w:b/>
          <w:bCs w:val="0"/>
          <w:szCs w:val="24"/>
        </w:rPr>
      </w:pPr>
      <w:bookmarkStart w:id="73" w:name="_Ref121381314"/>
      <w:r w:rsidRPr="007238FF">
        <w:t xml:space="preserve">Table </w:t>
      </w:r>
      <w:r w:rsidR="00FD5578">
        <w:fldChar w:fldCharType="begin"/>
      </w:r>
      <w:r w:rsidR="00FD5578">
        <w:instrText xml:space="preserve"> SEQ Table \* ARABIC </w:instrText>
      </w:r>
      <w:r w:rsidR="00FD5578">
        <w:fldChar w:fldCharType="separate"/>
      </w:r>
      <w:r w:rsidR="00FD5578">
        <w:rPr>
          <w:noProof/>
        </w:rPr>
        <w:t>8</w:t>
      </w:r>
      <w:r w:rsidR="00FD5578">
        <w:rPr>
          <w:noProof/>
        </w:rPr>
        <w:fldChar w:fldCharType="end"/>
      </w:r>
      <w:bookmarkEnd w:id="73"/>
      <w:r w:rsidRPr="007238FF">
        <w:t>:</w:t>
      </w:r>
      <w:r w:rsidRPr="007238FF">
        <w:rPr>
          <w:rStyle w:val="CommentReference"/>
          <w:b/>
          <w:bCs w:val="0"/>
          <w:szCs w:val="24"/>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8"/>
        <w:gridCol w:w="6499"/>
      </w:tblGrid>
      <w:tr w:rsidR="00D8137E" w:rsidRPr="00EF4C2D" w14:paraId="6490BA24" w14:textId="77777777" w:rsidTr="007C08EB">
        <w:trPr>
          <w:tblHeader/>
        </w:trPr>
        <w:tc>
          <w:tcPr>
            <w:tcW w:w="1396" w:type="pct"/>
            <w:tcBorders>
              <w:top w:val="single" w:sz="4" w:space="0" w:color="auto"/>
              <w:left w:val="single" w:sz="4" w:space="0" w:color="auto"/>
              <w:bottom w:val="single" w:sz="4" w:space="0" w:color="auto"/>
              <w:right w:val="single" w:sz="4" w:space="0" w:color="auto"/>
            </w:tcBorders>
            <w:vAlign w:val="center"/>
            <w:hideMark/>
          </w:tcPr>
          <w:p w14:paraId="2A2FF121" w14:textId="77777777" w:rsidR="00D8137E" w:rsidRPr="0096381E" w:rsidRDefault="00D8137E" w:rsidP="007C08EB">
            <w:pPr>
              <w:pStyle w:val="In-tableHeading"/>
            </w:pPr>
            <w:r w:rsidRPr="0096381E">
              <w:t>Component</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C423FA8" w14:textId="77777777" w:rsidR="00D8137E" w:rsidRPr="0096381E" w:rsidRDefault="00D8137E" w:rsidP="007C08EB">
            <w:pPr>
              <w:pStyle w:val="In-tableHeading"/>
            </w:pPr>
            <w:r w:rsidRPr="0096381E">
              <w:t>Summary</w:t>
            </w:r>
          </w:p>
        </w:tc>
      </w:tr>
      <w:tr w:rsidR="00D8137E" w:rsidRPr="00EF4C2D" w14:paraId="05A173CC" w14:textId="77777777" w:rsidTr="007C08EB">
        <w:tc>
          <w:tcPr>
            <w:tcW w:w="1396" w:type="pct"/>
            <w:tcBorders>
              <w:top w:val="single" w:sz="4" w:space="0" w:color="auto"/>
              <w:left w:val="single" w:sz="4" w:space="0" w:color="auto"/>
              <w:bottom w:val="single" w:sz="4" w:space="0" w:color="auto"/>
              <w:right w:val="single" w:sz="4" w:space="0" w:color="auto"/>
            </w:tcBorders>
            <w:vAlign w:val="center"/>
            <w:hideMark/>
          </w:tcPr>
          <w:p w14:paraId="1F41D411" w14:textId="77777777" w:rsidR="00D8137E" w:rsidRPr="0096381E" w:rsidRDefault="00D8137E" w:rsidP="007C08EB">
            <w:pPr>
              <w:pStyle w:val="TableText0"/>
            </w:pPr>
            <w:r w:rsidRPr="0096381E">
              <w:t>Treatments</w:t>
            </w:r>
          </w:p>
        </w:tc>
        <w:tc>
          <w:tcPr>
            <w:tcW w:w="3604" w:type="pct"/>
            <w:tcBorders>
              <w:top w:val="single" w:sz="4" w:space="0" w:color="auto"/>
              <w:left w:val="single" w:sz="4" w:space="0" w:color="auto"/>
              <w:bottom w:val="single" w:sz="4" w:space="0" w:color="auto"/>
              <w:right w:val="single" w:sz="4" w:space="0" w:color="auto"/>
            </w:tcBorders>
            <w:vAlign w:val="center"/>
            <w:hideMark/>
          </w:tcPr>
          <w:p w14:paraId="3B71539D" w14:textId="77777777" w:rsidR="00D8137E" w:rsidRPr="0096381E" w:rsidRDefault="00D8137E" w:rsidP="007C08EB">
            <w:pPr>
              <w:pStyle w:val="TableText0"/>
              <w:rPr>
                <w:lang w:val="pl-PL"/>
              </w:rPr>
            </w:pPr>
            <w:r w:rsidRPr="0096381E">
              <w:rPr>
                <w:lang w:val="pl-PL"/>
              </w:rPr>
              <w:t>Chlormethine gel versus phototherapy</w:t>
            </w:r>
          </w:p>
        </w:tc>
      </w:tr>
      <w:tr w:rsidR="00D8137E" w:rsidRPr="00EF4C2D" w14:paraId="2E37ECA3" w14:textId="77777777" w:rsidTr="007C08EB">
        <w:tc>
          <w:tcPr>
            <w:tcW w:w="1396" w:type="pct"/>
            <w:tcBorders>
              <w:top w:val="single" w:sz="4" w:space="0" w:color="auto"/>
              <w:left w:val="single" w:sz="4" w:space="0" w:color="auto"/>
              <w:bottom w:val="single" w:sz="4" w:space="0" w:color="auto"/>
              <w:right w:val="single" w:sz="4" w:space="0" w:color="auto"/>
            </w:tcBorders>
            <w:vAlign w:val="center"/>
            <w:hideMark/>
          </w:tcPr>
          <w:p w14:paraId="1DE410B5" w14:textId="77777777" w:rsidR="00D8137E" w:rsidRPr="0096381E" w:rsidRDefault="00D8137E" w:rsidP="007C08EB">
            <w:pPr>
              <w:pStyle w:val="TableText0"/>
            </w:pPr>
            <w:r w:rsidRPr="0096381E">
              <w:t>Time horizon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5161C10D" w14:textId="1306F0E5" w:rsidR="00D8137E" w:rsidRPr="0096381E" w:rsidRDefault="00D8137E" w:rsidP="007C08EB">
            <w:pPr>
              <w:pStyle w:val="TableText0"/>
            </w:pPr>
            <w:r w:rsidRPr="0096381E">
              <w:t>Lifetime- 46 years in the model base case. This was not reasonable given that disease-specific survival data used in the model were based on a study (Agar et al. 2010) with a median follow-up of 5.9 years. Response rates were sourced from Study 201, with a maximum follow-up of 12 months.</w:t>
            </w:r>
          </w:p>
        </w:tc>
      </w:tr>
      <w:tr w:rsidR="00D8137E" w:rsidRPr="00EF4C2D" w14:paraId="34A623BA" w14:textId="77777777" w:rsidTr="007C08EB">
        <w:tc>
          <w:tcPr>
            <w:tcW w:w="1396" w:type="pct"/>
            <w:tcBorders>
              <w:top w:val="single" w:sz="4" w:space="0" w:color="auto"/>
              <w:left w:val="single" w:sz="4" w:space="0" w:color="auto"/>
              <w:bottom w:val="single" w:sz="4" w:space="0" w:color="auto"/>
              <w:right w:val="single" w:sz="4" w:space="0" w:color="auto"/>
            </w:tcBorders>
            <w:vAlign w:val="center"/>
            <w:hideMark/>
          </w:tcPr>
          <w:p w14:paraId="327DE5AF" w14:textId="77777777" w:rsidR="00D8137E" w:rsidRPr="0096381E" w:rsidRDefault="00D8137E" w:rsidP="007C08EB">
            <w:pPr>
              <w:pStyle w:val="TableText0"/>
            </w:pPr>
            <w:r w:rsidRPr="0096381E">
              <w:t>Outcomes</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2E13475" w14:textId="77777777" w:rsidR="00D8137E" w:rsidRPr="0096381E" w:rsidRDefault="00D8137E" w:rsidP="007C08EB">
            <w:pPr>
              <w:pStyle w:val="TableText0"/>
            </w:pPr>
            <w:r w:rsidRPr="0096381E">
              <w:t xml:space="preserve">LYG and QALYs. </w:t>
            </w:r>
          </w:p>
        </w:tc>
      </w:tr>
      <w:tr w:rsidR="00D8137E" w:rsidRPr="00EF4C2D" w14:paraId="6B309DA3" w14:textId="77777777" w:rsidTr="007C08EB">
        <w:tc>
          <w:tcPr>
            <w:tcW w:w="1396" w:type="pct"/>
            <w:tcBorders>
              <w:top w:val="single" w:sz="4" w:space="0" w:color="auto"/>
              <w:left w:val="single" w:sz="4" w:space="0" w:color="auto"/>
              <w:bottom w:val="single" w:sz="4" w:space="0" w:color="auto"/>
              <w:right w:val="single" w:sz="4" w:space="0" w:color="auto"/>
            </w:tcBorders>
            <w:vAlign w:val="center"/>
            <w:hideMark/>
          </w:tcPr>
          <w:p w14:paraId="64B56B63" w14:textId="77777777" w:rsidR="00D8137E" w:rsidRPr="0096381E" w:rsidRDefault="00D8137E" w:rsidP="007C08EB">
            <w:pPr>
              <w:pStyle w:val="TableText0"/>
            </w:pPr>
            <w:r w:rsidRPr="0096381E">
              <w:t>Methods used to generate results</w:t>
            </w:r>
          </w:p>
        </w:tc>
        <w:tc>
          <w:tcPr>
            <w:tcW w:w="3604" w:type="pct"/>
            <w:tcBorders>
              <w:top w:val="single" w:sz="4" w:space="0" w:color="auto"/>
              <w:left w:val="single" w:sz="4" w:space="0" w:color="auto"/>
              <w:bottom w:val="single" w:sz="4" w:space="0" w:color="auto"/>
              <w:right w:val="single" w:sz="4" w:space="0" w:color="auto"/>
            </w:tcBorders>
            <w:vAlign w:val="center"/>
            <w:hideMark/>
          </w:tcPr>
          <w:p w14:paraId="1EE5A67C" w14:textId="77777777" w:rsidR="00D8137E" w:rsidRPr="0096381E" w:rsidRDefault="00D8137E" w:rsidP="007C08EB">
            <w:pPr>
              <w:pStyle w:val="TableText0"/>
            </w:pPr>
            <w:r w:rsidRPr="0096381E">
              <w:t>State transition (Markov) cohort model</w:t>
            </w:r>
          </w:p>
        </w:tc>
      </w:tr>
      <w:tr w:rsidR="00D8137E" w:rsidRPr="00EF4C2D" w14:paraId="757F7F59" w14:textId="77777777" w:rsidTr="007C08EB">
        <w:tc>
          <w:tcPr>
            <w:tcW w:w="1396" w:type="pct"/>
            <w:tcBorders>
              <w:top w:val="single" w:sz="4" w:space="0" w:color="auto"/>
              <w:left w:val="single" w:sz="4" w:space="0" w:color="auto"/>
              <w:bottom w:val="single" w:sz="4" w:space="0" w:color="auto"/>
              <w:right w:val="single" w:sz="4" w:space="0" w:color="auto"/>
            </w:tcBorders>
            <w:vAlign w:val="center"/>
            <w:hideMark/>
          </w:tcPr>
          <w:p w14:paraId="431C7811" w14:textId="77777777" w:rsidR="00D8137E" w:rsidRPr="0096381E" w:rsidRDefault="00D8137E" w:rsidP="007C08EB">
            <w:pPr>
              <w:pStyle w:val="TableText0"/>
            </w:pPr>
            <w:r w:rsidRPr="0096381E">
              <w:t>Health states</w:t>
            </w:r>
          </w:p>
        </w:tc>
        <w:tc>
          <w:tcPr>
            <w:tcW w:w="3604" w:type="pct"/>
            <w:tcBorders>
              <w:top w:val="single" w:sz="4" w:space="0" w:color="auto"/>
              <w:left w:val="single" w:sz="4" w:space="0" w:color="auto"/>
              <w:bottom w:val="single" w:sz="4" w:space="0" w:color="auto"/>
              <w:right w:val="single" w:sz="4" w:space="0" w:color="auto"/>
            </w:tcBorders>
            <w:vAlign w:val="center"/>
            <w:hideMark/>
          </w:tcPr>
          <w:p w14:paraId="3636F5C6" w14:textId="77777777" w:rsidR="00D8137E" w:rsidRPr="0096381E" w:rsidRDefault="00D8137E" w:rsidP="007C08EB">
            <w:pPr>
              <w:pStyle w:val="TableText0"/>
            </w:pPr>
            <w:r w:rsidRPr="0096381E">
              <w:t>24 health states; each within a defined a MF-CTCL disease stage. The defined health states were: Stage IA, Stage IB/IIA, Stage IIB+ (&lt;10% BSA) and Stage IIB+ (&gt;10% BSA). Each disease stage had 6 health states defined per skin burden.</w:t>
            </w:r>
          </w:p>
        </w:tc>
      </w:tr>
      <w:tr w:rsidR="00D8137E" w:rsidRPr="00EF4C2D" w14:paraId="4CD3A13F" w14:textId="77777777" w:rsidTr="007C08EB">
        <w:tc>
          <w:tcPr>
            <w:tcW w:w="1396" w:type="pct"/>
            <w:tcBorders>
              <w:top w:val="single" w:sz="4" w:space="0" w:color="auto"/>
              <w:left w:val="single" w:sz="4" w:space="0" w:color="auto"/>
              <w:bottom w:val="single" w:sz="4" w:space="0" w:color="auto"/>
              <w:right w:val="single" w:sz="4" w:space="0" w:color="auto"/>
            </w:tcBorders>
            <w:vAlign w:val="center"/>
            <w:hideMark/>
          </w:tcPr>
          <w:p w14:paraId="3745720B" w14:textId="77777777" w:rsidR="00D8137E" w:rsidRPr="0096381E" w:rsidRDefault="00D8137E" w:rsidP="007C08EB">
            <w:pPr>
              <w:pStyle w:val="TableText0"/>
            </w:pPr>
            <w:r w:rsidRPr="0096381E">
              <w:t>Cycle length</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E34DB72" w14:textId="77777777" w:rsidR="00D8137E" w:rsidRPr="0096381E" w:rsidRDefault="00D8137E" w:rsidP="007C08EB">
            <w:pPr>
              <w:pStyle w:val="TableText0"/>
            </w:pPr>
            <w:r w:rsidRPr="0096381E">
              <w:t>1 month</w:t>
            </w:r>
          </w:p>
        </w:tc>
      </w:tr>
      <w:tr w:rsidR="00D8137E" w:rsidRPr="00EF4C2D" w14:paraId="735A44D5" w14:textId="77777777" w:rsidTr="007C08EB">
        <w:tc>
          <w:tcPr>
            <w:tcW w:w="1396" w:type="pct"/>
            <w:tcBorders>
              <w:top w:val="single" w:sz="4" w:space="0" w:color="auto"/>
              <w:left w:val="single" w:sz="4" w:space="0" w:color="auto"/>
              <w:bottom w:val="single" w:sz="4" w:space="0" w:color="auto"/>
              <w:right w:val="single" w:sz="4" w:space="0" w:color="auto"/>
            </w:tcBorders>
            <w:vAlign w:val="center"/>
          </w:tcPr>
          <w:p w14:paraId="6DDDB90A" w14:textId="77777777" w:rsidR="00D8137E" w:rsidRPr="0096381E" w:rsidRDefault="00D8137E" w:rsidP="007C08EB">
            <w:pPr>
              <w:pStyle w:val="TableText0"/>
            </w:pPr>
            <w:r w:rsidRPr="0096381E">
              <w:t>Transition probabilities</w:t>
            </w:r>
          </w:p>
          <w:p w14:paraId="6E109596" w14:textId="77777777" w:rsidR="00D8137E" w:rsidRPr="0096381E" w:rsidRDefault="00D8137E" w:rsidP="007C08EB">
            <w:pPr>
              <w:pStyle w:val="TableText0"/>
            </w:pPr>
          </w:p>
        </w:tc>
        <w:tc>
          <w:tcPr>
            <w:tcW w:w="3604" w:type="pct"/>
            <w:tcBorders>
              <w:top w:val="single" w:sz="4" w:space="0" w:color="auto"/>
              <w:left w:val="single" w:sz="4" w:space="0" w:color="auto"/>
              <w:bottom w:val="single" w:sz="4" w:space="0" w:color="auto"/>
              <w:right w:val="single" w:sz="4" w:space="0" w:color="auto"/>
            </w:tcBorders>
            <w:vAlign w:val="center"/>
            <w:hideMark/>
          </w:tcPr>
          <w:p w14:paraId="0D479D7F" w14:textId="77777777" w:rsidR="00D8137E" w:rsidRPr="0096381E" w:rsidRDefault="00D8137E" w:rsidP="007C08EB">
            <w:pPr>
              <w:pStyle w:val="TableText0"/>
              <w:keepNext w:val="0"/>
              <w:keepLines/>
              <w:widowControl w:val="0"/>
            </w:pPr>
            <w:r w:rsidRPr="0096381E">
              <w:t>Transition probabilities between disease stages was derived from Agar et al. 2010 and Wernham et al. 2015.</w:t>
            </w:r>
          </w:p>
          <w:p w14:paraId="0F71CA4F" w14:textId="77777777" w:rsidR="00D8137E" w:rsidRPr="0096381E" w:rsidRDefault="00D8137E" w:rsidP="007C08EB">
            <w:pPr>
              <w:pStyle w:val="TableText0"/>
              <w:keepNext w:val="0"/>
              <w:keepLines/>
              <w:widowControl w:val="0"/>
            </w:pPr>
            <w:r w:rsidRPr="0096381E">
              <w:t>Transition probabilities within disease stages (degree of skin burden) were derived from mSWAT response rates from Study 201, Kim et al. 2003 and Phan et al. 2019</w:t>
            </w:r>
          </w:p>
          <w:p w14:paraId="1B6B02E1" w14:textId="77777777" w:rsidR="00D8137E" w:rsidRPr="0096381E" w:rsidRDefault="00D8137E" w:rsidP="007C08EB">
            <w:pPr>
              <w:pStyle w:val="TableText0"/>
            </w:pPr>
            <w:r w:rsidRPr="0096381E">
              <w:t>Transition to death was derived from Agar et al. 2010 and PROCLIPI 2019.</w:t>
            </w:r>
          </w:p>
        </w:tc>
      </w:tr>
      <w:tr w:rsidR="00D8137E" w:rsidRPr="00EF4C2D" w14:paraId="3424233E" w14:textId="77777777" w:rsidTr="007C08EB">
        <w:tc>
          <w:tcPr>
            <w:tcW w:w="1396" w:type="pct"/>
            <w:tcBorders>
              <w:top w:val="single" w:sz="4" w:space="0" w:color="auto"/>
              <w:left w:val="single" w:sz="4" w:space="0" w:color="auto"/>
              <w:bottom w:val="single" w:sz="4" w:space="0" w:color="auto"/>
              <w:right w:val="single" w:sz="4" w:space="0" w:color="auto"/>
            </w:tcBorders>
            <w:vAlign w:val="center"/>
            <w:hideMark/>
          </w:tcPr>
          <w:p w14:paraId="690F8A13" w14:textId="77777777" w:rsidR="00D8137E" w:rsidRPr="0096381E" w:rsidRDefault="00D8137E" w:rsidP="007C08EB">
            <w:pPr>
              <w:pStyle w:val="TableText0"/>
            </w:pPr>
            <w:r w:rsidRPr="0096381E">
              <w:t>Extrapolation method</w:t>
            </w:r>
          </w:p>
        </w:tc>
        <w:tc>
          <w:tcPr>
            <w:tcW w:w="3604" w:type="pct"/>
            <w:tcBorders>
              <w:top w:val="single" w:sz="4" w:space="0" w:color="auto"/>
              <w:left w:val="single" w:sz="4" w:space="0" w:color="auto"/>
              <w:bottom w:val="single" w:sz="4" w:space="0" w:color="auto"/>
              <w:right w:val="single" w:sz="4" w:space="0" w:color="auto"/>
            </w:tcBorders>
            <w:vAlign w:val="center"/>
            <w:hideMark/>
          </w:tcPr>
          <w:p w14:paraId="1430EDEC" w14:textId="77777777" w:rsidR="00D8137E" w:rsidRPr="0096381E" w:rsidRDefault="00D8137E" w:rsidP="007C08EB">
            <w:pPr>
              <w:pStyle w:val="TableText0"/>
            </w:pPr>
            <w:r w:rsidRPr="0096381E">
              <w:t>No methods of extrapolation were presented by the submission. This was not appropriate given that the time horizon utilised in the model is beyond the trial time horizon from which the effectiveness data were drawn.</w:t>
            </w:r>
          </w:p>
        </w:tc>
      </w:tr>
      <w:tr w:rsidR="00D8137E" w:rsidRPr="00EF4C2D" w14:paraId="3BA51BCC" w14:textId="77777777" w:rsidTr="007C08EB">
        <w:tc>
          <w:tcPr>
            <w:tcW w:w="1396" w:type="pct"/>
            <w:tcBorders>
              <w:top w:val="single" w:sz="4" w:space="0" w:color="auto"/>
              <w:left w:val="single" w:sz="4" w:space="0" w:color="auto"/>
              <w:bottom w:val="single" w:sz="4" w:space="0" w:color="auto"/>
              <w:right w:val="single" w:sz="4" w:space="0" w:color="auto"/>
            </w:tcBorders>
            <w:vAlign w:val="center"/>
            <w:hideMark/>
          </w:tcPr>
          <w:p w14:paraId="6968D750" w14:textId="77777777" w:rsidR="00D8137E" w:rsidRPr="0096381E" w:rsidRDefault="00D8137E" w:rsidP="007C08EB">
            <w:pPr>
              <w:pStyle w:val="TableText0"/>
            </w:pPr>
            <w:r w:rsidRPr="0096381E">
              <w:t>Health related quality of life</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6191770" w14:textId="794B44FC" w:rsidR="00D8137E" w:rsidRPr="0096381E" w:rsidRDefault="00D8137E" w:rsidP="007C08EB">
            <w:pPr>
              <w:pStyle w:val="TableText0"/>
            </w:pPr>
            <w:r w:rsidRPr="0096381E">
              <w:t>Utility values were derived from a vignette study describing twelve patients in different MF-CTCL disease stages with varying levels of skin burden</w:t>
            </w:r>
            <w:r w:rsidR="004C6294" w:rsidRPr="0096381E">
              <w:t xml:space="preserve">. The vignettes </w:t>
            </w:r>
            <w:r w:rsidRPr="0096381E">
              <w:t>cover</w:t>
            </w:r>
            <w:r w:rsidR="004C6294" w:rsidRPr="0096381E">
              <w:t>ed</w:t>
            </w:r>
            <w:r w:rsidRPr="0096381E">
              <w:t xml:space="preserve"> the range of health states used in the model</w:t>
            </w:r>
            <w:r w:rsidR="00175FCA" w:rsidRPr="0096381E">
              <w:t xml:space="preserve"> with </w:t>
            </w:r>
            <w:r w:rsidRPr="0096381E">
              <w:t>clinicians</w:t>
            </w:r>
            <w:r w:rsidR="00175FCA" w:rsidRPr="0096381E">
              <w:t xml:space="preserve"> used</w:t>
            </w:r>
            <w:r w:rsidRPr="0096381E">
              <w:t xml:space="preserve"> as proxies</w:t>
            </w:r>
            <w:r w:rsidR="00175FCA" w:rsidRPr="0096381E">
              <w:t xml:space="preserve"> to determine EQ-5D-5L values</w:t>
            </w:r>
            <w:r w:rsidRPr="0096381E">
              <w:t>. This was not appropriate. The utility values derived from the vignette study was used to estimate utility values for the 24 health states in the model. The same utility values were used for all the health states in the chlormethine gel and phototherapy arms of the model, thus the utility values used were independent of treatment group</w:t>
            </w:r>
          </w:p>
        </w:tc>
      </w:tr>
    </w:tbl>
    <w:p w14:paraId="4828418B" w14:textId="77777777" w:rsidR="00D8137E" w:rsidRPr="00EF4C2D" w:rsidRDefault="00D8137E" w:rsidP="00D8137E">
      <w:pPr>
        <w:pStyle w:val="FooterTableFigure"/>
      </w:pPr>
      <w:r w:rsidRPr="00EF4C2D">
        <w:t>Source: Compiled during the evaluation using information from Table 3-1, pp151-152; text, pp170-180; Workbook ‘Chlormethine – Ledaga – Section 3 – Economic Model (Final)’, worksheets ‘Utility Calculations’ of the submission.</w:t>
      </w:r>
    </w:p>
    <w:p w14:paraId="5371A30B" w14:textId="56BB1244" w:rsidR="00D8137E" w:rsidRPr="00EF4C2D" w:rsidRDefault="00D8137E" w:rsidP="00D8137E">
      <w:pPr>
        <w:pStyle w:val="FooterTableFigure"/>
      </w:pPr>
      <w:r w:rsidRPr="00EF4C2D">
        <w:t>BSA = body surface area; LYG = life years gained; m SWAT = modified severity-weighted assessment tool; PROCLIPI = Prospective Cutaneous Lymphoma International Prognostic Index; QALYs = quality adjusted life years.</w:t>
      </w:r>
    </w:p>
    <w:p w14:paraId="4988CC30" w14:textId="2E8A49A7" w:rsidR="00D8137E" w:rsidRPr="0096381E" w:rsidRDefault="00D8137E" w:rsidP="00D8137E">
      <w:pPr>
        <w:pStyle w:val="3-BodyText"/>
        <w:ind w:left="709" w:hanging="709"/>
        <w:rPr>
          <w:bCs/>
          <w:iCs/>
        </w:rPr>
      </w:pPr>
      <w:r w:rsidRPr="00EF4C2D">
        <w:t xml:space="preserve">The submission claimed it presented early-stage MF-CTCL patients as their base case in the economic model. </w:t>
      </w:r>
      <w:r w:rsidRPr="0096381E">
        <w:rPr>
          <w:iCs/>
        </w:rPr>
        <w:t xml:space="preserve">During the evaluation, it was observed that patients with early-stage MF-CTCL transitioned to some health states in Stage IIB+ with high burden, thus accruing costs and outcomes contributing to the estimated ICER. </w:t>
      </w:r>
      <w:bookmarkStart w:id="74" w:name="_Hlk121642225"/>
      <w:bookmarkStart w:id="75" w:name="_Hlk121642209"/>
      <w:r w:rsidRPr="0096381E">
        <w:rPr>
          <w:iCs/>
        </w:rPr>
        <w:t xml:space="preserve">There was no </w:t>
      </w:r>
      <w:r w:rsidR="00175FCA" w:rsidRPr="0096381E">
        <w:rPr>
          <w:iCs/>
        </w:rPr>
        <w:t xml:space="preserve">clinical </w:t>
      </w:r>
      <w:r w:rsidRPr="0096381E">
        <w:rPr>
          <w:iCs/>
        </w:rPr>
        <w:t>evidence presented on the rate of progression to later stage disease arising from the use of either chlormethine gel or phototherap</w:t>
      </w:r>
      <w:bookmarkEnd w:id="74"/>
      <w:r w:rsidRPr="0096381E">
        <w:rPr>
          <w:iCs/>
        </w:rPr>
        <w:t>y.</w:t>
      </w:r>
    </w:p>
    <w:bookmarkEnd w:id="75"/>
    <w:p w14:paraId="200E3C8F" w14:textId="3C1FA560" w:rsidR="00D8137E" w:rsidRPr="0092490D" w:rsidRDefault="00D8137E" w:rsidP="0092490D">
      <w:pPr>
        <w:pStyle w:val="3-BodyText"/>
        <w:ind w:left="709" w:hanging="709"/>
        <w:rPr>
          <w:iCs/>
        </w:rPr>
      </w:pPr>
      <w:r w:rsidRPr="0092490D">
        <w:rPr>
          <w:iCs/>
        </w:rPr>
        <w:t xml:space="preserve">Patients entered the model either with a low skin burden (&lt;10% BSA) or high skin burden (10-80% BSA). </w:t>
      </w:r>
      <w:r w:rsidRPr="0096381E">
        <w:rPr>
          <w:iCs/>
        </w:rPr>
        <w:t xml:space="preserve">The entry point for patients into the model does not reflect the population in the proposed PBS criteria – patients who have no more than 10% or 25% of their BSA involved. As Study 201 included 14% of patients with BSA &gt;25%, and there is no evidence of a difference in efficacy based on BSA affected, the results of the economic evaluation may be relevant in the context of a BSA agnostic listing. </w:t>
      </w:r>
      <w:r w:rsidRPr="0092490D">
        <w:rPr>
          <w:iCs/>
        </w:rPr>
        <w:t xml:space="preserve">While the number and description of health states was reasonable, the categorisation of low/high skin burden under which patients enter the model in each health state did not align with the requested population (&lt;10% BSA for low skin burden and 10-80% BSA for high skin burden for the model compared to no more than 10% or 25% BSA in the requested population). </w:t>
      </w:r>
      <w:r w:rsidR="00C31AC2" w:rsidRPr="00DF296F">
        <w:rPr>
          <w:iCs/>
        </w:rPr>
        <w:t xml:space="preserve">The ESC noted the PSCR (p5) provided a revised economic model that excluded patients with a BSA &gt;25%. However, the ESC considered the </w:t>
      </w:r>
      <w:r w:rsidR="00110665" w:rsidRPr="00DF296F">
        <w:rPr>
          <w:iCs/>
        </w:rPr>
        <w:t xml:space="preserve">overarching </w:t>
      </w:r>
      <w:r w:rsidR="00C31AC2" w:rsidRPr="00DF296F">
        <w:rPr>
          <w:iCs/>
        </w:rPr>
        <w:t xml:space="preserve">concerns raised regarding the reliability of the economic model also applied to the revised version provided with the PSCR (see paragraph </w:t>
      </w:r>
      <w:r w:rsidR="00C31AC2" w:rsidRPr="00DF296F">
        <w:rPr>
          <w:iCs/>
        </w:rPr>
        <w:fldChar w:fldCharType="begin"/>
      </w:r>
      <w:r w:rsidR="00C31AC2" w:rsidRPr="00DF296F">
        <w:rPr>
          <w:iCs/>
        </w:rPr>
        <w:instrText xml:space="preserve"> REF _Ref127389238 \r \h </w:instrText>
      </w:r>
      <w:r w:rsidR="00DF296F">
        <w:rPr>
          <w:iCs/>
        </w:rPr>
        <w:instrText xml:space="preserve"> \* MERGEFORMAT </w:instrText>
      </w:r>
      <w:r w:rsidR="00C31AC2" w:rsidRPr="00DF296F">
        <w:rPr>
          <w:iCs/>
        </w:rPr>
      </w:r>
      <w:r w:rsidR="00C31AC2" w:rsidRPr="00DF296F">
        <w:rPr>
          <w:iCs/>
        </w:rPr>
        <w:fldChar w:fldCharType="separate"/>
      </w:r>
      <w:r w:rsidR="00FD5578">
        <w:rPr>
          <w:iCs/>
        </w:rPr>
        <w:t>6.33</w:t>
      </w:r>
      <w:r w:rsidR="00C31AC2" w:rsidRPr="00DF296F">
        <w:rPr>
          <w:iCs/>
        </w:rPr>
        <w:fldChar w:fldCharType="end"/>
      </w:r>
      <w:r w:rsidR="00C31AC2" w:rsidRPr="00DF296F">
        <w:rPr>
          <w:iCs/>
        </w:rPr>
        <w:t>).</w:t>
      </w:r>
    </w:p>
    <w:p w14:paraId="5D35FBBC" w14:textId="77777777" w:rsidR="00D8137E" w:rsidRPr="0096381E" w:rsidRDefault="00D8137E" w:rsidP="0092490D">
      <w:pPr>
        <w:pStyle w:val="3-BodyText"/>
        <w:ind w:left="709" w:hanging="709"/>
        <w:rPr>
          <w:iCs/>
        </w:rPr>
      </w:pPr>
      <w:r w:rsidRPr="0096381E">
        <w:rPr>
          <w:iCs/>
        </w:rPr>
        <w:t xml:space="preserve">The application of a lifetime time horizon on the basis of slow disease progression of MF-CTCL was not reasonable given that disease-specific survival data used in the model were based on a study (Agar et al. 2010) with a median follow-up of 5.9 years. Response rates were sourced from Study 201, with a maximum follow-up of 12 months (compared with overall model horizon of 46 years). The model does not have the functionality to assess the ICER per QALY gained over 12 months; the maximum follow-up for Study 201. </w:t>
      </w:r>
    </w:p>
    <w:p w14:paraId="7B074791" w14:textId="288E16A1" w:rsidR="00D8137E" w:rsidRPr="0092490D" w:rsidRDefault="00D8137E" w:rsidP="0092490D">
      <w:pPr>
        <w:pStyle w:val="3-BodyText"/>
        <w:ind w:left="709" w:hanging="709"/>
        <w:rPr>
          <w:iCs/>
        </w:rPr>
      </w:pPr>
      <w:bookmarkStart w:id="76" w:name="_Hlk122449240"/>
      <w:r w:rsidRPr="0096381E">
        <w:rPr>
          <w:iCs/>
        </w:rPr>
        <w:t>The submission did not present any methods of extrapolation even though the time horizon utilised in the model was beyond the time horizon of the trial from which the data were drawn. The absence of information on how the data have been extrapolated beyond the trial-based time-horizon (12 months in Study 201) or that of the supplementary material (5.9 years in Agar et al, 2010) to a 46 year time horizon renders this aspect of the model, and its impact on the resulting estimate of cost-effectiveness, unevaluable. Essentially, the model assumed that the treatment effects and associated transitions between health states remained constant over the entirety of the 46-year time horizon. This is not appropriate in the context of the treatment of MF-CTCL for which patients are likely to experience severe symptoms as disease progresses hence treatment effects are likely to vary with disease progression.</w:t>
      </w:r>
    </w:p>
    <w:bookmarkEnd w:id="76"/>
    <w:p w14:paraId="1CBF31E8" w14:textId="7924DDFB" w:rsidR="00E00D88" w:rsidRPr="00DF296F" w:rsidRDefault="00D8137E" w:rsidP="00E00D88">
      <w:pPr>
        <w:pStyle w:val="3-BodyText"/>
        <w:ind w:left="709" w:hanging="709"/>
        <w:rPr>
          <w:iCs/>
        </w:rPr>
      </w:pPr>
      <w:r w:rsidRPr="0092490D">
        <w:rPr>
          <w:iCs/>
        </w:rPr>
        <w:t xml:space="preserve">Transition probabilities were derived from Study 201 and other published studies identified through a systematic literature search. </w:t>
      </w:r>
      <w:r w:rsidRPr="0096381E">
        <w:rPr>
          <w:iCs/>
        </w:rPr>
        <w:t xml:space="preserve">The use of </w:t>
      </w:r>
      <w:r w:rsidR="00665420" w:rsidRPr="0096381E">
        <w:rPr>
          <w:iCs/>
        </w:rPr>
        <w:t xml:space="preserve">efficacy and HRQoL </w:t>
      </w:r>
      <w:r w:rsidRPr="0096381E">
        <w:rPr>
          <w:iCs/>
        </w:rPr>
        <w:t xml:space="preserve">data in </w:t>
      </w:r>
      <w:r w:rsidR="00665420" w:rsidRPr="0096381E">
        <w:rPr>
          <w:iCs/>
        </w:rPr>
        <w:t xml:space="preserve">the economic analysis </w:t>
      </w:r>
      <w:r w:rsidRPr="0096381E">
        <w:rPr>
          <w:iCs/>
        </w:rPr>
        <w:t xml:space="preserve">which were not presented </w:t>
      </w:r>
      <w:r w:rsidR="00665420" w:rsidRPr="0096381E">
        <w:rPr>
          <w:iCs/>
        </w:rPr>
        <w:t>as part of the clinical evidence</w:t>
      </w:r>
      <w:r w:rsidRPr="0096381E">
        <w:rPr>
          <w:iCs/>
        </w:rPr>
        <w:t xml:space="preserve"> introduced a disconnect in the evidence base between what has been evaluated with respect to the clinical claim and that presented for the cost-effectiveness claim.</w:t>
      </w:r>
      <w:r w:rsidR="00E00D88">
        <w:rPr>
          <w:iCs/>
        </w:rPr>
        <w:t xml:space="preserve"> </w:t>
      </w:r>
      <w:r w:rsidR="00E00D88" w:rsidRPr="00DF296F">
        <w:rPr>
          <w:iCs/>
        </w:rPr>
        <w:t>The PSCR stated that comparable HRQoL data were not collected in Study 201 or in the phototherapy included studies and therefore could not be evaluated in the naïve ITC. Instead, the PSCR noted a comparison of HRQoL during long-term therapy was made via the modelled economic evaluation that included utility assessments derived from HRQoL outcomes. The PSCR argued that outcome results from the economic evaluation support a claim of superior HRQoL outcomes with use of chlormethine gel vs. phototherapy. The ESC reiterated that a</w:t>
      </w:r>
      <w:r w:rsidR="0061609B" w:rsidRPr="00DF296F">
        <w:rPr>
          <w:iCs/>
        </w:rPr>
        <w:t xml:space="preserve">n overarching concern </w:t>
      </w:r>
      <w:r w:rsidR="00E00D88" w:rsidRPr="00DF296F">
        <w:rPr>
          <w:iCs/>
        </w:rPr>
        <w:t>was that the CUA was based on a claim of superior HRQoL that was not supported by the clinical evidence provided in the submission.</w:t>
      </w:r>
    </w:p>
    <w:p w14:paraId="0C7EDD76" w14:textId="25DFE34B" w:rsidR="00D8137E" w:rsidRPr="0092490D" w:rsidRDefault="00D8137E" w:rsidP="0092490D">
      <w:pPr>
        <w:pStyle w:val="3-BodyText"/>
        <w:ind w:left="709" w:hanging="709"/>
        <w:rPr>
          <w:iCs/>
        </w:rPr>
      </w:pPr>
      <w:r w:rsidRPr="0092490D">
        <w:rPr>
          <w:iCs/>
        </w:rPr>
        <w:t xml:space="preserve">The submission derived transition probabilities between disease stages from Agar et al. 2010. </w:t>
      </w:r>
      <w:r w:rsidRPr="0096381E">
        <w:rPr>
          <w:iCs/>
        </w:rPr>
        <w:t xml:space="preserve">Information on the types of treatment patients in Agar et al 2010 were receiving was not presented; thus, it remains unclear if the transition probabilities arising from those data reflect treatment with either chlormethine gel or phototherapy. Data presented by Agar et al 2010 were for both MF and Sézary syndrome (SS) variants of CTCL. </w:t>
      </w:r>
      <w:r w:rsidRPr="0092490D">
        <w:rPr>
          <w:iCs/>
        </w:rPr>
        <w:t>The submission assumed that the probability of a patient progressing from an earlier to a more advanced disease stage was treatment independent. Thus, the model assumed no difference between chlormethine gel and phototherapy with respect to the impact on disease progression; this was consistent with the claim o</w:t>
      </w:r>
      <w:r w:rsidR="007458B7" w:rsidRPr="0092490D">
        <w:rPr>
          <w:iCs/>
        </w:rPr>
        <w:t>f</w:t>
      </w:r>
      <w:r w:rsidRPr="0092490D">
        <w:rPr>
          <w:iCs/>
        </w:rPr>
        <w:t xml:space="preserve"> non-inferior clinical efficacy. </w:t>
      </w:r>
    </w:p>
    <w:p w14:paraId="7A02AF29" w14:textId="6D8A789B" w:rsidR="00D8137E" w:rsidRPr="00DF296F" w:rsidRDefault="00D8137E" w:rsidP="0092490D">
      <w:pPr>
        <w:pStyle w:val="3-BodyText"/>
        <w:ind w:left="709" w:hanging="709"/>
      </w:pPr>
      <w:r w:rsidRPr="00EF4C2D">
        <w:rPr>
          <w:iCs/>
        </w:rPr>
        <w:t xml:space="preserve">The HRQoL data (Skindex-29) </w:t>
      </w:r>
      <w:r w:rsidR="007458B7">
        <w:rPr>
          <w:iCs/>
        </w:rPr>
        <w:t xml:space="preserve">from PROVe </w:t>
      </w:r>
      <w:r w:rsidRPr="00EF4C2D">
        <w:rPr>
          <w:iCs/>
        </w:rPr>
        <w:t xml:space="preserve">presented </w:t>
      </w:r>
      <w:r w:rsidR="007458B7">
        <w:rPr>
          <w:iCs/>
        </w:rPr>
        <w:t>as part of the clinical evidence</w:t>
      </w:r>
      <w:r w:rsidRPr="00EF4C2D">
        <w:rPr>
          <w:iCs/>
        </w:rPr>
        <w:t xml:space="preserve"> were not used in the economic model.</w:t>
      </w:r>
      <w:r w:rsidRPr="0092490D">
        <w:rPr>
          <w:iCs/>
        </w:rPr>
        <w:t xml:space="preserve"> The submission did not provide a justification for the exclusion of those data. There have been recent efforts to map the Skindex-29 measure to health state utility values; the results from those mapping exercises were not considered by the submission</w:t>
      </w:r>
      <w:r w:rsidRPr="00D61325">
        <w:rPr>
          <w:iCs/>
          <w:vertAlign w:val="superscript"/>
        </w:rPr>
        <w:footnoteReference w:id="5"/>
      </w:r>
      <w:r w:rsidRPr="0092490D">
        <w:rPr>
          <w:iCs/>
        </w:rPr>
        <w:t xml:space="preserve">. </w:t>
      </w:r>
      <w:r w:rsidR="00D61325" w:rsidRPr="00DF296F">
        <w:t>The PSCR (4) stated the recent attempt to map the Skindex-29 measure to health state utility values concluded that applying published mapping algorithms to PROVe data appeared to result in overestimation compared with existing literature and that more research is required to understand the applicability of existing mapping algorithms and to develop new mapping algorithms in MF-CTCL.</w:t>
      </w:r>
    </w:p>
    <w:p w14:paraId="5406BA0B" w14:textId="650DA0BD" w:rsidR="00D8137E" w:rsidRPr="0092490D" w:rsidRDefault="00D8137E" w:rsidP="0092490D">
      <w:pPr>
        <w:pStyle w:val="3-BodyText"/>
        <w:ind w:left="709" w:hanging="709"/>
        <w:rPr>
          <w:iCs/>
        </w:rPr>
      </w:pPr>
      <w:r w:rsidRPr="0092490D">
        <w:rPr>
          <w:iCs/>
        </w:rPr>
        <w:t xml:space="preserve">The submission conducted a de novo utility study using clinicians as proxies by reasoning that this approach was necessary due to restricted access to patients and ethical considerations within the submission timeframe. While the use of clinicians as proxies may be expedient, the submission has not outlined why such a study may be considered more ethical in nature. In the absence of patient specific HRQoL elicitation, </w:t>
      </w:r>
      <w:r w:rsidR="00B70EF1" w:rsidRPr="0092490D">
        <w:rPr>
          <w:iCs/>
        </w:rPr>
        <w:t>in</w:t>
      </w:r>
      <w:r w:rsidRPr="0092490D">
        <w:rPr>
          <w:iCs/>
        </w:rPr>
        <w:t>direct utility elicitation studies could have been conducted that may have better reflected preference-based assessments of HRQoL from a population perspective.</w:t>
      </w:r>
    </w:p>
    <w:p w14:paraId="3DC9A7D0" w14:textId="354278BE" w:rsidR="00D8137E" w:rsidRPr="006368C0" w:rsidRDefault="00D8137E" w:rsidP="006368C0">
      <w:pPr>
        <w:pStyle w:val="3-BodyText"/>
        <w:ind w:left="709" w:hanging="709"/>
        <w:rPr>
          <w:iCs/>
        </w:rPr>
      </w:pPr>
      <w:r w:rsidRPr="0096381E">
        <w:rPr>
          <w:iCs/>
        </w:rPr>
        <w:t xml:space="preserve">The methodological approach used by the submission to derive utility values from the vignette study for each health state relied on multiple steps and assumptions, each of which introduced scope for variability in the resulting values. </w:t>
      </w:r>
      <w:r w:rsidR="006368C0" w:rsidRPr="00DF296F">
        <w:rPr>
          <w:iCs/>
        </w:rPr>
        <w:t>The ESC agreed with the evaluation that there were a number of issues</w:t>
      </w:r>
      <w:r w:rsidR="006368C0">
        <w:rPr>
          <w:i/>
        </w:rPr>
        <w:t xml:space="preserve"> </w:t>
      </w:r>
      <w:r w:rsidRPr="006368C0">
        <w:rPr>
          <w:iCs/>
        </w:rPr>
        <w:t>with how the submission estimated the utility weights includ</w:t>
      </w:r>
      <w:r w:rsidR="006368C0">
        <w:rPr>
          <w:iCs/>
        </w:rPr>
        <w:t>ing</w:t>
      </w:r>
      <w:r w:rsidRPr="006368C0">
        <w:rPr>
          <w:iCs/>
        </w:rPr>
        <w:t>:</w:t>
      </w:r>
    </w:p>
    <w:p w14:paraId="7C37BB30" w14:textId="46777681" w:rsidR="00D8137E" w:rsidRPr="0096381E" w:rsidRDefault="00D8137E" w:rsidP="00610DFE">
      <w:pPr>
        <w:pStyle w:val="ListParagraph"/>
        <w:numPr>
          <w:ilvl w:val="0"/>
          <w:numId w:val="9"/>
        </w:numPr>
        <w:snapToGrid w:val="0"/>
        <w:ind w:left="1080"/>
        <w:rPr>
          <w:iCs/>
        </w:rPr>
      </w:pPr>
      <w:r w:rsidRPr="0096381E">
        <w:rPr>
          <w:iCs/>
        </w:rPr>
        <w:t xml:space="preserve">The submission used clinicians to elicit utility values for use in the model and for the base case evaluation. The PBAC Guidelines </w:t>
      </w:r>
      <w:r w:rsidR="003E5044" w:rsidRPr="0096381E">
        <w:rPr>
          <w:iCs/>
        </w:rPr>
        <w:t xml:space="preserve">v5 </w:t>
      </w:r>
      <w:r w:rsidRPr="0096381E">
        <w:rPr>
          <w:iCs/>
        </w:rPr>
        <w:t>note that methods used to elicit expert opinion should be well-designed and may vary from large, published questionnaires and surveys with statistical analysis to a summary of interviews with a panel of clinical experts (PBAC Guidelines v5, p181-182): the submission presented an opinion from only one UK clinical expert for development of the vignettes, elicitation of results from seven experts, and only one expert in the field of utility valuation for input on the choice of instruments. In addition, the PBAC Guidelines v5 note that where scenario-based methods using vignettes are used to indirectly elicit utility weights, these should usually be administered to a representative general population using accepted preference-based methods such as standard gamble, time trade-off and discrete choice experiments (PBAC Guidelines v5, p78).</w:t>
      </w:r>
    </w:p>
    <w:p w14:paraId="01151E79" w14:textId="337B9097" w:rsidR="00D8137E" w:rsidRPr="0096381E" w:rsidRDefault="00D8137E" w:rsidP="00610DFE">
      <w:pPr>
        <w:pStyle w:val="ListParagraph"/>
        <w:numPr>
          <w:ilvl w:val="0"/>
          <w:numId w:val="9"/>
        </w:numPr>
        <w:snapToGrid w:val="0"/>
        <w:ind w:left="1080"/>
        <w:rPr>
          <w:iCs/>
        </w:rPr>
      </w:pPr>
      <w:r w:rsidRPr="0096381E">
        <w:rPr>
          <w:iCs/>
        </w:rPr>
        <w:t xml:space="preserve">The submission did not provide justification for the choice of specific descriptions of the vignette used to elicit the HRQoL data. The descriptions of disease conditions in the vignette did not capture every aspect of MF-CTCL that could affect patients' quality of life. For example, the area of the patient’s body that is affected by the symptom was not included. </w:t>
      </w:r>
    </w:p>
    <w:p w14:paraId="223EA927" w14:textId="77777777" w:rsidR="00D8137E" w:rsidRPr="0096381E" w:rsidRDefault="00D8137E" w:rsidP="00610DFE">
      <w:pPr>
        <w:pStyle w:val="ListParagraph"/>
        <w:numPr>
          <w:ilvl w:val="0"/>
          <w:numId w:val="9"/>
        </w:numPr>
        <w:snapToGrid w:val="0"/>
        <w:ind w:left="1080"/>
        <w:rPr>
          <w:iCs/>
        </w:rPr>
      </w:pPr>
      <w:r w:rsidRPr="0096381E">
        <w:rPr>
          <w:iCs/>
        </w:rPr>
        <w:t xml:space="preserve">The use of a UK based value set scoring algorithm to derive utility weights without providing justification of its use over the Australian scoring algorithm was inappropriate. The PBAC Guidelines v5 state the use of Australian-based preference weights as the preferred scoring algorithm to calculate utility weights (PBAC Guidelines v5, p77). </w:t>
      </w:r>
    </w:p>
    <w:p w14:paraId="58EC028D" w14:textId="77777777" w:rsidR="00D8137E" w:rsidRPr="0096381E" w:rsidRDefault="00D8137E" w:rsidP="00610DFE">
      <w:pPr>
        <w:pStyle w:val="3-BodyText"/>
        <w:numPr>
          <w:ilvl w:val="0"/>
          <w:numId w:val="9"/>
        </w:numPr>
        <w:snapToGrid w:val="0"/>
        <w:ind w:left="1080"/>
        <w:rPr>
          <w:iCs/>
        </w:rPr>
      </w:pPr>
      <w:r w:rsidRPr="0096381E">
        <w:rPr>
          <w:iCs/>
        </w:rPr>
        <w:t>By assigning utility values derived from the vignette studies to mSWAT scores from Study 201, the submission assumed a linear relationship between mSWAT scores and HRQoL; such a linear relationship has not been validated. Moreover, by relying on the mSWAT, the submission has introduced a disconnect from the evidence presented as the basis for the calculation of the rmDOCR for chlormethine gel which relied on the CAILS index.</w:t>
      </w:r>
    </w:p>
    <w:p w14:paraId="712AC834" w14:textId="77777777" w:rsidR="00D8137E" w:rsidRPr="0096381E" w:rsidRDefault="00D8137E" w:rsidP="00610DFE">
      <w:pPr>
        <w:pStyle w:val="3-BodyText"/>
        <w:numPr>
          <w:ilvl w:val="0"/>
          <w:numId w:val="9"/>
        </w:numPr>
        <w:snapToGrid w:val="0"/>
        <w:ind w:left="1080"/>
        <w:rPr>
          <w:iCs/>
        </w:rPr>
      </w:pPr>
      <w:r w:rsidRPr="0096381E">
        <w:rPr>
          <w:iCs/>
        </w:rPr>
        <w:t xml:space="preserve">The mSWAT ranges nominated by the submission as representative of different disease burden under each disease stage were not justified. The mSWAT ranges used were not representative of the TNMB classification system of skin burden used to determined patient entry into the model. For example, the four mSWAT ranges assigned to Stage IA disease (classified as &lt;10% BSA affected) included: 0; 1-10, 11-20, &gt;20. </w:t>
      </w:r>
    </w:p>
    <w:p w14:paraId="114F677B" w14:textId="77777777" w:rsidR="00D8137E" w:rsidRPr="0096381E" w:rsidRDefault="00D8137E" w:rsidP="00610DFE">
      <w:pPr>
        <w:pStyle w:val="3-BodyText"/>
        <w:numPr>
          <w:ilvl w:val="0"/>
          <w:numId w:val="9"/>
        </w:numPr>
        <w:snapToGrid w:val="0"/>
        <w:ind w:left="1080"/>
        <w:rPr>
          <w:iCs/>
        </w:rPr>
      </w:pPr>
      <w:r w:rsidRPr="0096381E">
        <w:rPr>
          <w:iCs/>
        </w:rPr>
        <w:t>The approach used by the submission (using the NormDIST function in Excel) to derive the proportion of patients in each mSWAT range introduced uncertainties into the estimate of utility value applied to the overall health state in the model.</w:t>
      </w:r>
    </w:p>
    <w:p w14:paraId="2E41A570" w14:textId="2666CDEB" w:rsidR="00D8137E" w:rsidRPr="0096381E" w:rsidRDefault="00793ACB" w:rsidP="0092490D">
      <w:pPr>
        <w:pStyle w:val="3-BodyText"/>
        <w:ind w:left="709" w:hanging="709"/>
        <w:rPr>
          <w:iCs/>
        </w:rPr>
      </w:pPr>
      <w:r w:rsidRPr="0096381E">
        <w:rPr>
          <w:iCs/>
        </w:rPr>
        <w:t xml:space="preserve">The </w:t>
      </w:r>
      <w:r w:rsidR="00E00D88" w:rsidRPr="00DF296F">
        <w:rPr>
          <w:iCs/>
        </w:rPr>
        <w:t>ESC noted the</w:t>
      </w:r>
      <w:r w:rsidR="00E00D88">
        <w:rPr>
          <w:i/>
        </w:rPr>
        <w:t xml:space="preserve"> </w:t>
      </w:r>
      <w:r w:rsidRPr="0096381E">
        <w:rPr>
          <w:iCs/>
        </w:rPr>
        <w:t>evaluation was not able to provide a meaningful evidence-based assessment of the impact of the issues outlined above with respect to the estimation of utility values on the estimated base ICER. This was d</w:t>
      </w:r>
      <w:r w:rsidR="00D8137E" w:rsidRPr="0096381E">
        <w:rPr>
          <w:iCs/>
        </w:rPr>
        <w:t xml:space="preserve">ue to the approach in the model structure to deriving the utility weights, </w:t>
      </w:r>
      <w:r w:rsidR="000C6F14" w:rsidRPr="0096381E">
        <w:rPr>
          <w:iCs/>
        </w:rPr>
        <w:t xml:space="preserve">along with the </w:t>
      </w:r>
      <w:r w:rsidR="00D8137E" w:rsidRPr="0096381E">
        <w:rPr>
          <w:iCs/>
        </w:rPr>
        <w:t>lack of evidence supporting the description of health states in the vignette study and lack of evidence supporting assumptions made in deriving the utility values</w:t>
      </w:r>
      <w:r w:rsidRPr="0096381E">
        <w:rPr>
          <w:iCs/>
        </w:rPr>
        <w:t>.</w:t>
      </w:r>
      <w:r w:rsidR="00D8137E" w:rsidRPr="0096381E">
        <w:rPr>
          <w:iCs/>
        </w:rPr>
        <w:t xml:space="preserve"> </w:t>
      </w:r>
    </w:p>
    <w:p w14:paraId="277485AB" w14:textId="77777777" w:rsidR="00D8137E" w:rsidRPr="0096381E" w:rsidRDefault="00D8137E" w:rsidP="0092490D">
      <w:pPr>
        <w:pStyle w:val="3-BodyText"/>
        <w:ind w:left="709" w:hanging="709"/>
        <w:rPr>
          <w:iCs/>
        </w:rPr>
      </w:pPr>
      <w:r w:rsidRPr="0096381E">
        <w:rPr>
          <w:iCs/>
        </w:rPr>
        <w:t xml:space="preserve">Even though not stated in the submission, it appears the same utility values were used for all the health states in the chlormethine gel and phototherapy arms of the model, thus the utility values used were independent of treatment group. </w:t>
      </w:r>
    </w:p>
    <w:p w14:paraId="3C38ABA4" w14:textId="5B11B9CB" w:rsidR="00D8137E" w:rsidRPr="0092490D" w:rsidRDefault="00D8137E" w:rsidP="0092490D">
      <w:pPr>
        <w:pStyle w:val="3-BodyText"/>
        <w:ind w:left="709" w:hanging="709"/>
        <w:rPr>
          <w:iCs/>
        </w:rPr>
      </w:pPr>
      <w:r w:rsidRPr="0096381E">
        <w:rPr>
          <w:iCs/>
        </w:rPr>
        <w:t>The submission presented a model trace for each health state according to skin burden derived from plotting the sum of the transition probabilities for a particular disease burden state under each disease stage.</w:t>
      </w:r>
      <w:r w:rsidRPr="0092490D">
        <w:rPr>
          <w:iCs/>
        </w:rPr>
        <w:t xml:space="preserve"> The submission claimed the model traces demonstrated a significant incremental benefit for chlormethine gel compared to phototherapy, noting that the benefit from reduced skin burden and longer period of no skin burden were evident.</w:t>
      </w:r>
    </w:p>
    <w:p w14:paraId="50006DA6" w14:textId="71E80611" w:rsidR="00D8137E" w:rsidRPr="0096381E" w:rsidRDefault="00D8137E" w:rsidP="0092490D">
      <w:pPr>
        <w:pStyle w:val="3-BodyText"/>
        <w:ind w:left="709" w:hanging="709"/>
        <w:rPr>
          <w:iCs/>
        </w:rPr>
      </w:pPr>
      <w:r w:rsidRPr="0096381E">
        <w:rPr>
          <w:iCs/>
        </w:rPr>
        <w:t xml:space="preserve">The difference between the model traces for the proportion of patients in each health state for chlormethine gel and phototherapy (i.e., chlormethine gel – phototherapy) is shown in </w:t>
      </w:r>
      <w:r w:rsidRPr="0096381E">
        <w:rPr>
          <w:iCs/>
        </w:rPr>
        <w:fldChar w:fldCharType="begin"/>
      </w:r>
      <w:r w:rsidRPr="0096381E">
        <w:rPr>
          <w:iCs/>
        </w:rPr>
        <w:instrText xml:space="preserve"> REF _Ref121390075 \h  \* MERGEFORMAT </w:instrText>
      </w:r>
      <w:r w:rsidRPr="0096381E">
        <w:rPr>
          <w:iCs/>
        </w:rPr>
      </w:r>
      <w:r w:rsidRPr="0096381E">
        <w:rPr>
          <w:iCs/>
        </w:rPr>
        <w:fldChar w:fldCharType="separate"/>
      </w:r>
      <w:r w:rsidR="00FD5578" w:rsidRPr="00FD5578">
        <w:rPr>
          <w:iCs/>
        </w:rPr>
        <w:t>Figure 5</w:t>
      </w:r>
      <w:r w:rsidRPr="0096381E">
        <w:rPr>
          <w:iCs/>
        </w:rPr>
        <w:fldChar w:fldCharType="end"/>
      </w:r>
      <w:r w:rsidRPr="0096381E">
        <w:rPr>
          <w:iCs/>
        </w:rPr>
        <w:t xml:space="preserve">. This shows that there was no difference between the two treatments with regards to mortality. Patients on chlormethine gel spent more time in the no skin burden and reduced skin burden states, whilst patients receiving phototherapy treatment spent more time in the watch and wait and systemic therapy states. </w:t>
      </w:r>
    </w:p>
    <w:p w14:paraId="3B7B534B" w14:textId="6C2E3477" w:rsidR="00D8137E" w:rsidRPr="00EF4C2D" w:rsidRDefault="00D8137E" w:rsidP="00D8137E">
      <w:pPr>
        <w:pStyle w:val="Caption"/>
      </w:pPr>
      <w:bookmarkStart w:id="77" w:name="_Ref121390075"/>
      <w:r w:rsidRPr="00EF4C2D">
        <w:t xml:space="preserve">Figure </w:t>
      </w:r>
      <w:r w:rsidR="00FD5578">
        <w:fldChar w:fldCharType="begin"/>
      </w:r>
      <w:r w:rsidR="00FD5578">
        <w:instrText xml:space="preserve"> SEQ Figure \* ARABIC </w:instrText>
      </w:r>
      <w:r w:rsidR="00FD5578">
        <w:fldChar w:fldCharType="separate"/>
      </w:r>
      <w:r w:rsidR="00FD5578">
        <w:rPr>
          <w:noProof/>
        </w:rPr>
        <w:t>5</w:t>
      </w:r>
      <w:r w:rsidR="00FD5578">
        <w:rPr>
          <w:noProof/>
        </w:rPr>
        <w:fldChar w:fldCharType="end"/>
      </w:r>
      <w:bookmarkEnd w:id="77"/>
      <w:r w:rsidRPr="00EF4C2D">
        <w:t>: Model trace: difference between chlormethine gel and phototherapy treatment arms</w:t>
      </w:r>
    </w:p>
    <w:p w14:paraId="053743DC" w14:textId="77777777" w:rsidR="00D8137E" w:rsidRPr="00EF4C2D" w:rsidRDefault="00D8137E" w:rsidP="00D8137E">
      <w:r w:rsidRPr="00EF4C2D">
        <w:rPr>
          <w:noProof/>
        </w:rPr>
        <w:drawing>
          <wp:inline distT="0" distB="0" distL="0" distR="0" wp14:anchorId="5BF5EB6F" wp14:editId="38BA5FB4">
            <wp:extent cx="5629275" cy="3857625"/>
            <wp:effectExtent l="0" t="0" r="9525" b="9525"/>
            <wp:docPr id="25" name="Picture 25" descr="Figure 5: Model trace: difference between chlormethine gel and phototherapy treatment arm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gure 5: Model trace: difference between chlormethine gel and phototherapy treatment arms&#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9275" cy="3857625"/>
                    </a:xfrm>
                    <a:prstGeom prst="rect">
                      <a:avLst/>
                    </a:prstGeom>
                    <a:noFill/>
                    <a:ln>
                      <a:noFill/>
                    </a:ln>
                  </pic:spPr>
                </pic:pic>
              </a:graphicData>
            </a:graphic>
          </wp:inline>
        </w:drawing>
      </w:r>
    </w:p>
    <w:p w14:paraId="3432F9B5" w14:textId="77777777" w:rsidR="00D8137E" w:rsidRPr="00435A53" w:rsidRDefault="00D8137E" w:rsidP="00D8137E">
      <w:pPr>
        <w:pStyle w:val="FooterTableFigure"/>
        <w:rPr>
          <w:iCs/>
        </w:rPr>
      </w:pPr>
      <w:r w:rsidRPr="00435A53">
        <w:rPr>
          <w:iCs/>
        </w:rPr>
        <w:t>Source: Plotted during the evaluation using data from Workbook ‘Chlormethine – Ledaga – Section 3 – Economic Model (Final), Worksheet ‘Clinical Results’</w:t>
      </w:r>
    </w:p>
    <w:p w14:paraId="22A263BB" w14:textId="77777777" w:rsidR="00D8137E" w:rsidRPr="00435A53" w:rsidRDefault="00D8137E" w:rsidP="00D8137E">
      <w:pPr>
        <w:pStyle w:val="FooterTableFigure"/>
        <w:rPr>
          <w:iCs/>
        </w:rPr>
      </w:pPr>
      <w:r w:rsidRPr="00435A53">
        <w:rPr>
          <w:iCs/>
        </w:rPr>
        <w:t xml:space="preserve"> SB = skin burden; SDT = skin directed therapy.</w:t>
      </w:r>
    </w:p>
    <w:p w14:paraId="6BD53459" w14:textId="236F7643" w:rsidR="00793ACB" w:rsidRPr="0096381E" w:rsidRDefault="0066056B" w:rsidP="0092490D">
      <w:pPr>
        <w:pStyle w:val="3-BodyText"/>
        <w:ind w:left="709" w:hanging="709"/>
        <w:rPr>
          <w:iCs/>
        </w:rPr>
      </w:pPr>
      <w:r w:rsidRPr="0092490D">
        <w:rPr>
          <w:iCs/>
        </w:rPr>
        <w:t xml:space="preserve">The submission </w:t>
      </w:r>
      <w:r w:rsidR="009A6D55" w:rsidRPr="0092490D">
        <w:rPr>
          <w:iCs/>
        </w:rPr>
        <w:t>applied the median dose (1.8</w:t>
      </w:r>
      <w:r w:rsidR="003E27F7">
        <w:rPr>
          <w:iCs/>
        </w:rPr>
        <w:t> </w:t>
      </w:r>
      <w:r w:rsidR="009A6D55" w:rsidRPr="0092490D">
        <w:rPr>
          <w:iCs/>
        </w:rPr>
        <w:t xml:space="preserve">g) of chlormethine gel from Study 201 to the model. </w:t>
      </w:r>
      <w:r w:rsidR="009A6D55" w:rsidRPr="0096381E">
        <w:rPr>
          <w:iCs/>
        </w:rPr>
        <w:t>Using the mean dos</w:t>
      </w:r>
      <w:r w:rsidR="0065655C" w:rsidRPr="0096381E">
        <w:rPr>
          <w:iCs/>
        </w:rPr>
        <w:t>e</w:t>
      </w:r>
      <w:r w:rsidR="009A6D55" w:rsidRPr="0096381E">
        <w:rPr>
          <w:iCs/>
        </w:rPr>
        <w:t xml:space="preserve"> for the safety set population (1.77</w:t>
      </w:r>
      <w:r w:rsidR="003E27F7">
        <w:rPr>
          <w:iCs/>
        </w:rPr>
        <w:t> </w:t>
      </w:r>
      <w:r w:rsidR="009A6D55" w:rsidRPr="0096381E">
        <w:rPr>
          <w:iCs/>
        </w:rPr>
        <w:t>g for low skin burden and 4.28</w:t>
      </w:r>
      <w:r w:rsidR="003E27F7">
        <w:rPr>
          <w:iCs/>
        </w:rPr>
        <w:t> </w:t>
      </w:r>
      <w:r w:rsidR="009A6D55" w:rsidRPr="0096381E">
        <w:rPr>
          <w:iCs/>
        </w:rPr>
        <w:t>g for high skin burden) and the mean ITT dose (an average of 2.21</w:t>
      </w:r>
      <w:r w:rsidR="003E27F7">
        <w:rPr>
          <w:iCs/>
        </w:rPr>
        <w:t> </w:t>
      </w:r>
      <w:r w:rsidR="009A6D55" w:rsidRPr="0096381E">
        <w:rPr>
          <w:iCs/>
        </w:rPr>
        <w:t>g) resulted in a high impact on the ICER (224% and 90% change from the base case ICER respectively).</w:t>
      </w:r>
    </w:p>
    <w:p w14:paraId="74B2D9DE" w14:textId="460B9595" w:rsidR="009A6D55" w:rsidRPr="0096381E" w:rsidRDefault="009A6D55" w:rsidP="0092490D">
      <w:pPr>
        <w:pStyle w:val="3-BodyText"/>
        <w:ind w:left="709" w:hanging="709"/>
        <w:rPr>
          <w:iCs/>
        </w:rPr>
      </w:pPr>
      <w:r w:rsidRPr="0092490D">
        <w:rPr>
          <w:iCs/>
        </w:rPr>
        <w:t xml:space="preserve">The model assumed that chlormethine gel will be applied on average, every second day as observed in the French Temporary Use Authorization real world data. </w:t>
      </w:r>
      <w:r w:rsidRPr="0096381E">
        <w:rPr>
          <w:iCs/>
        </w:rPr>
        <w:t>Application of chlormethine gel on a daily basis as stipulated in the Australian product information will result in a high impact on the estimated ICER (416% change from the base case ICER)</w:t>
      </w:r>
      <w:r w:rsidR="00D92537" w:rsidRPr="0096381E">
        <w:rPr>
          <w:iCs/>
        </w:rPr>
        <w:t>.</w:t>
      </w:r>
    </w:p>
    <w:p w14:paraId="29B904F2" w14:textId="61A19894" w:rsidR="00D8137E" w:rsidRPr="0096381E" w:rsidRDefault="00D8137E" w:rsidP="0092490D">
      <w:pPr>
        <w:pStyle w:val="3-BodyText"/>
        <w:ind w:left="709" w:hanging="709"/>
        <w:rPr>
          <w:iCs/>
        </w:rPr>
      </w:pPr>
      <w:r w:rsidRPr="0096381E">
        <w:rPr>
          <w:iCs/>
        </w:rPr>
        <w:t>Based on current guidelines and clinical expert opinion, the submission assumed that PUVA was administered 3 times weekly for a maximum of 13 weeks and UVB 2 times weekly for a maximum of 13 weeks. Patients in the low skin burden health state received phototherapy for up to 40 weeks (including systemic phototherapy) and patients in the reduced skin burden, SDT and systemic therapy health states received phototherapy throughout the model. The model also assumed that patients with no skin burden would receive phototherapy weekly as maintenance therapy once the maximum 13</w:t>
      </w:r>
      <w:r w:rsidR="007238FF" w:rsidRPr="0096381E">
        <w:rPr>
          <w:iCs/>
        </w:rPr>
        <w:t>-</w:t>
      </w:r>
      <w:r w:rsidRPr="0096381E">
        <w:rPr>
          <w:iCs/>
        </w:rPr>
        <w:t xml:space="preserve">week limit applied to the model had been reached. Maintenance phototherapy is not supported by Australian clinical practice guidelines given that there is no supporting evidence for </w:t>
      </w:r>
      <w:r w:rsidR="006503B6" w:rsidRPr="0096381E">
        <w:rPr>
          <w:iCs/>
        </w:rPr>
        <w:t>its use</w:t>
      </w:r>
      <w:r w:rsidRPr="00E9657D">
        <w:rPr>
          <w:vertAlign w:val="superscript"/>
        </w:rPr>
        <w:footnoteReference w:id="6"/>
      </w:r>
      <w:r w:rsidRPr="0096381E">
        <w:rPr>
          <w:iCs/>
        </w:rPr>
        <w:t>.</w:t>
      </w:r>
    </w:p>
    <w:p w14:paraId="39FF82EB" w14:textId="2708DA95" w:rsidR="00D8137E" w:rsidRPr="0092490D" w:rsidRDefault="00D8137E" w:rsidP="0092490D">
      <w:pPr>
        <w:pStyle w:val="3-BodyText"/>
        <w:ind w:left="709" w:hanging="709"/>
        <w:rPr>
          <w:iCs/>
        </w:rPr>
      </w:pPr>
      <w:r w:rsidRPr="0092490D">
        <w:rPr>
          <w:iCs/>
        </w:rPr>
        <w:t xml:space="preserve">The key drivers of the model are presented in </w:t>
      </w:r>
      <w:r w:rsidRPr="0092490D">
        <w:rPr>
          <w:iCs/>
        </w:rPr>
        <w:fldChar w:fldCharType="begin"/>
      </w:r>
      <w:r w:rsidRPr="0092490D">
        <w:rPr>
          <w:iCs/>
        </w:rPr>
        <w:instrText xml:space="preserve"> REF _Ref104805122 \h  \* MERGEFORMAT </w:instrText>
      </w:r>
      <w:r w:rsidRPr="0092490D">
        <w:rPr>
          <w:iCs/>
        </w:rPr>
      </w:r>
      <w:r w:rsidRPr="0092490D">
        <w:rPr>
          <w:iCs/>
        </w:rPr>
        <w:fldChar w:fldCharType="separate"/>
      </w:r>
      <w:r w:rsidR="00FD5578" w:rsidRPr="00FD5578">
        <w:rPr>
          <w:iCs/>
        </w:rPr>
        <w:t>Table 9</w:t>
      </w:r>
      <w:r w:rsidRPr="0092490D">
        <w:rPr>
          <w:iCs/>
        </w:rPr>
        <w:fldChar w:fldCharType="end"/>
      </w:r>
      <w:r w:rsidRPr="0092490D">
        <w:rPr>
          <w:iCs/>
        </w:rPr>
        <w:t>.</w:t>
      </w:r>
    </w:p>
    <w:p w14:paraId="1A4E4465" w14:textId="64157523" w:rsidR="00D8137E" w:rsidRPr="00EF4C2D" w:rsidRDefault="00D8137E" w:rsidP="001C4D1E">
      <w:pPr>
        <w:pStyle w:val="Caption"/>
        <w:jc w:val="left"/>
        <w:rPr>
          <w:rStyle w:val="CommentReference"/>
          <w:b/>
          <w:bCs w:val="0"/>
          <w:szCs w:val="24"/>
        </w:rPr>
      </w:pPr>
      <w:bookmarkStart w:id="78" w:name="_Ref104805122"/>
      <w:r w:rsidRPr="00EF4C2D">
        <w:t xml:space="preserve">Table </w:t>
      </w:r>
      <w:r w:rsidR="00FD5578">
        <w:fldChar w:fldCharType="begin"/>
      </w:r>
      <w:r w:rsidR="00FD5578">
        <w:instrText xml:space="preserve"> SEQ Table \* ARABIC </w:instrText>
      </w:r>
      <w:r w:rsidR="00FD5578">
        <w:fldChar w:fldCharType="separate"/>
      </w:r>
      <w:r w:rsidR="00FD5578">
        <w:rPr>
          <w:noProof/>
        </w:rPr>
        <w:t>9</w:t>
      </w:r>
      <w:r w:rsidR="00FD5578">
        <w:rPr>
          <w:noProof/>
        </w:rPr>
        <w:fldChar w:fldCharType="end"/>
      </w:r>
      <w:bookmarkEnd w:id="78"/>
      <w:r w:rsidRPr="00EF4C2D">
        <w:t>:</w:t>
      </w:r>
      <w:r w:rsidRPr="00EF4C2D">
        <w:rPr>
          <w:rStyle w:val="CommentReference"/>
          <w:bCs w:val="0"/>
          <w:szCs w:val="24"/>
        </w:rPr>
        <w:t xml:space="preserve"> </w:t>
      </w:r>
      <w:r w:rsidRPr="00E9657D">
        <w:rPr>
          <w:bCs w:val="0"/>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3544"/>
        <w:gridCol w:w="4344"/>
      </w:tblGrid>
      <w:tr w:rsidR="00D8137E" w:rsidRPr="00EF4C2D" w14:paraId="4F6D7583" w14:textId="77777777" w:rsidTr="003E27F7">
        <w:trPr>
          <w:tblHeader/>
        </w:trPr>
        <w:tc>
          <w:tcPr>
            <w:tcW w:w="626" w:type="pct"/>
            <w:tcBorders>
              <w:top w:val="single" w:sz="4" w:space="0" w:color="auto"/>
              <w:left w:val="single" w:sz="4" w:space="0" w:color="auto"/>
              <w:bottom w:val="single" w:sz="4" w:space="0" w:color="auto"/>
              <w:right w:val="single" w:sz="4" w:space="0" w:color="auto"/>
            </w:tcBorders>
            <w:vAlign w:val="center"/>
            <w:hideMark/>
          </w:tcPr>
          <w:p w14:paraId="47A2940F" w14:textId="77777777" w:rsidR="00D8137E" w:rsidRPr="00EF4C2D" w:rsidRDefault="00D8137E" w:rsidP="001C4D1E">
            <w:pPr>
              <w:pStyle w:val="In-tableHeading"/>
              <w:keepLines/>
              <w:widowControl w:val="0"/>
              <w:jc w:val="center"/>
            </w:pPr>
            <w:r w:rsidRPr="00EF4C2D">
              <w:t>Description</w:t>
            </w:r>
          </w:p>
        </w:tc>
        <w:tc>
          <w:tcPr>
            <w:tcW w:w="1965" w:type="pct"/>
            <w:tcBorders>
              <w:top w:val="single" w:sz="4" w:space="0" w:color="auto"/>
              <w:left w:val="single" w:sz="4" w:space="0" w:color="auto"/>
              <w:bottom w:val="single" w:sz="4" w:space="0" w:color="auto"/>
              <w:right w:val="single" w:sz="4" w:space="0" w:color="auto"/>
            </w:tcBorders>
            <w:vAlign w:val="center"/>
            <w:hideMark/>
          </w:tcPr>
          <w:p w14:paraId="4316D439" w14:textId="77777777" w:rsidR="00D8137E" w:rsidRPr="00EF4C2D" w:rsidRDefault="00D8137E" w:rsidP="001C4D1E">
            <w:pPr>
              <w:pStyle w:val="In-tableHeading"/>
              <w:keepLines/>
              <w:widowControl w:val="0"/>
              <w:jc w:val="center"/>
            </w:pPr>
            <w:r w:rsidRPr="00EF4C2D">
              <w:t>Method/Value</w:t>
            </w:r>
          </w:p>
        </w:tc>
        <w:tc>
          <w:tcPr>
            <w:tcW w:w="2409" w:type="pct"/>
            <w:tcBorders>
              <w:top w:val="single" w:sz="4" w:space="0" w:color="auto"/>
              <w:left w:val="single" w:sz="4" w:space="0" w:color="auto"/>
              <w:bottom w:val="single" w:sz="4" w:space="0" w:color="auto"/>
              <w:right w:val="single" w:sz="4" w:space="0" w:color="auto"/>
            </w:tcBorders>
            <w:vAlign w:val="center"/>
            <w:hideMark/>
          </w:tcPr>
          <w:p w14:paraId="5DD86134" w14:textId="77777777" w:rsidR="00D8137E" w:rsidRPr="00EF4C2D" w:rsidRDefault="00D8137E" w:rsidP="001C4D1E">
            <w:pPr>
              <w:pStyle w:val="In-tableHeading"/>
              <w:keepLines/>
              <w:widowControl w:val="0"/>
              <w:jc w:val="center"/>
            </w:pPr>
            <w:r w:rsidRPr="00EF4C2D">
              <w:t>Impact</w:t>
            </w:r>
          </w:p>
          <w:p w14:paraId="5115E134" w14:textId="002D39B1" w:rsidR="00D8137E" w:rsidRPr="00EF4C2D" w:rsidRDefault="00D8137E" w:rsidP="001C4D1E">
            <w:pPr>
              <w:pStyle w:val="In-tableHeading"/>
              <w:keepLines/>
              <w:widowControl w:val="0"/>
              <w:jc w:val="center"/>
            </w:pPr>
            <w:r w:rsidRPr="00EF4C2D">
              <w:rPr>
                <w:rFonts w:cs="Arial"/>
                <w:szCs w:val="20"/>
              </w:rPr>
              <w:t>Base case: $</w:t>
            </w:r>
            <w:r w:rsidR="001247F0" w:rsidRPr="001247F0">
              <w:rPr>
                <w:rFonts w:cs="Arial"/>
                <w:color w:val="000000"/>
                <w:szCs w:val="20"/>
                <w:shd w:val="solid" w:color="000000" w:fill="000000"/>
                <w14:textFill>
                  <w14:solidFill>
                    <w14:srgbClr w14:val="000000">
                      <w14:alpha w14:val="100000"/>
                    </w14:srgbClr>
                  </w14:solidFill>
                </w14:textFill>
              </w:rPr>
              <w:t>|</w:t>
            </w:r>
            <w:r w:rsidR="00F32C5E" w:rsidRPr="00F32C5E">
              <w:rPr>
                <w:rFonts w:cs="Arial"/>
                <w:szCs w:val="20"/>
                <w:vertAlign w:val="superscript"/>
              </w:rPr>
              <w:t>1</w:t>
            </w:r>
            <w:r w:rsidRPr="00EF4C2D">
              <w:rPr>
                <w:rFonts w:cs="Arial"/>
                <w:szCs w:val="20"/>
              </w:rPr>
              <w:t>/QALY gained</w:t>
            </w:r>
          </w:p>
        </w:tc>
      </w:tr>
      <w:tr w:rsidR="00D8137E" w:rsidRPr="00EF4C2D" w14:paraId="4AF3C26D" w14:textId="77777777" w:rsidTr="003E27F7">
        <w:tc>
          <w:tcPr>
            <w:tcW w:w="626" w:type="pct"/>
            <w:tcBorders>
              <w:top w:val="single" w:sz="4" w:space="0" w:color="auto"/>
              <w:left w:val="single" w:sz="4" w:space="0" w:color="auto"/>
              <w:bottom w:val="single" w:sz="4" w:space="0" w:color="auto"/>
              <w:right w:val="single" w:sz="4" w:space="0" w:color="auto"/>
            </w:tcBorders>
            <w:vAlign w:val="center"/>
          </w:tcPr>
          <w:p w14:paraId="3541F277" w14:textId="77777777" w:rsidR="00D8137E" w:rsidRPr="00EF4C2D" w:rsidRDefault="00D8137E" w:rsidP="001C4D1E">
            <w:pPr>
              <w:pStyle w:val="TableText0"/>
              <w:keepLines/>
              <w:widowControl w:val="0"/>
              <w:rPr>
                <w:lang w:val="en-US"/>
              </w:rPr>
            </w:pPr>
            <w:r w:rsidRPr="00EF4C2D">
              <w:rPr>
                <w:lang w:val="en-US"/>
              </w:rPr>
              <w:t>Usage of chlormethine gel</w:t>
            </w:r>
          </w:p>
        </w:tc>
        <w:tc>
          <w:tcPr>
            <w:tcW w:w="1965" w:type="pct"/>
            <w:tcBorders>
              <w:top w:val="single" w:sz="4" w:space="0" w:color="auto"/>
              <w:left w:val="single" w:sz="4" w:space="0" w:color="auto"/>
              <w:bottom w:val="single" w:sz="4" w:space="0" w:color="auto"/>
              <w:right w:val="single" w:sz="4" w:space="0" w:color="auto"/>
            </w:tcBorders>
            <w:vAlign w:val="center"/>
          </w:tcPr>
          <w:p w14:paraId="3DFF8AD5" w14:textId="77777777" w:rsidR="00D8137E" w:rsidRPr="00EF4C2D" w:rsidRDefault="00D8137E" w:rsidP="001C4D1E">
            <w:pPr>
              <w:pStyle w:val="TableText0"/>
              <w:keepLines/>
              <w:widowControl w:val="0"/>
              <w:rPr>
                <w:lang w:val="en-US"/>
              </w:rPr>
            </w:pPr>
            <w:r w:rsidRPr="00EF4C2D">
              <w:rPr>
                <w:lang w:val="en-US"/>
              </w:rPr>
              <w:t xml:space="preserve">In the base case, chlormethine gel was applied </w:t>
            </w:r>
            <w:r w:rsidRPr="00EF4C2D">
              <w:t>on average every second day as observed in the French ATU real world data.</w:t>
            </w:r>
          </w:p>
        </w:tc>
        <w:tc>
          <w:tcPr>
            <w:tcW w:w="2409" w:type="pct"/>
            <w:tcBorders>
              <w:top w:val="single" w:sz="4" w:space="0" w:color="auto"/>
              <w:left w:val="single" w:sz="4" w:space="0" w:color="auto"/>
              <w:bottom w:val="single" w:sz="4" w:space="0" w:color="auto"/>
              <w:right w:val="single" w:sz="4" w:space="0" w:color="auto"/>
            </w:tcBorders>
            <w:vAlign w:val="center"/>
          </w:tcPr>
          <w:p w14:paraId="0F7DF1C9" w14:textId="77777777" w:rsidR="00D8137E" w:rsidRPr="0096381E" w:rsidRDefault="00D8137E" w:rsidP="001C4D1E">
            <w:pPr>
              <w:pStyle w:val="TableText0"/>
              <w:keepLines/>
              <w:widowControl w:val="0"/>
              <w:rPr>
                <w:iCs/>
              </w:rPr>
            </w:pPr>
            <w:r w:rsidRPr="0096381E">
              <w:rPr>
                <w:iCs/>
                <w:lang w:val="en-US"/>
              </w:rPr>
              <w:t xml:space="preserve">High, favours chlormethine gel. </w:t>
            </w:r>
          </w:p>
          <w:p w14:paraId="6DB16EC7" w14:textId="30D974BE" w:rsidR="00D8137E" w:rsidRPr="0096381E" w:rsidRDefault="00D8137E" w:rsidP="001C4D1E">
            <w:pPr>
              <w:pStyle w:val="TableText0"/>
              <w:keepLines/>
              <w:widowControl w:val="0"/>
              <w:rPr>
                <w:iCs/>
                <w:lang w:val="en-US"/>
              </w:rPr>
            </w:pPr>
            <w:r w:rsidRPr="0096381E">
              <w:rPr>
                <w:iCs/>
                <w:lang w:val="en-US"/>
              </w:rPr>
              <w:t xml:space="preserve">Use of daily application of gel as </w:t>
            </w:r>
            <w:r w:rsidRPr="0096381E">
              <w:rPr>
                <w:iCs/>
              </w:rPr>
              <w:t>stipulated in the Australian PI increased the ICER to $</w:t>
            </w:r>
            <w:r w:rsidR="001247F0" w:rsidRPr="001247F0">
              <w:rPr>
                <w:iCs/>
                <w:color w:val="000000"/>
                <w:spacing w:val="28"/>
                <w:shd w:val="solid" w:color="000000" w:fill="000000"/>
                <w:fitText w:val="541" w:id="-1236603897"/>
                <w14:textFill>
                  <w14:solidFill>
                    <w14:srgbClr w14:val="000000">
                      <w14:alpha w14:val="100000"/>
                    </w14:srgbClr>
                  </w14:solidFill>
                </w14:textFill>
              </w:rPr>
              <w:t>|||||||</w:t>
            </w:r>
            <w:r w:rsidR="001247F0" w:rsidRPr="001247F0">
              <w:rPr>
                <w:iCs/>
                <w:color w:val="000000"/>
                <w:spacing w:val="1"/>
                <w:shd w:val="solid" w:color="000000" w:fill="000000"/>
                <w:fitText w:val="541" w:id="-1236603897"/>
                <w14:textFill>
                  <w14:solidFill>
                    <w14:srgbClr w14:val="000000">
                      <w14:alpha w14:val="100000"/>
                    </w14:srgbClr>
                  </w14:solidFill>
                </w14:textFill>
              </w:rPr>
              <w:t>|</w:t>
            </w:r>
            <w:r w:rsidR="00F32C5E">
              <w:rPr>
                <w:iCs/>
                <w:vertAlign w:val="superscript"/>
              </w:rPr>
              <w:t>2</w:t>
            </w:r>
            <w:r w:rsidRPr="0096381E">
              <w:rPr>
                <w:iCs/>
              </w:rPr>
              <w:t>/QALY gained.</w:t>
            </w:r>
          </w:p>
        </w:tc>
      </w:tr>
      <w:tr w:rsidR="00D8137E" w:rsidRPr="00EF4C2D" w14:paraId="728259E4" w14:textId="77777777" w:rsidTr="003E27F7">
        <w:tc>
          <w:tcPr>
            <w:tcW w:w="626" w:type="pct"/>
            <w:tcBorders>
              <w:top w:val="single" w:sz="4" w:space="0" w:color="auto"/>
              <w:left w:val="single" w:sz="4" w:space="0" w:color="auto"/>
              <w:bottom w:val="single" w:sz="4" w:space="0" w:color="auto"/>
              <w:right w:val="single" w:sz="4" w:space="0" w:color="auto"/>
            </w:tcBorders>
            <w:vAlign w:val="center"/>
          </w:tcPr>
          <w:p w14:paraId="0476AC70" w14:textId="77777777" w:rsidR="00D8137E" w:rsidRPr="00EF4C2D" w:rsidRDefault="00D8137E" w:rsidP="001C4D1E">
            <w:pPr>
              <w:pStyle w:val="TableText0"/>
              <w:keepLines/>
              <w:widowControl w:val="0"/>
              <w:rPr>
                <w:lang w:val="en-US"/>
              </w:rPr>
            </w:pPr>
            <w:r w:rsidRPr="00EF4C2D">
              <w:rPr>
                <w:lang w:val="en-US"/>
              </w:rPr>
              <w:t>Time horizon</w:t>
            </w:r>
          </w:p>
        </w:tc>
        <w:tc>
          <w:tcPr>
            <w:tcW w:w="1965" w:type="pct"/>
            <w:tcBorders>
              <w:top w:val="single" w:sz="4" w:space="0" w:color="auto"/>
              <w:left w:val="single" w:sz="4" w:space="0" w:color="auto"/>
              <w:bottom w:val="single" w:sz="4" w:space="0" w:color="auto"/>
              <w:right w:val="single" w:sz="4" w:space="0" w:color="auto"/>
            </w:tcBorders>
            <w:vAlign w:val="center"/>
          </w:tcPr>
          <w:p w14:paraId="57C1FA2F" w14:textId="77777777" w:rsidR="00D8137E" w:rsidRPr="00EF4C2D" w:rsidRDefault="00D8137E" w:rsidP="001C4D1E">
            <w:pPr>
              <w:pStyle w:val="TableText0"/>
              <w:keepLines/>
              <w:widowControl w:val="0"/>
              <w:rPr>
                <w:lang w:val="en-US"/>
              </w:rPr>
            </w:pPr>
            <w:r w:rsidRPr="00EF4C2D">
              <w:rPr>
                <w:lang w:val="en-US"/>
              </w:rPr>
              <w:t>Base case evaluation was over a lifetime time horizon</w:t>
            </w:r>
          </w:p>
        </w:tc>
        <w:tc>
          <w:tcPr>
            <w:tcW w:w="2409" w:type="pct"/>
            <w:tcBorders>
              <w:top w:val="single" w:sz="4" w:space="0" w:color="auto"/>
              <w:left w:val="single" w:sz="4" w:space="0" w:color="auto"/>
              <w:bottom w:val="single" w:sz="4" w:space="0" w:color="auto"/>
              <w:right w:val="single" w:sz="4" w:space="0" w:color="auto"/>
            </w:tcBorders>
            <w:vAlign w:val="center"/>
          </w:tcPr>
          <w:p w14:paraId="47A7D170" w14:textId="64238890" w:rsidR="00D8137E" w:rsidRPr="0096381E" w:rsidRDefault="00D8137E" w:rsidP="001C4D1E">
            <w:pPr>
              <w:pStyle w:val="TableText0"/>
              <w:keepLines/>
              <w:widowControl w:val="0"/>
              <w:rPr>
                <w:iCs/>
                <w:lang w:val="en-US"/>
              </w:rPr>
            </w:pPr>
            <w:r w:rsidRPr="0096381E">
              <w:rPr>
                <w:iCs/>
                <w:lang w:val="en-US"/>
              </w:rPr>
              <w:t>High, favours chlormethine gel.</w:t>
            </w:r>
          </w:p>
          <w:p w14:paraId="0C1A92E7" w14:textId="2E82862D" w:rsidR="00D8137E" w:rsidRPr="0096381E" w:rsidRDefault="00D8137E" w:rsidP="001C4D1E">
            <w:pPr>
              <w:pStyle w:val="TableText0"/>
              <w:keepLines/>
              <w:widowControl w:val="0"/>
              <w:rPr>
                <w:iCs/>
                <w:lang w:val="en-US"/>
              </w:rPr>
            </w:pPr>
            <w:r w:rsidRPr="0096381E">
              <w:rPr>
                <w:iCs/>
                <w:lang w:val="en-US"/>
              </w:rPr>
              <w:t>Use of 20 and 10-year time horizons increased ICER to $</w:t>
            </w:r>
            <w:r w:rsidR="001247F0" w:rsidRPr="001247F0">
              <w:rPr>
                <w:iCs/>
                <w:color w:val="000000"/>
                <w:spacing w:val="29"/>
                <w:shd w:val="solid" w:color="000000" w:fill="000000"/>
                <w:fitText w:val="550" w:id="-1236603896"/>
                <w:lang w:val="en-US"/>
                <w14:textFill>
                  <w14:solidFill>
                    <w14:srgbClr w14:val="000000">
                      <w14:alpha w14:val="100000"/>
                    </w14:srgbClr>
                  </w14:solidFill>
                </w14:textFill>
              </w:rPr>
              <w:t>|||||||</w:t>
            </w:r>
            <w:r w:rsidR="001247F0" w:rsidRPr="001247F0">
              <w:rPr>
                <w:iCs/>
                <w:color w:val="000000"/>
                <w:spacing w:val="3"/>
                <w:shd w:val="solid" w:color="000000" w:fill="000000"/>
                <w:fitText w:val="550" w:id="-1236603896"/>
                <w:lang w:val="en-US"/>
                <w14:textFill>
                  <w14:solidFill>
                    <w14:srgbClr w14:val="000000">
                      <w14:alpha w14:val="100000"/>
                    </w14:srgbClr>
                  </w14:solidFill>
                </w14:textFill>
              </w:rPr>
              <w:t>|</w:t>
            </w:r>
            <w:r w:rsidR="00F32C5E">
              <w:rPr>
                <w:iCs/>
                <w:vertAlign w:val="superscript"/>
                <w:lang w:val="en-US"/>
              </w:rPr>
              <w:t>3</w:t>
            </w:r>
            <w:r w:rsidRPr="0096381E">
              <w:rPr>
                <w:iCs/>
                <w:lang w:val="en-US"/>
              </w:rPr>
              <w:t>/QALY and $</w:t>
            </w:r>
            <w:r w:rsidR="001247F0" w:rsidRPr="001247F0">
              <w:rPr>
                <w:iCs/>
                <w:color w:val="000000"/>
                <w:spacing w:val="29"/>
                <w:shd w:val="solid" w:color="000000" w:fill="000000"/>
                <w:fitText w:val="550" w:id="-1236603895"/>
                <w:lang w:val="en-US"/>
                <w14:textFill>
                  <w14:solidFill>
                    <w14:srgbClr w14:val="000000">
                      <w14:alpha w14:val="100000"/>
                    </w14:srgbClr>
                  </w14:solidFill>
                </w14:textFill>
              </w:rPr>
              <w:t>|||||||</w:t>
            </w:r>
            <w:r w:rsidR="001247F0" w:rsidRPr="001247F0">
              <w:rPr>
                <w:iCs/>
                <w:color w:val="000000"/>
                <w:spacing w:val="3"/>
                <w:shd w:val="solid" w:color="000000" w:fill="000000"/>
                <w:fitText w:val="550" w:id="-1236603895"/>
                <w:lang w:val="en-US"/>
                <w14:textFill>
                  <w14:solidFill>
                    <w14:srgbClr w14:val="000000">
                      <w14:alpha w14:val="100000"/>
                    </w14:srgbClr>
                  </w14:solidFill>
                </w14:textFill>
              </w:rPr>
              <w:t>|</w:t>
            </w:r>
            <w:r w:rsidR="00F32C5E">
              <w:rPr>
                <w:iCs/>
                <w:vertAlign w:val="superscript"/>
                <w:lang w:val="en-US"/>
              </w:rPr>
              <w:t>4</w:t>
            </w:r>
            <w:r w:rsidRPr="0096381E">
              <w:rPr>
                <w:iCs/>
                <w:lang w:val="en-US"/>
              </w:rPr>
              <w:t>/QALY gained, respectively.</w:t>
            </w:r>
            <w:r w:rsidRPr="0096381E">
              <w:rPr>
                <w:rFonts w:cs="Arial"/>
                <w:iCs/>
                <w:color w:val="3366FF"/>
                <w:szCs w:val="20"/>
                <w:lang w:val="en-US"/>
              </w:rPr>
              <w:t xml:space="preserve"> </w:t>
            </w:r>
            <w:r w:rsidRPr="0096381E">
              <w:rPr>
                <w:rFonts w:cs="Arial"/>
                <w:iCs/>
                <w:szCs w:val="20"/>
              </w:rPr>
              <w:t>The use of a 5-year time horizon makes phototherapy dominant.</w:t>
            </w:r>
          </w:p>
        </w:tc>
      </w:tr>
      <w:tr w:rsidR="00D8137E" w:rsidRPr="00EF4C2D" w14:paraId="3D6A23C9" w14:textId="77777777" w:rsidTr="003E27F7">
        <w:tc>
          <w:tcPr>
            <w:tcW w:w="626" w:type="pct"/>
            <w:tcBorders>
              <w:top w:val="single" w:sz="4" w:space="0" w:color="auto"/>
              <w:left w:val="single" w:sz="4" w:space="0" w:color="auto"/>
              <w:bottom w:val="single" w:sz="4" w:space="0" w:color="auto"/>
              <w:right w:val="single" w:sz="4" w:space="0" w:color="auto"/>
            </w:tcBorders>
            <w:vAlign w:val="center"/>
          </w:tcPr>
          <w:p w14:paraId="0DBF85F4" w14:textId="77777777" w:rsidR="00D8137E" w:rsidRPr="00EF4C2D" w:rsidRDefault="00D8137E" w:rsidP="001C4D1E">
            <w:pPr>
              <w:pStyle w:val="TableText0"/>
              <w:keepLines/>
              <w:widowControl w:val="0"/>
              <w:rPr>
                <w:lang w:val="en-US"/>
              </w:rPr>
            </w:pPr>
            <w:r w:rsidRPr="00EF4C2D">
              <w:rPr>
                <w:bCs w:val="0"/>
                <w:szCs w:val="20"/>
              </w:rPr>
              <w:t>Chlormethine gel dose</w:t>
            </w:r>
          </w:p>
        </w:tc>
        <w:tc>
          <w:tcPr>
            <w:tcW w:w="1965" w:type="pct"/>
            <w:tcBorders>
              <w:top w:val="single" w:sz="4" w:space="0" w:color="auto"/>
              <w:left w:val="single" w:sz="4" w:space="0" w:color="auto"/>
              <w:bottom w:val="single" w:sz="4" w:space="0" w:color="auto"/>
              <w:right w:val="single" w:sz="4" w:space="0" w:color="auto"/>
            </w:tcBorders>
            <w:vAlign w:val="center"/>
          </w:tcPr>
          <w:p w14:paraId="07829A84" w14:textId="00A96467" w:rsidR="00D8137E" w:rsidRPr="00EF4C2D" w:rsidRDefault="00D8137E" w:rsidP="001C4D1E">
            <w:pPr>
              <w:pStyle w:val="TableText0"/>
              <w:keepLines/>
              <w:widowControl w:val="0"/>
              <w:rPr>
                <w:lang w:val="en-US"/>
              </w:rPr>
            </w:pPr>
            <w:r w:rsidRPr="00EF4C2D">
              <w:rPr>
                <w:bCs w:val="0"/>
                <w:szCs w:val="20"/>
              </w:rPr>
              <w:t>Base case used median chlormethine gel dose from Study 201 (1.</w:t>
            </w:r>
            <w:r w:rsidR="00F32C5E" w:rsidRPr="00EF4C2D">
              <w:rPr>
                <w:bCs w:val="0"/>
                <w:szCs w:val="20"/>
              </w:rPr>
              <w:t>8</w:t>
            </w:r>
            <w:r w:rsidR="00F32C5E">
              <w:rPr>
                <w:bCs w:val="0"/>
                <w:szCs w:val="20"/>
              </w:rPr>
              <w:t> </w:t>
            </w:r>
            <w:r w:rsidRPr="00EF4C2D">
              <w:rPr>
                <w:bCs w:val="0"/>
                <w:szCs w:val="20"/>
              </w:rPr>
              <w:t>g); 0.99</w:t>
            </w:r>
            <w:r w:rsidR="00F32C5E">
              <w:rPr>
                <w:bCs w:val="0"/>
                <w:szCs w:val="20"/>
              </w:rPr>
              <w:t> </w:t>
            </w:r>
            <w:r w:rsidRPr="00EF4C2D">
              <w:rPr>
                <w:bCs w:val="0"/>
                <w:szCs w:val="20"/>
              </w:rPr>
              <w:t>g for low skin burden and 2.</w:t>
            </w:r>
            <w:r w:rsidR="00F32C5E" w:rsidRPr="00EF4C2D">
              <w:rPr>
                <w:bCs w:val="0"/>
                <w:szCs w:val="20"/>
              </w:rPr>
              <w:t>93</w:t>
            </w:r>
            <w:r w:rsidR="00F32C5E">
              <w:rPr>
                <w:bCs w:val="0"/>
                <w:szCs w:val="20"/>
              </w:rPr>
              <w:t> </w:t>
            </w:r>
            <w:r w:rsidRPr="00EF4C2D">
              <w:rPr>
                <w:bCs w:val="0"/>
                <w:szCs w:val="20"/>
              </w:rPr>
              <w:t>g for high skin burden.</w:t>
            </w:r>
          </w:p>
        </w:tc>
        <w:tc>
          <w:tcPr>
            <w:tcW w:w="2409" w:type="pct"/>
            <w:tcBorders>
              <w:top w:val="single" w:sz="4" w:space="0" w:color="auto"/>
              <w:left w:val="single" w:sz="4" w:space="0" w:color="auto"/>
              <w:bottom w:val="single" w:sz="4" w:space="0" w:color="auto"/>
              <w:right w:val="single" w:sz="4" w:space="0" w:color="auto"/>
            </w:tcBorders>
            <w:vAlign w:val="center"/>
          </w:tcPr>
          <w:p w14:paraId="386E6842" w14:textId="77777777" w:rsidR="00D8137E" w:rsidRPr="0096381E" w:rsidRDefault="00D8137E" w:rsidP="001C4D1E">
            <w:pPr>
              <w:pStyle w:val="TableText0"/>
              <w:keepLines/>
              <w:widowControl w:val="0"/>
              <w:rPr>
                <w:iCs/>
              </w:rPr>
            </w:pPr>
            <w:r w:rsidRPr="0096381E">
              <w:rPr>
                <w:iCs/>
                <w:lang w:val="en-US"/>
              </w:rPr>
              <w:t xml:space="preserve">High, favours chlormethine gel. </w:t>
            </w:r>
          </w:p>
          <w:p w14:paraId="7EA28F8E" w14:textId="6CC7EFBB" w:rsidR="00D8137E" w:rsidRPr="0096381E" w:rsidRDefault="00D8137E" w:rsidP="001C4D1E">
            <w:pPr>
              <w:pStyle w:val="TableText0"/>
              <w:keepLines/>
              <w:widowControl w:val="0"/>
              <w:rPr>
                <w:iCs/>
                <w:lang w:val="en-US"/>
              </w:rPr>
            </w:pPr>
            <w:r w:rsidRPr="0096381E">
              <w:rPr>
                <w:iCs/>
                <w:lang w:val="en-US"/>
              </w:rPr>
              <w:t xml:space="preserve">Use of mean safety set population dose: </w:t>
            </w:r>
            <w:r w:rsidRPr="0096381E">
              <w:rPr>
                <w:iCs/>
              </w:rPr>
              <w:t>1.</w:t>
            </w:r>
            <w:r w:rsidR="00F32C5E" w:rsidRPr="0096381E">
              <w:rPr>
                <w:iCs/>
              </w:rPr>
              <w:t>77</w:t>
            </w:r>
            <w:r w:rsidR="00F32C5E">
              <w:rPr>
                <w:iCs/>
              </w:rPr>
              <w:t> </w:t>
            </w:r>
            <w:r w:rsidRPr="0096381E">
              <w:rPr>
                <w:iCs/>
              </w:rPr>
              <w:t>g for low skin burden and 4.28</w:t>
            </w:r>
            <w:r w:rsidR="00F32C5E">
              <w:rPr>
                <w:iCs/>
              </w:rPr>
              <w:t> </w:t>
            </w:r>
            <w:r w:rsidRPr="0096381E">
              <w:rPr>
                <w:iCs/>
              </w:rPr>
              <w:t>g for high skin burden increased the ICER to $</w:t>
            </w:r>
            <w:r w:rsidR="001247F0" w:rsidRPr="001247F0">
              <w:rPr>
                <w:iCs/>
                <w:color w:val="000000"/>
                <w:spacing w:val="29"/>
                <w:shd w:val="solid" w:color="000000" w:fill="000000"/>
                <w:fitText w:val="549" w:id="-1236603894"/>
                <w14:textFill>
                  <w14:solidFill>
                    <w14:srgbClr w14:val="000000">
                      <w14:alpha w14:val="100000"/>
                    </w14:srgbClr>
                  </w14:solidFill>
                </w14:textFill>
              </w:rPr>
              <w:t>|||||||</w:t>
            </w:r>
            <w:r w:rsidR="001247F0" w:rsidRPr="001247F0">
              <w:rPr>
                <w:iCs/>
                <w:color w:val="000000"/>
                <w:spacing w:val="2"/>
                <w:shd w:val="solid" w:color="000000" w:fill="000000"/>
                <w:fitText w:val="549" w:id="-1236603894"/>
                <w14:textFill>
                  <w14:solidFill>
                    <w14:srgbClr w14:val="000000">
                      <w14:alpha w14:val="100000"/>
                    </w14:srgbClr>
                  </w14:solidFill>
                </w14:textFill>
              </w:rPr>
              <w:t>|</w:t>
            </w:r>
            <w:r w:rsidR="00F32C5E">
              <w:rPr>
                <w:iCs/>
                <w:vertAlign w:val="superscript"/>
              </w:rPr>
              <w:t>5</w:t>
            </w:r>
            <w:r w:rsidRPr="0096381E">
              <w:rPr>
                <w:iCs/>
              </w:rPr>
              <w:t xml:space="preserve">/QALY gained. The use of </w:t>
            </w:r>
            <w:r w:rsidR="00F32C5E" w:rsidRPr="0096381E">
              <w:rPr>
                <w:iCs/>
              </w:rPr>
              <w:t>Study</w:t>
            </w:r>
            <w:r w:rsidR="00F32C5E">
              <w:rPr>
                <w:iCs/>
              </w:rPr>
              <w:t> </w:t>
            </w:r>
            <w:r w:rsidRPr="0096381E">
              <w:rPr>
                <w:iCs/>
              </w:rPr>
              <w:t>201 mean ITT dose (average 2.</w:t>
            </w:r>
            <w:r w:rsidR="00F32C5E" w:rsidRPr="0096381E">
              <w:rPr>
                <w:iCs/>
              </w:rPr>
              <w:t>21</w:t>
            </w:r>
            <w:r w:rsidR="00F32C5E">
              <w:rPr>
                <w:iCs/>
              </w:rPr>
              <w:t> </w:t>
            </w:r>
            <w:r w:rsidRPr="0096381E">
              <w:rPr>
                <w:iCs/>
              </w:rPr>
              <w:t>g) increased the ICER to $</w:t>
            </w:r>
            <w:r w:rsidR="001247F0" w:rsidRPr="001247F0">
              <w:rPr>
                <w:iCs/>
                <w:color w:val="000000"/>
                <w:spacing w:val="29"/>
                <w:shd w:val="solid" w:color="000000" w:fill="000000"/>
                <w:fitText w:val="549" w:id="-1236603893"/>
                <w14:textFill>
                  <w14:solidFill>
                    <w14:srgbClr w14:val="000000">
                      <w14:alpha w14:val="100000"/>
                    </w14:srgbClr>
                  </w14:solidFill>
                </w14:textFill>
              </w:rPr>
              <w:t>|||||||</w:t>
            </w:r>
            <w:r w:rsidR="001247F0" w:rsidRPr="001247F0">
              <w:rPr>
                <w:iCs/>
                <w:color w:val="000000"/>
                <w:spacing w:val="2"/>
                <w:shd w:val="solid" w:color="000000" w:fill="000000"/>
                <w:fitText w:val="549" w:id="-1236603893"/>
                <w14:textFill>
                  <w14:solidFill>
                    <w14:srgbClr w14:val="000000">
                      <w14:alpha w14:val="100000"/>
                    </w14:srgbClr>
                  </w14:solidFill>
                </w14:textFill>
              </w:rPr>
              <w:t>|</w:t>
            </w:r>
            <w:r w:rsidR="00F32C5E">
              <w:rPr>
                <w:iCs/>
                <w:vertAlign w:val="superscript"/>
              </w:rPr>
              <w:t>6</w:t>
            </w:r>
            <w:r w:rsidRPr="0096381E">
              <w:rPr>
                <w:iCs/>
              </w:rPr>
              <w:t>/QALY gained.</w:t>
            </w:r>
          </w:p>
        </w:tc>
      </w:tr>
      <w:tr w:rsidR="00D8137E" w:rsidRPr="00EF4C2D" w14:paraId="288A7DBD" w14:textId="77777777" w:rsidTr="003E27F7">
        <w:tc>
          <w:tcPr>
            <w:tcW w:w="626" w:type="pct"/>
            <w:tcBorders>
              <w:top w:val="single" w:sz="4" w:space="0" w:color="auto"/>
              <w:left w:val="single" w:sz="4" w:space="0" w:color="auto"/>
              <w:bottom w:val="single" w:sz="4" w:space="0" w:color="auto"/>
              <w:right w:val="single" w:sz="4" w:space="0" w:color="auto"/>
            </w:tcBorders>
            <w:vAlign w:val="center"/>
          </w:tcPr>
          <w:p w14:paraId="2BEBB0C2" w14:textId="77777777" w:rsidR="00D8137E" w:rsidRPr="00EF4C2D" w:rsidRDefault="00D8137E" w:rsidP="001C4D1E">
            <w:pPr>
              <w:pStyle w:val="TableText0"/>
              <w:keepLines/>
              <w:widowControl w:val="0"/>
              <w:rPr>
                <w:lang w:val="en-US"/>
              </w:rPr>
            </w:pPr>
            <w:r w:rsidRPr="00EF4C2D">
              <w:rPr>
                <w:lang w:val="en-US"/>
              </w:rPr>
              <w:t>Subsequent treatment</w:t>
            </w:r>
          </w:p>
        </w:tc>
        <w:tc>
          <w:tcPr>
            <w:tcW w:w="1965" w:type="pct"/>
            <w:tcBorders>
              <w:top w:val="single" w:sz="4" w:space="0" w:color="auto"/>
              <w:left w:val="single" w:sz="4" w:space="0" w:color="auto"/>
              <w:bottom w:val="single" w:sz="4" w:space="0" w:color="auto"/>
              <w:right w:val="single" w:sz="4" w:space="0" w:color="auto"/>
            </w:tcBorders>
            <w:vAlign w:val="center"/>
          </w:tcPr>
          <w:p w14:paraId="0BE8DB0C" w14:textId="77777777" w:rsidR="00D8137E" w:rsidRPr="00EF4C2D" w:rsidRDefault="00D8137E" w:rsidP="001C4D1E">
            <w:pPr>
              <w:pStyle w:val="TableText0"/>
              <w:keepLines/>
              <w:widowControl w:val="0"/>
              <w:rPr>
                <w:lang w:val="en-US"/>
              </w:rPr>
            </w:pPr>
            <w:r w:rsidRPr="00EF4C2D">
              <w:rPr>
                <w:lang w:val="en-US"/>
              </w:rPr>
              <w:t>Base case included costs due to subsequent treatment.</w:t>
            </w:r>
          </w:p>
        </w:tc>
        <w:tc>
          <w:tcPr>
            <w:tcW w:w="2409" w:type="pct"/>
            <w:tcBorders>
              <w:top w:val="single" w:sz="4" w:space="0" w:color="auto"/>
              <w:left w:val="single" w:sz="4" w:space="0" w:color="auto"/>
              <w:bottom w:val="single" w:sz="4" w:space="0" w:color="auto"/>
              <w:right w:val="single" w:sz="4" w:space="0" w:color="auto"/>
            </w:tcBorders>
            <w:vAlign w:val="center"/>
          </w:tcPr>
          <w:p w14:paraId="7F28034B" w14:textId="77777777" w:rsidR="00D8137E" w:rsidRPr="0096381E" w:rsidRDefault="00D8137E" w:rsidP="001C4D1E">
            <w:pPr>
              <w:pStyle w:val="TableText0"/>
              <w:keepLines/>
              <w:widowControl w:val="0"/>
              <w:rPr>
                <w:iCs/>
              </w:rPr>
            </w:pPr>
            <w:r w:rsidRPr="0096381E">
              <w:rPr>
                <w:iCs/>
                <w:lang w:val="en-US"/>
              </w:rPr>
              <w:t xml:space="preserve">High, favours chlormethine gel. </w:t>
            </w:r>
          </w:p>
          <w:p w14:paraId="3D134D55" w14:textId="3B68C9CB" w:rsidR="00D8137E" w:rsidRPr="0096381E" w:rsidRDefault="00D8137E" w:rsidP="001C4D1E">
            <w:pPr>
              <w:pStyle w:val="TableText0"/>
              <w:keepLines/>
              <w:widowControl w:val="0"/>
              <w:rPr>
                <w:iCs/>
                <w:lang w:val="en-US"/>
              </w:rPr>
            </w:pPr>
            <w:r w:rsidRPr="0096381E">
              <w:rPr>
                <w:iCs/>
                <w:lang w:val="en-US"/>
              </w:rPr>
              <w:t>Exclusion of costs of subsequent treatment increases the ICER to $</w:t>
            </w:r>
            <w:r w:rsidR="001247F0" w:rsidRPr="001247F0">
              <w:rPr>
                <w:iCs/>
                <w:color w:val="000000"/>
                <w:spacing w:val="29"/>
                <w:shd w:val="solid" w:color="000000" w:fill="000000"/>
                <w:fitText w:val="549" w:id="-1236603892"/>
                <w:lang w:val="en-US"/>
                <w14:textFill>
                  <w14:solidFill>
                    <w14:srgbClr w14:val="000000">
                      <w14:alpha w14:val="100000"/>
                    </w14:srgbClr>
                  </w14:solidFill>
                </w14:textFill>
              </w:rPr>
              <w:t>|||||||</w:t>
            </w:r>
            <w:r w:rsidR="001247F0" w:rsidRPr="001247F0">
              <w:rPr>
                <w:iCs/>
                <w:color w:val="000000"/>
                <w:spacing w:val="2"/>
                <w:shd w:val="solid" w:color="000000" w:fill="000000"/>
                <w:fitText w:val="549" w:id="-1236603892"/>
                <w:lang w:val="en-US"/>
                <w14:textFill>
                  <w14:solidFill>
                    <w14:srgbClr w14:val="000000">
                      <w14:alpha w14:val="100000"/>
                    </w14:srgbClr>
                  </w14:solidFill>
                </w14:textFill>
              </w:rPr>
              <w:t>|</w:t>
            </w:r>
            <w:r w:rsidR="00F32C5E">
              <w:rPr>
                <w:iCs/>
                <w:vertAlign w:val="superscript"/>
                <w:lang w:val="en-US"/>
              </w:rPr>
              <w:t>6</w:t>
            </w:r>
            <w:r w:rsidRPr="0096381E">
              <w:rPr>
                <w:iCs/>
                <w:lang w:val="en-US"/>
              </w:rPr>
              <w:t>/QALY gained.</w:t>
            </w:r>
          </w:p>
        </w:tc>
      </w:tr>
      <w:tr w:rsidR="00D8137E" w:rsidRPr="00EF4C2D" w14:paraId="2E5F68CE" w14:textId="77777777" w:rsidTr="003E27F7">
        <w:tc>
          <w:tcPr>
            <w:tcW w:w="626" w:type="pct"/>
            <w:tcBorders>
              <w:top w:val="single" w:sz="4" w:space="0" w:color="auto"/>
              <w:left w:val="single" w:sz="4" w:space="0" w:color="auto"/>
              <w:bottom w:val="single" w:sz="4" w:space="0" w:color="auto"/>
              <w:right w:val="single" w:sz="4" w:space="0" w:color="auto"/>
            </w:tcBorders>
            <w:vAlign w:val="center"/>
          </w:tcPr>
          <w:p w14:paraId="6406768D" w14:textId="77777777" w:rsidR="00D8137E" w:rsidRPr="00EF4C2D" w:rsidRDefault="00D8137E" w:rsidP="001C4D1E">
            <w:pPr>
              <w:pStyle w:val="TableText0"/>
              <w:keepLines/>
              <w:widowControl w:val="0"/>
              <w:rPr>
                <w:lang w:val="en-US"/>
              </w:rPr>
            </w:pPr>
            <w:r w:rsidRPr="00EF4C2D">
              <w:rPr>
                <w:lang w:val="en-US"/>
              </w:rPr>
              <w:t xml:space="preserve">Transition probabilities </w:t>
            </w:r>
          </w:p>
        </w:tc>
        <w:tc>
          <w:tcPr>
            <w:tcW w:w="1965" w:type="pct"/>
            <w:tcBorders>
              <w:top w:val="single" w:sz="4" w:space="0" w:color="auto"/>
              <w:left w:val="single" w:sz="4" w:space="0" w:color="auto"/>
              <w:bottom w:val="single" w:sz="4" w:space="0" w:color="auto"/>
              <w:right w:val="single" w:sz="4" w:space="0" w:color="auto"/>
            </w:tcBorders>
            <w:vAlign w:val="center"/>
          </w:tcPr>
          <w:p w14:paraId="66FEF695" w14:textId="77777777" w:rsidR="00D8137E" w:rsidRPr="00EF4C2D" w:rsidRDefault="00D8137E" w:rsidP="001C4D1E">
            <w:pPr>
              <w:pStyle w:val="TableText0"/>
              <w:keepLines/>
              <w:widowControl w:val="0"/>
              <w:rPr>
                <w:lang w:val="en-US"/>
              </w:rPr>
            </w:pPr>
            <w:r w:rsidRPr="00EF4C2D">
              <w:rPr>
                <w:bCs w:val="0"/>
                <w:szCs w:val="20"/>
              </w:rPr>
              <w:t>Relapse post-CR and post-PR sourced from Whittaker et al. 2012 and assumed equal to initial PD.</w:t>
            </w:r>
          </w:p>
        </w:tc>
        <w:tc>
          <w:tcPr>
            <w:tcW w:w="2409" w:type="pct"/>
            <w:tcBorders>
              <w:top w:val="single" w:sz="4" w:space="0" w:color="auto"/>
              <w:left w:val="single" w:sz="4" w:space="0" w:color="auto"/>
              <w:bottom w:val="single" w:sz="4" w:space="0" w:color="auto"/>
              <w:right w:val="single" w:sz="4" w:space="0" w:color="auto"/>
            </w:tcBorders>
            <w:vAlign w:val="center"/>
          </w:tcPr>
          <w:p w14:paraId="5E469987" w14:textId="77777777" w:rsidR="00D8137E" w:rsidRPr="0096381E" w:rsidRDefault="00D8137E" w:rsidP="001C4D1E">
            <w:pPr>
              <w:pStyle w:val="TableText0"/>
              <w:keepLines/>
              <w:widowControl w:val="0"/>
              <w:rPr>
                <w:iCs/>
                <w:lang w:val="en-US"/>
              </w:rPr>
            </w:pPr>
            <w:r w:rsidRPr="0096381E">
              <w:rPr>
                <w:iCs/>
                <w:lang w:val="en-US"/>
              </w:rPr>
              <w:t xml:space="preserve">High, favours chlormethine gel. </w:t>
            </w:r>
          </w:p>
          <w:p w14:paraId="557CC35B" w14:textId="7DF50A8A" w:rsidR="00D8137E" w:rsidRPr="0096381E" w:rsidRDefault="00D8137E" w:rsidP="001C4D1E">
            <w:pPr>
              <w:pStyle w:val="TableText0"/>
              <w:keepLines/>
              <w:widowControl w:val="0"/>
              <w:rPr>
                <w:iCs/>
                <w:lang w:val="en-US"/>
              </w:rPr>
            </w:pPr>
            <w:r w:rsidRPr="0096381E">
              <w:rPr>
                <w:iCs/>
                <w:lang w:val="en-US"/>
              </w:rPr>
              <w:t>Use of values sourced from Phan et al. 2019 increased ICER to $</w:t>
            </w:r>
            <w:r w:rsidR="001247F0" w:rsidRPr="001247F0">
              <w:rPr>
                <w:iCs/>
                <w:color w:val="000000"/>
                <w:spacing w:val="28"/>
                <w:shd w:val="solid" w:color="000000" w:fill="000000"/>
                <w:fitText w:val="541" w:id="-1236603891"/>
                <w:lang w:val="en-US"/>
                <w14:textFill>
                  <w14:solidFill>
                    <w14:srgbClr w14:val="000000">
                      <w14:alpha w14:val="100000"/>
                    </w14:srgbClr>
                  </w14:solidFill>
                </w14:textFill>
              </w:rPr>
              <w:t>|||||||</w:t>
            </w:r>
            <w:r w:rsidR="001247F0" w:rsidRPr="001247F0">
              <w:rPr>
                <w:iCs/>
                <w:color w:val="000000"/>
                <w:spacing w:val="1"/>
                <w:shd w:val="solid" w:color="000000" w:fill="000000"/>
                <w:fitText w:val="541" w:id="-1236603891"/>
                <w:lang w:val="en-US"/>
                <w14:textFill>
                  <w14:solidFill>
                    <w14:srgbClr w14:val="000000">
                      <w14:alpha w14:val="100000"/>
                    </w14:srgbClr>
                  </w14:solidFill>
                </w14:textFill>
              </w:rPr>
              <w:t>|</w:t>
            </w:r>
            <w:r w:rsidR="00F32C5E">
              <w:rPr>
                <w:iCs/>
                <w:vertAlign w:val="superscript"/>
                <w:lang w:val="en-US"/>
              </w:rPr>
              <w:t>6</w:t>
            </w:r>
            <w:r w:rsidRPr="0096381E">
              <w:rPr>
                <w:iCs/>
                <w:lang w:val="en-US"/>
              </w:rPr>
              <w:t>/QALY gained.</w:t>
            </w:r>
            <w:r w:rsidRPr="0096381E">
              <w:rPr>
                <w:rFonts w:cs="Arial"/>
                <w:iCs/>
                <w:color w:val="3366FF"/>
                <w:szCs w:val="20"/>
                <w:lang w:val="en-US"/>
              </w:rPr>
              <w:t xml:space="preserve"> </w:t>
            </w:r>
          </w:p>
        </w:tc>
      </w:tr>
      <w:tr w:rsidR="00D8137E" w:rsidRPr="00EF4C2D" w14:paraId="210073D5" w14:textId="77777777" w:rsidTr="003E27F7">
        <w:tc>
          <w:tcPr>
            <w:tcW w:w="626" w:type="pct"/>
            <w:tcBorders>
              <w:top w:val="single" w:sz="4" w:space="0" w:color="auto"/>
              <w:left w:val="single" w:sz="4" w:space="0" w:color="auto"/>
              <w:bottom w:val="single" w:sz="4" w:space="0" w:color="auto"/>
              <w:right w:val="single" w:sz="4" w:space="0" w:color="auto"/>
            </w:tcBorders>
            <w:vAlign w:val="center"/>
          </w:tcPr>
          <w:p w14:paraId="1D446C26" w14:textId="77777777" w:rsidR="00D8137E" w:rsidRPr="00EF4C2D" w:rsidRDefault="00D8137E" w:rsidP="001C4D1E">
            <w:pPr>
              <w:pStyle w:val="TableText0"/>
              <w:keepLines/>
              <w:widowControl w:val="0"/>
              <w:rPr>
                <w:lang w:val="en-US"/>
              </w:rPr>
            </w:pPr>
            <w:r w:rsidRPr="00EF4C2D">
              <w:rPr>
                <w:lang w:val="en-US"/>
              </w:rPr>
              <w:t xml:space="preserve">Utilities </w:t>
            </w:r>
          </w:p>
        </w:tc>
        <w:tc>
          <w:tcPr>
            <w:tcW w:w="1965" w:type="pct"/>
            <w:tcBorders>
              <w:top w:val="single" w:sz="4" w:space="0" w:color="auto"/>
              <w:left w:val="single" w:sz="4" w:space="0" w:color="auto"/>
              <w:bottom w:val="single" w:sz="4" w:space="0" w:color="auto"/>
              <w:right w:val="single" w:sz="4" w:space="0" w:color="auto"/>
            </w:tcBorders>
            <w:vAlign w:val="center"/>
          </w:tcPr>
          <w:p w14:paraId="64F5A1F4" w14:textId="77777777" w:rsidR="00D8137E" w:rsidRPr="00EF4C2D" w:rsidRDefault="00D8137E" w:rsidP="001C4D1E">
            <w:pPr>
              <w:pStyle w:val="TableText0"/>
              <w:keepLines/>
              <w:widowControl w:val="0"/>
              <w:rPr>
                <w:lang w:val="en-US"/>
              </w:rPr>
            </w:pPr>
            <w:r w:rsidRPr="00EF4C2D">
              <w:rPr>
                <w:lang w:val="en-US"/>
              </w:rPr>
              <w:t>Base case analysis used baseline mSWAT score from Study 201.</w:t>
            </w:r>
          </w:p>
        </w:tc>
        <w:tc>
          <w:tcPr>
            <w:tcW w:w="2409" w:type="pct"/>
            <w:tcBorders>
              <w:top w:val="single" w:sz="4" w:space="0" w:color="auto"/>
              <w:left w:val="single" w:sz="4" w:space="0" w:color="auto"/>
              <w:bottom w:val="single" w:sz="4" w:space="0" w:color="auto"/>
              <w:right w:val="single" w:sz="4" w:space="0" w:color="auto"/>
            </w:tcBorders>
            <w:vAlign w:val="center"/>
          </w:tcPr>
          <w:p w14:paraId="3E52F7AA" w14:textId="77777777" w:rsidR="00D8137E" w:rsidRPr="0096381E" w:rsidRDefault="00D8137E" w:rsidP="001C4D1E">
            <w:pPr>
              <w:pStyle w:val="TableText0"/>
              <w:keepLines/>
              <w:widowControl w:val="0"/>
              <w:rPr>
                <w:iCs/>
                <w:lang w:val="en-US"/>
              </w:rPr>
            </w:pPr>
            <w:r w:rsidRPr="0096381E">
              <w:rPr>
                <w:iCs/>
                <w:lang w:val="en-US"/>
              </w:rPr>
              <w:t>Moderate, favours chlormethine gel</w:t>
            </w:r>
          </w:p>
          <w:p w14:paraId="0FF40F6D" w14:textId="08559FB6" w:rsidR="00D8137E" w:rsidRPr="0096381E" w:rsidRDefault="00D8137E" w:rsidP="001C4D1E">
            <w:pPr>
              <w:pStyle w:val="TableText0"/>
              <w:keepLines/>
              <w:widowControl w:val="0"/>
              <w:rPr>
                <w:iCs/>
                <w:lang w:val="en-US"/>
              </w:rPr>
            </w:pPr>
            <w:r w:rsidRPr="0096381E">
              <w:rPr>
                <w:iCs/>
                <w:lang w:val="en-US"/>
              </w:rPr>
              <w:t>Use of baseline mSWAT score from the PROCLIPI registry increases the ICER to $</w:t>
            </w:r>
            <w:r w:rsidR="001247F0" w:rsidRPr="001247F0">
              <w:rPr>
                <w:iCs/>
                <w:color w:val="000000"/>
                <w:spacing w:val="29"/>
                <w:shd w:val="solid" w:color="000000" w:fill="000000"/>
                <w:fitText w:val="549" w:id="-1236603890"/>
                <w:lang w:val="en-US"/>
                <w14:textFill>
                  <w14:solidFill>
                    <w14:srgbClr w14:val="000000">
                      <w14:alpha w14:val="100000"/>
                    </w14:srgbClr>
                  </w14:solidFill>
                </w14:textFill>
              </w:rPr>
              <w:t>|||||||</w:t>
            </w:r>
            <w:r w:rsidR="001247F0" w:rsidRPr="001247F0">
              <w:rPr>
                <w:iCs/>
                <w:color w:val="000000"/>
                <w:spacing w:val="2"/>
                <w:shd w:val="solid" w:color="000000" w:fill="000000"/>
                <w:fitText w:val="549" w:id="-1236603890"/>
                <w:lang w:val="en-US"/>
                <w14:textFill>
                  <w14:solidFill>
                    <w14:srgbClr w14:val="000000">
                      <w14:alpha w14:val="100000"/>
                    </w14:srgbClr>
                  </w14:solidFill>
                </w14:textFill>
              </w:rPr>
              <w:t>|</w:t>
            </w:r>
            <w:r w:rsidR="00F32C5E">
              <w:rPr>
                <w:iCs/>
                <w:vertAlign w:val="superscript"/>
                <w:lang w:val="en-US"/>
              </w:rPr>
              <w:t>7</w:t>
            </w:r>
            <w:r w:rsidRPr="0096381E">
              <w:rPr>
                <w:iCs/>
                <w:lang w:val="en-US"/>
              </w:rPr>
              <w:t xml:space="preserve"> QALY/gained.</w:t>
            </w:r>
          </w:p>
        </w:tc>
      </w:tr>
      <w:tr w:rsidR="00D8137E" w:rsidRPr="00EF4C2D" w14:paraId="51E606E3" w14:textId="77777777" w:rsidTr="003E27F7">
        <w:tc>
          <w:tcPr>
            <w:tcW w:w="626" w:type="pct"/>
            <w:tcBorders>
              <w:top w:val="single" w:sz="4" w:space="0" w:color="auto"/>
              <w:left w:val="single" w:sz="4" w:space="0" w:color="auto"/>
              <w:bottom w:val="single" w:sz="4" w:space="0" w:color="auto"/>
              <w:right w:val="single" w:sz="4" w:space="0" w:color="auto"/>
            </w:tcBorders>
            <w:vAlign w:val="center"/>
          </w:tcPr>
          <w:p w14:paraId="296884CD" w14:textId="77777777" w:rsidR="00D8137E" w:rsidRPr="00EF4C2D" w:rsidRDefault="00D8137E" w:rsidP="001C4D1E">
            <w:pPr>
              <w:pStyle w:val="TableText0"/>
              <w:keepLines/>
              <w:widowControl w:val="0"/>
              <w:rPr>
                <w:lang w:val="en-US"/>
              </w:rPr>
            </w:pPr>
            <w:r w:rsidRPr="00EF4C2D">
              <w:t xml:space="preserve">Definition of response </w:t>
            </w:r>
          </w:p>
        </w:tc>
        <w:tc>
          <w:tcPr>
            <w:tcW w:w="1965" w:type="pct"/>
            <w:tcBorders>
              <w:top w:val="single" w:sz="4" w:space="0" w:color="auto"/>
              <w:left w:val="single" w:sz="4" w:space="0" w:color="auto"/>
              <w:bottom w:val="single" w:sz="4" w:space="0" w:color="auto"/>
              <w:right w:val="single" w:sz="4" w:space="0" w:color="auto"/>
            </w:tcBorders>
            <w:vAlign w:val="center"/>
          </w:tcPr>
          <w:p w14:paraId="29BB7ED2" w14:textId="77777777" w:rsidR="00D8137E" w:rsidRPr="00EF4C2D" w:rsidRDefault="00D8137E" w:rsidP="001C4D1E">
            <w:pPr>
              <w:pStyle w:val="TableText0"/>
              <w:keepLines/>
              <w:widowControl w:val="0"/>
              <w:rPr>
                <w:lang w:val="en-US"/>
              </w:rPr>
            </w:pPr>
            <w:r w:rsidRPr="00EF4C2D">
              <w:rPr>
                <w:lang w:val="en-US"/>
              </w:rPr>
              <w:t>The base case used the definition of time point for response for effectiveness of chlormethine gel from Study 201 to derive transition probabilities within the disease stages.</w:t>
            </w:r>
          </w:p>
        </w:tc>
        <w:tc>
          <w:tcPr>
            <w:tcW w:w="2409" w:type="pct"/>
            <w:tcBorders>
              <w:top w:val="single" w:sz="4" w:space="0" w:color="auto"/>
              <w:left w:val="single" w:sz="4" w:space="0" w:color="auto"/>
              <w:bottom w:val="single" w:sz="4" w:space="0" w:color="auto"/>
              <w:right w:val="single" w:sz="4" w:space="0" w:color="auto"/>
            </w:tcBorders>
            <w:vAlign w:val="center"/>
          </w:tcPr>
          <w:p w14:paraId="18FD09AB" w14:textId="77777777" w:rsidR="00D8137E" w:rsidRPr="0096381E" w:rsidRDefault="00D8137E" w:rsidP="001C4D1E">
            <w:pPr>
              <w:pStyle w:val="TableText0"/>
              <w:keepLines/>
              <w:widowControl w:val="0"/>
              <w:rPr>
                <w:iCs/>
              </w:rPr>
            </w:pPr>
            <w:r w:rsidRPr="0096381E">
              <w:rPr>
                <w:iCs/>
                <w:lang w:val="en-US"/>
              </w:rPr>
              <w:t xml:space="preserve">High, favours phototherapy </w:t>
            </w:r>
          </w:p>
          <w:p w14:paraId="3E68B49F" w14:textId="48EBBF29" w:rsidR="00D8137E" w:rsidRPr="0096381E" w:rsidRDefault="00D8137E" w:rsidP="001C4D1E">
            <w:pPr>
              <w:pStyle w:val="TableText0"/>
              <w:keepLines/>
              <w:widowControl w:val="0"/>
              <w:rPr>
                <w:iCs/>
                <w:lang w:val="en-US"/>
              </w:rPr>
            </w:pPr>
            <w:r w:rsidRPr="0096381E">
              <w:rPr>
                <w:iCs/>
                <w:lang w:val="en-US"/>
              </w:rPr>
              <w:t>Use of definition of time point of response from 2 phototherapy studies (used to inform the ITC</w:t>
            </w:r>
            <w:r w:rsidR="000C2525" w:rsidRPr="0096381E">
              <w:rPr>
                <w:iCs/>
                <w:lang w:val="en-US"/>
              </w:rPr>
              <w:t xml:space="preserve"> in comparative effectiveness section</w:t>
            </w:r>
            <w:r w:rsidRPr="0096381E">
              <w:rPr>
                <w:iCs/>
                <w:lang w:val="en-US"/>
              </w:rPr>
              <w:t>) to recode chlormethine gel response reported in Study 201, and derived new transition probabilities decreased the ICER to $</w:t>
            </w:r>
            <w:r w:rsidR="001247F0" w:rsidRPr="001247F0">
              <w:rPr>
                <w:iCs/>
                <w:color w:val="000000"/>
                <w:spacing w:val="29"/>
                <w:shd w:val="solid" w:color="000000" w:fill="000000"/>
                <w:fitText w:val="550" w:id="-1236603889"/>
                <w:lang w:val="en-US"/>
                <w14:textFill>
                  <w14:solidFill>
                    <w14:srgbClr w14:val="000000">
                      <w14:alpha w14:val="100000"/>
                    </w14:srgbClr>
                  </w14:solidFill>
                </w14:textFill>
              </w:rPr>
              <w:t>|||||||</w:t>
            </w:r>
            <w:r w:rsidR="001247F0" w:rsidRPr="001247F0">
              <w:rPr>
                <w:iCs/>
                <w:color w:val="000000"/>
                <w:spacing w:val="3"/>
                <w:shd w:val="solid" w:color="000000" w:fill="000000"/>
                <w:fitText w:val="550" w:id="-1236603889"/>
                <w:lang w:val="en-US"/>
                <w14:textFill>
                  <w14:solidFill>
                    <w14:srgbClr w14:val="000000">
                      <w14:alpha w14:val="100000"/>
                    </w14:srgbClr>
                  </w14:solidFill>
                </w14:textFill>
              </w:rPr>
              <w:t>|</w:t>
            </w:r>
            <w:r w:rsidR="00F32C5E">
              <w:rPr>
                <w:iCs/>
                <w:vertAlign w:val="superscript"/>
                <w:lang w:val="en-US"/>
              </w:rPr>
              <w:t>8</w:t>
            </w:r>
            <w:r w:rsidRPr="0096381E">
              <w:rPr>
                <w:iCs/>
                <w:lang w:val="en-US"/>
              </w:rPr>
              <w:t xml:space="preserve"> QALY/gained. The submission did not identify which 2 of the 3 phototherapy studies were used.</w:t>
            </w:r>
          </w:p>
        </w:tc>
      </w:tr>
      <w:tr w:rsidR="00D8137E" w:rsidRPr="00EF4C2D" w14:paraId="458D351A" w14:textId="77777777" w:rsidTr="003E27F7">
        <w:tc>
          <w:tcPr>
            <w:tcW w:w="626" w:type="pct"/>
            <w:tcBorders>
              <w:top w:val="single" w:sz="4" w:space="0" w:color="auto"/>
              <w:left w:val="single" w:sz="4" w:space="0" w:color="auto"/>
              <w:bottom w:val="single" w:sz="4" w:space="0" w:color="auto"/>
              <w:right w:val="single" w:sz="4" w:space="0" w:color="auto"/>
            </w:tcBorders>
            <w:vAlign w:val="center"/>
          </w:tcPr>
          <w:p w14:paraId="00A3051D" w14:textId="77777777" w:rsidR="00D8137E" w:rsidRPr="00EF4C2D" w:rsidRDefault="00D8137E" w:rsidP="001C4D1E">
            <w:pPr>
              <w:pStyle w:val="TableText0"/>
              <w:keepLines/>
              <w:widowControl w:val="0"/>
              <w:rPr>
                <w:lang w:val="en-US"/>
              </w:rPr>
            </w:pPr>
            <w:r w:rsidRPr="00EF4C2D">
              <w:rPr>
                <w:lang w:val="en-US"/>
              </w:rPr>
              <w:t>Effectiveness of phototherapy</w:t>
            </w:r>
          </w:p>
        </w:tc>
        <w:tc>
          <w:tcPr>
            <w:tcW w:w="1965" w:type="pct"/>
            <w:tcBorders>
              <w:top w:val="single" w:sz="4" w:space="0" w:color="auto"/>
              <w:left w:val="single" w:sz="4" w:space="0" w:color="auto"/>
              <w:bottom w:val="single" w:sz="4" w:space="0" w:color="auto"/>
              <w:right w:val="single" w:sz="4" w:space="0" w:color="auto"/>
            </w:tcBorders>
            <w:vAlign w:val="center"/>
          </w:tcPr>
          <w:p w14:paraId="0907EA6D" w14:textId="46194D0B" w:rsidR="00D8137E" w:rsidRPr="00EF4C2D" w:rsidRDefault="00D8137E" w:rsidP="001C4D1E">
            <w:pPr>
              <w:pStyle w:val="TableText0"/>
              <w:keepLines/>
              <w:widowControl w:val="0"/>
              <w:rPr>
                <w:lang w:val="en-US"/>
              </w:rPr>
            </w:pPr>
            <w:r w:rsidRPr="00EF4C2D">
              <w:rPr>
                <w:lang w:val="en-US"/>
              </w:rPr>
              <w:t xml:space="preserve">Effectiveness of phototherapy was estimated as a weighted average </w:t>
            </w:r>
            <w:r w:rsidRPr="00EF4C2D">
              <w:t xml:space="preserve">of CR and PR rates from studies used to inform ITC in </w:t>
            </w:r>
            <w:r w:rsidR="000C2525">
              <w:t>comparative effectiveness section</w:t>
            </w:r>
            <w:r w:rsidRPr="00EF4C2D">
              <w:t>.</w:t>
            </w:r>
          </w:p>
        </w:tc>
        <w:tc>
          <w:tcPr>
            <w:tcW w:w="2409" w:type="pct"/>
            <w:tcBorders>
              <w:top w:val="single" w:sz="4" w:space="0" w:color="auto"/>
              <w:left w:val="single" w:sz="4" w:space="0" w:color="auto"/>
              <w:bottom w:val="single" w:sz="4" w:space="0" w:color="auto"/>
              <w:right w:val="single" w:sz="4" w:space="0" w:color="auto"/>
            </w:tcBorders>
            <w:vAlign w:val="center"/>
          </w:tcPr>
          <w:p w14:paraId="0FB9169E" w14:textId="22727FCE" w:rsidR="00D8137E" w:rsidRPr="0096381E" w:rsidRDefault="00D8137E" w:rsidP="001C4D1E">
            <w:pPr>
              <w:pStyle w:val="TableText0"/>
              <w:keepLines/>
              <w:widowControl w:val="0"/>
              <w:rPr>
                <w:iCs/>
                <w:lang w:val="en-US"/>
              </w:rPr>
            </w:pPr>
            <w:r w:rsidRPr="0096381E">
              <w:rPr>
                <w:iCs/>
                <w:lang w:val="en-US"/>
              </w:rPr>
              <w:t>High, favours phototherapy.</w:t>
            </w:r>
          </w:p>
          <w:p w14:paraId="4AA56129" w14:textId="2779453A" w:rsidR="00D8137E" w:rsidRPr="0096381E" w:rsidRDefault="00D8137E" w:rsidP="001C4D1E">
            <w:pPr>
              <w:pStyle w:val="TableText0"/>
              <w:keepLines/>
              <w:widowControl w:val="0"/>
              <w:rPr>
                <w:iCs/>
                <w:lang w:val="en-US"/>
              </w:rPr>
            </w:pPr>
            <w:r w:rsidRPr="0096381E">
              <w:rPr>
                <w:iCs/>
                <w:lang w:val="en-US"/>
              </w:rPr>
              <w:t>Use CR and PR rates from the PROCLIPI registry decreased ICER to $</w:t>
            </w:r>
            <w:r w:rsidR="001247F0" w:rsidRPr="001247F0">
              <w:rPr>
                <w:iCs/>
                <w:color w:val="000000"/>
                <w:spacing w:val="29"/>
                <w:shd w:val="solid" w:color="000000" w:fill="000000"/>
                <w:fitText w:val="549" w:id="-1236603888"/>
                <w:lang w:val="en-US"/>
                <w14:textFill>
                  <w14:solidFill>
                    <w14:srgbClr w14:val="000000">
                      <w14:alpha w14:val="100000"/>
                    </w14:srgbClr>
                  </w14:solidFill>
                </w14:textFill>
              </w:rPr>
              <w:t>|||||||</w:t>
            </w:r>
            <w:r w:rsidR="001247F0" w:rsidRPr="001247F0">
              <w:rPr>
                <w:iCs/>
                <w:color w:val="000000"/>
                <w:spacing w:val="2"/>
                <w:shd w:val="solid" w:color="000000" w:fill="000000"/>
                <w:fitText w:val="549" w:id="-1236603888"/>
                <w:lang w:val="en-US"/>
                <w14:textFill>
                  <w14:solidFill>
                    <w14:srgbClr w14:val="000000">
                      <w14:alpha w14:val="100000"/>
                    </w14:srgbClr>
                  </w14:solidFill>
                </w14:textFill>
              </w:rPr>
              <w:t>|</w:t>
            </w:r>
            <w:r w:rsidR="00F32C5E">
              <w:rPr>
                <w:iCs/>
                <w:vertAlign w:val="superscript"/>
                <w:lang w:val="en-US"/>
              </w:rPr>
              <w:t>8</w:t>
            </w:r>
            <w:r w:rsidRPr="0096381E">
              <w:rPr>
                <w:iCs/>
                <w:lang w:val="en-US"/>
              </w:rPr>
              <w:t>/QALY gained.</w:t>
            </w:r>
          </w:p>
        </w:tc>
      </w:tr>
      <w:tr w:rsidR="00D8137E" w:rsidRPr="00EF4C2D" w14:paraId="4AB89C84" w14:textId="77777777" w:rsidTr="003E27F7">
        <w:tc>
          <w:tcPr>
            <w:tcW w:w="626" w:type="pct"/>
            <w:tcBorders>
              <w:top w:val="single" w:sz="4" w:space="0" w:color="auto"/>
              <w:left w:val="single" w:sz="4" w:space="0" w:color="auto"/>
              <w:bottom w:val="single" w:sz="4" w:space="0" w:color="auto"/>
              <w:right w:val="single" w:sz="4" w:space="0" w:color="auto"/>
            </w:tcBorders>
            <w:vAlign w:val="center"/>
            <w:hideMark/>
          </w:tcPr>
          <w:p w14:paraId="553B0873" w14:textId="77777777" w:rsidR="00D8137E" w:rsidRPr="00EF4C2D" w:rsidRDefault="00D8137E" w:rsidP="001C4D1E">
            <w:pPr>
              <w:pStyle w:val="TableText0"/>
              <w:keepLines/>
              <w:widowControl w:val="0"/>
              <w:rPr>
                <w:lang w:val="en-US"/>
              </w:rPr>
            </w:pPr>
            <w:r w:rsidRPr="00EF4C2D">
              <w:rPr>
                <w:lang w:val="en-US"/>
              </w:rPr>
              <w:t>Treatment duration of chlormethine gel</w:t>
            </w:r>
          </w:p>
        </w:tc>
        <w:tc>
          <w:tcPr>
            <w:tcW w:w="1965" w:type="pct"/>
            <w:tcBorders>
              <w:top w:val="single" w:sz="4" w:space="0" w:color="auto"/>
              <w:left w:val="single" w:sz="4" w:space="0" w:color="auto"/>
              <w:bottom w:val="single" w:sz="4" w:space="0" w:color="auto"/>
              <w:right w:val="single" w:sz="4" w:space="0" w:color="auto"/>
            </w:tcBorders>
            <w:vAlign w:val="center"/>
            <w:hideMark/>
          </w:tcPr>
          <w:p w14:paraId="54C01418" w14:textId="77777777" w:rsidR="00D8137E" w:rsidRPr="00EF4C2D" w:rsidRDefault="00D8137E" w:rsidP="001C4D1E">
            <w:pPr>
              <w:pStyle w:val="TableText0"/>
              <w:keepLines/>
              <w:widowControl w:val="0"/>
              <w:rPr>
                <w:lang w:val="en-US"/>
              </w:rPr>
            </w:pPr>
            <w:r w:rsidRPr="00EF4C2D">
              <w:rPr>
                <w:lang w:val="en-US"/>
              </w:rPr>
              <w:t>Chlormethine gel was applied throughout the model time horizon in the base case</w:t>
            </w:r>
          </w:p>
        </w:tc>
        <w:tc>
          <w:tcPr>
            <w:tcW w:w="2409" w:type="pct"/>
            <w:tcBorders>
              <w:top w:val="single" w:sz="4" w:space="0" w:color="auto"/>
              <w:left w:val="single" w:sz="4" w:space="0" w:color="auto"/>
              <w:bottom w:val="single" w:sz="4" w:space="0" w:color="auto"/>
              <w:right w:val="single" w:sz="4" w:space="0" w:color="auto"/>
            </w:tcBorders>
            <w:vAlign w:val="center"/>
          </w:tcPr>
          <w:p w14:paraId="67CFC145" w14:textId="77777777" w:rsidR="00D8137E" w:rsidRPr="0096381E" w:rsidRDefault="00D8137E" w:rsidP="001C4D1E">
            <w:pPr>
              <w:pStyle w:val="TableText0"/>
              <w:keepLines/>
              <w:widowControl w:val="0"/>
              <w:rPr>
                <w:iCs/>
              </w:rPr>
            </w:pPr>
            <w:r w:rsidRPr="0096381E">
              <w:rPr>
                <w:iCs/>
                <w:lang w:val="en-US"/>
              </w:rPr>
              <w:t xml:space="preserve">High, favours phototherapy </w:t>
            </w:r>
          </w:p>
          <w:p w14:paraId="28366B21" w14:textId="77777777" w:rsidR="00D8137E" w:rsidRPr="0096381E" w:rsidRDefault="00D8137E" w:rsidP="001C4D1E">
            <w:pPr>
              <w:pStyle w:val="TableText0"/>
              <w:keepLines/>
              <w:widowControl w:val="0"/>
              <w:rPr>
                <w:iCs/>
                <w:lang w:val="en-US"/>
              </w:rPr>
            </w:pPr>
            <w:r w:rsidRPr="0096381E">
              <w:rPr>
                <w:iCs/>
                <w:lang w:val="en-US"/>
              </w:rPr>
              <w:t xml:space="preserve">Applied a 12-month stopping rule to chlormethine gel and assumed no change in efficacy of gel post stopping rule. This resulted in chlormethine gel being dominant. </w:t>
            </w:r>
          </w:p>
        </w:tc>
      </w:tr>
    </w:tbl>
    <w:p w14:paraId="27595164" w14:textId="77777777" w:rsidR="00D8137E" w:rsidRPr="00EF4C2D" w:rsidRDefault="00D8137E" w:rsidP="001C4D1E">
      <w:pPr>
        <w:pStyle w:val="FooterTableFigure"/>
        <w:keepNext/>
        <w:keepLines/>
      </w:pPr>
      <w:r w:rsidRPr="00EF4C2D">
        <w:t>Source: Table 3-37 to 3-44, p221-227 and Workbook ‘Chlormethine – Ledaga – Section 3 – Economic Model (Final)’, worksheets ‘Treatment Acquisition Costs’, ‘Settings’ of the submission.</w:t>
      </w:r>
    </w:p>
    <w:p w14:paraId="28943036" w14:textId="5329620F" w:rsidR="00D8137E" w:rsidRDefault="00D8137E" w:rsidP="00F32C5E">
      <w:pPr>
        <w:pStyle w:val="FooterTableFigure"/>
        <w:keepNext/>
        <w:keepLines/>
        <w:spacing w:after="0"/>
      </w:pPr>
      <w:r w:rsidRPr="00EF4C2D">
        <w:t>ATU = temporary use authorization; CR = complete response; ICER = incremental cost effectiveness ratio; ITC = indirect treatment comparison; PI = product information; PR = partial response; PD = progressive disease; PROCLIPI = Prospective Cutaneous Lymphoma International Prognostic Index; QALY = quality adjusted life years; mSWAT = modified severity weighted assessment tool.</w:t>
      </w:r>
    </w:p>
    <w:p w14:paraId="23A934FD" w14:textId="77777777" w:rsidR="00F32C5E" w:rsidRPr="009A6D58" w:rsidRDefault="00F32C5E" w:rsidP="00F32C5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C7F99AC" w14:textId="77777777" w:rsidR="007F42BA" w:rsidRDefault="007F42BA" w:rsidP="00F32C5E">
      <w:pPr>
        <w:rPr>
          <w:rFonts w:ascii="Arial Narrow" w:hAnsi="Arial Narrow"/>
          <w:i/>
          <w:sz w:val="18"/>
          <w:szCs w:val="18"/>
          <w:vertAlign w:val="superscript"/>
        </w:rPr>
        <w:sectPr w:rsidR="007F42BA" w:rsidSect="00EF4C2D">
          <w:headerReference w:type="default" r:id="rId19"/>
          <w:footerReference w:type="default" r:id="rId20"/>
          <w:pgSz w:w="11907" w:h="16840" w:code="9"/>
          <w:pgMar w:top="1440" w:right="1440" w:bottom="1440" w:left="1440" w:header="1440" w:footer="1440" w:gutter="0"/>
          <w:cols w:space="708"/>
          <w:docGrid w:linePitch="360"/>
        </w:sectPr>
      </w:pPr>
    </w:p>
    <w:p w14:paraId="2D629492" w14:textId="186D42BA" w:rsidR="00F32C5E" w:rsidRPr="009A6D58" w:rsidRDefault="00F32C5E" w:rsidP="00F32C5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F32C5E">
        <w:rPr>
          <w:rFonts w:ascii="Arial Narrow" w:hAnsi="Arial Narrow"/>
          <w:i/>
          <w:sz w:val="18"/>
          <w:szCs w:val="18"/>
        </w:rPr>
        <w:t>$55,000 to &lt; $75,000</w:t>
      </w:r>
    </w:p>
    <w:p w14:paraId="39EA6388" w14:textId="5EFAD671" w:rsidR="00F32C5E" w:rsidRPr="009A6D58" w:rsidRDefault="00F32C5E" w:rsidP="00F32C5E">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F32C5E">
        <w:rPr>
          <w:rFonts w:ascii="Arial Narrow" w:hAnsi="Arial Narrow"/>
          <w:i/>
          <w:sz w:val="18"/>
          <w:szCs w:val="18"/>
        </w:rPr>
        <w:t>$355,000 to &lt; $455,000</w:t>
      </w:r>
    </w:p>
    <w:p w14:paraId="6FF91E9D" w14:textId="3EDCBCAC" w:rsidR="00F32C5E" w:rsidRDefault="00F32C5E" w:rsidP="00F32C5E">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F32C5E">
        <w:rPr>
          <w:rFonts w:ascii="Arial Narrow" w:hAnsi="Arial Narrow"/>
          <w:i/>
          <w:sz w:val="18"/>
          <w:szCs w:val="18"/>
        </w:rPr>
        <w:t>$95,000 to &lt; $115,000</w:t>
      </w:r>
    </w:p>
    <w:p w14:paraId="43184E71" w14:textId="7C6A39FD" w:rsidR="00F32C5E" w:rsidRDefault="00F32C5E" w:rsidP="00F32C5E">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F32C5E">
        <w:rPr>
          <w:rFonts w:ascii="Arial Narrow" w:hAnsi="Arial Narrow"/>
          <w:i/>
          <w:sz w:val="18"/>
          <w:szCs w:val="18"/>
        </w:rPr>
        <w:t>$255,000 to &lt; $355,000</w:t>
      </w:r>
    </w:p>
    <w:p w14:paraId="168623FD" w14:textId="45B0C180" w:rsidR="00F32C5E" w:rsidRDefault="00F32C5E" w:rsidP="00F32C5E">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F32C5E">
        <w:rPr>
          <w:rFonts w:ascii="Arial Narrow" w:hAnsi="Arial Narrow"/>
          <w:i/>
          <w:sz w:val="18"/>
          <w:szCs w:val="18"/>
        </w:rPr>
        <w:t>$155,000 to &lt; $255,000</w:t>
      </w:r>
    </w:p>
    <w:p w14:paraId="331F59B5" w14:textId="2AAE90CA" w:rsidR="00F32C5E" w:rsidRDefault="00F32C5E" w:rsidP="00F32C5E">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7F42BA" w:rsidRPr="007F42BA">
        <w:rPr>
          <w:rFonts w:ascii="Arial Narrow" w:hAnsi="Arial Narrow"/>
          <w:i/>
          <w:sz w:val="18"/>
          <w:szCs w:val="18"/>
        </w:rPr>
        <w:t>$115,000 to &lt; $135,000</w:t>
      </w:r>
    </w:p>
    <w:p w14:paraId="5AC63D21" w14:textId="12086F6F" w:rsidR="00F32C5E" w:rsidRDefault="00F32C5E" w:rsidP="00F32C5E">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7F42BA" w:rsidRPr="007F42BA">
        <w:rPr>
          <w:rFonts w:ascii="Arial Narrow" w:hAnsi="Arial Narrow"/>
          <w:i/>
          <w:sz w:val="18"/>
          <w:szCs w:val="18"/>
        </w:rPr>
        <w:t>$75,000 to &lt; $95,000</w:t>
      </w:r>
    </w:p>
    <w:p w14:paraId="16370DC4" w14:textId="77777777" w:rsidR="007F42BA" w:rsidRDefault="00F32C5E" w:rsidP="00F32C5E">
      <w:pPr>
        <w:rPr>
          <w:rFonts w:ascii="Arial Narrow" w:hAnsi="Arial Narrow"/>
          <w:i/>
          <w:sz w:val="18"/>
          <w:szCs w:val="18"/>
        </w:rPr>
        <w:sectPr w:rsidR="007F42BA" w:rsidSect="007F42BA">
          <w:type w:val="continuous"/>
          <w:pgSz w:w="11907" w:h="16840" w:code="9"/>
          <w:pgMar w:top="1440" w:right="1440" w:bottom="1440" w:left="1440" w:header="1440" w:footer="1440" w:gutter="0"/>
          <w:cols w:num="2" w:space="708"/>
          <w:docGrid w:linePitch="360"/>
        </w:sectPr>
      </w:pPr>
      <w:r>
        <w:rPr>
          <w:rFonts w:ascii="Arial Narrow" w:hAnsi="Arial Narrow"/>
          <w:i/>
          <w:sz w:val="18"/>
          <w:szCs w:val="18"/>
          <w:vertAlign w:val="superscript"/>
        </w:rPr>
        <w:t>8</w:t>
      </w:r>
      <w:r>
        <w:rPr>
          <w:rFonts w:ascii="Arial Narrow" w:hAnsi="Arial Narrow"/>
          <w:i/>
          <w:sz w:val="18"/>
          <w:szCs w:val="18"/>
        </w:rPr>
        <w:t xml:space="preserve"> </w:t>
      </w:r>
      <w:r w:rsidR="007F42BA" w:rsidRPr="007F42BA">
        <w:rPr>
          <w:rFonts w:ascii="Arial Narrow" w:hAnsi="Arial Narrow"/>
          <w:i/>
          <w:sz w:val="18"/>
          <w:szCs w:val="18"/>
        </w:rPr>
        <w:t>$15,000 to &lt; $25,000</w:t>
      </w:r>
    </w:p>
    <w:p w14:paraId="0D413163" w14:textId="420AFA69" w:rsidR="00F32C5E" w:rsidRDefault="00F32C5E" w:rsidP="00F32C5E">
      <w:pPr>
        <w:rPr>
          <w:rFonts w:ascii="Arial Narrow" w:hAnsi="Arial Narrow"/>
          <w:i/>
          <w:sz w:val="18"/>
          <w:szCs w:val="18"/>
        </w:rPr>
      </w:pPr>
    </w:p>
    <w:p w14:paraId="580A5B03" w14:textId="69576C65" w:rsidR="00D8137E" w:rsidRPr="0096381E" w:rsidRDefault="00D8137E" w:rsidP="0092490D">
      <w:pPr>
        <w:pStyle w:val="3-BodyText"/>
        <w:ind w:left="709" w:hanging="709"/>
        <w:rPr>
          <w:iCs/>
        </w:rPr>
      </w:pPr>
      <w:r w:rsidRPr="0096381E">
        <w:rPr>
          <w:iCs/>
        </w:rPr>
        <w:t xml:space="preserve">The base case ICER was </w:t>
      </w:r>
      <w:r w:rsidR="007F42BA" w:rsidRPr="007F42BA">
        <w:t xml:space="preserve">$55,000 to &lt; $75,000 </w:t>
      </w:r>
      <w:r w:rsidRPr="0096381E">
        <w:rPr>
          <w:iCs/>
        </w:rPr>
        <w:t>per QALY gained (</w:t>
      </w:r>
      <w:r w:rsidRPr="0096381E">
        <w:rPr>
          <w:iCs/>
        </w:rPr>
        <w:fldChar w:fldCharType="begin"/>
      </w:r>
      <w:r w:rsidRPr="0096381E">
        <w:rPr>
          <w:iCs/>
        </w:rPr>
        <w:instrText xml:space="preserve"> REF _Ref104805160 \h  \* MERGEFORMAT </w:instrText>
      </w:r>
      <w:r w:rsidRPr="0096381E">
        <w:rPr>
          <w:iCs/>
        </w:rPr>
      </w:r>
      <w:r w:rsidRPr="0096381E">
        <w:rPr>
          <w:iCs/>
        </w:rPr>
        <w:fldChar w:fldCharType="separate"/>
      </w:r>
      <w:r w:rsidR="00FD5578" w:rsidRPr="00FD5578">
        <w:rPr>
          <w:iCs/>
        </w:rPr>
        <w:t>Table 10</w:t>
      </w:r>
      <w:r w:rsidRPr="0096381E">
        <w:rPr>
          <w:iCs/>
        </w:rPr>
        <w:fldChar w:fldCharType="end"/>
      </w:r>
      <w:r w:rsidRPr="0096381E">
        <w:rPr>
          <w:iCs/>
        </w:rPr>
        <w:t>). The submission did not present the results of a stepped analysis. The results from a two-step analysis compiled from the model workbook (</w:t>
      </w:r>
      <w:r w:rsidRPr="0096381E">
        <w:rPr>
          <w:iCs/>
        </w:rPr>
        <w:fldChar w:fldCharType="begin"/>
      </w:r>
      <w:r w:rsidRPr="0096381E">
        <w:rPr>
          <w:iCs/>
        </w:rPr>
        <w:instrText xml:space="preserve"> REF _Ref104805160 \h  \* MERGEFORMAT </w:instrText>
      </w:r>
      <w:r w:rsidRPr="0096381E">
        <w:rPr>
          <w:iCs/>
        </w:rPr>
      </w:r>
      <w:r w:rsidRPr="0096381E">
        <w:rPr>
          <w:iCs/>
        </w:rPr>
        <w:fldChar w:fldCharType="separate"/>
      </w:r>
      <w:r w:rsidR="00FD5578" w:rsidRPr="00FD5578">
        <w:rPr>
          <w:iCs/>
        </w:rPr>
        <w:t>Table 10</w:t>
      </w:r>
      <w:r w:rsidRPr="0096381E">
        <w:rPr>
          <w:iCs/>
        </w:rPr>
        <w:fldChar w:fldCharType="end"/>
      </w:r>
      <w:r w:rsidRPr="0096381E">
        <w:rPr>
          <w:iCs/>
        </w:rPr>
        <w:t xml:space="preserve">) show that an estimated difference arose in QALYs only; this was consistent with the assumption of no treatment effect on survival. </w:t>
      </w:r>
    </w:p>
    <w:p w14:paraId="2052624D" w14:textId="120510CB" w:rsidR="00D8137E" w:rsidRPr="00EF4C2D" w:rsidRDefault="00D8137E" w:rsidP="00D8137E">
      <w:pPr>
        <w:pStyle w:val="Caption"/>
        <w:rPr>
          <w:b w:val="0"/>
          <w:bCs w:val="0"/>
        </w:rPr>
      </w:pPr>
      <w:bookmarkStart w:id="79" w:name="_Ref104805160"/>
      <w:r w:rsidRPr="00EF4C2D">
        <w:t xml:space="preserve">Table </w:t>
      </w:r>
      <w:r w:rsidR="00FD5578">
        <w:fldChar w:fldCharType="begin"/>
      </w:r>
      <w:r w:rsidR="00FD5578">
        <w:instrText xml:space="preserve"> SEQ Table \* ARABIC </w:instrText>
      </w:r>
      <w:r w:rsidR="00FD5578">
        <w:fldChar w:fldCharType="separate"/>
      </w:r>
      <w:r w:rsidR="00FD5578">
        <w:rPr>
          <w:noProof/>
        </w:rPr>
        <w:t>10</w:t>
      </w:r>
      <w:r w:rsidR="00FD5578">
        <w:rPr>
          <w:noProof/>
        </w:rPr>
        <w:fldChar w:fldCharType="end"/>
      </w:r>
      <w:bookmarkEnd w:id="79"/>
      <w:r w:rsidRPr="00EF4C2D">
        <w:t>:</w:t>
      </w:r>
      <w:r w:rsidRPr="00EF4C2D">
        <w:rPr>
          <w:rStyle w:val="CommentReference"/>
          <w:bCs w:val="0"/>
          <w:szCs w:val="24"/>
        </w:rPr>
        <w:t xml:space="preserve"> </w:t>
      </w:r>
      <w:r w:rsidRPr="00DE3BD5">
        <w:rPr>
          <w:rStyle w:val="CommentReference"/>
          <w:b/>
          <w:szCs w:val="24"/>
        </w:rPr>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D8137E" w:rsidRPr="00EF4C2D" w14:paraId="38D60F64" w14:textId="77777777" w:rsidTr="007C08EB">
        <w:trPr>
          <w:cantSplit/>
          <w:tblHeader/>
        </w:trPr>
        <w:tc>
          <w:tcPr>
            <w:tcW w:w="1529" w:type="pct"/>
            <w:tcBorders>
              <w:top w:val="single" w:sz="4" w:space="0" w:color="auto"/>
              <w:left w:val="single" w:sz="4" w:space="0" w:color="auto"/>
              <w:bottom w:val="single" w:sz="4" w:space="0" w:color="auto"/>
              <w:right w:val="single" w:sz="4" w:space="0" w:color="auto"/>
            </w:tcBorders>
            <w:vAlign w:val="center"/>
            <w:hideMark/>
          </w:tcPr>
          <w:p w14:paraId="1391E025" w14:textId="77777777" w:rsidR="00D8137E" w:rsidRPr="00EF4C2D" w:rsidRDefault="00D8137E" w:rsidP="007C08EB">
            <w:pPr>
              <w:pStyle w:val="In-tableHeading"/>
            </w:pPr>
            <w:r w:rsidRPr="00EF4C2D">
              <w:t>Step and component</w:t>
            </w:r>
          </w:p>
        </w:tc>
        <w:tc>
          <w:tcPr>
            <w:tcW w:w="1359" w:type="pct"/>
            <w:tcBorders>
              <w:top w:val="single" w:sz="4" w:space="0" w:color="auto"/>
              <w:left w:val="single" w:sz="4" w:space="0" w:color="auto"/>
              <w:bottom w:val="single" w:sz="4" w:space="0" w:color="auto"/>
              <w:right w:val="single" w:sz="4" w:space="0" w:color="auto"/>
            </w:tcBorders>
            <w:vAlign w:val="center"/>
            <w:hideMark/>
          </w:tcPr>
          <w:p w14:paraId="5E509972" w14:textId="77777777" w:rsidR="00D8137E" w:rsidRPr="00EF4C2D" w:rsidRDefault="00D8137E" w:rsidP="007C08EB">
            <w:pPr>
              <w:pStyle w:val="In-tableHeading"/>
              <w:jc w:val="center"/>
            </w:pPr>
            <w:r w:rsidRPr="00EF4C2D">
              <w:t>Chlormethine gel</w:t>
            </w:r>
          </w:p>
        </w:tc>
        <w:tc>
          <w:tcPr>
            <w:tcW w:w="1274" w:type="pct"/>
            <w:tcBorders>
              <w:top w:val="single" w:sz="4" w:space="0" w:color="auto"/>
              <w:left w:val="single" w:sz="4" w:space="0" w:color="auto"/>
              <w:bottom w:val="single" w:sz="4" w:space="0" w:color="auto"/>
              <w:right w:val="single" w:sz="4" w:space="0" w:color="auto"/>
            </w:tcBorders>
            <w:vAlign w:val="center"/>
            <w:hideMark/>
          </w:tcPr>
          <w:p w14:paraId="551B987C" w14:textId="77777777" w:rsidR="00D8137E" w:rsidRPr="00EF4C2D" w:rsidRDefault="00D8137E" w:rsidP="007C08EB">
            <w:pPr>
              <w:pStyle w:val="In-tableHeading"/>
              <w:jc w:val="center"/>
            </w:pPr>
            <w:r w:rsidRPr="00EF4C2D">
              <w:t xml:space="preserve">Phototherapy </w:t>
            </w:r>
          </w:p>
        </w:tc>
        <w:tc>
          <w:tcPr>
            <w:tcW w:w="838" w:type="pct"/>
            <w:tcBorders>
              <w:top w:val="single" w:sz="4" w:space="0" w:color="auto"/>
              <w:left w:val="single" w:sz="4" w:space="0" w:color="auto"/>
              <w:bottom w:val="single" w:sz="4" w:space="0" w:color="auto"/>
              <w:right w:val="single" w:sz="4" w:space="0" w:color="auto"/>
            </w:tcBorders>
            <w:vAlign w:val="center"/>
            <w:hideMark/>
          </w:tcPr>
          <w:p w14:paraId="1EB5A05F" w14:textId="77777777" w:rsidR="00D8137E" w:rsidRPr="00EF4C2D" w:rsidRDefault="00D8137E" w:rsidP="007C08EB">
            <w:pPr>
              <w:pStyle w:val="In-tableHeading"/>
              <w:jc w:val="center"/>
            </w:pPr>
            <w:r w:rsidRPr="00EF4C2D">
              <w:t>Increment</w:t>
            </w:r>
          </w:p>
        </w:tc>
      </w:tr>
      <w:tr w:rsidR="00D8137E" w:rsidRPr="00EF4C2D" w14:paraId="6C449464" w14:textId="77777777" w:rsidTr="007C08EB">
        <w:trPr>
          <w:cantSpli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7192F9F" w14:textId="77777777" w:rsidR="00D8137E" w:rsidRPr="00EF4C2D" w:rsidRDefault="00D8137E" w:rsidP="007C08EB">
            <w:pPr>
              <w:pStyle w:val="In-tableHeading"/>
            </w:pPr>
            <w:r w:rsidRPr="00EF4C2D">
              <w:t>Step 1: Costs and outcomes in life years</w:t>
            </w:r>
          </w:p>
        </w:tc>
      </w:tr>
      <w:tr w:rsidR="00D8137E" w:rsidRPr="00EF4C2D" w14:paraId="3D7128C7" w14:textId="77777777" w:rsidTr="007C08EB">
        <w:trPr>
          <w:cantSplit/>
        </w:trPr>
        <w:tc>
          <w:tcPr>
            <w:tcW w:w="1529" w:type="pct"/>
            <w:tcBorders>
              <w:top w:val="single" w:sz="4" w:space="0" w:color="auto"/>
              <w:left w:val="single" w:sz="4" w:space="0" w:color="auto"/>
              <w:bottom w:val="single" w:sz="4" w:space="0" w:color="auto"/>
              <w:right w:val="single" w:sz="4" w:space="0" w:color="auto"/>
            </w:tcBorders>
            <w:vAlign w:val="center"/>
            <w:hideMark/>
          </w:tcPr>
          <w:p w14:paraId="1DFDB1EC" w14:textId="77777777" w:rsidR="00D8137E" w:rsidRPr="00EF4C2D" w:rsidRDefault="00D8137E" w:rsidP="007C08EB">
            <w:pPr>
              <w:pStyle w:val="TableText0"/>
              <w:rPr>
                <w:rFonts w:ascii="Times" w:hAnsi="Times"/>
              </w:rPr>
            </w:pPr>
            <w:r w:rsidRPr="00EF4C2D">
              <w:t>Costs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289F6C4C" w14:textId="00748EE6" w:rsidR="00D8137E" w:rsidRPr="0096381E" w:rsidRDefault="00D8137E" w:rsidP="007C08EB">
            <w:pPr>
              <w:pStyle w:val="TableText0"/>
              <w:jc w:val="center"/>
              <w:rPr>
                <w:rFonts w:ascii="Times" w:hAnsi="Times"/>
                <w:iCs/>
              </w:rPr>
            </w:pPr>
            <w:r w:rsidRPr="0096381E">
              <w:rPr>
                <w:iCs/>
              </w:rPr>
              <w:t>$</w:t>
            </w:r>
            <w:r w:rsidR="001247F0" w:rsidRPr="001247F0">
              <w:rPr>
                <w:iCs/>
                <w:color w:val="000000"/>
                <w:shd w:val="solid" w:color="000000" w:fill="000000"/>
                <w14:textFill>
                  <w14:solidFill>
                    <w14:srgbClr w14:val="000000">
                      <w14:alpha w14:val="100000"/>
                    </w14:srgbClr>
                  </w14:solidFill>
                </w14:textFill>
              </w:rPr>
              <w:t>|</w:t>
            </w:r>
          </w:p>
        </w:tc>
        <w:tc>
          <w:tcPr>
            <w:tcW w:w="1274" w:type="pct"/>
            <w:tcBorders>
              <w:top w:val="single" w:sz="4" w:space="0" w:color="auto"/>
              <w:left w:val="single" w:sz="4" w:space="0" w:color="auto"/>
              <w:bottom w:val="single" w:sz="4" w:space="0" w:color="auto"/>
              <w:right w:val="single" w:sz="4" w:space="0" w:color="auto"/>
            </w:tcBorders>
            <w:vAlign w:val="center"/>
            <w:hideMark/>
          </w:tcPr>
          <w:p w14:paraId="070A76FB" w14:textId="77777777" w:rsidR="00D8137E" w:rsidRPr="0096381E" w:rsidRDefault="00D8137E" w:rsidP="007C08EB">
            <w:pPr>
              <w:pStyle w:val="TableText0"/>
              <w:jc w:val="center"/>
              <w:rPr>
                <w:rFonts w:ascii="Times" w:hAnsi="Times"/>
                <w:iCs/>
              </w:rPr>
            </w:pPr>
            <w:r w:rsidRPr="0096381E">
              <w:rPr>
                <w:iCs/>
              </w:rPr>
              <w:t>$133,522</w:t>
            </w:r>
          </w:p>
        </w:tc>
        <w:tc>
          <w:tcPr>
            <w:tcW w:w="838" w:type="pct"/>
            <w:tcBorders>
              <w:top w:val="single" w:sz="4" w:space="0" w:color="auto"/>
              <w:left w:val="single" w:sz="4" w:space="0" w:color="auto"/>
              <w:bottom w:val="single" w:sz="4" w:space="0" w:color="auto"/>
              <w:right w:val="single" w:sz="4" w:space="0" w:color="auto"/>
            </w:tcBorders>
            <w:vAlign w:val="center"/>
            <w:hideMark/>
          </w:tcPr>
          <w:p w14:paraId="378326B8" w14:textId="5B8737F3" w:rsidR="00D8137E" w:rsidRPr="0096381E" w:rsidRDefault="00D8137E" w:rsidP="007C08EB">
            <w:pPr>
              <w:pStyle w:val="TableText0"/>
              <w:jc w:val="center"/>
              <w:rPr>
                <w:rFonts w:ascii="Times" w:hAnsi="Times"/>
                <w:iCs/>
              </w:rPr>
            </w:pPr>
            <w:r w:rsidRPr="0096381E">
              <w:rPr>
                <w:iCs/>
              </w:rPr>
              <w:t>$</w:t>
            </w:r>
            <w:r w:rsidR="001247F0" w:rsidRPr="00FA2806">
              <w:rPr>
                <w:iCs/>
                <w:color w:val="000000"/>
                <w:spacing w:val="97"/>
                <w:shd w:val="solid" w:color="000000" w:fill="000000"/>
                <w:fitText w:val="183" w:id="-1236603904"/>
                <w14:textFill>
                  <w14:solidFill>
                    <w14:srgbClr w14:val="000000">
                      <w14:alpha w14:val="100000"/>
                    </w14:srgbClr>
                  </w14:solidFill>
                </w14:textFill>
              </w:rPr>
              <w:t>|</w:t>
            </w:r>
            <w:r w:rsidR="001247F0" w:rsidRPr="00FA2806">
              <w:rPr>
                <w:iCs/>
                <w:color w:val="000000"/>
                <w:shd w:val="solid" w:color="000000" w:fill="000000"/>
                <w:fitText w:val="183" w:id="-1236603904"/>
                <w14:textFill>
                  <w14:solidFill>
                    <w14:srgbClr w14:val="000000">
                      <w14:alpha w14:val="100000"/>
                    </w14:srgbClr>
                  </w14:solidFill>
                </w14:textFill>
              </w:rPr>
              <w:t>|</w:t>
            </w:r>
          </w:p>
        </w:tc>
      </w:tr>
      <w:tr w:rsidR="00D8137E" w:rsidRPr="00EF4C2D" w14:paraId="20C43653" w14:textId="77777777" w:rsidTr="007C08EB">
        <w:trPr>
          <w:cantSplit/>
        </w:trPr>
        <w:tc>
          <w:tcPr>
            <w:tcW w:w="1529" w:type="pct"/>
            <w:tcBorders>
              <w:top w:val="single" w:sz="4" w:space="0" w:color="auto"/>
              <w:left w:val="single" w:sz="4" w:space="0" w:color="auto"/>
              <w:bottom w:val="single" w:sz="4" w:space="0" w:color="auto"/>
              <w:right w:val="single" w:sz="4" w:space="0" w:color="auto"/>
            </w:tcBorders>
            <w:vAlign w:val="center"/>
            <w:hideMark/>
          </w:tcPr>
          <w:p w14:paraId="39361C28" w14:textId="77777777" w:rsidR="00D8137E" w:rsidRPr="00EF4C2D" w:rsidRDefault="00D8137E" w:rsidP="007C08EB">
            <w:pPr>
              <w:pStyle w:val="TableText0"/>
              <w:rPr>
                <w:rFonts w:ascii="Times" w:hAnsi="Times"/>
              </w:rPr>
            </w:pPr>
            <w:r w:rsidRPr="00EF4C2D">
              <w:t>LYG</w:t>
            </w:r>
          </w:p>
        </w:tc>
        <w:tc>
          <w:tcPr>
            <w:tcW w:w="1359" w:type="pct"/>
            <w:tcBorders>
              <w:top w:val="single" w:sz="4" w:space="0" w:color="auto"/>
              <w:left w:val="single" w:sz="4" w:space="0" w:color="auto"/>
              <w:bottom w:val="single" w:sz="4" w:space="0" w:color="auto"/>
              <w:right w:val="single" w:sz="4" w:space="0" w:color="auto"/>
            </w:tcBorders>
            <w:vAlign w:val="center"/>
            <w:hideMark/>
          </w:tcPr>
          <w:p w14:paraId="6BE2F768" w14:textId="77777777" w:rsidR="00D8137E" w:rsidRPr="0096381E" w:rsidRDefault="00D8137E" w:rsidP="007C08EB">
            <w:pPr>
              <w:pStyle w:val="TableText0"/>
              <w:jc w:val="center"/>
              <w:rPr>
                <w:rFonts w:ascii="Times" w:hAnsi="Times"/>
                <w:iCs/>
              </w:rPr>
            </w:pPr>
            <w:r w:rsidRPr="0096381E">
              <w:rPr>
                <w:iCs/>
              </w:rPr>
              <w:t>12.97</w:t>
            </w:r>
          </w:p>
        </w:tc>
        <w:tc>
          <w:tcPr>
            <w:tcW w:w="1274" w:type="pct"/>
            <w:tcBorders>
              <w:top w:val="single" w:sz="4" w:space="0" w:color="auto"/>
              <w:left w:val="single" w:sz="4" w:space="0" w:color="auto"/>
              <w:bottom w:val="single" w:sz="4" w:space="0" w:color="auto"/>
              <w:right w:val="single" w:sz="4" w:space="0" w:color="auto"/>
            </w:tcBorders>
            <w:vAlign w:val="center"/>
            <w:hideMark/>
          </w:tcPr>
          <w:p w14:paraId="7D3A388E" w14:textId="77777777" w:rsidR="00D8137E" w:rsidRPr="0096381E" w:rsidRDefault="00D8137E" w:rsidP="007C08EB">
            <w:pPr>
              <w:pStyle w:val="TableText0"/>
              <w:jc w:val="center"/>
              <w:rPr>
                <w:rFonts w:ascii="Times" w:hAnsi="Times"/>
                <w:iCs/>
              </w:rPr>
            </w:pPr>
            <w:r w:rsidRPr="0096381E">
              <w:rPr>
                <w:iCs/>
              </w:rPr>
              <w:t>12.97</w:t>
            </w:r>
          </w:p>
        </w:tc>
        <w:tc>
          <w:tcPr>
            <w:tcW w:w="838" w:type="pct"/>
            <w:tcBorders>
              <w:top w:val="single" w:sz="4" w:space="0" w:color="auto"/>
              <w:left w:val="single" w:sz="4" w:space="0" w:color="auto"/>
              <w:bottom w:val="single" w:sz="4" w:space="0" w:color="auto"/>
              <w:right w:val="single" w:sz="4" w:space="0" w:color="auto"/>
            </w:tcBorders>
            <w:vAlign w:val="center"/>
            <w:hideMark/>
          </w:tcPr>
          <w:p w14:paraId="3D988F74" w14:textId="0D94EC6D" w:rsidR="00D8137E" w:rsidRPr="0096381E" w:rsidRDefault="00D8137E" w:rsidP="007C08EB">
            <w:pPr>
              <w:pStyle w:val="TableText0"/>
              <w:jc w:val="center"/>
              <w:rPr>
                <w:iCs/>
              </w:rPr>
            </w:pPr>
            <w:r w:rsidRPr="0096381E">
              <w:rPr>
                <w:iCs/>
              </w:rPr>
              <w:t>0.00</w:t>
            </w:r>
          </w:p>
        </w:tc>
      </w:tr>
      <w:tr w:rsidR="00D8137E" w:rsidRPr="00EF4C2D" w14:paraId="7ECDF25F" w14:textId="77777777" w:rsidTr="007C08EB">
        <w:trPr>
          <w:cantSplit/>
        </w:trPr>
        <w:tc>
          <w:tcPr>
            <w:tcW w:w="4162" w:type="pct"/>
            <w:gridSpan w:val="3"/>
            <w:tcBorders>
              <w:top w:val="single" w:sz="4" w:space="0" w:color="auto"/>
              <w:left w:val="single" w:sz="4" w:space="0" w:color="auto"/>
              <w:bottom w:val="single" w:sz="4" w:space="0" w:color="auto"/>
              <w:right w:val="single" w:sz="4" w:space="0" w:color="auto"/>
            </w:tcBorders>
            <w:vAlign w:val="center"/>
            <w:hideMark/>
          </w:tcPr>
          <w:p w14:paraId="2264D82F" w14:textId="77777777" w:rsidR="00D8137E" w:rsidRPr="0096381E" w:rsidRDefault="00D8137E" w:rsidP="007C08EB">
            <w:pPr>
              <w:pStyle w:val="TableText0"/>
              <w:rPr>
                <w:rFonts w:ascii="Times" w:hAnsi="Times"/>
                <w:iCs/>
              </w:rPr>
            </w:pPr>
            <w:r w:rsidRPr="0096381E">
              <w:rPr>
                <w:iCs/>
              </w:rPr>
              <w:t>Incremental cost/extra LYG</w:t>
            </w:r>
          </w:p>
        </w:tc>
        <w:tc>
          <w:tcPr>
            <w:tcW w:w="838" w:type="pct"/>
            <w:tcBorders>
              <w:top w:val="single" w:sz="4" w:space="0" w:color="auto"/>
              <w:left w:val="single" w:sz="4" w:space="0" w:color="auto"/>
              <w:bottom w:val="single" w:sz="4" w:space="0" w:color="auto"/>
              <w:right w:val="single" w:sz="4" w:space="0" w:color="auto"/>
            </w:tcBorders>
            <w:vAlign w:val="center"/>
            <w:hideMark/>
          </w:tcPr>
          <w:p w14:paraId="11C6483C" w14:textId="726A3A73" w:rsidR="00D8137E" w:rsidRPr="0096381E" w:rsidRDefault="00D8137E" w:rsidP="007C08EB">
            <w:pPr>
              <w:pStyle w:val="TableText0"/>
              <w:jc w:val="center"/>
              <w:rPr>
                <w:rFonts w:ascii="Times" w:hAnsi="Times"/>
                <w:iCs/>
              </w:rPr>
            </w:pPr>
            <w:r w:rsidRPr="0096381E">
              <w:rPr>
                <w:iCs/>
              </w:rPr>
              <w:t>$</w:t>
            </w:r>
            <w:r w:rsidR="001247F0" w:rsidRPr="001247F0">
              <w:rPr>
                <w:iCs/>
                <w:color w:val="000000"/>
                <w:spacing w:val="48"/>
                <w:shd w:val="solid" w:color="000000" w:fill="000000"/>
                <w:fitText w:val="224" w:id="-1236603903"/>
                <w14:textFill>
                  <w14:solidFill>
                    <w14:srgbClr w14:val="000000">
                      <w14:alpha w14:val="100000"/>
                    </w14:srgbClr>
                  </w14:solidFill>
                </w14:textFill>
              </w:rPr>
              <w:t>||</w:t>
            </w:r>
            <w:r w:rsidR="001247F0" w:rsidRPr="001247F0">
              <w:rPr>
                <w:iCs/>
                <w:color w:val="000000"/>
                <w:spacing w:val="1"/>
                <w:shd w:val="solid" w:color="000000" w:fill="000000"/>
                <w:fitText w:val="224" w:id="-1236603903"/>
                <w14:textFill>
                  <w14:solidFill>
                    <w14:srgbClr w14:val="000000">
                      <w14:alpha w14:val="100000"/>
                    </w14:srgbClr>
                  </w14:solidFill>
                </w14:textFill>
              </w:rPr>
              <w:t>|</w:t>
            </w:r>
            <w:r w:rsidR="007F42BA" w:rsidRPr="007F42BA">
              <w:rPr>
                <w:iCs/>
                <w:vertAlign w:val="superscript"/>
              </w:rPr>
              <w:t>1</w:t>
            </w:r>
          </w:p>
        </w:tc>
      </w:tr>
      <w:tr w:rsidR="00D8137E" w:rsidRPr="00EF4C2D" w14:paraId="263B6449" w14:textId="77777777" w:rsidTr="007C08EB">
        <w:trPr>
          <w:cantSpli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DD818C7" w14:textId="77777777" w:rsidR="00D8137E" w:rsidRPr="0096381E" w:rsidRDefault="00D8137E" w:rsidP="007C08EB">
            <w:pPr>
              <w:pStyle w:val="In-tableHeading"/>
              <w:rPr>
                <w:iCs/>
              </w:rPr>
            </w:pPr>
            <w:r w:rsidRPr="0096381E">
              <w:rPr>
                <w:iCs/>
              </w:rPr>
              <w:t>Step 2: Utility weights applied</w:t>
            </w:r>
          </w:p>
        </w:tc>
      </w:tr>
      <w:tr w:rsidR="00D8137E" w:rsidRPr="00EF4C2D" w14:paraId="21CEE60A" w14:textId="77777777" w:rsidTr="007C08EB">
        <w:trPr>
          <w:cantSplit/>
        </w:trPr>
        <w:tc>
          <w:tcPr>
            <w:tcW w:w="1529" w:type="pct"/>
            <w:tcBorders>
              <w:top w:val="single" w:sz="4" w:space="0" w:color="auto"/>
              <w:left w:val="single" w:sz="4" w:space="0" w:color="auto"/>
              <w:bottom w:val="single" w:sz="4" w:space="0" w:color="auto"/>
              <w:right w:val="single" w:sz="4" w:space="0" w:color="auto"/>
            </w:tcBorders>
            <w:vAlign w:val="center"/>
            <w:hideMark/>
          </w:tcPr>
          <w:p w14:paraId="4F82FDC4" w14:textId="77777777" w:rsidR="00D8137E" w:rsidRPr="00EF4C2D" w:rsidRDefault="00D8137E" w:rsidP="007C08EB">
            <w:pPr>
              <w:pStyle w:val="TableText0"/>
              <w:rPr>
                <w:rFonts w:ascii="Times" w:hAnsi="Times"/>
              </w:rPr>
            </w:pPr>
            <w:r w:rsidRPr="00EF4C2D">
              <w:t>Costs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6F4E1959" w14:textId="0E6F0EED" w:rsidR="00D8137E" w:rsidRPr="0096381E" w:rsidRDefault="00D8137E" w:rsidP="007C08EB">
            <w:pPr>
              <w:pStyle w:val="TableText0"/>
              <w:jc w:val="center"/>
              <w:rPr>
                <w:rFonts w:ascii="Times" w:hAnsi="Times"/>
                <w:iCs/>
              </w:rPr>
            </w:pPr>
            <w:r w:rsidRPr="0096381E">
              <w:rPr>
                <w:iCs/>
              </w:rPr>
              <w:t>$</w:t>
            </w:r>
            <w:r w:rsidR="001247F0" w:rsidRPr="001247F0">
              <w:rPr>
                <w:iCs/>
                <w:color w:val="000000"/>
                <w:shd w:val="solid" w:color="000000" w:fill="000000"/>
                <w14:textFill>
                  <w14:solidFill>
                    <w14:srgbClr w14:val="000000">
                      <w14:alpha w14:val="100000"/>
                    </w14:srgbClr>
                  </w14:solidFill>
                </w14:textFill>
              </w:rPr>
              <w:t>|</w:t>
            </w:r>
          </w:p>
        </w:tc>
        <w:tc>
          <w:tcPr>
            <w:tcW w:w="1274" w:type="pct"/>
            <w:tcBorders>
              <w:top w:val="single" w:sz="4" w:space="0" w:color="auto"/>
              <w:left w:val="single" w:sz="4" w:space="0" w:color="auto"/>
              <w:bottom w:val="single" w:sz="4" w:space="0" w:color="auto"/>
              <w:right w:val="single" w:sz="4" w:space="0" w:color="auto"/>
            </w:tcBorders>
            <w:vAlign w:val="center"/>
            <w:hideMark/>
          </w:tcPr>
          <w:p w14:paraId="222F60AC" w14:textId="77777777" w:rsidR="00D8137E" w:rsidRPr="0096381E" w:rsidRDefault="00D8137E" w:rsidP="007C08EB">
            <w:pPr>
              <w:pStyle w:val="TableText0"/>
              <w:jc w:val="center"/>
              <w:rPr>
                <w:rFonts w:ascii="Times" w:hAnsi="Times"/>
                <w:iCs/>
              </w:rPr>
            </w:pPr>
            <w:r w:rsidRPr="0096381E">
              <w:rPr>
                <w:iCs/>
              </w:rPr>
              <w:t>$133,522</w:t>
            </w:r>
          </w:p>
        </w:tc>
        <w:tc>
          <w:tcPr>
            <w:tcW w:w="838" w:type="pct"/>
            <w:tcBorders>
              <w:top w:val="single" w:sz="4" w:space="0" w:color="auto"/>
              <w:left w:val="single" w:sz="4" w:space="0" w:color="auto"/>
              <w:bottom w:val="single" w:sz="4" w:space="0" w:color="auto"/>
              <w:right w:val="single" w:sz="4" w:space="0" w:color="auto"/>
            </w:tcBorders>
            <w:vAlign w:val="center"/>
            <w:hideMark/>
          </w:tcPr>
          <w:p w14:paraId="0E9C6B59" w14:textId="6499548B" w:rsidR="00D8137E" w:rsidRPr="0096381E" w:rsidRDefault="00D8137E" w:rsidP="007C08EB">
            <w:pPr>
              <w:pStyle w:val="TableText0"/>
              <w:jc w:val="center"/>
              <w:rPr>
                <w:rFonts w:ascii="Times" w:hAnsi="Times"/>
                <w:iCs/>
              </w:rPr>
            </w:pPr>
            <w:r w:rsidRPr="0096381E">
              <w:rPr>
                <w:iCs/>
              </w:rPr>
              <w:t>$</w:t>
            </w:r>
            <w:r w:rsidR="001247F0" w:rsidRPr="00FA2806">
              <w:rPr>
                <w:iCs/>
                <w:color w:val="000000"/>
                <w:spacing w:val="97"/>
                <w:shd w:val="solid" w:color="000000" w:fill="000000"/>
                <w:fitText w:val="183" w:id="-1236603902"/>
                <w14:textFill>
                  <w14:solidFill>
                    <w14:srgbClr w14:val="000000">
                      <w14:alpha w14:val="100000"/>
                    </w14:srgbClr>
                  </w14:solidFill>
                </w14:textFill>
              </w:rPr>
              <w:t>|</w:t>
            </w:r>
            <w:r w:rsidR="001247F0" w:rsidRPr="00FA2806">
              <w:rPr>
                <w:iCs/>
                <w:color w:val="000000"/>
                <w:shd w:val="solid" w:color="000000" w:fill="000000"/>
                <w:fitText w:val="183" w:id="-1236603902"/>
                <w14:textFill>
                  <w14:solidFill>
                    <w14:srgbClr w14:val="000000">
                      <w14:alpha w14:val="100000"/>
                    </w14:srgbClr>
                  </w14:solidFill>
                </w14:textFill>
              </w:rPr>
              <w:t>|</w:t>
            </w:r>
          </w:p>
        </w:tc>
      </w:tr>
      <w:tr w:rsidR="00D8137E" w:rsidRPr="00EF4C2D" w14:paraId="71CEB4F9" w14:textId="77777777" w:rsidTr="007C08EB">
        <w:trPr>
          <w:cantSplit/>
        </w:trPr>
        <w:tc>
          <w:tcPr>
            <w:tcW w:w="1529" w:type="pct"/>
            <w:tcBorders>
              <w:top w:val="single" w:sz="4" w:space="0" w:color="auto"/>
              <w:left w:val="single" w:sz="4" w:space="0" w:color="auto"/>
              <w:bottom w:val="single" w:sz="4" w:space="0" w:color="auto"/>
              <w:right w:val="single" w:sz="4" w:space="0" w:color="auto"/>
            </w:tcBorders>
            <w:vAlign w:val="center"/>
            <w:hideMark/>
          </w:tcPr>
          <w:p w14:paraId="195BC3A9" w14:textId="77777777" w:rsidR="00D8137E" w:rsidRPr="00EF4C2D" w:rsidRDefault="00D8137E" w:rsidP="007C08EB">
            <w:pPr>
              <w:pStyle w:val="TableText0"/>
              <w:rPr>
                <w:rFonts w:ascii="Times" w:hAnsi="Times"/>
              </w:rPr>
            </w:pPr>
            <w:r w:rsidRPr="00EF4C2D">
              <w:t>QALYs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706DDC72" w14:textId="77777777" w:rsidR="00D8137E" w:rsidRPr="0096381E" w:rsidRDefault="00D8137E" w:rsidP="007C08EB">
            <w:pPr>
              <w:pStyle w:val="TableText0"/>
              <w:jc w:val="center"/>
              <w:rPr>
                <w:rFonts w:ascii="Times" w:hAnsi="Times"/>
                <w:iCs/>
              </w:rPr>
            </w:pPr>
            <w:r w:rsidRPr="0096381E">
              <w:rPr>
                <w:iCs/>
              </w:rPr>
              <w:t>10.26</w:t>
            </w:r>
          </w:p>
        </w:tc>
        <w:tc>
          <w:tcPr>
            <w:tcW w:w="1274" w:type="pct"/>
            <w:tcBorders>
              <w:top w:val="single" w:sz="4" w:space="0" w:color="auto"/>
              <w:left w:val="single" w:sz="4" w:space="0" w:color="auto"/>
              <w:bottom w:val="single" w:sz="4" w:space="0" w:color="auto"/>
              <w:right w:val="single" w:sz="4" w:space="0" w:color="auto"/>
            </w:tcBorders>
            <w:vAlign w:val="center"/>
            <w:hideMark/>
          </w:tcPr>
          <w:p w14:paraId="41AEE824" w14:textId="77777777" w:rsidR="00D8137E" w:rsidRPr="0096381E" w:rsidRDefault="00D8137E" w:rsidP="007C08EB">
            <w:pPr>
              <w:pStyle w:val="TableText0"/>
              <w:jc w:val="center"/>
              <w:rPr>
                <w:rFonts w:ascii="Times" w:hAnsi="Times"/>
                <w:iCs/>
              </w:rPr>
            </w:pPr>
            <w:r w:rsidRPr="0096381E">
              <w:rPr>
                <w:iCs/>
              </w:rPr>
              <w:t>10.01</w:t>
            </w:r>
          </w:p>
        </w:tc>
        <w:tc>
          <w:tcPr>
            <w:tcW w:w="838" w:type="pct"/>
            <w:tcBorders>
              <w:top w:val="single" w:sz="4" w:space="0" w:color="auto"/>
              <w:left w:val="single" w:sz="4" w:space="0" w:color="auto"/>
              <w:bottom w:val="single" w:sz="4" w:space="0" w:color="auto"/>
              <w:right w:val="single" w:sz="4" w:space="0" w:color="auto"/>
            </w:tcBorders>
            <w:vAlign w:val="center"/>
            <w:hideMark/>
          </w:tcPr>
          <w:p w14:paraId="6E0C881D" w14:textId="77777777" w:rsidR="00D8137E" w:rsidRPr="0096381E" w:rsidRDefault="00D8137E" w:rsidP="007C08EB">
            <w:pPr>
              <w:pStyle w:val="TableText0"/>
              <w:jc w:val="center"/>
              <w:rPr>
                <w:iCs/>
              </w:rPr>
            </w:pPr>
            <w:r w:rsidRPr="0096381E">
              <w:rPr>
                <w:iCs/>
              </w:rPr>
              <w:t>0.25</w:t>
            </w:r>
          </w:p>
        </w:tc>
      </w:tr>
      <w:tr w:rsidR="00D8137E" w:rsidRPr="00EF4C2D" w14:paraId="24542B1C" w14:textId="77777777" w:rsidTr="007C08EB">
        <w:trPr>
          <w:cantSplit/>
        </w:trPr>
        <w:tc>
          <w:tcPr>
            <w:tcW w:w="4162" w:type="pct"/>
            <w:gridSpan w:val="3"/>
            <w:tcBorders>
              <w:top w:val="single" w:sz="4" w:space="0" w:color="auto"/>
              <w:left w:val="single" w:sz="4" w:space="0" w:color="auto"/>
              <w:bottom w:val="single" w:sz="4" w:space="0" w:color="auto"/>
              <w:right w:val="single" w:sz="4" w:space="0" w:color="auto"/>
            </w:tcBorders>
            <w:vAlign w:val="center"/>
            <w:hideMark/>
          </w:tcPr>
          <w:p w14:paraId="220198CA" w14:textId="77777777" w:rsidR="00D8137E" w:rsidRPr="0096381E" w:rsidRDefault="00D8137E" w:rsidP="007C08EB">
            <w:pPr>
              <w:pStyle w:val="TableText0"/>
              <w:rPr>
                <w:rFonts w:ascii="Times" w:hAnsi="Times"/>
                <w:iCs/>
              </w:rPr>
            </w:pPr>
            <w:r w:rsidRPr="0096381E">
              <w:rPr>
                <w:b/>
                <w:iCs/>
              </w:rPr>
              <w:t>Incremental cost/extra QALY gained (base case)</w:t>
            </w:r>
          </w:p>
        </w:tc>
        <w:tc>
          <w:tcPr>
            <w:tcW w:w="838" w:type="pct"/>
            <w:tcBorders>
              <w:top w:val="single" w:sz="4" w:space="0" w:color="auto"/>
              <w:left w:val="single" w:sz="4" w:space="0" w:color="auto"/>
              <w:bottom w:val="single" w:sz="4" w:space="0" w:color="auto"/>
              <w:right w:val="single" w:sz="4" w:space="0" w:color="auto"/>
            </w:tcBorders>
            <w:vAlign w:val="center"/>
            <w:hideMark/>
          </w:tcPr>
          <w:p w14:paraId="324F3940" w14:textId="12C66D8E" w:rsidR="00D8137E" w:rsidRPr="007F42BA" w:rsidRDefault="00D8137E" w:rsidP="007C08EB">
            <w:pPr>
              <w:pStyle w:val="TableText0"/>
              <w:jc w:val="center"/>
              <w:rPr>
                <w:rFonts w:ascii="Times" w:hAnsi="Times"/>
                <w:iCs/>
                <w:vertAlign w:val="superscript"/>
              </w:rPr>
            </w:pPr>
            <w:r w:rsidRPr="0096381E">
              <w:rPr>
                <w:b/>
                <w:iCs/>
              </w:rPr>
              <w:t>$</w:t>
            </w:r>
            <w:r w:rsidR="001247F0" w:rsidRPr="001247F0">
              <w:rPr>
                <w:b/>
                <w:iCs/>
                <w:color w:val="000000"/>
                <w:spacing w:val="199"/>
                <w:shd w:val="solid" w:color="000000" w:fill="000000"/>
                <w:fitText w:val="291" w:id="-1236603901"/>
                <w14:textFill>
                  <w14:solidFill>
                    <w14:srgbClr w14:val="000000">
                      <w14:alpha w14:val="100000"/>
                    </w14:srgbClr>
                  </w14:solidFill>
                </w14:textFill>
              </w:rPr>
              <w:t>|</w:t>
            </w:r>
            <w:r w:rsidR="001247F0" w:rsidRPr="001247F0">
              <w:rPr>
                <w:b/>
                <w:iCs/>
                <w:color w:val="000000"/>
                <w:spacing w:val="1"/>
                <w:shd w:val="solid" w:color="000000" w:fill="000000"/>
                <w:fitText w:val="291" w:id="-1236603901"/>
                <w14:textFill>
                  <w14:solidFill>
                    <w14:srgbClr w14:val="000000">
                      <w14:alpha w14:val="100000"/>
                    </w14:srgbClr>
                  </w14:solidFill>
                </w14:textFill>
              </w:rPr>
              <w:t>|</w:t>
            </w:r>
            <w:r w:rsidR="007F42BA">
              <w:rPr>
                <w:b/>
                <w:iCs/>
                <w:vertAlign w:val="superscript"/>
              </w:rPr>
              <w:t>2</w:t>
            </w:r>
          </w:p>
        </w:tc>
      </w:tr>
    </w:tbl>
    <w:p w14:paraId="4C06A95D" w14:textId="77777777" w:rsidR="00D8137E" w:rsidRPr="00EF4C2D" w:rsidRDefault="00D8137E" w:rsidP="00D8137E">
      <w:pPr>
        <w:pStyle w:val="FooterTableFigure"/>
      </w:pPr>
      <w:r w:rsidRPr="00EF4C2D">
        <w:t>Source: Table 3-35, p217 of the submission</w:t>
      </w:r>
    </w:p>
    <w:p w14:paraId="369C269C" w14:textId="0CD95B25" w:rsidR="00D8137E" w:rsidRDefault="00D8137E" w:rsidP="007F42BA">
      <w:pPr>
        <w:pStyle w:val="FooterTableFigure"/>
        <w:spacing w:after="0"/>
      </w:pPr>
      <w:r w:rsidRPr="00EF4C2D">
        <w:t>ICER = incremental cost effectiveness ratio; LYG = life years gained; QALY = quality adjusted life years.</w:t>
      </w:r>
    </w:p>
    <w:p w14:paraId="721AFC41" w14:textId="77777777" w:rsidR="007F42BA" w:rsidRDefault="007F42BA" w:rsidP="007F42BA">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DC61C6D" w14:textId="77777777" w:rsidR="007F42BA" w:rsidRPr="007F42BA" w:rsidRDefault="007F42BA" w:rsidP="007F42BA">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7F42BA">
        <w:rPr>
          <w:rFonts w:ascii="Arial Narrow" w:hAnsi="Arial Narrow"/>
          <w:i/>
          <w:sz w:val="18"/>
          <w:szCs w:val="18"/>
        </w:rPr>
        <w:t>$0 to &lt; $5,000</w:t>
      </w:r>
    </w:p>
    <w:p w14:paraId="098A4395" w14:textId="2DE46634" w:rsidR="007F42BA" w:rsidRPr="00EF4C2D" w:rsidRDefault="007F42BA" w:rsidP="007F42BA">
      <w:pPr>
        <w:spacing w:after="120"/>
      </w:pPr>
      <w:r w:rsidRPr="009A6D58">
        <w:rPr>
          <w:rFonts w:ascii="Arial Narrow" w:hAnsi="Arial Narrow"/>
          <w:i/>
          <w:sz w:val="18"/>
          <w:szCs w:val="18"/>
          <w:vertAlign w:val="superscript"/>
        </w:rPr>
        <w:t>2</w:t>
      </w:r>
      <w:r>
        <w:rPr>
          <w:rFonts w:ascii="Arial Narrow" w:hAnsi="Arial Narrow"/>
          <w:i/>
          <w:sz w:val="18"/>
          <w:szCs w:val="18"/>
        </w:rPr>
        <w:t xml:space="preserve"> </w:t>
      </w:r>
      <w:r w:rsidRPr="00F32C5E">
        <w:rPr>
          <w:rFonts w:ascii="Arial Narrow" w:hAnsi="Arial Narrow"/>
          <w:i/>
          <w:sz w:val="18"/>
          <w:szCs w:val="18"/>
        </w:rPr>
        <w:t>$55,000 to &lt; $75,000</w:t>
      </w:r>
    </w:p>
    <w:p w14:paraId="1F81EFA3" w14:textId="1F89605D" w:rsidR="00D8137E" w:rsidRPr="0092490D" w:rsidRDefault="00D8137E" w:rsidP="0092490D">
      <w:pPr>
        <w:pStyle w:val="3-BodyText"/>
        <w:ind w:left="709" w:hanging="709"/>
        <w:rPr>
          <w:iCs/>
        </w:rPr>
      </w:pPr>
      <w:r w:rsidRPr="0092490D">
        <w:rPr>
          <w:iCs/>
        </w:rPr>
        <w:t xml:space="preserve">The submission presented univariate sensitivity analyses, univariate/multivariate scenario analyses and a probabilistic sensitivity analysis. Selected scenario analyses specified by the submission and additional analyses of relevance specified during the evaluation are presented in </w:t>
      </w:r>
      <w:r w:rsidRPr="0092490D">
        <w:rPr>
          <w:iCs/>
        </w:rPr>
        <w:fldChar w:fldCharType="begin"/>
      </w:r>
      <w:r w:rsidRPr="0092490D">
        <w:rPr>
          <w:iCs/>
        </w:rPr>
        <w:instrText xml:space="preserve"> REF _Ref104804865 \h  \* MERGEFORMAT </w:instrText>
      </w:r>
      <w:r w:rsidRPr="0092490D">
        <w:rPr>
          <w:iCs/>
        </w:rPr>
      </w:r>
      <w:r w:rsidRPr="0092490D">
        <w:rPr>
          <w:iCs/>
        </w:rPr>
        <w:fldChar w:fldCharType="separate"/>
      </w:r>
      <w:r w:rsidR="00FD5578" w:rsidRPr="00FD5578">
        <w:rPr>
          <w:iCs/>
        </w:rPr>
        <w:t>Table 11</w:t>
      </w:r>
      <w:r w:rsidRPr="0092490D">
        <w:rPr>
          <w:iCs/>
        </w:rPr>
        <w:fldChar w:fldCharType="end"/>
      </w:r>
      <w:r w:rsidRPr="0092490D">
        <w:rPr>
          <w:iCs/>
        </w:rPr>
        <w:t xml:space="preserve">. These results show that the model was most sensitive to the time horizon (phototherapy dominant, </w:t>
      </w:r>
      <w:r w:rsidR="007F42BA" w:rsidRPr="007F42BA">
        <w:rPr>
          <w:iCs/>
        </w:rPr>
        <w:t>$255,000 to &lt; $355,000</w:t>
      </w:r>
      <w:r w:rsidR="007F42BA">
        <w:rPr>
          <w:iCs/>
        </w:rPr>
        <w:t xml:space="preserve"> </w:t>
      </w:r>
      <w:r w:rsidRPr="0092490D">
        <w:rPr>
          <w:iCs/>
        </w:rPr>
        <w:t xml:space="preserve">and </w:t>
      </w:r>
      <w:r w:rsidR="007F42BA" w:rsidRPr="007F42BA">
        <w:rPr>
          <w:iCs/>
        </w:rPr>
        <w:t>$95,000 to &lt; $115,000</w:t>
      </w:r>
      <w:r w:rsidR="007F42BA">
        <w:rPr>
          <w:iCs/>
        </w:rPr>
        <w:t xml:space="preserve"> </w:t>
      </w:r>
      <w:r w:rsidRPr="0092490D">
        <w:rPr>
          <w:iCs/>
        </w:rPr>
        <w:t>for 5, 10 and 20 years’ time horizon respectively), the effectiveness of phototherapy (</w:t>
      </w:r>
      <w:r w:rsidR="007F42BA" w:rsidRPr="007F42BA">
        <w:rPr>
          <w:iCs/>
        </w:rPr>
        <w:t>$115,000 to &lt; $135,000</w:t>
      </w:r>
      <w:r w:rsidR="007F42BA">
        <w:rPr>
          <w:iCs/>
        </w:rPr>
        <w:t xml:space="preserve"> </w:t>
      </w:r>
      <w:r w:rsidRPr="0092490D">
        <w:rPr>
          <w:iCs/>
        </w:rPr>
        <w:t xml:space="preserve">and </w:t>
      </w:r>
      <w:r w:rsidR="004E0B0E" w:rsidRPr="004E0B0E">
        <w:rPr>
          <w:iCs/>
        </w:rPr>
        <w:t>$15,000 to &lt; $25,000</w:t>
      </w:r>
      <w:r w:rsidRPr="0092490D">
        <w:rPr>
          <w:iCs/>
        </w:rPr>
        <w:t>), treatment duration of chlormethine gel (chlormethine gel dominant), the definition of response rate applied to chlormethine gel (</w:t>
      </w:r>
      <w:r w:rsidR="004E0B0E" w:rsidRPr="004E0B0E">
        <w:rPr>
          <w:iCs/>
        </w:rPr>
        <w:t>$15,000 to &lt; $25,000</w:t>
      </w:r>
      <w:r w:rsidRPr="0092490D">
        <w:rPr>
          <w:iCs/>
        </w:rPr>
        <w:t>), dose of chlormethine gel (</w:t>
      </w:r>
      <w:r w:rsidR="004E0B0E" w:rsidRPr="004E0B0E">
        <w:rPr>
          <w:iCs/>
        </w:rPr>
        <w:t>$155,000 to &lt; $255,000</w:t>
      </w:r>
      <w:r w:rsidR="004E0B0E">
        <w:rPr>
          <w:iCs/>
        </w:rPr>
        <w:t xml:space="preserve"> </w:t>
      </w:r>
      <w:r w:rsidRPr="0092490D">
        <w:rPr>
          <w:iCs/>
        </w:rPr>
        <w:t xml:space="preserve">and </w:t>
      </w:r>
      <w:r w:rsidR="007F42BA" w:rsidRPr="007F42BA">
        <w:rPr>
          <w:iCs/>
        </w:rPr>
        <w:t>$115,000 to &lt; $135,000</w:t>
      </w:r>
      <w:r w:rsidRPr="0092490D">
        <w:rPr>
          <w:iCs/>
        </w:rPr>
        <w:t>), frequency of application of chlormethine gel (</w:t>
      </w:r>
      <w:r w:rsidR="004E0B0E">
        <w:rPr>
          <w:iCs/>
        </w:rPr>
        <w:t>$</w:t>
      </w:r>
      <w:r w:rsidR="004E0B0E" w:rsidRPr="004E0B0E">
        <w:rPr>
          <w:iCs/>
        </w:rPr>
        <w:t>355,000 to &lt; $455,000</w:t>
      </w:r>
      <w:r w:rsidRPr="0092490D">
        <w:rPr>
          <w:iCs/>
        </w:rPr>
        <w:t>) and subsequent treatment costs (</w:t>
      </w:r>
      <w:r w:rsidR="007F42BA" w:rsidRPr="007F42BA">
        <w:rPr>
          <w:iCs/>
        </w:rPr>
        <w:t>$115,000 to &lt; $135,000</w:t>
      </w:r>
      <w:r w:rsidRPr="0092490D">
        <w:rPr>
          <w:iCs/>
        </w:rPr>
        <w:t>). Overall, the estimated ICER is not robust given that it is very sensitive to variations in most of the parameters used to inform the model.</w:t>
      </w:r>
    </w:p>
    <w:p w14:paraId="56D30632" w14:textId="77777777" w:rsidR="00D8137E" w:rsidRPr="00EF4C2D" w:rsidRDefault="00D8137E" w:rsidP="00D8137E">
      <w:pPr>
        <w:jc w:val="left"/>
        <w:rPr>
          <w:rFonts w:asciiTheme="minorHAnsi" w:hAnsiTheme="minorHAnsi"/>
          <w:snapToGrid w:val="0"/>
        </w:rPr>
      </w:pPr>
      <w:r w:rsidRPr="00EF4C2D">
        <w:br w:type="page"/>
      </w:r>
    </w:p>
    <w:p w14:paraId="6B5EBAD7" w14:textId="78AFEDE8" w:rsidR="00D8137E" w:rsidRPr="005D4341" w:rsidRDefault="00D8137E" w:rsidP="00D8137E">
      <w:pPr>
        <w:pStyle w:val="Caption"/>
        <w:rPr>
          <w:rStyle w:val="CommentReference"/>
          <w:b/>
          <w:bCs w:val="0"/>
          <w:szCs w:val="24"/>
        </w:rPr>
      </w:pPr>
      <w:bookmarkStart w:id="80" w:name="_Ref104804865"/>
      <w:r w:rsidRPr="00EF4C2D">
        <w:t xml:space="preserve">Table </w:t>
      </w:r>
      <w:r w:rsidR="00FD5578">
        <w:fldChar w:fldCharType="begin"/>
      </w:r>
      <w:r w:rsidR="00FD5578">
        <w:instrText xml:space="preserve"> SEQ Table \* ARABIC </w:instrText>
      </w:r>
      <w:r w:rsidR="00FD5578">
        <w:fldChar w:fldCharType="separate"/>
      </w:r>
      <w:r w:rsidR="00FD5578">
        <w:rPr>
          <w:noProof/>
        </w:rPr>
        <w:t>11</w:t>
      </w:r>
      <w:r w:rsidR="00FD5578">
        <w:rPr>
          <w:noProof/>
        </w:rPr>
        <w:fldChar w:fldCharType="end"/>
      </w:r>
      <w:bookmarkEnd w:id="80"/>
      <w:r w:rsidRPr="00EF4C2D">
        <w:rPr>
          <w:b w:val="0"/>
        </w:rPr>
        <w:t>:</w:t>
      </w:r>
      <w:r w:rsidRPr="00EF4C2D">
        <w:rPr>
          <w:rStyle w:val="CommentReference"/>
          <w:szCs w:val="24"/>
        </w:rPr>
        <w:t xml:space="preserve"> </w:t>
      </w:r>
      <w:r w:rsidRPr="005D4341">
        <w:rPr>
          <w:rStyle w:val="CommentReference"/>
          <w:b/>
          <w:szCs w:val="24"/>
        </w:rPr>
        <w:t>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1137"/>
        <w:gridCol w:w="1137"/>
        <w:gridCol w:w="1192"/>
        <w:gridCol w:w="791"/>
      </w:tblGrid>
      <w:tr w:rsidR="00D8137E" w:rsidRPr="00EF4C2D" w14:paraId="361EEE2D" w14:textId="77777777" w:rsidTr="00C14CD7">
        <w:trPr>
          <w:cantSplit/>
          <w:tblHeader/>
        </w:trPr>
        <w:tc>
          <w:tcPr>
            <w:tcW w:w="2670" w:type="pct"/>
            <w:tcBorders>
              <w:top w:val="single" w:sz="4" w:space="0" w:color="auto"/>
              <w:left w:val="single" w:sz="4" w:space="0" w:color="auto"/>
              <w:bottom w:val="single" w:sz="4" w:space="0" w:color="auto"/>
              <w:right w:val="single" w:sz="4" w:space="0" w:color="auto"/>
            </w:tcBorders>
            <w:hideMark/>
          </w:tcPr>
          <w:p w14:paraId="2C32A824" w14:textId="77777777" w:rsidR="00D8137E" w:rsidRPr="00EF4C2D" w:rsidRDefault="00D8137E" w:rsidP="007C08EB">
            <w:pPr>
              <w:pStyle w:val="In-tableHeading"/>
              <w:keepNext w:val="0"/>
              <w:keepLines/>
              <w:widowControl w:val="0"/>
            </w:pPr>
            <w:r w:rsidRPr="00EF4C2D">
              <w:t>Analyses</w:t>
            </w:r>
          </w:p>
        </w:tc>
        <w:tc>
          <w:tcPr>
            <w:tcW w:w="600" w:type="pct"/>
            <w:tcBorders>
              <w:top w:val="single" w:sz="4" w:space="0" w:color="auto"/>
              <w:left w:val="single" w:sz="4" w:space="0" w:color="auto"/>
              <w:bottom w:val="single" w:sz="4" w:space="0" w:color="auto"/>
              <w:right w:val="single" w:sz="4" w:space="0" w:color="auto"/>
            </w:tcBorders>
            <w:hideMark/>
          </w:tcPr>
          <w:p w14:paraId="2E69456C" w14:textId="1E7567DF" w:rsidR="00D8137E" w:rsidRPr="00EF4C2D" w:rsidRDefault="00D8137E" w:rsidP="007C08EB">
            <w:pPr>
              <w:pStyle w:val="In-tableHeading"/>
              <w:keepNext w:val="0"/>
              <w:keepLines/>
              <w:widowControl w:val="0"/>
              <w:jc w:val="center"/>
            </w:pPr>
            <w:r w:rsidRPr="00EF4C2D">
              <w:t>Incremental cost</w:t>
            </w:r>
            <w:r w:rsidR="004E0B0E">
              <w:t xml:space="preserve"> ($)</w:t>
            </w:r>
          </w:p>
        </w:tc>
        <w:tc>
          <w:tcPr>
            <w:tcW w:w="630" w:type="pct"/>
            <w:tcBorders>
              <w:top w:val="single" w:sz="4" w:space="0" w:color="auto"/>
              <w:left w:val="single" w:sz="4" w:space="0" w:color="auto"/>
              <w:bottom w:val="single" w:sz="4" w:space="0" w:color="auto"/>
              <w:right w:val="single" w:sz="4" w:space="0" w:color="auto"/>
            </w:tcBorders>
            <w:hideMark/>
          </w:tcPr>
          <w:p w14:paraId="1798F9A2" w14:textId="77777777" w:rsidR="00D8137E" w:rsidRPr="00EF4C2D" w:rsidRDefault="00D8137E" w:rsidP="007C08EB">
            <w:pPr>
              <w:pStyle w:val="In-tableHeading"/>
              <w:keepNext w:val="0"/>
              <w:keepLines/>
              <w:widowControl w:val="0"/>
              <w:jc w:val="center"/>
            </w:pPr>
            <w:r w:rsidRPr="00EF4C2D">
              <w:t>Incremental QALY</w:t>
            </w:r>
          </w:p>
        </w:tc>
        <w:tc>
          <w:tcPr>
            <w:tcW w:w="661" w:type="pct"/>
            <w:tcBorders>
              <w:top w:val="single" w:sz="4" w:space="0" w:color="auto"/>
              <w:left w:val="single" w:sz="4" w:space="0" w:color="auto"/>
              <w:bottom w:val="single" w:sz="4" w:space="0" w:color="auto"/>
              <w:right w:val="single" w:sz="4" w:space="0" w:color="auto"/>
            </w:tcBorders>
            <w:hideMark/>
          </w:tcPr>
          <w:p w14:paraId="62AD7492" w14:textId="77777777" w:rsidR="00D8137E" w:rsidRPr="00EF4C2D" w:rsidRDefault="00D8137E" w:rsidP="007C08EB">
            <w:pPr>
              <w:pStyle w:val="In-tableHeading"/>
              <w:keepNext w:val="0"/>
              <w:keepLines/>
              <w:widowControl w:val="0"/>
              <w:jc w:val="center"/>
            </w:pPr>
            <w:r w:rsidRPr="00EF4C2D">
              <w:t>ICER</w:t>
            </w:r>
          </w:p>
        </w:tc>
        <w:tc>
          <w:tcPr>
            <w:tcW w:w="439" w:type="pct"/>
            <w:tcBorders>
              <w:top w:val="single" w:sz="4" w:space="0" w:color="auto"/>
              <w:left w:val="single" w:sz="4" w:space="0" w:color="auto"/>
              <w:bottom w:val="single" w:sz="4" w:space="0" w:color="auto"/>
              <w:right w:val="single" w:sz="4" w:space="0" w:color="auto"/>
            </w:tcBorders>
            <w:hideMark/>
          </w:tcPr>
          <w:p w14:paraId="335DF223" w14:textId="565D7AE5" w:rsidR="00D8137E" w:rsidRPr="00EF4C2D" w:rsidRDefault="00D8137E" w:rsidP="007C08EB">
            <w:pPr>
              <w:pStyle w:val="In-tableHeading"/>
              <w:keepNext w:val="0"/>
              <w:keepLines/>
              <w:widowControl w:val="0"/>
              <w:jc w:val="center"/>
            </w:pPr>
            <w:r w:rsidRPr="00EF4C2D">
              <w:t>% change</w:t>
            </w:r>
          </w:p>
        </w:tc>
      </w:tr>
      <w:tr w:rsidR="00D8137E" w:rsidRPr="00EF4C2D" w14:paraId="5CA77E19" w14:textId="77777777" w:rsidTr="00C14CD7">
        <w:trPr>
          <w:cantSplit/>
        </w:trPr>
        <w:tc>
          <w:tcPr>
            <w:tcW w:w="2670" w:type="pct"/>
            <w:tcBorders>
              <w:top w:val="single" w:sz="4" w:space="0" w:color="auto"/>
              <w:left w:val="single" w:sz="4" w:space="0" w:color="auto"/>
              <w:bottom w:val="single" w:sz="4" w:space="0" w:color="auto"/>
              <w:right w:val="single" w:sz="4" w:space="0" w:color="auto"/>
            </w:tcBorders>
            <w:hideMark/>
          </w:tcPr>
          <w:p w14:paraId="5BA3F66F" w14:textId="77777777" w:rsidR="00D8137E" w:rsidRPr="00EF4C2D" w:rsidRDefault="00D8137E" w:rsidP="007C08EB">
            <w:pPr>
              <w:pStyle w:val="TableText0"/>
              <w:keepNext w:val="0"/>
              <w:keepLines/>
              <w:widowControl w:val="0"/>
              <w:rPr>
                <w:b/>
              </w:rPr>
            </w:pPr>
            <w:r w:rsidRPr="00EF4C2D">
              <w:rPr>
                <w:b/>
              </w:rPr>
              <w:t>Base case</w:t>
            </w:r>
          </w:p>
        </w:tc>
        <w:tc>
          <w:tcPr>
            <w:tcW w:w="600" w:type="pct"/>
            <w:tcBorders>
              <w:top w:val="single" w:sz="4" w:space="0" w:color="auto"/>
              <w:left w:val="single" w:sz="4" w:space="0" w:color="auto"/>
              <w:bottom w:val="single" w:sz="4" w:space="0" w:color="auto"/>
              <w:right w:val="single" w:sz="4" w:space="0" w:color="auto"/>
            </w:tcBorders>
            <w:hideMark/>
          </w:tcPr>
          <w:p w14:paraId="3C31E21B" w14:textId="2EAF3594" w:rsidR="00D8137E" w:rsidRPr="001247F0" w:rsidRDefault="004E0B0E" w:rsidP="007C08EB">
            <w:pPr>
              <w:pStyle w:val="TableText0"/>
              <w:keepNext w:val="0"/>
              <w:keepLines/>
              <w:widowControl w:val="0"/>
              <w:jc w:val="center"/>
              <w:rPr>
                <w:b/>
              </w:rPr>
            </w:pPr>
            <w:r>
              <w:rPr>
                <w:b/>
              </w:rPr>
              <w:t xml:space="preserve"> </w:t>
            </w:r>
            <w:r w:rsidR="001247F0" w:rsidRPr="00FA2806">
              <w:rPr>
                <w:b/>
                <w:color w:val="000000"/>
                <w:spacing w:val="46"/>
                <w:shd w:val="solid" w:color="000000" w:fill="000000"/>
                <w:fitText w:val="508" w:id="-1236603900"/>
                <w14:textFill>
                  <w14:solidFill>
                    <w14:srgbClr w14:val="000000">
                      <w14:alpha w14:val="100000"/>
                    </w14:srgbClr>
                  </w14:solidFill>
                </w14:textFill>
              </w:rPr>
              <w:t>|||||</w:t>
            </w:r>
            <w:r w:rsidR="001247F0" w:rsidRPr="00FA2806">
              <w:rPr>
                <w:b/>
                <w:color w:val="000000"/>
                <w:spacing w:val="3"/>
                <w:shd w:val="solid" w:color="000000" w:fill="000000"/>
                <w:fitText w:val="508" w:id="-1236603900"/>
                <w14:textFill>
                  <w14:solidFill>
                    <w14:srgbClr w14:val="000000">
                      <w14:alpha w14:val="100000"/>
                    </w14:srgbClr>
                  </w14:solidFill>
                </w14:textFill>
              </w:rPr>
              <w:t>|</w:t>
            </w:r>
          </w:p>
        </w:tc>
        <w:tc>
          <w:tcPr>
            <w:tcW w:w="630" w:type="pct"/>
            <w:tcBorders>
              <w:top w:val="single" w:sz="4" w:space="0" w:color="auto"/>
              <w:left w:val="single" w:sz="4" w:space="0" w:color="auto"/>
              <w:bottom w:val="single" w:sz="4" w:space="0" w:color="auto"/>
              <w:right w:val="single" w:sz="4" w:space="0" w:color="auto"/>
            </w:tcBorders>
            <w:vAlign w:val="center"/>
            <w:hideMark/>
          </w:tcPr>
          <w:p w14:paraId="60BC0138" w14:textId="77777777" w:rsidR="00D8137E" w:rsidRPr="00EF4C2D" w:rsidRDefault="00D8137E" w:rsidP="007C08EB">
            <w:pPr>
              <w:pStyle w:val="TableText0"/>
              <w:keepNext w:val="0"/>
              <w:keepLines/>
              <w:widowControl w:val="0"/>
              <w:jc w:val="center"/>
              <w:rPr>
                <w:b/>
              </w:rPr>
            </w:pPr>
            <w:r w:rsidRPr="00EF4C2D">
              <w:rPr>
                <w:b/>
              </w:rPr>
              <w:t>0.25</w:t>
            </w:r>
          </w:p>
        </w:tc>
        <w:tc>
          <w:tcPr>
            <w:tcW w:w="661" w:type="pct"/>
            <w:tcBorders>
              <w:top w:val="single" w:sz="4" w:space="0" w:color="auto"/>
              <w:left w:val="single" w:sz="4" w:space="0" w:color="auto"/>
              <w:bottom w:val="single" w:sz="4" w:space="0" w:color="auto"/>
              <w:right w:val="single" w:sz="4" w:space="0" w:color="auto"/>
            </w:tcBorders>
            <w:vAlign w:val="center"/>
            <w:hideMark/>
          </w:tcPr>
          <w:p w14:paraId="2787B243" w14:textId="0CA8D1D8" w:rsidR="00D8137E" w:rsidRPr="004E0B0E" w:rsidRDefault="001247F0" w:rsidP="007C08EB">
            <w:pPr>
              <w:pStyle w:val="TableText0"/>
              <w:keepNext w:val="0"/>
              <w:keepLines/>
              <w:widowControl w:val="0"/>
              <w:jc w:val="center"/>
              <w:rPr>
                <w:b/>
                <w:vertAlign w:val="superscript"/>
              </w:rPr>
            </w:pPr>
            <w:r w:rsidRPr="001247F0">
              <w:rPr>
                <w:b/>
                <w:color w:val="000000"/>
                <w:spacing w:val="43"/>
                <w:shd w:val="solid" w:color="000000" w:fill="000000"/>
                <w:fitText w:val="491" w:id="-1236603899"/>
                <w14:textFill>
                  <w14:solidFill>
                    <w14:srgbClr w14:val="000000">
                      <w14:alpha w14:val="100000"/>
                    </w14:srgbClr>
                  </w14:solidFill>
                </w14:textFill>
              </w:rPr>
              <w:t>|||||</w:t>
            </w:r>
            <w:r w:rsidRPr="001247F0">
              <w:rPr>
                <w:b/>
                <w:color w:val="000000"/>
                <w:spacing w:val="1"/>
                <w:shd w:val="solid" w:color="000000" w:fill="000000"/>
                <w:fitText w:val="491" w:id="-1236603899"/>
                <w14:textFill>
                  <w14:solidFill>
                    <w14:srgbClr w14:val="000000">
                      <w14:alpha w14:val="100000"/>
                    </w14:srgbClr>
                  </w14:solidFill>
                </w14:textFill>
              </w:rPr>
              <w:t>|</w:t>
            </w:r>
            <w:r w:rsidR="004E0B0E" w:rsidRPr="00C14CD7">
              <w:rPr>
                <w:b/>
                <w:vertAlign w:val="superscript"/>
              </w:rPr>
              <w:t>1</w:t>
            </w:r>
          </w:p>
        </w:tc>
        <w:tc>
          <w:tcPr>
            <w:tcW w:w="439" w:type="pct"/>
            <w:tcBorders>
              <w:top w:val="single" w:sz="4" w:space="0" w:color="auto"/>
              <w:left w:val="single" w:sz="4" w:space="0" w:color="auto"/>
              <w:bottom w:val="single" w:sz="4" w:space="0" w:color="auto"/>
              <w:right w:val="single" w:sz="4" w:space="0" w:color="auto"/>
            </w:tcBorders>
          </w:tcPr>
          <w:p w14:paraId="1BCE83EB" w14:textId="77777777" w:rsidR="00D8137E" w:rsidRPr="00EF4C2D" w:rsidRDefault="00D8137E" w:rsidP="007C08EB">
            <w:pPr>
              <w:pStyle w:val="TableText0"/>
              <w:keepNext w:val="0"/>
              <w:keepLines/>
              <w:widowControl w:val="0"/>
              <w:rPr>
                <w:rFonts w:eastAsia="Calibri"/>
                <w:b/>
                <w:szCs w:val="20"/>
              </w:rPr>
            </w:pPr>
          </w:p>
        </w:tc>
      </w:tr>
      <w:tr w:rsidR="00D8137E" w:rsidRPr="00EF4C2D" w14:paraId="295E7EB7" w14:textId="77777777" w:rsidTr="00C14CD7">
        <w:trPr>
          <w:cantSplit/>
        </w:trPr>
        <w:tc>
          <w:tcPr>
            <w:tcW w:w="2670" w:type="pct"/>
            <w:tcBorders>
              <w:top w:val="single" w:sz="4" w:space="0" w:color="auto"/>
              <w:left w:val="single" w:sz="4" w:space="0" w:color="auto"/>
              <w:bottom w:val="single" w:sz="4" w:space="0" w:color="auto"/>
              <w:right w:val="single" w:sz="4" w:space="0" w:color="auto"/>
            </w:tcBorders>
          </w:tcPr>
          <w:p w14:paraId="209D79F9" w14:textId="77777777" w:rsidR="00D8137E" w:rsidRPr="00DE3BD5" w:rsidRDefault="00D8137E" w:rsidP="007C08EB">
            <w:pPr>
              <w:pStyle w:val="TableText0"/>
              <w:keepNext w:val="0"/>
              <w:keepLines/>
              <w:widowControl w:val="0"/>
            </w:pPr>
            <w:r w:rsidRPr="00DE3BD5">
              <w:rPr>
                <w:bCs w:val="0"/>
                <w:szCs w:val="20"/>
              </w:rPr>
              <w:t>Usage of chlormethine gel (base case: application of gel on average every second day as observed in the French ATU real world data). Application of gel as stipulated in the Australian PI; daily application</w:t>
            </w:r>
          </w:p>
        </w:tc>
        <w:tc>
          <w:tcPr>
            <w:tcW w:w="600" w:type="pct"/>
            <w:tcBorders>
              <w:top w:val="single" w:sz="4" w:space="0" w:color="auto"/>
              <w:left w:val="single" w:sz="4" w:space="0" w:color="auto"/>
              <w:bottom w:val="single" w:sz="4" w:space="0" w:color="auto"/>
              <w:right w:val="single" w:sz="4" w:space="0" w:color="auto"/>
            </w:tcBorders>
          </w:tcPr>
          <w:p w14:paraId="545D06B8" w14:textId="471404A8" w:rsidR="00D8137E" w:rsidRPr="001247F0" w:rsidRDefault="004E0B0E" w:rsidP="007C08EB">
            <w:pPr>
              <w:pStyle w:val="TableText0"/>
              <w:keepNext w:val="0"/>
              <w:keepLines/>
              <w:widowControl w:val="0"/>
              <w:jc w:val="center"/>
            </w:pPr>
            <w:r>
              <w:rPr>
                <w:szCs w:val="20"/>
              </w:rPr>
              <w:t xml:space="preserve"> </w:t>
            </w:r>
            <w:r w:rsidR="001247F0" w:rsidRPr="00FA2806">
              <w:rPr>
                <w:color w:val="000000"/>
                <w:spacing w:val="35"/>
                <w:szCs w:val="20"/>
                <w:shd w:val="solid" w:color="000000" w:fill="000000"/>
                <w:fitText w:val="433" w:id="-1236603898"/>
                <w14:textFill>
                  <w14:solidFill>
                    <w14:srgbClr w14:val="000000">
                      <w14:alpha w14:val="100000"/>
                    </w14:srgbClr>
                  </w14:solidFill>
                </w14:textFill>
              </w:rPr>
              <w:t>|||||</w:t>
            </w:r>
            <w:r w:rsidR="001247F0" w:rsidRPr="00FA2806">
              <w:rPr>
                <w:color w:val="000000"/>
                <w:spacing w:val="3"/>
                <w:szCs w:val="20"/>
                <w:shd w:val="solid" w:color="000000" w:fill="000000"/>
                <w:fitText w:val="433" w:id="-1236603898"/>
                <w14:textFill>
                  <w14:solidFill>
                    <w14:srgbClr w14:val="000000">
                      <w14:alpha w14:val="100000"/>
                    </w14:srgbClr>
                  </w14:solidFill>
                </w14:textFill>
              </w:rPr>
              <w:t>|</w:t>
            </w:r>
          </w:p>
        </w:tc>
        <w:tc>
          <w:tcPr>
            <w:tcW w:w="630" w:type="pct"/>
            <w:tcBorders>
              <w:top w:val="single" w:sz="4" w:space="0" w:color="auto"/>
              <w:left w:val="single" w:sz="4" w:space="0" w:color="auto"/>
              <w:bottom w:val="single" w:sz="4" w:space="0" w:color="auto"/>
              <w:right w:val="single" w:sz="4" w:space="0" w:color="auto"/>
            </w:tcBorders>
          </w:tcPr>
          <w:p w14:paraId="0FD7A2B4" w14:textId="77777777" w:rsidR="00D8137E" w:rsidRPr="00DE3BD5" w:rsidRDefault="00D8137E" w:rsidP="007C08EB">
            <w:pPr>
              <w:pStyle w:val="TableText0"/>
              <w:keepNext w:val="0"/>
              <w:keepLines/>
              <w:widowControl w:val="0"/>
              <w:jc w:val="center"/>
            </w:pPr>
            <w:r w:rsidRPr="00DE3BD5">
              <w:rPr>
                <w:szCs w:val="20"/>
              </w:rPr>
              <w:t>0.25</w:t>
            </w:r>
          </w:p>
        </w:tc>
        <w:tc>
          <w:tcPr>
            <w:tcW w:w="661" w:type="pct"/>
            <w:tcBorders>
              <w:top w:val="single" w:sz="4" w:space="0" w:color="auto"/>
              <w:left w:val="single" w:sz="4" w:space="0" w:color="auto"/>
              <w:bottom w:val="single" w:sz="4" w:space="0" w:color="auto"/>
              <w:right w:val="single" w:sz="4" w:space="0" w:color="auto"/>
            </w:tcBorders>
          </w:tcPr>
          <w:p w14:paraId="5E898F68" w14:textId="4350735E" w:rsidR="00D8137E" w:rsidRPr="004E0B0E" w:rsidRDefault="001247F0" w:rsidP="007C08EB">
            <w:pPr>
              <w:pStyle w:val="TableText0"/>
              <w:keepNext w:val="0"/>
              <w:keepLines/>
              <w:widowControl w:val="0"/>
              <w:jc w:val="center"/>
              <w:rPr>
                <w:vertAlign w:val="superscript"/>
              </w:rPr>
            </w:pPr>
            <w:r w:rsidRPr="001247F0">
              <w:rPr>
                <w:color w:val="000000"/>
                <w:spacing w:val="78"/>
                <w:szCs w:val="20"/>
                <w:shd w:val="solid" w:color="000000" w:fill="000000"/>
                <w:fitText w:val="408" w:id="-1236603897"/>
                <w14:textFill>
                  <w14:solidFill>
                    <w14:srgbClr w14:val="000000">
                      <w14:alpha w14:val="100000"/>
                    </w14:srgbClr>
                  </w14:solidFill>
                </w14:textFill>
              </w:rPr>
              <w:t>|||</w:t>
            </w:r>
            <w:r w:rsidRPr="001247F0">
              <w:rPr>
                <w:color w:val="000000"/>
                <w:spacing w:val="2"/>
                <w:szCs w:val="20"/>
                <w:shd w:val="solid" w:color="000000" w:fill="000000"/>
                <w:fitText w:val="408" w:id="-1236603897"/>
                <w14:textFill>
                  <w14:solidFill>
                    <w14:srgbClr w14:val="000000">
                      <w14:alpha w14:val="100000"/>
                    </w14:srgbClr>
                  </w14:solidFill>
                </w14:textFill>
              </w:rPr>
              <w:t>|</w:t>
            </w:r>
            <w:r w:rsidR="004E0B0E">
              <w:rPr>
                <w:szCs w:val="20"/>
                <w:vertAlign w:val="superscript"/>
              </w:rPr>
              <w:t>2</w:t>
            </w:r>
          </w:p>
        </w:tc>
        <w:tc>
          <w:tcPr>
            <w:tcW w:w="439" w:type="pct"/>
            <w:tcBorders>
              <w:top w:val="single" w:sz="4" w:space="0" w:color="auto"/>
              <w:left w:val="single" w:sz="4" w:space="0" w:color="auto"/>
              <w:bottom w:val="single" w:sz="4" w:space="0" w:color="auto"/>
              <w:right w:val="single" w:sz="4" w:space="0" w:color="auto"/>
            </w:tcBorders>
          </w:tcPr>
          <w:p w14:paraId="5E4F7593" w14:textId="77777777" w:rsidR="00D8137E" w:rsidRPr="00DE3BD5" w:rsidRDefault="00D8137E" w:rsidP="007C08EB">
            <w:pPr>
              <w:pStyle w:val="TableText0"/>
              <w:keepNext w:val="0"/>
              <w:keepLines/>
              <w:widowControl w:val="0"/>
              <w:jc w:val="center"/>
              <w:rPr>
                <w:rFonts w:eastAsia="Calibri"/>
                <w:szCs w:val="20"/>
              </w:rPr>
            </w:pPr>
            <w:r w:rsidRPr="00DE3BD5">
              <w:rPr>
                <w:szCs w:val="20"/>
              </w:rPr>
              <w:t>416%</w:t>
            </w:r>
          </w:p>
        </w:tc>
      </w:tr>
      <w:tr w:rsidR="00D8137E" w:rsidRPr="00EF4C2D" w14:paraId="2826A3DD" w14:textId="77777777" w:rsidTr="007C08EB">
        <w:trPr>
          <w:cantSplit/>
        </w:trPr>
        <w:tc>
          <w:tcPr>
            <w:tcW w:w="4561" w:type="pct"/>
            <w:gridSpan w:val="4"/>
            <w:tcBorders>
              <w:top w:val="single" w:sz="4" w:space="0" w:color="auto"/>
              <w:left w:val="single" w:sz="4" w:space="0" w:color="auto"/>
              <w:bottom w:val="single" w:sz="4" w:space="0" w:color="auto"/>
              <w:right w:val="single" w:sz="4" w:space="0" w:color="auto"/>
            </w:tcBorders>
            <w:hideMark/>
          </w:tcPr>
          <w:p w14:paraId="2930050E" w14:textId="77777777" w:rsidR="00D8137E" w:rsidRPr="009E00C3" w:rsidRDefault="00D8137E" w:rsidP="007C08EB">
            <w:pPr>
              <w:pStyle w:val="TableText0"/>
              <w:keepNext w:val="0"/>
              <w:keepLines/>
              <w:widowControl w:val="0"/>
            </w:pPr>
            <w:r w:rsidRPr="009E00C3">
              <w:t>Time horizon (base case lifetime - 46 years)</w:t>
            </w:r>
          </w:p>
        </w:tc>
        <w:tc>
          <w:tcPr>
            <w:tcW w:w="439" w:type="pct"/>
            <w:tcBorders>
              <w:top w:val="single" w:sz="4" w:space="0" w:color="auto"/>
              <w:left w:val="single" w:sz="4" w:space="0" w:color="auto"/>
              <w:bottom w:val="single" w:sz="4" w:space="0" w:color="auto"/>
              <w:right w:val="single" w:sz="4" w:space="0" w:color="auto"/>
            </w:tcBorders>
          </w:tcPr>
          <w:p w14:paraId="323EA402" w14:textId="77777777" w:rsidR="00D8137E" w:rsidRPr="00DE3BD5" w:rsidRDefault="00D8137E" w:rsidP="007C08EB">
            <w:pPr>
              <w:pStyle w:val="TableText0"/>
              <w:keepNext w:val="0"/>
              <w:keepLines/>
              <w:widowControl w:val="0"/>
            </w:pPr>
          </w:p>
        </w:tc>
      </w:tr>
      <w:tr w:rsidR="00D8137E" w:rsidRPr="00EF4C2D" w14:paraId="4FD5ABE7" w14:textId="77777777" w:rsidTr="00C14CD7">
        <w:trPr>
          <w:cantSplit/>
        </w:trPr>
        <w:tc>
          <w:tcPr>
            <w:tcW w:w="2670" w:type="pct"/>
            <w:tcBorders>
              <w:top w:val="single" w:sz="4" w:space="0" w:color="auto"/>
              <w:left w:val="single" w:sz="4" w:space="0" w:color="auto"/>
              <w:bottom w:val="single" w:sz="4" w:space="0" w:color="auto"/>
              <w:right w:val="single" w:sz="4" w:space="0" w:color="auto"/>
            </w:tcBorders>
            <w:hideMark/>
          </w:tcPr>
          <w:p w14:paraId="6D692588" w14:textId="77777777" w:rsidR="00D8137E" w:rsidRPr="00DE3BD5" w:rsidRDefault="00D8137E" w:rsidP="007C08EB">
            <w:pPr>
              <w:pStyle w:val="TableText0"/>
              <w:keepNext w:val="0"/>
              <w:keepLines/>
              <w:widowControl w:val="0"/>
            </w:pPr>
            <w:r w:rsidRPr="00DE3BD5">
              <w:t>20 years</w:t>
            </w:r>
          </w:p>
        </w:tc>
        <w:tc>
          <w:tcPr>
            <w:tcW w:w="600" w:type="pct"/>
            <w:tcBorders>
              <w:top w:val="single" w:sz="4" w:space="0" w:color="auto"/>
              <w:left w:val="single" w:sz="4" w:space="0" w:color="auto"/>
              <w:bottom w:val="single" w:sz="4" w:space="0" w:color="auto"/>
              <w:right w:val="single" w:sz="4" w:space="0" w:color="auto"/>
            </w:tcBorders>
            <w:hideMark/>
          </w:tcPr>
          <w:p w14:paraId="75D1C0D9" w14:textId="69E228FC" w:rsidR="00D8137E" w:rsidRPr="001247F0" w:rsidRDefault="004E0B0E" w:rsidP="007C08EB">
            <w:pPr>
              <w:pStyle w:val="TableText0"/>
              <w:keepNext w:val="0"/>
              <w:keepLines/>
              <w:widowControl w:val="0"/>
              <w:jc w:val="center"/>
            </w:pPr>
            <w:r>
              <w:rPr>
                <w:szCs w:val="20"/>
              </w:rPr>
              <w:t xml:space="preserve"> </w:t>
            </w:r>
            <w:r w:rsidR="001247F0" w:rsidRPr="00FA2806">
              <w:rPr>
                <w:color w:val="000000"/>
                <w:spacing w:val="35"/>
                <w:szCs w:val="20"/>
                <w:shd w:val="solid" w:color="000000" w:fill="000000"/>
                <w:fitText w:val="433" w:id="-1236603896"/>
                <w14:textFill>
                  <w14:solidFill>
                    <w14:srgbClr w14:val="000000">
                      <w14:alpha w14:val="100000"/>
                    </w14:srgbClr>
                  </w14:solidFill>
                </w14:textFill>
              </w:rPr>
              <w:t>|||||</w:t>
            </w:r>
            <w:r w:rsidR="001247F0" w:rsidRPr="00FA2806">
              <w:rPr>
                <w:color w:val="000000"/>
                <w:spacing w:val="3"/>
                <w:szCs w:val="20"/>
                <w:shd w:val="solid" w:color="000000" w:fill="000000"/>
                <w:fitText w:val="433" w:id="-1236603896"/>
                <w14:textFill>
                  <w14:solidFill>
                    <w14:srgbClr w14:val="000000">
                      <w14:alpha w14:val="100000"/>
                    </w14:srgbClr>
                  </w14:solidFill>
                </w14:textFill>
              </w:rPr>
              <w:t>|</w:t>
            </w:r>
          </w:p>
        </w:tc>
        <w:tc>
          <w:tcPr>
            <w:tcW w:w="630" w:type="pct"/>
            <w:tcBorders>
              <w:top w:val="single" w:sz="4" w:space="0" w:color="auto"/>
              <w:left w:val="single" w:sz="4" w:space="0" w:color="auto"/>
              <w:bottom w:val="single" w:sz="4" w:space="0" w:color="auto"/>
              <w:right w:val="single" w:sz="4" w:space="0" w:color="auto"/>
            </w:tcBorders>
            <w:hideMark/>
          </w:tcPr>
          <w:p w14:paraId="0AE03B26" w14:textId="77777777" w:rsidR="00D8137E" w:rsidRPr="00DE3BD5" w:rsidRDefault="00D8137E" w:rsidP="007C08EB">
            <w:pPr>
              <w:pStyle w:val="TableText0"/>
              <w:keepNext w:val="0"/>
              <w:keepLines/>
              <w:widowControl w:val="0"/>
              <w:jc w:val="center"/>
            </w:pPr>
            <w:r w:rsidRPr="00DE3BD5">
              <w:rPr>
                <w:szCs w:val="20"/>
              </w:rPr>
              <w:t>0.18</w:t>
            </w:r>
          </w:p>
        </w:tc>
        <w:tc>
          <w:tcPr>
            <w:tcW w:w="661" w:type="pct"/>
            <w:tcBorders>
              <w:top w:val="single" w:sz="4" w:space="0" w:color="auto"/>
              <w:left w:val="single" w:sz="4" w:space="0" w:color="auto"/>
              <w:bottom w:val="single" w:sz="4" w:space="0" w:color="auto"/>
              <w:right w:val="single" w:sz="4" w:space="0" w:color="auto"/>
            </w:tcBorders>
            <w:hideMark/>
          </w:tcPr>
          <w:p w14:paraId="5749CD16" w14:textId="3ED42476" w:rsidR="00D8137E" w:rsidRPr="004E0B0E" w:rsidRDefault="001247F0" w:rsidP="007C08EB">
            <w:pPr>
              <w:pStyle w:val="TableText0"/>
              <w:keepNext w:val="0"/>
              <w:keepLines/>
              <w:widowControl w:val="0"/>
              <w:jc w:val="center"/>
              <w:rPr>
                <w:vertAlign w:val="superscript"/>
              </w:rPr>
            </w:pPr>
            <w:r w:rsidRPr="001247F0">
              <w:rPr>
                <w:color w:val="000000"/>
                <w:spacing w:val="78"/>
                <w:szCs w:val="20"/>
                <w:shd w:val="solid" w:color="000000" w:fill="000000"/>
                <w:fitText w:val="408" w:id="-1236603895"/>
                <w14:textFill>
                  <w14:solidFill>
                    <w14:srgbClr w14:val="000000">
                      <w14:alpha w14:val="100000"/>
                    </w14:srgbClr>
                  </w14:solidFill>
                </w14:textFill>
              </w:rPr>
              <w:t>|||</w:t>
            </w:r>
            <w:r w:rsidRPr="001247F0">
              <w:rPr>
                <w:color w:val="000000"/>
                <w:spacing w:val="2"/>
                <w:szCs w:val="20"/>
                <w:shd w:val="solid" w:color="000000" w:fill="000000"/>
                <w:fitText w:val="408" w:id="-1236603895"/>
                <w14:textFill>
                  <w14:solidFill>
                    <w14:srgbClr w14:val="000000">
                      <w14:alpha w14:val="100000"/>
                    </w14:srgbClr>
                  </w14:solidFill>
                </w14:textFill>
              </w:rPr>
              <w:t>|</w:t>
            </w:r>
            <w:r w:rsidR="004E0B0E">
              <w:rPr>
                <w:szCs w:val="20"/>
                <w:vertAlign w:val="superscript"/>
              </w:rPr>
              <w:t>3</w:t>
            </w:r>
          </w:p>
        </w:tc>
        <w:tc>
          <w:tcPr>
            <w:tcW w:w="439" w:type="pct"/>
            <w:tcBorders>
              <w:top w:val="single" w:sz="4" w:space="0" w:color="auto"/>
              <w:left w:val="single" w:sz="4" w:space="0" w:color="auto"/>
              <w:bottom w:val="single" w:sz="4" w:space="0" w:color="auto"/>
              <w:right w:val="single" w:sz="4" w:space="0" w:color="auto"/>
            </w:tcBorders>
            <w:hideMark/>
          </w:tcPr>
          <w:p w14:paraId="454DAC3E" w14:textId="77777777" w:rsidR="00D8137E" w:rsidRPr="00DE3BD5" w:rsidRDefault="00D8137E" w:rsidP="007C08EB">
            <w:pPr>
              <w:pStyle w:val="TableText0"/>
              <w:keepNext w:val="0"/>
              <w:keepLines/>
              <w:widowControl w:val="0"/>
              <w:jc w:val="center"/>
              <w:rPr>
                <w:rFonts w:eastAsia="Calibri"/>
                <w:szCs w:val="20"/>
              </w:rPr>
            </w:pPr>
            <w:r w:rsidRPr="00DE3BD5">
              <w:rPr>
                <w:szCs w:val="20"/>
              </w:rPr>
              <w:t>47%</w:t>
            </w:r>
          </w:p>
        </w:tc>
      </w:tr>
      <w:tr w:rsidR="00D8137E" w:rsidRPr="00EF4C2D" w14:paraId="00C7D91E" w14:textId="77777777" w:rsidTr="00C14CD7">
        <w:trPr>
          <w:cantSplit/>
          <w:trHeight w:val="283"/>
        </w:trPr>
        <w:tc>
          <w:tcPr>
            <w:tcW w:w="2670" w:type="pct"/>
            <w:tcBorders>
              <w:top w:val="single" w:sz="4" w:space="0" w:color="auto"/>
              <w:left w:val="single" w:sz="4" w:space="0" w:color="auto"/>
              <w:bottom w:val="single" w:sz="4" w:space="0" w:color="auto"/>
              <w:right w:val="single" w:sz="4" w:space="0" w:color="auto"/>
            </w:tcBorders>
            <w:hideMark/>
          </w:tcPr>
          <w:p w14:paraId="53308D8A" w14:textId="77777777" w:rsidR="00D8137E" w:rsidRPr="00DE3BD5" w:rsidRDefault="00D8137E" w:rsidP="007C08EB">
            <w:pPr>
              <w:pStyle w:val="TableText0"/>
              <w:keepNext w:val="0"/>
              <w:keepLines/>
              <w:widowControl w:val="0"/>
            </w:pPr>
            <w:r w:rsidRPr="00DE3BD5">
              <w:t>10 years</w:t>
            </w:r>
            <w:r w:rsidRPr="00DE3BD5">
              <w:rPr>
                <w:vertAlign w:val="superscript"/>
              </w:rPr>
              <w:t>a</w:t>
            </w:r>
          </w:p>
        </w:tc>
        <w:tc>
          <w:tcPr>
            <w:tcW w:w="600" w:type="pct"/>
            <w:tcBorders>
              <w:top w:val="single" w:sz="4" w:space="0" w:color="auto"/>
              <w:left w:val="single" w:sz="4" w:space="0" w:color="auto"/>
              <w:bottom w:val="single" w:sz="4" w:space="0" w:color="auto"/>
              <w:right w:val="single" w:sz="4" w:space="0" w:color="auto"/>
            </w:tcBorders>
            <w:hideMark/>
          </w:tcPr>
          <w:p w14:paraId="08B2D20F" w14:textId="2E40B5F4" w:rsidR="00D8137E" w:rsidRPr="001247F0" w:rsidRDefault="004E0B0E" w:rsidP="007C08EB">
            <w:pPr>
              <w:pStyle w:val="TableText0"/>
              <w:keepNext w:val="0"/>
              <w:keepLines/>
              <w:widowControl w:val="0"/>
              <w:jc w:val="center"/>
            </w:pPr>
            <w:r>
              <w:rPr>
                <w:szCs w:val="20"/>
              </w:rPr>
              <w:t xml:space="preserve"> </w:t>
            </w:r>
            <w:r w:rsidR="001247F0" w:rsidRPr="00FA2806">
              <w:rPr>
                <w:color w:val="000000"/>
                <w:spacing w:val="35"/>
                <w:szCs w:val="20"/>
                <w:shd w:val="solid" w:color="000000" w:fill="000000"/>
                <w:fitText w:val="433" w:id="-1236603894"/>
                <w14:textFill>
                  <w14:solidFill>
                    <w14:srgbClr w14:val="000000">
                      <w14:alpha w14:val="100000"/>
                    </w14:srgbClr>
                  </w14:solidFill>
                </w14:textFill>
              </w:rPr>
              <w:t>|||||</w:t>
            </w:r>
            <w:r w:rsidR="001247F0" w:rsidRPr="00FA2806">
              <w:rPr>
                <w:color w:val="000000"/>
                <w:spacing w:val="3"/>
                <w:szCs w:val="20"/>
                <w:shd w:val="solid" w:color="000000" w:fill="000000"/>
                <w:fitText w:val="433" w:id="-1236603894"/>
                <w14:textFill>
                  <w14:solidFill>
                    <w14:srgbClr w14:val="000000">
                      <w14:alpha w14:val="100000"/>
                    </w14:srgbClr>
                  </w14:solidFill>
                </w14:textFill>
              </w:rPr>
              <w:t>|</w:t>
            </w:r>
          </w:p>
        </w:tc>
        <w:tc>
          <w:tcPr>
            <w:tcW w:w="630" w:type="pct"/>
            <w:tcBorders>
              <w:top w:val="single" w:sz="4" w:space="0" w:color="auto"/>
              <w:left w:val="single" w:sz="4" w:space="0" w:color="auto"/>
              <w:bottom w:val="single" w:sz="4" w:space="0" w:color="auto"/>
              <w:right w:val="single" w:sz="4" w:space="0" w:color="auto"/>
            </w:tcBorders>
            <w:hideMark/>
          </w:tcPr>
          <w:p w14:paraId="4F3144A4" w14:textId="77777777" w:rsidR="00D8137E" w:rsidRPr="00DE3BD5" w:rsidRDefault="00D8137E" w:rsidP="007C08EB">
            <w:pPr>
              <w:pStyle w:val="TableText0"/>
              <w:keepNext w:val="0"/>
              <w:keepLines/>
              <w:widowControl w:val="0"/>
              <w:jc w:val="center"/>
            </w:pPr>
            <w:r w:rsidRPr="00DE3BD5">
              <w:rPr>
                <w:szCs w:val="20"/>
              </w:rPr>
              <w:t>0.07</w:t>
            </w:r>
          </w:p>
        </w:tc>
        <w:tc>
          <w:tcPr>
            <w:tcW w:w="661" w:type="pct"/>
            <w:tcBorders>
              <w:top w:val="single" w:sz="4" w:space="0" w:color="auto"/>
              <w:left w:val="single" w:sz="4" w:space="0" w:color="auto"/>
              <w:bottom w:val="single" w:sz="4" w:space="0" w:color="auto"/>
              <w:right w:val="single" w:sz="4" w:space="0" w:color="auto"/>
            </w:tcBorders>
            <w:hideMark/>
          </w:tcPr>
          <w:p w14:paraId="30233473" w14:textId="5DC76930" w:rsidR="00D8137E" w:rsidRPr="004E0B0E" w:rsidRDefault="001247F0" w:rsidP="007C08EB">
            <w:pPr>
              <w:pStyle w:val="TableText0"/>
              <w:keepNext w:val="0"/>
              <w:keepLines/>
              <w:widowControl w:val="0"/>
              <w:jc w:val="center"/>
              <w:rPr>
                <w:vertAlign w:val="superscript"/>
              </w:rPr>
            </w:pPr>
            <w:r w:rsidRPr="001247F0">
              <w:rPr>
                <w:color w:val="000000"/>
                <w:spacing w:val="78"/>
                <w:szCs w:val="20"/>
                <w:shd w:val="solid" w:color="000000" w:fill="000000"/>
                <w:fitText w:val="408" w:id="-1236603893"/>
                <w14:textFill>
                  <w14:solidFill>
                    <w14:srgbClr w14:val="000000">
                      <w14:alpha w14:val="100000"/>
                    </w14:srgbClr>
                  </w14:solidFill>
                </w14:textFill>
              </w:rPr>
              <w:t>|||</w:t>
            </w:r>
            <w:r w:rsidRPr="001247F0">
              <w:rPr>
                <w:color w:val="000000"/>
                <w:spacing w:val="2"/>
                <w:szCs w:val="20"/>
                <w:shd w:val="solid" w:color="000000" w:fill="000000"/>
                <w:fitText w:val="408" w:id="-1236603893"/>
                <w14:textFill>
                  <w14:solidFill>
                    <w14:srgbClr w14:val="000000">
                      <w14:alpha w14:val="100000"/>
                    </w14:srgbClr>
                  </w14:solidFill>
                </w14:textFill>
              </w:rPr>
              <w:t>|</w:t>
            </w:r>
            <w:r w:rsidR="004E0B0E">
              <w:rPr>
                <w:szCs w:val="20"/>
                <w:vertAlign w:val="superscript"/>
              </w:rPr>
              <w:t>4</w:t>
            </w:r>
          </w:p>
        </w:tc>
        <w:tc>
          <w:tcPr>
            <w:tcW w:w="439" w:type="pct"/>
            <w:tcBorders>
              <w:top w:val="single" w:sz="4" w:space="0" w:color="auto"/>
              <w:left w:val="single" w:sz="4" w:space="0" w:color="auto"/>
              <w:bottom w:val="single" w:sz="4" w:space="0" w:color="auto"/>
              <w:right w:val="single" w:sz="4" w:space="0" w:color="auto"/>
            </w:tcBorders>
            <w:hideMark/>
          </w:tcPr>
          <w:p w14:paraId="519FF6B2" w14:textId="77777777" w:rsidR="00D8137E" w:rsidRPr="00DE3BD5" w:rsidRDefault="00D8137E" w:rsidP="007C08EB">
            <w:pPr>
              <w:pStyle w:val="TableText0"/>
              <w:keepNext w:val="0"/>
              <w:keepLines/>
              <w:widowControl w:val="0"/>
              <w:jc w:val="center"/>
              <w:rPr>
                <w:rFonts w:eastAsia="Calibri"/>
                <w:szCs w:val="20"/>
              </w:rPr>
            </w:pPr>
            <w:r w:rsidRPr="00DE3BD5">
              <w:rPr>
                <w:szCs w:val="20"/>
              </w:rPr>
              <w:t>304%</w:t>
            </w:r>
          </w:p>
        </w:tc>
      </w:tr>
      <w:tr w:rsidR="00D8137E" w:rsidRPr="00EF4C2D" w14:paraId="51FA784C" w14:textId="77777777" w:rsidTr="00C14CD7">
        <w:trPr>
          <w:cantSplit/>
          <w:trHeight w:val="283"/>
        </w:trPr>
        <w:tc>
          <w:tcPr>
            <w:tcW w:w="2670" w:type="pct"/>
            <w:tcBorders>
              <w:top w:val="single" w:sz="4" w:space="0" w:color="auto"/>
              <w:left w:val="single" w:sz="4" w:space="0" w:color="auto"/>
              <w:bottom w:val="single" w:sz="4" w:space="0" w:color="auto"/>
              <w:right w:val="single" w:sz="4" w:space="0" w:color="auto"/>
            </w:tcBorders>
            <w:hideMark/>
          </w:tcPr>
          <w:p w14:paraId="0DE10E32" w14:textId="77777777" w:rsidR="00D8137E" w:rsidRPr="00DE3BD5" w:rsidRDefault="00D8137E" w:rsidP="007C08EB">
            <w:pPr>
              <w:pStyle w:val="TableText0"/>
              <w:keepNext w:val="0"/>
              <w:keepLines/>
              <w:widowControl w:val="0"/>
              <w:rPr>
                <w:vertAlign w:val="superscript"/>
              </w:rPr>
            </w:pPr>
            <w:r w:rsidRPr="00DE3BD5">
              <w:t>5 years</w:t>
            </w:r>
            <w:r w:rsidRPr="00DE3BD5">
              <w:rPr>
                <w:vertAlign w:val="superscript"/>
              </w:rPr>
              <w:t>a</w:t>
            </w:r>
          </w:p>
        </w:tc>
        <w:tc>
          <w:tcPr>
            <w:tcW w:w="600" w:type="pct"/>
            <w:tcBorders>
              <w:top w:val="single" w:sz="4" w:space="0" w:color="auto"/>
              <w:left w:val="single" w:sz="4" w:space="0" w:color="auto"/>
              <w:bottom w:val="single" w:sz="4" w:space="0" w:color="auto"/>
              <w:right w:val="single" w:sz="4" w:space="0" w:color="auto"/>
            </w:tcBorders>
            <w:hideMark/>
          </w:tcPr>
          <w:p w14:paraId="0DEA53C8" w14:textId="72A8642A" w:rsidR="00D8137E" w:rsidRPr="001247F0" w:rsidRDefault="004E0B0E" w:rsidP="007C08EB">
            <w:pPr>
              <w:pStyle w:val="TableText0"/>
              <w:keepNext w:val="0"/>
              <w:keepLines/>
              <w:widowControl w:val="0"/>
              <w:jc w:val="center"/>
              <w:rPr>
                <w:rFonts w:eastAsia="Calibri"/>
                <w:szCs w:val="20"/>
              </w:rPr>
            </w:pPr>
            <w:r>
              <w:rPr>
                <w:szCs w:val="20"/>
              </w:rPr>
              <w:t xml:space="preserve"> </w:t>
            </w:r>
            <w:r w:rsidR="001247F0" w:rsidRPr="00FA2806">
              <w:rPr>
                <w:color w:val="000000"/>
                <w:spacing w:val="35"/>
                <w:szCs w:val="20"/>
                <w:shd w:val="solid" w:color="000000" w:fill="000000"/>
                <w:fitText w:val="433" w:id="-1236603892"/>
                <w14:textFill>
                  <w14:solidFill>
                    <w14:srgbClr w14:val="000000">
                      <w14:alpha w14:val="100000"/>
                    </w14:srgbClr>
                  </w14:solidFill>
                </w14:textFill>
              </w:rPr>
              <w:t>|||||</w:t>
            </w:r>
            <w:r w:rsidR="001247F0" w:rsidRPr="00FA2806">
              <w:rPr>
                <w:color w:val="000000"/>
                <w:spacing w:val="3"/>
                <w:szCs w:val="20"/>
                <w:shd w:val="solid" w:color="000000" w:fill="000000"/>
                <w:fitText w:val="433" w:id="-1236603892"/>
                <w14:textFill>
                  <w14:solidFill>
                    <w14:srgbClr w14:val="000000">
                      <w14:alpha w14:val="100000"/>
                    </w14:srgbClr>
                  </w14:solidFill>
                </w14:textFill>
              </w:rPr>
              <w:t>|</w:t>
            </w:r>
          </w:p>
        </w:tc>
        <w:tc>
          <w:tcPr>
            <w:tcW w:w="630" w:type="pct"/>
            <w:tcBorders>
              <w:top w:val="single" w:sz="4" w:space="0" w:color="auto"/>
              <w:left w:val="single" w:sz="4" w:space="0" w:color="auto"/>
              <w:bottom w:val="single" w:sz="4" w:space="0" w:color="auto"/>
              <w:right w:val="single" w:sz="4" w:space="0" w:color="auto"/>
            </w:tcBorders>
            <w:hideMark/>
          </w:tcPr>
          <w:p w14:paraId="719CE6CC" w14:textId="77777777" w:rsidR="00D8137E" w:rsidRPr="00DE3BD5" w:rsidRDefault="00D8137E" w:rsidP="007C08EB">
            <w:pPr>
              <w:pStyle w:val="TableText0"/>
              <w:keepNext w:val="0"/>
              <w:keepLines/>
              <w:widowControl w:val="0"/>
              <w:jc w:val="center"/>
              <w:rPr>
                <w:rFonts w:eastAsia="Calibri"/>
                <w:szCs w:val="20"/>
              </w:rPr>
            </w:pPr>
            <w:r w:rsidRPr="00DE3BD5">
              <w:rPr>
                <w:szCs w:val="20"/>
              </w:rPr>
              <w:t>-0.01</w:t>
            </w:r>
          </w:p>
        </w:tc>
        <w:tc>
          <w:tcPr>
            <w:tcW w:w="661" w:type="pct"/>
            <w:tcBorders>
              <w:top w:val="single" w:sz="4" w:space="0" w:color="auto"/>
              <w:left w:val="single" w:sz="4" w:space="0" w:color="auto"/>
              <w:bottom w:val="single" w:sz="4" w:space="0" w:color="auto"/>
              <w:right w:val="single" w:sz="4" w:space="0" w:color="auto"/>
            </w:tcBorders>
            <w:hideMark/>
          </w:tcPr>
          <w:p w14:paraId="2B4F1F14" w14:textId="77777777" w:rsidR="00D8137E" w:rsidRPr="00DE3BD5" w:rsidRDefault="00D8137E" w:rsidP="007C08EB">
            <w:pPr>
              <w:pStyle w:val="TableText0"/>
              <w:keepNext w:val="0"/>
              <w:keepLines/>
              <w:widowControl w:val="0"/>
              <w:jc w:val="center"/>
              <w:rPr>
                <w:rFonts w:eastAsia="Calibri"/>
                <w:szCs w:val="20"/>
              </w:rPr>
            </w:pPr>
            <w:r w:rsidRPr="00DE3BD5">
              <w:rPr>
                <w:szCs w:val="20"/>
              </w:rPr>
              <w:t>Phototherapy dominant</w:t>
            </w:r>
          </w:p>
        </w:tc>
        <w:tc>
          <w:tcPr>
            <w:tcW w:w="439" w:type="pct"/>
            <w:tcBorders>
              <w:top w:val="single" w:sz="4" w:space="0" w:color="auto"/>
              <w:left w:val="single" w:sz="4" w:space="0" w:color="auto"/>
              <w:bottom w:val="single" w:sz="4" w:space="0" w:color="auto"/>
              <w:right w:val="single" w:sz="4" w:space="0" w:color="auto"/>
            </w:tcBorders>
            <w:hideMark/>
          </w:tcPr>
          <w:p w14:paraId="156800FC" w14:textId="77777777" w:rsidR="00D8137E" w:rsidRPr="00DE3BD5" w:rsidRDefault="00D8137E" w:rsidP="007C08EB">
            <w:pPr>
              <w:pStyle w:val="TableText0"/>
              <w:keepNext w:val="0"/>
              <w:keepLines/>
              <w:widowControl w:val="0"/>
              <w:jc w:val="center"/>
              <w:rPr>
                <w:rFonts w:eastAsia="Calibri"/>
                <w:szCs w:val="20"/>
              </w:rPr>
            </w:pPr>
            <w:r w:rsidRPr="00DE3BD5">
              <w:rPr>
                <w:szCs w:val="20"/>
              </w:rPr>
              <w:t>-</w:t>
            </w:r>
          </w:p>
        </w:tc>
      </w:tr>
      <w:tr w:rsidR="00D8137E" w:rsidRPr="00EF4C2D" w14:paraId="3711922A" w14:textId="77777777" w:rsidTr="007C08EB">
        <w:trPr>
          <w:cantSplit/>
          <w:trHeight w:val="283"/>
        </w:trPr>
        <w:tc>
          <w:tcPr>
            <w:tcW w:w="4561" w:type="pct"/>
            <w:gridSpan w:val="4"/>
            <w:tcBorders>
              <w:top w:val="single" w:sz="4" w:space="0" w:color="auto"/>
              <w:left w:val="single" w:sz="4" w:space="0" w:color="auto"/>
              <w:bottom w:val="single" w:sz="4" w:space="0" w:color="auto"/>
              <w:right w:val="single" w:sz="4" w:space="0" w:color="auto"/>
            </w:tcBorders>
            <w:hideMark/>
          </w:tcPr>
          <w:p w14:paraId="10E5D0A8" w14:textId="77777777" w:rsidR="00D8137E" w:rsidRPr="009E00C3" w:rsidRDefault="00D8137E" w:rsidP="007C08EB">
            <w:pPr>
              <w:pStyle w:val="TableText0"/>
              <w:keepNext w:val="0"/>
              <w:keepLines/>
              <w:widowControl w:val="0"/>
              <w:rPr>
                <w:bCs w:val="0"/>
                <w:szCs w:val="20"/>
              </w:rPr>
            </w:pPr>
            <w:r w:rsidRPr="009E00C3">
              <w:rPr>
                <w:bCs w:val="0"/>
                <w:szCs w:val="20"/>
              </w:rPr>
              <w:t>Chlormethine gel dose (base case: median dose 1.8 g; 0.99 g for low skin burden and 2.93 g for high skin burden from Study 201).</w:t>
            </w:r>
          </w:p>
        </w:tc>
        <w:tc>
          <w:tcPr>
            <w:tcW w:w="439" w:type="pct"/>
            <w:tcBorders>
              <w:top w:val="single" w:sz="4" w:space="0" w:color="auto"/>
              <w:left w:val="single" w:sz="4" w:space="0" w:color="auto"/>
              <w:bottom w:val="single" w:sz="4" w:space="0" w:color="auto"/>
              <w:right w:val="single" w:sz="4" w:space="0" w:color="auto"/>
            </w:tcBorders>
          </w:tcPr>
          <w:p w14:paraId="5B8276BA" w14:textId="77777777" w:rsidR="00D8137E" w:rsidRPr="00DE3BD5" w:rsidRDefault="00D8137E" w:rsidP="007C08EB">
            <w:pPr>
              <w:pStyle w:val="TableText0"/>
              <w:keepNext w:val="0"/>
              <w:keepLines/>
              <w:widowControl w:val="0"/>
              <w:rPr>
                <w:szCs w:val="20"/>
              </w:rPr>
            </w:pPr>
          </w:p>
        </w:tc>
      </w:tr>
      <w:tr w:rsidR="00D8137E" w:rsidRPr="00EF4C2D" w14:paraId="62004A56" w14:textId="77777777" w:rsidTr="00C14CD7">
        <w:trPr>
          <w:cantSplit/>
          <w:trHeight w:val="283"/>
        </w:trPr>
        <w:tc>
          <w:tcPr>
            <w:tcW w:w="2670" w:type="pct"/>
            <w:tcBorders>
              <w:top w:val="single" w:sz="4" w:space="0" w:color="auto"/>
              <w:left w:val="single" w:sz="4" w:space="0" w:color="auto"/>
              <w:bottom w:val="single" w:sz="4" w:space="0" w:color="auto"/>
              <w:right w:val="single" w:sz="4" w:space="0" w:color="auto"/>
            </w:tcBorders>
            <w:hideMark/>
          </w:tcPr>
          <w:p w14:paraId="382131DF" w14:textId="77777777" w:rsidR="00D8137E" w:rsidRPr="00DE3BD5" w:rsidRDefault="00D8137E" w:rsidP="007C08EB">
            <w:pPr>
              <w:pStyle w:val="TableText0"/>
              <w:keepNext w:val="0"/>
              <w:keepLines/>
              <w:widowControl w:val="0"/>
            </w:pPr>
            <w:r w:rsidRPr="00DE3BD5">
              <w:rPr>
                <w:bCs w:val="0"/>
                <w:szCs w:val="20"/>
              </w:rPr>
              <w:t>Mean dose of 1.77 g for low skin burden and 4.28 g for high skin burden from Study 201 safety set population</w:t>
            </w:r>
          </w:p>
        </w:tc>
        <w:tc>
          <w:tcPr>
            <w:tcW w:w="600" w:type="pct"/>
            <w:tcBorders>
              <w:top w:val="single" w:sz="4" w:space="0" w:color="auto"/>
              <w:left w:val="single" w:sz="4" w:space="0" w:color="auto"/>
              <w:bottom w:val="single" w:sz="4" w:space="0" w:color="auto"/>
              <w:right w:val="single" w:sz="4" w:space="0" w:color="auto"/>
            </w:tcBorders>
            <w:hideMark/>
          </w:tcPr>
          <w:p w14:paraId="6C82FEF7" w14:textId="4B2A4037" w:rsidR="00D8137E" w:rsidRPr="001247F0" w:rsidRDefault="001247F0" w:rsidP="007C08EB">
            <w:pPr>
              <w:pStyle w:val="TableText0"/>
              <w:keepNext w:val="0"/>
              <w:keepLines/>
              <w:widowControl w:val="0"/>
              <w:jc w:val="center"/>
              <w:rPr>
                <w:szCs w:val="20"/>
              </w:rPr>
            </w:pPr>
            <w:r w:rsidRPr="001247F0">
              <w:rPr>
                <w:color w:val="000000"/>
                <w:spacing w:val="81"/>
                <w:szCs w:val="20"/>
                <w:shd w:val="solid" w:color="000000" w:fill="000000"/>
                <w:fitText w:val="416" w:id="-1236603891"/>
                <w14:textFill>
                  <w14:solidFill>
                    <w14:srgbClr w14:val="000000">
                      <w14:alpha w14:val="100000"/>
                    </w14:srgbClr>
                  </w14:solidFill>
                </w14:textFill>
              </w:rPr>
              <w:t>|||</w:t>
            </w:r>
            <w:r w:rsidRPr="001247F0">
              <w:rPr>
                <w:color w:val="000000"/>
                <w:spacing w:val="1"/>
                <w:szCs w:val="20"/>
                <w:shd w:val="solid" w:color="000000" w:fill="000000"/>
                <w:fitText w:val="416" w:id="-1236603891"/>
                <w14:textFill>
                  <w14:solidFill>
                    <w14:srgbClr w14:val="000000">
                      <w14:alpha w14:val="100000"/>
                    </w14:srgbClr>
                  </w14:solidFill>
                </w14:textFill>
              </w:rPr>
              <w:t>|</w:t>
            </w:r>
            <w:r w:rsidR="004E0B0E" w:rsidRPr="001247F0">
              <w:rPr>
                <w:szCs w:val="20"/>
              </w:rPr>
              <w:t xml:space="preserve"> </w:t>
            </w:r>
          </w:p>
        </w:tc>
        <w:tc>
          <w:tcPr>
            <w:tcW w:w="630" w:type="pct"/>
            <w:tcBorders>
              <w:top w:val="single" w:sz="4" w:space="0" w:color="auto"/>
              <w:left w:val="single" w:sz="4" w:space="0" w:color="auto"/>
              <w:bottom w:val="single" w:sz="4" w:space="0" w:color="auto"/>
              <w:right w:val="single" w:sz="4" w:space="0" w:color="auto"/>
            </w:tcBorders>
            <w:hideMark/>
          </w:tcPr>
          <w:p w14:paraId="787C4A74" w14:textId="77777777" w:rsidR="00D8137E" w:rsidRPr="00DE3BD5" w:rsidRDefault="00D8137E" w:rsidP="007C08EB">
            <w:pPr>
              <w:pStyle w:val="TableText0"/>
              <w:keepNext w:val="0"/>
              <w:keepLines/>
              <w:widowControl w:val="0"/>
              <w:jc w:val="center"/>
              <w:rPr>
                <w:szCs w:val="20"/>
              </w:rPr>
            </w:pPr>
            <w:r w:rsidRPr="00DE3BD5">
              <w:rPr>
                <w:szCs w:val="20"/>
              </w:rPr>
              <w:t>0.25</w:t>
            </w:r>
          </w:p>
        </w:tc>
        <w:tc>
          <w:tcPr>
            <w:tcW w:w="661" w:type="pct"/>
            <w:tcBorders>
              <w:top w:val="single" w:sz="4" w:space="0" w:color="auto"/>
              <w:left w:val="single" w:sz="4" w:space="0" w:color="auto"/>
              <w:bottom w:val="single" w:sz="4" w:space="0" w:color="auto"/>
              <w:right w:val="single" w:sz="4" w:space="0" w:color="auto"/>
            </w:tcBorders>
            <w:hideMark/>
          </w:tcPr>
          <w:p w14:paraId="534146BD" w14:textId="615CC678" w:rsidR="00D8137E" w:rsidRPr="004E0B0E" w:rsidRDefault="001247F0" w:rsidP="007C08EB">
            <w:pPr>
              <w:pStyle w:val="TableText0"/>
              <w:keepNext w:val="0"/>
              <w:keepLines/>
              <w:widowControl w:val="0"/>
              <w:jc w:val="center"/>
              <w:rPr>
                <w:szCs w:val="20"/>
                <w:vertAlign w:val="superscript"/>
              </w:rPr>
            </w:pPr>
            <w:r w:rsidRPr="001247F0">
              <w:rPr>
                <w:color w:val="000000"/>
                <w:spacing w:val="78"/>
                <w:szCs w:val="20"/>
                <w:shd w:val="solid" w:color="000000" w:fill="000000"/>
                <w:fitText w:val="408" w:id="-1236603890"/>
                <w14:textFill>
                  <w14:solidFill>
                    <w14:srgbClr w14:val="000000">
                      <w14:alpha w14:val="100000"/>
                    </w14:srgbClr>
                  </w14:solidFill>
                </w14:textFill>
              </w:rPr>
              <w:t>|||</w:t>
            </w:r>
            <w:r w:rsidRPr="001247F0">
              <w:rPr>
                <w:color w:val="000000"/>
                <w:spacing w:val="2"/>
                <w:szCs w:val="20"/>
                <w:shd w:val="solid" w:color="000000" w:fill="000000"/>
                <w:fitText w:val="408" w:id="-1236603890"/>
                <w14:textFill>
                  <w14:solidFill>
                    <w14:srgbClr w14:val="000000">
                      <w14:alpha w14:val="100000"/>
                    </w14:srgbClr>
                  </w14:solidFill>
                </w14:textFill>
              </w:rPr>
              <w:t>|</w:t>
            </w:r>
            <w:r w:rsidR="004E0B0E">
              <w:rPr>
                <w:szCs w:val="20"/>
                <w:vertAlign w:val="superscript"/>
              </w:rPr>
              <w:t>5</w:t>
            </w:r>
          </w:p>
        </w:tc>
        <w:tc>
          <w:tcPr>
            <w:tcW w:w="439" w:type="pct"/>
            <w:tcBorders>
              <w:top w:val="single" w:sz="4" w:space="0" w:color="auto"/>
              <w:left w:val="single" w:sz="4" w:space="0" w:color="auto"/>
              <w:bottom w:val="single" w:sz="4" w:space="0" w:color="auto"/>
              <w:right w:val="single" w:sz="4" w:space="0" w:color="auto"/>
            </w:tcBorders>
            <w:hideMark/>
          </w:tcPr>
          <w:p w14:paraId="0A43B195" w14:textId="77777777" w:rsidR="00D8137E" w:rsidRPr="00DE3BD5" w:rsidRDefault="00D8137E" w:rsidP="007C08EB">
            <w:pPr>
              <w:pStyle w:val="TableText0"/>
              <w:keepNext w:val="0"/>
              <w:keepLines/>
              <w:widowControl w:val="0"/>
              <w:jc w:val="center"/>
              <w:rPr>
                <w:szCs w:val="20"/>
              </w:rPr>
            </w:pPr>
            <w:r w:rsidRPr="00DE3BD5">
              <w:rPr>
                <w:szCs w:val="20"/>
              </w:rPr>
              <w:t>224%</w:t>
            </w:r>
          </w:p>
        </w:tc>
      </w:tr>
      <w:tr w:rsidR="00D8137E" w:rsidRPr="00EF4C2D" w14:paraId="1D056639" w14:textId="77777777" w:rsidTr="00C14CD7">
        <w:trPr>
          <w:cantSplit/>
          <w:trHeight w:val="283"/>
        </w:trPr>
        <w:tc>
          <w:tcPr>
            <w:tcW w:w="2670" w:type="pct"/>
            <w:tcBorders>
              <w:top w:val="single" w:sz="4" w:space="0" w:color="auto"/>
              <w:left w:val="single" w:sz="4" w:space="0" w:color="auto"/>
              <w:bottom w:val="single" w:sz="4" w:space="0" w:color="auto"/>
              <w:right w:val="single" w:sz="4" w:space="0" w:color="auto"/>
            </w:tcBorders>
            <w:hideMark/>
          </w:tcPr>
          <w:p w14:paraId="4030C1B3" w14:textId="77777777" w:rsidR="00D8137E" w:rsidRPr="00DE3BD5" w:rsidRDefault="00D8137E" w:rsidP="007C08EB">
            <w:pPr>
              <w:pStyle w:val="TableText0"/>
              <w:keepNext w:val="0"/>
              <w:keepLines/>
              <w:widowControl w:val="0"/>
            </w:pPr>
            <w:r w:rsidRPr="00DE3BD5">
              <w:rPr>
                <w:bCs w:val="0"/>
                <w:szCs w:val="20"/>
              </w:rPr>
              <w:t>Mean dose of 2.21 g from Study ITT</w:t>
            </w:r>
          </w:p>
        </w:tc>
        <w:tc>
          <w:tcPr>
            <w:tcW w:w="600" w:type="pct"/>
            <w:tcBorders>
              <w:top w:val="single" w:sz="4" w:space="0" w:color="auto"/>
              <w:left w:val="single" w:sz="4" w:space="0" w:color="auto"/>
              <w:bottom w:val="single" w:sz="4" w:space="0" w:color="auto"/>
              <w:right w:val="single" w:sz="4" w:space="0" w:color="auto"/>
            </w:tcBorders>
            <w:hideMark/>
          </w:tcPr>
          <w:p w14:paraId="2983BE8E" w14:textId="3C9B4996" w:rsidR="00D8137E" w:rsidRPr="001247F0" w:rsidRDefault="001247F0" w:rsidP="007C08EB">
            <w:pPr>
              <w:pStyle w:val="TableText0"/>
              <w:keepNext w:val="0"/>
              <w:keepLines/>
              <w:widowControl w:val="0"/>
              <w:jc w:val="center"/>
              <w:rPr>
                <w:szCs w:val="20"/>
              </w:rPr>
            </w:pPr>
            <w:r w:rsidRPr="001247F0">
              <w:rPr>
                <w:color w:val="000000"/>
                <w:spacing w:val="81"/>
                <w:szCs w:val="20"/>
                <w:shd w:val="solid" w:color="000000" w:fill="000000"/>
                <w:fitText w:val="416" w:id="-1236603889"/>
                <w14:textFill>
                  <w14:solidFill>
                    <w14:srgbClr w14:val="000000">
                      <w14:alpha w14:val="100000"/>
                    </w14:srgbClr>
                  </w14:solidFill>
                </w14:textFill>
              </w:rPr>
              <w:t>|||</w:t>
            </w:r>
            <w:r w:rsidRPr="001247F0">
              <w:rPr>
                <w:color w:val="000000"/>
                <w:spacing w:val="1"/>
                <w:szCs w:val="20"/>
                <w:shd w:val="solid" w:color="000000" w:fill="000000"/>
                <w:fitText w:val="416" w:id="-1236603889"/>
                <w14:textFill>
                  <w14:solidFill>
                    <w14:srgbClr w14:val="000000">
                      <w14:alpha w14:val="100000"/>
                    </w14:srgbClr>
                  </w14:solidFill>
                </w14:textFill>
              </w:rPr>
              <w:t>|</w:t>
            </w:r>
            <w:r w:rsidR="004E0B0E" w:rsidRPr="001247F0">
              <w:rPr>
                <w:szCs w:val="20"/>
              </w:rPr>
              <w:t xml:space="preserve"> </w:t>
            </w:r>
          </w:p>
        </w:tc>
        <w:tc>
          <w:tcPr>
            <w:tcW w:w="630" w:type="pct"/>
            <w:tcBorders>
              <w:top w:val="single" w:sz="4" w:space="0" w:color="auto"/>
              <w:left w:val="single" w:sz="4" w:space="0" w:color="auto"/>
              <w:bottom w:val="single" w:sz="4" w:space="0" w:color="auto"/>
              <w:right w:val="single" w:sz="4" w:space="0" w:color="auto"/>
            </w:tcBorders>
            <w:hideMark/>
          </w:tcPr>
          <w:p w14:paraId="3E320ED9" w14:textId="77777777" w:rsidR="00D8137E" w:rsidRPr="00DE3BD5" w:rsidRDefault="00D8137E" w:rsidP="007C08EB">
            <w:pPr>
              <w:pStyle w:val="TableText0"/>
              <w:keepNext w:val="0"/>
              <w:keepLines/>
              <w:widowControl w:val="0"/>
              <w:jc w:val="center"/>
              <w:rPr>
                <w:szCs w:val="20"/>
              </w:rPr>
            </w:pPr>
            <w:r w:rsidRPr="00DE3BD5">
              <w:rPr>
                <w:szCs w:val="20"/>
              </w:rPr>
              <w:t>0.25</w:t>
            </w:r>
          </w:p>
        </w:tc>
        <w:tc>
          <w:tcPr>
            <w:tcW w:w="661" w:type="pct"/>
            <w:tcBorders>
              <w:top w:val="single" w:sz="4" w:space="0" w:color="auto"/>
              <w:left w:val="single" w:sz="4" w:space="0" w:color="auto"/>
              <w:bottom w:val="single" w:sz="4" w:space="0" w:color="auto"/>
              <w:right w:val="single" w:sz="4" w:space="0" w:color="auto"/>
            </w:tcBorders>
            <w:hideMark/>
          </w:tcPr>
          <w:p w14:paraId="21707CB1" w14:textId="394AC32E" w:rsidR="00D8137E" w:rsidRPr="00C14CD7" w:rsidRDefault="001247F0" w:rsidP="007C08EB">
            <w:pPr>
              <w:pStyle w:val="TableText0"/>
              <w:keepNext w:val="0"/>
              <w:keepLines/>
              <w:widowControl w:val="0"/>
              <w:jc w:val="center"/>
              <w:rPr>
                <w:szCs w:val="20"/>
                <w:highlight w:val="darkGray"/>
                <w:vertAlign w:val="superscript"/>
              </w:rPr>
            </w:pPr>
            <w:r w:rsidRPr="001247F0">
              <w:rPr>
                <w:color w:val="000000"/>
                <w:spacing w:val="78"/>
                <w:szCs w:val="20"/>
                <w:shd w:val="solid" w:color="000000" w:fill="000000"/>
                <w:fitText w:val="408" w:id="-1236603888"/>
                <w14:textFill>
                  <w14:solidFill>
                    <w14:srgbClr w14:val="000000">
                      <w14:alpha w14:val="100000"/>
                    </w14:srgbClr>
                  </w14:solidFill>
                </w14:textFill>
              </w:rPr>
              <w:t>|||</w:t>
            </w:r>
            <w:r w:rsidRPr="001247F0">
              <w:rPr>
                <w:color w:val="000000"/>
                <w:spacing w:val="2"/>
                <w:szCs w:val="20"/>
                <w:shd w:val="solid" w:color="000000" w:fill="000000"/>
                <w:fitText w:val="408" w:id="-1236603888"/>
                <w14:textFill>
                  <w14:solidFill>
                    <w14:srgbClr w14:val="000000">
                      <w14:alpha w14:val="100000"/>
                    </w14:srgbClr>
                  </w14:solidFill>
                </w14:textFill>
              </w:rPr>
              <w:t>|</w:t>
            </w:r>
            <w:r w:rsidR="004E0B0E" w:rsidRPr="00C14CD7">
              <w:rPr>
                <w:szCs w:val="20"/>
                <w:vertAlign w:val="superscript"/>
              </w:rPr>
              <w:t>6</w:t>
            </w:r>
          </w:p>
        </w:tc>
        <w:tc>
          <w:tcPr>
            <w:tcW w:w="439" w:type="pct"/>
            <w:tcBorders>
              <w:top w:val="single" w:sz="4" w:space="0" w:color="auto"/>
              <w:left w:val="single" w:sz="4" w:space="0" w:color="auto"/>
              <w:bottom w:val="single" w:sz="4" w:space="0" w:color="auto"/>
              <w:right w:val="single" w:sz="4" w:space="0" w:color="auto"/>
            </w:tcBorders>
            <w:hideMark/>
          </w:tcPr>
          <w:p w14:paraId="736C4E51" w14:textId="77777777" w:rsidR="00D8137E" w:rsidRPr="00DE3BD5" w:rsidRDefault="00D8137E" w:rsidP="007C08EB">
            <w:pPr>
              <w:pStyle w:val="TableText0"/>
              <w:keepNext w:val="0"/>
              <w:keepLines/>
              <w:widowControl w:val="0"/>
              <w:jc w:val="center"/>
              <w:rPr>
                <w:szCs w:val="20"/>
              </w:rPr>
            </w:pPr>
            <w:r w:rsidRPr="00DE3BD5">
              <w:rPr>
                <w:szCs w:val="20"/>
              </w:rPr>
              <w:t>90%</w:t>
            </w:r>
          </w:p>
        </w:tc>
      </w:tr>
      <w:tr w:rsidR="00D8137E" w:rsidRPr="00EF4C2D" w14:paraId="5FB45B69" w14:textId="77777777" w:rsidTr="00C14CD7">
        <w:trPr>
          <w:cantSplit/>
          <w:trHeight w:val="283"/>
        </w:trPr>
        <w:tc>
          <w:tcPr>
            <w:tcW w:w="2670" w:type="pct"/>
            <w:tcBorders>
              <w:top w:val="single" w:sz="4" w:space="0" w:color="auto"/>
              <w:left w:val="single" w:sz="4" w:space="0" w:color="auto"/>
              <w:bottom w:val="single" w:sz="4" w:space="0" w:color="auto"/>
              <w:right w:val="single" w:sz="4" w:space="0" w:color="auto"/>
            </w:tcBorders>
          </w:tcPr>
          <w:p w14:paraId="732F68A7" w14:textId="77777777" w:rsidR="00D8137E" w:rsidRPr="00DE3BD5" w:rsidRDefault="00D8137E" w:rsidP="007C08EB">
            <w:pPr>
              <w:pStyle w:val="TableText0"/>
              <w:keepNext w:val="0"/>
              <w:keepLines/>
              <w:widowControl w:val="0"/>
              <w:rPr>
                <w:bCs w:val="0"/>
                <w:szCs w:val="20"/>
              </w:rPr>
            </w:pPr>
            <w:r w:rsidRPr="00DE3BD5">
              <w:t>Subsequent treatment costs (base case: included). Costs excluded</w:t>
            </w:r>
          </w:p>
        </w:tc>
        <w:tc>
          <w:tcPr>
            <w:tcW w:w="600" w:type="pct"/>
            <w:tcBorders>
              <w:top w:val="single" w:sz="4" w:space="0" w:color="auto"/>
              <w:left w:val="single" w:sz="4" w:space="0" w:color="auto"/>
              <w:bottom w:val="single" w:sz="4" w:space="0" w:color="auto"/>
              <w:right w:val="single" w:sz="4" w:space="0" w:color="auto"/>
            </w:tcBorders>
          </w:tcPr>
          <w:p w14:paraId="7CCEC799" w14:textId="7CCDA8FC" w:rsidR="00D8137E" w:rsidRPr="001247F0" w:rsidRDefault="001247F0" w:rsidP="007C08EB">
            <w:pPr>
              <w:pStyle w:val="TableText0"/>
              <w:keepNext w:val="0"/>
              <w:keepLines/>
              <w:widowControl w:val="0"/>
              <w:jc w:val="center"/>
              <w:rPr>
                <w:szCs w:val="20"/>
              </w:rPr>
            </w:pPr>
            <w:r w:rsidRPr="001247F0">
              <w:rPr>
                <w:color w:val="000000"/>
                <w:spacing w:val="81"/>
                <w:szCs w:val="20"/>
                <w:shd w:val="solid" w:color="000000" w:fill="000000"/>
                <w:fitText w:val="416" w:id="-1236603904"/>
                <w14:textFill>
                  <w14:solidFill>
                    <w14:srgbClr w14:val="000000">
                      <w14:alpha w14:val="100000"/>
                    </w14:srgbClr>
                  </w14:solidFill>
                </w14:textFill>
              </w:rPr>
              <w:t>|||</w:t>
            </w:r>
            <w:r w:rsidRPr="001247F0">
              <w:rPr>
                <w:color w:val="000000"/>
                <w:spacing w:val="1"/>
                <w:szCs w:val="20"/>
                <w:shd w:val="solid" w:color="000000" w:fill="000000"/>
                <w:fitText w:val="416" w:id="-1236603904"/>
                <w14:textFill>
                  <w14:solidFill>
                    <w14:srgbClr w14:val="000000">
                      <w14:alpha w14:val="100000"/>
                    </w14:srgbClr>
                  </w14:solidFill>
                </w14:textFill>
              </w:rPr>
              <w:t>|</w:t>
            </w:r>
            <w:r w:rsidR="004E0B0E" w:rsidRPr="001247F0">
              <w:rPr>
                <w:szCs w:val="20"/>
              </w:rPr>
              <w:t xml:space="preserve"> </w:t>
            </w:r>
          </w:p>
        </w:tc>
        <w:tc>
          <w:tcPr>
            <w:tcW w:w="630" w:type="pct"/>
            <w:tcBorders>
              <w:top w:val="single" w:sz="4" w:space="0" w:color="auto"/>
              <w:left w:val="single" w:sz="4" w:space="0" w:color="auto"/>
              <w:bottom w:val="single" w:sz="4" w:space="0" w:color="auto"/>
              <w:right w:val="single" w:sz="4" w:space="0" w:color="auto"/>
            </w:tcBorders>
          </w:tcPr>
          <w:p w14:paraId="23CC3F61" w14:textId="77777777" w:rsidR="00D8137E" w:rsidRPr="00DE3BD5" w:rsidRDefault="00D8137E" w:rsidP="007C08EB">
            <w:pPr>
              <w:pStyle w:val="TableText0"/>
              <w:keepNext w:val="0"/>
              <w:keepLines/>
              <w:widowControl w:val="0"/>
              <w:jc w:val="center"/>
              <w:rPr>
                <w:szCs w:val="20"/>
              </w:rPr>
            </w:pPr>
            <w:r w:rsidRPr="00DE3BD5">
              <w:rPr>
                <w:szCs w:val="20"/>
              </w:rPr>
              <w:t>0.25</w:t>
            </w:r>
          </w:p>
        </w:tc>
        <w:tc>
          <w:tcPr>
            <w:tcW w:w="661" w:type="pct"/>
            <w:tcBorders>
              <w:top w:val="single" w:sz="4" w:space="0" w:color="auto"/>
              <w:left w:val="single" w:sz="4" w:space="0" w:color="auto"/>
              <w:bottom w:val="single" w:sz="4" w:space="0" w:color="auto"/>
              <w:right w:val="single" w:sz="4" w:space="0" w:color="auto"/>
            </w:tcBorders>
          </w:tcPr>
          <w:p w14:paraId="6DA83D62" w14:textId="42E2F187" w:rsidR="00D8137E" w:rsidRPr="004E0B0E" w:rsidRDefault="001247F0" w:rsidP="007C08EB">
            <w:pPr>
              <w:pStyle w:val="TableText0"/>
              <w:keepNext w:val="0"/>
              <w:keepLines/>
              <w:widowControl w:val="0"/>
              <w:jc w:val="center"/>
              <w:rPr>
                <w:szCs w:val="20"/>
                <w:vertAlign w:val="superscript"/>
              </w:rPr>
            </w:pPr>
            <w:r w:rsidRPr="001247F0">
              <w:rPr>
                <w:color w:val="000000"/>
                <w:spacing w:val="78"/>
                <w:szCs w:val="20"/>
                <w:shd w:val="solid" w:color="000000" w:fill="000000"/>
                <w:fitText w:val="408" w:id="-1236603903"/>
                <w14:textFill>
                  <w14:solidFill>
                    <w14:srgbClr w14:val="000000">
                      <w14:alpha w14:val="100000"/>
                    </w14:srgbClr>
                  </w14:solidFill>
                </w14:textFill>
              </w:rPr>
              <w:t>|||</w:t>
            </w:r>
            <w:r w:rsidRPr="001247F0">
              <w:rPr>
                <w:color w:val="000000"/>
                <w:spacing w:val="2"/>
                <w:szCs w:val="20"/>
                <w:shd w:val="solid" w:color="000000" w:fill="000000"/>
                <w:fitText w:val="408" w:id="-1236603903"/>
                <w14:textFill>
                  <w14:solidFill>
                    <w14:srgbClr w14:val="000000">
                      <w14:alpha w14:val="100000"/>
                    </w14:srgbClr>
                  </w14:solidFill>
                </w14:textFill>
              </w:rPr>
              <w:t>|</w:t>
            </w:r>
            <w:r w:rsidR="004E0B0E">
              <w:rPr>
                <w:szCs w:val="20"/>
                <w:vertAlign w:val="superscript"/>
              </w:rPr>
              <w:t>6</w:t>
            </w:r>
          </w:p>
        </w:tc>
        <w:tc>
          <w:tcPr>
            <w:tcW w:w="439" w:type="pct"/>
            <w:tcBorders>
              <w:top w:val="single" w:sz="4" w:space="0" w:color="auto"/>
              <w:left w:val="single" w:sz="4" w:space="0" w:color="auto"/>
              <w:bottom w:val="single" w:sz="4" w:space="0" w:color="auto"/>
              <w:right w:val="single" w:sz="4" w:space="0" w:color="auto"/>
            </w:tcBorders>
          </w:tcPr>
          <w:p w14:paraId="6A47CDF0" w14:textId="77777777" w:rsidR="00D8137E" w:rsidRPr="00DE3BD5" w:rsidRDefault="00D8137E" w:rsidP="007C08EB">
            <w:pPr>
              <w:pStyle w:val="TableText0"/>
              <w:keepNext w:val="0"/>
              <w:keepLines/>
              <w:widowControl w:val="0"/>
              <w:jc w:val="center"/>
              <w:rPr>
                <w:szCs w:val="20"/>
              </w:rPr>
            </w:pPr>
            <w:r w:rsidRPr="00DE3BD5">
              <w:rPr>
                <w:szCs w:val="20"/>
              </w:rPr>
              <w:t>87%</w:t>
            </w:r>
          </w:p>
        </w:tc>
      </w:tr>
      <w:tr w:rsidR="00D8137E" w:rsidRPr="00EF4C2D" w14:paraId="150516C4" w14:textId="77777777" w:rsidTr="00C14CD7">
        <w:trPr>
          <w:cantSplit/>
          <w:trHeight w:val="283"/>
        </w:trPr>
        <w:tc>
          <w:tcPr>
            <w:tcW w:w="2670" w:type="pct"/>
            <w:tcBorders>
              <w:top w:val="single" w:sz="4" w:space="0" w:color="auto"/>
              <w:left w:val="single" w:sz="4" w:space="0" w:color="auto"/>
              <w:bottom w:val="single" w:sz="4" w:space="0" w:color="auto"/>
              <w:right w:val="single" w:sz="4" w:space="0" w:color="auto"/>
            </w:tcBorders>
          </w:tcPr>
          <w:p w14:paraId="2523A237" w14:textId="77777777" w:rsidR="00D8137E" w:rsidRPr="00DE3BD5" w:rsidRDefault="00D8137E" w:rsidP="007C08EB">
            <w:pPr>
              <w:pStyle w:val="TableText0"/>
              <w:keepNext w:val="0"/>
              <w:keepLines/>
              <w:widowControl w:val="0"/>
            </w:pPr>
            <w:r w:rsidRPr="00DE3BD5">
              <w:t>Relapse post-CR and post-PR (base case sourced from Whittaker et al. 2012 and assumed equal to initial PD). Use values from Phan et al. 2019</w:t>
            </w:r>
          </w:p>
        </w:tc>
        <w:tc>
          <w:tcPr>
            <w:tcW w:w="600" w:type="pct"/>
            <w:tcBorders>
              <w:top w:val="single" w:sz="4" w:space="0" w:color="auto"/>
              <w:left w:val="single" w:sz="4" w:space="0" w:color="auto"/>
              <w:bottom w:val="single" w:sz="4" w:space="0" w:color="auto"/>
              <w:right w:val="single" w:sz="4" w:space="0" w:color="auto"/>
            </w:tcBorders>
          </w:tcPr>
          <w:p w14:paraId="6312CE01" w14:textId="756BDD40" w:rsidR="00D8137E" w:rsidRPr="001247F0" w:rsidRDefault="001247F0" w:rsidP="007C08EB">
            <w:pPr>
              <w:pStyle w:val="TableText0"/>
              <w:keepNext w:val="0"/>
              <w:keepLines/>
              <w:widowControl w:val="0"/>
              <w:jc w:val="center"/>
              <w:rPr>
                <w:szCs w:val="20"/>
              </w:rPr>
            </w:pPr>
            <w:r w:rsidRPr="001247F0">
              <w:rPr>
                <w:color w:val="000000"/>
                <w:spacing w:val="81"/>
                <w:szCs w:val="20"/>
                <w:shd w:val="solid" w:color="000000" w:fill="000000"/>
                <w:fitText w:val="416" w:id="-1236603902"/>
                <w14:textFill>
                  <w14:solidFill>
                    <w14:srgbClr w14:val="000000">
                      <w14:alpha w14:val="100000"/>
                    </w14:srgbClr>
                  </w14:solidFill>
                </w14:textFill>
              </w:rPr>
              <w:t>|||</w:t>
            </w:r>
            <w:r w:rsidRPr="001247F0">
              <w:rPr>
                <w:color w:val="000000"/>
                <w:spacing w:val="1"/>
                <w:szCs w:val="20"/>
                <w:shd w:val="solid" w:color="000000" w:fill="000000"/>
                <w:fitText w:val="416" w:id="-1236603902"/>
                <w14:textFill>
                  <w14:solidFill>
                    <w14:srgbClr w14:val="000000">
                      <w14:alpha w14:val="100000"/>
                    </w14:srgbClr>
                  </w14:solidFill>
                </w14:textFill>
              </w:rPr>
              <w:t>|</w:t>
            </w:r>
            <w:r w:rsidR="004E0B0E" w:rsidRPr="001247F0">
              <w:rPr>
                <w:szCs w:val="20"/>
              </w:rPr>
              <w:t xml:space="preserve"> </w:t>
            </w:r>
          </w:p>
        </w:tc>
        <w:tc>
          <w:tcPr>
            <w:tcW w:w="630" w:type="pct"/>
            <w:tcBorders>
              <w:top w:val="single" w:sz="4" w:space="0" w:color="auto"/>
              <w:left w:val="single" w:sz="4" w:space="0" w:color="auto"/>
              <w:bottom w:val="single" w:sz="4" w:space="0" w:color="auto"/>
              <w:right w:val="single" w:sz="4" w:space="0" w:color="auto"/>
            </w:tcBorders>
          </w:tcPr>
          <w:p w14:paraId="6375D4C7" w14:textId="77777777" w:rsidR="00D8137E" w:rsidRPr="00DE3BD5" w:rsidRDefault="00D8137E" w:rsidP="007C08EB">
            <w:pPr>
              <w:pStyle w:val="TableText0"/>
              <w:keepNext w:val="0"/>
              <w:keepLines/>
              <w:widowControl w:val="0"/>
              <w:jc w:val="center"/>
              <w:rPr>
                <w:szCs w:val="20"/>
              </w:rPr>
            </w:pPr>
            <w:r w:rsidRPr="00DE3BD5">
              <w:rPr>
                <w:szCs w:val="20"/>
              </w:rPr>
              <w:t>0.17</w:t>
            </w:r>
          </w:p>
        </w:tc>
        <w:tc>
          <w:tcPr>
            <w:tcW w:w="661" w:type="pct"/>
            <w:tcBorders>
              <w:top w:val="single" w:sz="4" w:space="0" w:color="auto"/>
              <w:left w:val="single" w:sz="4" w:space="0" w:color="auto"/>
              <w:bottom w:val="single" w:sz="4" w:space="0" w:color="auto"/>
              <w:right w:val="single" w:sz="4" w:space="0" w:color="auto"/>
            </w:tcBorders>
          </w:tcPr>
          <w:p w14:paraId="3A70BD05" w14:textId="6D2FB4C8" w:rsidR="00D8137E" w:rsidRPr="004E0B0E" w:rsidRDefault="001247F0" w:rsidP="007C08EB">
            <w:pPr>
              <w:pStyle w:val="TableText0"/>
              <w:keepNext w:val="0"/>
              <w:keepLines/>
              <w:widowControl w:val="0"/>
              <w:jc w:val="center"/>
              <w:rPr>
                <w:szCs w:val="20"/>
                <w:vertAlign w:val="superscript"/>
              </w:rPr>
            </w:pPr>
            <w:r w:rsidRPr="001247F0">
              <w:rPr>
                <w:color w:val="000000"/>
                <w:spacing w:val="78"/>
                <w:szCs w:val="20"/>
                <w:shd w:val="solid" w:color="000000" w:fill="000000"/>
                <w:fitText w:val="408" w:id="-1236603901"/>
                <w14:textFill>
                  <w14:solidFill>
                    <w14:srgbClr w14:val="000000">
                      <w14:alpha w14:val="100000"/>
                    </w14:srgbClr>
                  </w14:solidFill>
                </w14:textFill>
              </w:rPr>
              <w:t>|||</w:t>
            </w:r>
            <w:r w:rsidRPr="001247F0">
              <w:rPr>
                <w:color w:val="000000"/>
                <w:spacing w:val="2"/>
                <w:szCs w:val="20"/>
                <w:shd w:val="solid" w:color="000000" w:fill="000000"/>
                <w:fitText w:val="408" w:id="-1236603901"/>
                <w14:textFill>
                  <w14:solidFill>
                    <w14:srgbClr w14:val="000000">
                      <w14:alpha w14:val="100000"/>
                    </w14:srgbClr>
                  </w14:solidFill>
                </w14:textFill>
              </w:rPr>
              <w:t>|</w:t>
            </w:r>
            <w:r w:rsidR="004E0B0E">
              <w:rPr>
                <w:szCs w:val="20"/>
                <w:vertAlign w:val="superscript"/>
              </w:rPr>
              <w:t>6</w:t>
            </w:r>
          </w:p>
        </w:tc>
        <w:tc>
          <w:tcPr>
            <w:tcW w:w="439" w:type="pct"/>
            <w:tcBorders>
              <w:top w:val="single" w:sz="4" w:space="0" w:color="auto"/>
              <w:left w:val="single" w:sz="4" w:space="0" w:color="auto"/>
              <w:bottom w:val="single" w:sz="4" w:space="0" w:color="auto"/>
              <w:right w:val="single" w:sz="4" w:space="0" w:color="auto"/>
            </w:tcBorders>
          </w:tcPr>
          <w:p w14:paraId="121043C8" w14:textId="77777777" w:rsidR="00D8137E" w:rsidRPr="00DE3BD5" w:rsidRDefault="00D8137E" w:rsidP="007C08EB">
            <w:pPr>
              <w:pStyle w:val="TableText0"/>
              <w:keepNext w:val="0"/>
              <w:keepLines/>
              <w:widowControl w:val="0"/>
              <w:jc w:val="center"/>
              <w:rPr>
                <w:szCs w:val="20"/>
              </w:rPr>
            </w:pPr>
            <w:r w:rsidRPr="00DE3BD5">
              <w:rPr>
                <w:szCs w:val="20"/>
              </w:rPr>
              <w:t>85%</w:t>
            </w:r>
          </w:p>
        </w:tc>
      </w:tr>
      <w:tr w:rsidR="00D8137E" w:rsidRPr="00EF4C2D" w14:paraId="7F0EEF3C" w14:textId="77777777" w:rsidTr="00C14CD7">
        <w:trPr>
          <w:cantSplit/>
          <w:trHeight w:val="283"/>
        </w:trPr>
        <w:tc>
          <w:tcPr>
            <w:tcW w:w="2670" w:type="pct"/>
            <w:tcBorders>
              <w:top w:val="single" w:sz="4" w:space="0" w:color="auto"/>
              <w:left w:val="single" w:sz="4" w:space="0" w:color="auto"/>
              <w:bottom w:val="single" w:sz="4" w:space="0" w:color="auto"/>
              <w:right w:val="single" w:sz="4" w:space="0" w:color="auto"/>
            </w:tcBorders>
          </w:tcPr>
          <w:p w14:paraId="7F471F23" w14:textId="77777777" w:rsidR="00D8137E" w:rsidRPr="00DE3BD5" w:rsidRDefault="00D8137E" w:rsidP="007C08EB">
            <w:pPr>
              <w:pStyle w:val="TableText0"/>
              <w:keepNext w:val="0"/>
              <w:keepLines/>
              <w:widowControl w:val="0"/>
            </w:pPr>
            <w:r w:rsidRPr="00DE3BD5">
              <w:rPr>
                <w:bCs w:val="0"/>
                <w:szCs w:val="20"/>
              </w:rPr>
              <w:t>Utilities: (base case - mSWAT score from Study 201). Using baseline mSWAT score from the PROCLIPI registry</w:t>
            </w:r>
            <w:r w:rsidRPr="00DE3BD5">
              <w:rPr>
                <w:bCs w:val="0"/>
                <w:szCs w:val="20"/>
                <w:vertAlign w:val="superscript"/>
              </w:rPr>
              <w:t>a</w:t>
            </w:r>
            <w:r w:rsidRPr="00DE3BD5">
              <w:rPr>
                <w:bCs w:val="0"/>
                <w:szCs w:val="20"/>
              </w:rPr>
              <w:t>.</w:t>
            </w:r>
          </w:p>
        </w:tc>
        <w:tc>
          <w:tcPr>
            <w:tcW w:w="600" w:type="pct"/>
            <w:tcBorders>
              <w:top w:val="single" w:sz="4" w:space="0" w:color="auto"/>
              <w:left w:val="single" w:sz="4" w:space="0" w:color="auto"/>
              <w:bottom w:val="single" w:sz="4" w:space="0" w:color="auto"/>
              <w:right w:val="single" w:sz="4" w:space="0" w:color="auto"/>
            </w:tcBorders>
          </w:tcPr>
          <w:p w14:paraId="66827BEC" w14:textId="115B828D" w:rsidR="00D8137E" w:rsidRPr="001247F0" w:rsidRDefault="001247F0" w:rsidP="007C08EB">
            <w:pPr>
              <w:pStyle w:val="TableText0"/>
              <w:keepNext w:val="0"/>
              <w:keepLines/>
              <w:widowControl w:val="0"/>
              <w:jc w:val="center"/>
              <w:rPr>
                <w:szCs w:val="20"/>
              </w:rPr>
            </w:pPr>
            <w:r w:rsidRPr="001247F0">
              <w:rPr>
                <w:color w:val="000000"/>
                <w:spacing w:val="81"/>
                <w:szCs w:val="20"/>
                <w:shd w:val="solid" w:color="000000" w:fill="000000"/>
                <w:fitText w:val="416" w:id="-1236603900"/>
                <w14:textFill>
                  <w14:solidFill>
                    <w14:srgbClr w14:val="000000">
                      <w14:alpha w14:val="100000"/>
                    </w14:srgbClr>
                  </w14:solidFill>
                </w14:textFill>
              </w:rPr>
              <w:t>|||</w:t>
            </w:r>
            <w:r w:rsidRPr="001247F0">
              <w:rPr>
                <w:color w:val="000000"/>
                <w:spacing w:val="1"/>
                <w:szCs w:val="20"/>
                <w:shd w:val="solid" w:color="000000" w:fill="000000"/>
                <w:fitText w:val="416" w:id="-1236603900"/>
                <w14:textFill>
                  <w14:solidFill>
                    <w14:srgbClr w14:val="000000">
                      <w14:alpha w14:val="100000"/>
                    </w14:srgbClr>
                  </w14:solidFill>
                </w14:textFill>
              </w:rPr>
              <w:t>|</w:t>
            </w:r>
            <w:r w:rsidR="004E0B0E" w:rsidRPr="001247F0">
              <w:rPr>
                <w:szCs w:val="20"/>
              </w:rPr>
              <w:t xml:space="preserve"> </w:t>
            </w:r>
          </w:p>
        </w:tc>
        <w:tc>
          <w:tcPr>
            <w:tcW w:w="630" w:type="pct"/>
            <w:tcBorders>
              <w:top w:val="single" w:sz="4" w:space="0" w:color="auto"/>
              <w:left w:val="single" w:sz="4" w:space="0" w:color="auto"/>
              <w:bottom w:val="single" w:sz="4" w:space="0" w:color="auto"/>
              <w:right w:val="single" w:sz="4" w:space="0" w:color="auto"/>
            </w:tcBorders>
          </w:tcPr>
          <w:p w14:paraId="36D8F077" w14:textId="77777777" w:rsidR="00D8137E" w:rsidRPr="00DE3BD5" w:rsidRDefault="00D8137E" w:rsidP="007C08EB">
            <w:pPr>
              <w:pStyle w:val="TableText0"/>
              <w:keepNext w:val="0"/>
              <w:keepLines/>
              <w:widowControl w:val="0"/>
              <w:jc w:val="center"/>
              <w:rPr>
                <w:szCs w:val="20"/>
              </w:rPr>
            </w:pPr>
            <w:r w:rsidRPr="00DE3BD5">
              <w:rPr>
                <w:szCs w:val="20"/>
              </w:rPr>
              <w:t>0.22</w:t>
            </w:r>
          </w:p>
        </w:tc>
        <w:tc>
          <w:tcPr>
            <w:tcW w:w="661" w:type="pct"/>
            <w:tcBorders>
              <w:top w:val="single" w:sz="4" w:space="0" w:color="auto"/>
              <w:left w:val="single" w:sz="4" w:space="0" w:color="auto"/>
              <w:bottom w:val="single" w:sz="4" w:space="0" w:color="auto"/>
              <w:right w:val="single" w:sz="4" w:space="0" w:color="auto"/>
            </w:tcBorders>
          </w:tcPr>
          <w:p w14:paraId="3B8DD601" w14:textId="60E2916E" w:rsidR="00D8137E" w:rsidRPr="004E0B0E" w:rsidRDefault="001247F0" w:rsidP="007C08EB">
            <w:pPr>
              <w:pStyle w:val="TableText0"/>
              <w:keepNext w:val="0"/>
              <w:keepLines/>
              <w:widowControl w:val="0"/>
              <w:jc w:val="center"/>
              <w:rPr>
                <w:szCs w:val="20"/>
                <w:vertAlign w:val="superscript"/>
              </w:rPr>
            </w:pPr>
            <w:r w:rsidRPr="001247F0">
              <w:rPr>
                <w:color w:val="000000"/>
                <w:spacing w:val="78"/>
                <w:szCs w:val="20"/>
                <w:shd w:val="solid" w:color="000000" w:fill="000000"/>
                <w:fitText w:val="408" w:id="-1236603899"/>
                <w14:textFill>
                  <w14:solidFill>
                    <w14:srgbClr w14:val="000000">
                      <w14:alpha w14:val="100000"/>
                    </w14:srgbClr>
                  </w14:solidFill>
                </w14:textFill>
              </w:rPr>
              <w:t>|||</w:t>
            </w:r>
            <w:r w:rsidRPr="001247F0">
              <w:rPr>
                <w:color w:val="000000"/>
                <w:spacing w:val="2"/>
                <w:szCs w:val="20"/>
                <w:shd w:val="solid" w:color="000000" w:fill="000000"/>
                <w:fitText w:val="408" w:id="-1236603899"/>
                <w14:textFill>
                  <w14:solidFill>
                    <w14:srgbClr w14:val="000000">
                      <w14:alpha w14:val="100000"/>
                    </w14:srgbClr>
                  </w14:solidFill>
                </w14:textFill>
              </w:rPr>
              <w:t>|</w:t>
            </w:r>
            <w:r w:rsidR="004E0B0E">
              <w:rPr>
                <w:szCs w:val="20"/>
                <w:vertAlign w:val="superscript"/>
              </w:rPr>
              <w:t>7</w:t>
            </w:r>
          </w:p>
        </w:tc>
        <w:tc>
          <w:tcPr>
            <w:tcW w:w="439" w:type="pct"/>
            <w:tcBorders>
              <w:top w:val="single" w:sz="4" w:space="0" w:color="auto"/>
              <w:left w:val="single" w:sz="4" w:space="0" w:color="auto"/>
              <w:bottom w:val="single" w:sz="4" w:space="0" w:color="auto"/>
              <w:right w:val="single" w:sz="4" w:space="0" w:color="auto"/>
            </w:tcBorders>
          </w:tcPr>
          <w:p w14:paraId="4B57B6DC" w14:textId="77777777" w:rsidR="00D8137E" w:rsidRPr="00DE3BD5" w:rsidRDefault="00D8137E" w:rsidP="007C08EB">
            <w:pPr>
              <w:pStyle w:val="TableText0"/>
              <w:keepNext w:val="0"/>
              <w:keepLines/>
              <w:widowControl w:val="0"/>
              <w:jc w:val="center"/>
              <w:rPr>
                <w:szCs w:val="20"/>
              </w:rPr>
            </w:pPr>
            <w:r w:rsidRPr="00DE3BD5">
              <w:rPr>
                <w:szCs w:val="20"/>
              </w:rPr>
              <w:t>15%</w:t>
            </w:r>
          </w:p>
        </w:tc>
      </w:tr>
      <w:tr w:rsidR="00D8137E" w:rsidRPr="00EF4C2D" w14:paraId="4D21DED2" w14:textId="77777777" w:rsidTr="007C08EB">
        <w:trPr>
          <w:cantSplit/>
          <w:trHeight w:val="283"/>
        </w:trPr>
        <w:tc>
          <w:tcPr>
            <w:tcW w:w="5000" w:type="pct"/>
            <w:gridSpan w:val="5"/>
            <w:tcBorders>
              <w:top w:val="single" w:sz="4" w:space="0" w:color="auto"/>
              <w:left w:val="single" w:sz="4" w:space="0" w:color="auto"/>
              <w:bottom w:val="single" w:sz="4" w:space="0" w:color="auto"/>
              <w:right w:val="single" w:sz="4" w:space="0" w:color="auto"/>
            </w:tcBorders>
            <w:hideMark/>
          </w:tcPr>
          <w:p w14:paraId="7AFCBE6A" w14:textId="77777777" w:rsidR="00D8137E" w:rsidRPr="009E00C3" w:rsidRDefault="00D8137E" w:rsidP="007C08EB">
            <w:pPr>
              <w:pStyle w:val="TableText0"/>
              <w:keepNext w:val="0"/>
              <w:keepLines/>
              <w:widowControl w:val="0"/>
              <w:rPr>
                <w:rFonts w:eastAsia="Calibri"/>
                <w:szCs w:val="20"/>
                <w:vertAlign w:val="superscript"/>
              </w:rPr>
            </w:pPr>
            <w:r w:rsidRPr="009E00C3">
              <w:t>Discount rate (base case: 5%)</w:t>
            </w:r>
            <w:r w:rsidRPr="009E00C3">
              <w:rPr>
                <w:vertAlign w:val="superscript"/>
              </w:rPr>
              <w:t>a</w:t>
            </w:r>
          </w:p>
        </w:tc>
      </w:tr>
      <w:tr w:rsidR="00D8137E" w:rsidRPr="00EF4C2D" w14:paraId="0177D08B" w14:textId="77777777" w:rsidTr="00C14CD7">
        <w:trPr>
          <w:cantSplit/>
          <w:trHeight w:val="283"/>
        </w:trPr>
        <w:tc>
          <w:tcPr>
            <w:tcW w:w="2670" w:type="pct"/>
            <w:tcBorders>
              <w:top w:val="single" w:sz="4" w:space="0" w:color="auto"/>
              <w:left w:val="single" w:sz="4" w:space="0" w:color="auto"/>
              <w:bottom w:val="single" w:sz="4" w:space="0" w:color="auto"/>
              <w:right w:val="single" w:sz="4" w:space="0" w:color="auto"/>
            </w:tcBorders>
            <w:hideMark/>
          </w:tcPr>
          <w:p w14:paraId="276DF0F0" w14:textId="77777777" w:rsidR="00D8137E" w:rsidRPr="00DE3BD5" w:rsidRDefault="00D8137E" w:rsidP="007C08EB">
            <w:pPr>
              <w:pStyle w:val="TableText0"/>
              <w:keepNext w:val="0"/>
              <w:keepLines/>
              <w:widowControl w:val="0"/>
            </w:pPr>
            <w:r w:rsidRPr="00DE3BD5">
              <w:t>0%</w:t>
            </w:r>
          </w:p>
        </w:tc>
        <w:tc>
          <w:tcPr>
            <w:tcW w:w="600" w:type="pct"/>
            <w:tcBorders>
              <w:top w:val="single" w:sz="4" w:space="0" w:color="auto"/>
              <w:left w:val="single" w:sz="4" w:space="0" w:color="auto"/>
              <w:bottom w:val="single" w:sz="4" w:space="0" w:color="auto"/>
              <w:right w:val="single" w:sz="4" w:space="0" w:color="auto"/>
            </w:tcBorders>
            <w:hideMark/>
          </w:tcPr>
          <w:p w14:paraId="3FC0E813" w14:textId="7262292D" w:rsidR="00D8137E" w:rsidRPr="001247F0" w:rsidRDefault="001247F0" w:rsidP="007C08EB">
            <w:pPr>
              <w:pStyle w:val="TableText0"/>
              <w:keepNext w:val="0"/>
              <w:keepLines/>
              <w:widowControl w:val="0"/>
              <w:jc w:val="center"/>
              <w:rPr>
                <w:rFonts w:eastAsia="Calibri"/>
                <w:szCs w:val="20"/>
              </w:rPr>
            </w:pPr>
            <w:r w:rsidRPr="001247F0">
              <w:rPr>
                <w:rFonts w:eastAsia="Calibri"/>
                <w:color w:val="000000"/>
                <w:spacing w:val="81"/>
                <w:szCs w:val="20"/>
                <w:shd w:val="solid" w:color="000000" w:fill="000000"/>
                <w:fitText w:val="416" w:id="-1236603898"/>
                <w14:textFill>
                  <w14:solidFill>
                    <w14:srgbClr w14:val="000000">
                      <w14:alpha w14:val="100000"/>
                    </w14:srgbClr>
                  </w14:solidFill>
                </w14:textFill>
              </w:rPr>
              <w:t>|||</w:t>
            </w:r>
            <w:r w:rsidRPr="001247F0">
              <w:rPr>
                <w:rFonts w:eastAsia="Calibri"/>
                <w:color w:val="000000"/>
                <w:spacing w:val="1"/>
                <w:szCs w:val="20"/>
                <w:shd w:val="solid" w:color="000000" w:fill="000000"/>
                <w:fitText w:val="416" w:id="-1236603898"/>
                <w14:textFill>
                  <w14:solidFill>
                    <w14:srgbClr w14:val="000000">
                      <w14:alpha w14:val="100000"/>
                    </w14:srgbClr>
                  </w14:solidFill>
                </w14:textFill>
              </w:rPr>
              <w:t>|</w:t>
            </w:r>
            <w:r w:rsidR="004E0B0E" w:rsidRPr="001247F0">
              <w:rPr>
                <w:rFonts w:eastAsia="Calibri"/>
                <w:szCs w:val="20"/>
              </w:rPr>
              <w:t xml:space="preserve"> </w:t>
            </w:r>
          </w:p>
        </w:tc>
        <w:tc>
          <w:tcPr>
            <w:tcW w:w="630" w:type="pct"/>
            <w:tcBorders>
              <w:top w:val="single" w:sz="4" w:space="0" w:color="auto"/>
              <w:left w:val="single" w:sz="4" w:space="0" w:color="auto"/>
              <w:bottom w:val="single" w:sz="4" w:space="0" w:color="auto"/>
              <w:right w:val="single" w:sz="4" w:space="0" w:color="auto"/>
            </w:tcBorders>
            <w:hideMark/>
          </w:tcPr>
          <w:p w14:paraId="66940647" w14:textId="77777777" w:rsidR="00D8137E" w:rsidRPr="00DE3BD5" w:rsidRDefault="00D8137E" w:rsidP="007C08EB">
            <w:pPr>
              <w:pStyle w:val="TableText0"/>
              <w:keepNext w:val="0"/>
              <w:keepLines/>
              <w:widowControl w:val="0"/>
              <w:jc w:val="center"/>
              <w:rPr>
                <w:rFonts w:eastAsia="Calibri"/>
                <w:szCs w:val="20"/>
              </w:rPr>
            </w:pPr>
            <w:r w:rsidRPr="00DE3BD5">
              <w:rPr>
                <w:rFonts w:eastAsia="Calibri"/>
                <w:szCs w:val="20"/>
              </w:rPr>
              <w:t>0.60</w:t>
            </w:r>
          </w:p>
        </w:tc>
        <w:tc>
          <w:tcPr>
            <w:tcW w:w="661" w:type="pct"/>
            <w:tcBorders>
              <w:top w:val="single" w:sz="4" w:space="0" w:color="auto"/>
              <w:left w:val="single" w:sz="4" w:space="0" w:color="auto"/>
              <w:bottom w:val="single" w:sz="4" w:space="0" w:color="auto"/>
              <w:right w:val="single" w:sz="4" w:space="0" w:color="auto"/>
            </w:tcBorders>
            <w:hideMark/>
          </w:tcPr>
          <w:p w14:paraId="57C1C8C7" w14:textId="59998AC3" w:rsidR="00D8137E" w:rsidRPr="004E0B0E" w:rsidRDefault="001247F0" w:rsidP="007C08EB">
            <w:pPr>
              <w:pStyle w:val="TableText0"/>
              <w:keepNext w:val="0"/>
              <w:keepLines/>
              <w:widowControl w:val="0"/>
              <w:jc w:val="center"/>
              <w:rPr>
                <w:rFonts w:eastAsia="Calibri"/>
                <w:szCs w:val="20"/>
                <w:vertAlign w:val="superscript"/>
              </w:rPr>
            </w:pPr>
            <w:r w:rsidRPr="001247F0">
              <w:rPr>
                <w:rFonts w:eastAsia="Calibri"/>
                <w:color w:val="000000"/>
                <w:spacing w:val="78"/>
                <w:szCs w:val="20"/>
                <w:shd w:val="solid" w:color="000000" w:fill="000000"/>
                <w:fitText w:val="408" w:id="-1236603897"/>
                <w14:textFill>
                  <w14:solidFill>
                    <w14:srgbClr w14:val="000000">
                      <w14:alpha w14:val="100000"/>
                    </w14:srgbClr>
                  </w14:solidFill>
                </w14:textFill>
              </w:rPr>
              <w:t>|||</w:t>
            </w:r>
            <w:r w:rsidRPr="001247F0">
              <w:rPr>
                <w:rFonts w:eastAsia="Calibri"/>
                <w:color w:val="000000"/>
                <w:spacing w:val="2"/>
                <w:szCs w:val="20"/>
                <w:shd w:val="solid" w:color="000000" w:fill="000000"/>
                <w:fitText w:val="408" w:id="-1236603897"/>
                <w14:textFill>
                  <w14:solidFill>
                    <w14:srgbClr w14:val="000000">
                      <w14:alpha w14:val="100000"/>
                    </w14:srgbClr>
                  </w14:solidFill>
                </w14:textFill>
              </w:rPr>
              <w:t>|</w:t>
            </w:r>
            <w:r w:rsidR="004E0B0E">
              <w:rPr>
                <w:rFonts w:eastAsia="Calibri"/>
                <w:szCs w:val="20"/>
                <w:vertAlign w:val="superscript"/>
              </w:rPr>
              <w:t>8</w:t>
            </w:r>
          </w:p>
        </w:tc>
        <w:tc>
          <w:tcPr>
            <w:tcW w:w="439" w:type="pct"/>
            <w:tcBorders>
              <w:top w:val="single" w:sz="4" w:space="0" w:color="auto"/>
              <w:left w:val="single" w:sz="4" w:space="0" w:color="auto"/>
              <w:bottom w:val="single" w:sz="4" w:space="0" w:color="auto"/>
              <w:right w:val="single" w:sz="4" w:space="0" w:color="auto"/>
            </w:tcBorders>
            <w:hideMark/>
          </w:tcPr>
          <w:p w14:paraId="40406537" w14:textId="77777777" w:rsidR="00D8137E" w:rsidRPr="00DE3BD5" w:rsidRDefault="00D8137E" w:rsidP="007C08EB">
            <w:pPr>
              <w:pStyle w:val="TableText0"/>
              <w:keepNext w:val="0"/>
              <w:keepLines/>
              <w:widowControl w:val="0"/>
              <w:jc w:val="center"/>
              <w:rPr>
                <w:rFonts w:eastAsia="Calibri"/>
                <w:szCs w:val="20"/>
              </w:rPr>
            </w:pPr>
            <w:r w:rsidRPr="00DE3BD5">
              <w:rPr>
                <w:rFonts w:eastAsia="Calibri"/>
                <w:szCs w:val="20"/>
              </w:rPr>
              <w:t>-59%</w:t>
            </w:r>
          </w:p>
        </w:tc>
      </w:tr>
      <w:tr w:rsidR="00D8137E" w:rsidRPr="00EF4C2D" w14:paraId="520BD3E3" w14:textId="77777777" w:rsidTr="00C14CD7">
        <w:trPr>
          <w:cantSplit/>
          <w:trHeight w:val="283"/>
        </w:trPr>
        <w:tc>
          <w:tcPr>
            <w:tcW w:w="2670" w:type="pct"/>
            <w:tcBorders>
              <w:top w:val="single" w:sz="4" w:space="0" w:color="auto"/>
              <w:left w:val="single" w:sz="4" w:space="0" w:color="auto"/>
              <w:bottom w:val="single" w:sz="4" w:space="0" w:color="auto"/>
              <w:right w:val="single" w:sz="4" w:space="0" w:color="auto"/>
            </w:tcBorders>
            <w:hideMark/>
          </w:tcPr>
          <w:p w14:paraId="6C8804A3" w14:textId="77777777" w:rsidR="00D8137E" w:rsidRPr="00DE3BD5" w:rsidRDefault="00D8137E" w:rsidP="007C08EB">
            <w:pPr>
              <w:pStyle w:val="TableText0"/>
              <w:keepNext w:val="0"/>
              <w:keepLines/>
              <w:widowControl w:val="0"/>
            </w:pPr>
            <w:r w:rsidRPr="00DE3BD5">
              <w:t>3.5%</w:t>
            </w:r>
          </w:p>
        </w:tc>
        <w:tc>
          <w:tcPr>
            <w:tcW w:w="600" w:type="pct"/>
            <w:tcBorders>
              <w:top w:val="single" w:sz="4" w:space="0" w:color="auto"/>
              <w:left w:val="single" w:sz="4" w:space="0" w:color="auto"/>
              <w:bottom w:val="single" w:sz="4" w:space="0" w:color="auto"/>
              <w:right w:val="single" w:sz="4" w:space="0" w:color="auto"/>
            </w:tcBorders>
            <w:hideMark/>
          </w:tcPr>
          <w:p w14:paraId="3926DE7F" w14:textId="03A645AF" w:rsidR="00D8137E" w:rsidRPr="001247F0" w:rsidRDefault="001247F0" w:rsidP="007C08EB">
            <w:pPr>
              <w:pStyle w:val="TableText0"/>
              <w:keepNext w:val="0"/>
              <w:keepLines/>
              <w:widowControl w:val="0"/>
              <w:jc w:val="center"/>
              <w:rPr>
                <w:rFonts w:eastAsia="Calibri"/>
                <w:szCs w:val="20"/>
              </w:rPr>
            </w:pPr>
            <w:r w:rsidRPr="001247F0">
              <w:rPr>
                <w:rFonts w:eastAsia="Calibri"/>
                <w:color w:val="000000"/>
                <w:spacing w:val="81"/>
                <w:szCs w:val="20"/>
                <w:shd w:val="solid" w:color="000000" w:fill="000000"/>
                <w:fitText w:val="416" w:id="-1236603896"/>
                <w14:textFill>
                  <w14:solidFill>
                    <w14:srgbClr w14:val="000000">
                      <w14:alpha w14:val="100000"/>
                    </w14:srgbClr>
                  </w14:solidFill>
                </w14:textFill>
              </w:rPr>
              <w:t>|||</w:t>
            </w:r>
            <w:r w:rsidRPr="001247F0">
              <w:rPr>
                <w:rFonts w:eastAsia="Calibri"/>
                <w:color w:val="000000"/>
                <w:spacing w:val="1"/>
                <w:szCs w:val="20"/>
                <w:shd w:val="solid" w:color="000000" w:fill="000000"/>
                <w:fitText w:val="416" w:id="-1236603896"/>
                <w14:textFill>
                  <w14:solidFill>
                    <w14:srgbClr w14:val="000000">
                      <w14:alpha w14:val="100000"/>
                    </w14:srgbClr>
                  </w14:solidFill>
                </w14:textFill>
              </w:rPr>
              <w:t>|</w:t>
            </w:r>
            <w:r w:rsidR="004E0B0E" w:rsidRPr="001247F0">
              <w:rPr>
                <w:rFonts w:eastAsia="Calibri"/>
                <w:szCs w:val="20"/>
              </w:rPr>
              <w:t xml:space="preserve"> </w:t>
            </w:r>
          </w:p>
        </w:tc>
        <w:tc>
          <w:tcPr>
            <w:tcW w:w="630" w:type="pct"/>
            <w:tcBorders>
              <w:top w:val="single" w:sz="4" w:space="0" w:color="auto"/>
              <w:left w:val="single" w:sz="4" w:space="0" w:color="auto"/>
              <w:bottom w:val="single" w:sz="4" w:space="0" w:color="auto"/>
              <w:right w:val="single" w:sz="4" w:space="0" w:color="auto"/>
            </w:tcBorders>
            <w:hideMark/>
          </w:tcPr>
          <w:p w14:paraId="23328821" w14:textId="77777777" w:rsidR="00D8137E" w:rsidRPr="00DE3BD5" w:rsidRDefault="00D8137E" w:rsidP="007C08EB">
            <w:pPr>
              <w:pStyle w:val="TableText0"/>
              <w:keepNext w:val="0"/>
              <w:keepLines/>
              <w:widowControl w:val="0"/>
              <w:jc w:val="center"/>
              <w:rPr>
                <w:rFonts w:eastAsia="Calibri"/>
                <w:szCs w:val="20"/>
              </w:rPr>
            </w:pPr>
            <w:r w:rsidRPr="00DE3BD5">
              <w:rPr>
                <w:rFonts w:eastAsia="Calibri"/>
                <w:szCs w:val="20"/>
              </w:rPr>
              <w:t>0.32</w:t>
            </w:r>
          </w:p>
        </w:tc>
        <w:tc>
          <w:tcPr>
            <w:tcW w:w="661" w:type="pct"/>
            <w:tcBorders>
              <w:top w:val="single" w:sz="4" w:space="0" w:color="auto"/>
              <w:left w:val="single" w:sz="4" w:space="0" w:color="auto"/>
              <w:bottom w:val="single" w:sz="4" w:space="0" w:color="auto"/>
              <w:right w:val="single" w:sz="4" w:space="0" w:color="auto"/>
            </w:tcBorders>
            <w:hideMark/>
          </w:tcPr>
          <w:p w14:paraId="649D133B" w14:textId="76E2AF7D" w:rsidR="00D8137E" w:rsidRPr="00C14CD7" w:rsidRDefault="001247F0" w:rsidP="007C08EB">
            <w:pPr>
              <w:pStyle w:val="TableText0"/>
              <w:keepNext w:val="0"/>
              <w:keepLines/>
              <w:widowControl w:val="0"/>
              <w:jc w:val="center"/>
              <w:rPr>
                <w:rFonts w:eastAsia="Calibri"/>
                <w:szCs w:val="20"/>
                <w:vertAlign w:val="superscript"/>
              </w:rPr>
            </w:pPr>
            <w:r w:rsidRPr="001247F0">
              <w:rPr>
                <w:rFonts w:eastAsia="Calibri"/>
                <w:color w:val="000000"/>
                <w:spacing w:val="78"/>
                <w:szCs w:val="20"/>
                <w:shd w:val="solid" w:color="000000" w:fill="000000"/>
                <w:fitText w:val="408" w:id="-1236603895"/>
                <w14:textFill>
                  <w14:solidFill>
                    <w14:srgbClr w14:val="000000">
                      <w14:alpha w14:val="100000"/>
                    </w14:srgbClr>
                  </w14:solidFill>
                </w14:textFill>
              </w:rPr>
              <w:t>|||</w:t>
            </w:r>
            <w:r w:rsidRPr="001247F0">
              <w:rPr>
                <w:rFonts w:eastAsia="Calibri"/>
                <w:color w:val="000000"/>
                <w:spacing w:val="2"/>
                <w:szCs w:val="20"/>
                <w:shd w:val="solid" w:color="000000" w:fill="000000"/>
                <w:fitText w:val="408" w:id="-1236603895"/>
                <w14:textFill>
                  <w14:solidFill>
                    <w14:srgbClr w14:val="000000">
                      <w14:alpha w14:val="100000"/>
                    </w14:srgbClr>
                  </w14:solidFill>
                </w14:textFill>
              </w:rPr>
              <w:t>|</w:t>
            </w:r>
            <w:r w:rsidR="00C14CD7">
              <w:rPr>
                <w:rFonts w:eastAsia="Calibri"/>
                <w:szCs w:val="20"/>
                <w:vertAlign w:val="superscript"/>
              </w:rPr>
              <w:t>7</w:t>
            </w:r>
          </w:p>
        </w:tc>
        <w:tc>
          <w:tcPr>
            <w:tcW w:w="439" w:type="pct"/>
            <w:tcBorders>
              <w:top w:val="single" w:sz="4" w:space="0" w:color="auto"/>
              <w:left w:val="single" w:sz="4" w:space="0" w:color="auto"/>
              <w:bottom w:val="single" w:sz="4" w:space="0" w:color="auto"/>
              <w:right w:val="single" w:sz="4" w:space="0" w:color="auto"/>
            </w:tcBorders>
            <w:hideMark/>
          </w:tcPr>
          <w:p w14:paraId="78F7B5F1" w14:textId="77777777" w:rsidR="00D8137E" w:rsidRPr="00DE3BD5" w:rsidRDefault="00D8137E" w:rsidP="007C08EB">
            <w:pPr>
              <w:pStyle w:val="TableText0"/>
              <w:keepNext w:val="0"/>
              <w:keepLines/>
              <w:widowControl w:val="0"/>
              <w:jc w:val="center"/>
              <w:rPr>
                <w:rFonts w:eastAsia="Calibri"/>
                <w:szCs w:val="20"/>
              </w:rPr>
            </w:pPr>
            <w:r w:rsidRPr="00DE3BD5">
              <w:rPr>
                <w:rFonts w:eastAsia="Calibri"/>
                <w:szCs w:val="20"/>
              </w:rPr>
              <w:t>-22%</w:t>
            </w:r>
          </w:p>
        </w:tc>
      </w:tr>
      <w:tr w:rsidR="00D8137E" w:rsidRPr="00EF4C2D" w14:paraId="34494896" w14:textId="77777777" w:rsidTr="00C14CD7">
        <w:trPr>
          <w:cantSplit/>
          <w:trHeight w:val="283"/>
        </w:trPr>
        <w:tc>
          <w:tcPr>
            <w:tcW w:w="2670" w:type="pct"/>
            <w:tcBorders>
              <w:top w:val="single" w:sz="4" w:space="0" w:color="auto"/>
              <w:left w:val="single" w:sz="4" w:space="0" w:color="auto"/>
              <w:bottom w:val="single" w:sz="4" w:space="0" w:color="auto"/>
              <w:right w:val="single" w:sz="4" w:space="0" w:color="auto"/>
            </w:tcBorders>
          </w:tcPr>
          <w:p w14:paraId="2ACC96B0" w14:textId="53AD7D7B" w:rsidR="00D8137E" w:rsidRPr="00DE3BD5" w:rsidRDefault="00D8137E" w:rsidP="007C08EB">
            <w:pPr>
              <w:pStyle w:val="TableText0"/>
              <w:keepNext w:val="0"/>
              <w:keepLines/>
              <w:widowControl w:val="0"/>
            </w:pPr>
            <w:r w:rsidRPr="00DE3BD5">
              <w:rPr>
                <w:bCs w:val="0"/>
                <w:szCs w:val="20"/>
              </w:rPr>
              <w:t xml:space="preserve">Definition of time point of response used to inform effectiveness of chlormethine gel to derive transition probabilities within disease stages (base case sourced from Study 201). Use of </w:t>
            </w:r>
            <w:r w:rsidRPr="00DE3BD5">
              <w:rPr>
                <w:lang w:val="en-US"/>
              </w:rPr>
              <w:t>response used in 2 phototherapy studies (used to inform the ITC) to recode chlormethine gel response reported in Study 201, and derived new transition probabilities</w:t>
            </w:r>
            <w:r w:rsidRPr="00DE3BD5">
              <w:rPr>
                <w:vertAlign w:val="superscript"/>
                <w:lang w:val="en-US"/>
              </w:rPr>
              <w:t>a</w:t>
            </w:r>
            <w:r w:rsidRPr="00DE3BD5">
              <w:rPr>
                <w:lang w:val="en-US"/>
              </w:rPr>
              <w:t>. The submission did not identify which 2 of the 3 phototherapy studies were used.</w:t>
            </w:r>
          </w:p>
        </w:tc>
        <w:tc>
          <w:tcPr>
            <w:tcW w:w="600" w:type="pct"/>
            <w:tcBorders>
              <w:top w:val="single" w:sz="4" w:space="0" w:color="auto"/>
              <w:left w:val="single" w:sz="4" w:space="0" w:color="auto"/>
              <w:bottom w:val="single" w:sz="4" w:space="0" w:color="auto"/>
              <w:right w:val="single" w:sz="4" w:space="0" w:color="auto"/>
            </w:tcBorders>
          </w:tcPr>
          <w:p w14:paraId="05BDB502" w14:textId="0D2D33EF" w:rsidR="00D8137E" w:rsidRPr="001247F0" w:rsidRDefault="001247F0" w:rsidP="007C08EB">
            <w:pPr>
              <w:pStyle w:val="TableText0"/>
              <w:keepNext w:val="0"/>
              <w:keepLines/>
              <w:widowControl w:val="0"/>
              <w:jc w:val="center"/>
              <w:rPr>
                <w:rFonts w:eastAsia="Calibri"/>
                <w:szCs w:val="20"/>
              </w:rPr>
            </w:pPr>
            <w:r w:rsidRPr="001247F0">
              <w:rPr>
                <w:color w:val="000000"/>
                <w:spacing w:val="81"/>
                <w:szCs w:val="20"/>
                <w:shd w:val="solid" w:color="000000" w:fill="000000"/>
                <w:fitText w:val="416" w:id="-1236603894"/>
                <w14:textFill>
                  <w14:solidFill>
                    <w14:srgbClr w14:val="000000">
                      <w14:alpha w14:val="100000"/>
                    </w14:srgbClr>
                  </w14:solidFill>
                </w14:textFill>
              </w:rPr>
              <w:t>|||</w:t>
            </w:r>
            <w:r w:rsidRPr="001247F0">
              <w:rPr>
                <w:color w:val="000000"/>
                <w:spacing w:val="1"/>
                <w:szCs w:val="20"/>
                <w:shd w:val="solid" w:color="000000" w:fill="000000"/>
                <w:fitText w:val="416" w:id="-1236603894"/>
                <w14:textFill>
                  <w14:solidFill>
                    <w14:srgbClr w14:val="000000">
                      <w14:alpha w14:val="100000"/>
                    </w14:srgbClr>
                  </w14:solidFill>
                </w14:textFill>
              </w:rPr>
              <w:t>|</w:t>
            </w:r>
            <w:r w:rsidR="004E0B0E" w:rsidRPr="001247F0">
              <w:rPr>
                <w:szCs w:val="20"/>
              </w:rPr>
              <w:t xml:space="preserve"> </w:t>
            </w:r>
          </w:p>
        </w:tc>
        <w:tc>
          <w:tcPr>
            <w:tcW w:w="630" w:type="pct"/>
            <w:tcBorders>
              <w:top w:val="single" w:sz="4" w:space="0" w:color="auto"/>
              <w:left w:val="single" w:sz="4" w:space="0" w:color="auto"/>
              <w:bottom w:val="single" w:sz="4" w:space="0" w:color="auto"/>
              <w:right w:val="single" w:sz="4" w:space="0" w:color="auto"/>
            </w:tcBorders>
          </w:tcPr>
          <w:p w14:paraId="59D5C3C0" w14:textId="77777777" w:rsidR="00D8137E" w:rsidRPr="00DE3BD5" w:rsidRDefault="00D8137E" w:rsidP="007C08EB">
            <w:pPr>
              <w:pStyle w:val="TableText0"/>
              <w:keepNext w:val="0"/>
              <w:keepLines/>
              <w:widowControl w:val="0"/>
              <w:jc w:val="center"/>
              <w:rPr>
                <w:rFonts w:eastAsia="Calibri"/>
                <w:szCs w:val="20"/>
              </w:rPr>
            </w:pPr>
            <w:r w:rsidRPr="00DE3BD5">
              <w:rPr>
                <w:szCs w:val="20"/>
              </w:rPr>
              <w:t>0.34</w:t>
            </w:r>
          </w:p>
        </w:tc>
        <w:tc>
          <w:tcPr>
            <w:tcW w:w="661" w:type="pct"/>
            <w:tcBorders>
              <w:top w:val="single" w:sz="4" w:space="0" w:color="auto"/>
              <w:left w:val="single" w:sz="4" w:space="0" w:color="auto"/>
              <w:bottom w:val="single" w:sz="4" w:space="0" w:color="auto"/>
              <w:right w:val="single" w:sz="4" w:space="0" w:color="auto"/>
            </w:tcBorders>
          </w:tcPr>
          <w:p w14:paraId="78C3752A" w14:textId="5E378985" w:rsidR="00D8137E" w:rsidRPr="004E0B0E" w:rsidRDefault="001247F0" w:rsidP="007C08EB">
            <w:pPr>
              <w:pStyle w:val="TableText0"/>
              <w:keepNext w:val="0"/>
              <w:keepLines/>
              <w:widowControl w:val="0"/>
              <w:jc w:val="center"/>
              <w:rPr>
                <w:rFonts w:eastAsia="Calibri"/>
                <w:szCs w:val="20"/>
                <w:vertAlign w:val="superscript"/>
              </w:rPr>
            </w:pPr>
            <w:r w:rsidRPr="001247F0">
              <w:rPr>
                <w:color w:val="000000"/>
                <w:spacing w:val="78"/>
                <w:szCs w:val="20"/>
                <w:shd w:val="solid" w:color="000000" w:fill="000000"/>
                <w:fitText w:val="408" w:id="-1236603893"/>
                <w14:textFill>
                  <w14:solidFill>
                    <w14:srgbClr w14:val="000000">
                      <w14:alpha w14:val="100000"/>
                    </w14:srgbClr>
                  </w14:solidFill>
                </w14:textFill>
              </w:rPr>
              <w:t>|||</w:t>
            </w:r>
            <w:r w:rsidRPr="001247F0">
              <w:rPr>
                <w:color w:val="000000"/>
                <w:spacing w:val="2"/>
                <w:szCs w:val="20"/>
                <w:shd w:val="solid" w:color="000000" w:fill="000000"/>
                <w:fitText w:val="408" w:id="-1236603893"/>
                <w14:textFill>
                  <w14:solidFill>
                    <w14:srgbClr w14:val="000000">
                      <w14:alpha w14:val="100000"/>
                    </w14:srgbClr>
                  </w14:solidFill>
                </w14:textFill>
              </w:rPr>
              <w:t>|</w:t>
            </w:r>
            <w:r w:rsidR="004E0B0E">
              <w:rPr>
                <w:szCs w:val="20"/>
                <w:vertAlign w:val="superscript"/>
              </w:rPr>
              <w:t>9</w:t>
            </w:r>
          </w:p>
        </w:tc>
        <w:tc>
          <w:tcPr>
            <w:tcW w:w="439" w:type="pct"/>
            <w:tcBorders>
              <w:top w:val="single" w:sz="4" w:space="0" w:color="auto"/>
              <w:left w:val="single" w:sz="4" w:space="0" w:color="auto"/>
              <w:bottom w:val="single" w:sz="4" w:space="0" w:color="auto"/>
              <w:right w:val="single" w:sz="4" w:space="0" w:color="auto"/>
            </w:tcBorders>
          </w:tcPr>
          <w:p w14:paraId="7D72B2FB" w14:textId="77777777" w:rsidR="00D8137E" w:rsidRPr="00DE3BD5" w:rsidRDefault="00D8137E" w:rsidP="007C08EB">
            <w:pPr>
              <w:pStyle w:val="TableText0"/>
              <w:keepNext w:val="0"/>
              <w:keepLines/>
              <w:widowControl w:val="0"/>
              <w:jc w:val="center"/>
              <w:rPr>
                <w:rFonts w:eastAsia="Calibri"/>
                <w:szCs w:val="20"/>
              </w:rPr>
            </w:pPr>
            <w:r w:rsidRPr="00DE3BD5">
              <w:rPr>
                <w:szCs w:val="20"/>
              </w:rPr>
              <w:t>-66%</w:t>
            </w:r>
          </w:p>
        </w:tc>
      </w:tr>
      <w:tr w:rsidR="00D8137E" w:rsidRPr="00EF4C2D" w14:paraId="4BB556B2" w14:textId="77777777" w:rsidTr="00C14CD7">
        <w:trPr>
          <w:cantSplit/>
          <w:trHeight w:val="283"/>
        </w:trPr>
        <w:tc>
          <w:tcPr>
            <w:tcW w:w="2670" w:type="pct"/>
            <w:tcBorders>
              <w:top w:val="single" w:sz="4" w:space="0" w:color="auto"/>
              <w:left w:val="single" w:sz="4" w:space="0" w:color="auto"/>
              <w:bottom w:val="single" w:sz="4" w:space="0" w:color="auto"/>
              <w:right w:val="single" w:sz="4" w:space="0" w:color="auto"/>
            </w:tcBorders>
          </w:tcPr>
          <w:p w14:paraId="7A7270A4" w14:textId="41B3B365" w:rsidR="00D8137E" w:rsidRPr="00DE3BD5" w:rsidRDefault="00D8137E" w:rsidP="007C08EB">
            <w:pPr>
              <w:pStyle w:val="TableText0"/>
              <w:keepNext w:val="0"/>
              <w:keepLines/>
              <w:widowControl w:val="0"/>
              <w:rPr>
                <w:bCs w:val="0"/>
                <w:szCs w:val="20"/>
              </w:rPr>
            </w:pPr>
            <w:r w:rsidRPr="00DE3BD5">
              <w:t>Effectiveness of phototherapy (base case: weighted average of CR and PR rates from studies used to inform ITC). Applied CR and PR rates for phototherapy from PROCLIPI registry</w:t>
            </w:r>
          </w:p>
        </w:tc>
        <w:tc>
          <w:tcPr>
            <w:tcW w:w="600" w:type="pct"/>
            <w:tcBorders>
              <w:top w:val="single" w:sz="4" w:space="0" w:color="auto"/>
              <w:left w:val="single" w:sz="4" w:space="0" w:color="auto"/>
              <w:bottom w:val="single" w:sz="4" w:space="0" w:color="auto"/>
              <w:right w:val="single" w:sz="4" w:space="0" w:color="auto"/>
            </w:tcBorders>
          </w:tcPr>
          <w:p w14:paraId="13582EBB" w14:textId="6A882299" w:rsidR="00D8137E" w:rsidRPr="001247F0" w:rsidRDefault="001247F0" w:rsidP="007C08EB">
            <w:pPr>
              <w:pStyle w:val="TableText0"/>
              <w:keepNext w:val="0"/>
              <w:keepLines/>
              <w:widowControl w:val="0"/>
              <w:jc w:val="center"/>
              <w:rPr>
                <w:szCs w:val="20"/>
              </w:rPr>
            </w:pPr>
            <w:r w:rsidRPr="001247F0">
              <w:rPr>
                <w:color w:val="000000"/>
                <w:spacing w:val="81"/>
                <w:szCs w:val="20"/>
                <w:shd w:val="solid" w:color="000000" w:fill="000000"/>
                <w:fitText w:val="416" w:id="-1236603892"/>
                <w14:textFill>
                  <w14:solidFill>
                    <w14:srgbClr w14:val="000000">
                      <w14:alpha w14:val="100000"/>
                    </w14:srgbClr>
                  </w14:solidFill>
                </w14:textFill>
              </w:rPr>
              <w:t>|||</w:t>
            </w:r>
            <w:r w:rsidRPr="001247F0">
              <w:rPr>
                <w:color w:val="000000"/>
                <w:spacing w:val="1"/>
                <w:szCs w:val="20"/>
                <w:shd w:val="solid" w:color="000000" w:fill="000000"/>
                <w:fitText w:val="416" w:id="-1236603892"/>
                <w14:textFill>
                  <w14:solidFill>
                    <w14:srgbClr w14:val="000000">
                      <w14:alpha w14:val="100000"/>
                    </w14:srgbClr>
                  </w14:solidFill>
                </w14:textFill>
              </w:rPr>
              <w:t>|</w:t>
            </w:r>
            <w:r w:rsidR="004E0B0E" w:rsidRPr="001247F0">
              <w:rPr>
                <w:szCs w:val="20"/>
              </w:rPr>
              <w:t xml:space="preserve"> </w:t>
            </w:r>
          </w:p>
        </w:tc>
        <w:tc>
          <w:tcPr>
            <w:tcW w:w="630" w:type="pct"/>
            <w:tcBorders>
              <w:top w:val="single" w:sz="4" w:space="0" w:color="auto"/>
              <w:left w:val="single" w:sz="4" w:space="0" w:color="auto"/>
              <w:bottom w:val="single" w:sz="4" w:space="0" w:color="auto"/>
              <w:right w:val="single" w:sz="4" w:space="0" w:color="auto"/>
            </w:tcBorders>
          </w:tcPr>
          <w:p w14:paraId="390565D2" w14:textId="77777777" w:rsidR="00D8137E" w:rsidRPr="00DE3BD5" w:rsidRDefault="00D8137E" w:rsidP="007C08EB">
            <w:pPr>
              <w:pStyle w:val="TableText0"/>
              <w:keepNext w:val="0"/>
              <w:keepLines/>
              <w:widowControl w:val="0"/>
              <w:jc w:val="center"/>
              <w:rPr>
                <w:szCs w:val="20"/>
              </w:rPr>
            </w:pPr>
            <w:r w:rsidRPr="00DE3BD5">
              <w:rPr>
                <w:szCs w:val="20"/>
              </w:rPr>
              <w:t>0.50</w:t>
            </w:r>
          </w:p>
        </w:tc>
        <w:tc>
          <w:tcPr>
            <w:tcW w:w="661" w:type="pct"/>
            <w:tcBorders>
              <w:top w:val="single" w:sz="4" w:space="0" w:color="auto"/>
              <w:left w:val="single" w:sz="4" w:space="0" w:color="auto"/>
              <w:bottom w:val="single" w:sz="4" w:space="0" w:color="auto"/>
              <w:right w:val="single" w:sz="4" w:space="0" w:color="auto"/>
            </w:tcBorders>
          </w:tcPr>
          <w:p w14:paraId="1F1FF15F" w14:textId="31645B7C" w:rsidR="00D8137E" w:rsidRPr="004E0B0E" w:rsidRDefault="001247F0" w:rsidP="007C08EB">
            <w:pPr>
              <w:pStyle w:val="TableText0"/>
              <w:keepNext w:val="0"/>
              <w:keepLines/>
              <w:widowControl w:val="0"/>
              <w:jc w:val="center"/>
              <w:rPr>
                <w:szCs w:val="20"/>
                <w:vertAlign w:val="superscript"/>
              </w:rPr>
            </w:pPr>
            <w:r w:rsidRPr="001247F0">
              <w:rPr>
                <w:color w:val="000000"/>
                <w:spacing w:val="78"/>
                <w:szCs w:val="20"/>
                <w:shd w:val="solid" w:color="000000" w:fill="000000"/>
                <w:fitText w:val="408" w:id="-1236603891"/>
                <w14:textFill>
                  <w14:solidFill>
                    <w14:srgbClr w14:val="000000">
                      <w14:alpha w14:val="100000"/>
                    </w14:srgbClr>
                  </w14:solidFill>
                </w14:textFill>
              </w:rPr>
              <w:t>|||</w:t>
            </w:r>
            <w:r w:rsidRPr="001247F0">
              <w:rPr>
                <w:color w:val="000000"/>
                <w:spacing w:val="2"/>
                <w:szCs w:val="20"/>
                <w:shd w:val="solid" w:color="000000" w:fill="000000"/>
                <w:fitText w:val="408" w:id="-1236603891"/>
                <w14:textFill>
                  <w14:solidFill>
                    <w14:srgbClr w14:val="000000">
                      <w14:alpha w14:val="100000"/>
                    </w14:srgbClr>
                  </w14:solidFill>
                </w14:textFill>
              </w:rPr>
              <w:t>|</w:t>
            </w:r>
            <w:r w:rsidR="004E0B0E">
              <w:rPr>
                <w:szCs w:val="20"/>
                <w:vertAlign w:val="superscript"/>
              </w:rPr>
              <w:t>9</w:t>
            </w:r>
          </w:p>
        </w:tc>
        <w:tc>
          <w:tcPr>
            <w:tcW w:w="439" w:type="pct"/>
            <w:tcBorders>
              <w:top w:val="single" w:sz="4" w:space="0" w:color="auto"/>
              <w:left w:val="single" w:sz="4" w:space="0" w:color="auto"/>
              <w:bottom w:val="single" w:sz="4" w:space="0" w:color="auto"/>
              <w:right w:val="single" w:sz="4" w:space="0" w:color="auto"/>
            </w:tcBorders>
          </w:tcPr>
          <w:p w14:paraId="277B9950" w14:textId="77777777" w:rsidR="00D8137E" w:rsidRPr="00DE3BD5" w:rsidRDefault="00D8137E" w:rsidP="007C08EB">
            <w:pPr>
              <w:pStyle w:val="TableText0"/>
              <w:keepNext w:val="0"/>
              <w:keepLines/>
              <w:widowControl w:val="0"/>
              <w:jc w:val="center"/>
              <w:rPr>
                <w:szCs w:val="20"/>
              </w:rPr>
            </w:pPr>
            <w:r w:rsidRPr="00DE3BD5">
              <w:rPr>
                <w:szCs w:val="20"/>
              </w:rPr>
              <w:t>-69%</w:t>
            </w:r>
          </w:p>
        </w:tc>
      </w:tr>
      <w:tr w:rsidR="00D8137E" w:rsidRPr="00EF4C2D" w14:paraId="0B48D619" w14:textId="77777777" w:rsidTr="00C14CD7">
        <w:trPr>
          <w:cantSplit/>
          <w:trHeight w:val="283"/>
        </w:trPr>
        <w:tc>
          <w:tcPr>
            <w:tcW w:w="2670" w:type="pct"/>
            <w:tcBorders>
              <w:top w:val="single" w:sz="4" w:space="0" w:color="auto"/>
              <w:left w:val="single" w:sz="4" w:space="0" w:color="auto"/>
              <w:bottom w:val="single" w:sz="4" w:space="0" w:color="auto"/>
              <w:right w:val="single" w:sz="4" w:space="0" w:color="auto"/>
            </w:tcBorders>
          </w:tcPr>
          <w:p w14:paraId="06CBD331" w14:textId="77777777" w:rsidR="00D8137E" w:rsidRPr="00DE3BD5" w:rsidRDefault="00D8137E" w:rsidP="007C08EB">
            <w:pPr>
              <w:pStyle w:val="TableText0"/>
              <w:keepNext w:val="0"/>
              <w:keepLines/>
              <w:widowControl w:val="0"/>
            </w:pPr>
            <w:r w:rsidRPr="00DE3BD5">
              <w:rPr>
                <w:lang w:val="en-US"/>
              </w:rPr>
              <w:t>Treatment duration of chlormethine gel (base case: applied throughout the model time horizon). 12 months stopping rule to chlormethine gel and assumed efficacy of gel post stopping rule to be same as Study 201 (no change)</w:t>
            </w:r>
            <w:r w:rsidRPr="00DE3BD5">
              <w:rPr>
                <w:vertAlign w:val="superscript"/>
                <w:lang w:val="en-US"/>
              </w:rPr>
              <w:t>a</w:t>
            </w:r>
            <w:r w:rsidRPr="00DE3BD5">
              <w:rPr>
                <w:lang w:val="en-US"/>
              </w:rPr>
              <w:t>.</w:t>
            </w:r>
          </w:p>
        </w:tc>
        <w:tc>
          <w:tcPr>
            <w:tcW w:w="600" w:type="pct"/>
            <w:tcBorders>
              <w:top w:val="single" w:sz="4" w:space="0" w:color="auto"/>
              <w:left w:val="single" w:sz="4" w:space="0" w:color="auto"/>
              <w:bottom w:val="single" w:sz="4" w:space="0" w:color="auto"/>
              <w:right w:val="single" w:sz="4" w:space="0" w:color="auto"/>
            </w:tcBorders>
          </w:tcPr>
          <w:p w14:paraId="5471C130" w14:textId="59710E30" w:rsidR="00D8137E" w:rsidRPr="001247F0" w:rsidRDefault="001247F0" w:rsidP="007C08EB">
            <w:pPr>
              <w:pStyle w:val="TableText0"/>
              <w:keepNext w:val="0"/>
              <w:keepLines/>
              <w:widowControl w:val="0"/>
              <w:jc w:val="center"/>
              <w:rPr>
                <w:szCs w:val="20"/>
              </w:rPr>
            </w:pPr>
            <w:r w:rsidRPr="001247F0">
              <w:rPr>
                <w:color w:val="000000"/>
                <w:spacing w:val="81"/>
                <w:szCs w:val="20"/>
                <w:shd w:val="solid" w:color="000000" w:fill="000000"/>
                <w:fitText w:val="416" w:id="-1236603890"/>
                <w14:textFill>
                  <w14:solidFill>
                    <w14:srgbClr w14:val="000000">
                      <w14:alpha w14:val="100000"/>
                    </w14:srgbClr>
                  </w14:solidFill>
                </w14:textFill>
              </w:rPr>
              <w:t>|||</w:t>
            </w:r>
            <w:r w:rsidRPr="001247F0">
              <w:rPr>
                <w:color w:val="000000"/>
                <w:spacing w:val="1"/>
                <w:szCs w:val="20"/>
                <w:shd w:val="solid" w:color="000000" w:fill="000000"/>
                <w:fitText w:val="416" w:id="-1236603890"/>
                <w14:textFill>
                  <w14:solidFill>
                    <w14:srgbClr w14:val="000000">
                      <w14:alpha w14:val="100000"/>
                    </w14:srgbClr>
                  </w14:solidFill>
                </w14:textFill>
              </w:rPr>
              <w:t>|</w:t>
            </w:r>
            <w:r w:rsidR="004E0B0E" w:rsidRPr="001247F0">
              <w:rPr>
                <w:szCs w:val="20"/>
              </w:rPr>
              <w:t xml:space="preserve"> </w:t>
            </w:r>
          </w:p>
        </w:tc>
        <w:tc>
          <w:tcPr>
            <w:tcW w:w="630" w:type="pct"/>
            <w:tcBorders>
              <w:top w:val="single" w:sz="4" w:space="0" w:color="auto"/>
              <w:left w:val="single" w:sz="4" w:space="0" w:color="auto"/>
              <w:bottom w:val="single" w:sz="4" w:space="0" w:color="auto"/>
              <w:right w:val="single" w:sz="4" w:space="0" w:color="auto"/>
            </w:tcBorders>
          </w:tcPr>
          <w:p w14:paraId="2B0D25BB" w14:textId="77777777" w:rsidR="00D8137E" w:rsidRPr="00DE3BD5" w:rsidRDefault="00D8137E" w:rsidP="007C08EB">
            <w:pPr>
              <w:pStyle w:val="TableText0"/>
              <w:keepNext w:val="0"/>
              <w:keepLines/>
              <w:widowControl w:val="0"/>
              <w:jc w:val="center"/>
              <w:rPr>
                <w:szCs w:val="20"/>
              </w:rPr>
            </w:pPr>
            <w:r w:rsidRPr="00DE3BD5">
              <w:rPr>
                <w:szCs w:val="20"/>
              </w:rPr>
              <w:t>0.27</w:t>
            </w:r>
          </w:p>
        </w:tc>
        <w:tc>
          <w:tcPr>
            <w:tcW w:w="661" w:type="pct"/>
            <w:tcBorders>
              <w:top w:val="single" w:sz="4" w:space="0" w:color="auto"/>
              <w:left w:val="single" w:sz="4" w:space="0" w:color="auto"/>
              <w:bottom w:val="single" w:sz="4" w:space="0" w:color="auto"/>
              <w:right w:val="single" w:sz="4" w:space="0" w:color="auto"/>
            </w:tcBorders>
          </w:tcPr>
          <w:p w14:paraId="326D41DD" w14:textId="77777777" w:rsidR="00D8137E" w:rsidRPr="00DE3BD5" w:rsidRDefault="00D8137E" w:rsidP="007C08EB">
            <w:pPr>
              <w:pStyle w:val="TableText0"/>
              <w:keepNext w:val="0"/>
              <w:keepLines/>
              <w:widowControl w:val="0"/>
              <w:jc w:val="center"/>
              <w:rPr>
                <w:szCs w:val="20"/>
              </w:rPr>
            </w:pPr>
            <w:r w:rsidRPr="00DE3BD5">
              <w:rPr>
                <w:szCs w:val="20"/>
              </w:rPr>
              <w:t>Chlormethine gel dominant</w:t>
            </w:r>
          </w:p>
        </w:tc>
        <w:tc>
          <w:tcPr>
            <w:tcW w:w="439" w:type="pct"/>
            <w:tcBorders>
              <w:top w:val="single" w:sz="4" w:space="0" w:color="auto"/>
              <w:left w:val="single" w:sz="4" w:space="0" w:color="auto"/>
              <w:bottom w:val="single" w:sz="4" w:space="0" w:color="auto"/>
              <w:right w:val="single" w:sz="4" w:space="0" w:color="auto"/>
            </w:tcBorders>
          </w:tcPr>
          <w:p w14:paraId="24848757" w14:textId="77777777" w:rsidR="00D8137E" w:rsidRPr="00DE3BD5" w:rsidRDefault="00D8137E" w:rsidP="007C08EB">
            <w:pPr>
              <w:pStyle w:val="TableText0"/>
              <w:keepNext w:val="0"/>
              <w:keepLines/>
              <w:widowControl w:val="0"/>
              <w:jc w:val="center"/>
              <w:rPr>
                <w:szCs w:val="20"/>
              </w:rPr>
            </w:pPr>
            <w:r w:rsidRPr="00DE3BD5">
              <w:rPr>
                <w:szCs w:val="20"/>
              </w:rPr>
              <w:t>-</w:t>
            </w:r>
          </w:p>
        </w:tc>
      </w:tr>
    </w:tbl>
    <w:p w14:paraId="044A271F" w14:textId="77777777" w:rsidR="00D8137E" w:rsidRPr="00EF4C2D" w:rsidRDefault="00D8137E" w:rsidP="00D8137E">
      <w:pPr>
        <w:pStyle w:val="FooterTableFigure"/>
      </w:pPr>
      <w:r w:rsidRPr="00EF4C2D">
        <w:t>Source: Table 3-37 to 3-44, p221-227 and Workbook ‘Chlormethine – Ledaga – Section 3 – Economic Model (Final)’, worksheets ‘Treatment Acquisition Costs’, ‘Settings’ of the submission.</w:t>
      </w:r>
    </w:p>
    <w:p w14:paraId="2BCB7FEB" w14:textId="77777777" w:rsidR="00D8137E" w:rsidRPr="00EF4C2D" w:rsidRDefault="00D8137E" w:rsidP="00D8137E">
      <w:pPr>
        <w:pStyle w:val="FooterTableFigure"/>
      </w:pPr>
      <w:r w:rsidRPr="00EF4C2D">
        <w:t>ATU = temporary use authorization; CR = complete response; ICER = incremental cost effectiveness ratio; ITC = indirect treatment comparison; PI = product information; PR = partial response; PD = progressive disease; PROCLIPI = Prospective Cutaneous Lymphoma International Prognostic Index; QALY = quality adjusted life years; mSWAT = modified severity weighted assessment tool.</w:t>
      </w:r>
    </w:p>
    <w:p w14:paraId="38F721EE" w14:textId="008B8E19" w:rsidR="00D8137E" w:rsidRDefault="00D8137E" w:rsidP="004E0B0E">
      <w:pPr>
        <w:pStyle w:val="FooterTableFigure"/>
        <w:spacing w:after="0"/>
        <w:rPr>
          <w:rFonts w:eastAsia="Calibri"/>
          <w:iCs/>
          <w:szCs w:val="20"/>
        </w:rPr>
      </w:pPr>
      <w:r w:rsidRPr="00EF4C2D">
        <w:rPr>
          <w:rFonts w:eastAsia="Calibri"/>
          <w:iCs/>
          <w:szCs w:val="20"/>
          <w:vertAlign w:val="superscript"/>
        </w:rPr>
        <w:t xml:space="preserve">a </w:t>
      </w:r>
      <w:r w:rsidRPr="00EF4C2D">
        <w:rPr>
          <w:rFonts w:eastAsia="Calibri"/>
          <w:iCs/>
          <w:szCs w:val="20"/>
        </w:rPr>
        <w:t xml:space="preserve">sensitivity analysis was conducted during evaluation using drop-down box or changing a single clearly labelled cell. </w:t>
      </w:r>
    </w:p>
    <w:p w14:paraId="4A914D9D" w14:textId="77777777" w:rsidR="004E0B0E" w:rsidRPr="009A6D58" w:rsidRDefault="004E0B0E" w:rsidP="004E0B0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58F2F34" w14:textId="77777777" w:rsidR="00C14CD7" w:rsidRDefault="00C14CD7" w:rsidP="004E0B0E">
      <w:pPr>
        <w:rPr>
          <w:rFonts w:ascii="Arial Narrow" w:hAnsi="Arial Narrow"/>
          <w:i/>
          <w:sz w:val="18"/>
          <w:szCs w:val="18"/>
          <w:vertAlign w:val="superscript"/>
        </w:rPr>
        <w:sectPr w:rsidR="00C14CD7" w:rsidSect="007F42BA">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440" w:right="1440" w:bottom="1440" w:left="1440" w:header="1440" w:footer="1440" w:gutter="0"/>
          <w:cols w:space="708"/>
          <w:docGrid w:linePitch="360"/>
        </w:sectPr>
      </w:pPr>
    </w:p>
    <w:p w14:paraId="2C29B192" w14:textId="77777777" w:rsidR="00C14CD7" w:rsidRDefault="004E0B0E" w:rsidP="004E0B0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C14CD7" w:rsidRPr="00C14CD7">
        <w:rPr>
          <w:rFonts w:ascii="Arial Narrow" w:hAnsi="Arial Narrow"/>
          <w:i/>
          <w:sz w:val="18"/>
          <w:szCs w:val="18"/>
        </w:rPr>
        <w:t>$55,000 to &lt; $75,000</w:t>
      </w:r>
    </w:p>
    <w:p w14:paraId="2168C580" w14:textId="18AA7063" w:rsidR="004E0B0E" w:rsidRPr="009A6D58" w:rsidRDefault="004E0B0E" w:rsidP="004E0B0E">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C14CD7" w:rsidRPr="00C14CD7">
        <w:rPr>
          <w:rFonts w:ascii="Arial Narrow" w:hAnsi="Arial Narrow"/>
          <w:i/>
          <w:sz w:val="18"/>
          <w:szCs w:val="18"/>
        </w:rPr>
        <w:t>$</w:t>
      </w:r>
      <w:bookmarkStart w:id="81" w:name="_Hlk134602500"/>
      <w:r w:rsidR="00C14CD7" w:rsidRPr="00C14CD7">
        <w:rPr>
          <w:rFonts w:ascii="Arial Narrow" w:hAnsi="Arial Narrow"/>
          <w:i/>
          <w:sz w:val="18"/>
          <w:szCs w:val="18"/>
        </w:rPr>
        <w:t>355,000 to &lt; $455,000</w:t>
      </w:r>
      <w:bookmarkEnd w:id="81"/>
    </w:p>
    <w:p w14:paraId="4B6D791F" w14:textId="792CB2D2" w:rsidR="004E0B0E" w:rsidRDefault="004E0B0E" w:rsidP="004E0B0E">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bookmarkStart w:id="82" w:name="_Hlk134602355"/>
      <w:r w:rsidR="00C14CD7" w:rsidRPr="00C14CD7">
        <w:rPr>
          <w:rFonts w:ascii="Arial Narrow" w:hAnsi="Arial Narrow"/>
          <w:i/>
          <w:sz w:val="18"/>
          <w:szCs w:val="18"/>
        </w:rPr>
        <w:t>$95,000 to &lt; $115,000</w:t>
      </w:r>
      <w:bookmarkEnd w:id="82"/>
    </w:p>
    <w:p w14:paraId="41CC67E3" w14:textId="7BDA22AA" w:rsidR="004E0B0E" w:rsidRDefault="004E0B0E" w:rsidP="004E0B0E">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C14CD7" w:rsidRPr="00C14CD7">
        <w:rPr>
          <w:rFonts w:ascii="Arial Narrow" w:hAnsi="Arial Narrow"/>
          <w:i/>
          <w:sz w:val="18"/>
          <w:szCs w:val="18"/>
        </w:rPr>
        <w:t>$255,000 to &lt; $355,000</w:t>
      </w:r>
    </w:p>
    <w:p w14:paraId="59BA5032" w14:textId="265F1543" w:rsidR="004E0B0E" w:rsidRDefault="004E0B0E" w:rsidP="004E0B0E">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bookmarkStart w:id="83" w:name="_Hlk134602659"/>
      <w:r w:rsidR="00C14CD7" w:rsidRPr="00C14CD7">
        <w:rPr>
          <w:rFonts w:ascii="Arial Narrow" w:hAnsi="Arial Narrow"/>
          <w:i/>
          <w:sz w:val="18"/>
          <w:szCs w:val="18"/>
        </w:rPr>
        <w:t>$155,000 to &lt; $255,000</w:t>
      </w:r>
      <w:bookmarkEnd w:id="83"/>
    </w:p>
    <w:p w14:paraId="5BA37B1C" w14:textId="196E82AF" w:rsidR="004E0B0E" w:rsidRDefault="004E0B0E" w:rsidP="004E0B0E">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bookmarkStart w:id="84" w:name="_Hlk134602383"/>
      <w:r w:rsidR="00C14CD7" w:rsidRPr="00C14CD7">
        <w:rPr>
          <w:rFonts w:ascii="Arial Narrow" w:hAnsi="Arial Narrow"/>
          <w:i/>
          <w:sz w:val="18"/>
          <w:szCs w:val="18"/>
        </w:rPr>
        <w:t>$115,000 to &lt; $135,000</w:t>
      </w:r>
      <w:bookmarkEnd w:id="84"/>
    </w:p>
    <w:p w14:paraId="35A10E97" w14:textId="726E8258" w:rsidR="004E0B0E" w:rsidRDefault="004E0B0E" w:rsidP="004E0B0E">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C14CD7" w:rsidRPr="00C14CD7">
        <w:rPr>
          <w:rFonts w:ascii="Arial Narrow" w:hAnsi="Arial Narrow"/>
          <w:i/>
          <w:sz w:val="18"/>
          <w:szCs w:val="18"/>
        </w:rPr>
        <w:t>$75,000 to &lt; $95,000</w:t>
      </w:r>
    </w:p>
    <w:p w14:paraId="7EB97E7C" w14:textId="127FA24A" w:rsidR="004E0B0E" w:rsidRDefault="004E0B0E" w:rsidP="004E0B0E">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C14CD7" w:rsidRPr="00C14CD7">
        <w:rPr>
          <w:rFonts w:ascii="Arial Narrow" w:hAnsi="Arial Narrow"/>
          <w:i/>
          <w:sz w:val="18"/>
          <w:szCs w:val="18"/>
        </w:rPr>
        <w:t>$25,000 to &lt; $35,000</w:t>
      </w:r>
    </w:p>
    <w:p w14:paraId="2D364DC3" w14:textId="102DAB9A" w:rsidR="004E0B0E" w:rsidRDefault="004E0B0E" w:rsidP="004E0B0E">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bookmarkStart w:id="85" w:name="_Hlk134602463"/>
      <w:r w:rsidR="00C14CD7" w:rsidRPr="00C14CD7">
        <w:rPr>
          <w:rFonts w:ascii="Arial Narrow" w:hAnsi="Arial Narrow"/>
          <w:i/>
          <w:sz w:val="18"/>
          <w:szCs w:val="18"/>
        </w:rPr>
        <w:t>$15,000 to &lt; $25,000</w:t>
      </w:r>
      <w:bookmarkEnd w:id="85"/>
    </w:p>
    <w:p w14:paraId="7112CB82" w14:textId="77777777" w:rsidR="00C14CD7" w:rsidRDefault="00C14CD7" w:rsidP="00D8137E">
      <w:pPr>
        <w:pStyle w:val="FooterTableFigure"/>
        <w:rPr>
          <w:rFonts w:eastAsia="Calibri"/>
          <w:iCs/>
          <w:szCs w:val="20"/>
        </w:rPr>
        <w:sectPr w:rsidR="00C14CD7" w:rsidSect="00C14CD7">
          <w:type w:val="continuous"/>
          <w:pgSz w:w="11907" w:h="16840" w:code="9"/>
          <w:pgMar w:top="1440" w:right="1440" w:bottom="1440" w:left="1440" w:header="1440" w:footer="1440" w:gutter="0"/>
          <w:cols w:num="3" w:space="708"/>
          <w:docGrid w:linePitch="360"/>
        </w:sectPr>
      </w:pPr>
    </w:p>
    <w:p w14:paraId="04D7136D" w14:textId="77777777" w:rsidR="004E0B0E" w:rsidRPr="00EF4C2D" w:rsidRDefault="004E0B0E" w:rsidP="00D8137E">
      <w:pPr>
        <w:pStyle w:val="FooterTableFigure"/>
        <w:rPr>
          <w:rFonts w:eastAsia="Calibri"/>
          <w:iCs/>
          <w:szCs w:val="20"/>
        </w:rPr>
      </w:pPr>
    </w:p>
    <w:p w14:paraId="57F594D0" w14:textId="6451C74E" w:rsidR="00453AB3" w:rsidRPr="00DF296F" w:rsidRDefault="00DE3BD5" w:rsidP="00DE3BD5">
      <w:pPr>
        <w:pStyle w:val="3-BodyText"/>
        <w:ind w:left="709" w:hanging="709"/>
        <w:rPr>
          <w:iCs/>
        </w:rPr>
      </w:pPr>
      <w:bookmarkStart w:id="86" w:name="_Ref127435150"/>
      <w:bookmarkStart w:id="87" w:name="_Hlk131439114"/>
      <w:bookmarkStart w:id="88" w:name="_Toc107927632"/>
      <w:bookmarkStart w:id="89" w:name="_Toc22897646"/>
      <w:bookmarkStart w:id="90" w:name="_Toc121755825"/>
      <w:r w:rsidRPr="00DF296F">
        <w:rPr>
          <w:iCs/>
        </w:rPr>
        <w:t>The ESC acknowledged the difficulty in populating an economic model for a rare disease</w:t>
      </w:r>
      <w:r w:rsidR="00453AB3" w:rsidRPr="00DF296F">
        <w:rPr>
          <w:iCs/>
        </w:rPr>
        <w:t xml:space="preserve"> but advised that the clarifications in the PSCR did not provide reassurance about the appropriateness of undertaking a CUA or the reliability of the model</w:t>
      </w:r>
      <w:r w:rsidR="00A935C2" w:rsidRPr="00DF296F">
        <w:rPr>
          <w:iCs/>
        </w:rPr>
        <w:t xml:space="preserve"> presented</w:t>
      </w:r>
      <w:r w:rsidR="00453AB3" w:rsidRPr="00DF296F">
        <w:rPr>
          <w:iCs/>
        </w:rPr>
        <w:t xml:space="preserve">. The ESC considered that chlormethine </w:t>
      </w:r>
      <w:r w:rsidR="00D27C63" w:rsidRPr="00DF296F">
        <w:rPr>
          <w:iCs/>
        </w:rPr>
        <w:t>may</w:t>
      </w:r>
      <w:r w:rsidR="00C839DC" w:rsidRPr="00DF296F">
        <w:rPr>
          <w:iCs/>
        </w:rPr>
        <w:t xml:space="preserve"> </w:t>
      </w:r>
      <w:r w:rsidR="00453AB3" w:rsidRPr="00DF296F">
        <w:rPr>
          <w:iCs/>
        </w:rPr>
        <w:t>be a useful additional therapeutic option for a niche group of patients</w:t>
      </w:r>
      <w:r w:rsidR="00A935C2" w:rsidRPr="00DF296F">
        <w:rPr>
          <w:iCs/>
        </w:rPr>
        <w:t xml:space="preserve">. With phototherapy considered an appropriate comparator the ESC considered a cost-minimisation </w:t>
      </w:r>
      <w:r w:rsidR="00D27C63" w:rsidRPr="00DF296F">
        <w:rPr>
          <w:iCs/>
        </w:rPr>
        <w:t xml:space="preserve">analysis against phototherapy </w:t>
      </w:r>
      <w:r w:rsidR="00A935C2" w:rsidRPr="00DF296F">
        <w:rPr>
          <w:iCs/>
        </w:rPr>
        <w:t>may be a potential way forward in this rare condition.</w:t>
      </w:r>
      <w:bookmarkEnd w:id="86"/>
      <w:r w:rsidR="00A935C2" w:rsidRPr="00DF296F">
        <w:rPr>
          <w:iCs/>
        </w:rPr>
        <w:t xml:space="preserve"> </w:t>
      </w:r>
      <w:bookmarkEnd w:id="87"/>
      <w:r w:rsidR="00311D08">
        <w:rPr>
          <w:iCs/>
        </w:rPr>
        <w:t xml:space="preserve">The pre-PBAC response stated that the suggested cost-minimisation analysis is unlikely to facilitate a result which would allow chlormethine gel to be made available in Australia. </w:t>
      </w:r>
    </w:p>
    <w:p w14:paraId="7BDD6CD7" w14:textId="128DB078" w:rsidR="00D8137E" w:rsidRPr="00EF4C2D" w:rsidRDefault="00D8137E" w:rsidP="00D8137E">
      <w:pPr>
        <w:pStyle w:val="4-SubsectionHeading"/>
      </w:pPr>
      <w:r w:rsidRPr="00EF4C2D">
        <w:t>Treatment cost/patient/year</w:t>
      </w:r>
      <w:bookmarkEnd w:id="88"/>
      <w:bookmarkEnd w:id="89"/>
      <w:bookmarkEnd w:id="90"/>
    </w:p>
    <w:p w14:paraId="78A57BF3" w14:textId="0819C47E" w:rsidR="00D8137E" w:rsidRPr="0092490D" w:rsidRDefault="00D8137E" w:rsidP="0092490D">
      <w:pPr>
        <w:pStyle w:val="3-BodyText"/>
        <w:ind w:left="709" w:hanging="709"/>
        <w:rPr>
          <w:iCs/>
        </w:rPr>
      </w:pPr>
      <w:bookmarkStart w:id="91" w:name="_Ref104805102"/>
      <w:r w:rsidRPr="0092490D">
        <w:rPr>
          <w:iCs/>
        </w:rPr>
        <w:t xml:space="preserve">The treatment cost per patient per year is presented in </w:t>
      </w:r>
      <w:r w:rsidRPr="0092490D">
        <w:rPr>
          <w:iCs/>
        </w:rPr>
        <w:fldChar w:fldCharType="begin"/>
      </w:r>
      <w:r w:rsidRPr="0092490D">
        <w:rPr>
          <w:iCs/>
        </w:rPr>
        <w:instrText xml:space="preserve"> REF _Ref121470045 \h  \* MERGEFORMAT </w:instrText>
      </w:r>
      <w:r w:rsidRPr="0092490D">
        <w:rPr>
          <w:iCs/>
        </w:rPr>
      </w:r>
      <w:r w:rsidRPr="0092490D">
        <w:rPr>
          <w:iCs/>
        </w:rPr>
        <w:fldChar w:fldCharType="separate"/>
      </w:r>
      <w:r w:rsidR="00FD5578" w:rsidRPr="00FD5578">
        <w:rPr>
          <w:iCs/>
        </w:rPr>
        <w:t>Table 12</w:t>
      </w:r>
      <w:r w:rsidRPr="0092490D">
        <w:rPr>
          <w:iCs/>
        </w:rPr>
        <w:fldChar w:fldCharType="end"/>
      </w:r>
      <w:r w:rsidRPr="0092490D">
        <w:rPr>
          <w:iCs/>
        </w:rPr>
        <w:t xml:space="preserve">. The cost associated with phototherapy is not a drug cost but an administration cost for phototherapy. The results in </w:t>
      </w:r>
      <w:r w:rsidRPr="0092490D">
        <w:rPr>
          <w:iCs/>
        </w:rPr>
        <w:fldChar w:fldCharType="begin"/>
      </w:r>
      <w:r w:rsidRPr="0092490D">
        <w:rPr>
          <w:iCs/>
        </w:rPr>
        <w:instrText xml:space="preserve"> REF _Ref121470045 \h  \* MERGEFORMAT </w:instrText>
      </w:r>
      <w:r w:rsidRPr="0092490D">
        <w:rPr>
          <w:iCs/>
        </w:rPr>
      </w:r>
      <w:r w:rsidRPr="0092490D">
        <w:rPr>
          <w:iCs/>
        </w:rPr>
        <w:fldChar w:fldCharType="separate"/>
      </w:r>
      <w:r w:rsidR="00FD5578" w:rsidRPr="00FD5578">
        <w:rPr>
          <w:iCs/>
        </w:rPr>
        <w:t>Table 12</w:t>
      </w:r>
      <w:r w:rsidRPr="0092490D">
        <w:rPr>
          <w:iCs/>
        </w:rPr>
        <w:fldChar w:fldCharType="end"/>
      </w:r>
      <w:r w:rsidRPr="0092490D">
        <w:rPr>
          <w:iCs/>
        </w:rPr>
        <w:t xml:space="preserve"> show that the submission estimated a higher cost per patient per year in the CUA and financial estimates compared to the trial-based use for either intervention; with a higher difference seen in the chlormethine gel arm. There are also differences in the costs calculated for the CUA and financial estimates for both chlormethine gel and phototherapy.</w:t>
      </w:r>
    </w:p>
    <w:p w14:paraId="7F90FF40" w14:textId="0FA105E3" w:rsidR="00D8137E" w:rsidRPr="00EF4C2D" w:rsidRDefault="00D8137E" w:rsidP="00D8137E">
      <w:pPr>
        <w:pStyle w:val="Caption"/>
        <w:jc w:val="left"/>
        <w:rPr>
          <w:rStyle w:val="CommentReference"/>
          <w:b/>
          <w:bCs w:val="0"/>
        </w:rPr>
      </w:pPr>
      <w:bookmarkStart w:id="92" w:name="_Ref121470045"/>
      <w:bookmarkEnd w:id="91"/>
      <w:r w:rsidRPr="00EF4C2D">
        <w:t xml:space="preserve">Table </w:t>
      </w:r>
      <w:r w:rsidR="00FD5578">
        <w:fldChar w:fldCharType="begin"/>
      </w:r>
      <w:r w:rsidR="00FD5578">
        <w:instrText xml:space="preserve"> SEQ Table \* ARABIC </w:instrText>
      </w:r>
      <w:r w:rsidR="00FD5578">
        <w:fldChar w:fldCharType="separate"/>
      </w:r>
      <w:r w:rsidR="00FD5578">
        <w:rPr>
          <w:noProof/>
        </w:rPr>
        <w:t>12</w:t>
      </w:r>
      <w:r w:rsidR="00FD5578">
        <w:rPr>
          <w:noProof/>
        </w:rPr>
        <w:fldChar w:fldCharType="end"/>
      </w:r>
      <w:bookmarkEnd w:id="92"/>
      <w:r w:rsidRPr="00EF4C2D">
        <w:t>: Treatment cost per patient for chlormethine gel and phototherapy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1"/>
        <w:gridCol w:w="1214"/>
        <w:gridCol w:w="1708"/>
        <w:gridCol w:w="1206"/>
        <w:gridCol w:w="1140"/>
        <w:gridCol w:w="1140"/>
        <w:gridCol w:w="1138"/>
      </w:tblGrid>
      <w:tr w:rsidR="00D8137E" w:rsidRPr="00EF4C2D" w14:paraId="7D99BFEE" w14:textId="77777777" w:rsidTr="007C08EB">
        <w:trPr>
          <w:cantSplit/>
          <w:tblHeader/>
          <w:jc w:val="center"/>
        </w:trPr>
        <w:tc>
          <w:tcPr>
            <w:tcW w:w="816" w:type="pct"/>
            <w:tcBorders>
              <w:top w:val="single" w:sz="4" w:space="0" w:color="auto"/>
              <w:left w:val="single" w:sz="4" w:space="0" w:color="auto"/>
              <w:bottom w:val="single" w:sz="4" w:space="0" w:color="auto"/>
              <w:right w:val="single" w:sz="4" w:space="0" w:color="auto"/>
            </w:tcBorders>
            <w:vAlign w:val="center"/>
          </w:tcPr>
          <w:p w14:paraId="789D42B1" w14:textId="77777777" w:rsidR="00D8137E" w:rsidRPr="00EF4C2D" w:rsidRDefault="00D8137E" w:rsidP="007C08EB">
            <w:pPr>
              <w:pStyle w:val="In-tableHeading"/>
              <w:jc w:val="center"/>
            </w:pPr>
          </w:p>
        </w:tc>
        <w:tc>
          <w:tcPr>
            <w:tcW w:w="2289" w:type="pct"/>
            <w:gridSpan w:val="3"/>
            <w:tcBorders>
              <w:top w:val="single" w:sz="4" w:space="0" w:color="auto"/>
              <w:left w:val="single" w:sz="4" w:space="0" w:color="auto"/>
              <w:bottom w:val="single" w:sz="4" w:space="0" w:color="auto"/>
              <w:right w:val="single" w:sz="4" w:space="0" w:color="auto"/>
            </w:tcBorders>
            <w:vAlign w:val="center"/>
            <w:hideMark/>
          </w:tcPr>
          <w:p w14:paraId="441477A9" w14:textId="77777777" w:rsidR="00D8137E" w:rsidRPr="00EF4C2D" w:rsidRDefault="00D8137E" w:rsidP="007C08EB">
            <w:pPr>
              <w:pStyle w:val="In-tableHeading"/>
              <w:jc w:val="center"/>
            </w:pPr>
            <w:r w:rsidRPr="00EF4C2D">
              <w:t>Chlormethine gel</w:t>
            </w:r>
          </w:p>
        </w:tc>
        <w:tc>
          <w:tcPr>
            <w:tcW w:w="189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3F75DE" w14:textId="77777777" w:rsidR="00D8137E" w:rsidRPr="00EF4C2D" w:rsidRDefault="00D8137E" w:rsidP="007C08EB">
            <w:pPr>
              <w:pStyle w:val="In-tableHeading"/>
              <w:jc w:val="center"/>
            </w:pPr>
            <w:r w:rsidRPr="00EF4C2D">
              <w:t xml:space="preserve">Phototherapy </w:t>
            </w:r>
          </w:p>
        </w:tc>
      </w:tr>
      <w:tr w:rsidR="00D8137E" w:rsidRPr="00EF4C2D" w14:paraId="63AE8EC0" w14:textId="77777777" w:rsidTr="007C08EB">
        <w:trPr>
          <w:cantSplit/>
          <w:tblHeader/>
          <w:jc w:val="center"/>
        </w:trPr>
        <w:tc>
          <w:tcPr>
            <w:tcW w:w="816" w:type="pct"/>
            <w:tcBorders>
              <w:top w:val="single" w:sz="4" w:space="0" w:color="auto"/>
              <w:left w:val="single" w:sz="4" w:space="0" w:color="auto"/>
              <w:bottom w:val="single" w:sz="4" w:space="0" w:color="auto"/>
              <w:right w:val="single" w:sz="4" w:space="0" w:color="auto"/>
            </w:tcBorders>
            <w:vAlign w:val="center"/>
          </w:tcPr>
          <w:p w14:paraId="0E64F816" w14:textId="77777777" w:rsidR="00D8137E" w:rsidRPr="00EF4C2D" w:rsidRDefault="00D8137E" w:rsidP="007C08EB">
            <w:pPr>
              <w:pStyle w:val="In-tableHeading"/>
              <w:jc w:val="center"/>
            </w:pPr>
          </w:p>
        </w:tc>
        <w:tc>
          <w:tcPr>
            <w:tcW w:w="673" w:type="pct"/>
            <w:tcBorders>
              <w:top w:val="single" w:sz="4" w:space="0" w:color="auto"/>
              <w:left w:val="single" w:sz="4" w:space="0" w:color="auto"/>
              <w:bottom w:val="single" w:sz="4" w:space="0" w:color="auto"/>
              <w:right w:val="single" w:sz="4" w:space="0" w:color="auto"/>
            </w:tcBorders>
            <w:vAlign w:val="center"/>
            <w:hideMark/>
          </w:tcPr>
          <w:p w14:paraId="528E29C0" w14:textId="77777777" w:rsidR="00D8137E" w:rsidRPr="00EF4C2D" w:rsidRDefault="00D8137E" w:rsidP="007C08EB">
            <w:pPr>
              <w:pStyle w:val="In-tableHeading"/>
              <w:jc w:val="center"/>
            </w:pPr>
            <w:r w:rsidRPr="00EF4C2D">
              <w:t>Trial dose and duration</w:t>
            </w:r>
          </w:p>
        </w:tc>
        <w:tc>
          <w:tcPr>
            <w:tcW w:w="947" w:type="pct"/>
            <w:tcBorders>
              <w:top w:val="single" w:sz="4" w:space="0" w:color="auto"/>
              <w:left w:val="single" w:sz="4" w:space="0" w:color="auto"/>
              <w:bottom w:val="single" w:sz="4" w:space="0" w:color="auto"/>
              <w:right w:val="single" w:sz="4" w:space="0" w:color="auto"/>
            </w:tcBorders>
            <w:vAlign w:val="center"/>
            <w:hideMark/>
          </w:tcPr>
          <w:p w14:paraId="32E488B6" w14:textId="77777777" w:rsidR="00D8137E" w:rsidRPr="00EF4C2D" w:rsidRDefault="00D8137E" w:rsidP="007C08EB">
            <w:pPr>
              <w:pStyle w:val="In-tableHeading"/>
              <w:jc w:val="center"/>
            </w:pPr>
            <w:r w:rsidRPr="00EF4C2D">
              <w:t>Model</w:t>
            </w:r>
          </w:p>
        </w:tc>
        <w:tc>
          <w:tcPr>
            <w:tcW w:w="669" w:type="pct"/>
            <w:tcBorders>
              <w:top w:val="single" w:sz="4" w:space="0" w:color="auto"/>
              <w:left w:val="single" w:sz="4" w:space="0" w:color="auto"/>
              <w:bottom w:val="single" w:sz="4" w:space="0" w:color="auto"/>
              <w:right w:val="single" w:sz="4" w:space="0" w:color="auto"/>
            </w:tcBorders>
            <w:vAlign w:val="center"/>
            <w:hideMark/>
          </w:tcPr>
          <w:p w14:paraId="045D7F6B" w14:textId="77777777" w:rsidR="00D8137E" w:rsidRPr="00EF4C2D" w:rsidRDefault="00D8137E" w:rsidP="007C08EB">
            <w:pPr>
              <w:pStyle w:val="In-tableHeading"/>
              <w:jc w:val="center"/>
            </w:pPr>
            <w:r w:rsidRPr="00EF4C2D">
              <w:t>Financial estimates</w:t>
            </w:r>
          </w:p>
        </w:tc>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405B3" w14:textId="77777777" w:rsidR="00D8137E" w:rsidRPr="00EF4C2D" w:rsidRDefault="00D8137E" w:rsidP="007C08EB">
            <w:pPr>
              <w:pStyle w:val="In-tableHeading"/>
              <w:jc w:val="center"/>
            </w:pPr>
            <w:r w:rsidRPr="00EF4C2D">
              <w:t>Trial dose and duration</w:t>
            </w:r>
          </w:p>
        </w:tc>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E3F8CD" w14:textId="77777777" w:rsidR="00D8137E" w:rsidRPr="00EF4C2D" w:rsidRDefault="00D8137E" w:rsidP="007C08EB">
            <w:pPr>
              <w:pStyle w:val="In-tableHeading"/>
              <w:jc w:val="center"/>
            </w:pPr>
            <w:r w:rsidRPr="00EF4C2D">
              <w:t>Model</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304A159" w14:textId="77777777" w:rsidR="00D8137E" w:rsidRPr="00EF4C2D" w:rsidRDefault="00D8137E" w:rsidP="007C08EB">
            <w:pPr>
              <w:pStyle w:val="In-tableHeading"/>
              <w:jc w:val="center"/>
            </w:pPr>
            <w:r w:rsidRPr="00EF4C2D">
              <w:t>Financial estimates</w:t>
            </w:r>
          </w:p>
        </w:tc>
      </w:tr>
      <w:tr w:rsidR="00D8137E" w:rsidRPr="00EF4C2D" w14:paraId="7FE28A55" w14:textId="77777777" w:rsidTr="007C08EB">
        <w:trPr>
          <w:cantSplit/>
          <w:jc w:val="center"/>
        </w:trPr>
        <w:tc>
          <w:tcPr>
            <w:tcW w:w="816" w:type="pct"/>
            <w:tcBorders>
              <w:top w:val="single" w:sz="4" w:space="0" w:color="auto"/>
              <w:left w:val="single" w:sz="4" w:space="0" w:color="auto"/>
              <w:bottom w:val="single" w:sz="4" w:space="0" w:color="auto"/>
              <w:right w:val="single" w:sz="4" w:space="0" w:color="auto"/>
            </w:tcBorders>
            <w:vAlign w:val="center"/>
            <w:hideMark/>
          </w:tcPr>
          <w:p w14:paraId="3AA7372A" w14:textId="77777777" w:rsidR="00D8137E" w:rsidRPr="000D4B4F" w:rsidRDefault="00D8137E" w:rsidP="007C08EB">
            <w:pPr>
              <w:pStyle w:val="TableText0"/>
              <w:rPr>
                <w:lang w:val="en-US"/>
              </w:rPr>
            </w:pPr>
            <w:r w:rsidRPr="000D4B4F">
              <w:rPr>
                <w:lang w:val="en-US"/>
              </w:rPr>
              <w:t>Mean dose</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FC27D1" w14:textId="77777777" w:rsidR="00D8137E" w:rsidRPr="000D4B4F" w:rsidRDefault="00D8137E" w:rsidP="007C08EB">
            <w:pPr>
              <w:pStyle w:val="TableText0"/>
              <w:jc w:val="center"/>
              <w:rPr>
                <w:lang w:val="en-US"/>
              </w:rPr>
            </w:pPr>
            <w:r w:rsidRPr="000D4B4F">
              <w:rPr>
                <w:lang w:val="en-US"/>
              </w:rPr>
              <w:t>2.81 g/day</w:t>
            </w:r>
          </w:p>
        </w:tc>
        <w:tc>
          <w:tcPr>
            <w:tcW w:w="947" w:type="pct"/>
            <w:tcBorders>
              <w:top w:val="single" w:sz="4" w:space="0" w:color="auto"/>
              <w:left w:val="single" w:sz="4" w:space="0" w:color="auto"/>
              <w:bottom w:val="single" w:sz="4" w:space="0" w:color="auto"/>
              <w:right w:val="single" w:sz="4" w:space="0" w:color="auto"/>
            </w:tcBorders>
            <w:vAlign w:val="center"/>
            <w:hideMark/>
          </w:tcPr>
          <w:p w14:paraId="5390436F" w14:textId="77777777" w:rsidR="00D8137E" w:rsidRPr="000D4B4F" w:rsidRDefault="00D8137E" w:rsidP="007C08EB">
            <w:pPr>
              <w:pStyle w:val="TableText0"/>
              <w:jc w:val="center"/>
              <w:rPr>
                <w:lang w:val="en-US"/>
              </w:rPr>
            </w:pPr>
            <w:r w:rsidRPr="000D4B4F">
              <w:rPr>
                <w:lang w:val="en-US"/>
              </w:rPr>
              <w:t>Not used</w:t>
            </w:r>
          </w:p>
        </w:tc>
        <w:tc>
          <w:tcPr>
            <w:tcW w:w="669" w:type="pct"/>
            <w:tcBorders>
              <w:top w:val="single" w:sz="4" w:space="0" w:color="auto"/>
              <w:left w:val="single" w:sz="4" w:space="0" w:color="auto"/>
              <w:bottom w:val="single" w:sz="4" w:space="0" w:color="auto"/>
              <w:right w:val="single" w:sz="4" w:space="0" w:color="auto"/>
            </w:tcBorders>
            <w:vAlign w:val="center"/>
            <w:hideMark/>
          </w:tcPr>
          <w:p w14:paraId="6077D03D" w14:textId="77777777" w:rsidR="00D8137E" w:rsidRPr="000D4B4F" w:rsidRDefault="00D8137E" w:rsidP="007C08EB">
            <w:pPr>
              <w:pStyle w:val="TableText0"/>
              <w:jc w:val="center"/>
              <w:rPr>
                <w:lang w:val="en-US"/>
              </w:rPr>
            </w:pPr>
            <w:r w:rsidRPr="000D4B4F">
              <w:rPr>
                <w:lang w:val="en-US"/>
              </w:rPr>
              <w:t>1.8 g/day</w:t>
            </w:r>
          </w:p>
        </w:tc>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CA8F9" w14:textId="77777777" w:rsidR="00D8137E" w:rsidRPr="000D4B4F" w:rsidRDefault="00D8137E" w:rsidP="007C08EB">
            <w:pPr>
              <w:pStyle w:val="TableText0"/>
              <w:jc w:val="center"/>
              <w:rPr>
                <w:lang w:val="en-US"/>
              </w:rPr>
            </w:pPr>
            <w:r w:rsidRPr="000D4B4F">
              <w:rPr>
                <w:lang w:val="en-US"/>
              </w:rPr>
              <w:t>NR</w:t>
            </w:r>
          </w:p>
        </w:tc>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6B391E" w14:textId="77777777" w:rsidR="00D8137E" w:rsidRPr="000D4B4F" w:rsidRDefault="00D8137E" w:rsidP="007C08EB">
            <w:pPr>
              <w:pStyle w:val="TableText0"/>
              <w:jc w:val="center"/>
              <w:rPr>
                <w:lang w:val="en-US"/>
              </w:rPr>
            </w:pPr>
            <w:r w:rsidRPr="000D4B4F">
              <w:rPr>
                <w:lang w:val="en-US"/>
              </w:rPr>
              <w:t>NR</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87AF3A9" w14:textId="77777777" w:rsidR="00D8137E" w:rsidRPr="000D4B4F" w:rsidRDefault="00D8137E" w:rsidP="007C08EB">
            <w:pPr>
              <w:pStyle w:val="TableText0"/>
              <w:jc w:val="center"/>
              <w:rPr>
                <w:lang w:val="en-US"/>
              </w:rPr>
            </w:pPr>
            <w:r w:rsidRPr="000D4B4F">
              <w:rPr>
                <w:lang w:val="en-US"/>
              </w:rPr>
              <w:t>NR</w:t>
            </w:r>
          </w:p>
        </w:tc>
      </w:tr>
      <w:tr w:rsidR="00D8137E" w:rsidRPr="00EF4C2D" w14:paraId="0512E075" w14:textId="77777777" w:rsidTr="007C08EB">
        <w:trPr>
          <w:cantSplit/>
          <w:jc w:val="center"/>
        </w:trPr>
        <w:tc>
          <w:tcPr>
            <w:tcW w:w="816" w:type="pct"/>
            <w:tcBorders>
              <w:top w:val="single" w:sz="4" w:space="0" w:color="auto"/>
              <w:left w:val="single" w:sz="4" w:space="0" w:color="auto"/>
              <w:bottom w:val="single" w:sz="4" w:space="0" w:color="auto"/>
              <w:right w:val="single" w:sz="4" w:space="0" w:color="auto"/>
            </w:tcBorders>
            <w:vAlign w:val="center"/>
            <w:hideMark/>
          </w:tcPr>
          <w:p w14:paraId="30E1ED52" w14:textId="77777777" w:rsidR="00D8137E" w:rsidRPr="000D4B4F" w:rsidRDefault="00D8137E" w:rsidP="007C08EB">
            <w:pPr>
              <w:pStyle w:val="TableText0"/>
              <w:rPr>
                <w:lang w:val="en-US"/>
              </w:rPr>
            </w:pPr>
            <w:r w:rsidRPr="000D4B4F">
              <w:rPr>
                <w:lang w:val="en-US"/>
              </w:rPr>
              <w:t>Mean duration</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5A21CD" w14:textId="77777777" w:rsidR="00D8137E" w:rsidRPr="000D4B4F" w:rsidRDefault="00D8137E" w:rsidP="007C08EB">
            <w:pPr>
              <w:pStyle w:val="TableText0"/>
              <w:jc w:val="center"/>
              <w:rPr>
                <w:lang w:val="en-US"/>
              </w:rPr>
            </w:pPr>
            <w:r w:rsidRPr="000D4B4F">
              <w:rPr>
                <w:lang w:val="en-US"/>
              </w:rPr>
              <w:t>12 months</w:t>
            </w:r>
          </w:p>
        </w:tc>
        <w:tc>
          <w:tcPr>
            <w:tcW w:w="947" w:type="pct"/>
            <w:tcBorders>
              <w:top w:val="single" w:sz="4" w:space="0" w:color="auto"/>
              <w:left w:val="single" w:sz="4" w:space="0" w:color="auto"/>
              <w:bottom w:val="single" w:sz="4" w:space="0" w:color="auto"/>
              <w:right w:val="single" w:sz="4" w:space="0" w:color="auto"/>
            </w:tcBorders>
            <w:vAlign w:val="center"/>
            <w:hideMark/>
          </w:tcPr>
          <w:p w14:paraId="2ACFAC76" w14:textId="77777777" w:rsidR="00D8137E" w:rsidRPr="000D4B4F" w:rsidRDefault="00D8137E" w:rsidP="007C08EB">
            <w:pPr>
              <w:pStyle w:val="TableText0"/>
              <w:jc w:val="center"/>
              <w:rPr>
                <w:lang w:val="en-US"/>
              </w:rPr>
            </w:pPr>
            <w:r w:rsidRPr="000D4B4F">
              <w:rPr>
                <w:lang w:val="en-US"/>
              </w:rPr>
              <w:t>272 months</w:t>
            </w:r>
          </w:p>
        </w:tc>
        <w:tc>
          <w:tcPr>
            <w:tcW w:w="669" w:type="pct"/>
            <w:tcBorders>
              <w:top w:val="single" w:sz="4" w:space="0" w:color="auto"/>
              <w:left w:val="single" w:sz="4" w:space="0" w:color="auto"/>
              <w:bottom w:val="single" w:sz="4" w:space="0" w:color="auto"/>
              <w:right w:val="single" w:sz="4" w:space="0" w:color="auto"/>
            </w:tcBorders>
            <w:vAlign w:val="center"/>
            <w:hideMark/>
          </w:tcPr>
          <w:p w14:paraId="7C17EF6C" w14:textId="77777777" w:rsidR="00D8137E" w:rsidRPr="000D4B4F" w:rsidRDefault="00D8137E" w:rsidP="007C08EB">
            <w:pPr>
              <w:pStyle w:val="TableText0"/>
              <w:jc w:val="center"/>
              <w:rPr>
                <w:lang w:val="en-US"/>
              </w:rPr>
            </w:pPr>
            <w:r w:rsidRPr="000D4B4F">
              <w:rPr>
                <w:lang w:val="en-US"/>
              </w:rPr>
              <w:t>48 months</w:t>
            </w:r>
          </w:p>
        </w:tc>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490A28" w14:textId="77777777" w:rsidR="00D8137E" w:rsidRPr="000D4B4F" w:rsidRDefault="00D8137E" w:rsidP="007C08EB">
            <w:pPr>
              <w:pStyle w:val="TableText0"/>
              <w:jc w:val="center"/>
              <w:rPr>
                <w:lang w:val="en-US"/>
              </w:rPr>
            </w:pPr>
            <w:r w:rsidRPr="000D4B4F">
              <w:rPr>
                <w:lang w:val="en-US"/>
              </w:rPr>
              <w:t>13 weeks</w:t>
            </w:r>
          </w:p>
        </w:tc>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76731" w14:textId="77777777" w:rsidR="00D8137E" w:rsidRPr="000D4B4F" w:rsidRDefault="00D8137E" w:rsidP="007C08EB">
            <w:pPr>
              <w:pStyle w:val="TableText0"/>
              <w:jc w:val="center"/>
              <w:rPr>
                <w:b/>
                <w:lang w:val="en-US"/>
              </w:rPr>
            </w:pPr>
            <w:r w:rsidRPr="000D4B4F">
              <w:rPr>
                <w:lang w:val="en-US"/>
              </w:rPr>
              <w:t>272 months</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ADE814B" w14:textId="77777777" w:rsidR="00D8137E" w:rsidRPr="000D4B4F" w:rsidRDefault="00D8137E" w:rsidP="007C08EB">
            <w:pPr>
              <w:pStyle w:val="TableText0"/>
              <w:jc w:val="center"/>
              <w:rPr>
                <w:lang w:val="en-US"/>
              </w:rPr>
            </w:pPr>
            <w:r w:rsidRPr="000D4B4F">
              <w:rPr>
                <w:lang w:val="en-US"/>
              </w:rPr>
              <w:t>48 months</w:t>
            </w:r>
          </w:p>
        </w:tc>
      </w:tr>
      <w:tr w:rsidR="00D8137E" w:rsidRPr="00EF4C2D" w14:paraId="40BD55F8" w14:textId="77777777" w:rsidTr="007C08EB">
        <w:trPr>
          <w:cantSplit/>
          <w:jc w:val="center"/>
        </w:trPr>
        <w:tc>
          <w:tcPr>
            <w:tcW w:w="816" w:type="pct"/>
            <w:tcBorders>
              <w:top w:val="single" w:sz="4" w:space="0" w:color="auto"/>
              <w:left w:val="single" w:sz="4" w:space="0" w:color="auto"/>
              <w:bottom w:val="single" w:sz="4" w:space="0" w:color="auto"/>
              <w:right w:val="single" w:sz="4" w:space="0" w:color="auto"/>
            </w:tcBorders>
            <w:vAlign w:val="center"/>
            <w:hideMark/>
          </w:tcPr>
          <w:p w14:paraId="4039A38C" w14:textId="77777777" w:rsidR="00D8137E" w:rsidRPr="000D4B4F" w:rsidRDefault="00D8137E" w:rsidP="007C08EB">
            <w:pPr>
              <w:pStyle w:val="TableText0"/>
              <w:rPr>
                <w:lang w:val="en-US"/>
              </w:rPr>
            </w:pPr>
            <w:r w:rsidRPr="000D4B4F">
              <w:rPr>
                <w:lang w:val="en-US"/>
              </w:rPr>
              <w:t>Cost/patient/month</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4410CA" w14:textId="52B7E7F8" w:rsidR="00D8137E" w:rsidRPr="000D4B4F" w:rsidRDefault="00D8137E" w:rsidP="007C08EB">
            <w:pPr>
              <w:pStyle w:val="TableText0"/>
              <w:jc w:val="center"/>
              <w:rPr>
                <w:vertAlign w:val="superscript"/>
                <w:lang w:val="en-US"/>
              </w:rPr>
            </w:pPr>
            <w:r w:rsidRPr="000D4B4F">
              <w:rPr>
                <w:lang w:val="en-US"/>
              </w:rPr>
              <w:t>$</w:t>
            </w:r>
            <w:r w:rsidR="001247F0" w:rsidRPr="001247F0">
              <w:rPr>
                <w:color w:val="000000"/>
                <w:spacing w:val="62"/>
                <w:shd w:val="solid" w:color="000000" w:fill="000000"/>
                <w:fitText w:val="375" w:id="-1236603889"/>
                <w:lang w:val="en-US"/>
                <w14:textFill>
                  <w14:solidFill>
                    <w14:srgbClr w14:val="000000">
                      <w14:alpha w14:val="100000"/>
                    </w14:srgbClr>
                  </w14:solidFill>
                </w14:textFill>
              </w:rPr>
              <w:t>|||</w:t>
            </w:r>
            <w:r w:rsidR="001247F0" w:rsidRPr="001247F0">
              <w:rPr>
                <w:color w:val="000000"/>
                <w:spacing w:val="25"/>
                <w:shd w:val="solid" w:color="000000" w:fill="000000"/>
                <w:fitText w:val="375" w:id="-1236603889"/>
                <w:lang w:val="en-US"/>
                <w14:textFill>
                  <w14:solidFill>
                    <w14:srgbClr w14:val="000000">
                      <w14:alpha w14:val="100000"/>
                    </w14:srgbClr>
                  </w14:solidFill>
                </w14:textFill>
              </w:rPr>
              <w:t>|</w:t>
            </w:r>
            <w:r w:rsidRPr="00286DC3">
              <w:rPr>
                <w:vertAlign w:val="superscript"/>
                <w:lang w:val="en-US"/>
              </w:rPr>
              <w:t>a</w:t>
            </w:r>
          </w:p>
        </w:tc>
        <w:tc>
          <w:tcPr>
            <w:tcW w:w="947" w:type="pct"/>
            <w:tcBorders>
              <w:top w:val="single" w:sz="4" w:space="0" w:color="auto"/>
              <w:left w:val="single" w:sz="4" w:space="0" w:color="auto"/>
              <w:bottom w:val="single" w:sz="4" w:space="0" w:color="auto"/>
              <w:right w:val="single" w:sz="4" w:space="0" w:color="auto"/>
            </w:tcBorders>
            <w:vAlign w:val="center"/>
            <w:hideMark/>
          </w:tcPr>
          <w:p w14:paraId="14451AE8" w14:textId="476811B6" w:rsidR="00D8137E" w:rsidRPr="000D4B4F" w:rsidRDefault="00D8137E" w:rsidP="007C08EB">
            <w:pPr>
              <w:pStyle w:val="TableText0"/>
              <w:jc w:val="center"/>
              <w:rPr>
                <w:vertAlign w:val="superscript"/>
                <w:lang w:val="en-US"/>
              </w:rPr>
            </w:pPr>
            <w:r w:rsidRPr="000D4B4F">
              <w:rPr>
                <w:lang w:val="en-US"/>
              </w:rPr>
              <w:t>$</w:t>
            </w:r>
            <w:r w:rsidR="001247F0" w:rsidRPr="001247F0">
              <w:rPr>
                <w:rFonts w:hint="eastAsia"/>
                <w:color w:val="000000"/>
                <w:w w:val="28"/>
                <w:shd w:val="solid" w:color="000000" w:fill="000000"/>
                <w:fitText w:val="125" w:id="-1236603888"/>
                <w:lang w:val="en-US"/>
                <w14:textFill>
                  <w14:solidFill>
                    <w14:srgbClr w14:val="000000">
                      <w14:alpha w14:val="100000"/>
                    </w14:srgbClr>
                  </w14:solidFill>
                </w14:textFill>
              </w:rPr>
              <w:t xml:space="preserve">　</w:t>
            </w:r>
            <w:r w:rsidR="001247F0" w:rsidRPr="001247F0">
              <w:rPr>
                <w:color w:val="000000"/>
                <w:w w:val="28"/>
                <w:shd w:val="solid" w:color="000000" w:fill="000000"/>
                <w:fitText w:val="125" w:id="-1236603888"/>
                <w:lang w:val="en-US"/>
                <w14:textFill>
                  <w14:solidFill>
                    <w14:srgbClr w14:val="000000">
                      <w14:alpha w14:val="100000"/>
                    </w14:srgbClr>
                  </w14:solidFill>
                </w14:textFill>
              </w:rPr>
              <w:t>|</w:t>
            </w:r>
            <w:r w:rsidR="001247F0" w:rsidRPr="001247F0">
              <w:rPr>
                <w:rFonts w:hint="eastAsia"/>
                <w:color w:val="000000"/>
                <w:spacing w:val="3"/>
                <w:w w:val="28"/>
                <w:shd w:val="solid" w:color="000000" w:fill="000000"/>
                <w:fitText w:val="125" w:id="-1236603888"/>
                <w:lang w:val="en-US"/>
                <w14:textFill>
                  <w14:solidFill>
                    <w14:srgbClr w14:val="000000">
                      <w14:alpha w14:val="100000"/>
                    </w14:srgbClr>
                  </w14:solidFill>
                </w14:textFill>
              </w:rPr>
              <w:t xml:space="preserve">　</w:t>
            </w:r>
            <w:r w:rsidRPr="000D4B4F">
              <w:rPr>
                <w:vertAlign w:val="superscript"/>
                <w:lang w:val="en-US"/>
              </w:rPr>
              <w:t>b</w:t>
            </w:r>
          </w:p>
        </w:tc>
        <w:tc>
          <w:tcPr>
            <w:tcW w:w="669" w:type="pct"/>
            <w:tcBorders>
              <w:top w:val="single" w:sz="4" w:space="0" w:color="auto"/>
              <w:left w:val="single" w:sz="4" w:space="0" w:color="auto"/>
              <w:bottom w:val="single" w:sz="4" w:space="0" w:color="auto"/>
              <w:right w:val="single" w:sz="4" w:space="0" w:color="auto"/>
            </w:tcBorders>
            <w:vAlign w:val="center"/>
            <w:hideMark/>
          </w:tcPr>
          <w:p w14:paraId="3A260422" w14:textId="6E1D4426" w:rsidR="00D8137E" w:rsidRPr="000D4B4F" w:rsidRDefault="00D8137E" w:rsidP="007C08EB">
            <w:pPr>
              <w:pStyle w:val="TableText0"/>
              <w:jc w:val="center"/>
              <w:rPr>
                <w:vertAlign w:val="superscript"/>
                <w:lang w:val="en-US"/>
              </w:rPr>
            </w:pPr>
            <w:r w:rsidRPr="000D4B4F">
              <w:rPr>
                <w:lang w:val="en-US"/>
              </w:rPr>
              <w:t>$</w:t>
            </w:r>
            <w:r w:rsidR="001247F0" w:rsidRPr="001247F0">
              <w:rPr>
                <w:color w:val="000000"/>
                <w:spacing w:val="62"/>
                <w:shd w:val="solid" w:color="000000" w:fill="000000"/>
                <w:fitText w:val="374" w:id="-1236603904"/>
                <w:lang w:val="en-US"/>
                <w14:textFill>
                  <w14:solidFill>
                    <w14:srgbClr w14:val="000000">
                      <w14:alpha w14:val="100000"/>
                    </w14:srgbClr>
                  </w14:solidFill>
                </w14:textFill>
              </w:rPr>
              <w:t>|||</w:t>
            </w:r>
            <w:r w:rsidR="001247F0" w:rsidRPr="001247F0">
              <w:rPr>
                <w:color w:val="000000"/>
                <w:spacing w:val="25"/>
                <w:shd w:val="solid" w:color="000000" w:fill="000000"/>
                <w:fitText w:val="374" w:id="-1236603904"/>
                <w:lang w:val="en-US"/>
                <w14:textFill>
                  <w14:solidFill>
                    <w14:srgbClr w14:val="000000">
                      <w14:alpha w14:val="100000"/>
                    </w14:srgbClr>
                  </w14:solidFill>
                </w14:textFill>
              </w:rPr>
              <w:t>|</w:t>
            </w:r>
            <w:r w:rsidRPr="000D4B4F">
              <w:rPr>
                <w:vertAlign w:val="superscript"/>
                <w:lang w:val="en-US"/>
              </w:rPr>
              <w:t>c</w:t>
            </w:r>
          </w:p>
        </w:tc>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95BA0" w14:textId="77777777" w:rsidR="00D8137E" w:rsidRPr="00200E03" w:rsidRDefault="00D8137E" w:rsidP="007C08EB">
            <w:pPr>
              <w:pStyle w:val="TableText0"/>
              <w:jc w:val="center"/>
              <w:rPr>
                <w:vertAlign w:val="superscript"/>
                <w:lang w:val="en-US"/>
              </w:rPr>
            </w:pPr>
            <w:r w:rsidRPr="00200E03">
              <w:rPr>
                <w:lang w:val="en-US"/>
              </w:rPr>
              <w:t>$727.35</w:t>
            </w:r>
            <w:r w:rsidRPr="00200E03">
              <w:rPr>
                <w:vertAlign w:val="superscript"/>
                <w:lang w:val="en-US"/>
              </w:rPr>
              <w:t>d</w:t>
            </w:r>
          </w:p>
        </w:tc>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BCE9B5" w14:textId="77777777" w:rsidR="00D8137E" w:rsidRPr="00200E03" w:rsidRDefault="00D8137E" w:rsidP="007C08EB">
            <w:pPr>
              <w:pStyle w:val="TableText0"/>
              <w:jc w:val="center"/>
              <w:rPr>
                <w:vertAlign w:val="superscript"/>
                <w:lang w:val="en-US"/>
              </w:rPr>
            </w:pPr>
            <w:r w:rsidRPr="00200E03">
              <w:rPr>
                <w:lang w:val="en-US"/>
              </w:rPr>
              <w:t>$721.82</w:t>
            </w:r>
            <w:r w:rsidRPr="00200E03">
              <w:rPr>
                <w:vertAlign w:val="superscript"/>
                <w:lang w:val="en-US"/>
              </w:rPr>
              <w:t>e</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35EA3C3" w14:textId="77777777" w:rsidR="00D8137E" w:rsidRPr="00200E03" w:rsidRDefault="00D8137E" w:rsidP="007C08EB">
            <w:pPr>
              <w:pStyle w:val="TableText0"/>
              <w:jc w:val="center"/>
              <w:rPr>
                <w:vertAlign w:val="superscript"/>
                <w:lang w:val="en-US"/>
              </w:rPr>
            </w:pPr>
            <w:r w:rsidRPr="00200E03">
              <w:rPr>
                <w:lang w:val="en-US"/>
              </w:rPr>
              <w:t>$577.26</w:t>
            </w:r>
            <w:r w:rsidRPr="00200E03">
              <w:rPr>
                <w:vertAlign w:val="superscript"/>
                <w:lang w:val="en-US"/>
              </w:rPr>
              <w:t>f</w:t>
            </w:r>
          </w:p>
        </w:tc>
      </w:tr>
      <w:tr w:rsidR="00D8137E" w:rsidRPr="000D4B4F" w14:paraId="299431A5" w14:textId="77777777" w:rsidTr="007C08EB">
        <w:trPr>
          <w:cantSplit/>
          <w:jc w:val="center"/>
        </w:trPr>
        <w:tc>
          <w:tcPr>
            <w:tcW w:w="816" w:type="pct"/>
            <w:tcBorders>
              <w:top w:val="single" w:sz="4" w:space="0" w:color="auto"/>
              <w:left w:val="single" w:sz="4" w:space="0" w:color="auto"/>
              <w:bottom w:val="single" w:sz="4" w:space="0" w:color="auto"/>
              <w:right w:val="single" w:sz="4" w:space="0" w:color="auto"/>
            </w:tcBorders>
            <w:vAlign w:val="center"/>
            <w:hideMark/>
          </w:tcPr>
          <w:p w14:paraId="3A97D4AD" w14:textId="77777777" w:rsidR="00D8137E" w:rsidRPr="000D4B4F" w:rsidRDefault="00D8137E" w:rsidP="007C08EB">
            <w:pPr>
              <w:pStyle w:val="TableText0"/>
              <w:rPr>
                <w:lang w:val="en-US"/>
              </w:rPr>
            </w:pPr>
            <w:r w:rsidRPr="000D4B4F">
              <w:rPr>
                <w:lang w:val="en-US"/>
              </w:rPr>
              <w:t>Cost/patient/year</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C6B28F" w14:textId="5C46F221" w:rsidR="00D8137E" w:rsidRPr="000D4B4F" w:rsidRDefault="00D8137E" w:rsidP="007C08EB">
            <w:pPr>
              <w:pStyle w:val="TableText0"/>
              <w:jc w:val="center"/>
              <w:rPr>
                <w:vertAlign w:val="superscript"/>
                <w:lang w:val="en-US"/>
              </w:rPr>
            </w:pPr>
            <w:r w:rsidRPr="000D4B4F">
              <w:rPr>
                <w:lang w:val="en-US"/>
              </w:rPr>
              <w:t>$</w:t>
            </w:r>
            <w:r w:rsidR="001247F0" w:rsidRPr="001247F0">
              <w:rPr>
                <w:color w:val="000000"/>
                <w:spacing w:val="62"/>
                <w:shd w:val="solid" w:color="000000" w:fill="000000"/>
                <w:fitText w:val="375" w:id="-1236603903"/>
                <w:lang w:val="en-US"/>
                <w14:textFill>
                  <w14:solidFill>
                    <w14:srgbClr w14:val="000000">
                      <w14:alpha w14:val="100000"/>
                    </w14:srgbClr>
                  </w14:solidFill>
                </w14:textFill>
              </w:rPr>
              <w:t>|||</w:t>
            </w:r>
            <w:r w:rsidR="001247F0" w:rsidRPr="001247F0">
              <w:rPr>
                <w:color w:val="000000"/>
                <w:spacing w:val="25"/>
                <w:shd w:val="solid" w:color="000000" w:fill="000000"/>
                <w:fitText w:val="375" w:id="-1236603903"/>
                <w:lang w:val="en-US"/>
                <w14:textFill>
                  <w14:solidFill>
                    <w14:srgbClr w14:val="000000">
                      <w14:alpha w14:val="100000"/>
                    </w14:srgbClr>
                  </w14:solidFill>
                </w14:textFill>
              </w:rPr>
              <w:t>|</w:t>
            </w:r>
            <w:r w:rsidRPr="000D4B4F">
              <w:rPr>
                <w:vertAlign w:val="superscript"/>
                <w:lang w:val="en-US"/>
              </w:rPr>
              <w:t>g</w:t>
            </w:r>
          </w:p>
        </w:tc>
        <w:tc>
          <w:tcPr>
            <w:tcW w:w="947" w:type="pct"/>
            <w:tcBorders>
              <w:top w:val="single" w:sz="4" w:space="0" w:color="auto"/>
              <w:left w:val="single" w:sz="4" w:space="0" w:color="auto"/>
              <w:bottom w:val="single" w:sz="4" w:space="0" w:color="auto"/>
              <w:right w:val="single" w:sz="4" w:space="0" w:color="auto"/>
            </w:tcBorders>
            <w:vAlign w:val="center"/>
            <w:hideMark/>
          </w:tcPr>
          <w:p w14:paraId="7ABCFD40" w14:textId="7EED2892" w:rsidR="00D8137E" w:rsidRPr="000D4B4F" w:rsidRDefault="00D8137E" w:rsidP="007C08EB">
            <w:pPr>
              <w:pStyle w:val="TableText0"/>
              <w:jc w:val="center"/>
              <w:rPr>
                <w:vertAlign w:val="superscript"/>
                <w:lang w:val="en-US"/>
              </w:rPr>
            </w:pPr>
            <w:r w:rsidRPr="000D4B4F">
              <w:rPr>
                <w:lang w:val="en-US"/>
              </w:rPr>
              <w:t>$</w:t>
            </w:r>
            <w:r w:rsidR="001247F0" w:rsidRPr="001247F0">
              <w:rPr>
                <w:rFonts w:hint="eastAsia"/>
                <w:color w:val="000000"/>
                <w:w w:val="28"/>
                <w:shd w:val="solid" w:color="000000" w:fill="000000"/>
                <w:fitText w:val="125" w:id="-1236603902"/>
                <w:lang w:val="en-US"/>
                <w14:textFill>
                  <w14:solidFill>
                    <w14:srgbClr w14:val="000000">
                      <w14:alpha w14:val="100000"/>
                    </w14:srgbClr>
                  </w14:solidFill>
                </w14:textFill>
              </w:rPr>
              <w:t xml:space="preserve">　</w:t>
            </w:r>
            <w:r w:rsidR="001247F0" w:rsidRPr="001247F0">
              <w:rPr>
                <w:color w:val="000000"/>
                <w:w w:val="28"/>
                <w:shd w:val="solid" w:color="000000" w:fill="000000"/>
                <w:fitText w:val="125" w:id="-1236603902"/>
                <w:lang w:val="en-US"/>
                <w14:textFill>
                  <w14:solidFill>
                    <w14:srgbClr w14:val="000000">
                      <w14:alpha w14:val="100000"/>
                    </w14:srgbClr>
                  </w14:solidFill>
                </w14:textFill>
              </w:rPr>
              <w:t>|</w:t>
            </w:r>
            <w:r w:rsidR="001247F0" w:rsidRPr="001247F0">
              <w:rPr>
                <w:rFonts w:hint="eastAsia"/>
                <w:color w:val="000000"/>
                <w:spacing w:val="3"/>
                <w:w w:val="28"/>
                <w:shd w:val="solid" w:color="000000" w:fill="000000"/>
                <w:fitText w:val="125" w:id="-1236603902"/>
                <w:lang w:val="en-US"/>
                <w14:textFill>
                  <w14:solidFill>
                    <w14:srgbClr w14:val="000000">
                      <w14:alpha w14:val="100000"/>
                    </w14:srgbClr>
                  </w14:solidFill>
                </w14:textFill>
              </w:rPr>
              <w:t xml:space="preserve">　</w:t>
            </w:r>
            <w:r w:rsidRPr="000D4B4F">
              <w:rPr>
                <w:vertAlign w:val="superscript"/>
                <w:lang w:val="en-US"/>
              </w:rPr>
              <w:t>h</w:t>
            </w:r>
          </w:p>
        </w:tc>
        <w:tc>
          <w:tcPr>
            <w:tcW w:w="669" w:type="pct"/>
            <w:tcBorders>
              <w:top w:val="single" w:sz="4" w:space="0" w:color="auto"/>
              <w:left w:val="single" w:sz="4" w:space="0" w:color="auto"/>
              <w:bottom w:val="single" w:sz="4" w:space="0" w:color="auto"/>
              <w:right w:val="single" w:sz="4" w:space="0" w:color="auto"/>
            </w:tcBorders>
            <w:vAlign w:val="center"/>
            <w:hideMark/>
          </w:tcPr>
          <w:p w14:paraId="3F4C7045" w14:textId="2B0CCD74" w:rsidR="00D8137E" w:rsidRPr="000D4B4F" w:rsidRDefault="00D8137E" w:rsidP="007C08EB">
            <w:pPr>
              <w:pStyle w:val="TableText0"/>
              <w:jc w:val="center"/>
              <w:rPr>
                <w:vertAlign w:val="superscript"/>
                <w:lang w:val="en-US"/>
              </w:rPr>
            </w:pPr>
            <w:r w:rsidRPr="000D4B4F">
              <w:rPr>
                <w:lang w:val="en-US"/>
              </w:rPr>
              <w:t>$</w:t>
            </w:r>
            <w:r w:rsidR="001247F0" w:rsidRPr="001247F0">
              <w:rPr>
                <w:color w:val="000000"/>
                <w:spacing w:val="62"/>
                <w:shd w:val="solid" w:color="000000" w:fill="000000"/>
                <w:fitText w:val="358" w:id="-1236603901"/>
                <w:lang w:val="en-US"/>
                <w14:textFill>
                  <w14:solidFill>
                    <w14:srgbClr w14:val="000000">
                      <w14:alpha w14:val="100000"/>
                    </w14:srgbClr>
                  </w14:solidFill>
                </w14:textFill>
              </w:rPr>
              <w:t>|||</w:t>
            </w:r>
            <w:r w:rsidR="001247F0" w:rsidRPr="001247F0">
              <w:rPr>
                <w:color w:val="000000"/>
                <w:shd w:val="solid" w:color="000000" w:fill="000000"/>
                <w:fitText w:val="358" w:id="-1236603901"/>
                <w:lang w:val="en-US"/>
                <w14:textFill>
                  <w14:solidFill>
                    <w14:srgbClr w14:val="000000">
                      <w14:alpha w14:val="100000"/>
                    </w14:srgbClr>
                  </w14:solidFill>
                </w14:textFill>
              </w:rPr>
              <w:t>|</w:t>
            </w:r>
            <w:r w:rsidRPr="000D4B4F">
              <w:rPr>
                <w:vertAlign w:val="superscript"/>
                <w:lang w:val="en-US"/>
              </w:rPr>
              <w:t>i</w:t>
            </w:r>
          </w:p>
        </w:tc>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7BCFD2" w14:textId="77777777" w:rsidR="00D8137E" w:rsidRPr="00200E03" w:rsidRDefault="00D8137E" w:rsidP="007C08EB">
            <w:pPr>
              <w:pStyle w:val="TableText0"/>
              <w:jc w:val="center"/>
              <w:rPr>
                <w:vertAlign w:val="superscript"/>
                <w:lang w:val="en-US"/>
              </w:rPr>
            </w:pPr>
            <w:r w:rsidRPr="00200E03">
              <w:rPr>
                <w:lang w:val="en-US"/>
              </w:rPr>
              <w:t>$2,176.20</w:t>
            </w:r>
            <w:r w:rsidRPr="00200E03">
              <w:rPr>
                <w:vertAlign w:val="superscript"/>
                <w:lang w:val="en-US"/>
              </w:rPr>
              <w:t>j</w:t>
            </w:r>
          </w:p>
        </w:tc>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E09371" w14:textId="77777777" w:rsidR="00D8137E" w:rsidRPr="00200E03" w:rsidRDefault="00D8137E" w:rsidP="007C08EB">
            <w:pPr>
              <w:pStyle w:val="TableText0"/>
              <w:jc w:val="center"/>
              <w:rPr>
                <w:vertAlign w:val="superscript"/>
                <w:lang w:val="en-US"/>
              </w:rPr>
            </w:pPr>
            <w:r w:rsidRPr="00200E03">
              <w:rPr>
                <w:lang w:val="en-US"/>
              </w:rPr>
              <w:t>$4,012.30</w:t>
            </w:r>
            <w:r w:rsidRPr="00200E03">
              <w:rPr>
                <w:vertAlign w:val="superscript"/>
                <w:lang w:val="en-US"/>
              </w:rPr>
              <w:t>k</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51C1C" w14:textId="77777777" w:rsidR="00D8137E" w:rsidRPr="00200E03" w:rsidRDefault="00D8137E" w:rsidP="007C08EB">
            <w:pPr>
              <w:pStyle w:val="TableText0"/>
              <w:jc w:val="center"/>
              <w:rPr>
                <w:vertAlign w:val="superscript"/>
                <w:lang w:val="en-US"/>
              </w:rPr>
            </w:pPr>
            <w:r w:rsidRPr="00200E03">
              <w:rPr>
                <w:lang w:val="en-US"/>
              </w:rPr>
              <w:t>$3,209.84</w:t>
            </w:r>
            <w:r w:rsidRPr="00200E03">
              <w:rPr>
                <w:vertAlign w:val="superscript"/>
                <w:lang w:val="en-US"/>
              </w:rPr>
              <w:t>l</w:t>
            </w:r>
          </w:p>
        </w:tc>
      </w:tr>
    </w:tbl>
    <w:p w14:paraId="354147C1" w14:textId="77777777" w:rsidR="00D8137E" w:rsidRPr="00EF4C2D" w:rsidRDefault="00D8137E" w:rsidP="00D8137E">
      <w:pPr>
        <w:pStyle w:val="FooterTableFigure"/>
      </w:pPr>
      <w:r w:rsidRPr="00EF4C2D">
        <w:t>Source: compiled during the evaluation using information from Table 2-14 p92; Workbook ‘Chlormethine – Ledaga – Section 3 – Economic Model (Final)’, worksheets ‘Treatment Acquisition Costs’, ‘Trace_ChlormethineGel’, ‘Trace_Phototherapy’, of the submission of the submission; p275 El-Mofty 2012</w:t>
      </w:r>
    </w:p>
    <w:p w14:paraId="246A9586" w14:textId="77777777" w:rsidR="00D8137E" w:rsidRPr="00EF4C2D" w:rsidRDefault="00D8137E" w:rsidP="00D8137E">
      <w:pPr>
        <w:pStyle w:val="FooterTableFigure"/>
      </w:pPr>
      <w:r w:rsidRPr="00EF4C2D">
        <w:t>NR = not reported; SB = skin burden</w:t>
      </w:r>
    </w:p>
    <w:p w14:paraId="27F70A6D" w14:textId="3529E742" w:rsidR="00D8137E" w:rsidRPr="00EF4C2D" w:rsidRDefault="00D8137E" w:rsidP="00D8137E">
      <w:pPr>
        <w:pStyle w:val="FooterTableFigure"/>
      </w:pPr>
      <w:r w:rsidRPr="00EF4C2D">
        <w:rPr>
          <w:vertAlign w:val="superscript"/>
        </w:rPr>
        <w:t xml:space="preserve">a </w:t>
      </w:r>
      <w:r w:rsidRPr="00EF4C2D">
        <w:t>calculated as mean dose per day reported in Study 201 * 3 applications per week to derive weekly dosage. Weekly dosage * 4.</w:t>
      </w:r>
      <w:r w:rsidR="00286DC3" w:rsidRPr="00EF4C2D">
        <w:t>345</w:t>
      </w:r>
      <w:r w:rsidR="00286DC3">
        <w:t> </w:t>
      </w:r>
      <w:r w:rsidRPr="00EF4C2D">
        <w:t>weeks to derive monthly dosage; cost/patient/month calculated as monthly dose * price per dose</w:t>
      </w:r>
    </w:p>
    <w:p w14:paraId="4B57BBC8" w14:textId="564D89DC" w:rsidR="00D8137E" w:rsidRPr="00EF4C2D" w:rsidRDefault="00D8137E" w:rsidP="00D8137E">
      <w:pPr>
        <w:pStyle w:val="FooterTableFigure"/>
      </w:pPr>
      <w:r w:rsidRPr="00EF4C2D">
        <w:rPr>
          <w:vertAlign w:val="superscript"/>
        </w:rPr>
        <w:t>b</w:t>
      </w:r>
      <w:r w:rsidRPr="00EF4C2D">
        <w:t xml:space="preserve"> sum of cost per chlormethine gel per month for low skin burden (0.99</w:t>
      </w:r>
      <w:r w:rsidR="00286DC3">
        <w:t> </w:t>
      </w:r>
      <w:r w:rsidRPr="00EF4C2D">
        <w:t>g) and high skin burden (2.93</w:t>
      </w:r>
      <w:r w:rsidR="00286DC3">
        <w:t> </w:t>
      </w:r>
      <w:r w:rsidRPr="00EF4C2D">
        <w:t>g) using 14.96 dose frequency per month</w:t>
      </w:r>
    </w:p>
    <w:p w14:paraId="7FCBCCBB" w14:textId="77777777" w:rsidR="00D8137E" w:rsidRPr="00EF4C2D" w:rsidRDefault="00D8137E" w:rsidP="00D8137E">
      <w:pPr>
        <w:pStyle w:val="FooterTableFigure"/>
      </w:pPr>
      <w:r w:rsidRPr="00EF4C2D">
        <w:rPr>
          <w:vertAlign w:val="superscript"/>
        </w:rPr>
        <w:t xml:space="preserve">c </w:t>
      </w:r>
      <w:r w:rsidRPr="00EF4C2D">
        <w:t>estimated as cost per patient per year/12</w:t>
      </w:r>
    </w:p>
    <w:p w14:paraId="487A2369" w14:textId="77777777" w:rsidR="00D8137E" w:rsidRPr="00EF4C2D" w:rsidRDefault="00D8137E" w:rsidP="00D8137E">
      <w:pPr>
        <w:pStyle w:val="FooterTableFigure"/>
      </w:pPr>
      <w:r w:rsidRPr="00EF4C2D">
        <w:rPr>
          <w:vertAlign w:val="superscript"/>
        </w:rPr>
        <w:t xml:space="preserve">d </w:t>
      </w:r>
      <w:r w:rsidRPr="00EF4C2D">
        <w:t>calculated as cost per PUVA session * number of sessions per week * number of weeks in a month</w:t>
      </w:r>
    </w:p>
    <w:p w14:paraId="10AD4831" w14:textId="77777777" w:rsidR="00D8137E" w:rsidRPr="00EF4C2D" w:rsidRDefault="00D8137E" w:rsidP="00D8137E">
      <w:pPr>
        <w:pStyle w:val="FooterTableFigure"/>
      </w:pPr>
      <w:r w:rsidRPr="00EF4C2D">
        <w:rPr>
          <w:vertAlign w:val="superscript"/>
        </w:rPr>
        <w:t xml:space="preserve">e </w:t>
      </w:r>
      <w:r w:rsidRPr="00EF4C2D">
        <w:t>calculated as the weighted average of monthly cost of PUVA and UVB presented in the model</w:t>
      </w:r>
    </w:p>
    <w:p w14:paraId="62B7397E" w14:textId="77777777" w:rsidR="00D8137E" w:rsidRPr="00EF4C2D" w:rsidRDefault="00D8137E" w:rsidP="00D8137E">
      <w:pPr>
        <w:pStyle w:val="FooterTableFigure"/>
      </w:pPr>
      <w:r w:rsidRPr="00EF4C2D">
        <w:rPr>
          <w:vertAlign w:val="superscript"/>
        </w:rPr>
        <w:t>f</w:t>
      </w:r>
      <w:r w:rsidRPr="00EF4C2D">
        <w:t xml:space="preserve"> calculated as the weighted average of cost PUVA session per month and UVB sessions per month. 80% applied as cost offset.</w:t>
      </w:r>
    </w:p>
    <w:p w14:paraId="2A2591BB" w14:textId="77777777" w:rsidR="00D8137E" w:rsidRPr="00EF4C2D" w:rsidRDefault="00D8137E" w:rsidP="00D8137E">
      <w:pPr>
        <w:pStyle w:val="FooterTableFigure"/>
      </w:pPr>
      <w:r w:rsidRPr="00EF4C2D">
        <w:rPr>
          <w:vertAlign w:val="superscript"/>
        </w:rPr>
        <w:t xml:space="preserve">g </w:t>
      </w:r>
      <w:r w:rsidRPr="00EF4C2D">
        <w:t>estimated as weekly dose *cost per dose * maximum use in the trial (51.9 weeks [0.995 year])</w:t>
      </w:r>
    </w:p>
    <w:p w14:paraId="7E548F8B" w14:textId="77777777" w:rsidR="00D8137E" w:rsidRPr="00EF4C2D" w:rsidRDefault="00D8137E" w:rsidP="00D8137E">
      <w:pPr>
        <w:pStyle w:val="FooterTableFigure"/>
      </w:pPr>
      <w:r w:rsidRPr="00EF4C2D">
        <w:rPr>
          <w:vertAlign w:val="superscript"/>
        </w:rPr>
        <w:t xml:space="preserve">h </w:t>
      </w:r>
      <w:r w:rsidRPr="00EF4C2D">
        <w:t>cost per patient per month * 12</w:t>
      </w:r>
    </w:p>
    <w:p w14:paraId="0D13B4D2" w14:textId="77777777" w:rsidR="00D8137E" w:rsidRPr="00EF4C2D" w:rsidRDefault="00D8137E" w:rsidP="00D8137E">
      <w:pPr>
        <w:pStyle w:val="FooterTableFigure"/>
      </w:pPr>
      <w:r w:rsidRPr="00EF4C2D">
        <w:rPr>
          <w:vertAlign w:val="superscript"/>
        </w:rPr>
        <w:t xml:space="preserve">i </w:t>
      </w:r>
      <w:r w:rsidRPr="00EF4C2D">
        <w:t>estimated as average (submission’s estimated cost of chlormethine gel per year/number of patients in a year)</w:t>
      </w:r>
    </w:p>
    <w:p w14:paraId="480C905D" w14:textId="77777777" w:rsidR="00D8137E" w:rsidRPr="00EF4C2D" w:rsidRDefault="00D8137E" w:rsidP="00D8137E">
      <w:pPr>
        <w:pStyle w:val="FooterTableFigure"/>
      </w:pPr>
      <w:r w:rsidRPr="00EF4C2D">
        <w:rPr>
          <w:vertAlign w:val="superscript"/>
        </w:rPr>
        <w:t xml:space="preserve">j </w:t>
      </w:r>
      <w:r w:rsidRPr="00EF4C2D">
        <w:t>cost of phototherapy per session (80% applied given co-pay)* 3 sessions per week* 13 weeks</w:t>
      </w:r>
    </w:p>
    <w:p w14:paraId="250B22D8" w14:textId="77777777" w:rsidR="00D8137E" w:rsidRPr="00EF4C2D" w:rsidRDefault="00D8137E" w:rsidP="00D8137E">
      <w:pPr>
        <w:pStyle w:val="FooterTableFigure"/>
      </w:pPr>
      <w:r w:rsidRPr="00EF4C2D">
        <w:rPr>
          <w:vertAlign w:val="superscript"/>
        </w:rPr>
        <w:t xml:space="preserve">k </w:t>
      </w:r>
      <w:r w:rsidRPr="00EF4C2D">
        <w:t>sum of ‘cost of weighted sessions of PUVA and UVB for 3 months (32.8)’ and’ once weekly maintenance session for 9 months’.</w:t>
      </w:r>
    </w:p>
    <w:p w14:paraId="32A9EB2C" w14:textId="77AE9B8E" w:rsidR="00E45CFF" w:rsidRDefault="00D8137E" w:rsidP="00D8137E">
      <w:pPr>
        <w:pStyle w:val="FooterTableFigure"/>
      </w:pPr>
      <w:r w:rsidRPr="00EF4C2D">
        <w:rPr>
          <w:vertAlign w:val="superscript"/>
        </w:rPr>
        <w:t xml:space="preserve">l </w:t>
      </w:r>
      <w:r w:rsidRPr="00EF4C2D">
        <w:t>sum of ‘cost of weighted sessions of PUVA and UVB for 3 months (32.8)’ and’ once weekly maintenance session for 9 months’. 80% applied as cost offset applied to phototherapy cost</w:t>
      </w:r>
    </w:p>
    <w:p w14:paraId="0592A877" w14:textId="4688E697" w:rsidR="00E45CFF" w:rsidRPr="00435A53" w:rsidRDefault="00E45CFF" w:rsidP="00D8137E">
      <w:pPr>
        <w:pStyle w:val="3-BodyText"/>
        <w:ind w:left="709" w:hanging="709"/>
        <w:rPr>
          <w:iCs/>
        </w:rPr>
      </w:pPr>
      <w:r>
        <w:rPr>
          <w:iCs/>
        </w:rPr>
        <w:t xml:space="preserve">The pre-PBAC response offered a </w:t>
      </w:r>
      <w:r w:rsidR="001247F0" w:rsidRPr="007F1B4F">
        <w:rPr>
          <w:iCs/>
          <w:color w:val="000000"/>
          <w:spacing w:val="18"/>
          <w:w w:val="39"/>
          <w:shd w:val="solid" w:color="000000" w:fill="000000"/>
          <w:fitText w:val="796" w:id="-1236603900"/>
          <w14:textFill>
            <w14:solidFill>
              <w14:srgbClr w14:val="000000">
                <w14:alpha w14:val="100000"/>
              </w14:srgbClr>
            </w14:solidFill>
          </w14:textFill>
        </w:rPr>
        <w:t>||||||  |||||</w:t>
      </w:r>
      <w:r w:rsidR="001247F0" w:rsidRPr="007F1B4F">
        <w:rPr>
          <w:iCs/>
          <w:color w:val="000000"/>
          <w:spacing w:val="3"/>
          <w:w w:val="39"/>
          <w:shd w:val="solid" w:color="000000" w:fill="000000"/>
          <w:fitText w:val="796" w:id="-1236603900"/>
          <w14:textFill>
            <w14:solidFill>
              <w14:srgbClr w14:val="000000">
                <w14:alpha w14:val="100000"/>
              </w14:srgbClr>
            </w14:solidFill>
          </w14:textFill>
        </w:rPr>
        <w:t>|</w:t>
      </w:r>
      <w:r>
        <w:rPr>
          <w:iCs/>
        </w:rPr>
        <w:t>% price reduction reducing the proposed EMP to $</w:t>
      </w:r>
      <w:r w:rsidR="001247F0" w:rsidRPr="007F1B4F">
        <w:rPr>
          <w:iCs/>
          <w:color w:val="000000"/>
          <w:spacing w:val="8"/>
          <w:w w:val="19"/>
          <w:shd w:val="solid" w:color="000000" w:fill="000000"/>
          <w:fitText w:val="89" w:id="-1236603648"/>
          <w14:textFill>
            <w14:solidFill>
              <w14:srgbClr w14:val="000000">
                <w14:alpha w14:val="100000"/>
              </w14:srgbClr>
            </w14:solidFill>
          </w14:textFill>
        </w:rPr>
        <w:t xml:space="preserve">|  </w:t>
      </w:r>
      <w:r w:rsidR="001247F0" w:rsidRPr="007F1B4F">
        <w:rPr>
          <w:iCs/>
          <w:color w:val="000000"/>
          <w:spacing w:val="3"/>
          <w:w w:val="19"/>
          <w:shd w:val="solid" w:color="000000" w:fill="000000"/>
          <w:fitText w:val="89" w:id="-1236603648"/>
          <w14:textFill>
            <w14:solidFill>
              <w14:srgbClr w14:val="000000">
                <w14:alpha w14:val="100000"/>
              </w14:srgbClr>
            </w14:solidFill>
          </w14:textFill>
        </w:rPr>
        <w:t>|</w:t>
      </w:r>
      <w:r>
        <w:rPr>
          <w:iCs/>
        </w:rPr>
        <w:t xml:space="preserve"> per tube. </w:t>
      </w:r>
    </w:p>
    <w:p w14:paraId="57ABAC0D" w14:textId="1258DC60" w:rsidR="00D8137E" w:rsidRDefault="00D8137E" w:rsidP="00D8137E">
      <w:pPr>
        <w:pStyle w:val="4-SubsectionHeading"/>
      </w:pPr>
      <w:bookmarkStart w:id="93" w:name="_Toc22897647"/>
      <w:bookmarkStart w:id="94" w:name="_Toc22898859"/>
      <w:bookmarkStart w:id="95" w:name="_Toc121755826"/>
      <w:bookmarkStart w:id="96" w:name="_Toc107927637"/>
      <w:r w:rsidRPr="00EF4C2D">
        <w:t>Estimated PBS usage &amp; financial implications</w:t>
      </w:r>
      <w:bookmarkEnd w:id="93"/>
      <w:bookmarkEnd w:id="94"/>
      <w:bookmarkEnd w:id="95"/>
    </w:p>
    <w:p w14:paraId="3C6AAEB6" w14:textId="11DE61CE" w:rsidR="00AD7B35" w:rsidRPr="00AD7B35" w:rsidRDefault="00AD7B35" w:rsidP="00AD7B35">
      <w:pPr>
        <w:numPr>
          <w:ilvl w:val="1"/>
          <w:numId w:val="1"/>
        </w:numPr>
        <w:spacing w:after="120"/>
        <w:ind w:left="720"/>
        <w:rPr>
          <w:rFonts w:asciiTheme="minorHAnsi" w:hAnsiTheme="minorHAnsi"/>
          <w:snapToGrid w:val="0"/>
        </w:rPr>
      </w:pPr>
      <w:bookmarkStart w:id="97" w:name="_Toc22897648"/>
      <w:bookmarkStart w:id="98" w:name="_Toc22898860"/>
      <w:bookmarkStart w:id="99" w:name="_Toc121755827"/>
      <w:r w:rsidRPr="00AD7B35">
        <w:rPr>
          <w:rFonts w:asciiTheme="minorHAnsi" w:hAnsiTheme="minorHAnsi"/>
          <w:snapToGrid w:val="0"/>
        </w:rPr>
        <w:t>This submission w</w:t>
      </w:r>
      <w:r>
        <w:rPr>
          <w:rFonts w:asciiTheme="minorHAnsi" w:hAnsiTheme="minorHAnsi"/>
          <w:snapToGrid w:val="0"/>
        </w:rPr>
        <w:t>as</w:t>
      </w:r>
      <w:r w:rsidRPr="00AD7B35">
        <w:rPr>
          <w:rFonts w:asciiTheme="minorHAnsi" w:hAnsiTheme="minorHAnsi"/>
          <w:snapToGrid w:val="0"/>
        </w:rPr>
        <w:t xml:space="preserve"> considered by DUSC. It presented an epidemiological approach to estimate anticipated script volumes and costs to Government. A summary of the key inputs relied on for the financial estimates is presented in </w:t>
      </w:r>
      <w:r w:rsidRPr="00AD7B35">
        <w:rPr>
          <w:rFonts w:asciiTheme="minorHAnsi" w:hAnsiTheme="minorHAnsi"/>
          <w:snapToGrid w:val="0"/>
        </w:rPr>
        <w:fldChar w:fldCharType="begin"/>
      </w:r>
      <w:r w:rsidRPr="00AD7B35">
        <w:rPr>
          <w:rFonts w:asciiTheme="minorHAnsi" w:hAnsiTheme="minorHAnsi"/>
          <w:snapToGrid w:val="0"/>
        </w:rPr>
        <w:instrText xml:space="preserve"> REF _Ref120876329 \h  \* MERGEFORMAT </w:instrText>
      </w:r>
      <w:r w:rsidRPr="00AD7B35">
        <w:rPr>
          <w:rFonts w:asciiTheme="minorHAnsi" w:hAnsiTheme="minorHAnsi"/>
          <w:snapToGrid w:val="0"/>
        </w:rPr>
      </w:r>
      <w:r w:rsidRPr="00AD7B35">
        <w:rPr>
          <w:rFonts w:asciiTheme="minorHAnsi" w:hAnsiTheme="minorHAnsi"/>
          <w:snapToGrid w:val="0"/>
        </w:rPr>
        <w:fldChar w:fldCharType="separate"/>
      </w:r>
      <w:r w:rsidR="00FD5578" w:rsidRPr="00FD5578">
        <w:rPr>
          <w:rFonts w:asciiTheme="minorHAnsi" w:hAnsiTheme="minorHAnsi"/>
          <w:snapToGrid w:val="0"/>
        </w:rPr>
        <w:t xml:space="preserve">Table </w:t>
      </w:r>
      <w:r w:rsidR="00FD5578" w:rsidRPr="00FD5578">
        <w:rPr>
          <w:rFonts w:asciiTheme="minorHAnsi" w:hAnsiTheme="minorHAnsi"/>
          <w:noProof/>
          <w:snapToGrid w:val="0"/>
        </w:rPr>
        <w:t>13</w:t>
      </w:r>
      <w:r w:rsidRPr="00AD7B35">
        <w:rPr>
          <w:rFonts w:asciiTheme="minorHAnsi" w:hAnsiTheme="minorHAnsi"/>
          <w:snapToGrid w:val="0"/>
        </w:rPr>
        <w:fldChar w:fldCharType="end"/>
      </w:r>
      <w:r w:rsidRPr="00AD7B35">
        <w:rPr>
          <w:rFonts w:asciiTheme="minorHAnsi" w:hAnsiTheme="minorHAnsi"/>
          <w:snapToGrid w:val="0"/>
        </w:rPr>
        <w:t>.</w:t>
      </w:r>
      <w:r w:rsidR="00286DC3">
        <w:rPr>
          <w:rFonts w:asciiTheme="minorHAnsi" w:hAnsiTheme="minorHAnsi"/>
          <w:snapToGrid w:val="0"/>
        </w:rPr>
        <w:t xml:space="preserve"> </w:t>
      </w:r>
    </w:p>
    <w:p w14:paraId="63BD4DCA" w14:textId="6E0F83DD" w:rsidR="00AD7B35" w:rsidRPr="00AD7B35" w:rsidRDefault="00AD7B35" w:rsidP="00286DC3">
      <w:pPr>
        <w:jc w:val="left"/>
        <w:rPr>
          <w:rFonts w:ascii="Arial Narrow" w:eastAsiaTheme="majorEastAsia" w:hAnsi="Arial Narrow" w:cstheme="majorBidi"/>
          <w:b/>
          <w:bCs/>
          <w:sz w:val="20"/>
          <w:szCs w:val="16"/>
        </w:rPr>
      </w:pPr>
      <w:bookmarkStart w:id="100" w:name="_Ref120876329"/>
      <w:r w:rsidRPr="00AD7B35">
        <w:rPr>
          <w:rFonts w:ascii="Arial Narrow" w:eastAsiaTheme="majorEastAsia" w:hAnsi="Arial Narrow" w:cstheme="majorBidi"/>
          <w:b/>
          <w:bCs/>
          <w:sz w:val="20"/>
        </w:rPr>
        <w:t xml:space="preserve">Table </w:t>
      </w:r>
      <w:r w:rsidRPr="00AD7B35">
        <w:rPr>
          <w:rFonts w:ascii="Arial Narrow" w:eastAsiaTheme="majorEastAsia" w:hAnsi="Arial Narrow" w:cstheme="majorBidi"/>
          <w:b/>
          <w:bCs/>
          <w:sz w:val="20"/>
        </w:rPr>
        <w:fldChar w:fldCharType="begin"/>
      </w:r>
      <w:r w:rsidRPr="00AD7B35">
        <w:rPr>
          <w:rFonts w:ascii="Arial Narrow" w:eastAsiaTheme="majorEastAsia" w:hAnsi="Arial Narrow" w:cstheme="majorBidi"/>
          <w:b/>
          <w:bCs/>
          <w:sz w:val="20"/>
        </w:rPr>
        <w:instrText xml:space="preserve"> SEQ Table \* ARABIC </w:instrText>
      </w:r>
      <w:r w:rsidRPr="00AD7B35">
        <w:rPr>
          <w:rFonts w:ascii="Arial Narrow" w:eastAsiaTheme="majorEastAsia" w:hAnsi="Arial Narrow" w:cstheme="majorBidi"/>
          <w:b/>
          <w:bCs/>
          <w:sz w:val="20"/>
        </w:rPr>
        <w:fldChar w:fldCharType="separate"/>
      </w:r>
      <w:r w:rsidR="00FD5578">
        <w:rPr>
          <w:rFonts w:ascii="Arial Narrow" w:eastAsiaTheme="majorEastAsia" w:hAnsi="Arial Narrow" w:cstheme="majorBidi"/>
          <w:b/>
          <w:bCs/>
          <w:noProof/>
          <w:sz w:val="20"/>
        </w:rPr>
        <w:t>13</w:t>
      </w:r>
      <w:r w:rsidRPr="00AD7B35">
        <w:rPr>
          <w:rFonts w:ascii="Arial Narrow" w:eastAsiaTheme="majorEastAsia" w:hAnsi="Arial Narrow" w:cstheme="majorBidi"/>
          <w:b/>
          <w:bCs/>
          <w:noProof/>
          <w:sz w:val="20"/>
        </w:rPr>
        <w:fldChar w:fldCharType="end"/>
      </w:r>
      <w:bookmarkEnd w:id="100"/>
      <w:r w:rsidRPr="00AD7B35">
        <w:rPr>
          <w:rFonts w:ascii="Arial Narrow" w:eastAsiaTheme="majorEastAsia" w:hAnsi="Arial Narrow" w:cstheme="majorBidi"/>
          <w:b/>
          <w:bCs/>
          <w:sz w:val="20"/>
          <w:szCs w:val="16"/>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8"/>
        <w:gridCol w:w="3545"/>
        <w:gridCol w:w="4344"/>
      </w:tblGrid>
      <w:tr w:rsidR="00AD7B35" w:rsidRPr="00AD7B35" w14:paraId="1A215B80" w14:textId="77777777" w:rsidTr="00F33A6A">
        <w:trPr>
          <w:tblHeader/>
        </w:trPr>
        <w:tc>
          <w:tcPr>
            <w:tcW w:w="625" w:type="pct"/>
            <w:shd w:val="clear" w:color="auto" w:fill="auto"/>
            <w:vAlign w:val="center"/>
          </w:tcPr>
          <w:p w14:paraId="705E17C5" w14:textId="77777777" w:rsidR="00AD7B35" w:rsidRPr="00AD7B35" w:rsidRDefault="00AD7B35" w:rsidP="00286DC3">
            <w:pPr>
              <w:jc w:val="left"/>
              <w:rPr>
                <w:rFonts w:ascii="Arial Narrow" w:eastAsiaTheme="majorEastAsia" w:hAnsi="Arial Narrow" w:cs="Times New Roman"/>
                <w:b/>
                <w:sz w:val="20"/>
                <w:lang w:val="en-US"/>
              </w:rPr>
            </w:pPr>
            <w:r w:rsidRPr="00AD7B35">
              <w:rPr>
                <w:rFonts w:ascii="Arial Narrow" w:eastAsiaTheme="majorEastAsia" w:hAnsi="Arial Narrow" w:cs="Times New Roman"/>
                <w:b/>
                <w:sz w:val="20"/>
                <w:lang w:val="en-US"/>
              </w:rPr>
              <w:t>Parameter</w:t>
            </w:r>
          </w:p>
        </w:tc>
        <w:tc>
          <w:tcPr>
            <w:tcW w:w="1966" w:type="pct"/>
            <w:shd w:val="clear" w:color="auto" w:fill="auto"/>
            <w:vAlign w:val="center"/>
          </w:tcPr>
          <w:p w14:paraId="64C2D527" w14:textId="77777777" w:rsidR="00AD7B35" w:rsidRPr="00AD7B35" w:rsidRDefault="00AD7B35" w:rsidP="00286DC3">
            <w:pPr>
              <w:jc w:val="left"/>
              <w:rPr>
                <w:rFonts w:ascii="Arial Narrow" w:eastAsiaTheme="majorEastAsia" w:hAnsi="Arial Narrow" w:cs="Times New Roman"/>
                <w:b/>
                <w:sz w:val="20"/>
                <w:lang w:val="en-US"/>
              </w:rPr>
            </w:pPr>
            <w:r w:rsidRPr="00AD7B35">
              <w:rPr>
                <w:rFonts w:ascii="Arial Narrow" w:eastAsiaTheme="majorEastAsia" w:hAnsi="Arial Narrow" w:cs="Times New Roman"/>
                <w:b/>
                <w:sz w:val="20"/>
                <w:lang w:val="en-US"/>
              </w:rPr>
              <w:t>Value applied and source</w:t>
            </w:r>
          </w:p>
        </w:tc>
        <w:tc>
          <w:tcPr>
            <w:tcW w:w="2409" w:type="pct"/>
            <w:shd w:val="clear" w:color="auto" w:fill="auto"/>
            <w:vAlign w:val="center"/>
          </w:tcPr>
          <w:p w14:paraId="21782B49" w14:textId="77777777" w:rsidR="00AD7B35" w:rsidRPr="00AD7B35" w:rsidRDefault="00AD7B35" w:rsidP="00286DC3">
            <w:pPr>
              <w:jc w:val="left"/>
              <w:rPr>
                <w:rFonts w:ascii="Arial Narrow" w:eastAsiaTheme="majorEastAsia" w:hAnsi="Arial Narrow" w:cs="Times New Roman"/>
                <w:b/>
                <w:sz w:val="20"/>
                <w:lang w:val="en-US"/>
              </w:rPr>
            </w:pPr>
            <w:r w:rsidRPr="00AD7B35">
              <w:rPr>
                <w:rFonts w:ascii="Arial Narrow" w:eastAsiaTheme="majorEastAsia" w:hAnsi="Arial Narrow" w:cs="Times New Roman"/>
                <w:b/>
                <w:sz w:val="20"/>
                <w:lang w:val="en-US"/>
              </w:rPr>
              <w:t>Comment</w:t>
            </w:r>
          </w:p>
        </w:tc>
      </w:tr>
      <w:tr w:rsidR="00AD7B35" w:rsidRPr="00AD7B35" w14:paraId="1643B38C" w14:textId="77777777" w:rsidTr="00F33A6A">
        <w:tc>
          <w:tcPr>
            <w:tcW w:w="625" w:type="pct"/>
            <w:shd w:val="clear" w:color="auto" w:fill="auto"/>
            <w:vAlign w:val="center"/>
          </w:tcPr>
          <w:p w14:paraId="0CBFF806" w14:textId="77777777" w:rsidR="00AD7B35" w:rsidRPr="00AD7B35" w:rsidRDefault="00AD7B35" w:rsidP="00286DC3">
            <w:pPr>
              <w:jc w:val="left"/>
              <w:rPr>
                <w:rFonts w:ascii="Arial Narrow" w:eastAsiaTheme="majorEastAsia" w:hAnsi="Arial Narrow" w:cstheme="majorBidi"/>
                <w:bCs/>
                <w:sz w:val="20"/>
                <w:lang w:val="en-US"/>
              </w:rPr>
            </w:pPr>
            <w:r w:rsidRPr="00AD7B35">
              <w:rPr>
                <w:rFonts w:ascii="Arial Narrow" w:eastAsiaTheme="majorEastAsia" w:hAnsi="Arial Narrow" w:cstheme="majorBidi"/>
                <w:bCs/>
                <w:sz w:val="20"/>
                <w:lang w:val="en-US"/>
              </w:rPr>
              <w:t>Prevalent Population</w:t>
            </w:r>
          </w:p>
        </w:tc>
        <w:tc>
          <w:tcPr>
            <w:tcW w:w="1966" w:type="pct"/>
            <w:shd w:val="clear" w:color="auto" w:fill="auto"/>
            <w:vAlign w:val="center"/>
          </w:tcPr>
          <w:p w14:paraId="3B9AAC56" w14:textId="77777777" w:rsidR="00AD7B35" w:rsidRPr="00AD7B35" w:rsidRDefault="00AD7B35" w:rsidP="00286DC3">
            <w:pPr>
              <w:jc w:val="left"/>
              <w:rPr>
                <w:rFonts w:ascii="Arial Narrow" w:eastAsiaTheme="majorEastAsia" w:hAnsi="Arial Narrow" w:cstheme="majorBidi"/>
                <w:bCs/>
                <w:sz w:val="20"/>
                <w:lang w:val="en-US"/>
              </w:rPr>
            </w:pPr>
            <w:r w:rsidRPr="00AD7B35">
              <w:rPr>
                <w:rFonts w:ascii="Arial Narrow" w:eastAsiaTheme="majorEastAsia" w:hAnsi="Arial Narrow" w:cstheme="majorBidi"/>
                <w:bCs/>
                <w:sz w:val="20"/>
                <w:lang w:val="en-US"/>
              </w:rPr>
              <w:t>The submission applied mid-2018 prevalence data in the UK to 2021 census data for England and Wales: 3,515 MF-CTCL patients and 43,432,100 adults in England and Wales = prevalence rate of 8.09 per 100,000 adult population.</w:t>
            </w:r>
          </w:p>
        </w:tc>
        <w:tc>
          <w:tcPr>
            <w:tcW w:w="2409" w:type="pct"/>
            <w:shd w:val="clear" w:color="auto" w:fill="auto"/>
            <w:vAlign w:val="center"/>
          </w:tcPr>
          <w:p w14:paraId="0276BC21" w14:textId="77777777" w:rsidR="00AD7B35" w:rsidRDefault="00AD7B35" w:rsidP="00286DC3">
            <w:pPr>
              <w:jc w:val="left"/>
              <w:rPr>
                <w:rFonts w:ascii="Arial Narrow" w:eastAsiaTheme="majorEastAsia" w:hAnsi="Arial Narrow" w:cstheme="majorBidi"/>
                <w:bCs/>
                <w:iCs/>
                <w:sz w:val="20"/>
                <w:lang w:val="en-US"/>
              </w:rPr>
            </w:pPr>
            <w:r w:rsidRPr="00B24037">
              <w:rPr>
                <w:rFonts w:ascii="Arial Narrow" w:eastAsiaTheme="majorEastAsia" w:hAnsi="Arial Narrow" w:cstheme="majorBidi"/>
                <w:bCs/>
                <w:iCs/>
                <w:sz w:val="20"/>
                <w:lang w:val="en-US"/>
              </w:rPr>
              <w:t xml:space="preserve">This is overestimated, as the census data did not match the year of the prevalence data, and excluded the populations of Northern Ireland and Scotland, which were included in the prevalence. Census data recorded </w:t>
            </w:r>
            <w:r w:rsidRPr="00B24037">
              <w:rPr>
                <w:rFonts w:ascii="Arial Narrow" w:eastAsiaTheme="majorEastAsia" w:hAnsi="Arial Narrow" w:cstheme="majorBidi"/>
                <w:bCs/>
                <w:iCs/>
                <w:sz w:val="20"/>
              </w:rPr>
              <w:t>52,383,965 adults in the UK in mid-2018,</w:t>
            </w:r>
            <w:r w:rsidRPr="00B24037">
              <w:rPr>
                <w:rFonts w:ascii="Arial Narrow" w:eastAsiaTheme="majorEastAsia" w:hAnsi="Arial Narrow" w:cstheme="majorBidi"/>
                <w:bCs/>
                <w:iCs/>
                <w:sz w:val="20"/>
                <w:vertAlign w:val="superscript"/>
                <w:lang w:val="en-US"/>
              </w:rPr>
              <w:footnoteReference w:id="7"/>
            </w:r>
            <w:r w:rsidRPr="00B24037">
              <w:rPr>
                <w:rFonts w:ascii="Arial Narrow" w:eastAsiaTheme="majorEastAsia" w:hAnsi="Arial Narrow" w:cstheme="majorBidi"/>
                <w:bCs/>
                <w:iCs/>
                <w:sz w:val="20"/>
              </w:rPr>
              <w:t xml:space="preserve"> which would produce a prevalence rate of 6.71 per 100,000 adult population.</w:t>
            </w:r>
            <w:r w:rsidRPr="00B24037">
              <w:rPr>
                <w:rFonts w:ascii="Arial Narrow" w:eastAsiaTheme="majorEastAsia" w:hAnsi="Arial Narrow" w:cstheme="majorBidi"/>
                <w:bCs/>
                <w:iCs/>
                <w:sz w:val="20"/>
                <w:lang w:val="en-US"/>
              </w:rPr>
              <w:t xml:space="preserve"> </w:t>
            </w:r>
          </w:p>
          <w:p w14:paraId="2846D33C" w14:textId="77777777" w:rsidR="00B24037" w:rsidRDefault="00B24037" w:rsidP="00286DC3">
            <w:pPr>
              <w:jc w:val="left"/>
              <w:rPr>
                <w:rFonts w:ascii="Arial Narrow" w:eastAsiaTheme="majorEastAsia" w:hAnsi="Arial Narrow" w:cstheme="majorBidi"/>
                <w:bCs/>
                <w:iCs/>
                <w:sz w:val="20"/>
                <w:lang w:val="en-US"/>
              </w:rPr>
            </w:pPr>
          </w:p>
          <w:p w14:paraId="37D234E3" w14:textId="4C315221" w:rsidR="00002E6F" w:rsidRPr="00B24037" w:rsidRDefault="00002E6F" w:rsidP="00286DC3">
            <w:pPr>
              <w:jc w:val="left"/>
              <w:rPr>
                <w:rFonts w:ascii="Arial Narrow" w:eastAsiaTheme="majorEastAsia" w:hAnsi="Arial Narrow" w:cstheme="majorBidi"/>
                <w:bCs/>
                <w:iCs/>
                <w:sz w:val="20"/>
                <w:lang w:val="en-US"/>
              </w:rPr>
            </w:pPr>
            <w:r w:rsidRPr="00002E6F">
              <w:rPr>
                <w:rFonts w:ascii="Arial Narrow" w:eastAsiaTheme="majorEastAsia" w:hAnsi="Arial Narrow" w:cstheme="majorBidi"/>
                <w:bCs/>
                <w:iCs/>
                <w:sz w:val="20"/>
              </w:rPr>
              <w:t>The</w:t>
            </w:r>
            <w:r>
              <w:rPr>
                <w:rFonts w:ascii="Arial Narrow" w:eastAsiaTheme="majorEastAsia" w:hAnsi="Arial Narrow" w:cstheme="majorBidi"/>
                <w:bCs/>
                <w:iCs/>
                <w:sz w:val="20"/>
              </w:rPr>
              <w:t xml:space="preserve"> </w:t>
            </w:r>
            <w:r w:rsidRPr="00002E6F">
              <w:rPr>
                <w:rFonts w:ascii="Arial Narrow" w:eastAsiaTheme="majorEastAsia" w:hAnsi="Arial Narrow" w:cstheme="majorBidi"/>
                <w:bCs/>
                <w:iCs/>
                <w:sz w:val="20"/>
              </w:rPr>
              <w:t>PSCR</w:t>
            </w:r>
            <w:r>
              <w:rPr>
                <w:rFonts w:ascii="Arial Narrow" w:eastAsiaTheme="majorEastAsia" w:hAnsi="Arial Narrow" w:cstheme="majorBidi"/>
                <w:bCs/>
                <w:iCs/>
                <w:sz w:val="20"/>
              </w:rPr>
              <w:t xml:space="preserve"> argued</w:t>
            </w:r>
            <w:r w:rsidRPr="00002E6F">
              <w:rPr>
                <w:rFonts w:ascii="Arial Narrow" w:eastAsiaTheme="majorEastAsia" w:hAnsi="Arial Narrow" w:cstheme="majorBidi"/>
                <w:bCs/>
                <w:iCs/>
                <w:sz w:val="20"/>
              </w:rPr>
              <w:t xml:space="preserve"> that the commentary was incorrect and DUSC </w:t>
            </w:r>
            <w:r w:rsidR="00D63560">
              <w:rPr>
                <w:rFonts w:ascii="Arial Narrow" w:eastAsiaTheme="majorEastAsia" w:hAnsi="Arial Narrow" w:cstheme="majorBidi"/>
                <w:bCs/>
                <w:iCs/>
                <w:sz w:val="20"/>
              </w:rPr>
              <w:t>considered</w:t>
            </w:r>
            <w:r w:rsidRPr="00002E6F">
              <w:rPr>
                <w:rFonts w:ascii="Arial Narrow" w:eastAsiaTheme="majorEastAsia" w:hAnsi="Arial Narrow" w:cstheme="majorBidi"/>
                <w:bCs/>
                <w:iCs/>
                <w:sz w:val="20"/>
              </w:rPr>
              <w:t xml:space="preserve"> that the prevalence figure of 8.09 per 100,000 was correctly applied</w:t>
            </w:r>
          </w:p>
        </w:tc>
      </w:tr>
      <w:tr w:rsidR="00AD7B35" w:rsidRPr="00AD7B35" w14:paraId="37CD96C3" w14:textId="77777777" w:rsidTr="00F33A6A">
        <w:tc>
          <w:tcPr>
            <w:tcW w:w="625" w:type="pct"/>
            <w:shd w:val="clear" w:color="auto" w:fill="auto"/>
            <w:vAlign w:val="center"/>
          </w:tcPr>
          <w:p w14:paraId="3E4BB57C" w14:textId="77777777" w:rsidR="00AD7B35" w:rsidRPr="00AD7B35" w:rsidRDefault="00AD7B35" w:rsidP="00286DC3">
            <w:pPr>
              <w:jc w:val="left"/>
              <w:rPr>
                <w:rFonts w:ascii="Arial Narrow" w:eastAsiaTheme="majorEastAsia" w:hAnsi="Arial Narrow" w:cstheme="majorBidi"/>
                <w:bCs/>
                <w:sz w:val="20"/>
                <w:lang w:val="en-US"/>
              </w:rPr>
            </w:pPr>
            <w:r w:rsidRPr="00AD7B35">
              <w:rPr>
                <w:rFonts w:ascii="Arial Narrow" w:eastAsiaTheme="majorEastAsia" w:hAnsi="Arial Narrow" w:cstheme="majorBidi"/>
                <w:bCs/>
                <w:sz w:val="20"/>
                <w:lang w:val="en-US"/>
              </w:rPr>
              <w:t>Incident Population</w:t>
            </w:r>
          </w:p>
        </w:tc>
        <w:tc>
          <w:tcPr>
            <w:tcW w:w="1966" w:type="pct"/>
            <w:shd w:val="clear" w:color="auto" w:fill="auto"/>
            <w:vAlign w:val="center"/>
          </w:tcPr>
          <w:p w14:paraId="797E35A7" w14:textId="77777777" w:rsidR="00AD7B35" w:rsidRPr="00AD7B35" w:rsidRDefault="00AD7B35" w:rsidP="00286DC3">
            <w:pPr>
              <w:jc w:val="left"/>
              <w:rPr>
                <w:rFonts w:ascii="Arial Narrow" w:eastAsiaTheme="majorEastAsia" w:hAnsi="Arial Narrow" w:cstheme="majorBidi"/>
                <w:bCs/>
                <w:sz w:val="20"/>
                <w:lang w:val="en-US"/>
              </w:rPr>
            </w:pPr>
            <w:r w:rsidRPr="00AD7B35">
              <w:rPr>
                <w:rFonts w:ascii="Arial Narrow" w:eastAsiaTheme="majorEastAsia" w:hAnsi="Arial Narrow" w:cstheme="majorBidi"/>
                <w:bCs/>
                <w:sz w:val="20"/>
                <w:lang w:val="en-US"/>
              </w:rPr>
              <w:t>The submission did not estimate the incident population; instead, it applied the prevalence rate to the ABS projections of the Australian population from 2022 to 2028.</w:t>
            </w:r>
          </w:p>
        </w:tc>
        <w:tc>
          <w:tcPr>
            <w:tcW w:w="2409" w:type="pct"/>
            <w:shd w:val="clear" w:color="auto" w:fill="auto"/>
            <w:vAlign w:val="center"/>
          </w:tcPr>
          <w:p w14:paraId="7089A11C" w14:textId="77777777" w:rsidR="00AD7B35" w:rsidRDefault="00AD7B35" w:rsidP="00286DC3">
            <w:pPr>
              <w:jc w:val="left"/>
              <w:rPr>
                <w:rFonts w:ascii="Arial Narrow" w:eastAsiaTheme="majorEastAsia" w:hAnsi="Arial Narrow" w:cstheme="majorBidi"/>
                <w:bCs/>
                <w:iCs/>
                <w:sz w:val="20"/>
                <w:lang w:val="en-US"/>
              </w:rPr>
            </w:pPr>
            <w:r w:rsidRPr="00002E6F">
              <w:rPr>
                <w:rFonts w:ascii="Arial Narrow" w:eastAsiaTheme="majorEastAsia" w:hAnsi="Arial Narrow" w:cstheme="majorBidi"/>
                <w:bCs/>
                <w:iCs/>
                <w:sz w:val="20"/>
                <w:lang w:val="en-US"/>
              </w:rPr>
              <w:t>This double-counted most of the prevalent population in subsequent years. The submission stated that in England, the age-standardised incidence rate of MF-CTCL was 0.42 and 0.29 per 100,000 for males and females respectively; this would be a more appropriate estimate after Year 1 of listing.</w:t>
            </w:r>
          </w:p>
          <w:p w14:paraId="153421BB" w14:textId="77777777" w:rsidR="00002E6F" w:rsidRDefault="00002E6F" w:rsidP="00286DC3">
            <w:pPr>
              <w:jc w:val="left"/>
              <w:rPr>
                <w:rFonts w:ascii="Arial Narrow" w:eastAsiaTheme="majorEastAsia" w:hAnsi="Arial Narrow" w:cstheme="majorBidi"/>
                <w:bCs/>
                <w:iCs/>
                <w:sz w:val="20"/>
                <w:lang w:val="en-US"/>
              </w:rPr>
            </w:pPr>
          </w:p>
          <w:p w14:paraId="5D0CE3DF" w14:textId="77777777" w:rsidR="00002E6F" w:rsidRPr="00002E6F" w:rsidRDefault="00002E6F" w:rsidP="00286DC3">
            <w:pPr>
              <w:spacing w:before="80" w:after="80"/>
              <w:jc w:val="left"/>
              <w:rPr>
                <w:rFonts w:ascii="Arial Narrow" w:eastAsiaTheme="majorEastAsia" w:hAnsi="Arial Narrow" w:cstheme="majorBidi"/>
                <w:bCs/>
                <w:iCs/>
                <w:sz w:val="20"/>
              </w:rPr>
            </w:pPr>
            <w:r w:rsidRPr="00002E6F">
              <w:rPr>
                <w:rFonts w:ascii="Arial Narrow" w:eastAsiaTheme="majorEastAsia" w:hAnsi="Arial Narrow" w:cstheme="majorBidi"/>
                <w:bCs/>
                <w:iCs/>
                <w:sz w:val="20"/>
              </w:rPr>
              <w:t xml:space="preserve">DUSC commented that the submission did not need to estimate the incident population. </w:t>
            </w:r>
          </w:p>
          <w:p w14:paraId="79DD3F2D" w14:textId="00BEA3FB" w:rsidR="00002E6F" w:rsidRPr="00002E6F" w:rsidRDefault="00002E6F" w:rsidP="00286DC3">
            <w:pPr>
              <w:jc w:val="left"/>
              <w:rPr>
                <w:rFonts w:ascii="Arial Narrow" w:eastAsiaTheme="majorEastAsia" w:hAnsi="Arial Narrow" w:cstheme="majorBidi"/>
                <w:bCs/>
                <w:iCs/>
                <w:sz w:val="20"/>
                <w:lang w:val="en-US"/>
              </w:rPr>
            </w:pPr>
            <w:r w:rsidRPr="00002E6F">
              <w:rPr>
                <w:rFonts w:ascii="Arial Narrow" w:eastAsiaTheme="majorEastAsia" w:hAnsi="Arial Narrow" w:cstheme="majorBidi"/>
                <w:bCs/>
                <w:iCs/>
                <w:sz w:val="20"/>
              </w:rPr>
              <w:t>DUSC noted that the prevalent approach was not necessarily incorrect. The double counting arose due to the sponsor applying a duration of use greater than one year to the prevalent population which led to double to counting.</w:t>
            </w:r>
          </w:p>
        </w:tc>
      </w:tr>
      <w:tr w:rsidR="00AD7B35" w:rsidRPr="00AD7B35" w14:paraId="5A857FE0" w14:textId="77777777" w:rsidTr="00F33A6A">
        <w:tc>
          <w:tcPr>
            <w:tcW w:w="625" w:type="pct"/>
            <w:shd w:val="clear" w:color="auto" w:fill="auto"/>
            <w:vAlign w:val="center"/>
          </w:tcPr>
          <w:p w14:paraId="651D8297" w14:textId="77777777" w:rsidR="00AD7B35" w:rsidRPr="00AD7B35" w:rsidRDefault="00AD7B35" w:rsidP="00286DC3">
            <w:pPr>
              <w:jc w:val="left"/>
              <w:rPr>
                <w:rFonts w:ascii="Arial Narrow" w:eastAsiaTheme="majorEastAsia" w:hAnsi="Arial Narrow" w:cstheme="majorBidi"/>
                <w:bCs/>
                <w:sz w:val="20"/>
                <w:lang w:val="en-US"/>
              </w:rPr>
            </w:pPr>
            <w:r w:rsidRPr="00AD7B35">
              <w:rPr>
                <w:rFonts w:ascii="Arial Narrow" w:eastAsiaTheme="majorEastAsia" w:hAnsi="Arial Narrow" w:cstheme="majorBidi"/>
                <w:bCs/>
                <w:sz w:val="20"/>
                <w:lang w:val="en-US"/>
              </w:rPr>
              <w:t>% who meet the proposed PBS criteria</w:t>
            </w:r>
          </w:p>
        </w:tc>
        <w:tc>
          <w:tcPr>
            <w:tcW w:w="1966" w:type="pct"/>
            <w:shd w:val="clear" w:color="auto" w:fill="auto"/>
            <w:vAlign w:val="center"/>
          </w:tcPr>
          <w:p w14:paraId="3827CD32" w14:textId="77777777" w:rsidR="00AD7B35" w:rsidRPr="00AD7B35" w:rsidRDefault="00AD7B35" w:rsidP="00286DC3">
            <w:pPr>
              <w:jc w:val="left"/>
              <w:rPr>
                <w:rFonts w:ascii="Arial Narrow" w:eastAsiaTheme="majorEastAsia" w:hAnsi="Arial Narrow" w:cstheme="majorBidi"/>
                <w:bCs/>
                <w:sz w:val="20"/>
                <w:lang w:val="en-US"/>
              </w:rPr>
            </w:pPr>
            <w:r w:rsidRPr="00AD7B35">
              <w:rPr>
                <w:rFonts w:ascii="Arial Narrow" w:eastAsiaTheme="majorEastAsia" w:hAnsi="Arial Narrow" w:cstheme="majorBidi"/>
                <w:bCs/>
                <w:sz w:val="20"/>
                <w:lang w:val="en-US"/>
              </w:rPr>
              <w:t>Proportion of patients with early-stage disease (IA, IB and IIA): 79.6% - based on the PROCLIPI dataset.</w:t>
            </w:r>
          </w:p>
          <w:p w14:paraId="69F7D80B" w14:textId="77777777" w:rsidR="00AD7B35" w:rsidRPr="00AD7B35" w:rsidRDefault="00AD7B35" w:rsidP="00286DC3">
            <w:pPr>
              <w:jc w:val="left"/>
              <w:rPr>
                <w:rFonts w:ascii="Arial Narrow" w:eastAsiaTheme="majorEastAsia" w:hAnsi="Arial Narrow" w:cstheme="majorBidi"/>
                <w:bCs/>
                <w:sz w:val="20"/>
                <w:lang w:val="en-US"/>
              </w:rPr>
            </w:pPr>
          </w:p>
          <w:p w14:paraId="642818E0" w14:textId="77777777" w:rsidR="00AD7B35" w:rsidRPr="00AD7B35" w:rsidRDefault="00AD7B35" w:rsidP="00286DC3">
            <w:pPr>
              <w:jc w:val="left"/>
              <w:rPr>
                <w:rFonts w:ascii="Arial Narrow" w:eastAsiaTheme="majorEastAsia" w:hAnsi="Arial Narrow" w:cstheme="majorBidi"/>
                <w:bCs/>
                <w:sz w:val="20"/>
                <w:lang w:val="en-US"/>
              </w:rPr>
            </w:pPr>
            <w:r w:rsidRPr="00AD7B35">
              <w:rPr>
                <w:rFonts w:ascii="Arial Narrow" w:eastAsiaTheme="majorEastAsia" w:hAnsi="Arial Narrow" w:cstheme="majorBidi"/>
                <w:bCs/>
                <w:sz w:val="20"/>
                <w:lang w:val="en-US"/>
              </w:rPr>
              <w:t>Proportion of patients with &lt;25% BSA: 85.27% - based on the population of Study 201.</w:t>
            </w:r>
          </w:p>
        </w:tc>
        <w:tc>
          <w:tcPr>
            <w:tcW w:w="2409" w:type="pct"/>
            <w:shd w:val="clear" w:color="auto" w:fill="auto"/>
            <w:vAlign w:val="center"/>
          </w:tcPr>
          <w:p w14:paraId="714F4561" w14:textId="77777777" w:rsidR="00AD7B35" w:rsidRPr="00002E6F" w:rsidRDefault="00AD7B35" w:rsidP="00286DC3">
            <w:pPr>
              <w:jc w:val="left"/>
              <w:rPr>
                <w:rFonts w:ascii="Arial Narrow" w:eastAsiaTheme="majorEastAsia" w:hAnsi="Arial Narrow" w:cstheme="majorBidi"/>
                <w:bCs/>
                <w:iCs/>
                <w:sz w:val="20"/>
                <w:lang w:val="en-US"/>
              </w:rPr>
            </w:pPr>
            <w:r w:rsidRPr="00002E6F">
              <w:rPr>
                <w:rFonts w:ascii="Arial Narrow" w:eastAsiaTheme="majorEastAsia" w:hAnsi="Arial Narrow" w:cstheme="majorBidi"/>
                <w:bCs/>
                <w:iCs/>
                <w:sz w:val="20"/>
                <w:lang w:val="en-US"/>
              </w:rPr>
              <w:t>The submission’s two proportions are reasonable, but it failed to consider:</w:t>
            </w:r>
          </w:p>
          <w:p w14:paraId="09258BAF" w14:textId="77777777" w:rsidR="00AD7B35" w:rsidRPr="00002E6F" w:rsidRDefault="00AD7B35" w:rsidP="00286DC3">
            <w:pPr>
              <w:jc w:val="left"/>
              <w:rPr>
                <w:rFonts w:ascii="Arial Narrow" w:eastAsiaTheme="majorEastAsia" w:hAnsi="Arial Narrow" w:cstheme="majorBidi"/>
                <w:bCs/>
                <w:iCs/>
                <w:sz w:val="20"/>
                <w:lang w:val="en-US"/>
              </w:rPr>
            </w:pPr>
            <w:r w:rsidRPr="00002E6F">
              <w:rPr>
                <w:rFonts w:ascii="Arial Narrow" w:eastAsiaTheme="majorEastAsia" w:hAnsi="Arial Narrow" w:cstheme="majorBidi"/>
                <w:bCs/>
                <w:iCs/>
                <w:sz w:val="20"/>
                <w:lang w:val="en-US"/>
              </w:rPr>
              <w:t>- The proportion of patients receiving skin-directed monotherapy (55.8% as described by D’Agostino 2019)</w:t>
            </w:r>
            <w:r w:rsidRPr="00002E6F">
              <w:rPr>
                <w:rFonts w:ascii="Arial Narrow" w:eastAsiaTheme="majorEastAsia" w:hAnsi="Arial Narrow" w:cstheme="majorBidi"/>
                <w:bCs/>
                <w:iCs/>
                <w:sz w:val="20"/>
                <w:vertAlign w:val="superscript"/>
                <w:lang w:val="en-US"/>
              </w:rPr>
              <w:footnoteReference w:id="8"/>
            </w:r>
          </w:p>
          <w:p w14:paraId="006C6C5B" w14:textId="77777777" w:rsidR="00AD7B35" w:rsidRPr="00AD7B35" w:rsidRDefault="00AD7B35" w:rsidP="00286DC3">
            <w:pPr>
              <w:jc w:val="left"/>
              <w:rPr>
                <w:rFonts w:ascii="Arial Narrow" w:eastAsiaTheme="majorEastAsia" w:hAnsi="Arial Narrow" w:cstheme="majorBidi"/>
                <w:bCs/>
                <w:i/>
                <w:sz w:val="20"/>
                <w:lang w:val="en-US"/>
              </w:rPr>
            </w:pPr>
            <w:r w:rsidRPr="00002E6F">
              <w:rPr>
                <w:rFonts w:ascii="Arial Narrow" w:eastAsiaTheme="majorEastAsia" w:hAnsi="Arial Narrow" w:cstheme="majorBidi"/>
                <w:bCs/>
                <w:iCs/>
                <w:sz w:val="20"/>
                <w:lang w:val="en-US"/>
              </w:rPr>
              <w:t>- The proportion of patients who failed topical corticosteroids (50.7% as described in Figure 1-4, p 49 of the submission)</w:t>
            </w:r>
            <w:r w:rsidRPr="00AD7B35">
              <w:rPr>
                <w:rFonts w:ascii="Arial Narrow" w:eastAsiaTheme="majorEastAsia" w:hAnsi="Arial Narrow" w:cstheme="majorBidi"/>
                <w:bCs/>
                <w:i/>
                <w:sz w:val="20"/>
                <w:lang w:val="en-US"/>
              </w:rPr>
              <w:t xml:space="preserve"> </w:t>
            </w:r>
          </w:p>
        </w:tc>
      </w:tr>
      <w:tr w:rsidR="00AD7B35" w:rsidRPr="00AD7B35" w14:paraId="2899DDF0" w14:textId="77777777" w:rsidTr="00F33A6A">
        <w:tc>
          <w:tcPr>
            <w:tcW w:w="625" w:type="pct"/>
            <w:shd w:val="clear" w:color="auto" w:fill="auto"/>
            <w:vAlign w:val="center"/>
          </w:tcPr>
          <w:p w14:paraId="4E87A3A5" w14:textId="77777777" w:rsidR="00AD7B35" w:rsidRPr="00AD7B35" w:rsidRDefault="00AD7B35" w:rsidP="00286DC3">
            <w:pPr>
              <w:jc w:val="left"/>
              <w:rPr>
                <w:rFonts w:ascii="Arial Narrow" w:eastAsiaTheme="majorEastAsia" w:hAnsi="Arial Narrow" w:cstheme="majorBidi"/>
                <w:bCs/>
                <w:sz w:val="20"/>
                <w:lang w:val="en-US"/>
              </w:rPr>
            </w:pPr>
            <w:r w:rsidRPr="00AD7B35">
              <w:rPr>
                <w:rFonts w:ascii="Arial Narrow" w:eastAsiaTheme="majorEastAsia" w:hAnsi="Arial Narrow" w:cstheme="majorBidi"/>
                <w:bCs/>
                <w:sz w:val="20"/>
                <w:lang w:val="en-US"/>
              </w:rPr>
              <w:t>Uptake Rate</w:t>
            </w:r>
          </w:p>
        </w:tc>
        <w:tc>
          <w:tcPr>
            <w:tcW w:w="1966" w:type="pct"/>
            <w:shd w:val="clear" w:color="auto" w:fill="auto"/>
            <w:vAlign w:val="center"/>
          </w:tcPr>
          <w:p w14:paraId="449DCC21" w14:textId="7E4CE3EB" w:rsidR="00AD7B35" w:rsidRPr="00AD7B35" w:rsidRDefault="001247F0" w:rsidP="00286DC3">
            <w:pPr>
              <w:jc w:val="left"/>
              <w:rPr>
                <w:rFonts w:ascii="Arial Narrow" w:eastAsiaTheme="majorEastAsia" w:hAnsi="Arial Narrow" w:cstheme="majorBidi"/>
                <w:bCs/>
                <w:sz w:val="20"/>
                <w:lang w:val="en-US"/>
              </w:rPr>
            </w:pPr>
            <w:r w:rsidRPr="001247F0">
              <w:rPr>
                <w:rFonts w:ascii="Arial Narrow" w:eastAsiaTheme="majorEastAsia" w:hAnsi="Arial Narrow" w:cstheme="majorBidi"/>
                <w:bCs/>
                <w:color w:val="000000"/>
                <w:spacing w:val="29"/>
                <w:sz w:val="20"/>
                <w:shd w:val="solid" w:color="000000" w:fill="000000"/>
                <w:fitText w:val="550" w:id="-1236603647"/>
                <w:lang w:val="en-US"/>
                <w14:textFill>
                  <w14:solidFill>
                    <w14:srgbClr w14:val="000000">
                      <w14:alpha w14:val="100000"/>
                    </w14:srgbClr>
                  </w14:solidFill>
                </w14:textFill>
              </w:rPr>
              <w:t>|||||||</w:t>
            </w:r>
            <w:r w:rsidRPr="001247F0">
              <w:rPr>
                <w:rFonts w:ascii="Arial Narrow" w:eastAsiaTheme="majorEastAsia" w:hAnsi="Arial Narrow" w:cstheme="majorBidi"/>
                <w:bCs/>
                <w:color w:val="000000"/>
                <w:spacing w:val="7"/>
                <w:sz w:val="20"/>
                <w:shd w:val="solid" w:color="000000" w:fill="000000"/>
                <w:fitText w:val="550" w:id="-1236603647"/>
                <w:lang w:val="en-US"/>
                <w14:textFill>
                  <w14:solidFill>
                    <w14:srgbClr w14:val="000000">
                      <w14:alpha w14:val="100000"/>
                    </w14:srgbClr>
                  </w14:solidFill>
                </w14:textFill>
              </w:rPr>
              <w:t>|</w:t>
            </w:r>
            <w:r w:rsidR="00AD7B35" w:rsidRPr="00AD7B35">
              <w:rPr>
                <w:rFonts w:ascii="Arial Narrow" w:eastAsiaTheme="majorEastAsia" w:hAnsi="Arial Narrow" w:cstheme="majorBidi"/>
                <w:bCs/>
                <w:sz w:val="20"/>
                <w:lang w:val="en-US"/>
              </w:rPr>
              <w:t xml:space="preserve">% in year 1 increasing to </w:t>
            </w:r>
            <w:r w:rsidRPr="001247F0">
              <w:rPr>
                <w:rFonts w:ascii="Arial Narrow" w:eastAsiaTheme="majorEastAsia" w:hAnsi="Arial Narrow" w:cstheme="majorBidi"/>
                <w:bCs/>
                <w:color w:val="000000"/>
                <w:spacing w:val="28"/>
                <w:sz w:val="20"/>
                <w:shd w:val="solid" w:color="000000" w:fill="000000"/>
                <w:fitText w:val="541" w:id="-1236603646"/>
                <w:lang w:val="en-US"/>
                <w14:textFill>
                  <w14:solidFill>
                    <w14:srgbClr w14:val="000000">
                      <w14:alpha w14:val="100000"/>
                    </w14:srgbClr>
                  </w14:solidFill>
                </w14:textFill>
              </w:rPr>
              <w:t>|||||||</w:t>
            </w:r>
            <w:r w:rsidRPr="001247F0">
              <w:rPr>
                <w:rFonts w:ascii="Arial Narrow" w:eastAsiaTheme="majorEastAsia" w:hAnsi="Arial Narrow" w:cstheme="majorBidi"/>
                <w:bCs/>
                <w:color w:val="000000"/>
                <w:spacing w:val="5"/>
                <w:sz w:val="20"/>
                <w:shd w:val="solid" w:color="000000" w:fill="000000"/>
                <w:fitText w:val="541" w:id="-1236603646"/>
                <w:lang w:val="en-US"/>
                <w14:textFill>
                  <w14:solidFill>
                    <w14:srgbClr w14:val="000000">
                      <w14:alpha w14:val="100000"/>
                    </w14:srgbClr>
                  </w14:solidFill>
                </w14:textFill>
              </w:rPr>
              <w:t>|</w:t>
            </w:r>
            <w:r w:rsidR="00AD7B35" w:rsidRPr="00AD7B35">
              <w:rPr>
                <w:rFonts w:ascii="Arial Narrow" w:eastAsiaTheme="majorEastAsia" w:hAnsi="Arial Narrow" w:cstheme="majorBidi"/>
                <w:bCs/>
                <w:sz w:val="20"/>
                <w:lang w:val="en-US"/>
              </w:rPr>
              <w:t>% in year 6.</w:t>
            </w:r>
          </w:p>
        </w:tc>
        <w:tc>
          <w:tcPr>
            <w:tcW w:w="2409" w:type="pct"/>
            <w:shd w:val="clear" w:color="auto" w:fill="auto"/>
            <w:vAlign w:val="center"/>
          </w:tcPr>
          <w:p w14:paraId="74ACE9FF" w14:textId="77777777" w:rsidR="00AD7B35" w:rsidRPr="00002E6F" w:rsidRDefault="00AD7B35" w:rsidP="00286DC3">
            <w:pPr>
              <w:jc w:val="left"/>
              <w:rPr>
                <w:rFonts w:ascii="Arial Narrow" w:eastAsiaTheme="majorEastAsia" w:hAnsi="Arial Narrow" w:cstheme="majorBidi"/>
                <w:bCs/>
                <w:sz w:val="20"/>
                <w:lang w:val="en-US"/>
              </w:rPr>
            </w:pPr>
            <w:r w:rsidRPr="00002E6F">
              <w:rPr>
                <w:rFonts w:ascii="Arial Narrow" w:eastAsiaTheme="majorEastAsia" w:hAnsi="Arial Narrow" w:cstheme="majorBidi"/>
                <w:bCs/>
                <w:sz w:val="20"/>
                <w:lang w:val="en-US"/>
              </w:rPr>
              <w:t>Submission’s assumption</w:t>
            </w:r>
          </w:p>
        </w:tc>
      </w:tr>
      <w:tr w:rsidR="00AD7B35" w:rsidRPr="00AD7B35" w14:paraId="78A828C2" w14:textId="77777777" w:rsidTr="00F33A6A">
        <w:trPr>
          <w:cantSplit/>
        </w:trPr>
        <w:tc>
          <w:tcPr>
            <w:tcW w:w="625" w:type="pct"/>
            <w:shd w:val="clear" w:color="auto" w:fill="auto"/>
            <w:vAlign w:val="center"/>
          </w:tcPr>
          <w:p w14:paraId="31E4153B" w14:textId="77777777" w:rsidR="00AD7B35" w:rsidRPr="00AD7B35" w:rsidRDefault="00AD7B35" w:rsidP="00286DC3">
            <w:pPr>
              <w:jc w:val="left"/>
              <w:rPr>
                <w:rFonts w:ascii="Arial Narrow" w:eastAsiaTheme="majorEastAsia" w:hAnsi="Arial Narrow" w:cstheme="majorBidi"/>
                <w:bCs/>
                <w:sz w:val="20"/>
                <w:lang w:val="en-US"/>
              </w:rPr>
            </w:pPr>
            <w:r w:rsidRPr="00AD7B35">
              <w:rPr>
                <w:rFonts w:ascii="Arial Narrow" w:eastAsiaTheme="majorEastAsia" w:hAnsi="Arial Narrow" w:cstheme="majorBidi"/>
                <w:bCs/>
                <w:sz w:val="20"/>
                <w:lang w:val="en-US"/>
              </w:rPr>
              <w:t xml:space="preserve">Compliance and use in practice </w:t>
            </w:r>
          </w:p>
        </w:tc>
        <w:tc>
          <w:tcPr>
            <w:tcW w:w="1966" w:type="pct"/>
            <w:shd w:val="clear" w:color="auto" w:fill="auto"/>
            <w:vAlign w:val="center"/>
          </w:tcPr>
          <w:p w14:paraId="160F587F" w14:textId="77777777" w:rsidR="00AD7B35" w:rsidRPr="00AD7B35" w:rsidRDefault="00AD7B35" w:rsidP="00286DC3">
            <w:pPr>
              <w:jc w:val="left"/>
              <w:rPr>
                <w:rFonts w:ascii="Arial Narrow" w:eastAsiaTheme="majorEastAsia" w:hAnsi="Arial Narrow" w:cstheme="majorBidi"/>
                <w:bCs/>
                <w:sz w:val="20"/>
                <w:lang w:val="en-US"/>
              </w:rPr>
            </w:pPr>
            <w:r w:rsidRPr="00AD7B35">
              <w:rPr>
                <w:rFonts w:ascii="Arial Narrow" w:eastAsiaTheme="majorEastAsia" w:hAnsi="Arial Narrow" w:cstheme="majorBidi"/>
                <w:bCs/>
                <w:sz w:val="20"/>
                <w:lang w:val="en-US"/>
              </w:rPr>
              <w:t xml:space="preserve">The submission assumed each patient treated with chlormethine gel would receive 4 years of therapy (i.e. 100% compliance over 48 months). This meant that the submission estimated an 11-fold increase in patients on treatment, from 116 in Year 1 to 1,322 in Year 6. </w:t>
            </w:r>
          </w:p>
        </w:tc>
        <w:tc>
          <w:tcPr>
            <w:tcW w:w="2409" w:type="pct"/>
            <w:shd w:val="clear" w:color="auto" w:fill="auto"/>
            <w:vAlign w:val="center"/>
          </w:tcPr>
          <w:p w14:paraId="65C2AE5E" w14:textId="77777777" w:rsidR="00AD7B35" w:rsidRPr="00D63560" w:rsidRDefault="00AD7B35" w:rsidP="00286DC3">
            <w:pPr>
              <w:jc w:val="left"/>
              <w:rPr>
                <w:rFonts w:ascii="Arial Narrow" w:eastAsiaTheme="majorEastAsia" w:hAnsi="Arial Narrow" w:cstheme="majorBidi"/>
                <w:bCs/>
                <w:sz w:val="20"/>
                <w:lang w:val="en-US"/>
              </w:rPr>
            </w:pPr>
            <w:r w:rsidRPr="00D63560">
              <w:rPr>
                <w:rFonts w:ascii="Arial Narrow" w:eastAsiaTheme="majorEastAsia" w:hAnsi="Arial Narrow" w:cstheme="majorBidi"/>
                <w:bCs/>
                <w:sz w:val="20"/>
              </w:rPr>
              <w:t>This is a substantially longer treatment time than recorded in Study 201, which had a median duration of treatment of 9 months. It is unlikely that all patients who initiate chlormethine gel would continue treatment for 4 years.</w:t>
            </w:r>
          </w:p>
        </w:tc>
      </w:tr>
      <w:tr w:rsidR="00AD7B35" w:rsidRPr="00AD7B35" w14:paraId="2289A7F2" w14:textId="77777777" w:rsidTr="00F33A6A">
        <w:tc>
          <w:tcPr>
            <w:tcW w:w="625" w:type="pct"/>
            <w:shd w:val="clear" w:color="auto" w:fill="auto"/>
            <w:vAlign w:val="center"/>
          </w:tcPr>
          <w:p w14:paraId="663087CC" w14:textId="77777777" w:rsidR="00AD7B35" w:rsidRPr="00AD7B35" w:rsidRDefault="00AD7B35" w:rsidP="00286DC3">
            <w:pPr>
              <w:jc w:val="left"/>
              <w:rPr>
                <w:rFonts w:ascii="Arial Narrow" w:eastAsiaTheme="majorEastAsia" w:hAnsi="Arial Narrow" w:cstheme="majorBidi"/>
                <w:bCs/>
                <w:sz w:val="20"/>
                <w:lang w:val="en-US"/>
              </w:rPr>
            </w:pPr>
            <w:r w:rsidRPr="00AD7B35">
              <w:rPr>
                <w:rFonts w:ascii="Arial Narrow" w:eastAsiaTheme="majorEastAsia" w:hAnsi="Arial Narrow" w:cstheme="majorBidi"/>
                <w:bCs/>
                <w:sz w:val="20"/>
                <w:lang w:val="en-US"/>
              </w:rPr>
              <w:t>Dose</w:t>
            </w:r>
          </w:p>
        </w:tc>
        <w:tc>
          <w:tcPr>
            <w:tcW w:w="1966" w:type="pct"/>
            <w:shd w:val="clear" w:color="auto" w:fill="auto"/>
            <w:vAlign w:val="center"/>
          </w:tcPr>
          <w:p w14:paraId="6ED6778C" w14:textId="7E215222" w:rsidR="00AD7B35" w:rsidRPr="00AD7B35" w:rsidRDefault="00AD7B35" w:rsidP="00286DC3">
            <w:pPr>
              <w:jc w:val="left"/>
              <w:rPr>
                <w:rFonts w:ascii="Arial Narrow" w:eastAsiaTheme="majorEastAsia" w:hAnsi="Arial Narrow" w:cstheme="majorBidi"/>
                <w:bCs/>
                <w:sz w:val="20"/>
                <w:lang w:val="en-US"/>
              </w:rPr>
            </w:pPr>
            <w:r w:rsidRPr="00AD7B35">
              <w:rPr>
                <w:rFonts w:ascii="Arial Narrow" w:eastAsiaTheme="majorEastAsia" w:hAnsi="Arial Narrow" w:cstheme="majorBidi"/>
                <w:bCs/>
                <w:sz w:val="20"/>
                <w:lang w:val="en-US"/>
              </w:rPr>
              <w:t xml:space="preserve">The submission estimated 1 x </w:t>
            </w:r>
            <w:r w:rsidR="00193B29" w:rsidRPr="00AD7B35">
              <w:rPr>
                <w:rFonts w:ascii="Arial Narrow" w:eastAsiaTheme="majorEastAsia" w:hAnsi="Arial Narrow" w:cstheme="majorBidi"/>
                <w:bCs/>
                <w:sz w:val="20"/>
                <w:lang w:val="en-US"/>
              </w:rPr>
              <w:t>60</w:t>
            </w:r>
            <w:r w:rsidR="00193B29">
              <w:rPr>
                <w:rFonts w:ascii="Arial Narrow" w:eastAsiaTheme="majorEastAsia" w:hAnsi="Arial Narrow" w:cstheme="majorBidi"/>
                <w:bCs/>
                <w:sz w:val="20"/>
                <w:lang w:val="en-US"/>
              </w:rPr>
              <w:t> </w:t>
            </w:r>
            <w:r w:rsidRPr="00AD7B35">
              <w:rPr>
                <w:rFonts w:ascii="Arial Narrow" w:eastAsiaTheme="majorEastAsia" w:hAnsi="Arial Narrow" w:cstheme="majorBidi"/>
                <w:bCs/>
                <w:sz w:val="20"/>
                <w:lang w:val="en-US"/>
              </w:rPr>
              <w:t>g tube per month would be required, citing the mean dose of 1.8</w:t>
            </w:r>
            <w:r w:rsidR="00193B29">
              <w:rPr>
                <w:rFonts w:ascii="Arial Narrow" w:eastAsiaTheme="majorEastAsia" w:hAnsi="Arial Narrow" w:cstheme="majorBidi"/>
                <w:bCs/>
                <w:sz w:val="20"/>
                <w:lang w:val="en-US"/>
              </w:rPr>
              <w:t> </w:t>
            </w:r>
            <w:r w:rsidRPr="00AD7B35">
              <w:rPr>
                <w:rFonts w:ascii="Arial Narrow" w:eastAsiaTheme="majorEastAsia" w:hAnsi="Arial Narrow" w:cstheme="majorBidi"/>
                <w:bCs/>
                <w:sz w:val="20"/>
                <w:lang w:val="en-US"/>
              </w:rPr>
              <w:t>g daily from Study 201.</w:t>
            </w:r>
          </w:p>
        </w:tc>
        <w:tc>
          <w:tcPr>
            <w:tcW w:w="2409" w:type="pct"/>
            <w:shd w:val="clear" w:color="auto" w:fill="auto"/>
            <w:vAlign w:val="center"/>
          </w:tcPr>
          <w:p w14:paraId="34B518EA" w14:textId="6E65C570" w:rsidR="00AD7B35" w:rsidRPr="00D63560" w:rsidRDefault="00AD7B35" w:rsidP="00286DC3">
            <w:pPr>
              <w:jc w:val="left"/>
              <w:rPr>
                <w:rFonts w:ascii="Arial Narrow" w:eastAsiaTheme="majorEastAsia" w:hAnsi="Arial Narrow" w:cstheme="majorBidi"/>
                <w:bCs/>
                <w:iCs/>
                <w:sz w:val="20"/>
                <w:lang w:val="en-US"/>
              </w:rPr>
            </w:pPr>
            <w:r w:rsidRPr="00D63560">
              <w:rPr>
                <w:rFonts w:ascii="Arial Narrow" w:eastAsiaTheme="majorEastAsia" w:hAnsi="Arial Narrow" w:cstheme="majorBidi"/>
                <w:bCs/>
                <w:iCs/>
                <w:sz w:val="20"/>
                <w:lang w:val="en-US"/>
              </w:rPr>
              <w:t>This is an underestimate; i</w:t>
            </w:r>
            <w:r w:rsidRPr="00D63560">
              <w:rPr>
                <w:rFonts w:ascii="Arial Narrow" w:eastAsiaTheme="majorEastAsia" w:hAnsi="Arial Narrow" w:cstheme="majorBidi"/>
                <w:bCs/>
                <w:iCs/>
                <w:sz w:val="20"/>
              </w:rPr>
              <w:t>n Study 201, the mean daily use for Stage IA patients was 1.8</w:t>
            </w:r>
            <w:r w:rsidR="00193B29">
              <w:rPr>
                <w:rFonts w:ascii="Arial Narrow" w:eastAsiaTheme="majorEastAsia" w:hAnsi="Arial Narrow" w:cstheme="majorBidi"/>
                <w:bCs/>
                <w:iCs/>
                <w:sz w:val="20"/>
              </w:rPr>
              <w:t> </w:t>
            </w:r>
            <w:r w:rsidRPr="00D63560">
              <w:rPr>
                <w:rFonts w:ascii="Arial Narrow" w:eastAsiaTheme="majorEastAsia" w:hAnsi="Arial Narrow" w:cstheme="majorBidi"/>
                <w:bCs/>
                <w:iCs/>
                <w:sz w:val="20"/>
              </w:rPr>
              <w:t>g, however stage IB/IIA patients required 4.3</w:t>
            </w:r>
            <w:r w:rsidR="00193B29">
              <w:rPr>
                <w:rFonts w:ascii="Arial Narrow" w:eastAsiaTheme="majorEastAsia" w:hAnsi="Arial Narrow" w:cstheme="majorBidi"/>
                <w:bCs/>
                <w:iCs/>
                <w:sz w:val="20"/>
              </w:rPr>
              <w:t> </w:t>
            </w:r>
            <w:r w:rsidRPr="00D63560">
              <w:rPr>
                <w:rFonts w:ascii="Arial Narrow" w:eastAsiaTheme="majorEastAsia" w:hAnsi="Arial Narrow" w:cstheme="majorBidi"/>
                <w:bCs/>
                <w:iCs/>
                <w:sz w:val="20"/>
              </w:rPr>
              <w:t>g per day, which would require over 2 tubes per month.</w:t>
            </w:r>
          </w:p>
        </w:tc>
      </w:tr>
      <w:tr w:rsidR="00AD7B35" w:rsidRPr="00AD7B35" w14:paraId="6E06D989" w14:textId="77777777" w:rsidTr="00F33A6A">
        <w:tc>
          <w:tcPr>
            <w:tcW w:w="625" w:type="pct"/>
            <w:shd w:val="clear" w:color="auto" w:fill="auto"/>
            <w:vAlign w:val="center"/>
          </w:tcPr>
          <w:p w14:paraId="15FCA7B6" w14:textId="77777777" w:rsidR="00AD7B35" w:rsidRPr="00AD7B35" w:rsidRDefault="00AD7B35" w:rsidP="00286DC3">
            <w:pPr>
              <w:jc w:val="left"/>
              <w:rPr>
                <w:rFonts w:ascii="Arial Narrow" w:eastAsiaTheme="majorEastAsia" w:hAnsi="Arial Narrow" w:cstheme="majorBidi"/>
                <w:bCs/>
                <w:sz w:val="20"/>
                <w:lang w:val="en-US"/>
              </w:rPr>
            </w:pPr>
            <w:r w:rsidRPr="00AD7B35">
              <w:rPr>
                <w:rFonts w:ascii="Arial Narrow" w:eastAsiaTheme="majorEastAsia" w:hAnsi="Arial Narrow" w:cstheme="majorBidi"/>
                <w:bCs/>
                <w:sz w:val="20"/>
                <w:lang w:val="en-US"/>
              </w:rPr>
              <w:t>Offsets for comparator</w:t>
            </w:r>
          </w:p>
        </w:tc>
        <w:tc>
          <w:tcPr>
            <w:tcW w:w="1966" w:type="pct"/>
            <w:shd w:val="clear" w:color="auto" w:fill="auto"/>
            <w:vAlign w:val="center"/>
          </w:tcPr>
          <w:p w14:paraId="18BABED2" w14:textId="77777777" w:rsidR="00AD7B35" w:rsidRPr="00AD7B35" w:rsidRDefault="00AD7B35" w:rsidP="00286DC3">
            <w:pPr>
              <w:jc w:val="left"/>
              <w:rPr>
                <w:rFonts w:ascii="Arial Narrow" w:eastAsiaTheme="majorEastAsia" w:hAnsi="Arial Narrow" w:cstheme="majorBidi"/>
                <w:bCs/>
                <w:sz w:val="20"/>
                <w:lang w:val="en-US"/>
              </w:rPr>
            </w:pPr>
            <w:r w:rsidRPr="00AD7B35">
              <w:rPr>
                <w:rFonts w:ascii="Arial Narrow" w:eastAsiaTheme="majorEastAsia" w:hAnsi="Arial Narrow" w:cstheme="majorBidi"/>
                <w:bCs/>
                <w:sz w:val="20"/>
                <w:lang w:val="en-US"/>
              </w:rPr>
              <w:t>The submission proposed MBS Item 14050 (phototherapy) would be replaced by chlormethine gel. It estimated 71.83 services would be offset per year, multiplied by 4 years per patient treated with chlormethine gel. This was informed by the comparator PUVA trials, which had 2 to 3 PUVA sessions weekly for the first 13 weeks, followed by an assumed once-weekly maintenance therapy for the rest of each year.</w:t>
            </w:r>
          </w:p>
        </w:tc>
        <w:tc>
          <w:tcPr>
            <w:tcW w:w="2409" w:type="pct"/>
            <w:shd w:val="clear" w:color="auto" w:fill="auto"/>
            <w:vAlign w:val="center"/>
          </w:tcPr>
          <w:p w14:paraId="4F373FA0" w14:textId="77777777" w:rsidR="00AD7B35" w:rsidRPr="00D63560" w:rsidRDefault="00AD7B35" w:rsidP="00286DC3">
            <w:pPr>
              <w:jc w:val="left"/>
              <w:rPr>
                <w:rFonts w:ascii="Arial Narrow" w:eastAsiaTheme="majorEastAsia" w:hAnsi="Arial Narrow" w:cstheme="majorBidi"/>
                <w:bCs/>
                <w:sz w:val="20"/>
              </w:rPr>
            </w:pPr>
            <w:r w:rsidRPr="00D63560">
              <w:rPr>
                <w:rFonts w:ascii="Arial Narrow" w:eastAsiaTheme="majorEastAsia" w:hAnsi="Arial Narrow" w:cstheme="majorBidi"/>
                <w:bCs/>
                <w:sz w:val="20"/>
              </w:rPr>
              <w:t>The number of annual services is an overestimate; the comparator trials administered PUVA three-times weekly for a maximum of 13 to 16 weeks, and one administered PUVA twice-weekly for 12 to 24 weeks. Therapy was stopped once a CR was achieved. A recent Australian Clinical Practice Statement indicated there is no evidence to support the use of maintenance phototherapy.</w:t>
            </w:r>
            <w:r w:rsidRPr="00D63560">
              <w:rPr>
                <w:rFonts w:ascii="Arial Narrow" w:eastAsiaTheme="majorEastAsia" w:hAnsi="Arial Narrow" w:cstheme="majorBidi"/>
                <w:bCs/>
                <w:sz w:val="20"/>
                <w:vertAlign w:val="superscript"/>
              </w:rPr>
              <w:t xml:space="preserve"> </w:t>
            </w:r>
            <w:r w:rsidRPr="00D63560">
              <w:rPr>
                <w:rFonts w:ascii="Arial Narrow" w:eastAsiaTheme="majorEastAsia" w:hAnsi="Arial Narrow" w:cstheme="majorBidi"/>
                <w:bCs/>
                <w:sz w:val="20"/>
                <w:vertAlign w:val="superscript"/>
              </w:rPr>
              <w:footnoteReference w:id="9"/>
            </w:r>
          </w:p>
          <w:p w14:paraId="1590C5F4" w14:textId="77777777" w:rsidR="00AD7B35" w:rsidRPr="00AD7B35" w:rsidRDefault="00AD7B35" w:rsidP="00286DC3">
            <w:pPr>
              <w:jc w:val="left"/>
              <w:rPr>
                <w:rFonts w:ascii="Arial Narrow" w:eastAsiaTheme="majorEastAsia" w:hAnsi="Arial Narrow" w:cstheme="majorBidi"/>
                <w:bCs/>
                <w:sz w:val="20"/>
                <w:lang w:val="en-US"/>
              </w:rPr>
            </w:pPr>
            <w:r w:rsidRPr="00D63560">
              <w:rPr>
                <w:rFonts w:ascii="Arial Narrow" w:eastAsiaTheme="majorEastAsia" w:hAnsi="Arial Narrow" w:cstheme="majorBidi"/>
                <w:bCs/>
                <w:sz w:val="20"/>
                <w:lang w:val="en-US"/>
              </w:rPr>
              <w:t>The submission did not consider phototherapy may be used in conjunction with, or subsequent to, chlormethine gel.</w:t>
            </w:r>
          </w:p>
        </w:tc>
      </w:tr>
    </w:tbl>
    <w:p w14:paraId="17D449F1" w14:textId="77777777" w:rsidR="00AD7B35" w:rsidRPr="00AD7B35" w:rsidRDefault="00AD7B35" w:rsidP="00286DC3">
      <w:pPr>
        <w:spacing w:after="120"/>
        <w:contextualSpacing/>
        <w:rPr>
          <w:rFonts w:ascii="Arial Narrow" w:hAnsi="Arial Narrow"/>
          <w:snapToGrid w:val="0"/>
          <w:sz w:val="18"/>
          <w:szCs w:val="22"/>
        </w:rPr>
      </w:pPr>
      <w:r w:rsidRPr="00AD7B35">
        <w:rPr>
          <w:rFonts w:ascii="Arial Narrow" w:hAnsi="Arial Narrow"/>
          <w:snapToGrid w:val="0"/>
          <w:sz w:val="18"/>
          <w:szCs w:val="22"/>
        </w:rPr>
        <w:t>Source: Data extracted from Section 4 of the submission.</w:t>
      </w:r>
    </w:p>
    <w:p w14:paraId="1A5FB50F" w14:textId="51829C82" w:rsidR="00610DFE" w:rsidRPr="00610DFE" w:rsidRDefault="00AD7B35" w:rsidP="00610DFE">
      <w:pPr>
        <w:spacing w:after="120"/>
        <w:rPr>
          <w:rFonts w:ascii="Arial Narrow" w:hAnsi="Arial Narrow"/>
          <w:snapToGrid w:val="0"/>
          <w:sz w:val="18"/>
          <w:szCs w:val="22"/>
        </w:rPr>
      </w:pPr>
      <w:r w:rsidRPr="00AD7B35">
        <w:rPr>
          <w:rFonts w:ascii="Arial Narrow" w:hAnsi="Arial Narrow"/>
          <w:snapToGrid w:val="0"/>
          <w:sz w:val="18"/>
          <w:szCs w:val="22"/>
        </w:rPr>
        <w:t xml:space="preserve">ABS = Australian Bureau of Statistics; BSA = body surface area; CR = complete response; PROCLIPI = Prospective Cutaneous Lymphoma International Prognostic Index; </w:t>
      </w:r>
      <w:bookmarkStart w:id="101" w:name="_Hlk121171749"/>
      <w:r w:rsidRPr="00AD7B35">
        <w:rPr>
          <w:rFonts w:ascii="Arial Narrow" w:hAnsi="Arial Narrow"/>
          <w:snapToGrid w:val="0"/>
          <w:sz w:val="18"/>
          <w:szCs w:val="22"/>
        </w:rPr>
        <w:t>PUVA = psoralen ultraviolet A</w:t>
      </w:r>
      <w:bookmarkEnd w:id="101"/>
      <w:r w:rsidRPr="00AD7B35">
        <w:rPr>
          <w:rFonts w:ascii="Arial Narrow" w:hAnsi="Arial Narrow"/>
          <w:snapToGrid w:val="0"/>
          <w:sz w:val="18"/>
          <w:szCs w:val="22"/>
        </w:rPr>
        <w:t>; UK = United Kingdom.</w:t>
      </w:r>
    </w:p>
    <w:p w14:paraId="51A0BB69" w14:textId="637F1A6F" w:rsidR="00D63560" w:rsidRPr="00AD7B35" w:rsidRDefault="00D63560" w:rsidP="00D63560">
      <w:pPr>
        <w:numPr>
          <w:ilvl w:val="1"/>
          <w:numId w:val="1"/>
        </w:numPr>
        <w:spacing w:after="120"/>
        <w:ind w:left="720"/>
        <w:rPr>
          <w:rFonts w:asciiTheme="minorHAnsi" w:hAnsiTheme="minorHAnsi"/>
          <w:snapToGrid w:val="0"/>
        </w:rPr>
      </w:pPr>
      <w:bookmarkStart w:id="102" w:name="_Ref120876335"/>
      <w:r w:rsidRPr="00AD7B35">
        <w:rPr>
          <w:rFonts w:asciiTheme="minorHAnsi" w:hAnsiTheme="minorHAnsi"/>
          <w:snapToGrid w:val="0"/>
        </w:rPr>
        <w:t xml:space="preserve">The submission’s estimated patient numbers are compared to the evaluation revised estimates in </w:t>
      </w:r>
      <w:r w:rsidR="00945FA4" w:rsidRPr="00945FA4">
        <w:rPr>
          <w:rFonts w:asciiTheme="minorHAnsi" w:hAnsiTheme="minorHAnsi" w:cstheme="minorHAnsi"/>
          <w:snapToGrid w:val="0"/>
        </w:rPr>
        <w:fldChar w:fldCharType="begin"/>
      </w:r>
      <w:r w:rsidR="00945FA4" w:rsidRPr="00945FA4">
        <w:rPr>
          <w:rFonts w:asciiTheme="minorHAnsi" w:hAnsiTheme="minorHAnsi" w:cstheme="minorHAnsi"/>
          <w:snapToGrid w:val="0"/>
        </w:rPr>
        <w:instrText xml:space="preserve"> REF _Ref139376341 \h </w:instrText>
      </w:r>
      <w:r w:rsidR="00945FA4" w:rsidRPr="00945FA4">
        <w:rPr>
          <w:rFonts w:asciiTheme="minorHAnsi" w:hAnsiTheme="minorHAnsi" w:cstheme="minorHAnsi"/>
          <w:snapToGrid w:val="0"/>
        </w:rPr>
      </w:r>
      <w:r w:rsidR="00945FA4" w:rsidRPr="00945FA4">
        <w:rPr>
          <w:rFonts w:asciiTheme="minorHAnsi" w:hAnsiTheme="minorHAnsi" w:cstheme="minorHAnsi"/>
          <w:snapToGrid w:val="0"/>
        </w:rPr>
        <w:instrText xml:space="preserve"> \* MERGEFORMAT </w:instrText>
      </w:r>
      <w:r w:rsidR="00945FA4" w:rsidRPr="00945FA4">
        <w:rPr>
          <w:rFonts w:asciiTheme="minorHAnsi" w:hAnsiTheme="minorHAnsi" w:cstheme="minorHAnsi"/>
          <w:snapToGrid w:val="0"/>
        </w:rPr>
        <w:fldChar w:fldCharType="separate"/>
      </w:r>
      <w:r w:rsidR="00FD5578" w:rsidRPr="00FD5578">
        <w:rPr>
          <w:rFonts w:asciiTheme="minorHAnsi" w:eastAsiaTheme="majorEastAsia" w:hAnsiTheme="minorHAnsi" w:cstheme="minorHAnsi"/>
        </w:rPr>
        <w:t xml:space="preserve">Table </w:t>
      </w:r>
      <w:r w:rsidR="00FD5578" w:rsidRPr="00FD5578">
        <w:rPr>
          <w:rFonts w:asciiTheme="minorHAnsi" w:eastAsiaTheme="majorEastAsia" w:hAnsiTheme="minorHAnsi" w:cstheme="minorHAnsi"/>
          <w:noProof/>
        </w:rPr>
        <w:t>14</w:t>
      </w:r>
      <w:r w:rsidR="00945FA4" w:rsidRPr="00945FA4">
        <w:rPr>
          <w:rFonts w:asciiTheme="minorHAnsi" w:hAnsiTheme="minorHAnsi" w:cstheme="minorHAnsi"/>
          <w:snapToGrid w:val="0"/>
        </w:rPr>
        <w:fldChar w:fldCharType="end"/>
      </w:r>
      <w:r w:rsidRPr="00945FA4">
        <w:rPr>
          <w:rFonts w:asciiTheme="minorHAnsi" w:hAnsiTheme="minorHAnsi" w:cstheme="minorHAnsi"/>
          <w:snapToGrid w:val="0"/>
        </w:rPr>
        <w:t>.</w:t>
      </w:r>
      <w:r w:rsidRPr="00AD7B35">
        <w:rPr>
          <w:rFonts w:asciiTheme="minorHAnsi" w:hAnsiTheme="minorHAnsi"/>
          <w:snapToGrid w:val="0"/>
        </w:rPr>
        <w:t xml:space="preserve"> The revised estimates take into account the corrected prevalence rate, the proportion of patients who are treated with skin-directed monotherapy, and the proportion of patients who failed topical corticosteroids. These result in an estimated number of patients receiving chlormethine gel that was approximately </w:t>
      </w:r>
      <w:r w:rsidR="001247F0" w:rsidRPr="007F1B4F">
        <w:rPr>
          <w:rFonts w:asciiTheme="minorHAnsi" w:hAnsiTheme="minorHAnsi"/>
          <w:snapToGrid w:val="0"/>
          <w:color w:val="000000"/>
          <w:spacing w:val="7"/>
          <w:w w:val="17"/>
          <w:shd w:val="solid" w:color="000000" w:fill="000000"/>
          <w:fitText w:val="80" w:id="-1236603645"/>
          <w14:textFill>
            <w14:solidFill>
              <w14:srgbClr w14:val="000000">
                <w14:alpha w14:val="100000"/>
              </w14:srgbClr>
            </w14:solidFill>
          </w14:textFill>
        </w:rPr>
        <w:t xml:space="preserve">|  </w:t>
      </w:r>
      <w:r w:rsidR="001247F0" w:rsidRPr="007F1B4F">
        <w:rPr>
          <w:rFonts w:asciiTheme="minorHAnsi" w:hAnsiTheme="minorHAnsi"/>
          <w:snapToGrid w:val="0"/>
          <w:color w:val="000000"/>
          <w:spacing w:val="3"/>
          <w:w w:val="17"/>
          <w:shd w:val="solid" w:color="000000" w:fill="000000"/>
          <w:fitText w:val="80" w:id="-1236603645"/>
          <w14:textFill>
            <w14:solidFill>
              <w14:srgbClr w14:val="000000">
                <w14:alpha w14:val="100000"/>
              </w14:srgbClr>
            </w14:solidFill>
          </w14:textFill>
        </w:rPr>
        <w:t>|</w:t>
      </w:r>
      <w:r w:rsidRPr="00AD7B35">
        <w:rPr>
          <w:rFonts w:asciiTheme="minorHAnsi" w:hAnsiTheme="minorHAnsi"/>
          <w:snapToGrid w:val="0"/>
        </w:rPr>
        <w:t xml:space="preserve">% of the submission’s base case </w:t>
      </w:r>
      <w:r w:rsidRPr="00193B29">
        <w:rPr>
          <w:rFonts w:asciiTheme="minorHAnsi" w:hAnsiTheme="minorHAnsi" w:cstheme="minorHAnsi"/>
          <w:snapToGrid w:val="0"/>
        </w:rPr>
        <w:t>(</w:t>
      </w:r>
      <w:r w:rsidR="00193B29" w:rsidRPr="00193B29">
        <w:rPr>
          <w:rFonts w:asciiTheme="minorHAnsi" w:hAnsiTheme="minorHAnsi" w:cstheme="minorHAnsi"/>
          <w:color w:val="333333"/>
        </w:rPr>
        <w:t>&lt; 500</w:t>
      </w:r>
      <w:r w:rsidRPr="00193B29">
        <w:rPr>
          <w:rFonts w:asciiTheme="minorHAnsi" w:hAnsiTheme="minorHAnsi" w:cstheme="minorHAnsi"/>
          <w:snapToGrid w:val="0"/>
        </w:rPr>
        <w:t xml:space="preserve"> versus </w:t>
      </w:r>
      <w:r w:rsidR="00193B29" w:rsidRPr="00193B29">
        <w:rPr>
          <w:rFonts w:asciiTheme="minorHAnsi" w:hAnsiTheme="minorHAnsi" w:cstheme="minorHAnsi"/>
          <w:color w:val="333333"/>
        </w:rPr>
        <w:t xml:space="preserve">500 to &lt; 5,000 </w:t>
      </w:r>
      <w:r w:rsidRPr="00193B29">
        <w:rPr>
          <w:rFonts w:asciiTheme="minorHAnsi" w:hAnsiTheme="minorHAnsi" w:cstheme="minorHAnsi"/>
          <w:snapToGrid w:val="0"/>
        </w:rPr>
        <w:t>patients over 6 years).</w:t>
      </w:r>
    </w:p>
    <w:p w14:paraId="69730575" w14:textId="74DB876C" w:rsidR="00AD7B35" w:rsidRPr="005F0F1E" w:rsidRDefault="00AD7B35" w:rsidP="00610DFE">
      <w:pPr>
        <w:keepNext/>
        <w:jc w:val="left"/>
        <w:rPr>
          <w:rFonts w:ascii="Arial Narrow" w:eastAsiaTheme="majorEastAsia" w:hAnsi="Arial Narrow" w:cstheme="majorBidi"/>
          <w:b/>
          <w:bCs/>
          <w:sz w:val="20"/>
        </w:rPr>
      </w:pPr>
      <w:bookmarkStart w:id="103" w:name="_Ref139376341"/>
      <w:r w:rsidRPr="005F0F1E">
        <w:rPr>
          <w:rFonts w:ascii="Arial Narrow" w:eastAsiaTheme="majorEastAsia" w:hAnsi="Arial Narrow" w:cstheme="majorBidi"/>
          <w:b/>
          <w:bCs/>
          <w:sz w:val="20"/>
        </w:rPr>
        <w:t xml:space="preserve">Table </w:t>
      </w:r>
      <w:r w:rsidRPr="005F0F1E">
        <w:rPr>
          <w:rFonts w:ascii="Arial Narrow" w:eastAsiaTheme="majorEastAsia" w:hAnsi="Arial Narrow" w:cstheme="majorBidi"/>
          <w:b/>
          <w:bCs/>
          <w:sz w:val="20"/>
        </w:rPr>
        <w:fldChar w:fldCharType="begin"/>
      </w:r>
      <w:r w:rsidRPr="005F0F1E">
        <w:rPr>
          <w:rFonts w:ascii="Arial Narrow" w:eastAsiaTheme="majorEastAsia" w:hAnsi="Arial Narrow" w:cstheme="majorBidi"/>
          <w:b/>
          <w:bCs/>
          <w:sz w:val="20"/>
        </w:rPr>
        <w:instrText xml:space="preserve"> SEQ Table \* ARABIC </w:instrText>
      </w:r>
      <w:r w:rsidRPr="005F0F1E">
        <w:rPr>
          <w:rFonts w:ascii="Arial Narrow" w:eastAsiaTheme="majorEastAsia" w:hAnsi="Arial Narrow" w:cstheme="majorBidi"/>
          <w:b/>
          <w:bCs/>
          <w:sz w:val="20"/>
        </w:rPr>
        <w:fldChar w:fldCharType="separate"/>
      </w:r>
      <w:r w:rsidR="00FD5578">
        <w:rPr>
          <w:rFonts w:ascii="Arial Narrow" w:eastAsiaTheme="majorEastAsia" w:hAnsi="Arial Narrow" w:cstheme="majorBidi"/>
          <w:b/>
          <w:bCs/>
          <w:noProof/>
          <w:sz w:val="20"/>
        </w:rPr>
        <w:t>14</w:t>
      </w:r>
      <w:r w:rsidRPr="005F0F1E">
        <w:rPr>
          <w:rFonts w:ascii="Arial Narrow" w:eastAsiaTheme="majorEastAsia" w:hAnsi="Arial Narrow" w:cstheme="majorBidi"/>
          <w:b/>
          <w:bCs/>
          <w:noProof/>
          <w:sz w:val="20"/>
        </w:rPr>
        <w:fldChar w:fldCharType="end"/>
      </w:r>
      <w:bookmarkEnd w:id="102"/>
      <w:bookmarkEnd w:id="103"/>
      <w:r w:rsidRPr="005F0F1E">
        <w:rPr>
          <w:rFonts w:ascii="Arial Narrow" w:eastAsiaTheme="majorEastAsia" w:hAnsi="Arial Narrow" w:cstheme="majorBidi"/>
          <w:b/>
          <w:bCs/>
          <w:sz w:val="20"/>
        </w:rPr>
        <w:t>: Submission’s financial estimates, compared to a revised estimate compiled during the evaluation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708"/>
        <w:gridCol w:w="709"/>
        <w:gridCol w:w="709"/>
        <w:gridCol w:w="709"/>
        <w:gridCol w:w="708"/>
        <w:gridCol w:w="709"/>
        <w:gridCol w:w="2126"/>
      </w:tblGrid>
      <w:tr w:rsidR="00AD7B35" w:rsidRPr="00AD7B35" w14:paraId="63F798FE" w14:textId="77777777" w:rsidTr="007F1B4F">
        <w:trPr>
          <w:trHeight w:val="20"/>
        </w:trPr>
        <w:tc>
          <w:tcPr>
            <w:tcW w:w="2689" w:type="dxa"/>
            <w:gridSpan w:val="2"/>
            <w:shd w:val="clear" w:color="auto" w:fill="auto"/>
            <w:noWrap/>
            <w:hideMark/>
          </w:tcPr>
          <w:p w14:paraId="7CA558A7" w14:textId="77777777" w:rsidR="00AD7B35" w:rsidRPr="00AD7B35" w:rsidRDefault="00AD7B35" w:rsidP="00AD7B35">
            <w:pPr>
              <w:keepNext/>
              <w:jc w:val="left"/>
              <w:rPr>
                <w:rFonts w:ascii="Arial Narrow" w:eastAsiaTheme="majorEastAsia" w:hAnsi="Arial Narrow" w:cstheme="majorBidi"/>
                <w:bCs/>
                <w:sz w:val="20"/>
              </w:rPr>
            </w:pPr>
            <w:r w:rsidRPr="00AD7B35">
              <w:rPr>
                <w:rFonts w:ascii="Arial Narrow" w:eastAsiaTheme="majorEastAsia" w:hAnsi="Arial Narrow" w:cstheme="majorBidi"/>
                <w:bCs/>
                <w:sz w:val="20"/>
              </w:rPr>
              <w:t> </w:t>
            </w:r>
          </w:p>
        </w:tc>
        <w:tc>
          <w:tcPr>
            <w:tcW w:w="708" w:type="dxa"/>
            <w:shd w:val="clear" w:color="auto" w:fill="auto"/>
            <w:noWrap/>
            <w:hideMark/>
          </w:tcPr>
          <w:p w14:paraId="6E47083C" w14:textId="77777777" w:rsidR="00AD7B35" w:rsidRPr="00AD7B35" w:rsidRDefault="00AD7B35" w:rsidP="00AD7B35">
            <w:pPr>
              <w:keepNext/>
              <w:jc w:val="center"/>
              <w:rPr>
                <w:rFonts w:ascii="Arial Narrow" w:eastAsiaTheme="majorEastAsia" w:hAnsi="Arial Narrow" w:cstheme="majorBidi"/>
                <w:b/>
                <w:bCs/>
                <w:sz w:val="20"/>
              </w:rPr>
            </w:pPr>
            <w:r w:rsidRPr="00AD7B35">
              <w:rPr>
                <w:rFonts w:ascii="Arial Narrow" w:eastAsiaTheme="majorEastAsia" w:hAnsi="Arial Narrow" w:cstheme="majorBidi"/>
                <w:b/>
                <w:bCs/>
                <w:sz w:val="20"/>
              </w:rPr>
              <w:t>2023</w:t>
            </w:r>
          </w:p>
        </w:tc>
        <w:tc>
          <w:tcPr>
            <w:tcW w:w="709" w:type="dxa"/>
            <w:shd w:val="clear" w:color="auto" w:fill="auto"/>
            <w:noWrap/>
            <w:hideMark/>
          </w:tcPr>
          <w:p w14:paraId="3613D285" w14:textId="77777777" w:rsidR="00AD7B35" w:rsidRPr="00AD7B35" w:rsidRDefault="00AD7B35" w:rsidP="00AD7B35">
            <w:pPr>
              <w:keepNext/>
              <w:jc w:val="center"/>
              <w:rPr>
                <w:rFonts w:ascii="Arial Narrow" w:eastAsiaTheme="majorEastAsia" w:hAnsi="Arial Narrow" w:cstheme="majorBidi"/>
                <w:b/>
                <w:bCs/>
                <w:sz w:val="20"/>
              </w:rPr>
            </w:pPr>
            <w:r w:rsidRPr="00AD7B35">
              <w:rPr>
                <w:rFonts w:ascii="Arial Narrow" w:eastAsiaTheme="majorEastAsia" w:hAnsi="Arial Narrow" w:cstheme="majorBidi"/>
                <w:b/>
                <w:bCs/>
                <w:sz w:val="20"/>
              </w:rPr>
              <w:t>2024</w:t>
            </w:r>
          </w:p>
        </w:tc>
        <w:tc>
          <w:tcPr>
            <w:tcW w:w="709" w:type="dxa"/>
            <w:shd w:val="clear" w:color="auto" w:fill="auto"/>
            <w:noWrap/>
            <w:hideMark/>
          </w:tcPr>
          <w:p w14:paraId="3180015F" w14:textId="77777777" w:rsidR="00AD7B35" w:rsidRPr="00AD7B35" w:rsidRDefault="00AD7B35" w:rsidP="00AD7B35">
            <w:pPr>
              <w:keepNext/>
              <w:jc w:val="center"/>
              <w:rPr>
                <w:rFonts w:ascii="Arial Narrow" w:eastAsiaTheme="majorEastAsia" w:hAnsi="Arial Narrow" w:cstheme="majorBidi"/>
                <w:b/>
                <w:bCs/>
                <w:sz w:val="20"/>
              </w:rPr>
            </w:pPr>
            <w:r w:rsidRPr="00AD7B35">
              <w:rPr>
                <w:rFonts w:ascii="Arial Narrow" w:eastAsiaTheme="majorEastAsia" w:hAnsi="Arial Narrow" w:cstheme="majorBidi"/>
                <w:b/>
                <w:bCs/>
                <w:sz w:val="20"/>
              </w:rPr>
              <w:t>2025</w:t>
            </w:r>
          </w:p>
        </w:tc>
        <w:tc>
          <w:tcPr>
            <w:tcW w:w="709" w:type="dxa"/>
            <w:shd w:val="clear" w:color="auto" w:fill="auto"/>
            <w:noWrap/>
            <w:hideMark/>
          </w:tcPr>
          <w:p w14:paraId="16C1772D" w14:textId="77777777" w:rsidR="00AD7B35" w:rsidRPr="00AD7B35" w:rsidRDefault="00AD7B35" w:rsidP="00AD7B35">
            <w:pPr>
              <w:keepNext/>
              <w:jc w:val="center"/>
              <w:rPr>
                <w:rFonts w:ascii="Arial Narrow" w:eastAsiaTheme="majorEastAsia" w:hAnsi="Arial Narrow" w:cstheme="majorBidi"/>
                <w:b/>
                <w:bCs/>
                <w:sz w:val="20"/>
              </w:rPr>
            </w:pPr>
            <w:r w:rsidRPr="00AD7B35">
              <w:rPr>
                <w:rFonts w:ascii="Arial Narrow" w:eastAsiaTheme="majorEastAsia" w:hAnsi="Arial Narrow" w:cstheme="majorBidi"/>
                <w:b/>
                <w:bCs/>
                <w:sz w:val="20"/>
              </w:rPr>
              <w:t>2026</w:t>
            </w:r>
          </w:p>
        </w:tc>
        <w:tc>
          <w:tcPr>
            <w:tcW w:w="708" w:type="dxa"/>
            <w:shd w:val="clear" w:color="auto" w:fill="auto"/>
            <w:noWrap/>
            <w:hideMark/>
          </w:tcPr>
          <w:p w14:paraId="1705AEC6" w14:textId="77777777" w:rsidR="00AD7B35" w:rsidRPr="00AD7B35" w:rsidRDefault="00AD7B35" w:rsidP="00AD7B35">
            <w:pPr>
              <w:keepNext/>
              <w:jc w:val="center"/>
              <w:rPr>
                <w:rFonts w:ascii="Arial Narrow" w:eastAsiaTheme="majorEastAsia" w:hAnsi="Arial Narrow" w:cstheme="majorBidi"/>
                <w:b/>
                <w:bCs/>
                <w:sz w:val="20"/>
              </w:rPr>
            </w:pPr>
            <w:r w:rsidRPr="00AD7B35">
              <w:rPr>
                <w:rFonts w:ascii="Arial Narrow" w:eastAsiaTheme="majorEastAsia" w:hAnsi="Arial Narrow" w:cstheme="majorBidi"/>
                <w:b/>
                <w:bCs/>
                <w:sz w:val="20"/>
              </w:rPr>
              <w:t>2027</w:t>
            </w:r>
          </w:p>
        </w:tc>
        <w:tc>
          <w:tcPr>
            <w:tcW w:w="709" w:type="dxa"/>
            <w:shd w:val="clear" w:color="auto" w:fill="auto"/>
            <w:noWrap/>
            <w:hideMark/>
          </w:tcPr>
          <w:p w14:paraId="500EA8F6" w14:textId="77777777" w:rsidR="00AD7B35" w:rsidRPr="00AD7B35" w:rsidRDefault="00AD7B35" w:rsidP="00AD7B35">
            <w:pPr>
              <w:keepNext/>
              <w:jc w:val="center"/>
              <w:rPr>
                <w:rFonts w:ascii="Arial Narrow" w:eastAsiaTheme="majorEastAsia" w:hAnsi="Arial Narrow" w:cstheme="majorBidi"/>
                <w:b/>
                <w:bCs/>
                <w:sz w:val="20"/>
              </w:rPr>
            </w:pPr>
            <w:r w:rsidRPr="00AD7B35">
              <w:rPr>
                <w:rFonts w:ascii="Arial Narrow" w:eastAsiaTheme="majorEastAsia" w:hAnsi="Arial Narrow" w:cstheme="majorBidi"/>
                <w:b/>
                <w:bCs/>
                <w:sz w:val="20"/>
              </w:rPr>
              <w:t>2028</w:t>
            </w:r>
          </w:p>
        </w:tc>
        <w:tc>
          <w:tcPr>
            <w:tcW w:w="2126" w:type="dxa"/>
            <w:shd w:val="clear" w:color="auto" w:fill="auto"/>
          </w:tcPr>
          <w:p w14:paraId="5D74C6B3" w14:textId="77777777" w:rsidR="00AD7B35" w:rsidRPr="00AD7B35" w:rsidRDefault="00AD7B35" w:rsidP="00AD7B35">
            <w:pPr>
              <w:keepNext/>
              <w:jc w:val="left"/>
              <w:rPr>
                <w:rFonts w:ascii="Arial Narrow" w:eastAsiaTheme="majorEastAsia" w:hAnsi="Arial Narrow" w:cstheme="majorBidi"/>
                <w:b/>
                <w:bCs/>
                <w:sz w:val="20"/>
              </w:rPr>
            </w:pPr>
            <w:r w:rsidRPr="00AD7B35">
              <w:rPr>
                <w:rFonts w:ascii="Arial Narrow" w:eastAsiaTheme="majorEastAsia" w:hAnsi="Arial Narrow" w:cstheme="majorBidi"/>
                <w:b/>
                <w:bCs/>
                <w:sz w:val="20"/>
              </w:rPr>
              <w:t>Source</w:t>
            </w:r>
          </w:p>
        </w:tc>
      </w:tr>
      <w:tr w:rsidR="00AD7B35" w:rsidRPr="00AD7B35" w14:paraId="3D54B3EA" w14:textId="77777777" w:rsidTr="00D962E8">
        <w:trPr>
          <w:trHeight w:val="20"/>
        </w:trPr>
        <w:tc>
          <w:tcPr>
            <w:tcW w:w="9067" w:type="dxa"/>
            <w:gridSpan w:val="9"/>
            <w:shd w:val="clear" w:color="auto" w:fill="auto"/>
            <w:noWrap/>
          </w:tcPr>
          <w:p w14:paraId="2CB52B8E" w14:textId="77777777" w:rsidR="00AD7B35" w:rsidRPr="00AD7B35" w:rsidRDefault="00AD7B35" w:rsidP="00AD7B35">
            <w:pPr>
              <w:keepNext/>
              <w:jc w:val="left"/>
              <w:rPr>
                <w:rFonts w:ascii="Arial Narrow" w:eastAsiaTheme="majorEastAsia" w:hAnsi="Arial Narrow" w:cstheme="majorBidi"/>
                <w:b/>
                <w:bCs/>
                <w:sz w:val="20"/>
              </w:rPr>
            </w:pPr>
            <w:r w:rsidRPr="00AD7B35">
              <w:rPr>
                <w:rFonts w:ascii="Arial Narrow" w:eastAsiaTheme="majorEastAsia" w:hAnsi="Arial Narrow" w:cstheme="majorBidi"/>
                <w:b/>
                <w:bCs/>
                <w:sz w:val="20"/>
              </w:rPr>
              <w:t>Submission’s estimate</w:t>
            </w:r>
          </w:p>
        </w:tc>
      </w:tr>
      <w:tr w:rsidR="00AD7B35" w:rsidRPr="00AD7B35" w14:paraId="5189D8E8" w14:textId="77777777" w:rsidTr="007F1B4F">
        <w:trPr>
          <w:trHeight w:val="20"/>
        </w:trPr>
        <w:tc>
          <w:tcPr>
            <w:tcW w:w="2689" w:type="dxa"/>
            <w:gridSpan w:val="2"/>
            <w:shd w:val="clear" w:color="auto" w:fill="auto"/>
            <w:noWrap/>
          </w:tcPr>
          <w:p w14:paraId="7586DCDD" w14:textId="77777777" w:rsidR="00AD7B35" w:rsidRPr="00AD7B35" w:rsidRDefault="00AD7B35" w:rsidP="00AD7B35">
            <w:pPr>
              <w:keepNext/>
              <w:jc w:val="left"/>
              <w:rPr>
                <w:rFonts w:ascii="Arial Narrow" w:eastAsiaTheme="majorEastAsia" w:hAnsi="Arial Narrow" w:cstheme="majorBidi"/>
                <w:bCs/>
                <w:sz w:val="20"/>
              </w:rPr>
            </w:pPr>
            <w:r w:rsidRPr="00AD7B35">
              <w:rPr>
                <w:rFonts w:ascii="Arial Narrow" w:eastAsiaTheme="majorEastAsia" w:hAnsi="Arial Narrow" w:cstheme="majorBidi"/>
                <w:bCs/>
                <w:sz w:val="20"/>
              </w:rPr>
              <w:t>MF-CTCL patients (n)</w:t>
            </w:r>
          </w:p>
        </w:tc>
        <w:tc>
          <w:tcPr>
            <w:tcW w:w="708" w:type="dxa"/>
            <w:shd w:val="clear" w:color="auto" w:fill="auto"/>
            <w:noWrap/>
          </w:tcPr>
          <w:p w14:paraId="51D407B7" w14:textId="3C3E89DB" w:rsidR="00AD7B35" w:rsidRPr="00193B29" w:rsidRDefault="001247F0" w:rsidP="00AD7B35">
            <w:pPr>
              <w:keepNext/>
              <w:jc w:val="center"/>
              <w:rPr>
                <w:rFonts w:ascii="Arial Narrow" w:eastAsiaTheme="majorEastAsia" w:hAnsi="Arial Narrow" w:cstheme="majorBidi"/>
                <w:b/>
                <w:bCs/>
                <w:sz w:val="20"/>
                <w:vertAlign w:val="superscript"/>
              </w:rPr>
            </w:pPr>
            <w:r w:rsidRPr="001247F0">
              <w:rPr>
                <w:rFonts w:ascii="Arial Narrow" w:eastAsia="MS Gothic" w:hAnsi="Arial Narrow" w:cs="Times New Roman"/>
                <w:bCs/>
                <w:color w:val="000000"/>
                <w:spacing w:val="172"/>
                <w:sz w:val="20"/>
                <w:shd w:val="solid" w:color="000000" w:fill="000000"/>
                <w:fitText w:val="258" w:id="-1236603643"/>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8" w:id="-1236603643"/>
                <w14:textFill>
                  <w14:solidFill>
                    <w14:srgbClr w14:val="000000">
                      <w14:alpha w14:val="100000"/>
                    </w14:srgbClr>
                  </w14:solidFill>
                </w14:textFill>
              </w:rPr>
              <w:t>|</w:t>
            </w:r>
            <w:r w:rsidR="00193B29">
              <w:rPr>
                <w:rFonts w:ascii="Arial Narrow" w:eastAsia="MS Gothic" w:hAnsi="Arial Narrow" w:cs="Times New Roman"/>
                <w:bCs/>
                <w:sz w:val="20"/>
              </w:rPr>
              <w:t xml:space="preserve"> </w:t>
            </w:r>
            <w:r w:rsidR="00193B29">
              <w:rPr>
                <w:rFonts w:ascii="Arial Narrow" w:eastAsia="MS Gothic" w:hAnsi="Arial Narrow" w:cs="Times New Roman"/>
                <w:bCs/>
                <w:sz w:val="20"/>
                <w:vertAlign w:val="superscript"/>
              </w:rPr>
              <w:t>1</w:t>
            </w:r>
          </w:p>
        </w:tc>
        <w:tc>
          <w:tcPr>
            <w:tcW w:w="709" w:type="dxa"/>
            <w:shd w:val="clear" w:color="auto" w:fill="auto"/>
            <w:noWrap/>
          </w:tcPr>
          <w:p w14:paraId="4E38D404" w14:textId="7203A3C0" w:rsidR="00AD7B35" w:rsidRPr="00AD7B35" w:rsidRDefault="001247F0" w:rsidP="00AD7B35">
            <w:pPr>
              <w:keepNext/>
              <w:jc w:val="center"/>
              <w:rPr>
                <w:rFonts w:ascii="Arial Narrow" w:eastAsiaTheme="majorEastAsia" w:hAnsi="Arial Narrow" w:cstheme="majorBidi"/>
                <w:b/>
                <w:bCs/>
                <w:sz w:val="20"/>
              </w:rPr>
            </w:pPr>
            <w:r w:rsidRPr="001247F0">
              <w:rPr>
                <w:rFonts w:ascii="Arial Narrow" w:eastAsia="MS Gothic" w:hAnsi="Arial Narrow" w:cs="Times New Roman"/>
                <w:bCs/>
                <w:color w:val="000000"/>
                <w:spacing w:val="172"/>
                <w:sz w:val="20"/>
                <w:shd w:val="solid" w:color="000000" w:fill="000000"/>
                <w:fitText w:val="258" w:id="-1236603641"/>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8" w:id="-1236603641"/>
                <w14:textFill>
                  <w14:solidFill>
                    <w14:srgbClr w14:val="000000">
                      <w14:alpha w14:val="100000"/>
                    </w14:srgbClr>
                  </w14:solidFill>
                </w14:textFill>
              </w:rPr>
              <w:t>|</w:t>
            </w:r>
            <w:r w:rsidR="00193B29">
              <w:rPr>
                <w:rFonts w:ascii="Arial Narrow" w:eastAsia="MS Gothic" w:hAnsi="Arial Narrow" w:cs="Times New Roman"/>
                <w:bCs/>
                <w:sz w:val="20"/>
              </w:rPr>
              <w:t xml:space="preserve"> </w:t>
            </w:r>
            <w:r w:rsidR="00193B29">
              <w:rPr>
                <w:rFonts w:ascii="Arial Narrow" w:eastAsia="MS Gothic" w:hAnsi="Arial Narrow" w:cs="Times New Roman"/>
                <w:bCs/>
                <w:sz w:val="20"/>
                <w:vertAlign w:val="superscript"/>
              </w:rPr>
              <w:t>1</w:t>
            </w:r>
          </w:p>
        </w:tc>
        <w:tc>
          <w:tcPr>
            <w:tcW w:w="709" w:type="dxa"/>
            <w:shd w:val="clear" w:color="auto" w:fill="auto"/>
            <w:noWrap/>
          </w:tcPr>
          <w:p w14:paraId="752A83CD" w14:textId="4D70DF95" w:rsidR="00AD7B35" w:rsidRPr="00AD7B35" w:rsidRDefault="001247F0" w:rsidP="00AD7B35">
            <w:pPr>
              <w:keepNext/>
              <w:jc w:val="center"/>
              <w:rPr>
                <w:rFonts w:ascii="Arial Narrow" w:eastAsiaTheme="majorEastAsia" w:hAnsi="Arial Narrow" w:cstheme="majorBidi"/>
                <w:b/>
                <w:bCs/>
                <w:sz w:val="20"/>
              </w:rPr>
            </w:pPr>
            <w:r w:rsidRPr="001247F0">
              <w:rPr>
                <w:rFonts w:ascii="Arial Narrow" w:eastAsia="MS Gothic" w:hAnsi="Arial Narrow" w:cs="Times New Roman"/>
                <w:bCs/>
                <w:color w:val="000000"/>
                <w:spacing w:val="172"/>
                <w:sz w:val="20"/>
                <w:shd w:val="solid" w:color="000000" w:fill="000000"/>
                <w:fitText w:val="258" w:id="-1236603639"/>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8" w:id="-1236603639"/>
                <w14:textFill>
                  <w14:solidFill>
                    <w14:srgbClr w14:val="000000">
                      <w14:alpha w14:val="100000"/>
                    </w14:srgbClr>
                  </w14:solidFill>
                </w14:textFill>
              </w:rPr>
              <w:t>|</w:t>
            </w:r>
            <w:r w:rsidR="00193B29">
              <w:rPr>
                <w:rFonts w:ascii="Arial Narrow" w:eastAsia="MS Gothic" w:hAnsi="Arial Narrow" w:cs="Times New Roman"/>
                <w:bCs/>
                <w:sz w:val="20"/>
              </w:rPr>
              <w:t xml:space="preserve"> </w:t>
            </w:r>
            <w:r w:rsidR="00193B29">
              <w:rPr>
                <w:rFonts w:ascii="Arial Narrow" w:eastAsia="MS Gothic" w:hAnsi="Arial Narrow" w:cs="Times New Roman"/>
                <w:bCs/>
                <w:sz w:val="20"/>
                <w:vertAlign w:val="superscript"/>
              </w:rPr>
              <w:t>1</w:t>
            </w:r>
          </w:p>
        </w:tc>
        <w:tc>
          <w:tcPr>
            <w:tcW w:w="709" w:type="dxa"/>
            <w:shd w:val="clear" w:color="auto" w:fill="auto"/>
            <w:noWrap/>
          </w:tcPr>
          <w:p w14:paraId="7B0F5451" w14:textId="1CD33593" w:rsidR="00AD7B35" w:rsidRPr="00AD7B35" w:rsidRDefault="001247F0" w:rsidP="00AD7B35">
            <w:pPr>
              <w:keepNext/>
              <w:jc w:val="center"/>
              <w:rPr>
                <w:rFonts w:ascii="Arial Narrow" w:eastAsiaTheme="majorEastAsia" w:hAnsi="Arial Narrow" w:cstheme="majorBidi"/>
                <w:b/>
                <w:bCs/>
                <w:sz w:val="20"/>
              </w:rPr>
            </w:pPr>
            <w:r w:rsidRPr="001247F0">
              <w:rPr>
                <w:rFonts w:ascii="Arial Narrow" w:eastAsia="MS Gothic" w:hAnsi="Arial Narrow" w:cs="Times New Roman"/>
                <w:bCs/>
                <w:color w:val="000000"/>
                <w:spacing w:val="172"/>
                <w:sz w:val="20"/>
                <w:shd w:val="solid" w:color="000000" w:fill="000000"/>
                <w:fitText w:val="258" w:id="-1236603637"/>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8" w:id="-1236603637"/>
                <w14:textFill>
                  <w14:solidFill>
                    <w14:srgbClr w14:val="000000">
                      <w14:alpha w14:val="100000"/>
                    </w14:srgbClr>
                  </w14:solidFill>
                </w14:textFill>
              </w:rPr>
              <w:t>|</w:t>
            </w:r>
            <w:r w:rsidR="00193B29">
              <w:rPr>
                <w:rFonts w:ascii="Arial Narrow" w:eastAsia="MS Gothic" w:hAnsi="Arial Narrow" w:cs="Times New Roman"/>
                <w:bCs/>
                <w:sz w:val="20"/>
              </w:rPr>
              <w:t xml:space="preserve"> </w:t>
            </w:r>
            <w:r w:rsidR="00193B29">
              <w:rPr>
                <w:rFonts w:ascii="Arial Narrow" w:eastAsia="MS Gothic" w:hAnsi="Arial Narrow" w:cs="Times New Roman"/>
                <w:bCs/>
                <w:sz w:val="20"/>
                <w:vertAlign w:val="superscript"/>
              </w:rPr>
              <w:t>1</w:t>
            </w:r>
          </w:p>
        </w:tc>
        <w:tc>
          <w:tcPr>
            <w:tcW w:w="708" w:type="dxa"/>
            <w:shd w:val="clear" w:color="auto" w:fill="auto"/>
            <w:noWrap/>
          </w:tcPr>
          <w:p w14:paraId="1622A994" w14:textId="10FA4E6A" w:rsidR="00AD7B35" w:rsidRPr="00AD7B35" w:rsidRDefault="001247F0" w:rsidP="00AD7B35">
            <w:pPr>
              <w:keepNext/>
              <w:jc w:val="center"/>
              <w:rPr>
                <w:rFonts w:ascii="Arial Narrow" w:eastAsiaTheme="majorEastAsia" w:hAnsi="Arial Narrow" w:cstheme="majorBidi"/>
                <w:b/>
                <w:bCs/>
                <w:sz w:val="20"/>
              </w:rPr>
            </w:pPr>
            <w:r w:rsidRPr="001247F0">
              <w:rPr>
                <w:rFonts w:ascii="Arial Narrow" w:eastAsia="MS Gothic" w:hAnsi="Arial Narrow" w:cs="Times New Roman"/>
                <w:bCs/>
                <w:color w:val="000000"/>
                <w:spacing w:val="173"/>
                <w:sz w:val="20"/>
                <w:shd w:val="solid" w:color="000000" w:fill="000000"/>
                <w:fitText w:val="259" w:id="-1236603635"/>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9" w:id="-1236603635"/>
                <w14:textFill>
                  <w14:solidFill>
                    <w14:srgbClr w14:val="000000">
                      <w14:alpha w14:val="100000"/>
                    </w14:srgbClr>
                  </w14:solidFill>
                </w14:textFill>
              </w:rPr>
              <w:t>|</w:t>
            </w:r>
            <w:r w:rsidR="00193B29">
              <w:rPr>
                <w:rFonts w:ascii="Arial Narrow" w:eastAsia="MS Gothic" w:hAnsi="Arial Narrow" w:cs="Times New Roman"/>
                <w:bCs/>
                <w:sz w:val="20"/>
              </w:rPr>
              <w:t xml:space="preserve"> </w:t>
            </w:r>
            <w:r w:rsidR="00193B29">
              <w:rPr>
                <w:rFonts w:ascii="Arial Narrow" w:eastAsia="MS Gothic" w:hAnsi="Arial Narrow" w:cs="Times New Roman"/>
                <w:bCs/>
                <w:sz w:val="20"/>
                <w:vertAlign w:val="superscript"/>
              </w:rPr>
              <w:t>1</w:t>
            </w:r>
          </w:p>
        </w:tc>
        <w:tc>
          <w:tcPr>
            <w:tcW w:w="709" w:type="dxa"/>
            <w:shd w:val="clear" w:color="auto" w:fill="auto"/>
            <w:noWrap/>
          </w:tcPr>
          <w:p w14:paraId="4AD059DF" w14:textId="1B0BB313" w:rsidR="00AD7B35" w:rsidRPr="00AD7B35" w:rsidRDefault="001247F0" w:rsidP="00AD7B35">
            <w:pPr>
              <w:keepNext/>
              <w:jc w:val="center"/>
              <w:rPr>
                <w:rFonts w:ascii="Arial Narrow" w:eastAsiaTheme="majorEastAsia" w:hAnsi="Arial Narrow" w:cstheme="majorBidi"/>
                <w:b/>
                <w:bCs/>
                <w:sz w:val="20"/>
              </w:rPr>
            </w:pPr>
            <w:r w:rsidRPr="001247F0">
              <w:rPr>
                <w:rFonts w:ascii="Arial Narrow" w:eastAsia="MS Gothic" w:hAnsi="Arial Narrow" w:cs="Times New Roman"/>
                <w:bCs/>
                <w:color w:val="000000"/>
                <w:spacing w:val="172"/>
                <w:sz w:val="20"/>
                <w:shd w:val="solid" w:color="000000" w:fill="000000"/>
                <w:fitText w:val="258" w:id="-1236603633"/>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8" w:id="-1236603633"/>
                <w14:textFill>
                  <w14:solidFill>
                    <w14:srgbClr w14:val="000000">
                      <w14:alpha w14:val="100000"/>
                    </w14:srgbClr>
                  </w14:solidFill>
                </w14:textFill>
              </w:rPr>
              <w:t>|</w:t>
            </w:r>
            <w:r w:rsidR="00193B29">
              <w:rPr>
                <w:rFonts w:ascii="Arial Narrow" w:eastAsia="MS Gothic" w:hAnsi="Arial Narrow" w:cs="Times New Roman"/>
                <w:bCs/>
                <w:sz w:val="20"/>
              </w:rPr>
              <w:t xml:space="preserve"> </w:t>
            </w:r>
            <w:r w:rsidR="00193B29">
              <w:rPr>
                <w:rFonts w:ascii="Arial Narrow" w:eastAsia="MS Gothic" w:hAnsi="Arial Narrow" w:cs="Times New Roman"/>
                <w:bCs/>
                <w:sz w:val="20"/>
                <w:vertAlign w:val="superscript"/>
              </w:rPr>
              <w:t>1</w:t>
            </w:r>
          </w:p>
        </w:tc>
        <w:tc>
          <w:tcPr>
            <w:tcW w:w="2126" w:type="dxa"/>
          </w:tcPr>
          <w:p w14:paraId="3614A850" w14:textId="77777777" w:rsidR="00AD7B35" w:rsidRPr="00AD7B35" w:rsidRDefault="00AD7B35" w:rsidP="00AD7B35">
            <w:pPr>
              <w:keepNext/>
              <w:jc w:val="left"/>
              <w:rPr>
                <w:rFonts w:ascii="Arial Narrow" w:eastAsiaTheme="majorEastAsia" w:hAnsi="Arial Narrow" w:cstheme="majorBidi"/>
                <w:bCs/>
                <w:sz w:val="20"/>
              </w:rPr>
            </w:pPr>
            <w:r w:rsidRPr="00AD7B35">
              <w:rPr>
                <w:rFonts w:ascii="Arial Narrow" w:eastAsiaTheme="majorEastAsia" w:hAnsi="Arial Narrow" w:cstheme="majorBidi"/>
                <w:bCs/>
                <w:sz w:val="20"/>
              </w:rPr>
              <w:t>Prevalence rate of 8.09</w:t>
            </w:r>
          </w:p>
        </w:tc>
      </w:tr>
      <w:tr w:rsidR="00AD7B35" w:rsidRPr="00AD7B35" w14:paraId="56466D6F" w14:textId="77777777" w:rsidTr="007F1B4F">
        <w:trPr>
          <w:trHeight w:val="20"/>
        </w:trPr>
        <w:tc>
          <w:tcPr>
            <w:tcW w:w="2689" w:type="dxa"/>
            <w:gridSpan w:val="2"/>
            <w:shd w:val="clear" w:color="auto" w:fill="auto"/>
            <w:noWrap/>
          </w:tcPr>
          <w:p w14:paraId="30531FF0" w14:textId="77777777" w:rsidR="00AD7B35" w:rsidRPr="00AD7B35" w:rsidRDefault="00AD7B35" w:rsidP="00AD7B35">
            <w:pPr>
              <w:keepNext/>
              <w:jc w:val="left"/>
              <w:rPr>
                <w:rFonts w:ascii="Arial Narrow" w:eastAsiaTheme="majorEastAsia" w:hAnsi="Arial Narrow" w:cstheme="majorBidi"/>
                <w:bCs/>
                <w:sz w:val="20"/>
              </w:rPr>
            </w:pPr>
            <w:r w:rsidRPr="00AD7B35">
              <w:rPr>
                <w:rFonts w:ascii="Arial Narrow" w:eastAsiaTheme="majorEastAsia" w:hAnsi="Arial Narrow" w:cstheme="majorBidi"/>
                <w:bCs/>
                <w:sz w:val="20"/>
              </w:rPr>
              <w:t>Patients with Early-Stage Disease (IA, IB and IIA: %)</w:t>
            </w:r>
          </w:p>
        </w:tc>
        <w:tc>
          <w:tcPr>
            <w:tcW w:w="708" w:type="dxa"/>
            <w:shd w:val="clear" w:color="auto" w:fill="auto"/>
            <w:noWrap/>
          </w:tcPr>
          <w:p w14:paraId="7FFD03FD" w14:textId="77777777" w:rsidR="00AD7B35" w:rsidRPr="00AD7B35" w:rsidRDefault="00AD7B35" w:rsidP="00AD7B35">
            <w:pPr>
              <w:keepNext/>
              <w:jc w:val="center"/>
              <w:rPr>
                <w:rFonts w:ascii="Arial Narrow" w:eastAsiaTheme="majorEastAsia" w:hAnsi="Arial Narrow" w:cstheme="majorBidi"/>
                <w:bCs/>
                <w:sz w:val="20"/>
              </w:rPr>
            </w:pPr>
            <w:r w:rsidRPr="00AD7B35">
              <w:rPr>
                <w:rFonts w:ascii="Arial Narrow" w:eastAsia="MS Gothic" w:hAnsi="Arial Narrow" w:cs="Times New Roman"/>
                <w:bCs/>
                <w:sz w:val="20"/>
              </w:rPr>
              <w:t>79.6</w:t>
            </w:r>
            <w:r w:rsidRPr="00AD7B35">
              <w:rPr>
                <w:rFonts w:ascii="Arial Narrow" w:eastAsia="MS Gothic" w:hAnsi="Arial Narrow" w:cs="Times New Roman"/>
                <w:bCs/>
                <w:sz w:val="20"/>
                <w:szCs w:val="20"/>
              </w:rPr>
              <w:t>%</w:t>
            </w:r>
          </w:p>
        </w:tc>
        <w:tc>
          <w:tcPr>
            <w:tcW w:w="709" w:type="dxa"/>
            <w:shd w:val="clear" w:color="auto" w:fill="auto"/>
            <w:noWrap/>
          </w:tcPr>
          <w:p w14:paraId="288EFDE4" w14:textId="77777777" w:rsidR="00AD7B35" w:rsidRPr="00AD7B35" w:rsidRDefault="00AD7B35" w:rsidP="00AD7B35">
            <w:pPr>
              <w:keepNext/>
              <w:jc w:val="center"/>
              <w:rPr>
                <w:rFonts w:ascii="Arial Narrow" w:eastAsiaTheme="majorEastAsia" w:hAnsi="Arial Narrow" w:cstheme="majorBidi"/>
                <w:bCs/>
                <w:sz w:val="20"/>
              </w:rPr>
            </w:pPr>
            <w:r w:rsidRPr="00AD7B35">
              <w:rPr>
                <w:rFonts w:ascii="Arial Narrow" w:eastAsia="MS Gothic" w:hAnsi="Arial Narrow" w:cs="Times New Roman"/>
                <w:bCs/>
                <w:sz w:val="20"/>
              </w:rPr>
              <w:t>79.6</w:t>
            </w:r>
            <w:r w:rsidRPr="00AD7B35">
              <w:rPr>
                <w:rFonts w:ascii="Arial Narrow" w:eastAsia="MS Gothic" w:hAnsi="Arial Narrow" w:cs="Times New Roman"/>
                <w:bCs/>
                <w:sz w:val="20"/>
                <w:szCs w:val="20"/>
              </w:rPr>
              <w:t>%</w:t>
            </w:r>
          </w:p>
        </w:tc>
        <w:tc>
          <w:tcPr>
            <w:tcW w:w="709" w:type="dxa"/>
            <w:shd w:val="clear" w:color="auto" w:fill="auto"/>
            <w:noWrap/>
          </w:tcPr>
          <w:p w14:paraId="10AEECC5" w14:textId="77777777" w:rsidR="00AD7B35" w:rsidRPr="00AD7B35" w:rsidRDefault="00AD7B35" w:rsidP="00AD7B35">
            <w:pPr>
              <w:keepNext/>
              <w:jc w:val="center"/>
              <w:rPr>
                <w:rFonts w:ascii="Arial Narrow" w:eastAsiaTheme="majorEastAsia" w:hAnsi="Arial Narrow" w:cstheme="majorBidi"/>
                <w:bCs/>
                <w:sz w:val="20"/>
              </w:rPr>
            </w:pPr>
            <w:r w:rsidRPr="00AD7B35">
              <w:rPr>
                <w:rFonts w:ascii="Arial Narrow" w:eastAsia="MS Gothic" w:hAnsi="Arial Narrow" w:cs="Times New Roman"/>
                <w:bCs/>
                <w:sz w:val="20"/>
              </w:rPr>
              <w:t>79.6</w:t>
            </w:r>
            <w:r w:rsidRPr="00AD7B35">
              <w:rPr>
                <w:rFonts w:ascii="Arial Narrow" w:eastAsia="MS Gothic" w:hAnsi="Arial Narrow" w:cs="Times New Roman"/>
                <w:bCs/>
                <w:sz w:val="20"/>
                <w:szCs w:val="20"/>
              </w:rPr>
              <w:t>%</w:t>
            </w:r>
          </w:p>
        </w:tc>
        <w:tc>
          <w:tcPr>
            <w:tcW w:w="709" w:type="dxa"/>
            <w:shd w:val="clear" w:color="auto" w:fill="auto"/>
            <w:noWrap/>
          </w:tcPr>
          <w:p w14:paraId="21BE0C59" w14:textId="77777777" w:rsidR="00AD7B35" w:rsidRPr="00AD7B35" w:rsidRDefault="00AD7B35" w:rsidP="00AD7B35">
            <w:pPr>
              <w:keepNext/>
              <w:jc w:val="center"/>
              <w:rPr>
                <w:rFonts w:ascii="Arial Narrow" w:eastAsiaTheme="majorEastAsia" w:hAnsi="Arial Narrow" w:cstheme="majorBidi"/>
                <w:bCs/>
                <w:sz w:val="20"/>
              </w:rPr>
            </w:pPr>
            <w:r w:rsidRPr="00AD7B35">
              <w:rPr>
                <w:rFonts w:ascii="Arial Narrow" w:eastAsia="MS Gothic" w:hAnsi="Arial Narrow" w:cs="Times New Roman"/>
                <w:bCs/>
                <w:sz w:val="20"/>
              </w:rPr>
              <w:t>79.6</w:t>
            </w:r>
            <w:r w:rsidRPr="00AD7B35">
              <w:rPr>
                <w:rFonts w:ascii="Arial Narrow" w:eastAsia="MS Gothic" w:hAnsi="Arial Narrow" w:cs="Times New Roman"/>
                <w:bCs/>
                <w:sz w:val="20"/>
                <w:szCs w:val="20"/>
              </w:rPr>
              <w:t>%</w:t>
            </w:r>
          </w:p>
        </w:tc>
        <w:tc>
          <w:tcPr>
            <w:tcW w:w="708" w:type="dxa"/>
            <w:shd w:val="clear" w:color="auto" w:fill="auto"/>
            <w:noWrap/>
          </w:tcPr>
          <w:p w14:paraId="12EC7073" w14:textId="77777777" w:rsidR="00AD7B35" w:rsidRPr="00AD7B35" w:rsidRDefault="00AD7B35" w:rsidP="00AD7B35">
            <w:pPr>
              <w:keepNext/>
              <w:jc w:val="center"/>
              <w:rPr>
                <w:rFonts w:ascii="Arial Narrow" w:eastAsiaTheme="majorEastAsia" w:hAnsi="Arial Narrow" w:cstheme="majorBidi"/>
                <w:bCs/>
                <w:sz w:val="20"/>
              </w:rPr>
            </w:pPr>
            <w:r w:rsidRPr="00AD7B35">
              <w:rPr>
                <w:rFonts w:ascii="Arial Narrow" w:eastAsia="MS Gothic" w:hAnsi="Arial Narrow" w:cs="Times New Roman"/>
                <w:bCs/>
                <w:sz w:val="20"/>
              </w:rPr>
              <w:t>79.6</w:t>
            </w:r>
            <w:r w:rsidRPr="00AD7B35">
              <w:rPr>
                <w:rFonts w:ascii="Arial Narrow" w:eastAsia="MS Gothic" w:hAnsi="Arial Narrow" w:cs="Times New Roman"/>
                <w:bCs/>
                <w:sz w:val="20"/>
                <w:szCs w:val="20"/>
              </w:rPr>
              <w:t>%</w:t>
            </w:r>
          </w:p>
        </w:tc>
        <w:tc>
          <w:tcPr>
            <w:tcW w:w="709" w:type="dxa"/>
            <w:shd w:val="clear" w:color="auto" w:fill="auto"/>
            <w:noWrap/>
          </w:tcPr>
          <w:p w14:paraId="13A2B583" w14:textId="77777777" w:rsidR="00AD7B35" w:rsidRPr="00AD7B35" w:rsidRDefault="00AD7B35" w:rsidP="00AD7B35">
            <w:pPr>
              <w:keepNext/>
              <w:jc w:val="center"/>
              <w:rPr>
                <w:rFonts w:ascii="Arial Narrow" w:eastAsiaTheme="majorEastAsia" w:hAnsi="Arial Narrow" w:cstheme="majorBidi"/>
                <w:bCs/>
                <w:sz w:val="20"/>
              </w:rPr>
            </w:pPr>
            <w:r w:rsidRPr="00AD7B35">
              <w:rPr>
                <w:rFonts w:ascii="Arial Narrow" w:eastAsia="MS Gothic" w:hAnsi="Arial Narrow" w:cs="Times New Roman"/>
                <w:bCs/>
                <w:sz w:val="20"/>
              </w:rPr>
              <w:t>79.6</w:t>
            </w:r>
            <w:r w:rsidRPr="00AD7B35">
              <w:rPr>
                <w:rFonts w:ascii="Arial Narrow" w:eastAsia="MS Gothic" w:hAnsi="Arial Narrow" w:cs="Times New Roman"/>
                <w:bCs/>
                <w:sz w:val="20"/>
                <w:szCs w:val="20"/>
              </w:rPr>
              <w:t>%</w:t>
            </w:r>
          </w:p>
        </w:tc>
        <w:tc>
          <w:tcPr>
            <w:tcW w:w="2126" w:type="dxa"/>
          </w:tcPr>
          <w:p w14:paraId="641A0BE0" w14:textId="77777777" w:rsidR="00AD7B35" w:rsidRPr="00AD7B35" w:rsidRDefault="00AD7B35" w:rsidP="00AD7B35">
            <w:pPr>
              <w:keepNext/>
              <w:jc w:val="left"/>
              <w:rPr>
                <w:rFonts w:ascii="Arial Narrow" w:eastAsiaTheme="majorEastAsia" w:hAnsi="Arial Narrow" w:cstheme="majorBidi"/>
                <w:bCs/>
                <w:sz w:val="20"/>
              </w:rPr>
            </w:pPr>
            <w:r w:rsidRPr="00AD7B35">
              <w:rPr>
                <w:rFonts w:ascii="Arial Narrow" w:eastAsiaTheme="majorEastAsia" w:hAnsi="Arial Narrow" w:cstheme="majorBidi"/>
                <w:bCs/>
                <w:sz w:val="20"/>
              </w:rPr>
              <w:t>PROCLIPI Dataset</w:t>
            </w:r>
          </w:p>
        </w:tc>
      </w:tr>
      <w:tr w:rsidR="00AD7B35" w:rsidRPr="00AD7B35" w14:paraId="1C1C11D9" w14:textId="77777777" w:rsidTr="007F1B4F">
        <w:trPr>
          <w:trHeight w:val="20"/>
        </w:trPr>
        <w:tc>
          <w:tcPr>
            <w:tcW w:w="2689" w:type="dxa"/>
            <w:gridSpan w:val="2"/>
            <w:shd w:val="clear" w:color="auto" w:fill="auto"/>
            <w:noWrap/>
          </w:tcPr>
          <w:p w14:paraId="66E12C17" w14:textId="77777777" w:rsidR="00AD7B35" w:rsidRPr="00AD7B35" w:rsidRDefault="00AD7B35" w:rsidP="00AD7B35">
            <w:pPr>
              <w:keepNext/>
              <w:jc w:val="left"/>
              <w:rPr>
                <w:rFonts w:ascii="Arial Narrow" w:eastAsiaTheme="majorEastAsia" w:hAnsi="Arial Narrow" w:cstheme="majorBidi"/>
                <w:bCs/>
                <w:sz w:val="20"/>
              </w:rPr>
            </w:pPr>
            <w:r w:rsidRPr="00AD7B35">
              <w:rPr>
                <w:rFonts w:ascii="Arial Narrow" w:eastAsiaTheme="majorEastAsia" w:hAnsi="Arial Narrow" w:cstheme="majorBidi"/>
                <w:bCs/>
                <w:sz w:val="20"/>
              </w:rPr>
              <w:t>Patients with &lt;25% BSA (%)</w:t>
            </w:r>
          </w:p>
        </w:tc>
        <w:tc>
          <w:tcPr>
            <w:tcW w:w="708" w:type="dxa"/>
            <w:shd w:val="clear" w:color="auto" w:fill="auto"/>
            <w:noWrap/>
          </w:tcPr>
          <w:p w14:paraId="6765565B" w14:textId="77777777" w:rsidR="00AD7B35" w:rsidRPr="00AD7B35" w:rsidRDefault="00AD7B35" w:rsidP="00AD7B35">
            <w:pPr>
              <w:keepNext/>
              <w:jc w:val="center"/>
              <w:rPr>
                <w:rFonts w:ascii="Arial Narrow" w:eastAsiaTheme="majorEastAsia" w:hAnsi="Arial Narrow" w:cstheme="majorBidi"/>
                <w:bCs/>
                <w:sz w:val="20"/>
              </w:rPr>
            </w:pPr>
            <w:r w:rsidRPr="00AD7B35">
              <w:rPr>
                <w:rFonts w:ascii="Arial Narrow" w:eastAsia="MS Gothic" w:hAnsi="Arial Narrow" w:cs="Times New Roman"/>
                <w:bCs/>
                <w:sz w:val="20"/>
              </w:rPr>
              <w:t>85.3%</w:t>
            </w:r>
          </w:p>
        </w:tc>
        <w:tc>
          <w:tcPr>
            <w:tcW w:w="709" w:type="dxa"/>
            <w:shd w:val="clear" w:color="auto" w:fill="auto"/>
            <w:noWrap/>
          </w:tcPr>
          <w:p w14:paraId="35AEBF65" w14:textId="77777777" w:rsidR="00AD7B35" w:rsidRPr="00AD7B35" w:rsidRDefault="00AD7B35" w:rsidP="00AD7B35">
            <w:pPr>
              <w:keepNext/>
              <w:jc w:val="center"/>
              <w:rPr>
                <w:rFonts w:ascii="Arial Narrow" w:eastAsiaTheme="majorEastAsia" w:hAnsi="Arial Narrow" w:cstheme="majorBidi"/>
                <w:bCs/>
                <w:sz w:val="20"/>
              </w:rPr>
            </w:pPr>
            <w:r w:rsidRPr="00AD7B35">
              <w:rPr>
                <w:rFonts w:ascii="Arial Narrow" w:eastAsia="MS Gothic" w:hAnsi="Arial Narrow" w:cs="Times New Roman"/>
                <w:bCs/>
                <w:sz w:val="20"/>
              </w:rPr>
              <w:t>85.3%</w:t>
            </w:r>
          </w:p>
        </w:tc>
        <w:tc>
          <w:tcPr>
            <w:tcW w:w="709" w:type="dxa"/>
            <w:shd w:val="clear" w:color="auto" w:fill="auto"/>
            <w:noWrap/>
          </w:tcPr>
          <w:p w14:paraId="0BF15378" w14:textId="77777777" w:rsidR="00AD7B35" w:rsidRPr="00AD7B35" w:rsidRDefault="00AD7B35" w:rsidP="00AD7B35">
            <w:pPr>
              <w:keepNext/>
              <w:jc w:val="center"/>
              <w:rPr>
                <w:rFonts w:ascii="Arial Narrow" w:eastAsiaTheme="majorEastAsia" w:hAnsi="Arial Narrow" w:cstheme="majorBidi"/>
                <w:bCs/>
                <w:sz w:val="20"/>
              </w:rPr>
            </w:pPr>
            <w:r w:rsidRPr="00AD7B35">
              <w:rPr>
                <w:rFonts w:ascii="Arial Narrow" w:eastAsia="MS Gothic" w:hAnsi="Arial Narrow" w:cs="Times New Roman"/>
                <w:bCs/>
                <w:sz w:val="20"/>
              </w:rPr>
              <w:t>85.3%</w:t>
            </w:r>
          </w:p>
        </w:tc>
        <w:tc>
          <w:tcPr>
            <w:tcW w:w="709" w:type="dxa"/>
            <w:shd w:val="clear" w:color="auto" w:fill="auto"/>
            <w:noWrap/>
          </w:tcPr>
          <w:p w14:paraId="441BEAE6" w14:textId="77777777" w:rsidR="00AD7B35" w:rsidRPr="00AD7B35" w:rsidRDefault="00AD7B35" w:rsidP="00AD7B35">
            <w:pPr>
              <w:keepNext/>
              <w:jc w:val="center"/>
              <w:rPr>
                <w:rFonts w:ascii="Arial Narrow" w:eastAsiaTheme="majorEastAsia" w:hAnsi="Arial Narrow" w:cstheme="majorBidi"/>
                <w:bCs/>
                <w:sz w:val="20"/>
              </w:rPr>
            </w:pPr>
            <w:r w:rsidRPr="00AD7B35">
              <w:rPr>
                <w:rFonts w:ascii="Arial Narrow" w:eastAsia="MS Gothic" w:hAnsi="Arial Narrow" w:cs="Times New Roman"/>
                <w:bCs/>
                <w:sz w:val="20"/>
              </w:rPr>
              <w:t>85.3%</w:t>
            </w:r>
          </w:p>
        </w:tc>
        <w:tc>
          <w:tcPr>
            <w:tcW w:w="708" w:type="dxa"/>
            <w:shd w:val="clear" w:color="auto" w:fill="auto"/>
            <w:noWrap/>
          </w:tcPr>
          <w:p w14:paraId="7E0F5E41" w14:textId="77777777" w:rsidR="00AD7B35" w:rsidRPr="00AD7B35" w:rsidRDefault="00AD7B35" w:rsidP="00AD7B35">
            <w:pPr>
              <w:keepNext/>
              <w:jc w:val="center"/>
              <w:rPr>
                <w:rFonts w:ascii="Arial Narrow" w:eastAsiaTheme="majorEastAsia" w:hAnsi="Arial Narrow" w:cstheme="majorBidi"/>
                <w:bCs/>
                <w:sz w:val="20"/>
              </w:rPr>
            </w:pPr>
            <w:r w:rsidRPr="00AD7B35">
              <w:rPr>
                <w:rFonts w:ascii="Arial Narrow" w:eastAsia="MS Gothic" w:hAnsi="Arial Narrow" w:cs="Times New Roman"/>
                <w:bCs/>
                <w:sz w:val="20"/>
              </w:rPr>
              <w:t>85.3%</w:t>
            </w:r>
          </w:p>
        </w:tc>
        <w:tc>
          <w:tcPr>
            <w:tcW w:w="709" w:type="dxa"/>
            <w:shd w:val="clear" w:color="auto" w:fill="auto"/>
            <w:noWrap/>
          </w:tcPr>
          <w:p w14:paraId="2E9FE89D" w14:textId="77777777" w:rsidR="00AD7B35" w:rsidRPr="00AD7B35" w:rsidRDefault="00AD7B35" w:rsidP="00AD7B35">
            <w:pPr>
              <w:keepNext/>
              <w:jc w:val="center"/>
              <w:rPr>
                <w:rFonts w:ascii="Arial Narrow" w:eastAsiaTheme="majorEastAsia" w:hAnsi="Arial Narrow" w:cstheme="majorBidi"/>
                <w:bCs/>
                <w:sz w:val="20"/>
              </w:rPr>
            </w:pPr>
            <w:r w:rsidRPr="00AD7B35">
              <w:rPr>
                <w:rFonts w:ascii="Arial Narrow" w:eastAsia="MS Gothic" w:hAnsi="Arial Narrow" w:cs="Times New Roman"/>
                <w:bCs/>
                <w:sz w:val="20"/>
              </w:rPr>
              <w:t>85.3%</w:t>
            </w:r>
          </w:p>
        </w:tc>
        <w:tc>
          <w:tcPr>
            <w:tcW w:w="2126" w:type="dxa"/>
          </w:tcPr>
          <w:p w14:paraId="47AB9265" w14:textId="77777777" w:rsidR="00AD7B35" w:rsidRPr="00AD7B35" w:rsidRDefault="00AD7B35" w:rsidP="00AD7B35">
            <w:pPr>
              <w:keepNext/>
              <w:jc w:val="left"/>
              <w:rPr>
                <w:rFonts w:ascii="Arial Narrow" w:eastAsiaTheme="majorEastAsia" w:hAnsi="Arial Narrow" w:cstheme="majorBidi"/>
                <w:bCs/>
                <w:sz w:val="20"/>
              </w:rPr>
            </w:pPr>
            <w:r w:rsidRPr="00AD7B35">
              <w:rPr>
                <w:rFonts w:ascii="Arial Narrow" w:eastAsiaTheme="majorEastAsia" w:hAnsi="Arial Narrow" w:cstheme="majorBidi"/>
                <w:bCs/>
                <w:sz w:val="20"/>
              </w:rPr>
              <w:t>Study 201</w:t>
            </w:r>
          </w:p>
        </w:tc>
      </w:tr>
      <w:tr w:rsidR="00AD7B35" w:rsidRPr="00AD7B35" w14:paraId="356D8F9C" w14:textId="77777777" w:rsidTr="007F1B4F">
        <w:trPr>
          <w:trHeight w:val="20"/>
        </w:trPr>
        <w:tc>
          <w:tcPr>
            <w:tcW w:w="2689" w:type="dxa"/>
            <w:gridSpan w:val="2"/>
            <w:shd w:val="clear" w:color="auto" w:fill="auto"/>
          </w:tcPr>
          <w:p w14:paraId="7BE56D8C" w14:textId="77777777" w:rsidR="00AD7B35" w:rsidRPr="00AD7B35" w:rsidRDefault="00AD7B35" w:rsidP="00AD7B35">
            <w:pPr>
              <w:keepNext/>
              <w:jc w:val="left"/>
              <w:rPr>
                <w:rFonts w:ascii="Arial Narrow" w:eastAsiaTheme="majorEastAsia" w:hAnsi="Arial Narrow" w:cstheme="majorBidi"/>
                <w:b/>
                <w:bCs/>
                <w:sz w:val="20"/>
              </w:rPr>
            </w:pPr>
            <w:r w:rsidRPr="00AD7B35">
              <w:rPr>
                <w:rFonts w:ascii="Arial Narrow" w:eastAsiaTheme="majorEastAsia" w:hAnsi="Arial Narrow" w:cstheme="majorBidi"/>
                <w:b/>
                <w:bCs/>
                <w:sz w:val="20"/>
              </w:rPr>
              <w:t xml:space="preserve">Eligible patients </w:t>
            </w:r>
          </w:p>
        </w:tc>
        <w:tc>
          <w:tcPr>
            <w:tcW w:w="708" w:type="dxa"/>
            <w:shd w:val="clear" w:color="auto" w:fill="auto"/>
            <w:noWrap/>
          </w:tcPr>
          <w:p w14:paraId="2BA88B26" w14:textId="03E13157" w:rsidR="00AD7B35" w:rsidRPr="00AD7B35"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72"/>
                <w:sz w:val="20"/>
                <w:shd w:val="solid" w:color="000000" w:fill="000000"/>
                <w:fitText w:val="258" w:id="-1236603648"/>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8" w:id="-1236603648"/>
                <w14:textFill>
                  <w14:solidFill>
                    <w14:srgbClr w14:val="000000">
                      <w14:alpha w14:val="100000"/>
                    </w14:srgbClr>
                  </w14:solidFill>
                </w14:textFill>
              </w:rPr>
              <w:t>|</w:t>
            </w:r>
            <w:r w:rsidR="00193B29">
              <w:rPr>
                <w:rFonts w:ascii="Arial Narrow" w:eastAsia="MS Gothic" w:hAnsi="Arial Narrow" w:cs="Times New Roman"/>
                <w:bCs/>
                <w:sz w:val="20"/>
              </w:rPr>
              <w:t xml:space="preserve"> </w:t>
            </w:r>
            <w:r w:rsidR="00193B29">
              <w:rPr>
                <w:rFonts w:ascii="Arial Narrow" w:eastAsia="MS Gothic" w:hAnsi="Arial Narrow" w:cs="Times New Roman"/>
                <w:bCs/>
                <w:sz w:val="20"/>
                <w:vertAlign w:val="superscript"/>
              </w:rPr>
              <w:t>1</w:t>
            </w:r>
          </w:p>
        </w:tc>
        <w:tc>
          <w:tcPr>
            <w:tcW w:w="709" w:type="dxa"/>
            <w:shd w:val="clear" w:color="auto" w:fill="auto"/>
            <w:noWrap/>
          </w:tcPr>
          <w:p w14:paraId="7BEEEADF" w14:textId="3DF1DCA8" w:rsidR="00AD7B35" w:rsidRPr="00AD7B35"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72"/>
                <w:sz w:val="20"/>
                <w:shd w:val="solid" w:color="000000" w:fill="000000"/>
                <w:fitText w:val="258" w:id="-1236603646"/>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8" w:id="-1236603646"/>
                <w14:textFill>
                  <w14:solidFill>
                    <w14:srgbClr w14:val="000000">
                      <w14:alpha w14:val="100000"/>
                    </w14:srgbClr>
                  </w14:solidFill>
                </w14:textFill>
              </w:rPr>
              <w:t>|</w:t>
            </w:r>
            <w:r w:rsidR="00193B29">
              <w:rPr>
                <w:rFonts w:ascii="Arial Narrow" w:eastAsia="MS Gothic" w:hAnsi="Arial Narrow" w:cs="Times New Roman"/>
                <w:bCs/>
                <w:sz w:val="20"/>
              </w:rPr>
              <w:t xml:space="preserve"> </w:t>
            </w:r>
            <w:r w:rsidR="00193B29">
              <w:rPr>
                <w:rFonts w:ascii="Arial Narrow" w:eastAsia="MS Gothic" w:hAnsi="Arial Narrow" w:cs="Times New Roman"/>
                <w:bCs/>
                <w:sz w:val="20"/>
                <w:vertAlign w:val="superscript"/>
              </w:rPr>
              <w:t>1</w:t>
            </w:r>
          </w:p>
        </w:tc>
        <w:tc>
          <w:tcPr>
            <w:tcW w:w="709" w:type="dxa"/>
            <w:shd w:val="clear" w:color="auto" w:fill="auto"/>
            <w:noWrap/>
          </w:tcPr>
          <w:p w14:paraId="17B56473" w14:textId="2BC616C7" w:rsidR="00AD7B35" w:rsidRPr="00AD7B35"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72"/>
                <w:sz w:val="20"/>
                <w:shd w:val="solid" w:color="000000" w:fill="000000"/>
                <w:fitText w:val="258" w:id="-1236603644"/>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8" w:id="-1236603644"/>
                <w14:textFill>
                  <w14:solidFill>
                    <w14:srgbClr w14:val="000000">
                      <w14:alpha w14:val="100000"/>
                    </w14:srgbClr>
                  </w14:solidFill>
                </w14:textFill>
              </w:rPr>
              <w:t>|</w:t>
            </w:r>
            <w:r w:rsidR="00193B29">
              <w:rPr>
                <w:rFonts w:ascii="Arial Narrow" w:eastAsia="MS Gothic" w:hAnsi="Arial Narrow" w:cs="Times New Roman"/>
                <w:bCs/>
                <w:sz w:val="20"/>
              </w:rPr>
              <w:t xml:space="preserve"> </w:t>
            </w:r>
            <w:r w:rsidR="00193B29">
              <w:rPr>
                <w:rFonts w:ascii="Arial Narrow" w:eastAsia="MS Gothic" w:hAnsi="Arial Narrow" w:cs="Times New Roman"/>
                <w:bCs/>
                <w:sz w:val="20"/>
                <w:vertAlign w:val="superscript"/>
              </w:rPr>
              <w:t>1</w:t>
            </w:r>
          </w:p>
        </w:tc>
        <w:tc>
          <w:tcPr>
            <w:tcW w:w="709" w:type="dxa"/>
            <w:shd w:val="clear" w:color="auto" w:fill="auto"/>
            <w:noWrap/>
          </w:tcPr>
          <w:p w14:paraId="24DB57EF" w14:textId="2F707341" w:rsidR="00AD7B35" w:rsidRPr="00AD7B35"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72"/>
                <w:sz w:val="20"/>
                <w:shd w:val="solid" w:color="000000" w:fill="000000"/>
                <w:fitText w:val="258" w:id="-1236603642"/>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8" w:id="-1236603642"/>
                <w14:textFill>
                  <w14:solidFill>
                    <w14:srgbClr w14:val="000000">
                      <w14:alpha w14:val="100000"/>
                    </w14:srgbClr>
                  </w14:solidFill>
                </w14:textFill>
              </w:rPr>
              <w:t>|</w:t>
            </w:r>
            <w:r w:rsidR="00193B29">
              <w:rPr>
                <w:rFonts w:ascii="Arial Narrow" w:eastAsia="MS Gothic" w:hAnsi="Arial Narrow" w:cs="Times New Roman"/>
                <w:bCs/>
                <w:sz w:val="20"/>
              </w:rPr>
              <w:t xml:space="preserve"> </w:t>
            </w:r>
            <w:r w:rsidR="00193B29">
              <w:rPr>
                <w:rFonts w:ascii="Arial Narrow" w:eastAsia="MS Gothic" w:hAnsi="Arial Narrow" w:cs="Times New Roman"/>
                <w:bCs/>
                <w:sz w:val="20"/>
                <w:vertAlign w:val="superscript"/>
              </w:rPr>
              <w:t>1</w:t>
            </w:r>
          </w:p>
        </w:tc>
        <w:tc>
          <w:tcPr>
            <w:tcW w:w="708" w:type="dxa"/>
            <w:shd w:val="clear" w:color="auto" w:fill="auto"/>
            <w:noWrap/>
          </w:tcPr>
          <w:p w14:paraId="0DC94298" w14:textId="15048F09" w:rsidR="00AD7B35" w:rsidRPr="00AD7B35"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73"/>
                <w:sz w:val="20"/>
                <w:shd w:val="solid" w:color="000000" w:fill="000000"/>
                <w:fitText w:val="259" w:id="-1236603640"/>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9" w:id="-1236603640"/>
                <w14:textFill>
                  <w14:solidFill>
                    <w14:srgbClr w14:val="000000">
                      <w14:alpha w14:val="100000"/>
                    </w14:srgbClr>
                  </w14:solidFill>
                </w14:textFill>
              </w:rPr>
              <w:t>|</w:t>
            </w:r>
            <w:r w:rsidR="00193B29">
              <w:rPr>
                <w:rFonts w:ascii="Arial Narrow" w:eastAsia="MS Gothic" w:hAnsi="Arial Narrow" w:cs="Times New Roman"/>
                <w:bCs/>
                <w:sz w:val="20"/>
              </w:rPr>
              <w:t xml:space="preserve"> </w:t>
            </w:r>
            <w:r w:rsidR="00193B29">
              <w:rPr>
                <w:rFonts w:ascii="Arial Narrow" w:eastAsia="MS Gothic" w:hAnsi="Arial Narrow" w:cs="Times New Roman"/>
                <w:bCs/>
                <w:sz w:val="20"/>
                <w:vertAlign w:val="superscript"/>
              </w:rPr>
              <w:t>1</w:t>
            </w:r>
          </w:p>
        </w:tc>
        <w:tc>
          <w:tcPr>
            <w:tcW w:w="709" w:type="dxa"/>
            <w:shd w:val="clear" w:color="auto" w:fill="auto"/>
            <w:noWrap/>
          </w:tcPr>
          <w:p w14:paraId="7D0C81BB" w14:textId="02476249" w:rsidR="00AD7B35" w:rsidRPr="00AD7B35"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72"/>
                <w:sz w:val="20"/>
                <w:shd w:val="solid" w:color="000000" w:fill="000000"/>
                <w:fitText w:val="258" w:id="-1236603638"/>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8" w:id="-1236603638"/>
                <w14:textFill>
                  <w14:solidFill>
                    <w14:srgbClr w14:val="000000">
                      <w14:alpha w14:val="100000"/>
                    </w14:srgbClr>
                  </w14:solidFill>
                </w14:textFill>
              </w:rPr>
              <w:t>|</w:t>
            </w:r>
            <w:r w:rsidR="00193B29">
              <w:rPr>
                <w:rFonts w:ascii="Arial Narrow" w:eastAsia="MS Gothic" w:hAnsi="Arial Narrow" w:cs="Times New Roman"/>
                <w:bCs/>
                <w:sz w:val="20"/>
              </w:rPr>
              <w:t xml:space="preserve"> </w:t>
            </w:r>
            <w:r w:rsidR="00193B29">
              <w:rPr>
                <w:rFonts w:ascii="Arial Narrow" w:eastAsia="MS Gothic" w:hAnsi="Arial Narrow" w:cs="Times New Roman"/>
                <w:bCs/>
                <w:sz w:val="20"/>
                <w:vertAlign w:val="superscript"/>
              </w:rPr>
              <w:t>1</w:t>
            </w:r>
          </w:p>
        </w:tc>
        <w:tc>
          <w:tcPr>
            <w:tcW w:w="2126" w:type="dxa"/>
            <w:shd w:val="clear" w:color="auto" w:fill="auto"/>
          </w:tcPr>
          <w:p w14:paraId="63D9CBD5" w14:textId="77777777" w:rsidR="00AD7B35" w:rsidRPr="00AD7B35" w:rsidRDefault="00AD7B35" w:rsidP="00AD7B35">
            <w:pPr>
              <w:keepNext/>
              <w:jc w:val="left"/>
              <w:rPr>
                <w:rFonts w:ascii="Arial Narrow" w:eastAsiaTheme="majorEastAsia" w:hAnsi="Arial Narrow" w:cstheme="majorBidi"/>
                <w:bCs/>
                <w:sz w:val="20"/>
              </w:rPr>
            </w:pPr>
          </w:p>
        </w:tc>
      </w:tr>
      <w:tr w:rsidR="00AD7B35" w:rsidRPr="00AD7B35" w14:paraId="3E439130" w14:textId="77777777" w:rsidTr="007F1B4F">
        <w:trPr>
          <w:trHeight w:val="20"/>
        </w:trPr>
        <w:tc>
          <w:tcPr>
            <w:tcW w:w="2689" w:type="dxa"/>
            <w:gridSpan w:val="2"/>
            <w:shd w:val="clear" w:color="auto" w:fill="auto"/>
          </w:tcPr>
          <w:p w14:paraId="472B165C" w14:textId="77777777" w:rsidR="00AD7B35" w:rsidRPr="00AD7B35" w:rsidRDefault="00AD7B35" w:rsidP="00AD7B35">
            <w:pPr>
              <w:keepNext/>
              <w:jc w:val="left"/>
              <w:rPr>
                <w:rFonts w:ascii="Arial Narrow" w:eastAsiaTheme="majorEastAsia" w:hAnsi="Arial Narrow" w:cstheme="majorBidi"/>
                <w:bCs/>
                <w:sz w:val="20"/>
              </w:rPr>
            </w:pPr>
            <w:r w:rsidRPr="00AD7B35">
              <w:rPr>
                <w:rFonts w:ascii="Arial Narrow" w:eastAsiaTheme="majorEastAsia" w:hAnsi="Arial Narrow" w:cstheme="majorBidi"/>
                <w:bCs/>
                <w:sz w:val="20"/>
              </w:rPr>
              <w:t>Uptake rate</w:t>
            </w:r>
          </w:p>
        </w:tc>
        <w:tc>
          <w:tcPr>
            <w:tcW w:w="708" w:type="dxa"/>
            <w:shd w:val="clear" w:color="auto" w:fill="auto"/>
            <w:noWrap/>
          </w:tcPr>
          <w:p w14:paraId="5B059439" w14:textId="222307CA" w:rsidR="00AD7B35" w:rsidRPr="00B14A9D" w:rsidRDefault="001247F0" w:rsidP="00AD7B35">
            <w:pPr>
              <w:keepNext/>
              <w:jc w:val="center"/>
              <w:rPr>
                <w:rFonts w:ascii="Arial Narrow" w:eastAsiaTheme="majorEastAsia" w:hAnsi="Arial Narrow" w:cstheme="majorBidi"/>
                <w:bCs/>
                <w:sz w:val="20"/>
                <w:highlight w:val="yellow"/>
              </w:rPr>
            </w:pPr>
            <w:r w:rsidRPr="001247F0">
              <w:rPr>
                <w:rFonts w:ascii="Arial Narrow" w:eastAsia="MS Gothic" w:hAnsi="Arial Narrow" w:cs="Times New Roman"/>
                <w:bCs/>
                <w:color w:val="000000"/>
                <w:spacing w:val="180"/>
                <w:sz w:val="20"/>
                <w:shd w:val="solid" w:color="000000" w:fill="000000"/>
                <w:fitText w:val="266" w:id="-1236603636"/>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66" w:id="-1236603636"/>
                <w14:textFill>
                  <w14:solidFill>
                    <w14:srgbClr w14:val="000000">
                      <w14:alpha w14:val="100000"/>
                    </w14:srgbClr>
                  </w14:solidFill>
                </w14:textFill>
              </w:rPr>
              <w:t>|</w:t>
            </w:r>
            <w:r w:rsidR="00AD7B35" w:rsidRPr="00200E03">
              <w:rPr>
                <w:rFonts w:ascii="Arial Narrow" w:eastAsia="MS Gothic" w:hAnsi="Arial Narrow" w:cs="Times New Roman"/>
                <w:bCs/>
                <w:sz w:val="20"/>
              </w:rPr>
              <w:t>%</w:t>
            </w:r>
          </w:p>
        </w:tc>
        <w:tc>
          <w:tcPr>
            <w:tcW w:w="709" w:type="dxa"/>
            <w:shd w:val="clear" w:color="auto" w:fill="auto"/>
            <w:noWrap/>
          </w:tcPr>
          <w:p w14:paraId="00142F85" w14:textId="6EFE0E79" w:rsidR="00AD7B35" w:rsidRPr="00B14A9D" w:rsidRDefault="001247F0" w:rsidP="00AD7B35">
            <w:pPr>
              <w:keepNext/>
              <w:jc w:val="center"/>
              <w:rPr>
                <w:rFonts w:ascii="Arial Narrow" w:eastAsiaTheme="majorEastAsia" w:hAnsi="Arial Narrow" w:cstheme="majorBidi"/>
                <w:bCs/>
                <w:sz w:val="20"/>
                <w:highlight w:val="yellow"/>
              </w:rPr>
            </w:pPr>
            <w:r w:rsidRPr="001247F0">
              <w:rPr>
                <w:rFonts w:ascii="Arial Narrow" w:eastAsia="MS Gothic" w:hAnsi="Arial Narrow" w:cs="Times New Roman"/>
                <w:bCs/>
                <w:color w:val="000000"/>
                <w:spacing w:val="180"/>
                <w:sz w:val="20"/>
                <w:shd w:val="solid" w:color="000000" w:fill="000000"/>
                <w:fitText w:val="266" w:id="-1236603634"/>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66" w:id="-1236603634"/>
                <w14:textFill>
                  <w14:solidFill>
                    <w14:srgbClr w14:val="000000">
                      <w14:alpha w14:val="100000"/>
                    </w14:srgbClr>
                  </w14:solidFill>
                </w14:textFill>
              </w:rPr>
              <w:t>|</w:t>
            </w:r>
            <w:r w:rsidR="00AD7B35" w:rsidRPr="00200E03">
              <w:rPr>
                <w:rFonts w:ascii="Arial Narrow" w:eastAsia="MS Gothic" w:hAnsi="Arial Narrow" w:cs="Times New Roman"/>
                <w:bCs/>
                <w:sz w:val="20"/>
              </w:rPr>
              <w:t>%</w:t>
            </w:r>
          </w:p>
        </w:tc>
        <w:tc>
          <w:tcPr>
            <w:tcW w:w="709" w:type="dxa"/>
            <w:shd w:val="clear" w:color="auto" w:fill="auto"/>
            <w:noWrap/>
          </w:tcPr>
          <w:p w14:paraId="216FA882" w14:textId="6FBDC133" w:rsidR="00AD7B35" w:rsidRPr="00B14A9D" w:rsidRDefault="001247F0" w:rsidP="00AD7B35">
            <w:pPr>
              <w:keepNext/>
              <w:jc w:val="center"/>
              <w:rPr>
                <w:rFonts w:ascii="Arial Narrow" w:eastAsiaTheme="majorEastAsia" w:hAnsi="Arial Narrow" w:cstheme="majorBidi"/>
                <w:bCs/>
                <w:sz w:val="20"/>
                <w:highlight w:val="yellow"/>
              </w:rPr>
            </w:pPr>
            <w:r w:rsidRPr="001247F0">
              <w:rPr>
                <w:rFonts w:ascii="Arial Narrow" w:eastAsia="MS Gothic" w:hAnsi="Arial Narrow" w:cs="Times New Roman"/>
                <w:bCs/>
                <w:color w:val="000000"/>
                <w:spacing w:val="180"/>
                <w:sz w:val="20"/>
                <w:shd w:val="solid" w:color="000000" w:fill="000000"/>
                <w:fitText w:val="266" w:id="-1236603632"/>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66" w:id="-1236603632"/>
                <w14:textFill>
                  <w14:solidFill>
                    <w14:srgbClr w14:val="000000">
                      <w14:alpha w14:val="100000"/>
                    </w14:srgbClr>
                  </w14:solidFill>
                </w14:textFill>
              </w:rPr>
              <w:t>|</w:t>
            </w:r>
            <w:r w:rsidR="00AD7B35" w:rsidRPr="00200E03">
              <w:rPr>
                <w:rFonts w:ascii="Arial Narrow" w:eastAsia="MS Gothic" w:hAnsi="Arial Narrow" w:cs="Times New Roman"/>
                <w:bCs/>
                <w:sz w:val="20"/>
              </w:rPr>
              <w:t>%</w:t>
            </w:r>
          </w:p>
        </w:tc>
        <w:tc>
          <w:tcPr>
            <w:tcW w:w="709" w:type="dxa"/>
            <w:shd w:val="clear" w:color="auto" w:fill="auto"/>
            <w:noWrap/>
          </w:tcPr>
          <w:p w14:paraId="53A036A1" w14:textId="16106C57" w:rsidR="00AD7B35" w:rsidRPr="00B14A9D" w:rsidRDefault="001247F0" w:rsidP="00AD7B35">
            <w:pPr>
              <w:keepNext/>
              <w:jc w:val="center"/>
              <w:rPr>
                <w:rFonts w:ascii="Arial Narrow" w:eastAsiaTheme="majorEastAsia" w:hAnsi="Arial Narrow" w:cstheme="majorBidi"/>
                <w:bCs/>
                <w:sz w:val="20"/>
                <w:highlight w:val="yellow"/>
              </w:rPr>
            </w:pPr>
            <w:r w:rsidRPr="001247F0">
              <w:rPr>
                <w:rFonts w:ascii="Arial Narrow" w:eastAsia="MS Gothic" w:hAnsi="Arial Narrow" w:cs="Times New Roman"/>
                <w:bCs/>
                <w:color w:val="000000"/>
                <w:spacing w:val="172"/>
                <w:sz w:val="20"/>
                <w:shd w:val="solid" w:color="000000" w:fill="000000"/>
                <w:fitText w:val="258" w:id="-1236603647"/>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8" w:id="-1236603647"/>
                <w14:textFill>
                  <w14:solidFill>
                    <w14:srgbClr w14:val="000000">
                      <w14:alpha w14:val="100000"/>
                    </w14:srgbClr>
                  </w14:solidFill>
                </w14:textFill>
              </w:rPr>
              <w:t>|</w:t>
            </w:r>
            <w:r w:rsidR="00AD7B35" w:rsidRPr="00200E03">
              <w:rPr>
                <w:rFonts w:ascii="Arial Narrow" w:eastAsia="MS Gothic" w:hAnsi="Arial Narrow" w:cs="Times New Roman"/>
                <w:bCs/>
                <w:sz w:val="20"/>
              </w:rPr>
              <w:t>%</w:t>
            </w:r>
          </w:p>
        </w:tc>
        <w:tc>
          <w:tcPr>
            <w:tcW w:w="708" w:type="dxa"/>
            <w:shd w:val="clear" w:color="auto" w:fill="auto"/>
            <w:noWrap/>
          </w:tcPr>
          <w:p w14:paraId="445C96D4" w14:textId="010FC598" w:rsidR="00AD7B35" w:rsidRPr="00B14A9D" w:rsidRDefault="001247F0" w:rsidP="00AD7B35">
            <w:pPr>
              <w:keepNext/>
              <w:jc w:val="center"/>
              <w:rPr>
                <w:rFonts w:ascii="Arial Narrow" w:eastAsiaTheme="majorEastAsia" w:hAnsi="Arial Narrow" w:cstheme="majorBidi"/>
                <w:bCs/>
                <w:sz w:val="20"/>
                <w:highlight w:val="yellow"/>
              </w:rPr>
            </w:pPr>
            <w:r w:rsidRPr="001247F0">
              <w:rPr>
                <w:rFonts w:ascii="Arial Narrow" w:eastAsia="MS Gothic" w:hAnsi="Arial Narrow" w:cs="Times New Roman"/>
                <w:bCs/>
                <w:color w:val="000000"/>
                <w:spacing w:val="172"/>
                <w:sz w:val="20"/>
                <w:shd w:val="solid" w:color="000000" w:fill="000000"/>
                <w:fitText w:val="258" w:id="-1236603645"/>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8" w:id="-1236603645"/>
                <w14:textFill>
                  <w14:solidFill>
                    <w14:srgbClr w14:val="000000">
                      <w14:alpha w14:val="100000"/>
                    </w14:srgbClr>
                  </w14:solidFill>
                </w14:textFill>
              </w:rPr>
              <w:t>|</w:t>
            </w:r>
            <w:r w:rsidR="00AD7B35" w:rsidRPr="00200E03">
              <w:rPr>
                <w:rFonts w:ascii="Arial Narrow" w:eastAsia="MS Gothic" w:hAnsi="Arial Narrow" w:cs="Times New Roman"/>
                <w:bCs/>
                <w:sz w:val="20"/>
              </w:rPr>
              <w:t>%</w:t>
            </w:r>
          </w:p>
        </w:tc>
        <w:tc>
          <w:tcPr>
            <w:tcW w:w="709" w:type="dxa"/>
            <w:shd w:val="clear" w:color="auto" w:fill="auto"/>
            <w:noWrap/>
          </w:tcPr>
          <w:p w14:paraId="2F1322C6" w14:textId="58E680F4" w:rsidR="00AD7B35" w:rsidRPr="00B14A9D" w:rsidRDefault="001247F0" w:rsidP="00AD7B35">
            <w:pPr>
              <w:keepNext/>
              <w:jc w:val="center"/>
              <w:rPr>
                <w:rFonts w:ascii="Arial Narrow" w:eastAsiaTheme="majorEastAsia" w:hAnsi="Arial Narrow" w:cstheme="majorBidi"/>
                <w:bCs/>
                <w:sz w:val="20"/>
                <w:highlight w:val="yellow"/>
              </w:rPr>
            </w:pPr>
            <w:r w:rsidRPr="001247F0">
              <w:rPr>
                <w:rFonts w:ascii="Arial Narrow" w:eastAsia="MS Gothic" w:hAnsi="Arial Narrow" w:cs="Times New Roman"/>
                <w:bCs/>
                <w:color w:val="000000"/>
                <w:spacing w:val="180"/>
                <w:sz w:val="20"/>
                <w:shd w:val="solid" w:color="000000" w:fill="000000"/>
                <w:fitText w:val="266" w:id="-1236603643"/>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66" w:id="-1236603643"/>
                <w14:textFill>
                  <w14:solidFill>
                    <w14:srgbClr w14:val="000000">
                      <w14:alpha w14:val="100000"/>
                    </w14:srgbClr>
                  </w14:solidFill>
                </w14:textFill>
              </w:rPr>
              <w:t>|</w:t>
            </w:r>
            <w:r w:rsidR="00AD7B35" w:rsidRPr="00200E03">
              <w:rPr>
                <w:rFonts w:ascii="Arial Narrow" w:eastAsia="MS Gothic" w:hAnsi="Arial Narrow" w:cs="Times New Roman"/>
                <w:bCs/>
                <w:sz w:val="20"/>
              </w:rPr>
              <w:t>%</w:t>
            </w:r>
          </w:p>
        </w:tc>
        <w:tc>
          <w:tcPr>
            <w:tcW w:w="2126" w:type="dxa"/>
          </w:tcPr>
          <w:p w14:paraId="0C29E504" w14:textId="77777777" w:rsidR="00AD7B35" w:rsidRPr="00AD7B35" w:rsidRDefault="00AD7B35" w:rsidP="00AD7B35">
            <w:pPr>
              <w:keepNext/>
              <w:jc w:val="left"/>
              <w:rPr>
                <w:rFonts w:ascii="Arial Narrow" w:eastAsiaTheme="majorEastAsia" w:hAnsi="Arial Narrow" w:cstheme="majorBidi"/>
                <w:bCs/>
                <w:sz w:val="20"/>
              </w:rPr>
            </w:pPr>
            <w:r w:rsidRPr="00AD7B35">
              <w:rPr>
                <w:rFonts w:ascii="Arial Narrow" w:eastAsiaTheme="majorEastAsia" w:hAnsi="Arial Narrow" w:cstheme="majorBidi"/>
                <w:bCs/>
                <w:sz w:val="20"/>
              </w:rPr>
              <w:t>Submission’s assumption</w:t>
            </w:r>
          </w:p>
        </w:tc>
      </w:tr>
      <w:tr w:rsidR="00AD7B35" w:rsidRPr="00AD7B35" w14:paraId="013A6812" w14:textId="77777777" w:rsidTr="007F1B4F">
        <w:trPr>
          <w:trHeight w:val="20"/>
        </w:trPr>
        <w:tc>
          <w:tcPr>
            <w:tcW w:w="2689" w:type="dxa"/>
            <w:gridSpan w:val="2"/>
            <w:shd w:val="clear" w:color="auto" w:fill="auto"/>
          </w:tcPr>
          <w:p w14:paraId="4125A3E5" w14:textId="77777777" w:rsidR="00AD7B35" w:rsidRPr="00AD7B35" w:rsidRDefault="00AD7B35" w:rsidP="00AD7B35">
            <w:pPr>
              <w:keepNext/>
              <w:jc w:val="left"/>
              <w:rPr>
                <w:rFonts w:ascii="Arial Narrow" w:eastAsiaTheme="majorEastAsia" w:hAnsi="Arial Narrow" w:cstheme="majorBidi"/>
                <w:b/>
                <w:bCs/>
                <w:sz w:val="20"/>
              </w:rPr>
            </w:pPr>
            <w:r w:rsidRPr="00AD7B35">
              <w:rPr>
                <w:rFonts w:ascii="Arial Narrow" w:eastAsiaTheme="majorEastAsia" w:hAnsi="Arial Narrow" w:cstheme="majorBidi"/>
                <w:bCs/>
                <w:sz w:val="20"/>
              </w:rPr>
              <w:t>Initiating Patients</w:t>
            </w:r>
          </w:p>
        </w:tc>
        <w:tc>
          <w:tcPr>
            <w:tcW w:w="708" w:type="dxa"/>
            <w:shd w:val="clear" w:color="auto" w:fill="auto"/>
            <w:noWrap/>
          </w:tcPr>
          <w:p w14:paraId="5C0D70A4" w14:textId="5216C608" w:rsidR="00AD7B35" w:rsidRPr="00193B29" w:rsidRDefault="001247F0" w:rsidP="00AD7B35">
            <w:pPr>
              <w:keepNext/>
              <w:jc w:val="center"/>
              <w:rPr>
                <w:rFonts w:ascii="Arial Narrow" w:eastAsiaTheme="majorEastAsia" w:hAnsi="Arial Narrow" w:cstheme="majorBidi"/>
                <w:b/>
                <w:bCs/>
                <w:sz w:val="20"/>
                <w:vertAlign w:val="superscript"/>
              </w:rPr>
            </w:pPr>
            <w:r w:rsidRPr="001247F0">
              <w:rPr>
                <w:rFonts w:ascii="Arial Narrow" w:eastAsia="MS Gothic" w:hAnsi="Arial Narrow" w:cs="Times New Roman"/>
                <w:bCs/>
                <w:color w:val="000000"/>
                <w:spacing w:val="172"/>
                <w:sz w:val="20"/>
                <w:shd w:val="solid" w:color="000000" w:fill="000000"/>
                <w:fitText w:val="258" w:id="-1236603641"/>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8" w:id="-1236603641"/>
                <w14:textFill>
                  <w14:solidFill>
                    <w14:srgbClr w14:val="000000">
                      <w14:alpha w14:val="100000"/>
                    </w14:srgbClr>
                  </w14:solidFill>
                </w14:textFill>
              </w:rPr>
              <w:t>|</w:t>
            </w:r>
            <w:r w:rsidR="00193B29">
              <w:rPr>
                <w:rFonts w:ascii="Arial Narrow" w:eastAsia="MS Gothic" w:hAnsi="Arial Narrow" w:cs="Times New Roman"/>
                <w:bCs/>
                <w:sz w:val="20"/>
              </w:rPr>
              <w:t xml:space="preserve"> </w:t>
            </w:r>
            <w:r w:rsidR="00193B29">
              <w:rPr>
                <w:rFonts w:ascii="Arial Narrow" w:eastAsia="MS Gothic" w:hAnsi="Arial Narrow" w:cs="Times New Roman"/>
                <w:bCs/>
                <w:sz w:val="20"/>
                <w:vertAlign w:val="superscript"/>
              </w:rPr>
              <w:t>2</w:t>
            </w:r>
          </w:p>
        </w:tc>
        <w:tc>
          <w:tcPr>
            <w:tcW w:w="709" w:type="dxa"/>
            <w:shd w:val="clear" w:color="auto" w:fill="auto"/>
            <w:noWrap/>
          </w:tcPr>
          <w:p w14:paraId="0AA7255D" w14:textId="55C27E4B" w:rsidR="00AD7B35" w:rsidRPr="00AD7B35" w:rsidRDefault="001247F0" w:rsidP="00AD7B35">
            <w:pPr>
              <w:keepNext/>
              <w:jc w:val="center"/>
              <w:rPr>
                <w:rFonts w:ascii="Arial Narrow" w:eastAsiaTheme="majorEastAsia" w:hAnsi="Arial Narrow" w:cstheme="majorBidi"/>
                <w:b/>
                <w:bCs/>
                <w:sz w:val="20"/>
              </w:rPr>
            </w:pPr>
            <w:r w:rsidRPr="001247F0">
              <w:rPr>
                <w:rFonts w:ascii="Arial Narrow" w:eastAsia="MS Gothic" w:hAnsi="Arial Narrow" w:cs="Times New Roman"/>
                <w:bCs/>
                <w:color w:val="000000"/>
                <w:spacing w:val="172"/>
                <w:sz w:val="20"/>
                <w:shd w:val="solid" w:color="000000" w:fill="000000"/>
                <w:fitText w:val="258" w:id="-1236603639"/>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8" w:id="-1236603639"/>
                <w14:textFill>
                  <w14:solidFill>
                    <w14:srgbClr w14:val="000000">
                      <w14:alpha w14:val="100000"/>
                    </w14:srgbClr>
                  </w14:solidFill>
                </w14:textFill>
              </w:rPr>
              <w:t>|</w:t>
            </w:r>
            <w:r w:rsidR="00193B29">
              <w:rPr>
                <w:rFonts w:ascii="Arial Narrow" w:eastAsia="MS Gothic" w:hAnsi="Arial Narrow" w:cs="Times New Roman"/>
                <w:bCs/>
                <w:sz w:val="20"/>
              </w:rPr>
              <w:t xml:space="preserve"> </w:t>
            </w:r>
            <w:r w:rsidR="00193B29">
              <w:rPr>
                <w:rFonts w:ascii="Arial Narrow" w:eastAsia="MS Gothic" w:hAnsi="Arial Narrow" w:cs="Times New Roman"/>
                <w:bCs/>
                <w:sz w:val="20"/>
                <w:vertAlign w:val="superscript"/>
              </w:rPr>
              <w:t>2</w:t>
            </w:r>
          </w:p>
        </w:tc>
        <w:tc>
          <w:tcPr>
            <w:tcW w:w="709" w:type="dxa"/>
            <w:shd w:val="clear" w:color="auto" w:fill="auto"/>
            <w:noWrap/>
          </w:tcPr>
          <w:p w14:paraId="495115D6" w14:textId="351C560E" w:rsidR="00AD7B35" w:rsidRPr="00AD7B35" w:rsidRDefault="001247F0" w:rsidP="00AD7B35">
            <w:pPr>
              <w:keepNext/>
              <w:jc w:val="center"/>
              <w:rPr>
                <w:rFonts w:ascii="Arial Narrow" w:eastAsiaTheme="majorEastAsia" w:hAnsi="Arial Narrow" w:cstheme="majorBidi"/>
                <w:b/>
                <w:bCs/>
                <w:sz w:val="20"/>
              </w:rPr>
            </w:pPr>
            <w:r w:rsidRPr="001247F0">
              <w:rPr>
                <w:rFonts w:ascii="Arial Narrow" w:eastAsia="MS Gothic" w:hAnsi="Arial Narrow" w:cs="Times New Roman"/>
                <w:bCs/>
                <w:color w:val="000000"/>
                <w:spacing w:val="172"/>
                <w:sz w:val="20"/>
                <w:shd w:val="solid" w:color="000000" w:fill="000000"/>
                <w:fitText w:val="258" w:id="-1236603637"/>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8" w:id="-1236603637"/>
                <w14:textFill>
                  <w14:solidFill>
                    <w14:srgbClr w14:val="000000">
                      <w14:alpha w14:val="100000"/>
                    </w14:srgbClr>
                  </w14:solidFill>
                </w14:textFill>
              </w:rPr>
              <w:t>|</w:t>
            </w:r>
            <w:r w:rsidR="00193B29">
              <w:rPr>
                <w:rFonts w:ascii="Arial Narrow" w:eastAsia="MS Gothic" w:hAnsi="Arial Narrow" w:cs="Times New Roman"/>
                <w:bCs/>
                <w:sz w:val="20"/>
              </w:rPr>
              <w:t xml:space="preserve"> </w:t>
            </w:r>
            <w:r w:rsidR="00193B29">
              <w:rPr>
                <w:rFonts w:ascii="Arial Narrow" w:eastAsia="MS Gothic" w:hAnsi="Arial Narrow" w:cs="Times New Roman"/>
                <w:bCs/>
                <w:sz w:val="20"/>
                <w:vertAlign w:val="superscript"/>
              </w:rPr>
              <w:t>2</w:t>
            </w:r>
          </w:p>
        </w:tc>
        <w:tc>
          <w:tcPr>
            <w:tcW w:w="709" w:type="dxa"/>
            <w:shd w:val="clear" w:color="auto" w:fill="auto"/>
            <w:noWrap/>
          </w:tcPr>
          <w:p w14:paraId="46BF7D4C" w14:textId="3591ED03" w:rsidR="00AD7B35" w:rsidRPr="00AD7B35" w:rsidRDefault="001247F0" w:rsidP="00AD7B35">
            <w:pPr>
              <w:keepNext/>
              <w:jc w:val="center"/>
              <w:rPr>
                <w:rFonts w:ascii="Arial Narrow" w:eastAsiaTheme="majorEastAsia" w:hAnsi="Arial Narrow" w:cstheme="majorBidi"/>
                <w:b/>
                <w:bCs/>
                <w:sz w:val="20"/>
              </w:rPr>
            </w:pPr>
            <w:r w:rsidRPr="001247F0">
              <w:rPr>
                <w:rFonts w:ascii="Arial Narrow" w:eastAsia="MS Gothic" w:hAnsi="Arial Narrow" w:cs="Times New Roman"/>
                <w:bCs/>
                <w:color w:val="000000"/>
                <w:spacing w:val="172"/>
                <w:sz w:val="20"/>
                <w:shd w:val="solid" w:color="000000" w:fill="000000"/>
                <w:fitText w:val="258" w:id="-1236603635"/>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8" w:id="-1236603635"/>
                <w14:textFill>
                  <w14:solidFill>
                    <w14:srgbClr w14:val="000000">
                      <w14:alpha w14:val="100000"/>
                    </w14:srgbClr>
                  </w14:solidFill>
                </w14:textFill>
              </w:rPr>
              <w:t>|</w:t>
            </w:r>
            <w:r w:rsidR="00193B29">
              <w:rPr>
                <w:rFonts w:ascii="Arial Narrow" w:eastAsia="MS Gothic" w:hAnsi="Arial Narrow" w:cs="Times New Roman"/>
                <w:bCs/>
                <w:sz w:val="20"/>
              </w:rPr>
              <w:t xml:space="preserve"> </w:t>
            </w:r>
            <w:r w:rsidR="00193B29">
              <w:rPr>
                <w:rFonts w:ascii="Arial Narrow" w:eastAsia="MS Gothic" w:hAnsi="Arial Narrow" w:cs="Times New Roman"/>
                <w:bCs/>
                <w:sz w:val="20"/>
                <w:vertAlign w:val="superscript"/>
              </w:rPr>
              <w:t>2</w:t>
            </w:r>
          </w:p>
        </w:tc>
        <w:tc>
          <w:tcPr>
            <w:tcW w:w="708" w:type="dxa"/>
            <w:shd w:val="clear" w:color="auto" w:fill="auto"/>
            <w:noWrap/>
          </w:tcPr>
          <w:p w14:paraId="3B369C2F" w14:textId="58F99D69" w:rsidR="00AD7B35" w:rsidRPr="00AD7B35" w:rsidRDefault="001247F0" w:rsidP="00AD7B35">
            <w:pPr>
              <w:keepNext/>
              <w:jc w:val="center"/>
              <w:rPr>
                <w:rFonts w:ascii="Arial Narrow" w:eastAsiaTheme="majorEastAsia" w:hAnsi="Arial Narrow" w:cstheme="majorBidi"/>
                <w:b/>
                <w:bCs/>
                <w:sz w:val="20"/>
              </w:rPr>
            </w:pPr>
            <w:r w:rsidRPr="001247F0">
              <w:rPr>
                <w:rFonts w:ascii="Arial Narrow" w:eastAsia="MS Gothic" w:hAnsi="Arial Narrow" w:cs="Times New Roman"/>
                <w:bCs/>
                <w:color w:val="000000"/>
                <w:spacing w:val="173"/>
                <w:sz w:val="20"/>
                <w:shd w:val="solid" w:color="000000" w:fill="000000"/>
                <w:fitText w:val="259" w:id="-1236603633"/>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9" w:id="-1236603633"/>
                <w14:textFill>
                  <w14:solidFill>
                    <w14:srgbClr w14:val="000000">
                      <w14:alpha w14:val="100000"/>
                    </w14:srgbClr>
                  </w14:solidFill>
                </w14:textFill>
              </w:rPr>
              <w:t>|</w:t>
            </w:r>
            <w:r w:rsidR="00193B29">
              <w:rPr>
                <w:rFonts w:ascii="Arial Narrow" w:eastAsia="MS Gothic" w:hAnsi="Arial Narrow" w:cs="Times New Roman"/>
                <w:bCs/>
                <w:sz w:val="20"/>
              </w:rPr>
              <w:t xml:space="preserve"> </w:t>
            </w:r>
            <w:r w:rsidR="00193B29">
              <w:rPr>
                <w:rFonts w:ascii="Arial Narrow" w:eastAsia="MS Gothic" w:hAnsi="Arial Narrow" w:cs="Times New Roman"/>
                <w:bCs/>
                <w:sz w:val="20"/>
                <w:vertAlign w:val="superscript"/>
              </w:rPr>
              <w:t>2</w:t>
            </w:r>
          </w:p>
        </w:tc>
        <w:tc>
          <w:tcPr>
            <w:tcW w:w="709" w:type="dxa"/>
            <w:shd w:val="clear" w:color="auto" w:fill="auto"/>
            <w:noWrap/>
          </w:tcPr>
          <w:p w14:paraId="39128D2B" w14:textId="49DF378A" w:rsidR="00AD7B35" w:rsidRPr="00AD7B35" w:rsidRDefault="001247F0" w:rsidP="00AD7B35">
            <w:pPr>
              <w:keepNext/>
              <w:jc w:val="center"/>
              <w:rPr>
                <w:rFonts w:ascii="Arial Narrow" w:eastAsiaTheme="majorEastAsia" w:hAnsi="Arial Narrow" w:cstheme="majorBidi"/>
                <w:b/>
                <w:bCs/>
                <w:sz w:val="20"/>
              </w:rPr>
            </w:pPr>
            <w:r w:rsidRPr="001247F0">
              <w:rPr>
                <w:rFonts w:ascii="Arial Narrow" w:eastAsia="MS Gothic" w:hAnsi="Arial Narrow" w:cs="Times New Roman"/>
                <w:bCs/>
                <w:color w:val="000000"/>
                <w:spacing w:val="172"/>
                <w:sz w:val="20"/>
                <w:shd w:val="solid" w:color="000000" w:fill="000000"/>
                <w:fitText w:val="258" w:id="-1236603648"/>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8" w:id="-1236603648"/>
                <w14:textFill>
                  <w14:solidFill>
                    <w14:srgbClr w14:val="000000">
                      <w14:alpha w14:val="100000"/>
                    </w14:srgbClr>
                  </w14:solidFill>
                </w14:textFill>
              </w:rPr>
              <w:t>|</w:t>
            </w:r>
            <w:r w:rsidR="00193B29">
              <w:rPr>
                <w:rFonts w:ascii="Arial Narrow" w:eastAsia="MS Gothic" w:hAnsi="Arial Narrow" w:cs="Times New Roman"/>
                <w:bCs/>
                <w:sz w:val="20"/>
              </w:rPr>
              <w:t xml:space="preserve"> </w:t>
            </w:r>
            <w:r w:rsidR="00193B29">
              <w:rPr>
                <w:rFonts w:ascii="Arial Narrow" w:eastAsia="MS Gothic" w:hAnsi="Arial Narrow" w:cs="Times New Roman"/>
                <w:bCs/>
                <w:sz w:val="20"/>
                <w:vertAlign w:val="superscript"/>
              </w:rPr>
              <w:t>2</w:t>
            </w:r>
          </w:p>
        </w:tc>
        <w:tc>
          <w:tcPr>
            <w:tcW w:w="2126" w:type="dxa"/>
          </w:tcPr>
          <w:p w14:paraId="17BE7926" w14:textId="380EC928" w:rsidR="00AD7B35" w:rsidRPr="00193B29" w:rsidRDefault="00AD7B35" w:rsidP="00AD7B35">
            <w:pPr>
              <w:keepNext/>
              <w:jc w:val="left"/>
              <w:rPr>
                <w:rFonts w:ascii="Arial Narrow" w:eastAsiaTheme="majorEastAsia" w:hAnsi="Arial Narrow" w:cstheme="majorBidi"/>
                <w:bCs/>
                <w:sz w:val="20"/>
              </w:rPr>
            </w:pPr>
            <w:r w:rsidRPr="00AD7B35">
              <w:rPr>
                <w:rFonts w:ascii="Arial Narrow" w:eastAsiaTheme="majorEastAsia" w:hAnsi="Arial Narrow" w:cstheme="majorBidi"/>
                <w:bCs/>
                <w:sz w:val="20"/>
              </w:rPr>
              <w:t xml:space="preserve">Total over 6 years: </w:t>
            </w:r>
            <w:r w:rsidR="001247F0" w:rsidRPr="007F1B4F">
              <w:rPr>
                <w:rFonts w:ascii="Arial Narrow" w:eastAsiaTheme="majorEastAsia" w:hAnsi="Arial Narrow" w:cstheme="majorBidi"/>
                <w:bCs/>
                <w:color w:val="000000"/>
                <w:spacing w:val="29"/>
                <w:sz w:val="20"/>
                <w:shd w:val="solid" w:color="000000" w:fill="000000"/>
                <w:fitText w:val="550" w:id="-1236603647"/>
                <w14:textFill>
                  <w14:solidFill>
                    <w14:srgbClr w14:val="000000">
                      <w14:alpha w14:val="100000"/>
                    </w14:srgbClr>
                  </w14:solidFill>
                </w14:textFill>
              </w:rPr>
              <w:t>|||||||</w:t>
            </w:r>
            <w:r w:rsidR="001247F0" w:rsidRPr="007F1B4F">
              <w:rPr>
                <w:rFonts w:ascii="Arial Narrow" w:eastAsiaTheme="majorEastAsia" w:hAnsi="Arial Narrow" w:cstheme="majorBidi"/>
                <w:bCs/>
                <w:color w:val="000000"/>
                <w:spacing w:val="7"/>
                <w:sz w:val="20"/>
                <w:shd w:val="solid" w:color="000000" w:fill="000000"/>
                <w:fitText w:val="550" w:id="-1236603647"/>
                <w14:textFill>
                  <w14:solidFill>
                    <w14:srgbClr w14:val="000000">
                      <w14:alpha w14:val="100000"/>
                    </w14:srgbClr>
                  </w14:solidFill>
                </w14:textFill>
              </w:rPr>
              <w:t>|</w:t>
            </w:r>
            <w:r w:rsidR="00193B29">
              <w:rPr>
                <w:rFonts w:ascii="Arial Narrow" w:eastAsiaTheme="majorEastAsia" w:hAnsi="Arial Narrow" w:cstheme="majorBidi"/>
                <w:bCs/>
                <w:sz w:val="20"/>
                <w:vertAlign w:val="superscript"/>
              </w:rPr>
              <w:t>1</w:t>
            </w:r>
          </w:p>
        </w:tc>
      </w:tr>
      <w:tr w:rsidR="00AD7B35" w:rsidRPr="00AD7B35" w14:paraId="67A0B349" w14:textId="77777777" w:rsidTr="00D962E8">
        <w:trPr>
          <w:trHeight w:val="20"/>
        </w:trPr>
        <w:tc>
          <w:tcPr>
            <w:tcW w:w="9067" w:type="dxa"/>
            <w:gridSpan w:val="9"/>
            <w:shd w:val="clear" w:color="auto" w:fill="auto"/>
          </w:tcPr>
          <w:p w14:paraId="38B73608" w14:textId="77777777" w:rsidR="00AD7B35" w:rsidRPr="0058336B" w:rsidRDefault="00AD7B35" w:rsidP="00AD7B35">
            <w:pPr>
              <w:keepNext/>
              <w:jc w:val="left"/>
              <w:rPr>
                <w:rFonts w:ascii="Arial Narrow" w:eastAsiaTheme="majorEastAsia" w:hAnsi="Arial Narrow" w:cstheme="majorBidi"/>
                <w:b/>
                <w:bCs/>
                <w:sz w:val="20"/>
              </w:rPr>
            </w:pPr>
            <w:r w:rsidRPr="0058336B">
              <w:rPr>
                <w:rFonts w:ascii="Arial Narrow" w:eastAsiaTheme="majorEastAsia" w:hAnsi="Arial Narrow" w:cstheme="majorBidi"/>
                <w:b/>
                <w:bCs/>
                <w:sz w:val="20"/>
              </w:rPr>
              <w:t>Revised estimate compiled during the evaluation</w:t>
            </w:r>
          </w:p>
        </w:tc>
      </w:tr>
      <w:tr w:rsidR="00AD7B35" w:rsidRPr="00AD7B35" w14:paraId="44ACD4CC" w14:textId="77777777" w:rsidTr="007F1B4F">
        <w:trPr>
          <w:trHeight w:val="20"/>
        </w:trPr>
        <w:tc>
          <w:tcPr>
            <w:tcW w:w="704" w:type="dxa"/>
            <w:shd w:val="clear" w:color="auto" w:fill="auto"/>
          </w:tcPr>
          <w:p w14:paraId="1B0AEFC8" w14:textId="77777777" w:rsidR="00AD7B35" w:rsidRPr="0058336B" w:rsidRDefault="00AD7B35" w:rsidP="00AD7B35">
            <w:pPr>
              <w:keepNext/>
              <w:jc w:val="left"/>
              <w:rPr>
                <w:rFonts w:ascii="Arial Narrow" w:eastAsiaTheme="majorEastAsia" w:hAnsi="Arial Narrow" w:cstheme="majorBidi"/>
                <w:bCs/>
                <w:sz w:val="20"/>
                <w:szCs w:val="20"/>
              </w:rPr>
            </w:pPr>
            <w:r w:rsidRPr="0058336B">
              <w:rPr>
                <w:rFonts w:ascii="Arial Narrow" w:eastAsiaTheme="majorEastAsia" w:hAnsi="Arial Narrow" w:cstheme="majorBidi"/>
                <w:bCs/>
                <w:sz w:val="20"/>
                <w:szCs w:val="20"/>
              </w:rPr>
              <w:t>A</w:t>
            </w:r>
          </w:p>
        </w:tc>
        <w:tc>
          <w:tcPr>
            <w:tcW w:w="1985" w:type="dxa"/>
            <w:shd w:val="clear" w:color="auto" w:fill="auto"/>
          </w:tcPr>
          <w:p w14:paraId="0D9D9397" w14:textId="77777777" w:rsidR="00AD7B35" w:rsidRPr="0058336B" w:rsidRDefault="00AD7B35" w:rsidP="00AD7B35">
            <w:pPr>
              <w:keepNext/>
              <w:jc w:val="left"/>
              <w:rPr>
                <w:rFonts w:ascii="Arial Narrow" w:eastAsiaTheme="majorEastAsia" w:hAnsi="Arial Narrow" w:cstheme="majorBidi"/>
                <w:bCs/>
                <w:sz w:val="20"/>
              </w:rPr>
            </w:pPr>
            <w:r w:rsidRPr="0058336B">
              <w:rPr>
                <w:rFonts w:ascii="Arial Narrow" w:eastAsiaTheme="majorEastAsia" w:hAnsi="Arial Narrow" w:cstheme="majorBidi"/>
                <w:bCs/>
                <w:sz w:val="20"/>
              </w:rPr>
              <w:t>Number of MF-CTCL patients</w:t>
            </w:r>
          </w:p>
        </w:tc>
        <w:tc>
          <w:tcPr>
            <w:tcW w:w="708" w:type="dxa"/>
            <w:shd w:val="clear" w:color="auto" w:fill="auto"/>
            <w:noWrap/>
          </w:tcPr>
          <w:p w14:paraId="7133C9B7" w14:textId="698BC492"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0"/>
                <w:sz w:val="20"/>
                <w:shd w:val="solid" w:color="000000" w:fill="000000"/>
                <w:fitText w:val="266" w:id="-1236603645"/>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66" w:id="-1236603645"/>
                <w14:textFill>
                  <w14:solidFill>
                    <w14:srgbClr w14:val="000000">
                      <w14:alpha w14:val="100000"/>
                    </w14:srgbClr>
                  </w14:solidFill>
                </w14:textFill>
              </w:rPr>
              <w:t>|</w:t>
            </w:r>
            <w:r w:rsidR="00193B29">
              <w:rPr>
                <w:rFonts w:ascii="Arial Narrow" w:eastAsia="MS Gothic" w:hAnsi="Arial Narrow" w:cs="Times New Roman"/>
                <w:bCs/>
                <w:sz w:val="20"/>
                <w:vertAlign w:val="superscript"/>
              </w:rPr>
              <w:t>1</w:t>
            </w:r>
          </w:p>
        </w:tc>
        <w:tc>
          <w:tcPr>
            <w:tcW w:w="709" w:type="dxa"/>
            <w:shd w:val="clear" w:color="auto" w:fill="auto"/>
            <w:noWrap/>
          </w:tcPr>
          <w:p w14:paraId="6ACE64B8" w14:textId="45139C1D"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0"/>
                <w:sz w:val="20"/>
                <w:shd w:val="solid" w:color="000000" w:fill="000000"/>
                <w:fitText w:val="266" w:id="-1236603643"/>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66" w:id="-1236603643"/>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709" w:type="dxa"/>
            <w:shd w:val="clear" w:color="auto" w:fill="auto"/>
            <w:noWrap/>
          </w:tcPr>
          <w:p w14:paraId="0AFACEC6" w14:textId="6CED98D2"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1"/>
                <w:sz w:val="20"/>
                <w:shd w:val="solid" w:color="000000" w:fill="000000"/>
                <w:fitText w:val="267" w:id="-1236603641"/>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67" w:id="-1236603641"/>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709" w:type="dxa"/>
            <w:shd w:val="clear" w:color="auto" w:fill="auto"/>
            <w:noWrap/>
          </w:tcPr>
          <w:p w14:paraId="52DB3302" w14:textId="7E3D2154"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9"/>
                <w:sz w:val="20"/>
                <w:shd w:val="solid" w:color="000000" w:fill="000000"/>
                <w:fitText w:val="275" w:id="-1236603639"/>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75" w:id="-1236603639"/>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708" w:type="dxa"/>
            <w:shd w:val="clear" w:color="auto" w:fill="auto"/>
            <w:noWrap/>
          </w:tcPr>
          <w:p w14:paraId="3E40AC98" w14:textId="61E23D32"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9"/>
                <w:sz w:val="20"/>
                <w:shd w:val="solid" w:color="000000" w:fill="000000"/>
                <w:fitText w:val="275" w:id="-1236603637"/>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75" w:id="-1236603637"/>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709" w:type="dxa"/>
            <w:shd w:val="clear" w:color="auto" w:fill="auto"/>
            <w:noWrap/>
          </w:tcPr>
          <w:p w14:paraId="522A0707" w14:textId="2E68D309"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8"/>
                <w:sz w:val="20"/>
                <w:shd w:val="solid" w:color="000000" w:fill="000000"/>
                <w:fitText w:val="274" w:id="-1236603635"/>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74" w:id="-1236603635"/>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2126" w:type="dxa"/>
          </w:tcPr>
          <w:p w14:paraId="315C8025" w14:textId="77777777" w:rsidR="00AD7B35" w:rsidRPr="0058336B" w:rsidRDefault="00AD7B35" w:rsidP="00AD7B35">
            <w:pPr>
              <w:keepNext/>
              <w:jc w:val="left"/>
              <w:rPr>
                <w:rFonts w:ascii="Arial Narrow" w:eastAsiaTheme="majorEastAsia" w:hAnsi="Arial Narrow" w:cstheme="majorBidi"/>
                <w:bCs/>
                <w:sz w:val="20"/>
              </w:rPr>
            </w:pPr>
            <w:r w:rsidRPr="0058336B">
              <w:rPr>
                <w:rFonts w:ascii="Arial Narrow" w:eastAsiaTheme="majorEastAsia" w:hAnsi="Arial Narrow" w:cstheme="majorBidi"/>
                <w:bCs/>
                <w:sz w:val="20"/>
              </w:rPr>
              <w:t>Prevalence rate of 6.71 for year 1; incidence rate of 0.42 and 0.29 for males and females, respectively, in subsequent years.</w:t>
            </w:r>
          </w:p>
        </w:tc>
      </w:tr>
      <w:tr w:rsidR="00AD7B35" w:rsidRPr="00AD7B35" w14:paraId="0FD03B8F" w14:textId="77777777" w:rsidTr="007F1B4F">
        <w:trPr>
          <w:trHeight w:val="20"/>
        </w:trPr>
        <w:tc>
          <w:tcPr>
            <w:tcW w:w="704" w:type="dxa"/>
            <w:shd w:val="clear" w:color="auto" w:fill="auto"/>
          </w:tcPr>
          <w:p w14:paraId="356C6948" w14:textId="77777777" w:rsidR="00AD7B35" w:rsidRPr="0058336B" w:rsidRDefault="00AD7B35" w:rsidP="00AD7B35">
            <w:pPr>
              <w:keepNext/>
              <w:jc w:val="left"/>
              <w:rPr>
                <w:rFonts w:ascii="Arial Narrow" w:eastAsiaTheme="majorEastAsia" w:hAnsi="Arial Narrow" w:cstheme="majorBidi"/>
                <w:bCs/>
                <w:sz w:val="20"/>
                <w:szCs w:val="20"/>
              </w:rPr>
            </w:pPr>
            <w:r w:rsidRPr="0058336B">
              <w:rPr>
                <w:rFonts w:ascii="Arial Narrow" w:eastAsiaTheme="majorEastAsia" w:hAnsi="Arial Narrow" w:cstheme="majorBidi"/>
                <w:bCs/>
                <w:sz w:val="20"/>
                <w:szCs w:val="20"/>
              </w:rPr>
              <w:t>B</w:t>
            </w:r>
          </w:p>
        </w:tc>
        <w:tc>
          <w:tcPr>
            <w:tcW w:w="1985" w:type="dxa"/>
            <w:shd w:val="clear" w:color="auto" w:fill="auto"/>
          </w:tcPr>
          <w:p w14:paraId="1B0FBA76" w14:textId="77777777" w:rsidR="00AD7B35" w:rsidRPr="0058336B" w:rsidRDefault="00AD7B35" w:rsidP="00AD7B35">
            <w:pPr>
              <w:keepNext/>
              <w:jc w:val="left"/>
              <w:rPr>
                <w:rFonts w:ascii="Arial Narrow" w:eastAsiaTheme="majorEastAsia" w:hAnsi="Arial Narrow" w:cstheme="majorBidi"/>
                <w:bCs/>
                <w:sz w:val="20"/>
              </w:rPr>
            </w:pPr>
            <w:r w:rsidRPr="0058336B">
              <w:rPr>
                <w:rFonts w:ascii="Arial Narrow" w:eastAsiaTheme="majorEastAsia" w:hAnsi="Arial Narrow" w:cstheme="majorBidi"/>
                <w:bCs/>
                <w:sz w:val="20"/>
              </w:rPr>
              <w:t>Patients with Early-Stage Disease (IA, IB and IIA; %)</w:t>
            </w:r>
          </w:p>
        </w:tc>
        <w:tc>
          <w:tcPr>
            <w:tcW w:w="708" w:type="dxa"/>
            <w:shd w:val="clear" w:color="auto" w:fill="auto"/>
            <w:noWrap/>
          </w:tcPr>
          <w:p w14:paraId="45710966"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79.6</w:t>
            </w:r>
            <w:r w:rsidRPr="0058336B">
              <w:rPr>
                <w:rFonts w:ascii="Arial Narrow" w:eastAsia="MS Gothic" w:hAnsi="Arial Narrow" w:cs="Times New Roman"/>
                <w:bCs/>
                <w:sz w:val="20"/>
                <w:szCs w:val="20"/>
              </w:rPr>
              <w:t>%</w:t>
            </w:r>
          </w:p>
        </w:tc>
        <w:tc>
          <w:tcPr>
            <w:tcW w:w="709" w:type="dxa"/>
            <w:shd w:val="clear" w:color="auto" w:fill="auto"/>
            <w:noWrap/>
          </w:tcPr>
          <w:p w14:paraId="1C82614D"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79.6</w:t>
            </w:r>
            <w:r w:rsidRPr="0058336B">
              <w:rPr>
                <w:rFonts w:ascii="Arial Narrow" w:eastAsia="MS Gothic" w:hAnsi="Arial Narrow" w:cs="Times New Roman"/>
                <w:bCs/>
                <w:sz w:val="20"/>
                <w:szCs w:val="20"/>
              </w:rPr>
              <w:t>%</w:t>
            </w:r>
          </w:p>
        </w:tc>
        <w:tc>
          <w:tcPr>
            <w:tcW w:w="709" w:type="dxa"/>
            <w:shd w:val="clear" w:color="auto" w:fill="auto"/>
            <w:noWrap/>
          </w:tcPr>
          <w:p w14:paraId="50DB993E"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79.6</w:t>
            </w:r>
            <w:r w:rsidRPr="0058336B">
              <w:rPr>
                <w:rFonts w:ascii="Arial Narrow" w:eastAsia="MS Gothic" w:hAnsi="Arial Narrow" w:cs="Times New Roman"/>
                <w:bCs/>
                <w:sz w:val="20"/>
                <w:szCs w:val="20"/>
              </w:rPr>
              <w:t>%</w:t>
            </w:r>
          </w:p>
        </w:tc>
        <w:tc>
          <w:tcPr>
            <w:tcW w:w="709" w:type="dxa"/>
            <w:shd w:val="clear" w:color="auto" w:fill="auto"/>
            <w:noWrap/>
          </w:tcPr>
          <w:p w14:paraId="1392CA4D"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79.6</w:t>
            </w:r>
            <w:r w:rsidRPr="0058336B">
              <w:rPr>
                <w:rFonts w:ascii="Arial Narrow" w:eastAsia="MS Gothic" w:hAnsi="Arial Narrow" w:cs="Times New Roman"/>
                <w:bCs/>
                <w:sz w:val="20"/>
                <w:szCs w:val="20"/>
              </w:rPr>
              <w:t>%</w:t>
            </w:r>
          </w:p>
        </w:tc>
        <w:tc>
          <w:tcPr>
            <w:tcW w:w="708" w:type="dxa"/>
            <w:shd w:val="clear" w:color="auto" w:fill="auto"/>
            <w:noWrap/>
          </w:tcPr>
          <w:p w14:paraId="0167993C"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79.6</w:t>
            </w:r>
            <w:r w:rsidRPr="0058336B">
              <w:rPr>
                <w:rFonts w:ascii="Arial Narrow" w:eastAsia="MS Gothic" w:hAnsi="Arial Narrow" w:cs="Times New Roman"/>
                <w:bCs/>
                <w:sz w:val="20"/>
                <w:szCs w:val="20"/>
              </w:rPr>
              <w:t>%</w:t>
            </w:r>
          </w:p>
        </w:tc>
        <w:tc>
          <w:tcPr>
            <w:tcW w:w="709" w:type="dxa"/>
            <w:shd w:val="clear" w:color="auto" w:fill="auto"/>
            <w:noWrap/>
          </w:tcPr>
          <w:p w14:paraId="7E6E3B2E"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79.6</w:t>
            </w:r>
            <w:r w:rsidRPr="0058336B">
              <w:rPr>
                <w:rFonts w:ascii="Arial Narrow" w:eastAsia="MS Gothic" w:hAnsi="Arial Narrow" w:cs="Times New Roman"/>
                <w:bCs/>
                <w:sz w:val="20"/>
                <w:szCs w:val="20"/>
              </w:rPr>
              <w:t>%</w:t>
            </w:r>
          </w:p>
        </w:tc>
        <w:tc>
          <w:tcPr>
            <w:tcW w:w="2126" w:type="dxa"/>
          </w:tcPr>
          <w:p w14:paraId="65E1503E" w14:textId="77777777" w:rsidR="00AD7B35" w:rsidRPr="0058336B" w:rsidRDefault="00AD7B35" w:rsidP="00AD7B35">
            <w:pPr>
              <w:keepNext/>
              <w:jc w:val="left"/>
              <w:rPr>
                <w:rFonts w:ascii="Arial Narrow" w:eastAsiaTheme="majorEastAsia" w:hAnsi="Arial Narrow" w:cstheme="majorBidi"/>
                <w:bCs/>
                <w:sz w:val="20"/>
              </w:rPr>
            </w:pPr>
            <w:r w:rsidRPr="0058336B">
              <w:rPr>
                <w:rFonts w:ascii="Arial Narrow" w:eastAsiaTheme="majorEastAsia" w:hAnsi="Arial Narrow" w:cstheme="majorBidi"/>
                <w:bCs/>
                <w:sz w:val="20"/>
              </w:rPr>
              <w:t>PROCLIPI Dataset</w:t>
            </w:r>
          </w:p>
        </w:tc>
      </w:tr>
      <w:tr w:rsidR="00AD7B35" w:rsidRPr="00AD7B35" w14:paraId="40366C92" w14:textId="77777777" w:rsidTr="007F1B4F">
        <w:trPr>
          <w:trHeight w:val="20"/>
        </w:trPr>
        <w:tc>
          <w:tcPr>
            <w:tcW w:w="704" w:type="dxa"/>
            <w:shd w:val="clear" w:color="auto" w:fill="auto"/>
          </w:tcPr>
          <w:p w14:paraId="4289990B" w14:textId="77777777" w:rsidR="00AD7B35" w:rsidRPr="0058336B" w:rsidRDefault="00AD7B35" w:rsidP="00AD7B35">
            <w:pPr>
              <w:keepNext/>
              <w:jc w:val="left"/>
              <w:rPr>
                <w:rFonts w:ascii="Arial Narrow" w:eastAsiaTheme="majorEastAsia" w:hAnsi="Arial Narrow" w:cstheme="majorBidi"/>
                <w:bCs/>
                <w:sz w:val="20"/>
                <w:szCs w:val="20"/>
              </w:rPr>
            </w:pPr>
            <w:r w:rsidRPr="0058336B">
              <w:rPr>
                <w:rFonts w:ascii="Arial Narrow" w:eastAsiaTheme="majorEastAsia" w:hAnsi="Arial Narrow" w:cstheme="majorBidi"/>
                <w:bCs/>
                <w:sz w:val="20"/>
                <w:szCs w:val="20"/>
              </w:rPr>
              <w:t>C</w:t>
            </w:r>
          </w:p>
        </w:tc>
        <w:tc>
          <w:tcPr>
            <w:tcW w:w="1985" w:type="dxa"/>
            <w:shd w:val="clear" w:color="auto" w:fill="auto"/>
          </w:tcPr>
          <w:p w14:paraId="33C10866" w14:textId="77777777" w:rsidR="00AD7B35" w:rsidRPr="0058336B" w:rsidRDefault="00AD7B35" w:rsidP="00AD7B35">
            <w:pPr>
              <w:keepNext/>
              <w:jc w:val="left"/>
              <w:rPr>
                <w:rFonts w:ascii="Arial Narrow" w:eastAsiaTheme="majorEastAsia" w:hAnsi="Arial Narrow" w:cstheme="majorBidi"/>
                <w:bCs/>
                <w:sz w:val="20"/>
              </w:rPr>
            </w:pPr>
            <w:r w:rsidRPr="0058336B">
              <w:rPr>
                <w:rFonts w:ascii="Arial Narrow" w:eastAsiaTheme="majorEastAsia" w:hAnsi="Arial Narrow" w:cstheme="majorBidi"/>
                <w:bCs/>
                <w:sz w:val="20"/>
              </w:rPr>
              <w:t>Patients with &lt;25% BSA (%)</w:t>
            </w:r>
          </w:p>
        </w:tc>
        <w:tc>
          <w:tcPr>
            <w:tcW w:w="708" w:type="dxa"/>
            <w:shd w:val="clear" w:color="auto" w:fill="auto"/>
            <w:noWrap/>
          </w:tcPr>
          <w:p w14:paraId="0F6BFCE3"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85.3%</w:t>
            </w:r>
          </w:p>
        </w:tc>
        <w:tc>
          <w:tcPr>
            <w:tcW w:w="709" w:type="dxa"/>
            <w:shd w:val="clear" w:color="auto" w:fill="auto"/>
            <w:noWrap/>
          </w:tcPr>
          <w:p w14:paraId="3CD13D0C"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85.3%</w:t>
            </w:r>
          </w:p>
        </w:tc>
        <w:tc>
          <w:tcPr>
            <w:tcW w:w="709" w:type="dxa"/>
            <w:shd w:val="clear" w:color="auto" w:fill="auto"/>
            <w:noWrap/>
          </w:tcPr>
          <w:p w14:paraId="421FD21F"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85.3%</w:t>
            </w:r>
          </w:p>
        </w:tc>
        <w:tc>
          <w:tcPr>
            <w:tcW w:w="709" w:type="dxa"/>
            <w:shd w:val="clear" w:color="auto" w:fill="auto"/>
            <w:noWrap/>
          </w:tcPr>
          <w:p w14:paraId="59CCC427"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85.3%</w:t>
            </w:r>
          </w:p>
        </w:tc>
        <w:tc>
          <w:tcPr>
            <w:tcW w:w="708" w:type="dxa"/>
            <w:shd w:val="clear" w:color="auto" w:fill="auto"/>
            <w:noWrap/>
          </w:tcPr>
          <w:p w14:paraId="1F8E04A8"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85.3%</w:t>
            </w:r>
          </w:p>
        </w:tc>
        <w:tc>
          <w:tcPr>
            <w:tcW w:w="709" w:type="dxa"/>
            <w:shd w:val="clear" w:color="auto" w:fill="auto"/>
            <w:noWrap/>
          </w:tcPr>
          <w:p w14:paraId="26555782"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85.3%</w:t>
            </w:r>
          </w:p>
        </w:tc>
        <w:tc>
          <w:tcPr>
            <w:tcW w:w="2126" w:type="dxa"/>
          </w:tcPr>
          <w:p w14:paraId="330ACBBA" w14:textId="77777777" w:rsidR="00AD7B35" w:rsidRPr="0058336B" w:rsidRDefault="00AD7B35" w:rsidP="00AD7B35">
            <w:pPr>
              <w:keepNext/>
              <w:jc w:val="left"/>
              <w:rPr>
                <w:rFonts w:ascii="Arial Narrow" w:eastAsiaTheme="majorEastAsia" w:hAnsi="Arial Narrow" w:cstheme="majorBidi"/>
                <w:bCs/>
                <w:sz w:val="20"/>
              </w:rPr>
            </w:pPr>
            <w:r w:rsidRPr="0058336B">
              <w:rPr>
                <w:rFonts w:ascii="Arial Narrow" w:eastAsiaTheme="majorEastAsia" w:hAnsi="Arial Narrow" w:cstheme="majorBidi"/>
                <w:bCs/>
                <w:sz w:val="20"/>
              </w:rPr>
              <w:t>Study 201</w:t>
            </w:r>
          </w:p>
        </w:tc>
      </w:tr>
      <w:tr w:rsidR="00AD7B35" w:rsidRPr="00AD7B35" w14:paraId="6370B0B8" w14:textId="77777777" w:rsidTr="007F1B4F">
        <w:trPr>
          <w:trHeight w:val="20"/>
        </w:trPr>
        <w:tc>
          <w:tcPr>
            <w:tcW w:w="704" w:type="dxa"/>
            <w:shd w:val="clear" w:color="auto" w:fill="auto"/>
          </w:tcPr>
          <w:p w14:paraId="02EFFA41" w14:textId="77777777" w:rsidR="00AD7B35" w:rsidRPr="0058336B" w:rsidRDefault="00AD7B35" w:rsidP="00AD7B35">
            <w:pPr>
              <w:keepNext/>
              <w:jc w:val="left"/>
              <w:rPr>
                <w:rFonts w:ascii="Arial Narrow" w:eastAsiaTheme="majorEastAsia" w:hAnsi="Arial Narrow" w:cstheme="majorBidi"/>
                <w:bCs/>
                <w:sz w:val="20"/>
                <w:szCs w:val="20"/>
              </w:rPr>
            </w:pPr>
            <w:r w:rsidRPr="0058336B">
              <w:rPr>
                <w:rFonts w:ascii="Arial Narrow" w:eastAsiaTheme="majorEastAsia" w:hAnsi="Arial Narrow" w:cstheme="majorBidi"/>
                <w:bCs/>
                <w:sz w:val="20"/>
                <w:szCs w:val="20"/>
              </w:rPr>
              <w:t>D</w:t>
            </w:r>
          </w:p>
        </w:tc>
        <w:tc>
          <w:tcPr>
            <w:tcW w:w="1985" w:type="dxa"/>
            <w:shd w:val="clear" w:color="auto" w:fill="auto"/>
          </w:tcPr>
          <w:p w14:paraId="4B604197" w14:textId="77777777" w:rsidR="00AD7B35" w:rsidRPr="0058336B" w:rsidRDefault="00AD7B35" w:rsidP="00AD7B35">
            <w:pPr>
              <w:keepNext/>
              <w:jc w:val="left"/>
              <w:rPr>
                <w:rFonts w:ascii="Arial Narrow" w:eastAsiaTheme="majorEastAsia" w:hAnsi="Arial Narrow" w:cstheme="majorBidi"/>
                <w:bCs/>
                <w:sz w:val="20"/>
                <w:vertAlign w:val="superscript"/>
              </w:rPr>
            </w:pPr>
            <w:r w:rsidRPr="0058336B">
              <w:rPr>
                <w:rFonts w:ascii="Arial Narrow" w:eastAsiaTheme="majorEastAsia" w:hAnsi="Arial Narrow" w:cstheme="majorBidi"/>
                <w:bCs/>
                <w:sz w:val="20"/>
              </w:rPr>
              <w:t>Patients receiving skin directed monotherapy (%)</w:t>
            </w:r>
          </w:p>
        </w:tc>
        <w:tc>
          <w:tcPr>
            <w:tcW w:w="708" w:type="dxa"/>
            <w:shd w:val="clear" w:color="auto" w:fill="auto"/>
            <w:noWrap/>
          </w:tcPr>
          <w:p w14:paraId="46C11D9E"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55.8%</w:t>
            </w:r>
          </w:p>
        </w:tc>
        <w:tc>
          <w:tcPr>
            <w:tcW w:w="709" w:type="dxa"/>
            <w:shd w:val="clear" w:color="auto" w:fill="auto"/>
            <w:noWrap/>
          </w:tcPr>
          <w:p w14:paraId="799A061E"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55.8%</w:t>
            </w:r>
          </w:p>
        </w:tc>
        <w:tc>
          <w:tcPr>
            <w:tcW w:w="709" w:type="dxa"/>
            <w:shd w:val="clear" w:color="auto" w:fill="auto"/>
            <w:noWrap/>
          </w:tcPr>
          <w:p w14:paraId="24E9B74B"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55.8%</w:t>
            </w:r>
          </w:p>
        </w:tc>
        <w:tc>
          <w:tcPr>
            <w:tcW w:w="709" w:type="dxa"/>
            <w:shd w:val="clear" w:color="auto" w:fill="auto"/>
            <w:noWrap/>
          </w:tcPr>
          <w:p w14:paraId="35297E9B"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55.8%</w:t>
            </w:r>
          </w:p>
        </w:tc>
        <w:tc>
          <w:tcPr>
            <w:tcW w:w="708" w:type="dxa"/>
            <w:shd w:val="clear" w:color="auto" w:fill="auto"/>
            <w:noWrap/>
          </w:tcPr>
          <w:p w14:paraId="13EAC94B"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55.8%</w:t>
            </w:r>
          </w:p>
        </w:tc>
        <w:tc>
          <w:tcPr>
            <w:tcW w:w="709" w:type="dxa"/>
            <w:shd w:val="clear" w:color="auto" w:fill="auto"/>
            <w:noWrap/>
          </w:tcPr>
          <w:p w14:paraId="3138F293"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55.8%</w:t>
            </w:r>
          </w:p>
        </w:tc>
        <w:tc>
          <w:tcPr>
            <w:tcW w:w="2126" w:type="dxa"/>
          </w:tcPr>
          <w:p w14:paraId="70BED14F" w14:textId="77777777" w:rsidR="00AD7B35" w:rsidRPr="0058336B" w:rsidRDefault="00AD7B35" w:rsidP="00AD7B35">
            <w:pPr>
              <w:keepNext/>
              <w:jc w:val="left"/>
              <w:rPr>
                <w:rFonts w:ascii="Arial Narrow" w:eastAsiaTheme="majorEastAsia" w:hAnsi="Arial Narrow" w:cstheme="majorBidi"/>
                <w:bCs/>
                <w:sz w:val="20"/>
              </w:rPr>
            </w:pPr>
            <w:r w:rsidRPr="0058336B">
              <w:rPr>
                <w:rFonts w:ascii="Arial Narrow" w:eastAsiaTheme="majorEastAsia" w:hAnsi="Arial Narrow" w:cstheme="majorBidi"/>
                <w:bCs/>
                <w:sz w:val="20"/>
              </w:rPr>
              <w:t>D'Agostino et. al. 2019</w:t>
            </w:r>
            <w:r w:rsidRPr="0058336B">
              <w:rPr>
                <w:rFonts w:ascii="Arial Narrow" w:eastAsiaTheme="majorEastAsia" w:hAnsi="Arial Narrow" w:cstheme="majorBidi"/>
                <w:bCs/>
                <w:sz w:val="20"/>
                <w:vertAlign w:val="superscript"/>
              </w:rPr>
              <w:t xml:space="preserve"> a, b</w:t>
            </w:r>
          </w:p>
        </w:tc>
      </w:tr>
      <w:tr w:rsidR="00AD7B35" w:rsidRPr="00AD7B35" w14:paraId="28A20E55" w14:textId="77777777" w:rsidTr="007F1B4F">
        <w:trPr>
          <w:trHeight w:val="20"/>
        </w:trPr>
        <w:tc>
          <w:tcPr>
            <w:tcW w:w="704" w:type="dxa"/>
            <w:shd w:val="clear" w:color="auto" w:fill="auto"/>
          </w:tcPr>
          <w:p w14:paraId="753867C5" w14:textId="77777777" w:rsidR="00AD7B35" w:rsidRPr="0058336B" w:rsidRDefault="00AD7B35" w:rsidP="00AD7B35">
            <w:pPr>
              <w:keepNext/>
              <w:jc w:val="left"/>
              <w:rPr>
                <w:rFonts w:ascii="Arial Narrow" w:eastAsiaTheme="majorEastAsia" w:hAnsi="Arial Narrow" w:cstheme="majorBidi"/>
                <w:bCs/>
                <w:sz w:val="20"/>
                <w:szCs w:val="20"/>
              </w:rPr>
            </w:pPr>
            <w:r w:rsidRPr="0058336B">
              <w:rPr>
                <w:rFonts w:ascii="Arial Narrow" w:eastAsiaTheme="majorEastAsia" w:hAnsi="Arial Narrow" w:cstheme="majorBidi"/>
                <w:bCs/>
                <w:sz w:val="20"/>
                <w:szCs w:val="20"/>
              </w:rPr>
              <w:t>E</w:t>
            </w:r>
          </w:p>
        </w:tc>
        <w:tc>
          <w:tcPr>
            <w:tcW w:w="1985" w:type="dxa"/>
            <w:shd w:val="clear" w:color="auto" w:fill="auto"/>
          </w:tcPr>
          <w:p w14:paraId="0FF1E41C" w14:textId="77777777" w:rsidR="00AD7B35" w:rsidRPr="0058336B" w:rsidRDefault="00AD7B35" w:rsidP="00AD7B35">
            <w:pPr>
              <w:keepNext/>
              <w:jc w:val="left"/>
              <w:rPr>
                <w:rFonts w:ascii="Arial Narrow" w:eastAsiaTheme="majorEastAsia" w:hAnsi="Arial Narrow" w:cstheme="majorBidi"/>
                <w:bCs/>
                <w:sz w:val="20"/>
              </w:rPr>
            </w:pPr>
            <w:r w:rsidRPr="0058336B">
              <w:rPr>
                <w:rFonts w:ascii="Arial Narrow" w:eastAsiaTheme="majorEastAsia" w:hAnsi="Arial Narrow" w:cstheme="majorBidi"/>
                <w:bCs/>
                <w:sz w:val="20"/>
              </w:rPr>
              <w:t>Patients who failed topical corticosteroids (%)</w:t>
            </w:r>
          </w:p>
        </w:tc>
        <w:tc>
          <w:tcPr>
            <w:tcW w:w="708" w:type="dxa"/>
            <w:shd w:val="clear" w:color="auto" w:fill="auto"/>
            <w:noWrap/>
          </w:tcPr>
          <w:p w14:paraId="4DC8BD3E"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50.7%</w:t>
            </w:r>
          </w:p>
        </w:tc>
        <w:tc>
          <w:tcPr>
            <w:tcW w:w="709" w:type="dxa"/>
            <w:shd w:val="clear" w:color="auto" w:fill="auto"/>
            <w:noWrap/>
          </w:tcPr>
          <w:p w14:paraId="2910E0C5"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50.7%</w:t>
            </w:r>
          </w:p>
        </w:tc>
        <w:tc>
          <w:tcPr>
            <w:tcW w:w="709" w:type="dxa"/>
            <w:shd w:val="clear" w:color="auto" w:fill="auto"/>
            <w:noWrap/>
          </w:tcPr>
          <w:p w14:paraId="078BB8F7"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50.7%</w:t>
            </w:r>
          </w:p>
        </w:tc>
        <w:tc>
          <w:tcPr>
            <w:tcW w:w="709" w:type="dxa"/>
            <w:shd w:val="clear" w:color="auto" w:fill="auto"/>
            <w:noWrap/>
          </w:tcPr>
          <w:p w14:paraId="16439594"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50.7%</w:t>
            </w:r>
          </w:p>
        </w:tc>
        <w:tc>
          <w:tcPr>
            <w:tcW w:w="708" w:type="dxa"/>
            <w:shd w:val="clear" w:color="auto" w:fill="auto"/>
            <w:noWrap/>
          </w:tcPr>
          <w:p w14:paraId="39CE0AEF"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50.7%</w:t>
            </w:r>
          </w:p>
        </w:tc>
        <w:tc>
          <w:tcPr>
            <w:tcW w:w="709" w:type="dxa"/>
            <w:shd w:val="clear" w:color="auto" w:fill="auto"/>
            <w:noWrap/>
          </w:tcPr>
          <w:p w14:paraId="30864732"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50.7%</w:t>
            </w:r>
          </w:p>
        </w:tc>
        <w:tc>
          <w:tcPr>
            <w:tcW w:w="2126" w:type="dxa"/>
          </w:tcPr>
          <w:p w14:paraId="2A6610DF" w14:textId="77777777" w:rsidR="00AD7B35" w:rsidRPr="0058336B" w:rsidRDefault="00AD7B35" w:rsidP="00AD7B35">
            <w:pPr>
              <w:keepNext/>
              <w:jc w:val="left"/>
              <w:rPr>
                <w:rFonts w:ascii="Arial Narrow" w:eastAsiaTheme="majorEastAsia" w:hAnsi="Arial Narrow" w:cstheme="majorBidi"/>
                <w:bCs/>
                <w:sz w:val="20"/>
              </w:rPr>
            </w:pPr>
            <w:r w:rsidRPr="0058336B">
              <w:rPr>
                <w:rFonts w:ascii="Arial Narrow" w:eastAsiaTheme="majorEastAsia" w:hAnsi="Arial Narrow" w:cstheme="majorBidi"/>
                <w:bCs/>
                <w:sz w:val="20"/>
              </w:rPr>
              <w:t xml:space="preserve">Figure 1-4, p 49 of the </w:t>
            </w:r>
            <w:proofErr w:type="spellStart"/>
            <w:r w:rsidRPr="0058336B">
              <w:rPr>
                <w:rFonts w:ascii="Arial Narrow" w:eastAsiaTheme="majorEastAsia" w:hAnsi="Arial Narrow" w:cstheme="majorBidi"/>
                <w:bCs/>
                <w:sz w:val="20"/>
              </w:rPr>
              <w:t>submission</w:t>
            </w:r>
            <w:r w:rsidRPr="0058336B">
              <w:rPr>
                <w:rFonts w:ascii="Arial Narrow" w:eastAsiaTheme="majorEastAsia" w:hAnsi="Arial Narrow" w:cstheme="majorBidi"/>
                <w:bCs/>
                <w:sz w:val="20"/>
                <w:vertAlign w:val="superscript"/>
              </w:rPr>
              <w:t>a</w:t>
            </w:r>
            <w:proofErr w:type="spellEnd"/>
          </w:p>
        </w:tc>
      </w:tr>
      <w:tr w:rsidR="00AD7B35" w:rsidRPr="00AD7B35" w14:paraId="5C04E090" w14:textId="77777777" w:rsidTr="007F1B4F">
        <w:trPr>
          <w:trHeight w:val="20"/>
        </w:trPr>
        <w:tc>
          <w:tcPr>
            <w:tcW w:w="704" w:type="dxa"/>
            <w:shd w:val="clear" w:color="auto" w:fill="auto"/>
          </w:tcPr>
          <w:p w14:paraId="6C0CAC1E" w14:textId="77777777" w:rsidR="00AD7B35" w:rsidRPr="0058336B" w:rsidRDefault="00AD7B35" w:rsidP="00AD7B35">
            <w:pPr>
              <w:keepNext/>
              <w:jc w:val="left"/>
              <w:rPr>
                <w:rFonts w:ascii="Arial Narrow" w:eastAsiaTheme="majorEastAsia" w:hAnsi="Arial Narrow" w:cstheme="majorBidi"/>
                <w:bCs/>
                <w:sz w:val="20"/>
                <w:szCs w:val="20"/>
              </w:rPr>
            </w:pPr>
            <w:r w:rsidRPr="0058336B">
              <w:rPr>
                <w:rFonts w:ascii="Arial Narrow" w:eastAsiaTheme="majorEastAsia" w:hAnsi="Arial Narrow" w:cstheme="majorBidi"/>
                <w:bCs/>
                <w:sz w:val="20"/>
                <w:szCs w:val="20"/>
              </w:rPr>
              <w:t>F</w:t>
            </w:r>
            <w:r w:rsidRPr="0058336B">
              <w:rPr>
                <w:rFonts w:ascii="Arial Narrow" w:eastAsiaTheme="majorEastAsia" w:hAnsi="Arial Narrow" w:cstheme="majorBidi"/>
                <w:bCs/>
                <w:sz w:val="14"/>
                <w:szCs w:val="14"/>
              </w:rPr>
              <w:t xml:space="preserve"> = </w:t>
            </w:r>
            <w:r w:rsidRPr="0058336B">
              <w:rPr>
                <w:rFonts w:ascii="Arial Narrow" w:eastAsiaTheme="majorEastAsia" w:hAnsi="Arial Narrow" w:cstheme="majorBidi"/>
                <w:bCs/>
                <w:sz w:val="18"/>
                <w:szCs w:val="18"/>
              </w:rPr>
              <w:t>A*B*C*D*E</w:t>
            </w:r>
          </w:p>
        </w:tc>
        <w:tc>
          <w:tcPr>
            <w:tcW w:w="1985" w:type="dxa"/>
            <w:shd w:val="clear" w:color="auto" w:fill="auto"/>
          </w:tcPr>
          <w:p w14:paraId="3D33E18D" w14:textId="77777777" w:rsidR="00AD7B35" w:rsidRPr="0058336B" w:rsidRDefault="00AD7B35" w:rsidP="00AD7B35">
            <w:pPr>
              <w:keepNext/>
              <w:jc w:val="left"/>
              <w:rPr>
                <w:rFonts w:ascii="Arial Narrow" w:eastAsiaTheme="majorEastAsia" w:hAnsi="Arial Narrow" w:cstheme="majorBidi"/>
                <w:bCs/>
                <w:sz w:val="20"/>
              </w:rPr>
            </w:pPr>
            <w:r w:rsidRPr="0058336B">
              <w:rPr>
                <w:rFonts w:ascii="Arial Narrow" w:eastAsiaTheme="majorEastAsia" w:hAnsi="Arial Narrow" w:cstheme="majorBidi"/>
                <w:b/>
                <w:bCs/>
                <w:sz w:val="20"/>
              </w:rPr>
              <w:t xml:space="preserve">Eligible patients </w:t>
            </w:r>
          </w:p>
        </w:tc>
        <w:tc>
          <w:tcPr>
            <w:tcW w:w="708" w:type="dxa"/>
            <w:shd w:val="clear" w:color="auto" w:fill="auto"/>
            <w:noWrap/>
          </w:tcPr>
          <w:p w14:paraId="0A60B25F" w14:textId="297C66B6"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0"/>
                <w:sz w:val="20"/>
                <w:shd w:val="solid" w:color="000000" w:fill="000000"/>
                <w:fitText w:val="266" w:id="-1236603633"/>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66" w:id="-1236603633"/>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709" w:type="dxa"/>
            <w:shd w:val="clear" w:color="auto" w:fill="auto"/>
            <w:noWrap/>
          </w:tcPr>
          <w:p w14:paraId="3AA79950" w14:textId="52B0330B"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0"/>
                <w:sz w:val="20"/>
                <w:shd w:val="solid" w:color="000000" w:fill="000000"/>
                <w:fitText w:val="266" w:id="-1236603648"/>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66" w:id="-1236603648"/>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709" w:type="dxa"/>
            <w:shd w:val="clear" w:color="auto" w:fill="auto"/>
            <w:noWrap/>
          </w:tcPr>
          <w:p w14:paraId="4AB171BF" w14:textId="6FF2A878"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1"/>
                <w:sz w:val="20"/>
                <w:shd w:val="solid" w:color="000000" w:fill="000000"/>
                <w:fitText w:val="267" w:id="-1236603646"/>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67" w:id="-1236603646"/>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709" w:type="dxa"/>
            <w:shd w:val="clear" w:color="auto" w:fill="auto"/>
            <w:noWrap/>
          </w:tcPr>
          <w:p w14:paraId="14658481" w14:textId="203ACBD4"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9"/>
                <w:sz w:val="20"/>
                <w:shd w:val="solid" w:color="000000" w:fill="000000"/>
                <w:fitText w:val="275" w:id="-1236603644"/>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75" w:id="-1236603644"/>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708" w:type="dxa"/>
            <w:shd w:val="clear" w:color="auto" w:fill="auto"/>
            <w:noWrap/>
          </w:tcPr>
          <w:p w14:paraId="159913B8" w14:textId="7AF94B65"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9"/>
                <w:sz w:val="20"/>
                <w:shd w:val="solid" w:color="000000" w:fill="000000"/>
                <w:fitText w:val="275" w:id="-1236603642"/>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75" w:id="-1236603642"/>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709" w:type="dxa"/>
            <w:shd w:val="clear" w:color="auto" w:fill="auto"/>
            <w:noWrap/>
          </w:tcPr>
          <w:p w14:paraId="2C963EEE" w14:textId="37A79910"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8"/>
                <w:sz w:val="20"/>
                <w:shd w:val="solid" w:color="000000" w:fill="000000"/>
                <w:fitText w:val="274" w:id="-1236603640"/>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74" w:id="-1236603640"/>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2126" w:type="dxa"/>
          </w:tcPr>
          <w:p w14:paraId="1AF8F612" w14:textId="77777777" w:rsidR="00AD7B35" w:rsidRPr="0058336B" w:rsidRDefault="00AD7B35" w:rsidP="00AD7B35">
            <w:pPr>
              <w:keepNext/>
              <w:jc w:val="left"/>
              <w:rPr>
                <w:rFonts w:ascii="Arial Narrow" w:eastAsiaTheme="majorEastAsia" w:hAnsi="Arial Narrow" w:cstheme="majorBidi"/>
                <w:bCs/>
                <w:sz w:val="20"/>
              </w:rPr>
            </w:pPr>
          </w:p>
        </w:tc>
      </w:tr>
      <w:tr w:rsidR="00AD7B35" w:rsidRPr="00AD7B35" w14:paraId="29553A40" w14:textId="77777777" w:rsidTr="007F1B4F">
        <w:trPr>
          <w:trHeight w:val="20"/>
        </w:trPr>
        <w:tc>
          <w:tcPr>
            <w:tcW w:w="704" w:type="dxa"/>
            <w:shd w:val="clear" w:color="auto" w:fill="auto"/>
          </w:tcPr>
          <w:p w14:paraId="4227CDDA" w14:textId="77777777" w:rsidR="00AD7B35" w:rsidRPr="0058336B" w:rsidRDefault="00AD7B35" w:rsidP="00AD7B35">
            <w:pPr>
              <w:keepNext/>
              <w:jc w:val="left"/>
              <w:rPr>
                <w:rFonts w:ascii="Arial Narrow" w:eastAsiaTheme="majorEastAsia" w:hAnsi="Arial Narrow" w:cstheme="majorBidi"/>
                <w:bCs/>
                <w:sz w:val="20"/>
                <w:szCs w:val="20"/>
                <w:vertAlign w:val="subscript"/>
              </w:rPr>
            </w:pPr>
            <w:r w:rsidRPr="0058336B">
              <w:rPr>
                <w:rFonts w:ascii="Arial Narrow" w:eastAsiaTheme="majorEastAsia" w:hAnsi="Arial Narrow" w:cstheme="majorBidi"/>
                <w:bCs/>
                <w:sz w:val="20"/>
                <w:szCs w:val="20"/>
              </w:rPr>
              <w:t>G</w:t>
            </w:r>
          </w:p>
        </w:tc>
        <w:tc>
          <w:tcPr>
            <w:tcW w:w="1985" w:type="dxa"/>
            <w:shd w:val="clear" w:color="auto" w:fill="auto"/>
          </w:tcPr>
          <w:p w14:paraId="0C11005C" w14:textId="77777777" w:rsidR="00AD7B35" w:rsidRPr="0058336B" w:rsidRDefault="00AD7B35" w:rsidP="00AD7B35">
            <w:pPr>
              <w:keepNext/>
              <w:jc w:val="left"/>
              <w:rPr>
                <w:rFonts w:ascii="Arial Narrow" w:eastAsiaTheme="majorEastAsia" w:hAnsi="Arial Narrow" w:cstheme="majorBidi"/>
                <w:b/>
                <w:bCs/>
                <w:sz w:val="20"/>
              </w:rPr>
            </w:pPr>
            <w:r w:rsidRPr="0058336B">
              <w:rPr>
                <w:rFonts w:ascii="Arial Narrow" w:eastAsia="MS Gothic" w:hAnsi="Arial Narrow" w:cs="Times New Roman"/>
                <w:b/>
                <w:bCs/>
                <w:sz w:val="20"/>
              </w:rPr>
              <w:t>Carry-over from prior year</w:t>
            </w:r>
          </w:p>
        </w:tc>
        <w:tc>
          <w:tcPr>
            <w:tcW w:w="708" w:type="dxa"/>
            <w:shd w:val="clear" w:color="auto" w:fill="auto"/>
            <w:noWrap/>
          </w:tcPr>
          <w:p w14:paraId="03478CF0" w14:textId="77777777" w:rsidR="00AD7B35" w:rsidRPr="0058336B" w:rsidRDefault="00AD7B35" w:rsidP="00AD7B35">
            <w:pPr>
              <w:keepNext/>
              <w:jc w:val="center"/>
              <w:rPr>
                <w:rFonts w:ascii="Arial Narrow" w:eastAsiaTheme="majorEastAsia" w:hAnsi="Arial Narrow" w:cstheme="majorBidi"/>
                <w:bCs/>
                <w:sz w:val="20"/>
              </w:rPr>
            </w:pPr>
            <w:r w:rsidRPr="0058336B">
              <w:rPr>
                <w:rFonts w:ascii="Arial Narrow" w:eastAsia="MS Gothic" w:hAnsi="Arial Narrow" w:cs="Times New Roman"/>
                <w:bCs/>
                <w:sz w:val="20"/>
              </w:rPr>
              <w:t>-</w:t>
            </w:r>
          </w:p>
        </w:tc>
        <w:tc>
          <w:tcPr>
            <w:tcW w:w="709" w:type="dxa"/>
            <w:shd w:val="clear" w:color="auto" w:fill="auto"/>
            <w:noWrap/>
          </w:tcPr>
          <w:p w14:paraId="6AF6798C" w14:textId="77E5EE10"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0"/>
                <w:sz w:val="20"/>
                <w:shd w:val="solid" w:color="000000" w:fill="000000"/>
                <w:fitText w:val="266" w:id="-1236603638"/>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66" w:id="-1236603638"/>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709" w:type="dxa"/>
            <w:shd w:val="clear" w:color="auto" w:fill="auto"/>
            <w:noWrap/>
          </w:tcPr>
          <w:p w14:paraId="0CA1F011" w14:textId="7D1B77D3"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1"/>
                <w:sz w:val="20"/>
                <w:shd w:val="solid" w:color="000000" w:fill="000000"/>
                <w:fitText w:val="267" w:id="-1236603636"/>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67" w:id="-1236603636"/>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709" w:type="dxa"/>
            <w:shd w:val="clear" w:color="auto" w:fill="auto"/>
            <w:noWrap/>
          </w:tcPr>
          <w:p w14:paraId="3B837E7D" w14:textId="4CC6F787"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9"/>
                <w:sz w:val="20"/>
                <w:shd w:val="solid" w:color="000000" w:fill="000000"/>
                <w:fitText w:val="275" w:id="-1236603634"/>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75" w:id="-1236603634"/>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708" w:type="dxa"/>
            <w:shd w:val="clear" w:color="auto" w:fill="auto"/>
            <w:noWrap/>
          </w:tcPr>
          <w:p w14:paraId="3E9851BC" w14:textId="0980BE8B"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9"/>
                <w:sz w:val="20"/>
                <w:shd w:val="solid" w:color="000000" w:fill="000000"/>
                <w:fitText w:val="275" w:id="-1236603632"/>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75" w:id="-1236603632"/>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709" w:type="dxa"/>
            <w:shd w:val="clear" w:color="auto" w:fill="auto"/>
            <w:noWrap/>
          </w:tcPr>
          <w:p w14:paraId="74846858" w14:textId="361DA2E4"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8"/>
                <w:sz w:val="20"/>
                <w:shd w:val="solid" w:color="000000" w:fill="000000"/>
                <w:fitText w:val="274" w:id="-1236603647"/>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74" w:id="-1236603647"/>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2126" w:type="dxa"/>
          </w:tcPr>
          <w:p w14:paraId="16A3EA03" w14:textId="77777777" w:rsidR="00AD7B35" w:rsidRPr="0058336B" w:rsidRDefault="00AD7B35" w:rsidP="00AD7B35">
            <w:pPr>
              <w:keepNext/>
              <w:jc w:val="left"/>
              <w:rPr>
                <w:rFonts w:ascii="Arial Narrow" w:eastAsiaTheme="majorEastAsia" w:hAnsi="Arial Narrow" w:cstheme="majorBidi"/>
                <w:bCs/>
                <w:sz w:val="20"/>
                <w:vertAlign w:val="subscript"/>
              </w:rPr>
            </w:pPr>
            <w:r w:rsidRPr="0058336B">
              <w:rPr>
                <w:rFonts w:ascii="Arial Narrow" w:eastAsia="MS Gothic" w:hAnsi="Arial Narrow" w:cs="Times New Roman"/>
                <w:bCs/>
                <w:sz w:val="20"/>
              </w:rPr>
              <w:t xml:space="preserve">Assumed carry-over of eligible patients from prior </w:t>
            </w:r>
            <w:proofErr w:type="spellStart"/>
            <w:r w:rsidRPr="0058336B">
              <w:rPr>
                <w:rFonts w:ascii="Arial Narrow" w:eastAsia="MS Gothic" w:hAnsi="Arial Narrow" w:cs="Times New Roman"/>
                <w:bCs/>
                <w:sz w:val="20"/>
              </w:rPr>
              <w:t>year</w:t>
            </w:r>
            <w:r w:rsidRPr="0058336B">
              <w:rPr>
                <w:rFonts w:ascii="Arial Narrow" w:eastAsia="MS Gothic" w:hAnsi="Arial Narrow" w:cs="Times New Roman"/>
                <w:bCs/>
                <w:sz w:val="20"/>
                <w:vertAlign w:val="superscript"/>
              </w:rPr>
              <w:t>c</w:t>
            </w:r>
            <w:proofErr w:type="spellEnd"/>
          </w:p>
        </w:tc>
      </w:tr>
      <w:tr w:rsidR="00AD7B35" w:rsidRPr="00AD7B35" w14:paraId="3D2D4B8E" w14:textId="77777777" w:rsidTr="007F1B4F">
        <w:trPr>
          <w:trHeight w:val="20"/>
        </w:trPr>
        <w:tc>
          <w:tcPr>
            <w:tcW w:w="704" w:type="dxa"/>
            <w:shd w:val="clear" w:color="auto" w:fill="auto"/>
          </w:tcPr>
          <w:p w14:paraId="45A875D4" w14:textId="77777777" w:rsidR="00AD7B35" w:rsidRPr="0058336B" w:rsidRDefault="00AD7B35" w:rsidP="00AD7B35">
            <w:pPr>
              <w:keepNext/>
              <w:jc w:val="left"/>
              <w:rPr>
                <w:rFonts w:ascii="Arial Narrow" w:eastAsiaTheme="majorEastAsia" w:hAnsi="Arial Narrow" w:cstheme="majorBidi"/>
                <w:bCs/>
                <w:sz w:val="20"/>
                <w:szCs w:val="20"/>
              </w:rPr>
            </w:pPr>
            <w:r w:rsidRPr="0058336B">
              <w:rPr>
                <w:rFonts w:ascii="Arial Narrow" w:eastAsiaTheme="majorEastAsia" w:hAnsi="Arial Narrow" w:cstheme="majorBidi"/>
                <w:bCs/>
                <w:sz w:val="20"/>
                <w:szCs w:val="20"/>
              </w:rPr>
              <w:t>H</w:t>
            </w:r>
          </w:p>
        </w:tc>
        <w:tc>
          <w:tcPr>
            <w:tcW w:w="1985" w:type="dxa"/>
            <w:shd w:val="clear" w:color="auto" w:fill="auto"/>
          </w:tcPr>
          <w:p w14:paraId="6ABD11EA" w14:textId="77777777" w:rsidR="00AD7B35" w:rsidRPr="0058336B" w:rsidRDefault="00AD7B35" w:rsidP="00AD7B35">
            <w:pPr>
              <w:keepNext/>
              <w:jc w:val="left"/>
              <w:rPr>
                <w:rFonts w:ascii="Arial Narrow" w:eastAsiaTheme="majorEastAsia" w:hAnsi="Arial Narrow" w:cstheme="majorBidi"/>
                <w:bCs/>
                <w:sz w:val="20"/>
              </w:rPr>
            </w:pPr>
            <w:r w:rsidRPr="0058336B">
              <w:rPr>
                <w:rFonts w:ascii="Arial Narrow" w:eastAsiaTheme="majorEastAsia" w:hAnsi="Arial Narrow" w:cstheme="majorBidi"/>
                <w:bCs/>
                <w:sz w:val="20"/>
              </w:rPr>
              <w:t>Uptake rate</w:t>
            </w:r>
          </w:p>
        </w:tc>
        <w:tc>
          <w:tcPr>
            <w:tcW w:w="708" w:type="dxa"/>
            <w:shd w:val="clear" w:color="auto" w:fill="auto"/>
            <w:noWrap/>
          </w:tcPr>
          <w:p w14:paraId="72653E48" w14:textId="71460DDD" w:rsidR="00AD7B35" w:rsidRPr="00097797" w:rsidRDefault="001247F0" w:rsidP="00AD7B35">
            <w:pPr>
              <w:keepNext/>
              <w:jc w:val="center"/>
              <w:rPr>
                <w:rFonts w:ascii="Arial Narrow" w:eastAsiaTheme="majorEastAsia" w:hAnsi="Arial Narrow" w:cstheme="majorBidi"/>
                <w:bCs/>
                <w:sz w:val="20"/>
                <w:highlight w:val="yellow"/>
              </w:rPr>
            </w:pPr>
            <w:r w:rsidRPr="001247F0">
              <w:rPr>
                <w:rFonts w:ascii="Arial Narrow" w:eastAsia="MS Gothic" w:hAnsi="Arial Narrow" w:cs="Times New Roman"/>
                <w:bCs/>
                <w:color w:val="000000"/>
                <w:spacing w:val="180"/>
                <w:sz w:val="20"/>
                <w:shd w:val="solid" w:color="000000" w:fill="000000"/>
                <w:fitText w:val="266" w:id="-1236603645"/>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66" w:id="-1236603645"/>
                <w14:textFill>
                  <w14:solidFill>
                    <w14:srgbClr w14:val="000000">
                      <w14:alpha w14:val="100000"/>
                    </w14:srgbClr>
                  </w14:solidFill>
                </w14:textFill>
              </w:rPr>
              <w:t>|</w:t>
            </w:r>
            <w:r w:rsidR="00AD7B35" w:rsidRPr="00200E03">
              <w:rPr>
                <w:rFonts w:ascii="Arial Narrow" w:eastAsia="MS Gothic" w:hAnsi="Arial Narrow" w:cs="Times New Roman"/>
                <w:bCs/>
                <w:sz w:val="20"/>
              </w:rPr>
              <w:t>%</w:t>
            </w:r>
          </w:p>
        </w:tc>
        <w:tc>
          <w:tcPr>
            <w:tcW w:w="709" w:type="dxa"/>
            <w:shd w:val="clear" w:color="auto" w:fill="auto"/>
            <w:noWrap/>
          </w:tcPr>
          <w:p w14:paraId="31134F29" w14:textId="51FB1F84" w:rsidR="00AD7B35" w:rsidRPr="00097797" w:rsidRDefault="001247F0" w:rsidP="00AD7B35">
            <w:pPr>
              <w:keepNext/>
              <w:jc w:val="center"/>
              <w:rPr>
                <w:rFonts w:ascii="Arial Narrow" w:eastAsiaTheme="majorEastAsia" w:hAnsi="Arial Narrow" w:cstheme="majorBidi"/>
                <w:bCs/>
                <w:sz w:val="20"/>
                <w:highlight w:val="yellow"/>
              </w:rPr>
            </w:pPr>
            <w:r w:rsidRPr="001247F0">
              <w:rPr>
                <w:rFonts w:ascii="Arial Narrow" w:eastAsia="MS Gothic" w:hAnsi="Arial Narrow" w:cs="Times New Roman"/>
                <w:bCs/>
                <w:color w:val="000000"/>
                <w:spacing w:val="180"/>
                <w:sz w:val="20"/>
                <w:shd w:val="solid" w:color="000000" w:fill="000000"/>
                <w:fitText w:val="266" w:id="-1236603643"/>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66" w:id="-1236603643"/>
                <w14:textFill>
                  <w14:solidFill>
                    <w14:srgbClr w14:val="000000">
                      <w14:alpha w14:val="100000"/>
                    </w14:srgbClr>
                  </w14:solidFill>
                </w14:textFill>
              </w:rPr>
              <w:t>|</w:t>
            </w:r>
            <w:r w:rsidR="00AD7B35" w:rsidRPr="00200E03">
              <w:rPr>
                <w:rFonts w:ascii="Arial Narrow" w:eastAsia="MS Gothic" w:hAnsi="Arial Narrow" w:cs="Times New Roman"/>
                <w:bCs/>
                <w:sz w:val="20"/>
              </w:rPr>
              <w:t>%</w:t>
            </w:r>
          </w:p>
        </w:tc>
        <w:tc>
          <w:tcPr>
            <w:tcW w:w="709" w:type="dxa"/>
            <w:shd w:val="clear" w:color="auto" w:fill="auto"/>
            <w:noWrap/>
          </w:tcPr>
          <w:p w14:paraId="4CD0AD3D" w14:textId="75083319" w:rsidR="00AD7B35" w:rsidRPr="00097797" w:rsidRDefault="001247F0" w:rsidP="00AD7B35">
            <w:pPr>
              <w:keepNext/>
              <w:jc w:val="center"/>
              <w:rPr>
                <w:rFonts w:ascii="Arial Narrow" w:eastAsiaTheme="majorEastAsia" w:hAnsi="Arial Narrow" w:cstheme="majorBidi"/>
                <w:bCs/>
                <w:sz w:val="20"/>
                <w:highlight w:val="yellow"/>
              </w:rPr>
            </w:pPr>
            <w:r w:rsidRPr="001247F0">
              <w:rPr>
                <w:rFonts w:ascii="Arial Narrow" w:eastAsia="MS Gothic" w:hAnsi="Arial Narrow" w:cs="Times New Roman"/>
                <w:bCs/>
                <w:color w:val="000000"/>
                <w:spacing w:val="180"/>
                <w:sz w:val="20"/>
                <w:shd w:val="solid" w:color="000000" w:fill="000000"/>
                <w:fitText w:val="266" w:id="-1236603641"/>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66" w:id="-1236603641"/>
                <w14:textFill>
                  <w14:solidFill>
                    <w14:srgbClr w14:val="000000">
                      <w14:alpha w14:val="100000"/>
                    </w14:srgbClr>
                  </w14:solidFill>
                </w14:textFill>
              </w:rPr>
              <w:t>|</w:t>
            </w:r>
            <w:r w:rsidR="00AD7B35" w:rsidRPr="00200E03">
              <w:rPr>
                <w:rFonts w:ascii="Arial Narrow" w:eastAsia="MS Gothic" w:hAnsi="Arial Narrow" w:cs="Times New Roman"/>
                <w:bCs/>
                <w:sz w:val="20"/>
              </w:rPr>
              <w:t>%</w:t>
            </w:r>
          </w:p>
        </w:tc>
        <w:tc>
          <w:tcPr>
            <w:tcW w:w="709" w:type="dxa"/>
            <w:shd w:val="clear" w:color="auto" w:fill="auto"/>
            <w:noWrap/>
          </w:tcPr>
          <w:p w14:paraId="7C92D2BA" w14:textId="6C70B4C1" w:rsidR="00AD7B35" w:rsidRPr="00097797" w:rsidRDefault="001247F0" w:rsidP="00AD7B35">
            <w:pPr>
              <w:keepNext/>
              <w:jc w:val="center"/>
              <w:rPr>
                <w:rFonts w:ascii="Arial Narrow" w:eastAsiaTheme="majorEastAsia" w:hAnsi="Arial Narrow" w:cstheme="majorBidi"/>
                <w:bCs/>
                <w:sz w:val="20"/>
                <w:highlight w:val="yellow"/>
              </w:rPr>
            </w:pPr>
            <w:r w:rsidRPr="001247F0">
              <w:rPr>
                <w:rFonts w:ascii="Arial Narrow" w:eastAsia="MS Gothic" w:hAnsi="Arial Narrow" w:cs="Times New Roman"/>
                <w:bCs/>
                <w:color w:val="000000"/>
                <w:spacing w:val="172"/>
                <w:sz w:val="20"/>
                <w:shd w:val="solid" w:color="000000" w:fill="000000"/>
                <w:fitText w:val="258" w:id="-1236603639"/>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8" w:id="-1236603639"/>
                <w14:textFill>
                  <w14:solidFill>
                    <w14:srgbClr w14:val="000000">
                      <w14:alpha w14:val="100000"/>
                    </w14:srgbClr>
                  </w14:solidFill>
                </w14:textFill>
              </w:rPr>
              <w:t>|</w:t>
            </w:r>
            <w:r w:rsidR="00AD7B35" w:rsidRPr="00200E03">
              <w:rPr>
                <w:rFonts w:ascii="Arial Narrow" w:eastAsia="MS Gothic" w:hAnsi="Arial Narrow" w:cs="Times New Roman"/>
                <w:bCs/>
                <w:sz w:val="20"/>
              </w:rPr>
              <w:t>%</w:t>
            </w:r>
          </w:p>
        </w:tc>
        <w:tc>
          <w:tcPr>
            <w:tcW w:w="708" w:type="dxa"/>
            <w:shd w:val="clear" w:color="auto" w:fill="auto"/>
            <w:noWrap/>
          </w:tcPr>
          <w:p w14:paraId="27AB140C" w14:textId="20AE66DB" w:rsidR="00AD7B35" w:rsidRPr="00097797" w:rsidRDefault="001247F0" w:rsidP="00AD7B35">
            <w:pPr>
              <w:keepNext/>
              <w:jc w:val="center"/>
              <w:rPr>
                <w:rFonts w:ascii="Arial Narrow" w:eastAsiaTheme="majorEastAsia" w:hAnsi="Arial Narrow" w:cstheme="majorBidi"/>
                <w:bCs/>
                <w:sz w:val="20"/>
                <w:highlight w:val="yellow"/>
              </w:rPr>
            </w:pPr>
            <w:r w:rsidRPr="001247F0">
              <w:rPr>
                <w:rFonts w:ascii="Arial Narrow" w:eastAsia="MS Gothic" w:hAnsi="Arial Narrow" w:cs="Times New Roman"/>
                <w:bCs/>
                <w:color w:val="000000"/>
                <w:spacing w:val="172"/>
                <w:sz w:val="20"/>
                <w:shd w:val="solid" w:color="000000" w:fill="000000"/>
                <w:fitText w:val="258" w:id="-1236603637"/>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58" w:id="-1236603637"/>
                <w14:textFill>
                  <w14:solidFill>
                    <w14:srgbClr w14:val="000000">
                      <w14:alpha w14:val="100000"/>
                    </w14:srgbClr>
                  </w14:solidFill>
                </w14:textFill>
              </w:rPr>
              <w:t>|</w:t>
            </w:r>
            <w:r w:rsidR="00AD7B35" w:rsidRPr="00200E03">
              <w:rPr>
                <w:rFonts w:ascii="Arial Narrow" w:eastAsia="MS Gothic" w:hAnsi="Arial Narrow" w:cs="Times New Roman"/>
                <w:bCs/>
                <w:sz w:val="20"/>
              </w:rPr>
              <w:t>%</w:t>
            </w:r>
          </w:p>
        </w:tc>
        <w:tc>
          <w:tcPr>
            <w:tcW w:w="709" w:type="dxa"/>
            <w:shd w:val="clear" w:color="auto" w:fill="auto"/>
            <w:noWrap/>
          </w:tcPr>
          <w:p w14:paraId="692CC82E" w14:textId="26878CC3" w:rsidR="00AD7B35" w:rsidRPr="00097797" w:rsidRDefault="001247F0" w:rsidP="00AD7B35">
            <w:pPr>
              <w:keepNext/>
              <w:jc w:val="center"/>
              <w:rPr>
                <w:rFonts w:ascii="Arial Narrow" w:eastAsiaTheme="majorEastAsia" w:hAnsi="Arial Narrow" w:cstheme="majorBidi"/>
                <w:bCs/>
                <w:sz w:val="20"/>
                <w:highlight w:val="yellow"/>
              </w:rPr>
            </w:pPr>
            <w:r w:rsidRPr="001247F0">
              <w:rPr>
                <w:rFonts w:ascii="Arial Narrow" w:eastAsia="MS Gothic" w:hAnsi="Arial Narrow" w:cs="Times New Roman"/>
                <w:bCs/>
                <w:color w:val="000000"/>
                <w:spacing w:val="180"/>
                <w:sz w:val="20"/>
                <w:shd w:val="solid" w:color="000000" w:fill="000000"/>
                <w:fitText w:val="266" w:id="-1236603635"/>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66" w:id="-1236603635"/>
                <w14:textFill>
                  <w14:solidFill>
                    <w14:srgbClr w14:val="000000">
                      <w14:alpha w14:val="100000"/>
                    </w14:srgbClr>
                  </w14:solidFill>
                </w14:textFill>
              </w:rPr>
              <w:t>|</w:t>
            </w:r>
            <w:r w:rsidR="00AD7B35" w:rsidRPr="00200E03">
              <w:rPr>
                <w:rFonts w:ascii="Arial Narrow" w:eastAsia="MS Gothic" w:hAnsi="Arial Narrow" w:cs="Times New Roman"/>
                <w:bCs/>
                <w:sz w:val="20"/>
              </w:rPr>
              <w:t>%</w:t>
            </w:r>
          </w:p>
        </w:tc>
        <w:tc>
          <w:tcPr>
            <w:tcW w:w="2126" w:type="dxa"/>
          </w:tcPr>
          <w:p w14:paraId="760872E9" w14:textId="77777777" w:rsidR="00AD7B35" w:rsidRPr="0058336B" w:rsidRDefault="00AD7B35" w:rsidP="00AD7B35">
            <w:pPr>
              <w:keepNext/>
              <w:jc w:val="left"/>
              <w:rPr>
                <w:rFonts w:ascii="Arial Narrow" w:eastAsiaTheme="majorEastAsia" w:hAnsi="Arial Narrow" w:cstheme="majorBidi"/>
                <w:bCs/>
                <w:sz w:val="20"/>
              </w:rPr>
            </w:pPr>
            <w:r w:rsidRPr="0058336B">
              <w:rPr>
                <w:rFonts w:ascii="Arial Narrow" w:eastAsiaTheme="majorEastAsia" w:hAnsi="Arial Narrow" w:cstheme="majorBidi"/>
                <w:bCs/>
                <w:sz w:val="20"/>
              </w:rPr>
              <w:t>Submission’s estimate</w:t>
            </w:r>
          </w:p>
        </w:tc>
      </w:tr>
      <w:tr w:rsidR="00AD7B35" w:rsidRPr="00AD7B35" w14:paraId="1DAE82B6" w14:textId="77777777" w:rsidTr="007F1B4F">
        <w:trPr>
          <w:trHeight w:val="56"/>
        </w:trPr>
        <w:tc>
          <w:tcPr>
            <w:tcW w:w="704" w:type="dxa"/>
            <w:shd w:val="clear" w:color="auto" w:fill="auto"/>
          </w:tcPr>
          <w:p w14:paraId="0DB86A9E" w14:textId="77777777" w:rsidR="00AD7B35" w:rsidRPr="0058336B" w:rsidRDefault="00AD7B35" w:rsidP="00AD7B35">
            <w:pPr>
              <w:keepNext/>
              <w:jc w:val="left"/>
              <w:rPr>
                <w:rFonts w:ascii="Arial Narrow" w:eastAsiaTheme="majorEastAsia" w:hAnsi="Arial Narrow" w:cstheme="majorBidi"/>
                <w:bCs/>
                <w:sz w:val="14"/>
                <w:szCs w:val="14"/>
              </w:rPr>
            </w:pPr>
            <w:r w:rsidRPr="0058336B">
              <w:rPr>
                <w:rFonts w:ascii="Arial Narrow" w:eastAsiaTheme="majorEastAsia" w:hAnsi="Arial Narrow" w:cstheme="majorBidi"/>
                <w:bCs/>
                <w:sz w:val="20"/>
                <w:szCs w:val="20"/>
              </w:rPr>
              <w:t>I</w:t>
            </w:r>
            <w:r w:rsidRPr="0058336B">
              <w:rPr>
                <w:rFonts w:ascii="Arial Narrow" w:eastAsiaTheme="majorEastAsia" w:hAnsi="Arial Narrow" w:cstheme="majorBidi"/>
                <w:bCs/>
                <w:sz w:val="14"/>
                <w:szCs w:val="14"/>
              </w:rPr>
              <w:t xml:space="preserve"> = </w:t>
            </w:r>
            <w:r w:rsidRPr="0058336B">
              <w:rPr>
                <w:rFonts w:ascii="Arial Narrow" w:eastAsiaTheme="majorEastAsia" w:hAnsi="Arial Narrow" w:cstheme="majorBidi"/>
                <w:bCs/>
                <w:sz w:val="18"/>
                <w:szCs w:val="18"/>
              </w:rPr>
              <w:t>H* (F + G)</w:t>
            </w:r>
          </w:p>
        </w:tc>
        <w:tc>
          <w:tcPr>
            <w:tcW w:w="1985" w:type="dxa"/>
            <w:shd w:val="clear" w:color="auto" w:fill="auto"/>
          </w:tcPr>
          <w:p w14:paraId="76DEF5AE" w14:textId="77777777" w:rsidR="00AD7B35" w:rsidRPr="0058336B" w:rsidRDefault="00AD7B35" w:rsidP="00AD7B35">
            <w:pPr>
              <w:keepNext/>
              <w:jc w:val="left"/>
              <w:rPr>
                <w:rFonts w:ascii="Arial Narrow" w:eastAsiaTheme="majorEastAsia" w:hAnsi="Arial Narrow" w:cstheme="majorBidi"/>
                <w:bCs/>
                <w:sz w:val="20"/>
              </w:rPr>
            </w:pPr>
            <w:r w:rsidRPr="0058336B">
              <w:rPr>
                <w:rFonts w:ascii="Arial Narrow" w:eastAsiaTheme="majorEastAsia" w:hAnsi="Arial Narrow" w:cstheme="majorBidi"/>
                <w:bCs/>
                <w:sz w:val="20"/>
              </w:rPr>
              <w:t>Initiating Patients</w:t>
            </w:r>
          </w:p>
        </w:tc>
        <w:tc>
          <w:tcPr>
            <w:tcW w:w="708" w:type="dxa"/>
            <w:shd w:val="clear" w:color="auto" w:fill="auto"/>
            <w:noWrap/>
          </w:tcPr>
          <w:p w14:paraId="6283FC96" w14:textId="0158E0B7"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0"/>
                <w:sz w:val="20"/>
                <w:shd w:val="solid" w:color="000000" w:fill="000000"/>
                <w:fitText w:val="266" w:id="-1236603633"/>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66" w:id="-1236603633"/>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709" w:type="dxa"/>
            <w:shd w:val="clear" w:color="auto" w:fill="auto"/>
            <w:noWrap/>
          </w:tcPr>
          <w:p w14:paraId="7C7DE160" w14:textId="30ABD8EF"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0"/>
                <w:sz w:val="20"/>
                <w:shd w:val="solid" w:color="000000" w:fill="000000"/>
                <w:fitText w:val="266" w:id="-1236603648"/>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66" w:id="-1236603648"/>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709" w:type="dxa"/>
            <w:shd w:val="clear" w:color="auto" w:fill="auto"/>
            <w:noWrap/>
          </w:tcPr>
          <w:p w14:paraId="043C2CBF" w14:textId="758D4D6C"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1"/>
                <w:sz w:val="20"/>
                <w:shd w:val="solid" w:color="000000" w:fill="000000"/>
                <w:fitText w:val="267" w:id="-1236603646"/>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67" w:id="-1236603646"/>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709" w:type="dxa"/>
            <w:shd w:val="clear" w:color="auto" w:fill="auto"/>
            <w:noWrap/>
          </w:tcPr>
          <w:p w14:paraId="138D3B16" w14:textId="365B5340"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9"/>
                <w:sz w:val="20"/>
                <w:shd w:val="solid" w:color="000000" w:fill="000000"/>
                <w:fitText w:val="275" w:id="-1236603644"/>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75" w:id="-1236603644"/>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708" w:type="dxa"/>
            <w:shd w:val="clear" w:color="auto" w:fill="auto"/>
            <w:noWrap/>
          </w:tcPr>
          <w:p w14:paraId="2C20681A" w14:textId="093FB94C"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9"/>
                <w:sz w:val="20"/>
                <w:shd w:val="solid" w:color="000000" w:fill="000000"/>
                <w:fitText w:val="275" w:id="-1236603642"/>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75" w:id="-1236603642"/>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709" w:type="dxa"/>
            <w:shd w:val="clear" w:color="auto" w:fill="auto"/>
            <w:noWrap/>
          </w:tcPr>
          <w:p w14:paraId="72466E41" w14:textId="60841163" w:rsidR="00AD7B35" w:rsidRPr="0058336B" w:rsidRDefault="001247F0" w:rsidP="00AD7B35">
            <w:pPr>
              <w:keepNext/>
              <w:jc w:val="center"/>
              <w:rPr>
                <w:rFonts w:ascii="Arial Narrow" w:eastAsiaTheme="majorEastAsia" w:hAnsi="Arial Narrow" w:cstheme="majorBidi"/>
                <w:bCs/>
                <w:sz w:val="20"/>
              </w:rPr>
            </w:pPr>
            <w:r w:rsidRPr="001247F0">
              <w:rPr>
                <w:rFonts w:ascii="Arial Narrow" w:eastAsia="MS Gothic" w:hAnsi="Arial Narrow" w:cs="Times New Roman"/>
                <w:bCs/>
                <w:color w:val="000000"/>
                <w:spacing w:val="188"/>
                <w:sz w:val="20"/>
                <w:shd w:val="solid" w:color="000000" w:fill="000000"/>
                <w:fitText w:val="274" w:id="-1236603640"/>
                <w14:textFill>
                  <w14:solidFill>
                    <w14:srgbClr w14:val="000000">
                      <w14:alpha w14:val="100000"/>
                    </w14:srgbClr>
                  </w14:solidFill>
                </w14:textFill>
              </w:rPr>
              <w:t>|</w:t>
            </w:r>
            <w:r w:rsidRPr="001247F0">
              <w:rPr>
                <w:rFonts w:ascii="Arial Narrow" w:eastAsia="MS Gothic" w:hAnsi="Arial Narrow" w:cs="Times New Roman"/>
                <w:bCs/>
                <w:color w:val="000000"/>
                <w:spacing w:val="1"/>
                <w:sz w:val="20"/>
                <w:shd w:val="solid" w:color="000000" w:fill="000000"/>
                <w:fitText w:val="274" w:id="-1236603640"/>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c>
          <w:tcPr>
            <w:tcW w:w="2126" w:type="dxa"/>
          </w:tcPr>
          <w:p w14:paraId="1300B864" w14:textId="7D04EC9C" w:rsidR="00AD7B35" w:rsidRPr="0058336B" w:rsidRDefault="00AD7B35" w:rsidP="00AD7B35">
            <w:pPr>
              <w:keepNext/>
              <w:jc w:val="left"/>
              <w:rPr>
                <w:rFonts w:ascii="Arial Narrow" w:eastAsiaTheme="majorEastAsia" w:hAnsi="Arial Narrow" w:cstheme="majorBidi"/>
                <w:bCs/>
                <w:sz w:val="20"/>
              </w:rPr>
            </w:pPr>
            <w:r w:rsidRPr="0058336B">
              <w:rPr>
                <w:rFonts w:ascii="Arial Narrow" w:eastAsiaTheme="majorEastAsia" w:hAnsi="Arial Narrow" w:cstheme="majorBidi"/>
                <w:bCs/>
                <w:sz w:val="20"/>
              </w:rPr>
              <w:t xml:space="preserve">Total over 6 years: </w:t>
            </w:r>
            <w:r w:rsidR="001247F0" w:rsidRPr="001247F0">
              <w:rPr>
                <w:rFonts w:ascii="Arial Narrow" w:eastAsiaTheme="majorEastAsia" w:hAnsi="Arial Narrow" w:cstheme="majorBidi"/>
                <w:bCs/>
                <w:color w:val="000000"/>
                <w:spacing w:val="29"/>
                <w:sz w:val="20"/>
                <w:shd w:val="solid" w:color="000000" w:fill="000000"/>
                <w:fitText w:val="550" w:id="-1236603639"/>
                <w14:textFill>
                  <w14:solidFill>
                    <w14:srgbClr w14:val="000000">
                      <w14:alpha w14:val="100000"/>
                    </w14:srgbClr>
                  </w14:solidFill>
                </w14:textFill>
              </w:rPr>
              <w:t>|||||||</w:t>
            </w:r>
            <w:r w:rsidR="001247F0" w:rsidRPr="001247F0">
              <w:rPr>
                <w:rFonts w:ascii="Arial Narrow" w:eastAsiaTheme="majorEastAsia" w:hAnsi="Arial Narrow" w:cstheme="majorBidi"/>
                <w:bCs/>
                <w:color w:val="000000"/>
                <w:spacing w:val="7"/>
                <w:sz w:val="20"/>
                <w:shd w:val="solid" w:color="000000" w:fill="000000"/>
                <w:fitText w:val="550" w:id="-1236603639"/>
                <w14:textFill>
                  <w14:solidFill>
                    <w14:srgbClr w14:val="000000">
                      <w14:alpha w14:val="100000"/>
                    </w14:srgbClr>
                  </w14:solidFill>
                </w14:textFill>
              </w:rPr>
              <w:t>|</w:t>
            </w:r>
            <w:r w:rsidR="00193B29">
              <w:rPr>
                <w:rFonts w:ascii="Arial Narrow" w:eastAsia="MS Gothic" w:hAnsi="Arial Narrow" w:cs="Times New Roman"/>
                <w:bCs/>
                <w:sz w:val="20"/>
                <w:vertAlign w:val="superscript"/>
              </w:rPr>
              <w:t>2</w:t>
            </w:r>
          </w:p>
        </w:tc>
      </w:tr>
    </w:tbl>
    <w:p w14:paraId="21A81C6C" w14:textId="77777777" w:rsidR="00797F38" w:rsidRDefault="00AD7B35" w:rsidP="00797F38">
      <w:pPr>
        <w:spacing w:after="120"/>
        <w:contextualSpacing/>
        <w:rPr>
          <w:rFonts w:ascii="Arial Narrow" w:hAnsi="Arial Narrow"/>
          <w:snapToGrid w:val="0"/>
          <w:sz w:val="18"/>
          <w:szCs w:val="22"/>
        </w:rPr>
      </w:pPr>
      <w:r w:rsidRPr="00AD7B35">
        <w:rPr>
          <w:rFonts w:ascii="Arial Narrow" w:hAnsi="Arial Narrow"/>
          <w:snapToGrid w:val="0"/>
          <w:sz w:val="18"/>
          <w:szCs w:val="22"/>
        </w:rPr>
        <w:t>Source: Table 4-3, p 233 of the submission.</w:t>
      </w:r>
    </w:p>
    <w:p w14:paraId="4AD9444D" w14:textId="7588F190" w:rsidR="00AD7B35" w:rsidRPr="00AD7B35" w:rsidRDefault="00AD7B35" w:rsidP="00797F38">
      <w:pPr>
        <w:spacing w:after="120"/>
        <w:contextualSpacing/>
        <w:rPr>
          <w:rFonts w:ascii="Arial Narrow" w:hAnsi="Arial Narrow"/>
          <w:snapToGrid w:val="0"/>
          <w:sz w:val="18"/>
          <w:szCs w:val="22"/>
        </w:rPr>
      </w:pPr>
      <w:r w:rsidRPr="00AD7B35">
        <w:rPr>
          <w:rFonts w:ascii="Arial Narrow" w:hAnsi="Arial Narrow"/>
          <w:snapToGrid w:val="0"/>
          <w:sz w:val="18"/>
          <w:szCs w:val="22"/>
        </w:rPr>
        <w:t>CHM = chlormethine; MF-CTCL = mycosis fungoides-type cutaneous T-cell lymphomas; PROCLIPI = Prospective Cutaneous Lymphoma International Prognostic Index</w:t>
      </w:r>
    </w:p>
    <w:p w14:paraId="0C1E230E" w14:textId="77777777" w:rsidR="00AD7B35" w:rsidRPr="00AD7B35" w:rsidRDefault="00AD7B35" w:rsidP="00797F38">
      <w:pPr>
        <w:spacing w:after="120"/>
        <w:contextualSpacing/>
        <w:rPr>
          <w:rFonts w:ascii="Arial Narrow" w:hAnsi="Arial Narrow"/>
          <w:snapToGrid w:val="0"/>
          <w:sz w:val="18"/>
          <w:szCs w:val="22"/>
        </w:rPr>
      </w:pPr>
      <w:r w:rsidRPr="00AD7B35">
        <w:rPr>
          <w:rFonts w:ascii="Arial Narrow" w:hAnsi="Arial Narrow"/>
          <w:snapToGrid w:val="0"/>
          <w:sz w:val="18"/>
          <w:szCs w:val="22"/>
          <w:vertAlign w:val="superscript"/>
        </w:rPr>
        <w:t>a</w:t>
      </w:r>
      <w:r w:rsidRPr="00AD7B35">
        <w:rPr>
          <w:rFonts w:ascii="Arial Narrow" w:hAnsi="Arial Narrow"/>
          <w:snapToGrid w:val="0"/>
          <w:sz w:val="18"/>
          <w:szCs w:val="22"/>
        </w:rPr>
        <w:t xml:space="preserve"> Weighted averages used, based on the Study 201 population where 58.5% had Stage IA disease, and 41.5% had Stage IB/IIA disease.</w:t>
      </w:r>
    </w:p>
    <w:p w14:paraId="36721F48" w14:textId="77777777" w:rsidR="00797F38" w:rsidRDefault="00AD7B35" w:rsidP="00797F38">
      <w:pPr>
        <w:rPr>
          <w:rFonts w:ascii="Arial Narrow" w:hAnsi="Arial Narrow"/>
          <w:snapToGrid w:val="0"/>
          <w:sz w:val="18"/>
          <w:szCs w:val="22"/>
        </w:rPr>
      </w:pPr>
      <w:r w:rsidRPr="00AD7B35">
        <w:rPr>
          <w:rFonts w:ascii="Arial Narrow" w:hAnsi="Arial Narrow"/>
          <w:snapToGrid w:val="0"/>
          <w:sz w:val="18"/>
          <w:szCs w:val="22"/>
          <w:vertAlign w:val="superscript"/>
        </w:rPr>
        <w:t>b</w:t>
      </w:r>
      <w:r w:rsidRPr="00AD7B35">
        <w:rPr>
          <w:rFonts w:ascii="Arial Narrow" w:hAnsi="Arial Narrow"/>
          <w:snapToGrid w:val="0"/>
          <w:sz w:val="18"/>
          <w:szCs w:val="22"/>
        </w:rPr>
        <w:t xml:space="preserve"> The proposed restriction allows for CHM gel use in combination with other therapies; 3% and 15% of Stage IA and IB/IIA respectively received combination therapies. A proportion of these may receive CHM gel, however the submission specified clinical evidence with monotherapy treatments only, so they have been omitted from these estimates.</w:t>
      </w:r>
    </w:p>
    <w:p w14:paraId="54D3987C" w14:textId="2E6010D2" w:rsidR="00AA26DB" w:rsidRDefault="00AD7B35" w:rsidP="00797F38">
      <w:pPr>
        <w:rPr>
          <w:rFonts w:ascii="Arial Narrow" w:hAnsi="Arial Narrow"/>
          <w:snapToGrid w:val="0"/>
          <w:sz w:val="18"/>
          <w:szCs w:val="22"/>
        </w:rPr>
      </w:pPr>
      <w:r w:rsidRPr="00AD7B35">
        <w:rPr>
          <w:rFonts w:ascii="Arial Narrow" w:hAnsi="Arial Narrow"/>
          <w:snapToGrid w:val="0"/>
          <w:sz w:val="18"/>
          <w:szCs w:val="22"/>
          <w:vertAlign w:val="superscript"/>
        </w:rPr>
        <w:t xml:space="preserve">c </w:t>
      </w:r>
      <w:r w:rsidRPr="00AD7B35">
        <w:rPr>
          <w:rFonts w:ascii="Arial Narrow" w:hAnsi="Arial Narrow"/>
          <w:snapToGrid w:val="0"/>
          <w:sz w:val="18"/>
          <w:szCs w:val="22"/>
        </w:rPr>
        <w:t xml:space="preserve">It is reasonable to assume that a proportion of the prevalent patient population would carry across to subsequent years, from four pools: (i) Patients who have failed phototherapy and/or another skin directed monotherapy, (ii) Patients who had been in ‘watch and wait’ who decide to seek treatment (these patients must first fail corticosteroids to become eligible for CHM gel), (iii) Patients who had previously achieved a complete response with CHM gel but experience disease recurrence, who would be eligible for a repeat course of CHM gel therapy, and (iv) some patients may receive CHM gel in combination with another therapy. To account for these patients, the eligible prevalent patients who did not initiate CHM gel have been carried over to subsequent years (e.g. carry-over to year 2024 = </w:t>
      </w:r>
      <w:r w:rsidR="00AA26DB" w:rsidRPr="00AA26DB">
        <w:rPr>
          <w:rFonts w:ascii="Arial Narrow" w:hAnsi="Arial Narrow"/>
          <w:iCs/>
          <w:snapToGrid w:val="0"/>
          <w:sz w:val="18"/>
          <w:szCs w:val="22"/>
        </w:rPr>
        <w:t>&lt; 500</w:t>
      </w:r>
      <w:r w:rsidR="00AA26DB">
        <w:rPr>
          <w:rFonts w:ascii="Arial Narrow" w:hAnsi="Arial Narrow"/>
          <w:iCs/>
          <w:snapToGrid w:val="0"/>
          <w:sz w:val="18"/>
          <w:szCs w:val="22"/>
        </w:rPr>
        <w:t xml:space="preserve"> </w:t>
      </w:r>
      <w:r w:rsidRPr="00AD7B35">
        <w:rPr>
          <w:rFonts w:ascii="Arial Narrow" w:hAnsi="Arial Narrow"/>
          <w:snapToGrid w:val="0"/>
          <w:sz w:val="18"/>
          <w:szCs w:val="22"/>
        </w:rPr>
        <w:t>-</w:t>
      </w:r>
      <w:r w:rsidR="00AA26DB">
        <w:rPr>
          <w:rFonts w:ascii="Arial Narrow" w:hAnsi="Arial Narrow"/>
          <w:snapToGrid w:val="0"/>
          <w:sz w:val="18"/>
          <w:szCs w:val="22"/>
        </w:rPr>
        <w:t xml:space="preserve"> </w:t>
      </w:r>
      <w:r w:rsidR="00AA26DB" w:rsidRPr="00AA26DB">
        <w:rPr>
          <w:rFonts w:ascii="Arial Narrow" w:hAnsi="Arial Narrow"/>
          <w:iCs/>
          <w:snapToGrid w:val="0"/>
          <w:sz w:val="18"/>
          <w:szCs w:val="22"/>
        </w:rPr>
        <w:t>&lt; 500</w:t>
      </w:r>
      <w:r w:rsidRPr="00AA26DB">
        <w:rPr>
          <w:rFonts w:ascii="Arial Narrow" w:hAnsi="Arial Narrow"/>
          <w:iCs/>
          <w:snapToGrid w:val="0"/>
          <w:sz w:val="18"/>
          <w:szCs w:val="22"/>
        </w:rPr>
        <w:t xml:space="preserve"> </w:t>
      </w:r>
      <w:r w:rsidRPr="00AD7B35">
        <w:rPr>
          <w:rFonts w:ascii="Arial Narrow" w:hAnsi="Arial Narrow"/>
          <w:snapToGrid w:val="0"/>
          <w:sz w:val="18"/>
          <w:szCs w:val="22"/>
        </w:rPr>
        <w:t xml:space="preserve">= </w:t>
      </w:r>
      <w:r w:rsidR="00AA26DB" w:rsidRPr="00AA26DB">
        <w:rPr>
          <w:rFonts w:ascii="Arial Narrow" w:hAnsi="Arial Narrow"/>
          <w:iCs/>
          <w:sz w:val="18"/>
          <w:szCs w:val="18"/>
        </w:rPr>
        <w:t>&lt; 500</w:t>
      </w:r>
      <w:r w:rsidRPr="00AD7B35">
        <w:rPr>
          <w:rFonts w:ascii="Arial Narrow" w:hAnsi="Arial Narrow"/>
          <w:snapToGrid w:val="0"/>
          <w:sz w:val="18"/>
          <w:szCs w:val="22"/>
        </w:rPr>
        <w:t>).</w:t>
      </w:r>
    </w:p>
    <w:p w14:paraId="3D916EB4" w14:textId="6E2677EC" w:rsidR="00AD7B35" w:rsidRDefault="00AD7B35" w:rsidP="00797F38">
      <w:pPr>
        <w:rPr>
          <w:rFonts w:ascii="Arial Narrow" w:hAnsi="Arial Narrow"/>
          <w:snapToGrid w:val="0"/>
          <w:sz w:val="18"/>
          <w:szCs w:val="22"/>
        </w:rPr>
      </w:pPr>
      <w:r w:rsidRPr="00AD7B35">
        <w:rPr>
          <w:rFonts w:ascii="Arial Narrow" w:hAnsi="Arial Narrow"/>
          <w:snapToGrid w:val="0"/>
          <w:sz w:val="18"/>
          <w:szCs w:val="22"/>
        </w:rPr>
        <w:t>Figures rounded from 7 decimal places in Microsoft Excel.</w:t>
      </w:r>
    </w:p>
    <w:p w14:paraId="69C5A77A" w14:textId="77777777" w:rsidR="00193B29" w:rsidRPr="009A6D58" w:rsidRDefault="00193B29" w:rsidP="00797F38">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FAE5EA1" w14:textId="77777777" w:rsidR="00193B29" w:rsidRDefault="00193B29" w:rsidP="00797F38">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bookmarkStart w:id="104" w:name="_Hlk134605274"/>
      <w:r w:rsidRPr="00193B29">
        <w:rPr>
          <w:rFonts w:ascii="Arial Narrow" w:hAnsi="Arial Narrow"/>
          <w:i/>
          <w:sz w:val="18"/>
          <w:szCs w:val="18"/>
        </w:rPr>
        <w:t>500 to &lt; 5,000</w:t>
      </w:r>
      <w:bookmarkEnd w:id="104"/>
    </w:p>
    <w:p w14:paraId="4E632389" w14:textId="161EBA41" w:rsidR="00193B29" w:rsidRPr="00CB7CF6" w:rsidRDefault="00193B29" w:rsidP="00797F38">
      <w:pPr>
        <w:spacing w:after="120"/>
        <w:rPr>
          <w:rFonts w:ascii="Arial Narrow" w:hAnsi="Arial Narrow"/>
          <w:snapToGrid w:val="0"/>
          <w:sz w:val="18"/>
          <w:szCs w:val="22"/>
        </w:rPr>
      </w:pPr>
      <w:r w:rsidRPr="009A6D58">
        <w:rPr>
          <w:rFonts w:ascii="Arial Narrow" w:hAnsi="Arial Narrow"/>
          <w:i/>
          <w:sz w:val="18"/>
          <w:szCs w:val="18"/>
          <w:vertAlign w:val="superscript"/>
        </w:rPr>
        <w:t>2</w:t>
      </w:r>
      <w:r>
        <w:rPr>
          <w:rFonts w:ascii="Arial Narrow" w:hAnsi="Arial Narrow"/>
          <w:i/>
          <w:sz w:val="18"/>
          <w:szCs w:val="18"/>
        </w:rPr>
        <w:t xml:space="preserve"> </w:t>
      </w:r>
      <w:bookmarkStart w:id="105" w:name="_Hlk134605262"/>
      <w:r w:rsidRPr="00193B29">
        <w:rPr>
          <w:rFonts w:ascii="Arial Narrow" w:hAnsi="Arial Narrow"/>
          <w:i/>
          <w:sz w:val="18"/>
          <w:szCs w:val="18"/>
        </w:rPr>
        <w:t>&lt; 500</w:t>
      </w:r>
      <w:bookmarkEnd w:id="105"/>
    </w:p>
    <w:p w14:paraId="14B04A95" w14:textId="671F04A4" w:rsidR="0058336B" w:rsidRDefault="0058336B" w:rsidP="0058336B">
      <w:pPr>
        <w:numPr>
          <w:ilvl w:val="1"/>
          <w:numId w:val="1"/>
        </w:numPr>
        <w:spacing w:after="120"/>
        <w:ind w:left="720"/>
        <w:rPr>
          <w:rFonts w:asciiTheme="minorHAnsi" w:hAnsiTheme="minorHAnsi"/>
          <w:snapToGrid w:val="0"/>
        </w:rPr>
      </w:pPr>
      <w:r w:rsidRPr="00AD7B35">
        <w:rPr>
          <w:rFonts w:asciiTheme="minorHAnsi" w:hAnsiTheme="minorHAnsi"/>
          <w:snapToGrid w:val="0"/>
        </w:rPr>
        <w:t xml:space="preserve">The submission anticipated the net cost to Government to increase in the first 6 years, from approximately </w:t>
      </w:r>
      <w:r w:rsidR="00AA26DB" w:rsidRPr="00AA26DB">
        <w:rPr>
          <w:rFonts w:asciiTheme="minorHAnsi" w:hAnsiTheme="minorHAnsi"/>
          <w:snapToGrid w:val="0"/>
        </w:rPr>
        <w:t>$0 to &lt; $10 million</w:t>
      </w:r>
      <w:r w:rsidR="00AA26DB" w:rsidRPr="00AA26DB" w:rsidDel="00AA26DB">
        <w:rPr>
          <w:rFonts w:asciiTheme="minorHAnsi" w:hAnsiTheme="minorHAnsi"/>
          <w:snapToGrid w:val="0"/>
        </w:rPr>
        <w:t xml:space="preserve"> </w:t>
      </w:r>
      <w:r w:rsidRPr="00AD7B35">
        <w:rPr>
          <w:rFonts w:asciiTheme="minorHAnsi" w:hAnsiTheme="minorHAnsi"/>
          <w:snapToGrid w:val="0"/>
        </w:rPr>
        <w:t xml:space="preserve">in year 1 to </w:t>
      </w:r>
      <w:r w:rsidR="00AA26DB" w:rsidRPr="00AA26DB">
        <w:rPr>
          <w:rFonts w:asciiTheme="minorHAnsi" w:hAnsiTheme="minorHAnsi"/>
          <w:snapToGrid w:val="0"/>
        </w:rPr>
        <w:t>$20 million to &lt; $30 million</w:t>
      </w:r>
      <w:r w:rsidR="00AA26DB" w:rsidRPr="00AA26DB" w:rsidDel="00AA26DB">
        <w:rPr>
          <w:rFonts w:asciiTheme="minorHAnsi" w:hAnsiTheme="minorHAnsi"/>
          <w:snapToGrid w:val="0"/>
        </w:rPr>
        <w:t xml:space="preserve"> </w:t>
      </w:r>
      <w:r w:rsidRPr="00AD7B35">
        <w:rPr>
          <w:rFonts w:asciiTheme="minorHAnsi" w:hAnsiTheme="minorHAnsi"/>
          <w:snapToGrid w:val="0"/>
        </w:rPr>
        <w:t xml:space="preserve">in </w:t>
      </w:r>
      <w:r w:rsidR="00AA26DB" w:rsidRPr="00AD7B35">
        <w:rPr>
          <w:rFonts w:asciiTheme="minorHAnsi" w:hAnsiTheme="minorHAnsi"/>
          <w:snapToGrid w:val="0"/>
        </w:rPr>
        <w:t>year</w:t>
      </w:r>
      <w:r w:rsidR="00AA26DB">
        <w:rPr>
          <w:rFonts w:asciiTheme="minorHAnsi" w:hAnsiTheme="minorHAnsi"/>
          <w:snapToGrid w:val="0"/>
        </w:rPr>
        <w:t> </w:t>
      </w:r>
      <w:r w:rsidRPr="00AD7B35">
        <w:rPr>
          <w:rFonts w:asciiTheme="minorHAnsi" w:hAnsiTheme="minorHAnsi"/>
          <w:snapToGrid w:val="0"/>
        </w:rPr>
        <w:t xml:space="preserve">6. Due to large overestimates in the submission’s projection of initiating and continuing patients, and phototherapy offsets (as described in </w:t>
      </w:r>
      <w:r w:rsidRPr="00AD7B35">
        <w:rPr>
          <w:rFonts w:asciiTheme="minorHAnsi" w:hAnsiTheme="minorHAnsi"/>
          <w:snapToGrid w:val="0"/>
        </w:rPr>
        <w:fldChar w:fldCharType="begin"/>
      </w:r>
      <w:r w:rsidRPr="00AD7B35">
        <w:rPr>
          <w:rFonts w:asciiTheme="minorHAnsi" w:hAnsiTheme="minorHAnsi"/>
          <w:snapToGrid w:val="0"/>
        </w:rPr>
        <w:instrText xml:space="preserve"> REF _Ref120876329 \h  \* MERGEFORMAT </w:instrText>
      </w:r>
      <w:r w:rsidRPr="00AD7B35">
        <w:rPr>
          <w:rFonts w:asciiTheme="minorHAnsi" w:hAnsiTheme="minorHAnsi"/>
          <w:snapToGrid w:val="0"/>
        </w:rPr>
      </w:r>
      <w:r w:rsidRPr="00AD7B35">
        <w:rPr>
          <w:rFonts w:asciiTheme="minorHAnsi" w:hAnsiTheme="minorHAnsi"/>
          <w:snapToGrid w:val="0"/>
        </w:rPr>
        <w:fldChar w:fldCharType="separate"/>
      </w:r>
      <w:r w:rsidR="00FD5578" w:rsidRPr="00FD5578">
        <w:rPr>
          <w:rFonts w:asciiTheme="minorHAnsi" w:hAnsiTheme="minorHAnsi"/>
          <w:snapToGrid w:val="0"/>
        </w:rPr>
        <w:t>Table 13</w:t>
      </w:r>
      <w:r w:rsidRPr="00AD7B35">
        <w:rPr>
          <w:rFonts w:asciiTheme="minorHAnsi" w:hAnsiTheme="minorHAnsi"/>
          <w:snapToGrid w:val="0"/>
        </w:rPr>
        <w:fldChar w:fldCharType="end"/>
      </w:r>
      <w:r w:rsidRPr="00AD7B35">
        <w:rPr>
          <w:rFonts w:asciiTheme="minorHAnsi" w:hAnsiTheme="minorHAnsi"/>
          <w:snapToGrid w:val="0"/>
        </w:rPr>
        <w:t xml:space="preserve"> and</w:t>
      </w:r>
      <w:r w:rsidR="00945FA4">
        <w:rPr>
          <w:rFonts w:asciiTheme="minorHAnsi" w:hAnsiTheme="minorHAnsi"/>
          <w:snapToGrid w:val="0"/>
        </w:rPr>
        <w:t xml:space="preserve"> </w:t>
      </w:r>
      <w:r w:rsidR="00945FA4" w:rsidRPr="00945FA4">
        <w:rPr>
          <w:rFonts w:asciiTheme="minorHAnsi" w:hAnsiTheme="minorHAnsi" w:cstheme="minorHAnsi"/>
          <w:snapToGrid w:val="0"/>
        </w:rPr>
        <w:fldChar w:fldCharType="begin"/>
      </w:r>
      <w:r w:rsidR="00945FA4" w:rsidRPr="00945FA4">
        <w:rPr>
          <w:rFonts w:asciiTheme="minorHAnsi" w:hAnsiTheme="minorHAnsi" w:cstheme="minorHAnsi"/>
          <w:snapToGrid w:val="0"/>
        </w:rPr>
        <w:instrText xml:space="preserve"> REF _Ref139376341 \h </w:instrText>
      </w:r>
      <w:r w:rsidR="00945FA4" w:rsidRPr="00945FA4">
        <w:rPr>
          <w:rFonts w:asciiTheme="minorHAnsi" w:hAnsiTheme="minorHAnsi" w:cstheme="minorHAnsi"/>
          <w:snapToGrid w:val="0"/>
        </w:rPr>
      </w:r>
      <w:r w:rsidR="00945FA4" w:rsidRPr="00945FA4">
        <w:rPr>
          <w:rFonts w:asciiTheme="minorHAnsi" w:hAnsiTheme="minorHAnsi" w:cstheme="minorHAnsi"/>
          <w:snapToGrid w:val="0"/>
        </w:rPr>
        <w:instrText xml:space="preserve"> \* MERGEFORMAT </w:instrText>
      </w:r>
      <w:r w:rsidR="00945FA4" w:rsidRPr="00945FA4">
        <w:rPr>
          <w:rFonts w:asciiTheme="minorHAnsi" w:hAnsiTheme="minorHAnsi" w:cstheme="minorHAnsi"/>
          <w:snapToGrid w:val="0"/>
        </w:rPr>
        <w:fldChar w:fldCharType="separate"/>
      </w:r>
      <w:r w:rsidR="00FD5578" w:rsidRPr="00FD5578">
        <w:rPr>
          <w:rFonts w:asciiTheme="minorHAnsi" w:eastAsiaTheme="majorEastAsia" w:hAnsiTheme="minorHAnsi" w:cstheme="minorHAnsi"/>
        </w:rPr>
        <w:t xml:space="preserve">Table </w:t>
      </w:r>
      <w:r w:rsidR="00FD5578" w:rsidRPr="00FD5578">
        <w:rPr>
          <w:rFonts w:asciiTheme="minorHAnsi" w:eastAsiaTheme="majorEastAsia" w:hAnsiTheme="minorHAnsi" w:cstheme="minorHAnsi"/>
          <w:noProof/>
        </w:rPr>
        <w:t>14</w:t>
      </w:r>
      <w:r w:rsidR="00945FA4" w:rsidRPr="00945FA4">
        <w:rPr>
          <w:rFonts w:asciiTheme="minorHAnsi" w:hAnsiTheme="minorHAnsi" w:cstheme="minorHAnsi"/>
          <w:snapToGrid w:val="0"/>
        </w:rPr>
        <w:fldChar w:fldCharType="end"/>
      </w:r>
      <w:r w:rsidRPr="00AD7B35">
        <w:rPr>
          <w:rFonts w:asciiTheme="minorHAnsi" w:hAnsiTheme="minorHAnsi"/>
          <w:snapToGrid w:val="0"/>
        </w:rPr>
        <w:t xml:space="preserve"> above), the </w:t>
      </w:r>
      <w:r>
        <w:rPr>
          <w:rFonts w:asciiTheme="minorHAnsi" w:hAnsiTheme="minorHAnsi"/>
          <w:snapToGrid w:val="0"/>
        </w:rPr>
        <w:t xml:space="preserve">evaluation stated the </w:t>
      </w:r>
      <w:r w:rsidRPr="00AD7B35">
        <w:rPr>
          <w:rFonts w:asciiTheme="minorHAnsi" w:hAnsiTheme="minorHAnsi"/>
          <w:snapToGrid w:val="0"/>
        </w:rPr>
        <w:t>estimated financial implications presented by the submission have not been reproduced on the basis that they cannot be meaningfully evaluated and are uninformative for decision-making.</w:t>
      </w:r>
    </w:p>
    <w:p w14:paraId="0C5305C0" w14:textId="356FEE64" w:rsidR="0058336B" w:rsidRPr="0058336B" w:rsidRDefault="0058336B" w:rsidP="0058336B">
      <w:pPr>
        <w:numPr>
          <w:ilvl w:val="1"/>
          <w:numId w:val="1"/>
        </w:numPr>
        <w:spacing w:after="120"/>
        <w:ind w:left="720"/>
        <w:rPr>
          <w:rFonts w:asciiTheme="minorHAnsi" w:hAnsiTheme="minorHAnsi"/>
          <w:snapToGrid w:val="0"/>
        </w:rPr>
      </w:pPr>
      <w:bookmarkStart w:id="106" w:name="_Ref131496485"/>
      <w:r w:rsidRPr="0058336B">
        <w:rPr>
          <w:rFonts w:asciiTheme="minorHAnsi" w:hAnsiTheme="minorHAnsi"/>
          <w:snapToGrid w:val="0"/>
        </w:rPr>
        <w:t xml:space="preserve">DUSC considers the estimates presented in the submission to be uncertain. The main issues </w:t>
      </w:r>
      <w:r w:rsidR="00435A53">
        <w:rPr>
          <w:rFonts w:asciiTheme="minorHAnsi" w:hAnsiTheme="minorHAnsi"/>
          <w:snapToGrid w:val="0"/>
        </w:rPr>
        <w:t>were</w:t>
      </w:r>
      <w:r w:rsidRPr="0058336B">
        <w:rPr>
          <w:rFonts w:asciiTheme="minorHAnsi" w:hAnsiTheme="minorHAnsi"/>
          <w:snapToGrid w:val="0"/>
        </w:rPr>
        <w:t>:</w:t>
      </w:r>
      <w:bookmarkEnd w:id="106"/>
    </w:p>
    <w:p w14:paraId="68105EFB" w14:textId="538FFD0B" w:rsidR="0058336B" w:rsidRPr="0058336B" w:rsidRDefault="0058336B" w:rsidP="00610DFE">
      <w:pPr>
        <w:pStyle w:val="ListParagraph"/>
        <w:numPr>
          <w:ilvl w:val="0"/>
          <w:numId w:val="9"/>
        </w:numPr>
        <w:snapToGrid w:val="0"/>
        <w:ind w:left="1080"/>
        <w:rPr>
          <w:iCs/>
        </w:rPr>
      </w:pPr>
      <w:r w:rsidRPr="0058336B">
        <w:rPr>
          <w:iCs/>
        </w:rPr>
        <w:t>DUSC noted that the estimates for the prevalent population relied on a conference presentation from the United Kingdom. DUSC considered that the numbers for the eligible patient population presented in the submission were unreliable and more sources should be reviewed.</w:t>
      </w:r>
      <w:r w:rsidR="00D84AFA">
        <w:rPr>
          <w:iCs/>
        </w:rPr>
        <w:t xml:space="preserve"> </w:t>
      </w:r>
    </w:p>
    <w:p w14:paraId="5718A0EB" w14:textId="78EC1CE9" w:rsidR="0058336B" w:rsidRPr="0058336B" w:rsidRDefault="0058336B" w:rsidP="00610DFE">
      <w:pPr>
        <w:pStyle w:val="ListParagraph"/>
        <w:numPr>
          <w:ilvl w:val="0"/>
          <w:numId w:val="9"/>
        </w:numPr>
        <w:snapToGrid w:val="0"/>
        <w:ind w:left="1080"/>
        <w:rPr>
          <w:iCs/>
        </w:rPr>
      </w:pPr>
      <w:r w:rsidRPr="0058336B">
        <w:rPr>
          <w:iCs/>
        </w:rPr>
        <w:t>The</w:t>
      </w:r>
      <w:r>
        <w:rPr>
          <w:iCs/>
        </w:rPr>
        <w:t xml:space="preserve"> </w:t>
      </w:r>
      <w:r w:rsidRPr="0058336B">
        <w:rPr>
          <w:iCs/>
        </w:rPr>
        <w:t>financial estimates assumed patients would receive 48 months of chlormethine gel. In Study 201, the median duration of treatment was 9 months, and no data were provided regarding the duration of use and efficacy beyond the 10-month follow-up. Also, the amount of chlormethine gel used by the average patient is subject to uncertainty and the amount could vary over time.</w:t>
      </w:r>
    </w:p>
    <w:p w14:paraId="66E23A20" w14:textId="5FF22EE0" w:rsidR="0058336B" w:rsidRPr="0058336B" w:rsidRDefault="0058336B" w:rsidP="00610DFE">
      <w:pPr>
        <w:pStyle w:val="ListParagraph"/>
        <w:numPr>
          <w:ilvl w:val="0"/>
          <w:numId w:val="9"/>
        </w:numPr>
        <w:snapToGrid w:val="0"/>
        <w:ind w:left="1080"/>
        <w:rPr>
          <w:iCs/>
        </w:rPr>
      </w:pPr>
      <w:r w:rsidRPr="0058336B">
        <w:rPr>
          <w:iCs/>
        </w:rPr>
        <w:t xml:space="preserve">DUSC noted that submission incorrectly assumed that all patients would use no more than two tubes per month of chlormethine gel. The </w:t>
      </w:r>
      <w:r>
        <w:rPr>
          <w:iCs/>
        </w:rPr>
        <w:t xml:space="preserve">evaluation </w:t>
      </w:r>
      <w:r w:rsidRPr="0058336B">
        <w:rPr>
          <w:iCs/>
        </w:rPr>
        <w:t>stated that based on the average daily use in the key trial, Stage IA patients required 1.77</w:t>
      </w:r>
      <w:r w:rsidR="00AA26DB">
        <w:rPr>
          <w:iCs/>
        </w:rPr>
        <w:t> </w:t>
      </w:r>
      <w:r w:rsidRPr="0058336B">
        <w:rPr>
          <w:iCs/>
        </w:rPr>
        <w:t>g/day and Stage IB/IIA required 4.28</w:t>
      </w:r>
      <w:r w:rsidR="00AA26DB">
        <w:rPr>
          <w:iCs/>
        </w:rPr>
        <w:t> </w:t>
      </w:r>
      <w:r w:rsidRPr="0058336B">
        <w:rPr>
          <w:iCs/>
        </w:rPr>
        <w:t>g/day</w:t>
      </w:r>
      <w:r w:rsidR="004B1EB9">
        <w:rPr>
          <w:iCs/>
        </w:rPr>
        <w:t xml:space="preserve"> (see paragraph </w:t>
      </w:r>
      <w:r w:rsidR="004B1EB9">
        <w:rPr>
          <w:iCs/>
        </w:rPr>
        <w:fldChar w:fldCharType="begin"/>
      </w:r>
      <w:r w:rsidR="004B1EB9">
        <w:rPr>
          <w:iCs/>
        </w:rPr>
        <w:instrText xml:space="preserve"> REF _Ref131491894 \r \h </w:instrText>
      </w:r>
      <w:r w:rsidR="004B1EB9">
        <w:rPr>
          <w:iCs/>
        </w:rPr>
      </w:r>
      <w:r w:rsidR="004B1EB9">
        <w:rPr>
          <w:iCs/>
        </w:rPr>
        <w:fldChar w:fldCharType="separate"/>
      </w:r>
      <w:r w:rsidR="00FD5578">
        <w:rPr>
          <w:iCs/>
        </w:rPr>
        <w:t>3.4</w:t>
      </w:r>
      <w:r w:rsidR="004B1EB9">
        <w:rPr>
          <w:iCs/>
        </w:rPr>
        <w:fldChar w:fldCharType="end"/>
      </w:r>
      <w:r w:rsidR="004B1EB9">
        <w:rPr>
          <w:iCs/>
        </w:rPr>
        <w:t>)</w:t>
      </w:r>
      <w:r w:rsidRPr="0058336B">
        <w:rPr>
          <w:iCs/>
        </w:rPr>
        <w:t>. As such, most patients with Stage IB/IIA disease would require over two tubes per month. The submission did not provide a breakdown of prevalence by BSA, making the number of tubes used per patient uncertain. DUSC considered the number of tubes, and therefore costs, were underestimated.</w:t>
      </w:r>
      <w:r w:rsidR="004B1EB9">
        <w:rPr>
          <w:iCs/>
        </w:rPr>
        <w:t xml:space="preserve"> </w:t>
      </w:r>
      <w:r w:rsidR="00D54FDA">
        <w:rPr>
          <w:iCs/>
        </w:rPr>
        <w:t xml:space="preserve">The pre-PBAC response noted the economic model provided Study 201 individual patient data including the average daily grams of chlormethine gel used by participants. The pre-PBAC response argued that this data indicated the vast majority of patients would be adequately served by the proposed maximum quantity of 2 tubes per month. </w:t>
      </w:r>
    </w:p>
    <w:p w14:paraId="0FDCC6E7" w14:textId="77777777" w:rsidR="0058336B" w:rsidRPr="0058336B" w:rsidRDefault="0058336B" w:rsidP="00610DFE">
      <w:pPr>
        <w:pStyle w:val="ListParagraph"/>
        <w:numPr>
          <w:ilvl w:val="0"/>
          <w:numId w:val="9"/>
        </w:numPr>
        <w:snapToGrid w:val="0"/>
        <w:ind w:left="1080"/>
        <w:rPr>
          <w:iCs/>
        </w:rPr>
      </w:pPr>
      <w:r w:rsidRPr="0058336B">
        <w:rPr>
          <w:iCs/>
        </w:rPr>
        <w:t>DUSC considered it likely that uptake will be higher due to the convenience of topical therapy, and considered that the uptake rate does not account for treatment failure (i.e. treatment of corticosteroids or watchful waiting) required in the listing.</w:t>
      </w:r>
    </w:p>
    <w:p w14:paraId="23C74743" w14:textId="77777777" w:rsidR="0058336B" w:rsidRPr="0058336B" w:rsidRDefault="0058336B" w:rsidP="00610DFE">
      <w:pPr>
        <w:pStyle w:val="ListParagraph"/>
        <w:numPr>
          <w:ilvl w:val="0"/>
          <w:numId w:val="9"/>
        </w:numPr>
        <w:snapToGrid w:val="0"/>
        <w:ind w:left="1080"/>
        <w:rPr>
          <w:iCs/>
        </w:rPr>
      </w:pPr>
      <w:r w:rsidRPr="0058336B">
        <w:rPr>
          <w:iCs/>
        </w:rPr>
        <w:t xml:space="preserve">DUSC considered that patient numbers are highly dependent on the assumptions regarding the place in practice of chlormethine gel and the likelihood of replacing phototherapy. </w:t>
      </w:r>
    </w:p>
    <w:p w14:paraId="074F52B3" w14:textId="5108743C" w:rsidR="0058336B" w:rsidRPr="0058336B" w:rsidRDefault="0058336B" w:rsidP="00610DFE">
      <w:pPr>
        <w:pStyle w:val="ListParagraph"/>
        <w:numPr>
          <w:ilvl w:val="0"/>
          <w:numId w:val="9"/>
        </w:numPr>
        <w:snapToGrid w:val="0"/>
        <w:ind w:left="1080"/>
        <w:rPr>
          <w:iCs/>
        </w:rPr>
      </w:pPr>
      <w:r w:rsidRPr="0058336B">
        <w:rPr>
          <w:iCs/>
        </w:rPr>
        <w:t xml:space="preserve">DUSC considered that the cost offset applied to phototherapy was overestimated. The </w:t>
      </w:r>
      <w:r w:rsidR="004B1EB9">
        <w:rPr>
          <w:iCs/>
        </w:rPr>
        <w:t>evaluation</w:t>
      </w:r>
      <w:r w:rsidRPr="0058336B">
        <w:rPr>
          <w:iCs/>
        </w:rPr>
        <w:t xml:space="preserve"> noted the submission overestimated phototherapy replacement in three ways, which underestimated the projected net cost of chlormethine gel:</w:t>
      </w:r>
    </w:p>
    <w:p w14:paraId="092445DE" w14:textId="77777777" w:rsidR="0058336B" w:rsidRPr="004B1EB9" w:rsidRDefault="0058336B" w:rsidP="00610DFE">
      <w:pPr>
        <w:pStyle w:val="ListParagraph"/>
        <w:numPr>
          <w:ilvl w:val="1"/>
          <w:numId w:val="9"/>
        </w:numPr>
        <w:snapToGrid w:val="0"/>
        <w:ind w:left="1440"/>
        <w:rPr>
          <w:iCs/>
        </w:rPr>
      </w:pPr>
      <w:r w:rsidRPr="004B1EB9">
        <w:rPr>
          <w:iCs/>
        </w:rPr>
        <w:t>The submission assumed each year of chlormethine gel would replace a full year of phototherapy. DUSC considered this to be unlikely. The comparator trials only administered phototherapy</w:t>
      </w:r>
      <w:r w:rsidRPr="004B1EB9" w:rsidDel="00405BA1">
        <w:rPr>
          <w:iCs/>
        </w:rPr>
        <w:t xml:space="preserve"> </w:t>
      </w:r>
      <w:r w:rsidRPr="004B1EB9">
        <w:rPr>
          <w:iCs/>
        </w:rPr>
        <w:t>for 12 to 24 weeks (approximately 40 sessions).</w:t>
      </w:r>
    </w:p>
    <w:p w14:paraId="4F9908E6" w14:textId="77777777" w:rsidR="0058336B" w:rsidRPr="004B1EB9" w:rsidRDefault="0058336B" w:rsidP="00610DFE">
      <w:pPr>
        <w:pStyle w:val="ListParagraph"/>
        <w:numPr>
          <w:ilvl w:val="1"/>
          <w:numId w:val="9"/>
        </w:numPr>
        <w:snapToGrid w:val="0"/>
        <w:ind w:left="1440"/>
        <w:rPr>
          <w:iCs/>
        </w:rPr>
      </w:pPr>
      <w:r w:rsidRPr="004B1EB9">
        <w:rPr>
          <w:iCs/>
        </w:rPr>
        <w:t>Each patient treated with chlormethine gel would save 4 years of phototherapy (287.32 phototherapy sessions per patient). There is no evidence to support the use of maintenance phototherapy (Australasian Lymphoma Alliance, 2020), and phototherapy was ceased once patients achieved a complete response in the comparator trials.</w:t>
      </w:r>
    </w:p>
    <w:p w14:paraId="3CF742AF" w14:textId="77777777" w:rsidR="0058336B" w:rsidRPr="004B1EB9" w:rsidRDefault="0058336B" w:rsidP="00610DFE">
      <w:pPr>
        <w:pStyle w:val="ListParagraph"/>
        <w:numPr>
          <w:ilvl w:val="1"/>
          <w:numId w:val="9"/>
        </w:numPr>
        <w:snapToGrid w:val="0"/>
        <w:ind w:left="1440"/>
        <w:rPr>
          <w:iCs/>
        </w:rPr>
      </w:pPr>
      <w:r w:rsidRPr="004B1EB9">
        <w:rPr>
          <w:iCs/>
        </w:rPr>
        <w:t xml:space="preserve">The submission did not consider that for a proportion of patients, chlormethine gel may displace or be used in combination with phototherapy. </w:t>
      </w:r>
    </w:p>
    <w:p w14:paraId="23AE4DDF" w14:textId="74A11E0A" w:rsidR="00CB7CF6" w:rsidRPr="00D54FDA" w:rsidRDefault="00D54FDA" w:rsidP="00D54FDA">
      <w:pPr>
        <w:numPr>
          <w:ilvl w:val="1"/>
          <w:numId w:val="1"/>
        </w:numPr>
        <w:spacing w:after="120"/>
        <w:ind w:left="720"/>
        <w:rPr>
          <w:rFonts w:asciiTheme="minorHAnsi" w:hAnsiTheme="minorHAnsi"/>
          <w:iCs/>
          <w:snapToGrid w:val="0"/>
        </w:rPr>
      </w:pPr>
      <w:bookmarkStart w:id="107" w:name="_Ref131494565"/>
      <w:r w:rsidRPr="00D54FDA">
        <w:rPr>
          <w:rFonts w:asciiTheme="minorHAnsi" w:hAnsiTheme="minorHAnsi"/>
          <w:iCs/>
          <w:snapToGrid w:val="0"/>
        </w:rPr>
        <w:t xml:space="preserve">DUSC considered the utilisation and financial estimates presented in this submission were complex and require substantial changes. DUSC advised that the estimates should be recalculated using a prevalence approach. A review of data sources should be undertaken to inform prevalence and consider age, gender distribution and BSA proportions. </w:t>
      </w:r>
      <w:r w:rsidR="00D84AFA">
        <w:rPr>
          <w:rFonts w:asciiTheme="minorHAnsi" w:hAnsiTheme="minorHAnsi"/>
          <w:iCs/>
          <w:snapToGrid w:val="0"/>
        </w:rPr>
        <w:t>In addition, DUSC considered s</w:t>
      </w:r>
      <w:r w:rsidRPr="00D54FDA">
        <w:rPr>
          <w:rFonts w:asciiTheme="minorHAnsi" w:hAnsiTheme="minorHAnsi"/>
          <w:iCs/>
          <w:snapToGrid w:val="0"/>
        </w:rPr>
        <w:t>ensitivity analyses should be undertaken as the epidemiology of the disease is not well understood, as well as uncertainty in uptake.</w:t>
      </w:r>
      <w:bookmarkEnd w:id="107"/>
    </w:p>
    <w:p w14:paraId="4FD74243" w14:textId="77777777" w:rsidR="00D8137E" w:rsidRPr="00EF4C2D" w:rsidRDefault="00D8137E" w:rsidP="00D8137E">
      <w:pPr>
        <w:pStyle w:val="4-SubsectionHeading"/>
      </w:pPr>
      <w:r w:rsidRPr="00EF4C2D">
        <w:t>Quality Use of Medicines</w:t>
      </w:r>
      <w:bookmarkEnd w:id="97"/>
      <w:bookmarkEnd w:id="98"/>
      <w:bookmarkEnd w:id="99"/>
    </w:p>
    <w:p w14:paraId="1015D903" w14:textId="77777777" w:rsidR="00D8137E" w:rsidRPr="00996CAA" w:rsidRDefault="00D8137E" w:rsidP="0092490D">
      <w:pPr>
        <w:pStyle w:val="3-BodyText"/>
        <w:ind w:left="709" w:hanging="709"/>
        <w:rPr>
          <w:iCs/>
        </w:rPr>
      </w:pPr>
      <w:r w:rsidRPr="0092490D">
        <w:rPr>
          <w:iCs/>
        </w:rPr>
        <w:t xml:space="preserve">The Sponsor will support the reimbursed supply of chlormethine gel for MF-CTCL in Australia through provision of educational material for targeted clinicians and pharmacists (including information for patients/carers on appropriate administration, storage and safe disposal). Patient education leaflets will be provided in addition to </w:t>
      </w:r>
      <w:r w:rsidRPr="00996CAA">
        <w:rPr>
          <w:iCs/>
        </w:rPr>
        <w:t>the information provided in the PI and Consumer Medication Information (CMI).</w:t>
      </w:r>
    </w:p>
    <w:p w14:paraId="3133054F" w14:textId="77777777" w:rsidR="00D8137E" w:rsidRPr="0092490D" w:rsidRDefault="00D8137E" w:rsidP="0092490D">
      <w:pPr>
        <w:pStyle w:val="3-BodyText"/>
        <w:ind w:left="709" w:hanging="709"/>
        <w:rPr>
          <w:iCs/>
        </w:rPr>
      </w:pPr>
      <w:r w:rsidRPr="00996CAA">
        <w:rPr>
          <w:iCs/>
        </w:rPr>
        <w:t>Compliance</w:t>
      </w:r>
      <w:r w:rsidRPr="0092490D">
        <w:rPr>
          <w:iCs/>
        </w:rPr>
        <w:t xml:space="preserve"> with chlormethine gel may be affected by the potential inconvenience of the daily administration regimen; in Study 201, patients were instructed to cover all affected lesions (Stage IA) or apply a full body application for Stage IB or IIA disease. As MF-CTCL patches or plaques commonly occur in areas that are infrequently exposed to sunlight (such as the back), self-application may be challenging, considering most patients are over 65 years old. Application of the gel to the patient by a care giver required use of disposable gloves and washing with soap and water if any gel contacted their skin. Patients were instructed not to cover the applied area for 5-10 minutes after administration, and not wash off the chlormethine gel for a minimum of 4 hours.</w:t>
      </w:r>
    </w:p>
    <w:p w14:paraId="0D5F6A8A" w14:textId="77777777" w:rsidR="00D8137E" w:rsidRPr="00EF4C2D" w:rsidRDefault="00D8137E" w:rsidP="00D8137E">
      <w:pPr>
        <w:pStyle w:val="4-SubsectionHeading"/>
      </w:pPr>
      <w:bookmarkStart w:id="108" w:name="_Toc22897649"/>
      <w:bookmarkStart w:id="109" w:name="_Toc22898861"/>
      <w:bookmarkStart w:id="110" w:name="_Toc121755828"/>
      <w:r w:rsidRPr="00EF4C2D">
        <w:t>Financial Management – Risk Sharing Arrangements</w:t>
      </w:r>
      <w:bookmarkEnd w:id="108"/>
      <w:bookmarkEnd w:id="109"/>
      <w:bookmarkEnd w:id="110"/>
    </w:p>
    <w:p w14:paraId="4EFCBEE6" w14:textId="404B1564" w:rsidR="00FE61BD" w:rsidRPr="00D84AFA" w:rsidRDefault="00D8137E" w:rsidP="00D84AFA">
      <w:pPr>
        <w:pStyle w:val="3-BodyText"/>
        <w:ind w:left="709" w:hanging="709"/>
        <w:rPr>
          <w:iCs/>
        </w:rPr>
      </w:pPr>
      <w:r w:rsidRPr="0092490D">
        <w:rPr>
          <w:iCs/>
        </w:rPr>
        <w:t>The submission did not propose a risk sharing arrangement.</w:t>
      </w:r>
      <w:bookmarkStart w:id="111" w:name="_Toc121755830"/>
    </w:p>
    <w:p w14:paraId="3C529A2C" w14:textId="77777777" w:rsidR="00996CAA" w:rsidRPr="00996CAA" w:rsidRDefault="00996CAA" w:rsidP="00610DFE">
      <w:pPr>
        <w:pStyle w:val="2-SectionHeading"/>
      </w:pPr>
      <w:bookmarkStart w:id="112" w:name="_Hlk76381249"/>
      <w:bookmarkStart w:id="113" w:name="_Hlk76377955"/>
      <w:r w:rsidRPr="00996CAA">
        <w:t>PBAC Outcome</w:t>
      </w:r>
    </w:p>
    <w:p w14:paraId="0EF2D538" w14:textId="59B6EE0C" w:rsidR="00BD7C79" w:rsidRPr="00BD7C79" w:rsidRDefault="00BD7C79" w:rsidP="00440D87">
      <w:pPr>
        <w:pStyle w:val="3-BodyText"/>
        <w:ind w:left="720"/>
      </w:pPr>
      <w:r w:rsidRPr="00BD7C79">
        <w:t xml:space="preserve">The PBAC did not recommend the listing of chlormethine </w:t>
      </w:r>
      <w:r w:rsidR="00F128AD">
        <w:t xml:space="preserve">hydrochloride </w:t>
      </w:r>
      <w:r w:rsidRPr="00BD7C79">
        <w:t>gel</w:t>
      </w:r>
      <w:r w:rsidR="00F128AD">
        <w:t xml:space="preserve"> (hereafter chlormethine gel)</w:t>
      </w:r>
      <w:r w:rsidRPr="00BD7C79">
        <w:t xml:space="preserve"> for the treatment of mycosis fungoides-type cutaneous T-cell lymphoma (MF-CTCL) in adult patients who have no more than 25% of their body surface area (BSA) involved, have failed, are intolerant of or have a contraindication to treatment with topical corticosteroids.</w:t>
      </w:r>
      <w:r w:rsidR="00F128AD">
        <w:t xml:space="preserve"> The PBAC acknowledged the clinical need for additional treatment options for patients with MF-CTCL.</w:t>
      </w:r>
      <w:r w:rsidR="00B8735D">
        <w:t xml:space="preserve"> However, the PBAC considered </w:t>
      </w:r>
      <w:r w:rsidR="00440D87">
        <w:t xml:space="preserve">that </w:t>
      </w:r>
      <w:r w:rsidR="00B8735D">
        <w:t>the clinical evidence presented did not</w:t>
      </w:r>
      <w:r w:rsidR="00CE7D9B">
        <w:t xml:space="preserve"> adequately support the claim that chlormethine gel provides improved effectiveness compared to phototherapy with respect to health-related quality of life (HRQoL) and hence the</w:t>
      </w:r>
      <w:r w:rsidR="00B8735D">
        <w:t xml:space="preserve"> cost-utility analysis (CUA) </w:t>
      </w:r>
      <w:r w:rsidR="00A379DD">
        <w:t>based on</w:t>
      </w:r>
      <w:r w:rsidR="00CE7D9B">
        <w:t xml:space="preserve"> this claim did not support</w:t>
      </w:r>
      <w:r w:rsidR="00A379DD">
        <w:t xml:space="preserve"> </w:t>
      </w:r>
      <w:r w:rsidR="00B8735D">
        <w:t>that chlormethine gel was cost-effective.</w:t>
      </w:r>
    </w:p>
    <w:p w14:paraId="49995B7A" w14:textId="4E6DB9DB" w:rsidR="00F128AD" w:rsidRPr="00E71111" w:rsidRDefault="00440D87" w:rsidP="00440D87">
      <w:pPr>
        <w:pStyle w:val="3-BodyText"/>
        <w:ind w:left="720"/>
      </w:pPr>
      <w:r>
        <w:t xml:space="preserve">The </w:t>
      </w:r>
      <w:r w:rsidRPr="00E71111">
        <w:t xml:space="preserve">PBAC noted the input from an individual, health care professionals and Lymphoma Australia and acknowledged </w:t>
      </w:r>
      <w:r w:rsidR="00520878" w:rsidRPr="00E71111">
        <w:t xml:space="preserve">that </w:t>
      </w:r>
      <w:r w:rsidRPr="00E71111">
        <w:t xml:space="preserve">there was a clinical need for </w:t>
      </w:r>
      <w:r w:rsidR="00520878" w:rsidRPr="00E71111">
        <w:t xml:space="preserve">a range of treatment options in this chronic disease. </w:t>
      </w:r>
    </w:p>
    <w:p w14:paraId="58DECCB2" w14:textId="33CE0AF7" w:rsidR="00BD7C79" w:rsidRDefault="00BD7C79" w:rsidP="00440D87">
      <w:pPr>
        <w:pStyle w:val="3-BodyText"/>
        <w:ind w:left="720"/>
      </w:pPr>
      <w:r>
        <w:t>T</w:t>
      </w:r>
      <w:r w:rsidRPr="00BD7C79">
        <w:t xml:space="preserve">he </w:t>
      </w:r>
      <w:r>
        <w:t>PBAC</w:t>
      </w:r>
      <w:r w:rsidRPr="00BD7C79">
        <w:t xml:space="preserve"> considered that </w:t>
      </w:r>
      <w:r w:rsidR="00A379DD">
        <w:t xml:space="preserve">the proposed comparator of </w:t>
      </w:r>
      <w:r w:rsidRPr="00BD7C79">
        <w:t xml:space="preserve">phototherapy was </w:t>
      </w:r>
      <w:r w:rsidR="00A379DD">
        <w:t>reasonable</w:t>
      </w:r>
      <w:r w:rsidRPr="00BD7C79">
        <w:t xml:space="preserve">. The </w:t>
      </w:r>
      <w:r>
        <w:t>PBAC</w:t>
      </w:r>
      <w:r w:rsidRPr="00BD7C79">
        <w:t xml:space="preserve"> also noted that </w:t>
      </w:r>
      <w:r w:rsidR="004E10A7">
        <w:t xml:space="preserve">some </w:t>
      </w:r>
      <w:r w:rsidRPr="00BD7C79">
        <w:t xml:space="preserve">patients may use chlormethine </w:t>
      </w:r>
      <w:r w:rsidR="00CB6C94">
        <w:t xml:space="preserve">gel </w:t>
      </w:r>
      <w:r w:rsidR="003D4FD2">
        <w:t>concurrently with</w:t>
      </w:r>
      <w:r w:rsidRPr="00BD7C79">
        <w:t xml:space="preserve"> phototherapy or after phototherapy. </w:t>
      </w:r>
    </w:p>
    <w:p w14:paraId="694126A1" w14:textId="567C3846" w:rsidR="00CE2BBB" w:rsidRPr="00DD7E56" w:rsidRDefault="00DD7E56" w:rsidP="00DD7E56">
      <w:pPr>
        <w:pStyle w:val="3-BodyText"/>
        <w:ind w:left="720"/>
      </w:pPr>
      <w:r>
        <w:t xml:space="preserve">The PBAC noted the submission described chlormethine gel as having non-inferior efficacy in terms of restricted mean duration of complete response (rmDOCR) and improved effectiveness in terms of HRQoL and considered this was an unusual approach. </w:t>
      </w:r>
      <w:r w:rsidR="00A039A4" w:rsidRPr="00A039A4">
        <w:t xml:space="preserve">The submission presented an unanchored indirect treatment comparison (ITC) of evidence extracted from the single arms of studies for chlormethine gel </w:t>
      </w:r>
      <w:r w:rsidR="00A039A4">
        <w:t xml:space="preserve">(Study 201) </w:t>
      </w:r>
      <w:r w:rsidR="00A039A4" w:rsidRPr="00A039A4">
        <w:t>and phototherapy</w:t>
      </w:r>
      <w:r w:rsidR="00A039A4">
        <w:t xml:space="preserve"> (El Mofty 2012, Whittaker 2012 and Vieyra-Garcia 2019) to support a claim of non-inferior efficacy</w:t>
      </w:r>
      <w:r w:rsidR="00AC5C8E">
        <w:t xml:space="preserve"> for the outcome of </w:t>
      </w:r>
      <w:r>
        <w:t>rmDOCR</w:t>
      </w:r>
      <w:r w:rsidR="00A039A4" w:rsidRPr="00A039A4">
        <w:t>.</w:t>
      </w:r>
      <w:r w:rsidR="00A039A4">
        <w:t xml:space="preserve"> The PBAC considered t</w:t>
      </w:r>
      <w:r w:rsidR="00A039A4" w:rsidRPr="00A039A4">
        <w:t>here were issues of transitivity affecting the comparability of th</w:t>
      </w:r>
      <w:r w:rsidR="00AC5C8E">
        <w:t>e</w:t>
      </w:r>
      <w:r w:rsidR="00A039A4" w:rsidRPr="00A039A4">
        <w:t xml:space="preserve">se studies due to differences in: the definition of response, prior treatments, sample sizes, time and location at which the studies were conducted, and the duration of the studies being compared. The </w:t>
      </w:r>
      <w:r w:rsidR="00A039A4">
        <w:t xml:space="preserve">PBAC agreed with the </w:t>
      </w:r>
      <w:r w:rsidR="00AA26DB">
        <w:t>PSCR</w:t>
      </w:r>
      <w:r w:rsidR="00A039A4">
        <w:t xml:space="preserve"> </w:t>
      </w:r>
      <w:r w:rsidR="00A039A4" w:rsidRPr="00A039A4">
        <w:t>that the transitivity issues largely arose from the low-quality phototherapy studies</w:t>
      </w:r>
      <w:r w:rsidR="00987150">
        <w:t xml:space="preserve"> and acknowledged the difficulty in developing an evidence base for treatments for rare diseases</w:t>
      </w:r>
      <w:r w:rsidR="00A039A4" w:rsidRPr="00A039A4">
        <w:t>.</w:t>
      </w:r>
      <w:r w:rsidR="00A039A4">
        <w:t xml:space="preserve"> </w:t>
      </w:r>
      <w:r w:rsidR="00987150">
        <w:t xml:space="preserve">However, </w:t>
      </w:r>
      <w:r w:rsidR="00CE2BBB">
        <w:t xml:space="preserve">the PBAC considered that the ITC was biased in favour of chlormethine gel primarily due to the differences in the classification complete response (CR) evident across the trials (see paragraph </w:t>
      </w:r>
      <w:r w:rsidR="00CE2BBB">
        <w:fldChar w:fldCharType="begin"/>
      </w:r>
      <w:r w:rsidR="00CE2BBB">
        <w:instrText xml:space="preserve"> REF _Ref127359476 \r \h </w:instrText>
      </w:r>
      <w:r>
        <w:instrText xml:space="preserve"> \* MERGEFORMAT </w:instrText>
      </w:r>
      <w:r w:rsidR="00CE2BBB">
        <w:fldChar w:fldCharType="separate"/>
      </w:r>
      <w:r w:rsidR="00FD5578">
        <w:t>6.18</w:t>
      </w:r>
      <w:r w:rsidR="00CE2BBB">
        <w:fldChar w:fldCharType="end"/>
      </w:r>
      <w:r w:rsidR="00CE2BBB">
        <w:t xml:space="preserve">). In addition, the PBAC noted that </w:t>
      </w:r>
      <w:r w:rsidR="00CE2BBB" w:rsidRPr="00DD7E56">
        <w:t xml:space="preserve">although the ITC result was not statistically significant (p=0.185), the point estimate favoured phototherapy (mean difference in rmDOR = 2.1 months) with a wide confidence interval (-1.0, 5.4). The PBAC agreed with the ESC that these inconclusive statistical results further added to concerns about whether the ITC had satisfactorily established non-inferiority to phototherapy. </w:t>
      </w:r>
      <w:r w:rsidR="00CE2BBB" w:rsidRPr="00A039A4">
        <w:t>The PBAC considered that non-inferiority to phototherapy was difficult to definitively establish given the limited available data for this rare condition.</w:t>
      </w:r>
    </w:p>
    <w:p w14:paraId="38F5500A" w14:textId="5121BBCB" w:rsidR="00C30BA7" w:rsidRPr="00CE2BBB" w:rsidRDefault="00C30BA7" w:rsidP="00CE2BBB">
      <w:pPr>
        <w:pStyle w:val="3-BodyText"/>
        <w:ind w:left="709" w:hanging="709"/>
        <w:rPr>
          <w:iCs/>
        </w:rPr>
      </w:pPr>
      <w:bookmarkStart w:id="114" w:name="_Ref131437233"/>
      <w:r>
        <w:rPr>
          <w:iCs/>
        </w:rPr>
        <w:t xml:space="preserve">The PBAC noted that </w:t>
      </w:r>
      <w:r w:rsidR="00AF1E8D">
        <w:rPr>
          <w:iCs/>
        </w:rPr>
        <w:t xml:space="preserve">the impact of chlormethine gel on </w:t>
      </w:r>
      <w:r>
        <w:rPr>
          <w:iCs/>
        </w:rPr>
        <w:t>HRQoL was not investigated in Study 201</w:t>
      </w:r>
      <w:r w:rsidR="00E76D68">
        <w:rPr>
          <w:iCs/>
        </w:rPr>
        <w:t xml:space="preserve"> </w:t>
      </w:r>
      <w:r w:rsidR="006A2A6C">
        <w:rPr>
          <w:iCs/>
        </w:rPr>
        <w:t xml:space="preserve">with the submission instead reporting results from the PROVe study. </w:t>
      </w:r>
      <w:r w:rsidR="00E76D68">
        <w:rPr>
          <w:iCs/>
        </w:rPr>
        <w:t xml:space="preserve">The submission used the results from Graier et al. 2020 for phototherapy. </w:t>
      </w:r>
      <w:r w:rsidR="00E76D68" w:rsidRPr="0096381E" w:rsidDel="00F52DA1">
        <w:rPr>
          <w:rFonts w:cstheme="minorHAnsi"/>
          <w:iCs/>
        </w:rPr>
        <w:t>Th</w:t>
      </w:r>
      <w:r w:rsidR="00E76D68">
        <w:rPr>
          <w:rFonts w:cstheme="minorHAnsi"/>
          <w:iCs/>
        </w:rPr>
        <w:t xml:space="preserve">e PBAC noted these </w:t>
      </w:r>
      <w:r w:rsidR="00E71111">
        <w:rPr>
          <w:rFonts w:cstheme="minorHAnsi"/>
          <w:iCs/>
        </w:rPr>
        <w:t xml:space="preserve">two single-arm </w:t>
      </w:r>
      <w:r w:rsidR="00E76D68" w:rsidRPr="0096381E" w:rsidDel="00F52DA1">
        <w:rPr>
          <w:rFonts w:cstheme="minorHAnsi"/>
          <w:iCs/>
        </w:rPr>
        <w:t>studies used different disease-specific instruments for the assessment of quality of life in patients with MF-CTCL (</w:t>
      </w:r>
      <w:r w:rsidR="00E76D68">
        <w:rPr>
          <w:rFonts w:cstheme="minorHAnsi"/>
          <w:iCs/>
        </w:rPr>
        <w:t xml:space="preserve">see paragraph </w:t>
      </w:r>
      <w:r w:rsidR="00E76D68">
        <w:rPr>
          <w:rFonts w:cstheme="minorHAnsi"/>
          <w:iCs/>
        </w:rPr>
        <w:fldChar w:fldCharType="begin"/>
      </w:r>
      <w:r w:rsidR="00E76D68">
        <w:rPr>
          <w:rFonts w:cstheme="minorHAnsi"/>
          <w:iCs/>
        </w:rPr>
        <w:instrText xml:space="preserve"> REF _Ref131433164 \r \h </w:instrText>
      </w:r>
      <w:r w:rsidR="00E76D68">
        <w:rPr>
          <w:rFonts w:cstheme="minorHAnsi"/>
          <w:iCs/>
        </w:rPr>
      </w:r>
      <w:r w:rsidR="00E76D68">
        <w:rPr>
          <w:rFonts w:cstheme="minorHAnsi"/>
          <w:iCs/>
        </w:rPr>
        <w:fldChar w:fldCharType="separate"/>
      </w:r>
      <w:r w:rsidR="00FD5578">
        <w:rPr>
          <w:rFonts w:cstheme="minorHAnsi"/>
          <w:iCs/>
        </w:rPr>
        <w:t>6.20</w:t>
      </w:r>
      <w:r w:rsidR="00E76D68">
        <w:rPr>
          <w:rFonts w:cstheme="minorHAnsi"/>
          <w:iCs/>
        </w:rPr>
        <w:fldChar w:fldCharType="end"/>
      </w:r>
      <w:r w:rsidR="00E76D68" w:rsidRPr="0096381E" w:rsidDel="00F52DA1">
        <w:rPr>
          <w:rFonts w:cstheme="minorHAnsi"/>
          <w:iCs/>
        </w:rPr>
        <w:t>)</w:t>
      </w:r>
      <w:r w:rsidR="00E76D68">
        <w:rPr>
          <w:rFonts w:cstheme="minorHAnsi"/>
          <w:iCs/>
        </w:rPr>
        <w:t xml:space="preserve"> and advised that </w:t>
      </w:r>
      <w:r w:rsidR="00E71111">
        <w:rPr>
          <w:rFonts w:cstheme="minorHAnsi"/>
          <w:iCs/>
        </w:rPr>
        <w:t xml:space="preserve">no valid conclusions could be drawn from this </w:t>
      </w:r>
      <w:r w:rsidR="00E76D68">
        <w:rPr>
          <w:rFonts w:cstheme="minorHAnsi"/>
          <w:iCs/>
        </w:rPr>
        <w:t>comparison</w:t>
      </w:r>
      <w:r w:rsidR="00E76D68" w:rsidRPr="0096381E" w:rsidDel="00F52DA1">
        <w:rPr>
          <w:rFonts w:cstheme="minorHAnsi"/>
          <w:iCs/>
        </w:rPr>
        <w:t>.</w:t>
      </w:r>
      <w:r w:rsidR="00E76D68">
        <w:rPr>
          <w:rFonts w:cstheme="minorHAnsi"/>
          <w:iCs/>
        </w:rPr>
        <w:t xml:space="preserve"> As such, </w:t>
      </w:r>
      <w:r w:rsidR="00E71111" w:rsidRPr="00E71111">
        <w:rPr>
          <w:iCs/>
        </w:rPr>
        <w:t>the</w:t>
      </w:r>
      <w:r w:rsidR="00E71111" w:rsidRPr="00E71111">
        <w:rPr>
          <w:szCs w:val="20"/>
        </w:rPr>
        <w:t xml:space="preserve"> PBAC considered that the claim of superior comparative effectiveness compared to phototherapy with respect to HRQoL was not adequately supported by the data.</w:t>
      </w:r>
      <w:bookmarkEnd w:id="114"/>
    </w:p>
    <w:p w14:paraId="7709A929" w14:textId="0844D1E8" w:rsidR="00CE2BBB" w:rsidRPr="0057107D" w:rsidRDefault="0057107D" w:rsidP="0057107D">
      <w:pPr>
        <w:pStyle w:val="3-BodyText"/>
        <w:ind w:left="709" w:hanging="709"/>
      </w:pPr>
      <w:r>
        <w:t>T</w:t>
      </w:r>
      <w:r w:rsidR="00E71111" w:rsidRPr="0057107D">
        <w:t xml:space="preserve">he </w:t>
      </w:r>
      <w:r>
        <w:t xml:space="preserve">PBAC noted the most frequent adverse events (AEs) in Study 201 were skin-related, characterised mainly as local dermatitis, pruritis and erythema. The </w:t>
      </w:r>
      <w:r w:rsidR="00E71111" w:rsidRPr="0057107D">
        <w:t xml:space="preserve">PBAC </w:t>
      </w:r>
      <w:r w:rsidR="00E71111">
        <w:t>agreed with the</w:t>
      </w:r>
      <w:r w:rsidR="00E71111" w:rsidRPr="00EF4C2D">
        <w:t xml:space="preserve"> submission </w:t>
      </w:r>
      <w:r w:rsidR="00E71111">
        <w:t>that</w:t>
      </w:r>
      <w:r w:rsidR="00E71111" w:rsidRPr="00EF4C2D">
        <w:t xml:space="preserve"> it was difficult to compare </w:t>
      </w:r>
      <w:r>
        <w:t xml:space="preserve">chlormethine gel and phototherapy AE profiles given the different frequencies of administration and duration (see paragraph </w:t>
      </w:r>
      <w:r>
        <w:fldChar w:fldCharType="begin"/>
      </w:r>
      <w:r>
        <w:instrText xml:space="preserve"> REF _Ref131434545 \r \h </w:instrText>
      </w:r>
      <w:r>
        <w:fldChar w:fldCharType="separate"/>
      </w:r>
      <w:r w:rsidR="00FD5578">
        <w:t>6.25</w:t>
      </w:r>
      <w:r>
        <w:fldChar w:fldCharType="end"/>
      </w:r>
      <w:r>
        <w:t>)</w:t>
      </w:r>
      <w:r w:rsidR="00E71111" w:rsidRPr="00EF4C2D">
        <w:t>.</w:t>
      </w:r>
      <w:r w:rsidR="00E71111">
        <w:t xml:space="preserve"> </w:t>
      </w:r>
      <w:r>
        <w:t>As such, t</w:t>
      </w:r>
      <w:r w:rsidRPr="0057107D">
        <w:t>he PBAC considered that the claim of non-inferior safety was not adequately supported by the data but that the safety of chlormethine gel was manageable, given the intended use.</w:t>
      </w:r>
    </w:p>
    <w:p w14:paraId="48F8EDEB" w14:textId="418CC1FA" w:rsidR="002B2944" w:rsidRDefault="00F128AD" w:rsidP="002B2944">
      <w:pPr>
        <w:pStyle w:val="3-BodyText"/>
        <w:ind w:left="709" w:hanging="709"/>
        <w:rPr>
          <w:iCs/>
        </w:rPr>
      </w:pPr>
      <w:r w:rsidRPr="0057107D">
        <w:rPr>
          <w:szCs w:val="20"/>
        </w:rPr>
        <w:t xml:space="preserve">The </w:t>
      </w:r>
      <w:r w:rsidR="00CB142C" w:rsidRPr="0057107D">
        <w:rPr>
          <w:szCs w:val="20"/>
        </w:rPr>
        <w:t xml:space="preserve">PBAC noted that the </w:t>
      </w:r>
      <w:r w:rsidR="00AE1104">
        <w:rPr>
          <w:szCs w:val="20"/>
        </w:rPr>
        <w:t>CUA</w:t>
      </w:r>
      <w:r w:rsidR="00CB142C" w:rsidRPr="0057107D">
        <w:rPr>
          <w:szCs w:val="20"/>
        </w:rPr>
        <w:t xml:space="preserve"> relied on the claim that chlormethine gel was superior </w:t>
      </w:r>
      <w:r w:rsidR="00BC29E2">
        <w:rPr>
          <w:szCs w:val="20"/>
        </w:rPr>
        <w:t>with respect to</w:t>
      </w:r>
      <w:r w:rsidR="00CB142C" w:rsidRPr="0057107D">
        <w:rPr>
          <w:szCs w:val="20"/>
        </w:rPr>
        <w:t xml:space="preserve"> HRQoL versus phototherapy. </w:t>
      </w:r>
      <w:r w:rsidR="002B2944">
        <w:rPr>
          <w:szCs w:val="20"/>
        </w:rPr>
        <w:t>Th</w:t>
      </w:r>
      <w:r w:rsidR="00DD33D7">
        <w:rPr>
          <w:szCs w:val="20"/>
        </w:rPr>
        <w:t xml:space="preserve">is claim was based on an </w:t>
      </w:r>
      <w:r w:rsidR="002B2944">
        <w:rPr>
          <w:szCs w:val="20"/>
        </w:rPr>
        <w:t>assumed difference in quality of life in favour of chlormethine gel from a comparison of HRQoL during long-term therapy via the modelled economic evaluation</w:t>
      </w:r>
      <w:r w:rsidR="00DD33D7">
        <w:rPr>
          <w:szCs w:val="20"/>
        </w:rPr>
        <w:t>. The HRQoL data informing the economic model was</w:t>
      </w:r>
      <w:r w:rsidR="002B2944">
        <w:rPr>
          <w:szCs w:val="20"/>
        </w:rPr>
        <w:t xml:space="preserve"> based on data derived from a de novo vignette study. </w:t>
      </w:r>
      <w:r w:rsidR="002B2944" w:rsidRPr="002B2944">
        <w:rPr>
          <w:szCs w:val="20"/>
        </w:rPr>
        <w:t xml:space="preserve">As outlined in paragraph </w:t>
      </w:r>
      <w:r w:rsidR="002B2944" w:rsidRPr="002B2944">
        <w:rPr>
          <w:szCs w:val="20"/>
        </w:rPr>
        <w:fldChar w:fldCharType="begin"/>
      </w:r>
      <w:r w:rsidR="002B2944" w:rsidRPr="002B2944">
        <w:rPr>
          <w:szCs w:val="20"/>
        </w:rPr>
        <w:instrText xml:space="preserve"> REF _Ref131437233 \r \h </w:instrText>
      </w:r>
      <w:r w:rsidR="002B2944" w:rsidRPr="002B2944">
        <w:rPr>
          <w:szCs w:val="20"/>
        </w:rPr>
      </w:r>
      <w:r w:rsidR="002B2944" w:rsidRPr="002B2944">
        <w:rPr>
          <w:szCs w:val="20"/>
        </w:rPr>
        <w:fldChar w:fldCharType="separate"/>
      </w:r>
      <w:r w:rsidR="00FD5578">
        <w:rPr>
          <w:szCs w:val="20"/>
        </w:rPr>
        <w:t>7.5</w:t>
      </w:r>
      <w:r w:rsidR="002B2944" w:rsidRPr="002B2944">
        <w:rPr>
          <w:szCs w:val="20"/>
        </w:rPr>
        <w:fldChar w:fldCharType="end"/>
      </w:r>
      <w:r w:rsidR="002B2944" w:rsidRPr="002B2944">
        <w:rPr>
          <w:szCs w:val="20"/>
        </w:rPr>
        <w:t>, the PBAC considered the claim of superior comparative effectiveness with respect to HRQoL was not supported by data from the PROVe and Graier et al. 2000 studies.</w:t>
      </w:r>
      <w:r w:rsidR="002B2944">
        <w:rPr>
          <w:szCs w:val="20"/>
        </w:rPr>
        <w:t xml:space="preserve"> </w:t>
      </w:r>
      <w:r w:rsidR="00DD33D7">
        <w:rPr>
          <w:szCs w:val="20"/>
        </w:rPr>
        <w:t xml:space="preserve">The PBAC </w:t>
      </w:r>
      <w:r w:rsidR="00AC5C8E">
        <w:rPr>
          <w:szCs w:val="20"/>
        </w:rPr>
        <w:t xml:space="preserve">further </w:t>
      </w:r>
      <w:r w:rsidR="00DD33D7">
        <w:rPr>
          <w:szCs w:val="20"/>
        </w:rPr>
        <w:t>considered the approach taken by the submission introduce</w:t>
      </w:r>
      <w:r w:rsidR="008C7866">
        <w:rPr>
          <w:szCs w:val="20"/>
        </w:rPr>
        <w:t>d</w:t>
      </w:r>
      <w:r w:rsidR="00DD33D7">
        <w:rPr>
          <w:szCs w:val="20"/>
        </w:rPr>
        <w:t xml:space="preserve"> a </w:t>
      </w:r>
      <w:r w:rsidR="00DD33D7" w:rsidRPr="00AE1104">
        <w:rPr>
          <w:iCs/>
        </w:rPr>
        <w:t xml:space="preserve">disconnect in the evidence base between </w:t>
      </w:r>
      <w:r w:rsidR="002B43B4">
        <w:rPr>
          <w:iCs/>
        </w:rPr>
        <w:t>that</w:t>
      </w:r>
      <w:r w:rsidR="00DD33D7" w:rsidRPr="00AE1104">
        <w:rPr>
          <w:iCs/>
        </w:rPr>
        <w:t xml:space="preserve"> evaluated with respect to the clinical claim and that presented for the cost-effectiveness claim.</w:t>
      </w:r>
      <w:r w:rsidR="00DD33D7">
        <w:rPr>
          <w:iCs/>
        </w:rPr>
        <w:t xml:space="preserve"> </w:t>
      </w:r>
      <w:r w:rsidR="00C35448" w:rsidRPr="00DF296F">
        <w:rPr>
          <w:iCs/>
        </w:rPr>
        <w:t xml:space="preserve">The </w:t>
      </w:r>
      <w:r w:rsidR="00C35448">
        <w:rPr>
          <w:iCs/>
        </w:rPr>
        <w:t>PBAC</w:t>
      </w:r>
      <w:r w:rsidR="00C35448" w:rsidRPr="00DF296F">
        <w:rPr>
          <w:iCs/>
        </w:rPr>
        <w:t xml:space="preserve"> acknowledged the difficulty in populating an economic model for a rare disease</w:t>
      </w:r>
      <w:r w:rsidR="00C35448">
        <w:rPr>
          <w:iCs/>
        </w:rPr>
        <w:t xml:space="preserve"> </w:t>
      </w:r>
      <w:r w:rsidR="00AC5C8E">
        <w:rPr>
          <w:iCs/>
        </w:rPr>
        <w:t>h</w:t>
      </w:r>
      <w:r w:rsidR="00C35448">
        <w:rPr>
          <w:iCs/>
        </w:rPr>
        <w:t xml:space="preserve">owever, </w:t>
      </w:r>
      <w:r w:rsidR="00DD33D7">
        <w:rPr>
          <w:iCs/>
        </w:rPr>
        <w:t xml:space="preserve">concluded that the </w:t>
      </w:r>
      <w:r w:rsidR="00DD33D7" w:rsidRPr="00DD33D7">
        <w:rPr>
          <w:iCs/>
        </w:rPr>
        <w:t xml:space="preserve">economic model was not reliable for decision making as the clinical evidence presented did not provide a reliable basis for undertaking a </w:t>
      </w:r>
      <w:r w:rsidR="00DD33D7">
        <w:rPr>
          <w:iCs/>
        </w:rPr>
        <w:t xml:space="preserve">CUA and hence the cost-effectiveness of chlormethine gel could not be assessed. </w:t>
      </w:r>
    </w:p>
    <w:p w14:paraId="5FCD3D96" w14:textId="2FEF3420" w:rsidR="000A7981" w:rsidRPr="00D84AFA" w:rsidRDefault="00C35448" w:rsidP="00D84AFA">
      <w:pPr>
        <w:pStyle w:val="3-BodyText"/>
        <w:ind w:left="709" w:hanging="709"/>
        <w:rPr>
          <w:iCs/>
        </w:rPr>
      </w:pPr>
      <w:bookmarkStart w:id="115" w:name="_Ref131496641"/>
      <w:r w:rsidRPr="00DF296F">
        <w:rPr>
          <w:iCs/>
        </w:rPr>
        <w:t xml:space="preserve">The </w:t>
      </w:r>
      <w:r>
        <w:rPr>
          <w:iCs/>
        </w:rPr>
        <w:t xml:space="preserve">PBAC agreed with the </w:t>
      </w:r>
      <w:r w:rsidRPr="00DF296F">
        <w:rPr>
          <w:iCs/>
        </w:rPr>
        <w:t xml:space="preserve">ESC that chlormethine </w:t>
      </w:r>
      <w:r>
        <w:rPr>
          <w:iCs/>
        </w:rPr>
        <w:t xml:space="preserve">gel </w:t>
      </w:r>
      <w:r w:rsidRPr="00DF296F">
        <w:rPr>
          <w:iCs/>
        </w:rPr>
        <w:t xml:space="preserve">may be a useful additional therapeutic option for a niche group of patients. </w:t>
      </w:r>
      <w:r w:rsidRPr="00E71111">
        <w:rPr>
          <w:iCs/>
        </w:rPr>
        <w:t xml:space="preserve">The PBAC </w:t>
      </w:r>
      <w:r>
        <w:rPr>
          <w:iCs/>
        </w:rPr>
        <w:t>considered</w:t>
      </w:r>
      <w:r w:rsidRPr="00E71111">
        <w:rPr>
          <w:iCs/>
        </w:rPr>
        <w:t xml:space="preserve"> that use in patients</w:t>
      </w:r>
      <w:r w:rsidR="00F127E1">
        <w:rPr>
          <w:iCs/>
        </w:rPr>
        <w:t xml:space="preserve"> with</w:t>
      </w:r>
      <w:r w:rsidR="009B5CB2">
        <w:rPr>
          <w:iCs/>
        </w:rPr>
        <w:t xml:space="preserve"> </w:t>
      </w:r>
      <w:r w:rsidR="009B5CB2" w:rsidRPr="00BD7C79">
        <w:t>no more than</w:t>
      </w:r>
      <w:r w:rsidR="009B5CB2">
        <w:rPr>
          <w:iCs/>
        </w:rPr>
        <w:t xml:space="preserve"> 2</w:t>
      </w:r>
      <w:r w:rsidRPr="00E71111">
        <w:rPr>
          <w:iCs/>
        </w:rPr>
        <w:t>5% affected BSA was likely the most appropriate subgroup to benefit from treatment.</w:t>
      </w:r>
      <w:r>
        <w:rPr>
          <w:iCs/>
        </w:rPr>
        <w:t xml:space="preserve"> </w:t>
      </w:r>
      <w:r w:rsidRPr="00DF296F">
        <w:rPr>
          <w:iCs/>
        </w:rPr>
        <w:t xml:space="preserve">With phototherapy considered an appropriate comparator the </w:t>
      </w:r>
      <w:r>
        <w:rPr>
          <w:iCs/>
        </w:rPr>
        <w:t xml:space="preserve">PBAC agreed with the </w:t>
      </w:r>
      <w:r w:rsidRPr="00DF296F">
        <w:rPr>
          <w:iCs/>
        </w:rPr>
        <w:t xml:space="preserve">ESC </w:t>
      </w:r>
      <w:r>
        <w:rPr>
          <w:iCs/>
        </w:rPr>
        <w:t>that</w:t>
      </w:r>
      <w:r w:rsidRPr="00DF296F">
        <w:rPr>
          <w:iCs/>
        </w:rPr>
        <w:t xml:space="preserve"> a cost-minimisation analysis against phototherapy may be a potential way forward in this rare condition.</w:t>
      </w:r>
      <w:bookmarkEnd w:id="115"/>
      <w:r>
        <w:rPr>
          <w:iCs/>
        </w:rPr>
        <w:t xml:space="preserve"> </w:t>
      </w:r>
    </w:p>
    <w:p w14:paraId="555E59DA" w14:textId="562DF3FA" w:rsidR="00000E0A" w:rsidRPr="00200578" w:rsidRDefault="001964B4" w:rsidP="00440D87">
      <w:pPr>
        <w:pStyle w:val="3-BodyText"/>
        <w:ind w:left="720"/>
      </w:pPr>
      <w:r>
        <w:t xml:space="preserve">The PBAC agreed with the DUSC that the financial estimates in the submission were subject to substantial uncertainty around the number of eligible patients, the uptake, </w:t>
      </w:r>
      <w:r w:rsidR="002B43B4">
        <w:t xml:space="preserve">and </w:t>
      </w:r>
      <w:r>
        <w:t>the mean time-on-treatment</w:t>
      </w:r>
      <w:r w:rsidR="000A7981">
        <w:t xml:space="preserve">. </w:t>
      </w:r>
      <w:r w:rsidR="00000E0A">
        <w:t xml:space="preserve">The PBAC considered that the data provided in the pre-PBAC response on the average daily grams of chlormethine gel used by participants in Study 201 provided some reassurance that the majority of patients would be adequately served by the proposed maximum quantity of 2 tubes per month (see paragraph </w:t>
      </w:r>
      <w:r w:rsidR="00000E0A">
        <w:fldChar w:fldCharType="begin"/>
      </w:r>
      <w:r w:rsidR="00000E0A">
        <w:instrText xml:space="preserve"> REF _Ref131494565 \r \h </w:instrText>
      </w:r>
      <w:r w:rsidR="00000E0A">
        <w:fldChar w:fldCharType="separate"/>
      </w:r>
      <w:r w:rsidR="00FD5578">
        <w:t>6.61</w:t>
      </w:r>
      <w:r w:rsidR="00000E0A">
        <w:fldChar w:fldCharType="end"/>
      </w:r>
      <w:r w:rsidR="00000E0A">
        <w:t>). However, t</w:t>
      </w:r>
      <w:r w:rsidR="000A7981">
        <w:t xml:space="preserve">he </w:t>
      </w:r>
      <w:r w:rsidR="00D84AFA">
        <w:t xml:space="preserve">PBAC </w:t>
      </w:r>
      <w:r w:rsidR="00200578">
        <w:t>considered that</w:t>
      </w:r>
      <w:r w:rsidR="00D84AFA">
        <w:t xml:space="preserve"> the </w:t>
      </w:r>
      <w:r w:rsidR="001F6950">
        <w:t xml:space="preserve">cost </w:t>
      </w:r>
      <w:r w:rsidR="000A7981">
        <w:t xml:space="preserve">offsets </w:t>
      </w:r>
      <w:r w:rsidR="001F6950">
        <w:t xml:space="preserve">applied to phototherapy </w:t>
      </w:r>
      <w:r w:rsidR="000A7981">
        <w:t xml:space="preserve">were </w:t>
      </w:r>
      <w:r w:rsidR="001F6950">
        <w:t>overestimated</w:t>
      </w:r>
      <w:r w:rsidR="00CB7CF6">
        <w:t>,</w:t>
      </w:r>
      <w:r w:rsidR="005B59B2">
        <w:t xml:space="preserve"> given that f</w:t>
      </w:r>
      <w:r w:rsidR="009B5CB2">
        <w:t>or a proportion of</w:t>
      </w:r>
      <w:r w:rsidR="005B59B2">
        <w:t xml:space="preserve"> patients chlormethine gel is likely to be used as an option </w:t>
      </w:r>
      <w:r w:rsidR="00171CF4">
        <w:t xml:space="preserve">in </w:t>
      </w:r>
      <w:r w:rsidR="005B59B2">
        <w:t>addition to phototherapy, not as a substitute for phototherapy.</w:t>
      </w:r>
      <w:r w:rsidR="00000E0A">
        <w:t xml:space="preserve"> Overall, the</w:t>
      </w:r>
      <w:r w:rsidR="00200578">
        <w:t xml:space="preserve"> PBAC agreed with the</w:t>
      </w:r>
      <w:r w:rsidR="00000E0A">
        <w:t xml:space="preserve"> </w:t>
      </w:r>
      <w:r w:rsidR="00200578" w:rsidRPr="00D54FDA">
        <w:rPr>
          <w:iCs/>
          <w:snapToGrid/>
        </w:rPr>
        <w:t xml:space="preserve">DUSC </w:t>
      </w:r>
      <w:r w:rsidR="00200578">
        <w:rPr>
          <w:iCs/>
          <w:snapToGrid/>
        </w:rPr>
        <w:t>that</w:t>
      </w:r>
      <w:r w:rsidR="00200578" w:rsidRPr="00D54FDA">
        <w:rPr>
          <w:iCs/>
          <w:snapToGrid/>
        </w:rPr>
        <w:t xml:space="preserve"> the utilisation and financial estimates presented in this submission were complex and require substantial changes.</w:t>
      </w:r>
    </w:p>
    <w:p w14:paraId="1D9A917C" w14:textId="56C6CA12" w:rsidR="008C7866" w:rsidRDefault="008C7866" w:rsidP="008C7866">
      <w:pPr>
        <w:pStyle w:val="3-BodyText"/>
        <w:ind w:left="709" w:hanging="709"/>
        <w:rPr>
          <w:lang w:val="en-GB"/>
        </w:rPr>
      </w:pPr>
      <w:r w:rsidRPr="008C7866">
        <w:rPr>
          <w:iCs/>
        </w:rPr>
        <w:t>The</w:t>
      </w:r>
      <w:r w:rsidRPr="00996CAA">
        <w:rPr>
          <w:lang w:val="en-GB"/>
        </w:rPr>
        <w:t xml:space="preserve"> PBAC considered a resubmission for</w:t>
      </w:r>
      <w:r>
        <w:rPr>
          <w:lang w:val="en-GB"/>
        </w:rPr>
        <w:t xml:space="preserve"> </w:t>
      </w:r>
      <w:r w:rsidR="002B43B4">
        <w:rPr>
          <w:lang w:val="en-GB"/>
        </w:rPr>
        <w:t>chlormethine gel</w:t>
      </w:r>
      <w:r w:rsidRPr="00996CAA">
        <w:rPr>
          <w:lang w:val="en-GB"/>
        </w:rPr>
        <w:t xml:space="preserve"> should address the following issues:</w:t>
      </w:r>
    </w:p>
    <w:p w14:paraId="79621964" w14:textId="53169E28" w:rsidR="002B43B4" w:rsidRDefault="002B43B4" w:rsidP="00610DFE">
      <w:pPr>
        <w:pStyle w:val="ListParagraph"/>
        <w:numPr>
          <w:ilvl w:val="0"/>
          <w:numId w:val="9"/>
        </w:numPr>
        <w:snapToGrid w:val="0"/>
        <w:ind w:left="1080"/>
        <w:rPr>
          <w:lang w:val="en-GB"/>
        </w:rPr>
      </w:pPr>
      <w:r>
        <w:rPr>
          <w:lang w:val="en-GB"/>
        </w:rPr>
        <w:t xml:space="preserve">Provide a robust justification for the claim of non-inferior comparative effectiveness versus </w:t>
      </w:r>
      <w:r w:rsidR="009E00C3">
        <w:rPr>
          <w:lang w:val="en-GB"/>
        </w:rPr>
        <w:t>phototherapy.</w:t>
      </w:r>
    </w:p>
    <w:p w14:paraId="35CCC96A" w14:textId="5B48D7B7" w:rsidR="008C7866" w:rsidRDefault="000444CE" w:rsidP="00610DFE">
      <w:pPr>
        <w:pStyle w:val="ListParagraph"/>
        <w:numPr>
          <w:ilvl w:val="0"/>
          <w:numId w:val="9"/>
        </w:numPr>
        <w:snapToGrid w:val="0"/>
        <w:ind w:left="1080"/>
        <w:rPr>
          <w:lang w:val="en-GB"/>
        </w:rPr>
      </w:pPr>
      <w:r>
        <w:rPr>
          <w:lang w:val="en-GB"/>
        </w:rPr>
        <w:t xml:space="preserve">Provide </w:t>
      </w:r>
      <w:r w:rsidR="002B43B4">
        <w:rPr>
          <w:lang w:val="en-GB"/>
        </w:rPr>
        <w:t xml:space="preserve">a cost-minimisation analysis against phototherapy as outlined in paragraph </w:t>
      </w:r>
      <w:r w:rsidR="002B43B4">
        <w:rPr>
          <w:lang w:val="en-GB"/>
        </w:rPr>
        <w:fldChar w:fldCharType="begin"/>
      </w:r>
      <w:r w:rsidR="002B43B4">
        <w:rPr>
          <w:lang w:val="en-GB"/>
        </w:rPr>
        <w:instrText xml:space="preserve"> REF _Ref131496641 \r \h </w:instrText>
      </w:r>
      <w:r w:rsidR="002B43B4">
        <w:rPr>
          <w:lang w:val="en-GB"/>
        </w:rPr>
      </w:r>
      <w:r w:rsidR="002B43B4">
        <w:rPr>
          <w:lang w:val="en-GB"/>
        </w:rPr>
        <w:fldChar w:fldCharType="separate"/>
      </w:r>
      <w:r w:rsidR="00FD5578">
        <w:rPr>
          <w:lang w:val="en-GB"/>
        </w:rPr>
        <w:t>7.8</w:t>
      </w:r>
      <w:r w:rsidR="002B43B4">
        <w:rPr>
          <w:lang w:val="en-GB"/>
        </w:rPr>
        <w:fldChar w:fldCharType="end"/>
      </w:r>
      <w:r w:rsidR="009E00C3">
        <w:rPr>
          <w:lang w:val="en-GB"/>
        </w:rPr>
        <w:t>.</w:t>
      </w:r>
    </w:p>
    <w:p w14:paraId="40030894" w14:textId="75990345" w:rsidR="002B43B4" w:rsidRPr="002B43B4" w:rsidRDefault="002B43B4" w:rsidP="00610DFE">
      <w:pPr>
        <w:pStyle w:val="ListParagraph"/>
        <w:numPr>
          <w:ilvl w:val="0"/>
          <w:numId w:val="9"/>
        </w:numPr>
        <w:snapToGrid w:val="0"/>
        <w:ind w:left="1080"/>
        <w:rPr>
          <w:lang w:val="en-GB"/>
        </w:rPr>
      </w:pPr>
      <w:r>
        <w:rPr>
          <w:lang w:val="en-GB"/>
        </w:rPr>
        <w:t xml:space="preserve">Provide revised financial estimates that address the concerns raised by DUSC as outlined in paragraphs </w:t>
      </w:r>
      <w:r>
        <w:rPr>
          <w:lang w:val="en-GB"/>
        </w:rPr>
        <w:fldChar w:fldCharType="begin"/>
      </w:r>
      <w:r>
        <w:rPr>
          <w:lang w:val="en-GB"/>
        </w:rPr>
        <w:instrText xml:space="preserve"> REF _Ref131496485 \r \h </w:instrText>
      </w:r>
      <w:r>
        <w:rPr>
          <w:lang w:val="en-GB"/>
        </w:rPr>
      </w:r>
      <w:r>
        <w:rPr>
          <w:lang w:val="en-GB"/>
        </w:rPr>
        <w:fldChar w:fldCharType="separate"/>
      </w:r>
      <w:r w:rsidR="00FD5578">
        <w:rPr>
          <w:lang w:val="en-GB"/>
        </w:rPr>
        <w:t>6.60</w:t>
      </w:r>
      <w:r>
        <w:rPr>
          <w:lang w:val="en-GB"/>
        </w:rPr>
        <w:fldChar w:fldCharType="end"/>
      </w:r>
      <w:r>
        <w:rPr>
          <w:lang w:val="en-GB"/>
        </w:rPr>
        <w:t xml:space="preserve"> and </w:t>
      </w:r>
      <w:r>
        <w:rPr>
          <w:lang w:val="en-GB"/>
        </w:rPr>
        <w:fldChar w:fldCharType="begin"/>
      </w:r>
      <w:r>
        <w:rPr>
          <w:lang w:val="en-GB"/>
        </w:rPr>
        <w:instrText xml:space="preserve"> REF _Ref131494565 \r \h </w:instrText>
      </w:r>
      <w:r>
        <w:rPr>
          <w:lang w:val="en-GB"/>
        </w:rPr>
      </w:r>
      <w:r>
        <w:rPr>
          <w:lang w:val="en-GB"/>
        </w:rPr>
        <w:fldChar w:fldCharType="separate"/>
      </w:r>
      <w:r w:rsidR="00FD5578">
        <w:rPr>
          <w:lang w:val="en-GB"/>
        </w:rPr>
        <w:t>6.61</w:t>
      </w:r>
      <w:r>
        <w:rPr>
          <w:lang w:val="en-GB"/>
        </w:rPr>
        <w:fldChar w:fldCharType="end"/>
      </w:r>
      <w:r>
        <w:rPr>
          <w:lang w:val="en-GB"/>
        </w:rPr>
        <w:t>.</w:t>
      </w:r>
    </w:p>
    <w:p w14:paraId="528F82AF" w14:textId="04E91A01" w:rsidR="00200578" w:rsidRDefault="008C7866" w:rsidP="008C7866">
      <w:pPr>
        <w:pStyle w:val="3-BodyText"/>
        <w:ind w:left="709" w:hanging="709"/>
        <w:rPr>
          <w:iCs/>
        </w:rPr>
      </w:pPr>
      <w:r w:rsidRPr="008C7866">
        <w:rPr>
          <w:iCs/>
        </w:rPr>
        <w:t>The resubmission may be lodged at any future standard due date for PBAC submissions using the standard re-entry pathway.</w:t>
      </w:r>
    </w:p>
    <w:p w14:paraId="0205643F" w14:textId="4E184540" w:rsidR="008C7866" w:rsidRPr="009E00C3" w:rsidRDefault="009E00C3" w:rsidP="009E00C3">
      <w:pPr>
        <w:pStyle w:val="3-BodyText"/>
        <w:ind w:left="720"/>
        <w:rPr>
          <w:lang w:val="en-GB"/>
        </w:rPr>
      </w:pPr>
      <w:r w:rsidRPr="00C77AEB">
        <w:rPr>
          <w:lang w:val="en-GB"/>
        </w:rPr>
        <w:t>The PBAC noted that this submission is eligible for an Independent Review.</w:t>
      </w:r>
    </w:p>
    <w:p w14:paraId="4537B7C2" w14:textId="77777777" w:rsidR="00996CAA" w:rsidRPr="00996CAA" w:rsidRDefault="00996CAA" w:rsidP="00996CAA">
      <w:pPr>
        <w:spacing w:before="240"/>
        <w:rPr>
          <w:rFonts w:asciiTheme="minorHAnsi" w:hAnsiTheme="minorHAnsi"/>
          <w:b/>
          <w:bCs/>
          <w:snapToGrid w:val="0"/>
          <w:lang w:val="en-GB"/>
        </w:rPr>
      </w:pPr>
      <w:r w:rsidRPr="00996CAA">
        <w:rPr>
          <w:rFonts w:asciiTheme="minorHAnsi" w:hAnsiTheme="minorHAnsi"/>
          <w:b/>
          <w:bCs/>
          <w:snapToGrid w:val="0"/>
          <w:lang w:val="en-GB"/>
        </w:rPr>
        <w:t>Outcome:</w:t>
      </w:r>
    </w:p>
    <w:p w14:paraId="7E2AF7F5" w14:textId="1ADD8D0C" w:rsidR="00DD7E56" w:rsidRDefault="00996CAA" w:rsidP="001F2098">
      <w:pPr>
        <w:rPr>
          <w:rFonts w:cs="Calibri"/>
        </w:rPr>
      </w:pPr>
      <w:r w:rsidRPr="00996CAA">
        <w:rPr>
          <w:rFonts w:asciiTheme="minorHAnsi" w:hAnsiTheme="minorHAnsi"/>
          <w:bCs/>
          <w:snapToGrid w:val="0"/>
          <w:lang w:val="en-GB"/>
        </w:rPr>
        <w:t>Not recommended</w:t>
      </w:r>
      <w:bookmarkStart w:id="116" w:name="_Hlk76377978"/>
      <w:bookmarkEnd w:id="96"/>
      <w:bookmarkEnd w:id="111"/>
      <w:bookmarkEnd w:id="112"/>
      <w:bookmarkEnd w:id="113"/>
    </w:p>
    <w:p w14:paraId="12C13033" w14:textId="77777777" w:rsidR="00603003" w:rsidRDefault="00603003" w:rsidP="001F2098">
      <w:pPr>
        <w:rPr>
          <w:rFonts w:cs="Calibri"/>
        </w:rPr>
      </w:pPr>
    </w:p>
    <w:p w14:paraId="14B06FE6" w14:textId="13FDCB72" w:rsidR="00603003" w:rsidRPr="00603003" w:rsidRDefault="00603003" w:rsidP="00603003">
      <w:pPr>
        <w:pStyle w:val="2-SectionHeading"/>
      </w:pPr>
      <w:r w:rsidRPr="00C07617">
        <w:t>Context for Decision</w:t>
      </w:r>
    </w:p>
    <w:p w14:paraId="4FC195A2" w14:textId="77777777" w:rsidR="00603003" w:rsidRPr="007129F2" w:rsidRDefault="00603003" w:rsidP="00603003">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09641D7" w14:textId="143FB971" w:rsidR="00603003" w:rsidRPr="00603003" w:rsidRDefault="00603003" w:rsidP="00603003">
      <w:pPr>
        <w:pStyle w:val="2-SectionHeading"/>
      </w:pPr>
      <w:r>
        <w:t>Sponsor’s Comment</w:t>
      </w:r>
    </w:p>
    <w:p w14:paraId="5EE9A1A0" w14:textId="77777777" w:rsidR="00603003" w:rsidRPr="001179AC" w:rsidRDefault="00603003" w:rsidP="00603003">
      <w:pPr>
        <w:spacing w:after="120"/>
        <w:ind w:left="426" w:firstLine="294"/>
        <w:rPr>
          <w:rFonts w:asciiTheme="minorHAnsi" w:hAnsiTheme="minorHAnsi"/>
          <w:bCs/>
        </w:rPr>
      </w:pPr>
      <w:r w:rsidRPr="00C07617">
        <w:rPr>
          <w:rFonts w:asciiTheme="minorHAnsi" w:hAnsiTheme="minorHAnsi"/>
          <w:bCs/>
        </w:rPr>
        <w:t>The sponsor had no comment.</w:t>
      </w:r>
    </w:p>
    <w:bookmarkEnd w:id="116"/>
    <w:p w14:paraId="26A1AE57" w14:textId="77777777" w:rsidR="00603003" w:rsidRPr="001F2098" w:rsidRDefault="00603003" w:rsidP="001F2098">
      <w:pPr>
        <w:rPr>
          <w:rFonts w:asciiTheme="minorHAnsi" w:hAnsiTheme="minorHAnsi"/>
          <w:bCs/>
          <w:snapToGrid w:val="0"/>
          <w:lang w:val="en-GB"/>
        </w:rPr>
      </w:pPr>
    </w:p>
    <w:sectPr w:rsidR="00603003" w:rsidRPr="001F2098" w:rsidSect="007F42BA">
      <w:type w:val="continuous"/>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4A89" w14:textId="77777777" w:rsidR="00AA54BB" w:rsidRDefault="00AA54BB" w:rsidP="00124A51">
      <w:r>
        <w:separator/>
      </w:r>
    </w:p>
    <w:p w14:paraId="73E441E2" w14:textId="77777777" w:rsidR="00AA54BB" w:rsidRDefault="00AA54BB"/>
  </w:endnote>
  <w:endnote w:type="continuationSeparator" w:id="0">
    <w:p w14:paraId="6F084AF2" w14:textId="77777777" w:rsidR="00AA54BB" w:rsidRDefault="00AA54BB" w:rsidP="00124A51">
      <w:r>
        <w:continuationSeparator/>
      </w:r>
    </w:p>
    <w:p w14:paraId="2C3018DB" w14:textId="77777777" w:rsidR="00AA54BB" w:rsidRDefault="00AA5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2F1582" w:rsidRDefault="002F1582" w:rsidP="00753B29">
    <w:pPr>
      <w:pStyle w:val="Footer"/>
      <w:jc w:val="center"/>
    </w:pPr>
  </w:p>
  <w:p w14:paraId="37484CD3" w14:textId="76EEF711" w:rsidR="002F1582" w:rsidRPr="00603003" w:rsidRDefault="00FD5578" w:rsidP="00753B29">
    <w:pPr>
      <w:pStyle w:val="Footer"/>
      <w:jc w:val="center"/>
      <w:rPr>
        <w:b/>
        <w:bCs/>
      </w:rPr>
    </w:pPr>
    <w:sdt>
      <w:sdtPr>
        <w:rPr>
          <w:b/>
          <w:bCs/>
        </w:rPr>
        <w:id w:val="1036156457"/>
        <w:docPartObj>
          <w:docPartGallery w:val="Page Numbers (Bottom of Page)"/>
          <w:docPartUnique/>
        </w:docPartObj>
      </w:sdtPr>
      <w:sdtEndPr>
        <w:rPr>
          <w:noProof/>
        </w:rPr>
      </w:sdtEndPr>
      <w:sdtContent>
        <w:r w:rsidR="002F1582" w:rsidRPr="00603003">
          <w:rPr>
            <w:b/>
            <w:bCs/>
          </w:rPr>
          <w:fldChar w:fldCharType="begin"/>
        </w:r>
        <w:r w:rsidR="002F1582" w:rsidRPr="00603003">
          <w:rPr>
            <w:b/>
            <w:bCs/>
          </w:rPr>
          <w:instrText xml:space="preserve"> PAGE   \* MERGEFORMAT </w:instrText>
        </w:r>
        <w:r w:rsidR="002F1582" w:rsidRPr="00603003">
          <w:rPr>
            <w:b/>
            <w:bCs/>
          </w:rPr>
          <w:fldChar w:fldCharType="separate"/>
        </w:r>
        <w:r w:rsidR="002F1582" w:rsidRPr="00603003">
          <w:rPr>
            <w:b/>
            <w:bCs/>
            <w:noProof/>
          </w:rPr>
          <w:t>2</w:t>
        </w:r>
        <w:r w:rsidR="002F1582" w:rsidRPr="00603003">
          <w:rPr>
            <w:b/>
            <w:b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5660" w14:textId="77777777" w:rsidR="007F42BA" w:rsidRDefault="007F4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14D0" w14:textId="77777777" w:rsidR="007F42BA" w:rsidRDefault="007F42BA" w:rsidP="00753B29">
    <w:pPr>
      <w:pStyle w:val="Footer"/>
      <w:jc w:val="center"/>
    </w:pPr>
  </w:p>
  <w:p w14:paraId="1A7F1D7F" w14:textId="77777777" w:rsidR="007F42BA" w:rsidRPr="00603003" w:rsidRDefault="00FD5578" w:rsidP="00753B29">
    <w:pPr>
      <w:pStyle w:val="Footer"/>
      <w:jc w:val="center"/>
      <w:rPr>
        <w:b/>
        <w:bCs/>
      </w:rPr>
    </w:pPr>
    <w:sdt>
      <w:sdtPr>
        <w:rPr>
          <w:b/>
          <w:bCs/>
        </w:rPr>
        <w:id w:val="1639612239"/>
        <w:docPartObj>
          <w:docPartGallery w:val="Page Numbers (Bottom of Page)"/>
          <w:docPartUnique/>
        </w:docPartObj>
      </w:sdtPr>
      <w:sdtEndPr>
        <w:rPr>
          <w:noProof/>
        </w:rPr>
      </w:sdtEndPr>
      <w:sdtContent>
        <w:r w:rsidR="007F42BA" w:rsidRPr="00603003">
          <w:rPr>
            <w:b/>
            <w:bCs/>
          </w:rPr>
          <w:fldChar w:fldCharType="begin"/>
        </w:r>
        <w:r w:rsidR="007F42BA" w:rsidRPr="00603003">
          <w:rPr>
            <w:b/>
            <w:bCs/>
          </w:rPr>
          <w:instrText xml:space="preserve"> PAGE   \* MERGEFORMAT </w:instrText>
        </w:r>
        <w:r w:rsidR="007F42BA" w:rsidRPr="00603003">
          <w:rPr>
            <w:b/>
            <w:bCs/>
          </w:rPr>
          <w:fldChar w:fldCharType="separate"/>
        </w:r>
        <w:r w:rsidR="007F42BA" w:rsidRPr="00603003">
          <w:rPr>
            <w:b/>
            <w:bCs/>
            <w:noProof/>
          </w:rPr>
          <w:t>2</w:t>
        </w:r>
        <w:r w:rsidR="007F42BA" w:rsidRPr="00603003">
          <w:rPr>
            <w:b/>
            <w:bCs/>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7F1B" w14:textId="77777777" w:rsidR="007F42BA" w:rsidRDefault="007F4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82FD" w14:textId="77777777" w:rsidR="00AA54BB" w:rsidRDefault="00AA54BB" w:rsidP="00124A51">
      <w:r>
        <w:separator/>
      </w:r>
    </w:p>
    <w:p w14:paraId="4C8F15F3" w14:textId="77777777" w:rsidR="00AA54BB" w:rsidRDefault="00AA54BB"/>
  </w:footnote>
  <w:footnote w:type="continuationSeparator" w:id="0">
    <w:p w14:paraId="3888234F" w14:textId="77777777" w:rsidR="00AA54BB" w:rsidRDefault="00AA54BB" w:rsidP="00124A51">
      <w:r>
        <w:continuationSeparator/>
      </w:r>
    </w:p>
    <w:p w14:paraId="59BF61D8" w14:textId="77777777" w:rsidR="00AA54BB" w:rsidRDefault="00AA54BB"/>
  </w:footnote>
  <w:footnote w:id="1">
    <w:p w14:paraId="7CF1D56E" w14:textId="77777777" w:rsidR="002F1582" w:rsidRPr="00A97B58" w:rsidRDefault="002F1582" w:rsidP="00D8137E">
      <w:pPr>
        <w:pStyle w:val="FootnoteText"/>
        <w:rPr>
          <w:lang w:val="en-US"/>
        </w:rPr>
      </w:pPr>
      <w:r>
        <w:rPr>
          <w:rStyle w:val="FootnoteReference"/>
        </w:rPr>
        <w:footnoteRef/>
      </w:r>
      <w:r>
        <w:t xml:space="preserve"> </w:t>
      </w:r>
      <w:r w:rsidRPr="00A97B58">
        <w:t xml:space="preserve">Bhabha, F.K., </w:t>
      </w:r>
      <w:r>
        <w:t>et al</w:t>
      </w:r>
      <w:r w:rsidRPr="00A97B58">
        <w:t xml:space="preserve"> (2021), Mycosis fungoides and Sézary syndrome: Australian clinical practice statement. </w:t>
      </w:r>
      <w:r w:rsidRPr="00A97B58">
        <w:rPr>
          <w:i/>
          <w:iCs/>
        </w:rPr>
        <w:t>Australas J Dermatol</w:t>
      </w:r>
      <w:r w:rsidRPr="00A97B58">
        <w:t>, 62</w:t>
      </w:r>
      <w:r>
        <w:rPr>
          <w:lang w:val="en-US"/>
        </w:rPr>
        <w:t>, p. e12.</w:t>
      </w:r>
    </w:p>
  </w:footnote>
  <w:footnote w:id="2">
    <w:p w14:paraId="6495DF8F" w14:textId="77777777" w:rsidR="002F1582" w:rsidRPr="00025856" w:rsidRDefault="002F1582" w:rsidP="00D8137E">
      <w:pPr>
        <w:pStyle w:val="FootnoteText"/>
        <w:rPr>
          <w:lang w:val="en-US"/>
        </w:rPr>
      </w:pPr>
      <w:r>
        <w:rPr>
          <w:rStyle w:val="FootnoteReference"/>
        </w:rPr>
        <w:footnoteRef/>
      </w:r>
      <w:r>
        <w:t xml:space="preserve"> </w:t>
      </w:r>
      <w:r w:rsidRPr="00025856">
        <w:t xml:space="preserve">Olsen EA, </w:t>
      </w:r>
      <w:r>
        <w:t xml:space="preserve">et al. </w:t>
      </w:r>
      <w:r w:rsidRPr="00025856">
        <w:t xml:space="preserve">Clinical end points and response criteria in mycosis fungoides and Sézary syndrome: a consensus statement of the International Society for Cutaneous Lymphomas, the United States Cutaneous Lymphoma Consortium, and the Cutaneous Lymphoma Task Force of the European Organisation for Research and Treatment of Cancer. </w:t>
      </w:r>
      <w:r w:rsidRPr="00025856">
        <w:rPr>
          <w:i/>
          <w:iCs/>
        </w:rPr>
        <w:t>J Clin Oncol</w:t>
      </w:r>
      <w:r w:rsidRPr="00025856">
        <w:t>. 2011 Jun 20;29(18):2598-607.</w:t>
      </w:r>
    </w:p>
  </w:footnote>
  <w:footnote w:id="3">
    <w:p w14:paraId="3CA2FC99" w14:textId="008FF467" w:rsidR="002F1582" w:rsidRPr="00236C73" w:rsidRDefault="002F1582">
      <w:pPr>
        <w:pStyle w:val="FootnoteText"/>
        <w:rPr>
          <w:lang w:val="en-US"/>
        </w:rPr>
      </w:pPr>
      <w:r>
        <w:rPr>
          <w:rStyle w:val="FootnoteReference"/>
        </w:rPr>
        <w:footnoteRef/>
      </w:r>
      <w:r>
        <w:t xml:space="preserve"> </w:t>
      </w:r>
      <w:r w:rsidRPr="00A97B58">
        <w:t xml:space="preserve">Bhabha, F.K., </w:t>
      </w:r>
      <w:r>
        <w:t>et al</w:t>
      </w:r>
      <w:r w:rsidRPr="00A97B58">
        <w:t xml:space="preserve"> (2021), Mycosis fungoides and Sézary syndrome: Australian clinical practice statement. </w:t>
      </w:r>
      <w:r w:rsidRPr="00A97B58">
        <w:rPr>
          <w:i/>
          <w:iCs/>
        </w:rPr>
        <w:t>Australas J Dermatol</w:t>
      </w:r>
      <w:r w:rsidRPr="00A97B58">
        <w:t>, 62</w:t>
      </w:r>
      <w:r>
        <w:rPr>
          <w:lang w:val="en-US"/>
        </w:rPr>
        <w:t>, p. e12</w:t>
      </w:r>
    </w:p>
  </w:footnote>
  <w:footnote w:id="4">
    <w:p w14:paraId="3E24CE28" w14:textId="112D88D1" w:rsidR="002F1582" w:rsidRPr="00AA4B3F" w:rsidRDefault="002F1582">
      <w:pPr>
        <w:pStyle w:val="FootnoteText"/>
        <w:rPr>
          <w:lang w:val="en-US"/>
        </w:rPr>
      </w:pPr>
      <w:r>
        <w:rPr>
          <w:rStyle w:val="FootnoteReference"/>
        </w:rPr>
        <w:footnoteRef/>
      </w:r>
      <w:r>
        <w:t xml:space="preserve"> Hodak, E, Amitay-Laish, I (2021), Variants of mycosis fungoides: Folliculotropic mycosis fungoides, UpToDate, </w:t>
      </w:r>
      <w:r w:rsidRPr="00AA4B3F">
        <w:t>Wolters Kluwer N.V.</w:t>
      </w:r>
    </w:p>
  </w:footnote>
  <w:footnote w:id="5">
    <w:p w14:paraId="10ED513A" w14:textId="77777777" w:rsidR="002F1582" w:rsidRDefault="002F1582" w:rsidP="00D8137E">
      <w:pPr>
        <w:pStyle w:val="FootnoteText"/>
      </w:pPr>
      <w:r>
        <w:rPr>
          <w:rStyle w:val="FootnoteReference"/>
        </w:rPr>
        <w:footnoteRef/>
      </w:r>
      <w:r>
        <w:t xml:space="preserve"> </w:t>
      </w:r>
      <w:proofErr w:type="spellStart"/>
      <w:r>
        <w:t>Meregaglia</w:t>
      </w:r>
      <w:proofErr w:type="spellEnd"/>
      <w:r>
        <w:t xml:space="preserve"> M, </w:t>
      </w:r>
      <w:proofErr w:type="spellStart"/>
      <w:r>
        <w:t>Tarricone</w:t>
      </w:r>
      <w:proofErr w:type="spellEnd"/>
      <w:r>
        <w:t xml:space="preserve"> R. Feasibility of Deriving Health State Utilities in Mycosis Fungoides Cutaneous T-Cell Lymphoma Using Mapping Algorithms. Pharmacoecon Open. 2022 Jul;6(4):595-603. doi: 10.1007/s41669-022-00326-6. Epub 2022 Feb 19. PMID: 35182375; PMCID: PMC9283626.</w:t>
      </w:r>
    </w:p>
  </w:footnote>
  <w:footnote w:id="6">
    <w:p w14:paraId="7B51CDCC" w14:textId="77777777" w:rsidR="002F1582" w:rsidRDefault="002F1582" w:rsidP="00D8137E">
      <w:pPr>
        <w:pStyle w:val="FootnoteText"/>
      </w:pPr>
      <w:r>
        <w:rPr>
          <w:rStyle w:val="FootnoteReference"/>
        </w:rPr>
        <w:footnoteRef/>
      </w:r>
      <w:r>
        <w:t xml:space="preserve"> </w:t>
      </w:r>
      <w:r w:rsidRPr="00A97B58">
        <w:t xml:space="preserve">Bhabha, F.K., </w:t>
      </w:r>
      <w:r>
        <w:t>et al</w:t>
      </w:r>
      <w:r w:rsidRPr="00A97B58">
        <w:t xml:space="preserve"> (2021), Mycosis fungoides and Sézary syndrome: Australian clinical practice statement. </w:t>
      </w:r>
      <w:r w:rsidRPr="00A97B58">
        <w:rPr>
          <w:i/>
          <w:iCs/>
        </w:rPr>
        <w:t>Australas J Dermatol</w:t>
      </w:r>
      <w:r w:rsidRPr="00A97B58">
        <w:t>, 62</w:t>
      </w:r>
      <w:r>
        <w:rPr>
          <w:lang w:val="en-US"/>
        </w:rPr>
        <w:t>, p. e12</w:t>
      </w:r>
    </w:p>
  </w:footnote>
  <w:footnote w:id="7">
    <w:p w14:paraId="64BB80BB" w14:textId="77777777" w:rsidR="00AD7B35" w:rsidRPr="00714B4E" w:rsidRDefault="00AD7B35" w:rsidP="00AD7B35">
      <w:pPr>
        <w:pStyle w:val="FootnoteText"/>
        <w:jc w:val="left"/>
        <w:rPr>
          <w:lang w:val="en-US"/>
        </w:rPr>
      </w:pPr>
      <w:r>
        <w:rPr>
          <w:rStyle w:val="FootnoteReference"/>
        </w:rPr>
        <w:footnoteRef/>
      </w:r>
      <w:r>
        <w:t xml:space="preserve"> Data from the Office for National Statistics (2019), accessed 25/11/2022: </w:t>
      </w:r>
      <w:hyperlink r:id="rId1" w:history="1">
        <w:r w:rsidRPr="00576555">
          <w:rPr>
            <w:rStyle w:val="Hyperlink"/>
          </w:rPr>
          <w:t>https://www.ons.gov.uk/peoplepopulationandcommunity/populationandmigration/populationestimates/bulletins/annualmidyearpopulationestimates/mid2018</w:t>
        </w:r>
      </w:hyperlink>
      <w:r>
        <w:t xml:space="preserve"> </w:t>
      </w:r>
    </w:p>
  </w:footnote>
  <w:footnote w:id="8">
    <w:p w14:paraId="0846756E" w14:textId="77777777" w:rsidR="00AD7B35" w:rsidRPr="00E22D71" w:rsidRDefault="00AD7B35" w:rsidP="00AD7B35">
      <w:pPr>
        <w:pStyle w:val="FootnoteText"/>
        <w:rPr>
          <w:lang w:val="en-US"/>
        </w:rPr>
      </w:pPr>
      <w:r>
        <w:rPr>
          <w:rStyle w:val="FootnoteReference"/>
        </w:rPr>
        <w:footnoteRef/>
      </w:r>
      <w:r>
        <w:t xml:space="preserve"> </w:t>
      </w:r>
      <w:r w:rsidRPr="00E22D71">
        <w:t xml:space="preserve">D’Agostino, P., Kent, A., Sharp, E., Schmidt, F. and Turini, M. (2019). Mycosis fungoides-type cutaneous T-cell lymphoma (MF-CTCL) epidemiology in UK: New insights for an accurate estimation.  Unpublished conference abstract presented </w:t>
      </w:r>
      <w:r>
        <w:t>as an attachment to</w:t>
      </w:r>
      <w:r w:rsidRPr="00E22D71">
        <w:t xml:space="preserve"> the submission.</w:t>
      </w:r>
    </w:p>
  </w:footnote>
  <w:footnote w:id="9">
    <w:p w14:paraId="1213BB3B" w14:textId="77777777" w:rsidR="00AD7B35" w:rsidRPr="00FE5945" w:rsidRDefault="00AD7B35" w:rsidP="00AD7B35">
      <w:pPr>
        <w:pStyle w:val="FootnoteText"/>
        <w:rPr>
          <w:lang w:val="en-US"/>
        </w:rPr>
      </w:pPr>
      <w:r>
        <w:rPr>
          <w:rStyle w:val="FootnoteReference"/>
        </w:rPr>
        <w:footnoteRef/>
      </w:r>
      <w:r>
        <w:t xml:space="preserve"> </w:t>
      </w:r>
      <w:r w:rsidRPr="00FE5945">
        <w:t xml:space="preserve">Australian Clinical Practice Statement for mycosis fungoides and </w:t>
      </w:r>
      <w:r w:rsidRPr="003634DF">
        <w:t xml:space="preserve">Sézary </w:t>
      </w:r>
      <w:r w:rsidRPr="00FE5945">
        <w:t>syndrome</w:t>
      </w:r>
      <w:r>
        <w:t xml:space="preserve"> (2020), </w:t>
      </w:r>
      <w:r w:rsidRPr="00FE5945">
        <w:t>Australasian Lymphoma Alliance, p. 22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2FA78803" w:rsidR="002F1582" w:rsidRPr="00195452" w:rsidRDefault="00603003" w:rsidP="00D822E2">
    <w:pPr>
      <w:pStyle w:val="Header"/>
      <w:rPr>
        <w:rFonts w:asciiTheme="minorHAnsi" w:hAnsiTheme="minorHAnsi"/>
        <w:i/>
        <w:color w:val="808080"/>
      </w:rPr>
    </w:pPr>
    <w:r>
      <w:rPr>
        <w:rFonts w:asciiTheme="minorHAnsi" w:hAnsiTheme="minorHAnsi"/>
        <w:i/>
        <w:color w:val="808080"/>
      </w:rPr>
      <w:t>Public Summary Document</w:t>
    </w:r>
    <w:r w:rsidR="00DF296F">
      <w:rPr>
        <w:rFonts w:asciiTheme="minorHAnsi" w:hAnsiTheme="minorHAnsi"/>
        <w:i/>
        <w:color w:val="808080"/>
      </w:rPr>
      <w:t xml:space="preserve"> - </w:t>
    </w:r>
    <w:r w:rsidR="002F1582">
      <w:rPr>
        <w:rFonts w:asciiTheme="minorHAnsi" w:hAnsiTheme="minorHAnsi"/>
        <w:i/>
        <w:color w:val="808080"/>
      </w:rPr>
      <w:t xml:space="preserve">March 2023 </w:t>
    </w:r>
    <w:r w:rsidR="002F1582" w:rsidRPr="00195452">
      <w:rPr>
        <w:rFonts w:asciiTheme="minorHAnsi" w:hAnsiTheme="minorHAnsi"/>
        <w:i/>
        <w:color w:val="808080"/>
      </w:rPr>
      <w:t>PBAC Meeting</w:t>
    </w:r>
  </w:p>
  <w:p w14:paraId="03AF943B" w14:textId="77777777" w:rsidR="002F1582" w:rsidRPr="008C7ECB" w:rsidRDefault="002F1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C979" w14:textId="77777777" w:rsidR="007F42BA" w:rsidRDefault="007F4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532C" w14:textId="77777777" w:rsidR="007F42BA" w:rsidRPr="00195452" w:rsidRDefault="007F42BA" w:rsidP="00D822E2">
    <w:pPr>
      <w:pStyle w:val="Header"/>
      <w:rPr>
        <w:rFonts w:asciiTheme="minorHAnsi" w:hAnsiTheme="minorHAnsi"/>
        <w:i/>
        <w:color w:val="808080"/>
      </w:rPr>
    </w:pPr>
    <w:r>
      <w:rPr>
        <w:rFonts w:asciiTheme="minorHAnsi" w:hAnsiTheme="minorHAnsi"/>
        <w:i/>
        <w:color w:val="808080"/>
      </w:rPr>
      <w:t xml:space="preserve">Public Summary Document - March 2023 </w:t>
    </w:r>
    <w:r w:rsidRPr="00195452">
      <w:rPr>
        <w:rFonts w:asciiTheme="minorHAnsi" w:hAnsiTheme="minorHAnsi"/>
        <w:i/>
        <w:color w:val="808080"/>
      </w:rPr>
      <w:t>PBAC Meeting</w:t>
    </w:r>
  </w:p>
  <w:p w14:paraId="7C089021" w14:textId="77777777" w:rsidR="007F42BA" w:rsidRPr="008C7ECB" w:rsidRDefault="007F42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E42E" w14:textId="77777777" w:rsidR="007F42BA" w:rsidRDefault="007F4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1EC0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46471"/>
    <w:multiLevelType w:val="hybridMultilevel"/>
    <w:tmpl w:val="9E081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C7751"/>
    <w:multiLevelType w:val="hybridMultilevel"/>
    <w:tmpl w:val="7304D6A2"/>
    <w:lvl w:ilvl="0" w:tplc="0C090001">
      <w:start w:val="1"/>
      <w:numFmt w:val="bullet"/>
      <w:lvlText w:val=""/>
      <w:lvlJc w:val="left"/>
      <w:pPr>
        <w:ind w:left="1481" w:hanging="360"/>
      </w:pPr>
      <w:rPr>
        <w:rFonts w:ascii="Symbol" w:hAnsi="Symbol" w:hint="default"/>
      </w:rPr>
    </w:lvl>
    <w:lvl w:ilvl="1" w:tplc="0C090003" w:tentative="1">
      <w:start w:val="1"/>
      <w:numFmt w:val="bullet"/>
      <w:lvlText w:val="o"/>
      <w:lvlJc w:val="left"/>
      <w:pPr>
        <w:ind w:left="2201" w:hanging="360"/>
      </w:pPr>
      <w:rPr>
        <w:rFonts w:ascii="Courier New" w:hAnsi="Courier New" w:cs="Courier New"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cs="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cs="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3" w15:restartNumberingAfterBreak="0">
    <w:nsid w:val="1E2D5C1E"/>
    <w:multiLevelType w:val="hybridMultilevel"/>
    <w:tmpl w:val="4FB66484"/>
    <w:lvl w:ilvl="0" w:tplc="0C090001">
      <w:start w:val="1"/>
      <w:numFmt w:val="bullet"/>
      <w:lvlText w:val=""/>
      <w:lvlJc w:val="left"/>
      <w:pPr>
        <w:ind w:left="3567" w:hanging="360"/>
      </w:pPr>
      <w:rPr>
        <w:rFonts w:ascii="Symbol" w:hAnsi="Symbol" w:hint="default"/>
      </w:rPr>
    </w:lvl>
    <w:lvl w:ilvl="1" w:tplc="0C090003">
      <w:start w:val="1"/>
      <w:numFmt w:val="bullet"/>
      <w:lvlText w:val="o"/>
      <w:lvlJc w:val="left"/>
      <w:pPr>
        <w:ind w:left="4287" w:hanging="360"/>
      </w:pPr>
      <w:rPr>
        <w:rFonts w:ascii="Courier New" w:hAnsi="Courier New" w:cs="Courier New" w:hint="default"/>
      </w:rPr>
    </w:lvl>
    <w:lvl w:ilvl="2" w:tplc="0C090005" w:tentative="1">
      <w:start w:val="1"/>
      <w:numFmt w:val="bullet"/>
      <w:lvlText w:val=""/>
      <w:lvlJc w:val="left"/>
      <w:pPr>
        <w:ind w:left="5007" w:hanging="360"/>
      </w:pPr>
      <w:rPr>
        <w:rFonts w:ascii="Wingdings" w:hAnsi="Wingdings" w:hint="default"/>
      </w:rPr>
    </w:lvl>
    <w:lvl w:ilvl="3" w:tplc="0C090001" w:tentative="1">
      <w:start w:val="1"/>
      <w:numFmt w:val="bullet"/>
      <w:lvlText w:val=""/>
      <w:lvlJc w:val="left"/>
      <w:pPr>
        <w:ind w:left="5727" w:hanging="360"/>
      </w:pPr>
      <w:rPr>
        <w:rFonts w:ascii="Symbol" w:hAnsi="Symbol" w:hint="default"/>
      </w:rPr>
    </w:lvl>
    <w:lvl w:ilvl="4" w:tplc="0C090003" w:tentative="1">
      <w:start w:val="1"/>
      <w:numFmt w:val="bullet"/>
      <w:lvlText w:val="o"/>
      <w:lvlJc w:val="left"/>
      <w:pPr>
        <w:ind w:left="6447" w:hanging="360"/>
      </w:pPr>
      <w:rPr>
        <w:rFonts w:ascii="Courier New" w:hAnsi="Courier New" w:cs="Courier New" w:hint="default"/>
      </w:rPr>
    </w:lvl>
    <w:lvl w:ilvl="5" w:tplc="0C090005" w:tentative="1">
      <w:start w:val="1"/>
      <w:numFmt w:val="bullet"/>
      <w:lvlText w:val=""/>
      <w:lvlJc w:val="left"/>
      <w:pPr>
        <w:ind w:left="7167" w:hanging="360"/>
      </w:pPr>
      <w:rPr>
        <w:rFonts w:ascii="Wingdings" w:hAnsi="Wingdings" w:hint="default"/>
      </w:rPr>
    </w:lvl>
    <w:lvl w:ilvl="6" w:tplc="0C090001" w:tentative="1">
      <w:start w:val="1"/>
      <w:numFmt w:val="bullet"/>
      <w:lvlText w:val=""/>
      <w:lvlJc w:val="left"/>
      <w:pPr>
        <w:ind w:left="7887" w:hanging="360"/>
      </w:pPr>
      <w:rPr>
        <w:rFonts w:ascii="Symbol" w:hAnsi="Symbol" w:hint="default"/>
      </w:rPr>
    </w:lvl>
    <w:lvl w:ilvl="7" w:tplc="0C090003" w:tentative="1">
      <w:start w:val="1"/>
      <w:numFmt w:val="bullet"/>
      <w:lvlText w:val="o"/>
      <w:lvlJc w:val="left"/>
      <w:pPr>
        <w:ind w:left="8607" w:hanging="360"/>
      </w:pPr>
      <w:rPr>
        <w:rFonts w:ascii="Courier New" w:hAnsi="Courier New" w:cs="Courier New" w:hint="default"/>
      </w:rPr>
    </w:lvl>
    <w:lvl w:ilvl="8" w:tplc="0C090005" w:tentative="1">
      <w:start w:val="1"/>
      <w:numFmt w:val="bullet"/>
      <w:lvlText w:val=""/>
      <w:lvlJc w:val="left"/>
      <w:pPr>
        <w:ind w:left="9327" w:hanging="360"/>
      </w:pPr>
      <w:rPr>
        <w:rFonts w:ascii="Wingdings" w:hAnsi="Wingdings" w:hint="default"/>
      </w:rPr>
    </w:lvl>
  </w:abstractNum>
  <w:abstractNum w:abstractNumId="4" w15:restartNumberingAfterBreak="0">
    <w:nsid w:val="1ECB02BA"/>
    <w:multiLevelType w:val="hybridMultilevel"/>
    <w:tmpl w:val="87C894E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50C07"/>
    <w:multiLevelType w:val="hybridMultilevel"/>
    <w:tmpl w:val="1688E7C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5AD15BE3"/>
    <w:multiLevelType w:val="multilevel"/>
    <w:tmpl w:val="94C83F1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862"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6"/>
  </w:num>
  <w:num w:numId="4">
    <w:abstractNumId w:val="0"/>
  </w:num>
  <w:num w:numId="5">
    <w:abstractNumId w:val="9"/>
  </w:num>
  <w:num w:numId="6">
    <w:abstractNumId w:val="1"/>
  </w:num>
  <w:num w:numId="7">
    <w:abstractNumId w:val="7"/>
  </w:num>
  <w:num w:numId="8">
    <w:abstractNumId w:val="3"/>
  </w:num>
  <w:num w:numId="9">
    <w:abstractNumId w:val="4"/>
  </w:num>
  <w:num w:numId="10">
    <w:abstractNumId w:val="8"/>
  </w:num>
  <w:num w:numId="11">
    <w:abstractNumId w:val="2"/>
  </w:num>
  <w:num w:numId="12">
    <w:abstractNumId w:val="10"/>
  </w:num>
  <w:num w:numId="13">
    <w:abstractNumId w:val="10"/>
  </w:num>
  <w:num w:numId="1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E0A"/>
    <w:rsid w:val="0000110B"/>
    <w:rsid w:val="00002E6F"/>
    <w:rsid w:val="00003499"/>
    <w:rsid w:val="000039B7"/>
    <w:rsid w:val="00003EBA"/>
    <w:rsid w:val="0000447E"/>
    <w:rsid w:val="000056B9"/>
    <w:rsid w:val="0000639A"/>
    <w:rsid w:val="0000686F"/>
    <w:rsid w:val="00013247"/>
    <w:rsid w:val="0001338A"/>
    <w:rsid w:val="00015886"/>
    <w:rsid w:val="000162EF"/>
    <w:rsid w:val="000173F7"/>
    <w:rsid w:val="000207C9"/>
    <w:rsid w:val="0002225F"/>
    <w:rsid w:val="000233DE"/>
    <w:rsid w:val="00023763"/>
    <w:rsid w:val="00024EB5"/>
    <w:rsid w:val="000274B8"/>
    <w:rsid w:val="000277A2"/>
    <w:rsid w:val="00027D3F"/>
    <w:rsid w:val="000317DD"/>
    <w:rsid w:val="00033863"/>
    <w:rsid w:val="00035DC0"/>
    <w:rsid w:val="00036829"/>
    <w:rsid w:val="00036EE0"/>
    <w:rsid w:val="0003718F"/>
    <w:rsid w:val="00037531"/>
    <w:rsid w:val="000400DE"/>
    <w:rsid w:val="000406DE"/>
    <w:rsid w:val="00040895"/>
    <w:rsid w:val="000410A0"/>
    <w:rsid w:val="0004121A"/>
    <w:rsid w:val="000435EE"/>
    <w:rsid w:val="00043C37"/>
    <w:rsid w:val="000444CE"/>
    <w:rsid w:val="00045017"/>
    <w:rsid w:val="00045A2B"/>
    <w:rsid w:val="0004698F"/>
    <w:rsid w:val="00046D64"/>
    <w:rsid w:val="000508C2"/>
    <w:rsid w:val="000539D0"/>
    <w:rsid w:val="000540D5"/>
    <w:rsid w:val="00054621"/>
    <w:rsid w:val="000546D7"/>
    <w:rsid w:val="00054A8D"/>
    <w:rsid w:val="00055A5A"/>
    <w:rsid w:val="00056ECF"/>
    <w:rsid w:val="000604DF"/>
    <w:rsid w:val="00060E81"/>
    <w:rsid w:val="00062324"/>
    <w:rsid w:val="0006518D"/>
    <w:rsid w:val="000653B5"/>
    <w:rsid w:val="00065EEA"/>
    <w:rsid w:val="00066360"/>
    <w:rsid w:val="00066AF8"/>
    <w:rsid w:val="00066F22"/>
    <w:rsid w:val="00067CC0"/>
    <w:rsid w:val="00071248"/>
    <w:rsid w:val="000720B9"/>
    <w:rsid w:val="000722E3"/>
    <w:rsid w:val="000737F7"/>
    <w:rsid w:val="0007672F"/>
    <w:rsid w:val="00076B54"/>
    <w:rsid w:val="000774F0"/>
    <w:rsid w:val="00080909"/>
    <w:rsid w:val="000812CA"/>
    <w:rsid w:val="00081D29"/>
    <w:rsid w:val="00081E63"/>
    <w:rsid w:val="0008258D"/>
    <w:rsid w:val="00083E99"/>
    <w:rsid w:val="00084FA8"/>
    <w:rsid w:val="000856C5"/>
    <w:rsid w:val="00085C31"/>
    <w:rsid w:val="000864BC"/>
    <w:rsid w:val="000902D9"/>
    <w:rsid w:val="000907AA"/>
    <w:rsid w:val="00090C7E"/>
    <w:rsid w:val="00090F89"/>
    <w:rsid w:val="000911AC"/>
    <w:rsid w:val="00091ADF"/>
    <w:rsid w:val="0009202D"/>
    <w:rsid w:val="00092600"/>
    <w:rsid w:val="0009262B"/>
    <w:rsid w:val="00093310"/>
    <w:rsid w:val="0009445C"/>
    <w:rsid w:val="00094E9C"/>
    <w:rsid w:val="00095200"/>
    <w:rsid w:val="00095FE5"/>
    <w:rsid w:val="00096284"/>
    <w:rsid w:val="00096581"/>
    <w:rsid w:val="00097797"/>
    <w:rsid w:val="000A1BC0"/>
    <w:rsid w:val="000A1E89"/>
    <w:rsid w:val="000A2F9E"/>
    <w:rsid w:val="000A3E47"/>
    <w:rsid w:val="000A522B"/>
    <w:rsid w:val="000A6039"/>
    <w:rsid w:val="000A6A7B"/>
    <w:rsid w:val="000A7453"/>
    <w:rsid w:val="000A7981"/>
    <w:rsid w:val="000A7D08"/>
    <w:rsid w:val="000B0121"/>
    <w:rsid w:val="000B0670"/>
    <w:rsid w:val="000B0E75"/>
    <w:rsid w:val="000B109E"/>
    <w:rsid w:val="000B13D6"/>
    <w:rsid w:val="000B2DCB"/>
    <w:rsid w:val="000B3131"/>
    <w:rsid w:val="000B3504"/>
    <w:rsid w:val="000B5CE0"/>
    <w:rsid w:val="000B6110"/>
    <w:rsid w:val="000B6346"/>
    <w:rsid w:val="000B6CAC"/>
    <w:rsid w:val="000B7612"/>
    <w:rsid w:val="000B78AE"/>
    <w:rsid w:val="000C1F00"/>
    <w:rsid w:val="000C241B"/>
    <w:rsid w:val="000C2525"/>
    <w:rsid w:val="000C3AEA"/>
    <w:rsid w:val="000C3B53"/>
    <w:rsid w:val="000C3DF9"/>
    <w:rsid w:val="000C4CF2"/>
    <w:rsid w:val="000C6713"/>
    <w:rsid w:val="000C6D5D"/>
    <w:rsid w:val="000C6F14"/>
    <w:rsid w:val="000D1BFC"/>
    <w:rsid w:val="000D1D5D"/>
    <w:rsid w:val="000D281A"/>
    <w:rsid w:val="000D2848"/>
    <w:rsid w:val="000D326A"/>
    <w:rsid w:val="000D3671"/>
    <w:rsid w:val="000D4B4F"/>
    <w:rsid w:val="000D51FB"/>
    <w:rsid w:val="000D6A87"/>
    <w:rsid w:val="000E0640"/>
    <w:rsid w:val="000E135D"/>
    <w:rsid w:val="000E20F3"/>
    <w:rsid w:val="000E2B4D"/>
    <w:rsid w:val="000E4CD5"/>
    <w:rsid w:val="000F00BA"/>
    <w:rsid w:val="000F1EA8"/>
    <w:rsid w:val="000F316A"/>
    <w:rsid w:val="000F3C74"/>
    <w:rsid w:val="000F4BB8"/>
    <w:rsid w:val="000F4FA9"/>
    <w:rsid w:val="000F53FB"/>
    <w:rsid w:val="000F6805"/>
    <w:rsid w:val="000F7127"/>
    <w:rsid w:val="000F7B54"/>
    <w:rsid w:val="001000B3"/>
    <w:rsid w:val="00100AD5"/>
    <w:rsid w:val="00100F8A"/>
    <w:rsid w:val="00101C7D"/>
    <w:rsid w:val="00104230"/>
    <w:rsid w:val="0010452E"/>
    <w:rsid w:val="00105AE2"/>
    <w:rsid w:val="001060C6"/>
    <w:rsid w:val="00106B80"/>
    <w:rsid w:val="0011032E"/>
    <w:rsid w:val="00110665"/>
    <w:rsid w:val="0011348B"/>
    <w:rsid w:val="001136F1"/>
    <w:rsid w:val="00115246"/>
    <w:rsid w:val="00115982"/>
    <w:rsid w:val="00116C53"/>
    <w:rsid w:val="001209B3"/>
    <w:rsid w:val="00121488"/>
    <w:rsid w:val="00121799"/>
    <w:rsid w:val="001222FC"/>
    <w:rsid w:val="00123902"/>
    <w:rsid w:val="001247F0"/>
    <w:rsid w:val="00124A51"/>
    <w:rsid w:val="001257B3"/>
    <w:rsid w:val="00126621"/>
    <w:rsid w:val="00126B1D"/>
    <w:rsid w:val="00127C61"/>
    <w:rsid w:val="00127D0A"/>
    <w:rsid w:val="001301E9"/>
    <w:rsid w:val="001313FF"/>
    <w:rsid w:val="00131D82"/>
    <w:rsid w:val="00132B22"/>
    <w:rsid w:val="00133D36"/>
    <w:rsid w:val="001341D4"/>
    <w:rsid w:val="00135A91"/>
    <w:rsid w:val="0013634A"/>
    <w:rsid w:val="00137645"/>
    <w:rsid w:val="001379E0"/>
    <w:rsid w:val="0014015A"/>
    <w:rsid w:val="0014072E"/>
    <w:rsid w:val="00140E99"/>
    <w:rsid w:val="0014259D"/>
    <w:rsid w:val="00143F67"/>
    <w:rsid w:val="00145234"/>
    <w:rsid w:val="00145540"/>
    <w:rsid w:val="001456B0"/>
    <w:rsid w:val="00152116"/>
    <w:rsid w:val="001547AB"/>
    <w:rsid w:val="00154A93"/>
    <w:rsid w:val="0015514E"/>
    <w:rsid w:val="00156F8F"/>
    <w:rsid w:val="00157130"/>
    <w:rsid w:val="001576B1"/>
    <w:rsid w:val="0016047B"/>
    <w:rsid w:val="001604AD"/>
    <w:rsid w:val="00160A4C"/>
    <w:rsid w:val="00162913"/>
    <w:rsid w:val="0016329D"/>
    <w:rsid w:val="00163EFF"/>
    <w:rsid w:val="00163F66"/>
    <w:rsid w:val="0016478E"/>
    <w:rsid w:val="00165EC4"/>
    <w:rsid w:val="001661FB"/>
    <w:rsid w:val="001671A0"/>
    <w:rsid w:val="0016767F"/>
    <w:rsid w:val="00171CF4"/>
    <w:rsid w:val="00173565"/>
    <w:rsid w:val="00173AA6"/>
    <w:rsid w:val="00173B07"/>
    <w:rsid w:val="00173BED"/>
    <w:rsid w:val="001751FA"/>
    <w:rsid w:val="00175FCA"/>
    <w:rsid w:val="00180411"/>
    <w:rsid w:val="00181C10"/>
    <w:rsid w:val="00181D9C"/>
    <w:rsid w:val="0018277C"/>
    <w:rsid w:val="001837FF"/>
    <w:rsid w:val="00184B0E"/>
    <w:rsid w:val="0018752F"/>
    <w:rsid w:val="00187B14"/>
    <w:rsid w:val="00193838"/>
    <w:rsid w:val="00193B29"/>
    <w:rsid w:val="001942F4"/>
    <w:rsid w:val="00194AD8"/>
    <w:rsid w:val="00195222"/>
    <w:rsid w:val="00195452"/>
    <w:rsid w:val="001964B4"/>
    <w:rsid w:val="001975D8"/>
    <w:rsid w:val="001A178E"/>
    <w:rsid w:val="001A1CAA"/>
    <w:rsid w:val="001A3893"/>
    <w:rsid w:val="001A43FA"/>
    <w:rsid w:val="001A47C5"/>
    <w:rsid w:val="001A4A59"/>
    <w:rsid w:val="001A52AF"/>
    <w:rsid w:val="001A59FB"/>
    <w:rsid w:val="001A5E9E"/>
    <w:rsid w:val="001A6354"/>
    <w:rsid w:val="001A6366"/>
    <w:rsid w:val="001A7AE8"/>
    <w:rsid w:val="001B0C21"/>
    <w:rsid w:val="001B0D78"/>
    <w:rsid w:val="001B204E"/>
    <w:rsid w:val="001B2372"/>
    <w:rsid w:val="001B29E8"/>
    <w:rsid w:val="001B3288"/>
    <w:rsid w:val="001B3443"/>
    <w:rsid w:val="001B4D20"/>
    <w:rsid w:val="001B7F84"/>
    <w:rsid w:val="001C2A9B"/>
    <w:rsid w:val="001C3DD6"/>
    <w:rsid w:val="001C41C7"/>
    <w:rsid w:val="001C4299"/>
    <w:rsid w:val="001C4772"/>
    <w:rsid w:val="001C4874"/>
    <w:rsid w:val="001C4D1E"/>
    <w:rsid w:val="001C5F94"/>
    <w:rsid w:val="001C6E66"/>
    <w:rsid w:val="001D1100"/>
    <w:rsid w:val="001D1391"/>
    <w:rsid w:val="001D25D7"/>
    <w:rsid w:val="001D2801"/>
    <w:rsid w:val="001D447C"/>
    <w:rsid w:val="001D4CEE"/>
    <w:rsid w:val="001D50B2"/>
    <w:rsid w:val="001D6A38"/>
    <w:rsid w:val="001D71F4"/>
    <w:rsid w:val="001D7645"/>
    <w:rsid w:val="001E070C"/>
    <w:rsid w:val="001E1E86"/>
    <w:rsid w:val="001E1F4C"/>
    <w:rsid w:val="001E238E"/>
    <w:rsid w:val="001E2483"/>
    <w:rsid w:val="001E2B1E"/>
    <w:rsid w:val="001E2CFF"/>
    <w:rsid w:val="001E2F24"/>
    <w:rsid w:val="001E30D4"/>
    <w:rsid w:val="001E34DF"/>
    <w:rsid w:val="001E52EB"/>
    <w:rsid w:val="001E61D2"/>
    <w:rsid w:val="001E72D9"/>
    <w:rsid w:val="001E73C2"/>
    <w:rsid w:val="001E740C"/>
    <w:rsid w:val="001F1235"/>
    <w:rsid w:val="001F1CB3"/>
    <w:rsid w:val="001F2098"/>
    <w:rsid w:val="001F38B5"/>
    <w:rsid w:val="001F4081"/>
    <w:rsid w:val="001F6950"/>
    <w:rsid w:val="001F7361"/>
    <w:rsid w:val="001F7C1A"/>
    <w:rsid w:val="00200578"/>
    <w:rsid w:val="0020059A"/>
    <w:rsid w:val="00200E03"/>
    <w:rsid w:val="002011B0"/>
    <w:rsid w:val="00203181"/>
    <w:rsid w:val="00203783"/>
    <w:rsid w:val="0020385F"/>
    <w:rsid w:val="0020447E"/>
    <w:rsid w:val="00204A10"/>
    <w:rsid w:val="0020562D"/>
    <w:rsid w:val="002068A0"/>
    <w:rsid w:val="00206E79"/>
    <w:rsid w:val="00207021"/>
    <w:rsid w:val="0020732F"/>
    <w:rsid w:val="00207D00"/>
    <w:rsid w:val="00207FFE"/>
    <w:rsid w:val="00210221"/>
    <w:rsid w:val="002105C1"/>
    <w:rsid w:val="002108B9"/>
    <w:rsid w:val="002116FD"/>
    <w:rsid w:val="00213EF5"/>
    <w:rsid w:val="002162EC"/>
    <w:rsid w:val="00216BF5"/>
    <w:rsid w:val="00223B49"/>
    <w:rsid w:val="00223D5A"/>
    <w:rsid w:val="002244F4"/>
    <w:rsid w:val="00224978"/>
    <w:rsid w:val="00224DD4"/>
    <w:rsid w:val="002271B6"/>
    <w:rsid w:val="002278A0"/>
    <w:rsid w:val="002309CC"/>
    <w:rsid w:val="00231BA9"/>
    <w:rsid w:val="0023209F"/>
    <w:rsid w:val="00233C01"/>
    <w:rsid w:val="0023413C"/>
    <w:rsid w:val="002346F0"/>
    <w:rsid w:val="00234B41"/>
    <w:rsid w:val="0023629D"/>
    <w:rsid w:val="00236454"/>
    <w:rsid w:val="00236C73"/>
    <w:rsid w:val="00237255"/>
    <w:rsid w:val="002424AF"/>
    <w:rsid w:val="002439DC"/>
    <w:rsid w:val="002441D2"/>
    <w:rsid w:val="00244DC8"/>
    <w:rsid w:val="002458BA"/>
    <w:rsid w:val="00245CE9"/>
    <w:rsid w:val="0024636C"/>
    <w:rsid w:val="00247925"/>
    <w:rsid w:val="00250398"/>
    <w:rsid w:val="00251006"/>
    <w:rsid w:val="00251886"/>
    <w:rsid w:val="002524D5"/>
    <w:rsid w:val="00253010"/>
    <w:rsid w:val="0025369C"/>
    <w:rsid w:val="00253B1D"/>
    <w:rsid w:val="0025460F"/>
    <w:rsid w:val="00254DCF"/>
    <w:rsid w:val="0025534B"/>
    <w:rsid w:val="00255BB7"/>
    <w:rsid w:val="00257541"/>
    <w:rsid w:val="002576D1"/>
    <w:rsid w:val="00257A39"/>
    <w:rsid w:val="00257AC4"/>
    <w:rsid w:val="00257BBE"/>
    <w:rsid w:val="00261EEF"/>
    <w:rsid w:val="00262A1A"/>
    <w:rsid w:val="00262A87"/>
    <w:rsid w:val="002631EC"/>
    <w:rsid w:val="00264075"/>
    <w:rsid w:val="00264B76"/>
    <w:rsid w:val="00264D26"/>
    <w:rsid w:val="00267642"/>
    <w:rsid w:val="00267AEA"/>
    <w:rsid w:val="002700E6"/>
    <w:rsid w:val="0027094D"/>
    <w:rsid w:val="0027294B"/>
    <w:rsid w:val="00273EB4"/>
    <w:rsid w:val="00274619"/>
    <w:rsid w:val="00274682"/>
    <w:rsid w:val="00275158"/>
    <w:rsid w:val="00275C5A"/>
    <w:rsid w:val="00281014"/>
    <w:rsid w:val="002819B2"/>
    <w:rsid w:val="002845DE"/>
    <w:rsid w:val="002854DA"/>
    <w:rsid w:val="00285BCE"/>
    <w:rsid w:val="0028665D"/>
    <w:rsid w:val="00286DC3"/>
    <w:rsid w:val="002922A6"/>
    <w:rsid w:val="00294B07"/>
    <w:rsid w:val="002A14AB"/>
    <w:rsid w:val="002A2ADE"/>
    <w:rsid w:val="002A2F50"/>
    <w:rsid w:val="002A41B0"/>
    <w:rsid w:val="002A6189"/>
    <w:rsid w:val="002A7943"/>
    <w:rsid w:val="002B05A1"/>
    <w:rsid w:val="002B09A4"/>
    <w:rsid w:val="002B11A1"/>
    <w:rsid w:val="002B1C1F"/>
    <w:rsid w:val="002B2568"/>
    <w:rsid w:val="002B2944"/>
    <w:rsid w:val="002B307E"/>
    <w:rsid w:val="002B432F"/>
    <w:rsid w:val="002B43B4"/>
    <w:rsid w:val="002B46B1"/>
    <w:rsid w:val="002B62B3"/>
    <w:rsid w:val="002B6754"/>
    <w:rsid w:val="002B6CCE"/>
    <w:rsid w:val="002C14CB"/>
    <w:rsid w:val="002C2510"/>
    <w:rsid w:val="002C2775"/>
    <w:rsid w:val="002C27C1"/>
    <w:rsid w:val="002C2C3D"/>
    <w:rsid w:val="002C36E3"/>
    <w:rsid w:val="002C5099"/>
    <w:rsid w:val="002C5889"/>
    <w:rsid w:val="002C71CE"/>
    <w:rsid w:val="002C76BD"/>
    <w:rsid w:val="002D08F8"/>
    <w:rsid w:val="002D5323"/>
    <w:rsid w:val="002D577C"/>
    <w:rsid w:val="002D59A1"/>
    <w:rsid w:val="002D62C5"/>
    <w:rsid w:val="002D6D6D"/>
    <w:rsid w:val="002D7832"/>
    <w:rsid w:val="002E1071"/>
    <w:rsid w:val="002E15B9"/>
    <w:rsid w:val="002E2158"/>
    <w:rsid w:val="002E34CF"/>
    <w:rsid w:val="002E3C1E"/>
    <w:rsid w:val="002E4F02"/>
    <w:rsid w:val="002E65BB"/>
    <w:rsid w:val="002E738B"/>
    <w:rsid w:val="002E7722"/>
    <w:rsid w:val="002F07BA"/>
    <w:rsid w:val="002F0DA9"/>
    <w:rsid w:val="002F1014"/>
    <w:rsid w:val="002F1582"/>
    <w:rsid w:val="002F1980"/>
    <w:rsid w:val="002F1E3B"/>
    <w:rsid w:val="002F44E9"/>
    <w:rsid w:val="002F643C"/>
    <w:rsid w:val="002F71C0"/>
    <w:rsid w:val="002F74F1"/>
    <w:rsid w:val="002F7904"/>
    <w:rsid w:val="002F7EBF"/>
    <w:rsid w:val="00301017"/>
    <w:rsid w:val="0030155F"/>
    <w:rsid w:val="00301B90"/>
    <w:rsid w:val="00302BC2"/>
    <w:rsid w:val="003045FE"/>
    <w:rsid w:val="0030587B"/>
    <w:rsid w:val="00306D98"/>
    <w:rsid w:val="0030786C"/>
    <w:rsid w:val="00307D41"/>
    <w:rsid w:val="0031031A"/>
    <w:rsid w:val="00310981"/>
    <w:rsid w:val="00311C64"/>
    <w:rsid w:val="00311D08"/>
    <w:rsid w:val="00311D9B"/>
    <w:rsid w:val="003124D9"/>
    <w:rsid w:val="00312594"/>
    <w:rsid w:val="00315498"/>
    <w:rsid w:val="00316474"/>
    <w:rsid w:val="00317358"/>
    <w:rsid w:val="00322107"/>
    <w:rsid w:val="00322355"/>
    <w:rsid w:val="00322846"/>
    <w:rsid w:val="00323DE3"/>
    <w:rsid w:val="00325691"/>
    <w:rsid w:val="00326688"/>
    <w:rsid w:val="00326DA7"/>
    <w:rsid w:val="003270E4"/>
    <w:rsid w:val="00330DAA"/>
    <w:rsid w:val="00330F5C"/>
    <w:rsid w:val="0033297E"/>
    <w:rsid w:val="003366C9"/>
    <w:rsid w:val="003371B0"/>
    <w:rsid w:val="00340DF1"/>
    <w:rsid w:val="00343C9C"/>
    <w:rsid w:val="0034455F"/>
    <w:rsid w:val="00346C78"/>
    <w:rsid w:val="00350D9C"/>
    <w:rsid w:val="003517F9"/>
    <w:rsid w:val="00351BA9"/>
    <w:rsid w:val="00352D33"/>
    <w:rsid w:val="00354D12"/>
    <w:rsid w:val="00354F64"/>
    <w:rsid w:val="0035620E"/>
    <w:rsid w:val="0035734A"/>
    <w:rsid w:val="003575BE"/>
    <w:rsid w:val="00360345"/>
    <w:rsid w:val="00360932"/>
    <w:rsid w:val="00361647"/>
    <w:rsid w:val="00361A05"/>
    <w:rsid w:val="003624C4"/>
    <w:rsid w:val="0036335F"/>
    <w:rsid w:val="00363B00"/>
    <w:rsid w:val="0036411E"/>
    <w:rsid w:val="00364F91"/>
    <w:rsid w:val="003652B2"/>
    <w:rsid w:val="003654AC"/>
    <w:rsid w:val="00367EF5"/>
    <w:rsid w:val="00370E21"/>
    <w:rsid w:val="003710CF"/>
    <w:rsid w:val="0037253F"/>
    <w:rsid w:val="0037358A"/>
    <w:rsid w:val="003750F6"/>
    <w:rsid w:val="003760FC"/>
    <w:rsid w:val="00376D3E"/>
    <w:rsid w:val="003809C6"/>
    <w:rsid w:val="00383242"/>
    <w:rsid w:val="0038365C"/>
    <w:rsid w:val="0038369B"/>
    <w:rsid w:val="00383B78"/>
    <w:rsid w:val="00385A9D"/>
    <w:rsid w:val="00387121"/>
    <w:rsid w:val="003902B1"/>
    <w:rsid w:val="0039179C"/>
    <w:rsid w:val="00393915"/>
    <w:rsid w:val="003949F5"/>
    <w:rsid w:val="00396896"/>
    <w:rsid w:val="00396FD0"/>
    <w:rsid w:val="003A1A7A"/>
    <w:rsid w:val="003A2392"/>
    <w:rsid w:val="003A2831"/>
    <w:rsid w:val="003A302F"/>
    <w:rsid w:val="003A3671"/>
    <w:rsid w:val="003A3CB6"/>
    <w:rsid w:val="003A3ED1"/>
    <w:rsid w:val="003A44DB"/>
    <w:rsid w:val="003A4C14"/>
    <w:rsid w:val="003A5971"/>
    <w:rsid w:val="003A63DD"/>
    <w:rsid w:val="003B1427"/>
    <w:rsid w:val="003B2279"/>
    <w:rsid w:val="003B376A"/>
    <w:rsid w:val="003B3971"/>
    <w:rsid w:val="003B55D1"/>
    <w:rsid w:val="003B5B61"/>
    <w:rsid w:val="003B5F8C"/>
    <w:rsid w:val="003C1654"/>
    <w:rsid w:val="003C168D"/>
    <w:rsid w:val="003C1E7C"/>
    <w:rsid w:val="003C2BCF"/>
    <w:rsid w:val="003C3CE4"/>
    <w:rsid w:val="003C458B"/>
    <w:rsid w:val="003C5542"/>
    <w:rsid w:val="003C6DEA"/>
    <w:rsid w:val="003C7C15"/>
    <w:rsid w:val="003C7D19"/>
    <w:rsid w:val="003C7D2F"/>
    <w:rsid w:val="003D0C5A"/>
    <w:rsid w:val="003D1828"/>
    <w:rsid w:val="003D1DE4"/>
    <w:rsid w:val="003D1E9A"/>
    <w:rsid w:val="003D2422"/>
    <w:rsid w:val="003D2B5E"/>
    <w:rsid w:val="003D39A1"/>
    <w:rsid w:val="003D3FBF"/>
    <w:rsid w:val="003D41E4"/>
    <w:rsid w:val="003D46AD"/>
    <w:rsid w:val="003D4A30"/>
    <w:rsid w:val="003D4FD2"/>
    <w:rsid w:val="003D7452"/>
    <w:rsid w:val="003D79BB"/>
    <w:rsid w:val="003D7C98"/>
    <w:rsid w:val="003D7D9D"/>
    <w:rsid w:val="003E0543"/>
    <w:rsid w:val="003E0993"/>
    <w:rsid w:val="003E27F7"/>
    <w:rsid w:val="003E5044"/>
    <w:rsid w:val="003E5603"/>
    <w:rsid w:val="003E749E"/>
    <w:rsid w:val="003F314D"/>
    <w:rsid w:val="003F3AE9"/>
    <w:rsid w:val="003F4156"/>
    <w:rsid w:val="003F5ADF"/>
    <w:rsid w:val="003F7140"/>
    <w:rsid w:val="00400B29"/>
    <w:rsid w:val="00402812"/>
    <w:rsid w:val="00404769"/>
    <w:rsid w:val="0040504B"/>
    <w:rsid w:val="004059F4"/>
    <w:rsid w:val="0040634F"/>
    <w:rsid w:val="00406A93"/>
    <w:rsid w:val="00407FE5"/>
    <w:rsid w:val="004101B0"/>
    <w:rsid w:val="00410326"/>
    <w:rsid w:val="00410708"/>
    <w:rsid w:val="00410EC7"/>
    <w:rsid w:val="00411B27"/>
    <w:rsid w:val="00411B39"/>
    <w:rsid w:val="004121EF"/>
    <w:rsid w:val="004127A7"/>
    <w:rsid w:val="00413A1E"/>
    <w:rsid w:val="00413EA2"/>
    <w:rsid w:val="00414476"/>
    <w:rsid w:val="00414C2E"/>
    <w:rsid w:val="004151CF"/>
    <w:rsid w:val="00416364"/>
    <w:rsid w:val="00416B99"/>
    <w:rsid w:val="0042047F"/>
    <w:rsid w:val="00420AA6"/>
    <w:rsid w:val="00420B9F"/>
    <w:rsid w:val="0042192C"/>
    <w:rsid w:val="00422260"/>
    <w:rsid w:val="004235E6"/>
    <w:rsid w:val="0042413F"/>
    <w:rsid w:val="004319F8"/>
    <w:rsid w:val="00431E55"/>
    <w:rsid w:val="004321F6"/>
    <w:rsid w:val="00433044"/>
    <w:rsid w:val="00434088"/>
    <w:rsid w:val="00434BEB"/>
    <w:rsid w:val="00435A53"/>
    <w:rsid w:val="004375B9"/>
    <w:rsid w:val="00440D87"/>
    <w:rsid w:val="004428D0"/>
    <w:rsid w:val="00444185"/>
    <w:rsid w:val="004443A7"/>
    <w:rsid w:val="0044442C"/>
    <w:rsid w:val="0044526A"/>
    <w:rsid w:val="00445941"/>
    <w:rsid w:val="004464EB"/>
    <w:rsid w:val="00447D26"/>
    <w:rsid w:val="00447DFC"/>
    <w:rsid w:val="00453AB3"/>
    <w:rsid w:val="00455D45"/>
    <w:rsid w:val="00462A91"/>
    <w:rsid w:val="00463995"/>
    <w:rsid w:val="00464410"/>
    <w:rsid w:val="00464595"/>
    <w:rsid w:val="004658B5"/>
    <w:rsid w:val="00466895"/>
    <w:rsid w:val="004717F8"/>
    <w:rsid w:val="00471EA5"/>
    <w:rsid w:val="00471F44"/>
    <w:rsid w:val="00472A79"/>
    <w:rsid w:val="00473F19"/>
    <w:rsid w:val="00474A69"/>
    <w:rsid w:val="00475E22"/>
    <w:rsid w:val="0048088E"/>
    <w:rsid w:val="00480F2B"/>
    <w:rsid w:val="00482492"/>
    <w:rsid w:val="00482720"/>
    <w:rsid w:val="004835E7"/>
    <w:rsid w:val="004859E1"/>
    <w:rsid w:val="004867E2"/>
    <w:rsid w:val="00486DBF"/>
    <w:rsid w:val="00490B17"/>
    <w:rsid w:val="00491270"/>
    <w:rsid w:val="00491B3A"/>
    <w:rsid w:val="004929E1"/>
    <w:rsid w:val="00492CFD"/>
    <w:rsid w:val="00494207"/>
    <w:rsid w:val="00494DD5"/>
    <w:rsid w:val="00495817"/>
    <w:rsid w:val="004962D2"/>
    <w:rsid w:val="00497D4B"/>
    <w:rsid w:val="004A0DA1"/>
    <w:rsid w:val="004A13D6"/>
    <w:rsid w:val="004A52E9"/>
    <w:rsid w:val="004A6040"/>
    <w:rsid w:val="004A6597"/>
    <w:rsid w:val="004A7389"/>
    <w:rsid w:val="004A7848"/>
    <w:rsid w:val="004A793B"/>
    <w:rsid w:val="004B1CB4"/>
    <w:rsid w:val="004B1EB9"/>
    <w:rsid w:val="004B2694"/>
    <w:rsid w:val="004B2F18"/>
    <w:rsid w:val="004B3DDB"/>
    <w:rsid w:val="004B44FD"/>
    <w:rsid w:val="004B5CFC"/>
    <w:rsid w:val="004B6F79"/>
    <w:rsid w:val="004B774D"/>
    <w:rsid w:val="004C06DE"/>
    <w:rsid w:val="004C1AD5"/>
    <w:rsid w:val="004C2AC2"/>
    <w:rsid w:val="004C4A96"/>
    <w:rsid w:val="004C4AED"/>
    <w:rsid w:val="004C6294"/>
    <w:rsid w:val="004C77DE"/>
    <w:rsid w:val="004D2C2D"/>
    <w:rsid w:val="004D69B5"/>
    <w:rsid w:val="004D7227"/>
    <w:rsid w:val="004D7B5E"/>
    <w:rsid w:val="004E0B0E"/>
    <w:rsid w:val="004E0E7F"/>
    <w:rsid w:val="004E0EB8"/>
    <w:rsid w:val="004E10A7"/>
    <w:rsid w:val="004E18E9"/>
    <w:rsid w:val="004E23EF"/>
    <w:rsid w:val="004E2ADC"/>
    <w:rsid w:val="004E43B2"/>
    <w:rsid w:val="004F1474"/>
    <w:rsid w:val="004F1D02"/>
    <w:rsid w:val="004F2679"/>
    <w:rsid w:val="004F2F21"/>
    <w:rsid w:val="004F3DE5"/>
    <w:rsid w:val="004F6913"/>
    <w:rsid w:val="004F7392"/>
    <w:rsid w:val="004F7865"/>
    <w:rsid w:val="00500E4D"/>
    <w:rsid w:val="0050174E"/>
    <w:rsid w:val="00501854"/>
    <w:rsid w:val="00501C3F"/>
    <w:rsid w:val="0050219B"/>
    <w:rsid w:val="00503F17"/>
    <w:rsid w:val="00503F3A"/>
    <w:rsid w:val="00504517"/>
    <w:rsid w:val="00506928"/>
    <w:rsid w:val="005077EF"/>
    <w:rsid w:val="00511AD5"/>
    <w:rsid w:val="00511DC7"/>
    <w:rsid w:val="00512EDF"/>
    <w:rsid w:val="005142C5"/>
    <w:rsid w:val="0051459F"/>
    <w:rsid w:val="005145C9"/>
    <w:rsid w:val="0051501B"/>
    <w:rsid w:val="005152B5"/>
    <w:rsid w:val="00515886"/>
    <w:rsid w:val="00520878"/>
    <w:rsid w:val="0052123C"/>
    <w:rsid w:val="00521319"/>
    <w:rsid w:val="00522839"/>
    <w:rsid w:val="00522BC8"/>
    <w:rsid w:val="005232F6"/>
    <w:rsid w:val="00523C28"/>
    <w:rsid w:val="00525C8B"/>
    <w:rsid w:val="0053176B"/>
    <w:rsid w:val="00532E94"/>
    <w:rsid w:val="005341B3"/>
    <w:rsid w:val="0053644C"/>
    <w:rsid w:val="00536D17"/>
    <w:rsid w:val="00536F42"/>
    <w:rsid w:val="00537182"/>
    <w:rsid w:val="0054129F"/>
    <w:rsid w:val="00541EDD"/>
    <w:rsid w:val="00542743"/>
    <w:rsid w:val="00542C2D"/>
    <w:rsid w:val="00543949"/>
    <w:rsid w:val="0054614E"/>
    <w:rsid w:val="005478BD"/>
    <w:rsid w:val="005479E3"/>
    <w:rsid w:val="00550617"/>
    <w:rsid w:val="00551292"/>
    <w:rsid w:val="00551985"/>
    <w:rsid w:val="00552BD3"/>
    <w:rsid w:val="005532A0"/>
    <w:rsid w:val="00555109"/>
    <w:rsid w:val="0055548A"/>
    <w:rsid w:val="005566A6"/>
    <w:rsid w:val="00556B35"/>
    <w:rsid w:val="0055741A"/>
    <w:rsid w:val="005611B7"/>
    <w:rsid w:val="005618D4"/>
    <w:rsid w:val="00561CE8"/>
    <w:rsid w:val="00564867"/>
    <w:rsid w:val="00565C79"/>
    <w:rsid w:val="00565DF0"/>
    <w:rsid w:val="0056696F"/>
    <w:rsid w:val="00566AF1"/>
    <w:rsid w:val="0057004E"/>
    <w:rsid w:val="0057107D"/>
    <w:rsid w:val="005710F2"/>
    <w:rsid w:val="00572269"/>
    <w:rsid w:val="0057244A"/>
    <w:rsid w:val="005727C1"/>
    <w:rsid w:val="00572F26"/>
    <w:rsid w:val="005750C5"/>
    <w:rsid w:val="005752DE"/>
    <w:rsid w:val="00575D60"/>
    <w:rsid w:val="00575D8D"/>
    <w:rsid w:val="00576972"/>
    <w:rsid w:val="00577248"/>
    <w:rsid w:val="00582B0E"/>
    <w:rsid w:val="0058336B"/>
    <w:rsid w:val="00583699"/>
    <w:rsid w:val="005844F7"/>
    <w:rsid w:val="00585CDD"/>
    <w:rsid w:val="005863A2"/>
    <w:rsid w:val="00587058"/>
    <w:rsid w:val="00591957"/>
    <w:rsid w:val="00591D30"/>
    <w:rsid w:val="00594FB0"/>
    <w:rsid w:val="00596BC9"/>
    <w:rsid w:val="00597532"/>
    <w:rsid w:val="00597BF9"/>
    <w:rsid w:val="005A0C11"/>
    <w:rsid w:val="005A1946"/>
    <w:rsid w:val="005A2BE7"/>
    <w:rsid w:val="005A309A"/>
    <w:rsid w:val="005A373D"/>
    <w:rsid w:val="005A5354"/>
    <w:rsid w:val="005B0B58"/>
    <w:rsid w:val="005B4E53"/>
    <w:rsid w:val="005B5857"/>
    <w:rsid w:val="005B59B2"/>
    <w:rsid w:val="005C19C4"/>
    <w:rsid w:val="005C1B83"/>
    <w:rsid w:val="005C25FF"/>
    <w:rsid w:val="005C2D55"/>
    <w:rsid w:val="005C30A5"/>
    <w:rsid w:val="005C346B"/>
    <w:rsid w:val="005C4726"/>
    <w:rsid w:val="005C5ABC"/>
    <w:rsid w:val="005D044D"/>
    <w:rsid w:val="005D0ABD"/>
    <w:rsid w:val="005D164D"/>
    <w:rsid w:val="005D18AD"/>
    <w:rsid w:val="005D26B4"/>
    <w:rsid w:val="005D365F"/>
    <w:rsid w:val="005D4341"/>
    <w:rsid w:val="005D458A"/>
    <w:rsid w:val="005E05C3"/>
    <w:rsid w:val="005E193D"/>
    <w:rsid w:val="005E1995"/>
    <w:rsid w:val="005E1B64"/>
    <w:rsid w:val="005E1C63"/>
    <w:rsid w:val="005E309F"/>
    <w:rsid w:val="005E5B0C"/>
    <w:rsid w:val="005E6CBC"/>
    <w:rsid w:val="005E72FF"/>
    <w:rsid w:val="005E73C0"/>
    <w:rsid w:val="005E7A0F"/>
    <w:rsid w:val="005F00D8"/>
    <w:rsid w:val="005F07ED"/>
    <w:rsid w:val="005F0F1E"/>
    <w:rsid w:val="005F213E"/>
    <w:rsid w:val="005F2706"/>
    <w:rsid w:val="005F6A8F"/>
    <w:rsid w:val="005F6BB7"/>
    <w:rsid w:val="005F7588"/>
    <w:rsid w:val="00602C0F"/>
    <w:rsid w:val="00603003"/>
    <w:rsid w:val="00603DB9"/>
    <w:rsid w:val="00605FF5"/>
    <w:rsid w:val="00606FBA"/>
    <w:rsid w:val="00607669"/>
    <w:rsid w:val="006076F4"/>
    <w:rsid w:val="00607AFD"/>
    <w:rsid w:val="00610DFE"/>
    <w:rsid w:val="00611148"/>
    <w:rsid w:val="00611B12"/>
    <w:rsid w:val="0061258A"/>
    <w:rsid w:val="00612F97"/>
    <w:rsid w:val="0061345D"/>
    <w:rsid w:val="0061549B"/>
    <w:rsid w:val="0061609B"/>
    <w:rsid w:val="00616802"/>
    <w:rsid w:val="00616ECC"/>
    <w:rsid w:val="00617419"/>
    <w:rsid w:val="00617E12"/>
    <w:rsid w:val="00620C25"/>
    <w:rsid w:val="00621477"/>
    <w:rsid w:val="00621ADA"/>
    <w:rsid w:val="006227C8"/>
    <w:rsid w:val="006238CF"/>
    <w:rsid w:val="00623F7B"/>
    <w:rsid w:val="00624BD4"/>
    <w:rsid w:val="00625F5B"/>
    <w:rsid w:val="006300CD"/>
    <w:rsid w:val="00630E6E"/>
    <w:rsid w:val="0063158F"/>
    <w:rsid w:val="00631D6B"/>
    <w:rsid w:val="00632183"/>
    <w:rsid w:val="006330A1"/>
    <w:rsid w:val="0063479F"/>
    <w:rsid w:val="006347F5"/>
    <w:rsid w:val="00634A67"/>
    <w:rsid w:val="006353F0"/>
    <w:rsid w:val="006357B5"/>
    <w:rsid w:val="006364A1"/>
    <w:rsid w:val="00636559"/>
    <w:rsid w:val="0063678E"/>
    <w:rsid w:val="006368C0"/>
    <w:rsid w:val="00637BFD"/>
    <w:rsid w:val="00637C05"/>
    <w:rsid w:val="00637C5C"/>
    <w:rsid w:val="00641033"/>
    <w:rsid w:val="00641C4E"/>
    <w:rsid w:val="00641FB3"/>
    <w:rsid w:val="0064434C"/>
    <w:rsid w:val="00646A53"/>
    <w:rsid w:val="006471CC"/>
    <w:rsid w:val="006472FE"/>
    <w:rsid w:val="00647A29"/>
    <w:rsid w:val="006503B6"/>
    <w:rsid w:val="0065079F"/>
    <w:rsid w:val="00651785"/>
    <w:rsid w:val="00652A28"/>
    <w:rsid w:val="0065379F"/>
    <w:rsid w:val="00653A81"/>
    <w:rsid w:val="00656188"/>
    <w:rsid w:val="0065655C"/>
    <w:rsid w:val="00657157"/>
    <w:rsid w:val="0065715A"/>
    <w:rsid w:val="0066056B"/>
    <w:rsid w:val="006610F1"/>
    <w:rsid w:val="00661C6B"/>
    <w:rsid w:val="00662D3E"/>
    <w:rsid w:val="00663552"/>
    <w:rsid w:val="00665420"/>
    <w:rsid w:val="006659B5"/>
    <w:rsid w:val="00666BF4"/>
    <w:rsid w:val="00667BE3"/>
    <w:rsid w:val="0067074A"/>
    <w:rsid w:val="00671004"/>
    <w:rsid w:val="006723D8"/>
    <w:rsid w:val="00672646"/>
    <w:rsid w:val="006737D9"/>
    <w:rsid w:val="00674E42"/>
    <w:rsid w:val="00676563"/>
    <w:rsid w:val="00680696"/>
    <w:rsid w:val="006811B2"/>
    <w:rsid w:val="006813F8"/>
    <w:rsid w:val="00681CDE"/>
    <w:rsid w:val="00681CED"/>
    <w:rsid w:val="00682108"/>
    <w:rsid w:val="00682112"/>
    <w:rsid w:val="00682BA6"/>
    <w:rsid w:val="006847D3"/>
    <w:rsid w:val="00686957"/>
    <w:rsid w:val="006872BA"/>
    <w:rsid w:val="00690795"/>
    <w:rsid w:val="00691648"/>
    <w:rsid w:val="006917D7"/>
    <w:rsid w:val="0069434C"/>
    <w:rsid w:val="006944C1"/>
    <w:rsid w:val="00694F44"/>
    <w:rsid w:val="00696EF9"/>
    <w:rsid w:val="00696F51"/>
    <w:rsid w:val="006979A5"/>
    <w:rsid w:val="006A003D"/>
    <w:rsid w:val="006A016F"/>
    <w:rsid w:val="006A0257"/>
    <w:rsid w:val="006A0DF7"/>
    <w:rsid w:val="006A22D5"/>
    <w:rsid w:val="006A2A6C"/>
    <w:rsid w:val="006A3152"/>
    <w:rsid w:val="006A4321"/>
    <w:rsid w:val="006A43D9"/>
    <w:rsid w:val="006A5611"/>
    <w:rsid w:val="006A6B99"/>
    <w:rsid w:val="006A7E5F"/>
    <w:rsid w:val="006B040B"/>
    <w:rsid w:val="006B261B"/>
    <w:rsid w:val="006B2C90"/>
    <w:rsid w:val="006B35E6"/>
    <w:rsid w:val="006B3D7C"/>
    <w:rsid w:val="006B465A"/>
    <w:rsid w:val="006B638A"/>
    <w:rsid w:val="006B6DD0"/>
    <w:rsid w:val="006B75C4"/>
    <w:rsid w:val="006C0399"/>
    <w:rsid w:val="006C1179"/>
    <w:rsid w:val="006C1F8A"/>
    <w:rsid w:val="006C2A8E"/>
    <w:rsid w:val="006C3255"/>
    <w:rsid w:val="006C3F26"/>
    <w:rsid w:val="006C6914"/>
    <w:rsid w:val="006D0D17"/>
    <w:rsid w:val="006D3C7D"/>
    <w:rsid w:val="006D4659"/>
    <w:rsid w:val="006D5D5F"/>
    <w:rsid w:val="006D68FB"/>
    <w:rsid w:val="006E2868"/>
    <w:rsid w:val="006E3FAB"/>
    <w:rsid w:val="006E725F"/>
    <w:rsid w:val="006E7867"/>
    <w:rsid w:val="006F18DA"/>
    <w:rsid w:val="006F306C"/>
    <w:rsid w:val="006F341E"/>
    <w:rsid w:val="006F63A5"/>
    <w:rsid w:val="0070142B"/>
    <w:rsid w:val="0070276E"/>
    <w:rsid w:val="007029C8"/>
    <w:rsid w:val="00702F8F"/>
    <w:rsid w:val="00703E10"/>
    <w:rsid w:val="007079FC"/>
    <w:rsid w:val="00711A36"/>
    <w:rsid w:val="00711BD5"/>
    <w:rsid w:val="007125D3"/>
    <w:rsid w:val="007145E4"/>
    <w:rsid w:val="00714C26"/>
    <w:rsid w:val="0071529C"/>
    <w:rsid w:val="00715481"/>
    <w:rsid w:val="007170DA"/>
    <w:rsid w:val="007172AD"/>
    <w:rsid w:val="00717546"/>
    <w:rsid w:val="00720801"/>
    <w:rsid w:val="00722B1B"/>
    <w:rsid w:val="007238FF"/>
    <w:rsid w:val="0072413E"/>
    <w:rsid w:val="0072416F"/>
    <w:rsid w:val="00727694"/>
    <w:rsid w:val="00727C94"/>
    <w:rsid w:val="00731B0A"/>
    <w:rsid w:val="00731EAE"/>
    <w:rsid w:val="00733073"/>
    <w:rsid w:val="00735033"/>
    <w:rsid w:val="00735328"/>
    <w:rsid w:val="00735A50"/>
    <w:rsid w:val="0073685B"/>
    <w:rsid w:val="007402B7"/>
    <w:rsid w:val="007443FD"/>
    <w:rsid w:val="007449BF"/>
    <w:rsid w:val="007458B7"/>
    <w:rsid w:val="00745A7A"/>
    <w:rsid w:val="007463FE"/>
    <w:rsid w:val="00746BC0"/>
    <w:rsid w:val="007510B4"/>
    <w:rsid w:val="00752142"/>
    <w:rsid w:val="007523D8"/>
    <w:rsid w:val="007523F9"/>
    <w:rsid w:val="00752765"/>
    <w:rsid w:val="0075357E"/>
    <w:rsid w:val="00753790"/>
    <w:rsid w:val="00753B29"/>
    <w:rsid w:val="00755B7F"/>
    <w:rsid w:val="007573E8"/>
    <w:rsid w:val="00760159"/>
    <w:rsid w:val="0076015F"/>
    <w:rsid w:val="00760C4E"/>
    <w:rsid w:val="00760F9E"/>
    <w:rsid w:val="007616E6"/>
    <w:rsid w:val="007627BE"/>
    <w:rsid w:val="00764F03"/>
    <w:rsid w:val="00765B1A"/>
    <w:rsid w:val="00765DC1"/>
    <w:rsid w:val="00766081"/>
    <w:rsid w:val="00767AE4"/>
    <w:rsid w:val="00770018"/>
    <w:rsid w:val="00770DF5"/>
    <w:rsid w:val="00777335"/>
    <w:rsid w:val="00777673"/>
    <w:rsid w:val="00781886"/>
    <w:rsid w:val="00782532"/>
    <w:rsid w:val="00782652"/>
    <w:rsid w:val="007843F2"/>
    <w:rsid w:val="007846FA"/>
    <w:rsid w:val="00785A9F"/>
    <w:rsid w:val="007878DF"/>
    <w:rsid w:val="007907F9"/>
    <w:rsid w:val="0079083C"/>
    <w:rsid w:val="00791C75"/>
    <w:rsid w:val="007925DF"/>
    <w:rsid w:val="00793ACB"/>
    <w:rsid w:val="00797F38"/>
    <w:rsid w:val="007A08AA"/>
    <w:rsid w:val="007A0A12"/>
    <w:rsid w:val="007A132D"/>
    <w:rsid w:val="007A1345"/>
    <w:rsid w:val="007A2DDB"/>
    <w:rsid w:val="007A3B12"/>
    <w:rsid w:val="007A3C79"/>
    <w:rsid w:val="007A6230"/>
    <w:rsid w:val="007A630E"/>
    <w:rsid w:val="007A70BA"/>
    <w:rsid w:val="007B0D68"/>
    <w:rsid w:val="007B251D"/>
    <w:rsid w:val="007B28E6"/>
    <w:rsid w:val="007B3533"/>
    <w:rsid w:val="007B4947"/>
    <w:rsid w:val="007B4F58"/>
    <w:rsid w:val="007B528D"/>
    <w:rsid w:val="007B63CA"/>
    <w:rsid w:val="007B77D1"/>
    <w:rsid w:val="007C07C7"/>
    <w:rsid w:val="007C08EB"/>
    <w:rsid w:val="007C1ABE"/>
    <w:rsid w:val="007C1CD9"/>
    <w:rsid w:val="007C32EF"/>
    <w:rsid w:val="007C33C7"/>
    <w:rsid w:val="007C361D"/>
    <w:rsid w:val="007C4B84"/>
    <w:rsid w:val="007C6D39"/>
    <w:rsid w:val="007C70FF"/>
    <w:rsid w:val="007C798B"/>
    <w:rsid w:val="007C7C25"/>
    <w:rsid w:val="007D004F"/>
    <w:rsid w:val="007D035F"/>
    <w:rsid w:val="007D06B2"/>
    <w:rsid w:val="007D0B38"/>
    <w:rsid w:val="007D22A9"/>
    <w:rsid w:val="007D276B"/>
    <w:rsid w:val="007D5440"/>
    <w:rsid w:val="007D69EB"/>
    <w:rsid w:val="007D7A21"/>
    <w:rsid w:val="007E0531"/>
    <w:rsid w:val="007E07FD"/>
    <w:rsid w:val="007E128F"/>
    <w:rsid w:val="007E64B5"/>
    <w:rsid w:val="007E7AC1"/>
    <w:rsid w:val="007F1017"/>
    <w:rsid w:val="007F15EC"/>
    <w:rsid w:val="007F1B4F"/>
    <w:rsid w:val="007F42BA"/>
    <w:rsid w:val="007F4A3F"/>
    <w:rsid w:val="007F4A61"/>
    <w:rsid w:val="007F5255"/>
    <w:rsid w:val="007F56CC"/>
    <w:rsid w:val="007F61C2"/>
    <w:rsid w:val="007F79D6"/>
    <w:rsid w:val="0080251A"/>
    <w:rsid w:val="0080379C"/>
    <w:rsid w:val="00805142"/>
    <w:rsid w:val="00805FCE"/>
    <w:rsid w:val="00807A8B"/>
    <w:rsid w:val="00811383"/>
    <w:rsid w:val="00812149"/>
    <w:rsid w:val="00812CAC"/>
    <w:rsid w:val="00814537"/>
    <w:rsid w:val="00816361"/>
    <w:rsid w:val="008166EF"/>
    <w:rsid w:val="00816E02"/>
    <w:rsid w:val="00816FEF"/>
    <w:rsid w:val="00820A8C"/>
    <w:rsid w:val="008215FB"/>
    <w:rsid w:val="008220CC"/>
    <w:rsid w:val="00823174"/>
    <w:rsid w:val="00825751"/>
    <w:rsid w:val="008264EB"/>
    <w:rsid w:val="008268CE"/>
    <w:rsid w:val="00827C23"/>
    <w:rsid w:val="0083084D"/>
    <w:rsid w:val="00833B05"/>
    <w:rsid w:val="008347DE"/>
    <w:rsid w:val="008362B4"/>
    <w:rsid w:val="00840CA2"/>
    <w:rsid w:val="00841D2C"/>
    <w:rsid w:val="00843308"/>
    <w:rsid w:val="0084374F"/>
    <w:rsid w:val="00843A00"/>
    <w:rsid w:val="00844A22"/>
    <w:rsid w:val="0084544F"/>
    <w:rsid w:val="0084658D"/>
    <w:rsid w:val="00847703"/>
    <w:rsid w:val="00847DF5"/>
    <w:rsid w:val="00851CC0"/>
    <w:rsid w:val="00851F03"/>
    <w:rsid w:val="00852D78"/>
    <w:rsid w:val="0085309D"/>
    <w:rsid w:val="0085461C"/>
    <w:rsid w:val="008559CB"/>
    <w:rsid w:val="00856897"/>
    <w:rsid w:val="00856E8E"/>
    <w:rsid w:val="00856E9A"/>
    <w:rsid w:val="0086075D"/>
    <w:rsid w:val="00860A71"/>
    <w:rsid w:val="00861B27"/>
    <w:rsid w:val="00862502"/>
    <w:rsid w:val="00862CC1"/>
    <w:rsid w:val="008642A7"/>
    <w:rsid w:val="00864641"/>
    <w:rsid w:val="00865D11"/>
    <w:rsid w:val="008660D4"/>
    <w:rsid w:val="0086748B"/>
    <w:rsid w:val="00871FA9"/>
    <w:rsid w:val="008728E9"/>
    <w:rsid w:val="008739FD"/>
    <w:rsid w:val="00874C04"/>
    <w:rsid w:val="00876326"/>
    <w:rsid w:val="00882874"/>
    <w:rsid w:val="008828F0"/>
    <w:rsid w:val="00882DC7"/>
    <w:rsid w:val="00882E3C"/>
    <w:rsid w:val="0088308A"/>
    <w:rsid w:val="0088332F"/>
    <w:rsid w:val="00883787"/>
    <w:rsid w:val="008855E4"/>
    <w:rsid w:val="00886613"/>
    <w:rsid w:val="00886CD2"/>
    <w:rsid w:val="00891E6F"/>
    <w:rsid w:val="0089231E"/>
    <w:rsid w:val="0089275D"/>
    <w:rsid w:val="008927F6"/>
    <w:rsid w:val="00892A36"/>
    <w:rsid w:val="00893239"/>
    <w:rsid w:val="00893372"/>
    <w:rsid w:val="00893390"/>
    <w:rsid w:val="00894489"/>
    <w:rsid w:val="00894CD6"/>
    <w:rsid w:val="00895467"/>
    <w:rsid w:val="0089581C"/>
    <w:rsid w:val="008963A5"/>
    <w:rsid w:val="00896D5D"/>
    <w:rsid w:val="008A0615"/>
    <w:rsid w:val="008A0628"/>
    <w:rsid w:val="008A3158"/>
    <w:rsid w:val="008A3363"/>
    <w:rsid w:val="008A3371"/>
    <w:rsid w:val="008A3C3E"/>
    <w:rsid w:val="008A79DE"/>
    <w:rsid w:val="008B1757"/>
    <w:rsid w:val="008B1C33"/>
    <w:rsid w:val="008B4B6F"/>
    <w:rsid w:val="008B4C88"/>
    <w:rsid w:val="008B7992"/>
    <w:rsid w:val="008B79F7"/>
    <w:rsid w:val="008B7A01"/>
    <w:rsid w:val="008B7D7E"/>
    <w:rsid w:val="008C393B"/>
    <w:rsid w:val="008C5610"/>
    <w:rsid w:val="008C5739"/>
    <w:rsid w:val="008C6DF1"/>
    <w:rsid w:val="008C7282"/>
    <w:rsid w:val="008C7866"/>
    <w:rsid w:val="008C7ECB"/>
    <w:rsid w:val="008D020F"/>
    <w:rsid w:val="008D34AD"/>
    <w:rsid w:val="008D3B86"/>
    <w:rsid w:val="008D43FD"/>
    <w:rsid w:val="008D4755"/>
    <w:rsid w:val="008D4C3D"/>
    <w:rsid w:val="008D743C"/>
    <w:rsid w:val="008E09A6"/>
    <w:rsid w:val="008E0D3C"/>
    <w:rsid w:val="008E1B9E"/>
    <w:rsid w:val="008E1CEF"/>
    <w:rsid w:val="008E2363"/>
    <w:rsid w:val="008E55AB"/>
    <w:rsid w:val="008E5847"/>
    <w:rsid w:val="008E68E0"/>
    <w:rsid w:val="008F0FEE"/>
    <w:rsid w:val="008F120A"/>
    <w:rsid w:val="008F17A2"/>
    <w:rsid w:val="008F22F0"/>
    <w:rsid w:val="008F27E0"/>
    <w:rsid w:val="008F48EB"/>
    <w:rsid w:val="008F4F0B"/>
    <w:rsid w:val="00900B71"/>
    <w:rsid w:val="009046C4"/>
    <w:rsid w:val="00904DF9"/>
    <w:rsid w:val="00905C9A"/>
    <w:rsid w:val="009062A5"/>
    <w:rsid w:val="00907699"/>
    <w:rsid w:val="00910FA7"/>
    <w:rsid w:val="00911272"/>
    <w:rsid w:val="00911339"/>
    <w:rsid w:val="009135D6"/>
    <w:rsid w:val="00914235"/>
    <w:rsid w:val="00914C77"/>
    <w:rsid w:val="00915C7F"/>
    <w:rsid w:val="00916F5C"/>
    <w:rsid w:val="00917482"/>
    <w:rsid w:val="00921ACB"/>
    <w:rsid w:val="009221F4"/>
    <w:rsid w:val="0092369B"/>
    <w:rsid w:val="0092490D"/>
    <w:rsid w:val="0092598D"/>
    <w:rsid w:val="009264A8"/>
    <w:rsid w:val="00930EE0"/>
    <w:rsid w:val="00931DCC"/>
    <w:rsid w:val="009339DB"/>
    <w:rsid w:val="00934988"/>
    <w:rsid w:val="00937089"/>
    <w:rsid w:val="009371AF"/>
    <w:rsid w:val="009407BD"/>
    <w:rsid w:val="00940BE7"/>
    <w:rsid w:val="00940DE5"/>
    <w:rsid w:val="00944F8A"/>
    <w:rsid w:val="00945FA4"/>
    <w:rsid w:val="00950378"/>
    <w:rsid w:val="009510A2"/>
    <w:rsid w:val="00953257"/>
    <w:rsid w:val="00953AD1"/>
    <w:rsid w:val="0095474C"/>
    <w:rsid w:val="00956AD4"/>
    <w:rsid w:val="009574CC"/>
    <w:rsid w:val="00957D92"/>
    <w:rsid w:val="00960E45"/>
    <w:rsid w:val="00962CB9"/>
    <w:rsid w:val="0096381E"/>
    <w:rsid w:val="00964312"/>
    <w:rsid w:val="00965B8A"/>
    <w:rsid w:val="0097071F"/>
    <w:rsid w:val="009714FB"/>
    <w:rsid w:val="009717AC"/>
    <w:rsid w:val="00975050"/>
    <w:rsid w:val="009751C1"/>
    <w:rsid w:val="0097585C"/>
    <w:rsid w:val="00976D32"/>
    <w:rsid w:val="00977143"/>
    <w:rsid w:val="009811F1"/>
    <w:rsid w:val="00981D3B"/>
    <w:rsid w:val="00983E57"/>
    <w:rsid w:val="00985DE2"/>
    <w:rsid w:val="0098638A"/>
    <w:rsid w:val="0098675D"/>
    <w:rsid w:val="00986EB0"/>
    <w:rsid w:val="00987150"/>
    <w:rsid w:val="00987BA4"/>
    <w:rsid w:val="009926E0"/>
    <w:rsid w:val="00994467"/>
    <w:rsid w:val="0099451E"/>
    <w:rsid w:val="009945AC"/>
    <w:rsid w:val="00994F7B"/>
    <w:rsid w:val="00996B1A"/>
    <w:rsid w:val="00996CAA"/>
    <w:rsid w:val="009A18F6"/>
    <w:rsid w:val="009A2DCC"/>
    <w:rsid w:val="009A3305"/>
    <w:rsid w:val="009A5ABC"/>
    <w:rsid w:val="009A6D55"/>
    <w:rsid w:val="009A7F10"/>
    <w:rsid w:val="009B16AB"/>
    <w:rsid w:val="009B2B7A"/>
    <w:rsid w:val="009B3A4E"/>
    <w:rsid w:val="009B3E26"/>
    <w:rsid w:val="009B5CB2"/>
    <w:rsid w:val="009C1271"/>
    <w:rsid w:val="009C3706"/>
    <w:rsid w:val="009C3A3A"/>
    <w:rsid w:val="009C6A1A"/>
    <w:rsid w:val="009C6CEA"/>
    <w:rsid w:val="009C7B85"/>
    <w:rsid w:val="009D0111"/>
    <w:rsid w:val="009D0254"/>
    <w:rsid w:val="009D1A64"/>
    <w:rsid w:val="009D46DC"/>
    <w:rsid w:val="009D5B91"/>
    <w:rsid w:val="009D77F9"/>
    <w:rsid w:val="009D792E"/>
    <w:rsid w:val="009E00C3"/>
    <w:rsid w:val="009E0DFE"/>
    <w:rsid w:val="009E1221"/>
    <w:rsid w:val="009E31F6"/>
    <w:rsid w:val="009E4C07"/>
    <w:rsid w:val="009E5017"/>
    <w:rsid w:val="009E5928"/>
    <w:rsid w:val="009E777F"/>
    <w:rsid w:val="009E7CC9"/>
    <w:rsid w:val="009F2D8A"/>
    <w:rsid w:val="009F501B"/>
    <w:rsid w:val="009F6120"/>
    <w:rsid w:val="00A00D3D"/>
    <w:rsid w:val="00A00D76"/>
    <w:rsid w:val="00A01184"/>
    <w:rsid w:val="00A01449"/>
    <w:rsid w:val="00A01939"/>
    <w:rsid w:val="00A028FF"/>
    <w:rsid w:val="00A037C2"/>
    <w:rsid w:val="00A039A4"/>
    <w:rsid w:val="00A03D43"/>
    <w:rsid w:val="00A04380"/>
    <w:rsid w:val="00A04786"/>
    <w:rsid w:val="00A05472"/>
    <w:rsid w:val="00A055DD"/>
    <w:rsid w:val="00A05C32"/>
    <w:rsid w:val="00A0653F"/>
    <w:rsid w:val="00A11534"/>
    <w:rsid w:val="00A11CD0"/>
    <w:rsid w:val="00A13948"/>
    <w:rsid w:val="00A1555B"/>
    <w:rsid w:val="00A155C5"/>
    <w:rsid w:val="00A16AD8"/>
    <w:rsid w:val="00A16F43"/>
    <w:rsid w:val="00A17C8A"/>
    <w:rsid w:val="00A2021E"/>
    <w:rsid w:val="00A20503"/>
    <w:rsid w:val="00A21C95"/>
    <w:rsid w:val="00A21CF3"/>
    <w:rsid w:val="00A24813"/>
    <w:rsid w:val="00A2534B"/>
    <w:rsid w:val="00A27AEC"/>
    <w:rsid w:val="00A3206E"/>
    <w:rsid w:val="00A320DB"/>
    <w:rsid w:val="00A3598C"/>
    <w:rsid w:val="00A35D16"/>
    <w:rsid w:val="00A37412"/>
    <w:rsid w:val="00A379DD"/>
    <w:rsid w:val="00A37BCD"/>
    <w:rsid w:val="00A41201"/>
    <w:rsid w:val="00A41689"/>
    <w:rsid w:val="00A42592"/>
    <w:rsid w:val="00A43C18"/>
    <w:rsid w:val="00A43C59"/>
    <w:rsid w:val="00A4619C"/>
    <w:rsid w:val="00A4631E"/>
    <w:rsid w:val="00A50ECD"/>
    <w:rsid w:val="00A517F6"/>
    <w:rsid w:val="00A518F3"/>
    <w:rsid w:val="00A51D79"/>
    <w:rsid w:val="00A52729"/>
    <w:rsid w:val="00A53675"/>
    <w:rsid w:val="00A5578A"/>
    <w:rsid w:val="00A557E0"/>
    <w:rsid w:val="00A564D7"/>
    <w:rsid w:val="00A56B6A"/>
    <w:rsid w:val="00A578DC"/>
    <w:rsid w:val="00A622C2"/>
    <w:rsid w:val="00A6376A"/>
    <w:rsid w:val="00A640E2"/>
    <w:rsid w:val="00A6418B"/>
    <w:rsid w:val="00A64D65"/>
    <w:rsid w:val="00A65E28"/>
    <w:rsid w:val="00A6725B"/>
    <w:rsid w:val="00A67B6B"/>
    <w:rsid w:val="00A7024B"/>
    <w:rsid w:val="00A70605"/>
    <w:rsid w:val="00A71F87"/>
    <w:rsid w:val="00A730D3"/>
    <w:rsid w:val="00A73134"/>
    <w:rsid w:val="00A7365A"/>
    <w:rsid w:val="00A76001"/>
    <w:rsid w:val="00A77781"/>
    <w:rsid w:val="00A777B2"/>
    <w:rsid w:val="00A80BAD"/>
    <w:rsid w:val="00A822F3"/>
    <w:rsid w:val="00A825D4"/>
    <w:rsid w:val="00A828F6"/>
    <w:rsid w:val="00A82B73"/>
    <w:rsid w:val="00A83AAB"/>
    <w:rsid w:val="00A86E8B"/>
    <w:rsid w:val="00A87164"/>
    <w:rsid w:val="00A871A9"/>
    <w:rsid w:val="00A90749"/>
    <w:rsid w:val="00A90BCF"/>
    <w:rsid w:val="00A93072"/>
    <w:rsid w:val="00A935C2"/>
    <w:rsid w:val="00A938BD"/>
    <w:rsid w:val="00A93953"/>
    <w:rsid w:val="00A94C99"/>
    <w:rsid w:val="00A959D8"/>
    <w:rsid w:val="00AA113D"/>
    <w:rsid w:val="00AA26DB"/>
    <w:rsid w:val="00AA4B3F"/>
    <w:rsid w:val="00AA54BB"/>
    <w:rsid w:val="00AA6BD5"/>
    <w:rsid w:val="00AA6BD8"/>
    <w:rsid w:val="00AA6C7D"/>
    <w:rsid w:val="00AA7FD6"/>
    <w:rsid w:val="00AB042A"/>
    <w:rsid w:val="00AB11AD"/>
    <w:rsid w:val="00AB19EF"/>
    <w:rsid w:val="00AB2495"/>
    <w:rsid w:val="00AB271B"/>
    <w:rsid w:val="00AB2D34"/>
    <w:rsid w:val="00AB3430"/>
    <w:rsid w:val="00AB37B9"/>
    <w:rsid w:val="00AB3894"/>
    <w:rsid w:val="00AB4AD1"/>
    <w:rsid w:val="00AB5E07"/>
    <w:rsid w:val="00AB7CFA"/>
    <w:rsid w:val="00AC401A"/>
    <w:rsid w:val="00AC5A3B"/>
    <w:rsid w:val="00AC5B42"/>
    <w:rsid w:val="00AC5B48"/>
    <w:rsid w:val="00AC5C8E"/>
    <w:rsid w:val="00AC7835"/>
    <w:rsid w:val="00AD1450"/>
    <w:rsid w:val="00AD15E8"/>
    <w:rsid w:val="00AD27F2"/>
    <w:rsid w:val="00AD356D"/>
    <w:rsid w:val="00AD3A7C"/>
    <w:rsid w:val="00AD6502"/>
    <w:rsid w:val="00AD7B35"/>
    <w:rsid w:val="00AE0695"/>
    <w:rsid w:val="00AE1104"/>
    <w:rsid w:val="00AE3BB8"/>
    <w:rsid w:val="00AE3E7E"/>
    <w:rsid w:val="00AE6A0E"/>
    <w:rsid w:val="00AE73C0"/>
    <w:rsid w:val="00AE7E53"/>
    <w:rsid w:val="00AF1315"/>
    <w:rsid w:val="00AF19BF"/>
    <w:rsid w:val="00AF1E8D"/>
    <w:rsid w:val="00AF2DC3"/>
    <w:rsid w:val="00B01744"/>
    <w:rsid w:val="00B02CB7"/>
    <w:rsid w:val="00B030C6"/>
    <w:rsid w:val="00B033E5"/>
    <w:rsid w:val="00B038D2"/>
    <w:rsid w:val="00B03A63"/>
    <w:rsid w:val="00B04D74"/>
    <w:rsid w:val="00B068F7"/>
    <w:rsid w:val="00B10CFA"/>
    <w:rsid w:val="00B11EF2"/>
    <w:rsid w:val="00B129A4"/>
    <w:rsid w:val="00B14A9D"/>
    <w:rsid w:val="00B165EE"/>
    <w:rsid w:val="00B172E8"/>
    <w:rsid w:val="00B20175"/>
    <w:rsid w:val="00B201A4"/>
    <w:rsid w:val="00B201D1"/>
    <w:rsid w:val="00B213A6"/>
    <w:rsid w:val="00B217A4"/>
    <w:rsid w:val="00B220B6"/>
    <w:rsid w:val="00B235B0"/>
    <w:rsid w:val="00B24037"/>
    <w:rsid w:val="00B24DF6"/>
    <w:rsid w:val="00B27A61"/>
    <w:rsid w:val="00B32772"/>
    <w:rsid w:val="00B33274"/>
    <w:rsid w:val="00B34FE2"/>
    <w:rsid w:val="00B35166"/>
    <w:rsid w:val="00B357D8"/>
    <w:rsid w:val="00B360F4"/>
    <w:rsid w:val="00B36A00"/>
    <w:rsid w:val="00B3792B"/>
    <w:rsid w:val="00B37BFC"/>
    <w:rsid w:val="00B40358"/>
    <w:rsid w:val="00B40C0A"/>
    <w:rsid w:val="00B41614"/>
    <w:rsid w:val="00B41E98"/>
    <w:rsid w:val="00B42851"/>
    <w:rsid w:val="00B42F80"/>
    <w:rsid w:val="00B435CB"/>
    <w:rsid w:val="00B44946"/>
    <w:rsid w:val="00B465EC"/>
    <w:rsid w:val="00B505C8"/>
    <w:rsid w:val="00B50DB8"/>
    <w:rsid w:val="00B533C4"/>
    <w:rsid w:val="00B53654"/>
    <w:rsid w:val="00B53905"/>
    <w:rsid w:val="00B546DB"/>
    <w:rsid w:val="00B54B5B"/>
    <w:rsid w:val="00B55033"/>
    <w:rsid w:val="00B5562E"/>
    <w:rsid w:val="00B55862"/>
    <w:rsid w:val="00B55D31"/>
    <w:rsid w:val="00B55D65"/>
    <w:rsid w:val="00B56305"/>
    <w:rsid w:val="00B57000"/>
    <w:rsid w:val="00B60939"/>
    <w:rsid w:val="00B60AFD"/>
    <w:rsid w:val="00B60B42"/>
    <w:rsid w:val="00B61115"/>
    <w:rsid w:val="00B62715"/>
    <w:rsid w:val="00B63445"/>
    <w:rsid w:val="00B6438B"/>
    <w:rsid w:val="00B65611"/>
    <w:rsid w:val="00B67768"/>
    <w:rsid w:val="00B70E8E"/>
    <w:rsid w:val="00B70EF1"/>
    <w:rsid w:val="00B72C5E"/>
    <w:rsid w:val="00B72EDF"/>
    <w:rsid w:val="00B76C92"/>
    <w:rsid w:val="00B80485"/>
    <w:rsid w:val="00B80EFD"/>
    <w:rsid w:val="00B81077"/>
    <w:rsid w:val="00B818A4"/>
    <w:rsid w:val="00B81E0B"/>
    <w:rsid w:val="00B83739"/>
    <w:rsid w:val="00B84117"/>
    <w:rsid w:val="00B858F0"/>
    <w:rsid w:val="00B85AA2"/>
    <w:rsid w:val="00B85F29"/>
    <w:rsid w:val="00B863FB"/>
    <w:rsid w:val="00B8649C"/>
    <w:rsid w:val="00B8695D"/>
    <w:rsid w:val="00B8735D"/>
    <w:rsid w:val="00B87F0A"/>
    <w:rsid w:val="00B92B36"/>
    <w:rsid w:val="00B92D0B"/>
    <w:rsid w:val="00B93334"/>
    <w:rsid w:val="00B93574"/>
    <w:rsid w:val="00B94945"/>
    <w:rsid w:val="00B94DD6"/>
    <w:rsid w:val="00BA1A6D"/>
    <w:rsid w:val="00BA1BC7"/>
    <w:rsid w:val="00BA322D"/>
    <w:rsid w:val="00BA63FA"/>
    <w:rsid w:val="00BB00B3"/>
    <w:rsid w:val="00BB0BDD"/>
    <w:rsid w:val="00BB176C"/>
    <w:rsid w:val="00BB2A73"/>
    <w:rsid w:val="00BB3A45"/>
    <w:rsid w:val="00BB3C32"/>
    <w:rsid w:val="00BB42DE"/>
    <w:rsid w:val="00BB4ACC"/>
    <w:rsid w:val="00BB703E"/>
    <w:rsid w:val="00BB732D"/>
    <w:rsid w:val="00BB7405"/>
    <w:rsid w:val="00BC0245"/>
    <w:rsid w:val="00BC29E2"/>
    <w:rsid w:val="00BC3631"/>
    <w:rsid w:val="00BC591F"/>
    <w:rsid w:val="00BC7D6D"/>
    <w:rsid w:val="00BD1043"/>
    <w:rsid w:val="00BD2108"/>
    <w:rsid w:val="00BD462D"/>
    <w:rsid w:val="00BD68A3"/>
    <w:rsid w:val="00BD6938"/>
    <w:rsid w:val="00BD6A8B"/>
    <w:rsid w:val="00BD6CF3"/>
    <w:rsid w:val="00BD7C79"/>
    <w:rsid w:val="00BD7F72"/>
    <w:rsid w:val="00BE0AF9"/>
    <w:rsid w:val="00BE0ECA"/>
    <w:rsid w:val="00BE2180"/>
    <w:rsid w:val="00BE21F2"/>
    <w:rsid w:val="00BE4275"/>
    <w:rsid w:val="00BE5A0D"/>
    <w:rsid w:val="00BE6A74"/>
    <w:rsid w:val="00BF01B1"/>
    <w:rsid w:val="00BF05E7"/>
    <w:rsid w:val="00BF06AE"/>
    <w:rsid w:val="00BF0F95"/>
    <w:rsid w:val="00BF1269"/>
    <w:rsid w:val="00BF2433"/>
    <w:rsid w:val="00BF2E6E"/>
    <w:rsid w:val="00BF49C8"/>
    <w:rsid w:val="00BF61C9"/>
    <w:rsid w:val="00BF6C94"/>
    <w:rsid w:val="00C00424"/>
    <w:rsid w:val="00C00BB0"/>
    <w:rsid w:val="00C0267D"/>
    <w:rsid w:val="00C04D0D"/>
    <w:rsid w:val="00C1179F"/>
    <w:rsid w:val="00C11C1F"/>
    <w:rsid w:val="00C127B9"/>
    <w:rsid w:val="00C128FA"/>
    <w:rsid w:val="00C12C14"/>
    <w:rsid w:val="00C14CD7"/>
    <w:rsid w:val="00C15F04"/>
    <w:rsid w:val="00C17648"/>
    <w:rsid w:val="00C179B3"/>
    <w:rsid w:val="00C17E3F"/>
    <w:rsid w:val="00C17E90"/>
    <w:rsid w:val="00C200AA"/>
    <w:rsid w:val="00C237ED"/>
    <w:rsid w:val="00C23F41"/>
    <w:rsid w:val="00C24632"/>
    <w:rsid w:val="00C252DF"/>
    <w:rsid w:val="00C25418"/>
    <w:rsid w:val="00C25B23"/>
    <w:rsid w:val="00C25D9C"/>
    <w:rsid w:val="00C26336"/>
    <w:rsid w:val="00C2778B"/>
    <w:rsid w:val="00C30BA7"/>
    <w:rsid w:val="00C31649"/>
    <w:rsid w:val="00C31AC2"/>
    <w:rsid w:val="00C32C4D"/>
    <w:rsid w:val="00C3434C"/>
    <w:rsid w:val="00C34899"/>
    <w:rsid w:val="00C35448"/>
    <w:rsid w:val="00C3546A"/>
    <w:rsid w:val="00C401C0"/>
    <w:rsid w:val="00C40385"/>
    <w:rsid w:val="00C41768"/>
    <w:rsid w:val="00C44AC7"/>
    <w:rsid w:val="00C4687A"/>
    <w:rsid w:val="00C475AA"/>
    <w:rsid w:val="00C527C7"/>
    <w:rsid w:val="00C52AE5"/>
    <w:rsid w:val="00C52B74"/>
    <w:rsid w:val="00C53C98"/>
    <w:rsid w:val="00C56FCF"/>
    <w:rsid w:val="00C57B6C"/>
    <w:rsid w:val="00C57FF8"/>
    <w:rsid w:val="00C6041B"/>
    <w:rsid w:val="00C61A59"/>
    <w:rsid w:val="00C628A6"/>
    <w:rsid w:val="00C64239"/>
    <w:rsid w:val="00C64344"/>
    <w:rsid w:val="00C65108"/>
    <w:rsid w:val="00C65396"/>
    <w:rsid w:val="00C65576"/>
    <w:rsid w:val="00C66165"/>
    <w:rsid w:val="00C67B10"/>
    <w:rsid w:val="00C7060A"/>
    <w:rsid w:val="00C710C5"/>
    <w:rsid w:val="00C7151A"/>
    <w:rsid w:val="00C717E3"/>
    <w:rsid w:val="00C71F60"/>
    <w:rsid w:val="00C72241"/>
    <w:rsid w:val="00C750C8"/>
    <w:rsid w:val="00C7560F"/>
    <w:rsid w:val="00C80A0E"/>
    <w:rsid w:val="00C8213F"/>
    <w:rsid w:val="00C8303F"/>
    <w:rsid w:val="00C839DC"/>
    <w:rsid w:val="00C83BA4"/>
    <w:rsid w:val="00C847D7"/>
    <w:rsid w:val="00C85119"/>
    <w:rsid w:val="00C85154"/>
    <w:rsid w:val="00C85A70"/>
    <w:rsid w:val="00C85AE7"/>
    <w:rsid w:val="00C8797A"/>
    <w:rsid w:val="00C900B8"/>
    <w:rsid w:val="00C90197"/>
    <w:rsid w:val="00C90C71"/>
    <w:rsid w:val="00C90FCF"/>
    <w:rsid w:val="00C91FD1"/>
    <w:rsid w:val="00C931CF"/>
    <w:rsid w:val="00C938CF"/>
    <w:rsid w:val="00C94053"/>
    <w:rsid w:val="00C94729"/>
    <w:rsid w:val="00C96027"/>
    <w:rsid w:val="00C9624D"/>
    <w:rsid w:val="00C969DA"/>
    <w:rsid w:val="00CA2C77"/>
    <w:rsid w:val="00CA444F"/>
    <w:rsid w:val="00CA5245"/>
    <w:rsid w:val="00CA5FD8"/>
    <w:rsid w:val="00CA71F4"/>
    <w:rsid w:val="00CA7B09"/>
    <w:rsid w:val="00CB12A5"/>
    <w:rsid w:val="00CB142C"/>
    <w:rsid w:val="00CB1CAC"/>
    <w:rsid w:val="00CB2F2A"/>
    <w:rsid w:val="00CB38FB"/>
    <w:rsid w:val="00CB3A64"/>
    <w:rsid w:val="00CB5B1A"/>
    <w:rsid w:val="00CB6445"/>
    <w:rsid w:val="00CB6B22"/>
    <w:rsid w:val="00CB6C94"/>
    <w:rsid w:val="00CB7CF6"/>
    <w:rsid w:val="00CB7F5F"/>
    <w:rsid w:val="00CC1B39"/>
    <w:rsid w:val="00CC1BFA"/>
    <w:rsid w:val="00CC2E9F"/>
    <w:rsid w:val="00CC35EA"/>
    <w:rsid w:val="00CC368E"/>
    <w:rsid w:val="00CC3848"/>
    <w:rsid w:val="00CC3BC2"/>
    <w:rsid w:val="00CC6D5E"/>
    <w:rsid w:val="00CD0200"/>
    <w:rsid w:val="00CD3F77"/>
    <w:rsid w:val="00CD5538"/>
    <w:rsid w:val="00CD6ADC"/>
    <w:rsid w:val="00CD7193"/>
    <w:rsid w:val="00CE2BBB"/>
    <w:rsid w:val="00CE38C8"/>
    <w:rsid w:val="00CE44DB"/>
    <w:rsid w:val="00CE524F"/>
    <w:rsid w:val="00CE5565"/>
    <w:rsid w:val="00CE58CC"/>
    <w:rsid w:val="00CE6274"/>
    <w:rsid w:val="00CE77B6"/>
    <w:rsid w:val="00CE7D9B"/>
    <w:rsid w:val="00CF0A5F"/>
    <w:rsid w:val="00CF18A3"/>
    <w:rsid w:val="00CF2B8D"/>
    <w:rsid w:val="00CF3A1B"/>
    <w:rsid w:val="00CF3DC9"/>
    <w:rsid w:val="00CF456B"/>
    <w:rsid w:val="00CF5A22"/>
    <w:rsid w:val="00CF67B6"/>
    <w:rsid w:val="00D0262E"/>
    <w:rsid w:val="00D03679"/>
    <w:rsid w:val="00D05E3D"/>
    <w:rsid w:val="00D06139"/>
    <w:rsid w:val="00D102FC"/>
    <w:rsid w:val="00D107E3"/>
    <w:rsid w:val="00D110BD"/>
    <w:rsid w:val="00D11694"/>
    <w:rsid w:val="00D13675"/>
    <w:rsid w:val="00D141E1"/>
    <w:rsid w:val="00D14546"/>
    <w:rsid w:val="00D15314"/>
    <w:rsid w:val="00D15B48"/>
    <w:rsid w:val="00D172C9"/>
    <w:rsid w:val="00D17D6C"/>
    <w:rsid w:val="00D20C6C"/>
    <w:rsid w:val="00D2155B"/>
    <w:rsid w:val="00D2160C"/>
    <w:rsid w:val="00D23D11"/>
    <w:rsid w:val="00D244B6"/>
    <w:rsid w:val="00D2754D"/>
    <w:rsid w:val="00D27893"/>
    <w:rsid w:val="00D27B27"/>
    <w:rsid w:val="00D27C63"/>
    <w:rsid w:val="00D30890"/>
    <w:rsid w:val="00D30D5B"/>
    <w:rsid w:val="00D33BE9"/>
    <w:rsid w:val="00D33F93"/>
    <w:rsid w:val="00D34A84"/>
    <w:rsid w:val="00D357FF"/>
    <w:rsid w:val="00D410D9"/>
    <w:rsid w:val="00D424C7"/>
    <w:rsid w:val="00D42B9B"/>
    <w:rsid w:val="00D43B2A"/>
    <w:rsid w:val="00D43CF1"/>
    <w:rsid w:val="00D43D83"/>
    <w:rsid w:val="00D4462A"/>
    <w:rsid w:val="00D47144"/>
    <w:rsid w:val="00D47575"/>
    <w:rsid w:val="00D51A41"/>
    <w:rsid w:val="00D5243B"/>
    <w:rsid w:val="00D533EC"/>
    <w:rsid w:val="00D545FD"/>
    <w:rsid w:val="00D54FDA"/>
    <w:rsid w:val="00D5698F"/>
    <w:rsid w:val="00D56A95"/>
    <w:rsid w:val="00D6076E"/>
    <w:rsid w:val="00D61325"/>
    <w:rsid w:val="00D62EC4"/>
    <w:rsid w:val="00D63560"/>
    <w:rsid w:val="00D70BC5"/>
    <w:rsid w:val="00D70F16"/>
    <w:rsid w:val="00D72617"/>
    <w:rsid w:val="00D72878"/>
    <w:rsid w:val="00D72E8F"/>
    <w:rsid w:val="00D72F57"/>
    <w:rsid w:val="00D73328"/>
    <w:rsid w:val="00D73C90"/>
    <w:rsid w:val="00D73E72"/>
    <w:rsid w:val="00D768D1"/>
    <w:rsid w:val="00D76A44"/>
    <w:rsid w:val="00D8137E"/>
    <w:rsid w:val="00D815EF"/>
    <w:rsid w:val="00D81949"/>
    <w:rsid w:val="00D81F26"/>
    <w:rsid w:val="00D822E2"/>
    <w:rsid w:val="00D843F2"/>
    <w:rsid w:val="00D845DE"/>
    <w:rsid w:val="00D84AFA"/>
    <w:rsid w:val="00D86231"/>
    <w:rsid w:val="00D9066E"/>
    <w:rsid w:val="00D912AB"/>
    <w:rsid w:val="00D91923"/>
    <w:rsid w:val="00D92537"/>
    <w:rsid w:val="00D93753"/>
    <w:rsid w:val="00D9718A"/>
    <w:rsid w:val="00DA06BD"/>
    <w:rsid w:val="00DA099A"/>
    <w:rsid w:val="00DA236D"/>
    <w:rsid w:val="00DA3167"/>
    <w:rsid w:val="00DA4DC3"/>
    <w:rsid w:val="00DA77A5"/>
    <w:rsid w:val="00DB0E36"/>
    <w:rsid w:val="00DB280B"/>
    <w:rsid w:val="00DB3DBF"/>
    <w:rsid w:val="00DB484F"/>
    <w:rsid w:val="00DB5DC8"/>
    <w:rsid w:val="00DB6339"/>
    <w:rsid w:val="00DB6FDB"/>
    <w:rsid w:val="00DC04F6"/>
    <w:rsid w:val="00DC0690"/>
    <w:rsid w:val="00DC1D65"/>
    <w:rsid w:val="00DC3C57"/>
    <w:rsid w:val="00DC4050"/>
    <w:rsid w:val="00DC5501"/>
    <w:rsid w:val="00DC5DE4"/>
    <w:rsid w:val="00DC7154"/>
    <w:rsid w:val="00DC7E8A"/>
    <w:rsid w:val="00DD0F78"/>
    <w:rsid w:val="00DD273C"/>
    <w:rsid w:val="00DD331B"/>
    <w:rsid w:val="00DD33D7"/>
    <w:rsid w:val="00DD3F28"/>
    <w:rsid w:val="00DD4446"/>
    <w:rsid w:val="00DD4537"/>
    <w:rsid w:val="00DD4E15"/>
    <w:rsid w:val="00DD621C"/>
    <w:rsid w:val="00DD7E56"/>
    <w:rsid w:val="00DE1A30"/>
    <w:rsid w:val="00DE2304"/>
    <w:rsid w:val="00DE3138"/>
    <w:rsid w:val="00DE37F8"/>
    <w:rsid w:val="00DE3BD5"/>
    <w:rsid w:val="00DE4273"/>
    <w:rsid w:val="00DE4FCB"/>
    <w:rsid w:val="00DE5D07"/>
    <w:rsid w:val="00DE6983"/>
    <w:rsid w:val="00DE72A7"/>
    <w:rsid w:val="00DE7770"/>
    <w:rsid w:val="00DE7832"/>
    <w:rsid w:val="00DF18FC"/>
    <w:rsid w:val="00DF296F"/>
    <w:rsid w:val="00DF32CD"/>
    <w:rsid w:val="00DF5409"/>
    <w:rsid w:val="00DF5D2B"/>
    <w:rsid w:val="00DF6341"/>
    <w:rsid w:val="00E00D88"/>
    <w:rsid w:val="00E00E8E"/>
    <w:rsid w:val="00E05630"/>
    <w:rsid w:val="00E0663D"/>
    <w:rsid w:val="00E06DBB"/>
    <w:rsid w:val="00E07EE8"/>
    <w:rsid w:val="00E10149"/>
    <w:rsid w:val="00E11340"/>
    <w:rsid w:val="00E122A1"/>
    <w:rsid w:val="00E14FD0"/>
    <w:rsid w:val="00E16372"/>
    <w:rsid w:val="00E169F8"/>
    <w:rsid w:val="00E16AD8"/>
    <w:rsid w:val="00E17B47"/>
    <w:rsid w:val="00E17FFA"/>
    <w:rsid w:val="00E20E4D"/>
    <w:rsid w:val="00E20ED6"/>
    <w:rsid w:val="00E21358"/>
    <w:rsid w:val="00E2249B"/>
    <w:rsid w:val="00E22A0D"/>
    <w:rsid w:val="00E23F7D"/>
    <w:rsid w:val="00E244F6"/>
    <w:rsid w:val="00E258DB"/>
    <w:rsid w:val="00E2771E"/>
    <w:rsid w:val="00E311EF"/>
    <w:rsid w:val="00E32180"/>
    <w:rsid w:val="00E34948"/>
    <w:rsid w:val="00E37569"/>
    <w:rsid w:val="00E401B2"/>
    <w:rsid w:val="00E40900"/>
    <w:rsid w:val="00E41E30"/>
    <w:rsid w:val="00E42F73"/>
    <w:rsid w:val="00E43D70"/>
    <w:rsid w:val="00E45CFF"/>
    <w:rsid w:val="00E46457"/>
    <w:rsid w:val="00E466F3"/>
    <w:rsid w:val="00E47911"/>
    <w:rsid w:val="00E47B2C"/>
    <w:rsid w:val="00E51560"/>
    <w:rsid w:val="00E51821"/>
    <w:rsid w:val="00E520D6"/>
    <w:rsid w:val="00E53FC8"/>
    <w:rsid w:val="00E54347"/>
    <w:rsid w:val="00E54A43"/>
    <w:rsid w:val="00E55424"/>
    <w:rsid w:val="00E55457"/>
    <w:rsid w:val="00E55915"/>
    <w:rsid w:val="00E55BB5"/>
    <w:rsid w:val="00E611DF"/>
    <w:rsid w:val="00E62708"/>
    <w:rsid w:val="00E645AF"/>
    <w:rsid w:val="00E65E79"/>
    <w:rsid w:val="00E66BA2"/>
    <w:rsid w:val="00E67416"/>
    <w:rsid w:val="00E703EA"/>
    <w:rsid w:val="00E71111"/>
    <w:rsid w:val="00E718B6"/>
    <w:rsid w:val="00E71D00"/>
    <w:rsid w:val="00E723BA"/>
    <w:rsid w:val="00E73581"/>
    <w:rsid w:val="00E76D68"/>
    <w:rsid w:val="00E811DE"/>
    <w:rsid w:val="00E833F7"/>
    <w:rsid w:val="00E83BDF"/>
    <w:rsid w:val="00E859F5"/>
    <w:rsid w:val="00E86010"/>
    <w:rsid w:val="00E86FCC"/>
    <w:rsid w:val="00E87A1D"/>
    <w:rsid w:val="00E90317"/>
    <w:rsid w:val="00E9094A"/>
    <w:rsid w:val="00E918B4"/>
    <w:rsid w:val="00E91D35"/>
    <w:rsid w:val="00E92253"/>
    <w:rsid w:val="00E926A5"/>
    <w:rsid w:val="00E951CC"/>
    <w:rsid w:val="00E95F56"/>
    <w:rsid w:val="00E962CC"/>
    <w:rsid w:val="00E964F2"/>
    <w:rsid w:val="00E9657D"/>
    <w:rsid w:val="00EA0BB0"/>
    <w:rsid w:val="00EA17C3"/>
    <w:rsid w:val="00EA2CAA"/>
    <w:rsid w:val="00EA3864"/>
    <w:rsid w:val="00EA5DDE"/>
    <w:rsid w:val="00EA7F1C"/>
    <w:rsid w:val="00EB1579"/>
    <w:rsid w:val="00EB15B6"/>
    <w:rsid w:val="00EB3D06"/>
    <w:rsid w:val="00EB4916"/>
    <w:rsid w:val="00EB7AED"/>
    <w:rsid w:val="00EC00C9"/>
    <w:rsid w:val="00EC0DD9"/>
    <w:rsid w:val="00EC2649"/>
    <w:rsid w:val="00EC31ED"/>
    <w:rsid w:val="00EC5836"/>
    <w:rsid w:val="00EC5A17"/>
    <w:rsid w:val="00EC6883"/>
    <w:rsid w:val="00EC688C"/>
    <w:rsid w:val="00ED04D3"/>
    <w:rsid w:val="00ED12E3"/>
    <w:rsid w:val="00ED325C"/>
    <w:rsid w:val="00ED4B04"/>
    <w:rsid w:val="00ED57EA"/>
    <w:rsid w:val="00ED58B9"/>
    <w:rsid w:val="00ED5BD4"/>
    <w:rsid w:val="00ED5E27"/>
    <w:rsid w:val="00EE07D3"/>
    <w:rsid w:val="00EE1723"/>
    <w:rsid w:val="00EE1996"/>
    <w:rsid w:val="00EE1C01"/>
    <w:rsid w:val="00EE22AF"/>
    <w:rsid w:val="00EE33BA"/>
    <w:rsid w:val="00EF0171"/>
    <w:rsid w:val="00EF1B25"/>
    <w:rsid w:val="00EF1DA0"/>
    <w:rsid w:val="00EF4747"/>
    <w:rsid w:val="00EF4BF8"/>
    <w:rsid w:val="00EF4C2D"/>
    <w:rsid w:val="00F02253"/>
    <w:rsid w:val="00F03C2E"/>
    <w:rsid w:val="00F04A66"/>
    <w:rsid w:val="00F04B4B"/>
    <w:rsid w:val="00F0516C"/>
    <w:rsid w:val="00F067A2"/>
    <w:rsid w:val="00F07B9E"/>
    <w:rsid w:val="00F1116F"/>
    <w:rsid w:val="00F124BE"/>
    <w:rsid w:val="00F1263A"/>
    <w:rsid w:val="00F127E1"/>
    <w:rsid w:val="00F128AD"/>
    <w:rsid w:val="00F139C5"/>
    <w:rsid w:val="00F15511"/>
    <w:rsid w:val="00F15929"/>
    <w:rsid w:val="00F15B77"/>
    <w:rsid w:val="00F16366"/>
    <w:rsid w:val="00F16915"/>
    <w:rsid w:val="00F21236"/>
    <w:rsid w:val="00F22C51"/>
    <w:rsid w:val="00F239DF"/>
    <w:rsid w:val="00F24837"/>
    <w:rsid w:val="00F2575F"/>
    <w:rsid w:val="00F25B97"/>
    <w:rsid w:val="00F27374"/>
    <w:rsid w:val="00F27565"/>
    <w:rsid w:val="00F310D4"/>
    <w:rsid w:val="00F31B45"/>
    <w:rsid w:val="00F31D5A"/>
    <w:rsid w:val="00F32C5E"/>
    <w:rsid w:val="00F337A4"/>
    <w:rsid w:val="00F33975"/>
    <w:rsid w:val="00F33A6A"/>
    <w:rsid w:val="00F33DE9"/>
    <w:rsid w:val="00F357E7"/>
    <w:rsid w:val="00F35E6D"/>
    <w:rsid w:val="00F3610B"/>
    <w:rsid w:val="00F3619A"/>
    <w:rsid w:val="00F3685B"/>
    <w:rsid w:val="00F37439"/>
    <w:rsid w:val="00F40AAA"/>
    <w:rsid w:val="00F40BA7"/>
    <w:rsid w:val="00F40F9D"/>
    <w:rsid w:val="00F41ACD"/>
    <w:rsid w:val="00F42127"/>
    <w:rsid w:val="00F46CB6"/>
    <w:rsid w:val="00F46E2A"/>
    <w:rsid w:val="00F4756D"/>
    <w:rsid w:val="00F47DE8"/>
    <w:rsid w:val="00F508F5"/>
    <w:rsid w:val="00F52C2E"/>
    <w:rsid w:val="00F52DA1"/>
    <w:rsid w:val="00F536D3"/>
    <w:rsid w:val="00F542C1"/>
    <w:rsid w:val="00F5450C"/>
    <w:rsid w:val="00F550E3"/>
    <w:rsid w:val="00F55E73"/>
    <w:rsid w:val="00F55EDA"/>
    <w:rsid w:val="00F56C80"/>
    <w:rsid w:val="00F56E36"/>
    <w:rsid w:val="00F60092"/>
    <w:rsid w:val="00F61C18"/>
    <w:rsid w:val="00F62C1E"/>
    <w:rsid w:val="00F62E43"/>
    <w:rsid w:val="00F62EE1"/>
    <w:rsid w:val="00F63F8E"/>
    <w:rsid w:val="00F65F4B"/>
    <w:rsid w:val="00F67A69"/>
    <w:rsid w:val="00F70BFF"/>
    <w:rsid w:val="00F70C9D"/>
    <w:rsid w:val="00F72960"/>
    <w:rsid w:val="00F72C9C"/>
    <w:rsid w:val="00F7343D"/>
    <w:rsid w:val="00F73E08"/>
    <w:rsid w:val="00F74CD9"/>
    <w:rsid w:val="00F774BF"/>
    <w:rsid w:val="00F80A7B"/>
    <w:rsid w:val="00F80E5D"/>
    <w:rsid w:val="00F8132D"/>
    <w:rsid w:val="00F81E78"/>
    <w:rsid w:val="00F83916"/>
    <w:rsid w:val="00F851CE"/>
    <w:rsid w:val="00F858C4"/>
    <w:rsid w:val="00F86785"/>
    <w:rsid w:val="00F86F6E"/>
    <w:rsid w:val="00F91219"/>
    <w:rsid w:val="00F92444"/>
    <w:rsid w:val="00F92BA1"/>
    <w:rsid w:val="00F92EC6"/>
    <w:rsid w:val="00F9393E"/>
    <w:rsid w:val="00F940B5"/>
    <w:rsid w:val="00F944E8"/>
    <w:rsid w:val="00F96561"/>
    <w:rsid w:val="00F96FD0"/>
    <w:rsid w:val="00F97579"/>
    <w:rsid w:val="00F97A78"/>
    <w:rsid w:val="00FA0B20"/>
    <w:rsid w:val="00FA24E7"/>
    <w:rsid w:val="00FA2806"/>
    <w:rsid w:val="00FA5649"/>
    <w:rsid w:val="00FA5EE6"/>
    <w:rsid w:val="00FA7956"/>
    <w:rsid w:val="00FB02F5"/>
    <w:rsid w:val="00FB051A"/>
    <w:rsid w:val="00FB0824"/>
    <w:rsid w:val="00FB26EB"/>
    <w:rsid w:val="00FB2FCB"/>
    <w:rsid w:val="00FB301C"/>
    <w:rsid w:val="00FB33A8"/>
    <w:rsid w:val="00FB3BB4"/>
    <w:rsid w:val="00FB4C9C"/>
    <w:rsid w:val="00FB6F63"/>
    <w:rsid w:val="00FB7C55"/>
    <w:rsid w:val="00FC1074"/>
    <w:rsid w:val="00FC1884"/>
    <w:rsid w:val="00FC371D"/>
    <w:rsid w:val="00FC5F0B"/>
    <w:rsid w:val="00FC7B27"/>
    <w:rsid w:val="00FD032C"/>
    <w:rsid w:val="00FD2100"/>
    <w:rsid w:val="00FD436C"/>
    <w:rsid w:val="00FD446D"/>
    <w:rsid w:val="00FD4739"/>
    <w:rsid w:val="00FD4F2C"/>
    <w:rsid w:val="00FD5578"/>
    <w:rsid w:val="00FD6394"/>
    <w:rsid w:val="00FE0E6C"/>
    <w:rsid w:val="00FE1080"/>
    <w:rsid w:val="00FE1CDC"/>
    <w:rsid w:val="00FE61BD"/>
    <w:rsid w:val="00FE70C3"/>
    <w:rsid w:val="00FF0876"/>
    <w:rsid w:val="00FF1A8B"/>
    <w:rsid w:val="00FF2AD9"/>
    <w:rsid w:val="00FF335B"/>
    <w:rsid w:val="00FF34A9"/>
    <w:rsid w:val="00FF359F"/>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basedOn w:val="Normal"/>
    <w:unhideWhenUsed/>
    <w:rsid w:val="00EE1996"/>
    <w:pPr>
      <w:numPr>
        <w:numId w:val="4"/>
      </w:numPr>
      <w:contextualSpacing/>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Dossier table,Section 3- footnotes,RTI AMCP Table,new style,PBAC table,MSD Table Grid,HTAtableplain,Header Table,Table Grid No Line,Summary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1 Char,Comment Text Char Char Char,-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1 Char Char,Comment Text Char Char Char Char,- H19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customStyle="1" w:styleId="ExecSumBodyText">
    <w:name w:val="Exec Sum Body Text"/>
    <w:basedOn w:val="Normal"/>
    <w:link w:val="ExecSumBodyTextChar"/>
    <w:qFormat/>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KMC16-Tablecontent">
    <w:name w:val="KMC16 - Table content"/>
    <w:basedOn w:val="Normal"/>
    <w:link w:val="KMC16-TablecontentChar"/>
    <w:qFormat/>
    <w:rsid w:val="00AC5A3B"/>
    <w:pPr>
      <w:spacing w:before="40" w:after="40"/>
      <w:ind w:left="81"/>
      <w:jc w:val="left"/>
    </w:pPr>
    <w:rPr>
      <w:rFonts w:ascii="Arial Narrow" w:eastAsiaTheme="majorEastAsia" w:hAnsi="Arial Narrow"/>
      <w:color w:val="000000"/>
      <w:sz w:val="20"/>
      <w:lang w:val="en-GB"/>
    </w:rPr>
  </w:style>
  <w:style w:type="character" w:customStyle="1" w:styleId="KMC16-TablecontentChar">
    <w:name w:val="KMC16 - Table content Char"/>
    <w:basedOn w:val="DefaultParagraphFont"/>
    <w:link w:val="KMC16-Tablecontent"/>
    <w:rsid w:val="00AC5A3B"/>
    <w:rPr>
      <w:rFonts w:ascii="Arial Narrow" w:eastAsiaTheme="majorEastAsia" w:hAnsi="Arial Narrow" w:cs="Arial"/>
      <w:color w:val="000000"/>
      <w:szCs w:val="24"/>
      <w:lang w:val="en-GB"/>
    </w:rPr>
  </w:style>
  <w:style w:type="paragraph" w:customStyle="1" w:styleId="KMC16-Text">
    <w:name w:val="KMC16 - Text"/>
    <w:basedOn w:val="Normal"/>
    <w:link w:val="KMC16-TextChar"/>
    <w:qFormat/>
    <w:rsid w:val="00F508F5"/>
    <w:pPr>
      <w:spacing w:before="120" w:after="240" w:line="360" w:lineRule="auto"/>
    </w:pPr>
    <w:rPr>
      <w:rFonts w:ascii="Arial" w:hAnsi="Arial" w:cs="Times New Roman"/>
      <w:color w:val="000000" w:themeColor="text1"/>
    </w:rPr>
  </w:style>
  <w:style w:type="character" w:customStyle="1" w:styleId="KMC16-TextChar">
    <w:name w:val="KMC16 - Text Char"/>
    <w:basedOn w:val="DefaultParagraphFont"/>
    <w:link w:val="KMC16-Text"/>
    <w:rsid w:val="00F508F5"/>
    <w:rPr>
      <w:rFonts w:ascii="Arial" w:hAnsi="Arial"/>
      <w:color w:val="000000" w:themeColor="text1"/>
      <w:sz w:val="24"/>
      <w:szCs w:val="24"/>
    </w:rPr>
  </w:style>
  <w:style w:type="paragraph" w:customStyle="1" w:styleId="KMC16-Caption">
    <w:name w:val="KMC16 - Caption"/>
    <w:basedOn w:val="Normal"/>
    <w:qFormat/>
    <w:rsid w:val="00F508F5"/>
    <w:pPr>
      <w:keepNext/>
      <w:tabs>
        <w:tab w:val="left" w:pos="567"/>
      </w:tabs>
      <w:spacing w:before="240" w:after="40"/>
      <w:ind w:left="992" w:hanging="992"/>
      <w:contextualSpacing/>
      <w:jc w:val="left"/>
    </w:pPr>
    <w:rPr>
      <w:rFonts w:ascii="Arial" w:hAnsi="Arial" w:cs="Times New Roman"/>
      <w:b/>
      <w:color w:val="000000"/>
      <w:sz w:val="20"/>
      <w:szCs w:val="20"/>
    </w:rPr>
  </w:style>
  <w:style w:type="paragraph" w:customStyle="1" w:styleId="KMC16-TFNotes">
    <w:name w:val="KMC16 - TF Notes"/>
    <w:basedOn w:val="Normal"/>
    <w:qFormat/>
    <w:rsid w:val="00F508F5"/>
    <w:pPr>
      <w:spacing w:before="45" w:after="240"/>
      <w:contextualSpacing/>
    </w:pPr>
    <w:rPr>
      <w:rFonts w:cs="Times New Roman"/>
      <w:color w:val="000000" w:themeColor="text1"/>
      <w:sz w:val="16"/>
    </w:rPr>
  </w:style>
  <w:style w:type="paragraph" w:customStyle="1" w:styleId="KMC16-TableHeading">
    <w:name w:val="KMC16 - Table Heading"/>
    <w:basedOn w:val="Normal"/>
    <w:qFormat/>
    <w:rsid w:val="00F508F5"/>
    <w:pPr>
      <w:spacing w:before="40" w:after="40"/>
      <w:jc w:val="center"/>
    </w:pPr>
    <w:rPr>
      <w:rFonts w:ascii="Arial Narrow" w:hAnsi="Arial Narrow"/>
      <w:b/>
      <w:color w:val="000000"/>
      <w:sz w:val="20"/>
    </w:rPr>
  </w:style>
  <w:style w:type="paragraph" w:styleId="FootnoteText">
    <w:name w:val="footnote text"/>
    <w:aliases w:val="KMC16 - Footnote Text, Znak4, Char Char Char Char, Char Char Char1 Char, Char Char Char1 Char Char, Char Char Char1 Char Char Char, Char1,Car5,Char Char Char Char,Char Char Char1 Char,Char Char Char1 Char Char"/>
    <w:basedOn w:val="Normal"/>
    <w:link w:val="FootnoteTextChar"/>
    <w:unhideWhenUsed/>
    <w:qFormat/>
    <w:rsid w:val="00543949"/>
    <w:rPr>
      <w:sz w:val="20"/>
      <w:szCs w:val="20"/>
    </w:rPr>
  </w:style>
  <w:style w:type="character" w:customStyle="1" w:styleId="FootnoteTextChar">
    <w:name w:val="Footnote Text Char"/>
    <w:aliases w:val="KMC16 - Footnote Text Char, Znak4 Char, Char Char Char Char Char, Char Char Char1 Char Char1, Char Char Char1 Char Char Char1, Char Char Char1 Char Char Char Char, Char1 Char,Car5 Char,Char Char Char Char Char"/>
    <w:basedOn w:val="DefaultParagraphFont"/>
    <w:link w:val="FootnoteText"/>
    <w:rsid w:val="00543949"/>
    <w:rPr>
      <w:rFonts w:ascii="Calibri" w:hAnsi="Calibri" w:cs="Arial"/>
    </w:rPr>
  </w:style>
  <w:style w:type="character" w:styleId="FootnoteReference">
    <w:name w:val="footnote reference"/>
    <w:aliases w:val="KMC16 - Footnote Reference"/>
    <w:basedOn w:val="DefaultParagraphFont"/>
    <w:unhideWhenUsed/>
    <w:rsid w:val="00543949"/>
    <w:rPr>
      <w:vertAlign w:val="superscript"/>
    </w:rPr>
  </w:style>
  <w:style w:type="character" w:styleId="UnresolvedMention">
    <w:name w:val="Unresolved Mention"/>
    <w:basedOn w:val="DefaultParagraphFont"/>
    <w:uiPriority w:val="99"/>
    <w:semiHidden/>
    <w:unhideWhenUsed/>
    <w:rsid w:val="00C85119"/>
    <w:rPr>
      <w:color w:val="605E5C"/>
      <w:shd w:val="clear" w:color="auto" w:fill="E1DFDD"/>
    </w:rPr>
  </w:style>
  <w:style w:type="paragraph" w:customStyle="1" w:styleId="KMC16-Footer">
    <w:name w:val="KMC16 - Footer"/>
    <w:basedOn w:val="Normal"/>
    <w:qFormat/>
    <w:rsid w:val="00497D4B"/>
    <w:pPr>
      <w:pBdr>
        <w:top w:val="single" w:sz="4" w:space="1" w:color="auto"/>
      </w:pBdr>
      <w:tabs>
        <w:tab w:val="center" w:pos="4147"/>
        <w:tab w:val="right" w:pos="9000"/>
      </w:tabs>
    </w:pPr>
    <w:rPr>
      <w:rFonts w:cs="Times New Roman"/>
      <w:b/>
      <w:color w:val="000000" w:themeColor="text1"/>
      <w:sz w:val="18"/>
    </w:rPr>
  </w:style>
  <w:style w:type="paragraph" w:customStyle="1" w:styleId="KMC16ES-TFTitle">
    <w:name w:val="KMC16 ES - TF Title"/>
    <w:basedOn w:val="Normal"/>
    <w:qFormat/>
    <w:rsid w:val="00497D4B"/>
    <w:pPr>
      <w:spacing w:after="40"/>
    </w:pPr>
    <w:rPr>
      <w:rFonts w:ascii="Arial Narrow" w:hAnsi="Arial Narrow" w:cs="Times New Roman"/>
      <w:b/>
      <w:sz w:val="20"/>
      <w:szCs w:val="20"/>
    </w:rPr>
  </w:style>
  <w:style w:type="paragraph" w:customStyle="1" w:styleId="TableHeading0">
    <w:name w:val="Table Heading"/>
    <w:basedOn w:val="Normal"/>
    <w:qFormat/>
    <w:rsid w:val="00497D4B"/>
    <w:pPr>
      <w:keepNext/>
      <w:spacing w:after="60"/>
      <w:jc w:val="left"/>
    </w:pPr>
    <w:rPr>
      <w:rFonts w:ascii="Arial Narrow" w:eastAsiaTheme="minorHAnsi" w:hAnsi="Arial Narrow" w:cstheme="minorBidi"/>
      <w:b/>
      <w:sz w:val="20"/>
      <w:szCs w:val="22"/>
      <w:lang w:eastAsia="en-US"/>
    </w:rPr>
  </w:style>
  <w:style w:type="character" w:customStyle="1" w:styleId="normaltextrun">
    <w:name w:val="normaltextrun"/>
    <w:basedOn w:val="DefaultParagraphFont"/>
    <w:rsid w:val="00497D4B"/>
  </w:style>
  <w:style w:type="paragraph" w:customStyle="1" w:styleId="PBACTabletext">
    <w:name w:val="PBAC Table text"/>
    <w:basedOn w:val="Normal"/>
    <w:uiPriority w:val="99"/>
    <w:qFormat/>
    <w:rsid w:val="00497D4B"/>
    <w:pPr>
      <w:keepNext/>
      <w:spacing w:after="20"/>
      <w:jc w:val="left"/>
    </w:pPr>
    <w:rPr>
      <w:rFonts w:ascii="Arial Narrow" w:eastAsiaTheme="minorHAnsi" w:hAnsi="Arial Narrow" w:cs="Times New Roman"/>
      <w:sz w:val="20"/>
      <w:szCs w:val="20"/>
      <w:lang w:eastAsia="en-GB"/>
    </w:rPr>
  </w:style>
  <w:style w:type="table" w:customStyle="1" w:styleId="Sourcetable1">
    <w:name w:val="Source table_1"/>
    <w:basedOn w:val="TableNormal"/>
    <w:rsid w:val="00930EE0"/>
    <w:rPr>
      <w:rFonts w:ascii="Arial Narrow" w:eastAsia="MS Gothic" w:hAnsi="Arial Narrow"/>
      <w:szCs w:val="22"/>
      <w:lang w:val="en-US" w:eastAsia="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MC-Tabletext">
    <w:name w:val="KMC-Table text"/>
    <w:basedOn w:val="Normal"/>
    <w:qFormat/>
    <w:rsid w:val="00D8137E"/>
    <w:pPr>
      <w:spacing w:before="40" w:after="40"/>
    </w:pPr>
    <w:rPr>
      <w:rFonts w:ascii="Arial Narrow" w:hAnsi="Arial Narrow"/>
      <w:bCs/>
      <w:sz w:val="22"/>
      <w:szCs w:val="20"/>
    </w:rPr>
  </w:style>
  <w:style w:type="paragraph" w:customStyle="1" w:styleId="TableFigureFooter">
    <w:name w:val="Table/Figure Footer"/>
    <w:basedOn w:val="Normal"/>
    <w:link w:val="TableFigureFooterChar"/>
    <w:qFormat/>
    <w:rsid w:val="00D8137E"/>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D8137E"/>
    <w:rPr>
      <w:rFonts w:ascii="Arial Narrow" w:hAnsi="Arial Narrow" w:cs="Arial"/>
      <w:snapToGrid w:val="0"/>
      <w:sz w:val="18"/>
      <w:szCs w:val="22"/>
    </w:rPr>
  </w:style>
  <w:style w:type="paragraph" w:customStyle="1" w:styleId="COMH1numbered">
    <w:name w:val="COM H1 numbered"/>
    <w:next w:val="Normal"/>
    <w:qFormat/>
    <w:rsid w:val="00996CAA"/>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qFormat/>
    <w:rsid w:val="00996CAA"/>
    <w:pPr>
      <w:numPr>
        <w:numId w:val="0"/>
      </w:numPr>
      <w:ind w:left="720" w:hanging="720"/>
    </w:pPr>
  </w:style>
  <w:style w:type="paragraph" w:customStyle="1" w:styleId="3-SubsectionHeading">
    <w:name w:val="3-Subsection Heading"/>
    <w:basedOn w:val="Heading2"/>
    <w:next w:val="Normal"/>
    <w:link w:val="3-SubsectionHeadingChar"/>
    <w:qFormat/>
    <w:rsid w:val="00AD7B35"/>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AD7B35"/>
    <w:rPr>
      <w:rFonts w:asciiTheme="minorHAnsi" w:eastAsiaTheme="majorEastAsia" w:hAnsiTheme="minorHAnsi" w:cstheme="majorBidi"/>
      <w:b/>
      <w:i/>
      <w:snapToGrid/>
      <w:spacing w:val="5"/>
      <w:kern w:val="28"/>
      <w:sz w:val="28"/>
      <w:szCs w:val="36"/>
      <w:lang w:eastAsia="en-US"/>
    </w:rPr>
  </w:style>
  <w:style w:type="paragraph" w:customStyle="1" w:styleId="null">
    <w:name w:val="null"/>
    <w:basedOn w:val="Normal"/>
    <w:rsid w:val="00BD7C79"/>
    <w:pPr>
      <w:spacing w:before="100" w:beforeAutospacing="1" w:after="100" w:afterAutospacing="1"/>
      <w:jc w:val="left"/>
    </w:pPr>
    <w:rPr>
      <w:rFonts w:eastAsiaTheme="minorHAnsi" w:cs="Times New Roman"/>
      <w:sz w:val="22"/>
      <w:szCs w:val="22"/>
    </w:rPr>
  </w:style>
  <w:style w:type="character" w:customStyle="1" w:styleId="null1">
    <w:name w:val="null1"/>
    <w:basedOn w:val="DefaultParagraphFont"/>
    <w:rsid w:val="00BD7C79"/>
  </w:style>
  <w:style w:type="paragraph" w:customStyle="1" w:styleId="EndNoteBibliography">
    <w:name w:val="EndNote Bibliography"/>
    <w:basedOn w:val="Normal"/>
    <w:link w:val="EndNoteBibliographyChar"/>
    <w:rsid w:val="001F6950"/>
    <w:rPr>
      <w:rFonts w:ascii="Arial Narrow" w:eastAsiaTheme="minorHAnsi" w:hAnsi="Arial Narrow"/>
      <w:noProof/>
      <w:sz w:val="20"/>
      <w:szCs w:val="22"/>
      <w:lang w:val="en-US" w:eastAsia="en-US"/>
    </w:rPr>
  </w:style>
  <w:style w:type="character" w:customStyle="1" w:styleId="EndNoteBibliographyChar">
    <w:name w:val="EndNote Bibliography Char"/>
    <w:basedOn w:val="DefaultParagraphFont"/>
    <w:link w:val="EndNoteBibliography"/>
    <w:rsid w:val="001F6950"/>
    <w:rPr>
      <w:rFonts w:ascii="Arial Narrow" w:eastAsiaTheme="minorHAnsi" w:hAnsi="Arial Narrow" w:cs="Arial"/>
      <w:noProof/>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1339">
      <w:bodyDiv w:val="1"/>
      <w:marLeft w:val="0"/>
      <w:marRight w:val="0"/>
      <w:marTop w:val="0"/>
      <w:marBottom w:val="0"/>
      <w:divBdr>
        <w:top w:val="none" w:sz="0" w:space="0" w:color="auto"/>
        <w:left w:val="none" w:sz="0" w:space="0" w:color="auto"/>
        <w:bottom w:val="none" w:sz="0" w:space="0" w:color="auto"/>
        <w:right w:val="none" w:sz="0" w:space="0" w:color="auto"/>
      </w:divBdr>
    </w:div>
    <w:div w:id="36009764">
      <w:bodyDiv w:val="1"/>
      <w:marLeft w:val="0"/>
      <w:marRight w:val="0"/>
      <w:marTop w:val="0"/>
      <w:marBottom w:val="0"/>
      <w:divBdr>
        <w:top w:val="none" w:sz="0" w:space="0" w:color="auto"/>
        <w:left w:val="none" w:sz="0" w:space="0" w:color="auto"/>
        <w:bottom w:val="none" w:sz="0" w:space="0" w:color="auto"/>
        <w:right w:val="none" w:sz="0" w:space="0" w:color="auto"/>
      </w:divBdr>
    </w:div>
    <w:div w:id="7537184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0994373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1910034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709646348">
      <w:bodyDiv w:val="1"/>
      <w:marLeft w:val="0"/>
      <w:marRight w:val="0"/>
      <w:marTop w:val="0"/>
      <w:marBottom w:val="0"/>
      <w:divBdr>
        <w:top w:val="none" w:sz="0" w:space="0" w:color="auto"/>
        <w:left w:val="none" w:sz="0" w:space="0" w:color="auto"/>
        <w:bottom w:val="none" w:sz="0" w:space="0" w:color="auto"/>
        <w:right w:val="none" w:sz="0" w:space="0" w:color="auto"/>
      </w:divBdr>
    </w:div>
    <w:div w:id="1717387706">
      <w:bodyDiv w:val="1"/>
      <w:marLeft w:val="0"/>
      <w:marRight w:val="0"/>
      <w:marTop w:val="0"/>
      <w:marBottom w:val="0"/>
      <w:divBdr>
        <w:top w:val="none" w:sz="0" w:space="0" w:color="auto"/>
        <w:left w:val="none" w:sz="0" w:space="0" w:color="auto"/>
        <w:bottom w:val="none" w:sz="0" w:space="0" w:color="auto"/>
        <w:right w:val="none" w:sz="0" w:space="0" w:color="auto"/>
      </w:divBdr>
    </w:div>
    <w:div w:id="188063144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linicaltrials.gov/ct2/show/NCT00056056" TargetMode="External"/><Relationship Id="rId18" Type="http://schemas.openxmlformats.org/officeDocument/2006/relationships/image" Target="media/image6.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linicalTrials.gov/show/NCT01686594" TargetMode="External"/><Relationship Id="rId17" Type="http://schemas.openxmlformats.org/officeDocument/2006/relationships/image" Target="media/image5.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en/documents/assessment-report/ledaga-epar-public-assessment-report_en.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tga.gov.au/sites/default/files/auspar-chlormethine-hydrochloride-210902.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linicaltrials.gov/ct2/show/NCT00168064" TargetMode="Externa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peoplepopulationandcommunity/populationandmigration/populationestimates/bulletins/annualmidyearpopulationestimates/mid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0A4B8-2D8C-460E-8949-7D2C5351A1D3}">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41</Pages>
  <Words>16261</Words>
  <Characters>91975</Characters>
  <Application>Microsoft Office Word</Application>
  <DocSecurity>0</DocSecurity>
  <Lines>766</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2023-07-04T05:11:00Z</dcterms:created>
  <dcterms:modified xsi:type="dcterms:W3CDTF">2023-07-04T05:29:00Z</dcterms:modified>
</cp:coreProperties>
</file>