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383DB1BB" w:rsidR="00B60939" w:rsidRPr="00555C97" w:rsidRDefault="001B7F69" w:rsidP="00E173FC">
      <w:pPr>
        <w:pStyle w:val="COMH1-non-numbered"/>
        <w:rPr>
          <w:sz w:val="36"/>
        </w:rPr>
      </w:pPr>
      <w:bookmarkStart w:id="0" w:name="_Toc124836710"/>
      <w:r w:rsidRPr="00555C97">
        <w:rPr>
          <w:sz w:val="36"/>
        </w:rPr>
        <w:t>5</w:t>
      </w:r>
      <w:r w:rsidR="00433044" w:rsidRPr="00555C97">
        <w:rPr>
          <w:sz w:val="36"/>
        </w:rPr>
        <w:t>.</w:t>
      </w:r>
      <w:r w:rsidRPr="00555C97">
        <w:rPr>
          <w:sz w:val="36"/>
        </w:rPr>
        <w:t>09</w:t>
      </w:r>
      <w:r w:rsidR="00163F66" w:rsidRPr="00555C97">
        <w:rPr>
          <w:sz w:val="36"/>
        </w:rPr>
        <w:tab/>
      </w:r>
      <w:r w:rsidR="00321330" w:rsidRPr="00555C97">
        <w:rPr>
          <w:sz w:val="36"/>
        </w:rPr>
        <w:t>DIFELIKEFALIN</w:t>
      </w:r>
      <w:r w:rsidR="00163F66" w:rsidRPr="00555C97">
        <w:rPr>
          <w:sz w:val="36"/>
        </w:rPr>
        <w:t>,</w:t>
      </w:r>
      <w:r w:rsidR="00163F66" w:rsidRPr="00555C97">
        <w:rPr>
          <w:sz w:val="36"/>
        </w:rPr>
        <w:br/>
      </w:r>
      <w:r w:rsidR="00771D96" w:rsidRPr="00555C97">
        <w:rPr>
          <w:sz w:val="36"/>
        </w:rPr>
        <w:t>Solution for I.V. injection 50 mcg in 1 mL vial</w:t>
      </w:r>
      <w:r w:rsidR="00163F66" w:rsidRPr="00555C97">
        <w:rPr>
          <w:sz w:val="36"/>
        </w:rPr>
        <w:t>,</w:t>
      </w:r>
      <w:r w:rsidR="00163F66" w:rsidRPr="00555C97">
        <w:rPr>
          <w:sz w:val="36"/>
        </w:rPr>
        <w:br/>
      </w:r>
      <w:r w:rsidR="00771D96" w:rsidRPr="00555C97">
        <w:rPr>
          <w:sz w:val="36"/>
        </w:rPr>
        <w:t>Korsuva</w:t>
      </w:r>
      <w:r w:rsidR="00B60939" w:rsidRPr="00555C97">
        <w:rPr>
          <w:sz w:val="36"/>
          <w:vertAlign w:val="superscript"/>
        </w:rPr>
        <w:t>®</w:t>
      </w:r>
      <w:r w:rsidR="004A6040" w:rsidRPr="00555C97">
        <w:rPr>
          <w:sz w:val="36"/>
        </w:rPr>
        <w:t>,</w:t>
      </w:r>
      <w:r w:rsidR="004A6040" w:rsidRPr="00555C97">
        <w:rPr>
          <w:sz w:val="36"/>
        </w:rPr>
        <w:br/>
      </w:r>
      <w:r w:rsidR="00771D96" w:rsidRPr="00555C97">
        <w:rPr>
          <w:sz w:val="36"/>
        </w:rPr>
        <w:t>Vifor Pharma Pty Limited</w:t>
      </w:r>
      <w:r w:rsidR="00B60939" w:rsidRPr="00555C97">
        <w:rPr>
          <w:sz w:val="36"/>
        </w:rPr>
        <w:t>.</w:t>
      </w:r>
      <w:bookmarkEnd w:id="0"/>
      <w:r w:rsidR="00F73E08" w:rsidRPr="00555C97">
        <w:rPr>
          <w:sz w:val="36"/>
        </w:rPr>
        <w:t xml:space="preserve"> </w:t>
      </w:r>
    </w:p>
    <w:p w14:paraId="11C00795" w14:textId="0FD2F334" w:rsidR="00B50DB8" w:rsidRPr="00806B36" w:rsidRDefault="00B50DB8" w:rsidP="004A6040">
      <w:pPr>
        <w:pStyle w:val="COMH1numbered"/>
      </w:pPr>
      <w:bookmarkStart w:id="1" w:name="_Toc124836712"/>
      <w:r w:rsidRPr="00806B36">
        <w:t xml:space="preserve">Purpose of </w:t>
      </w:r>
      <w:r w:rsidR="00CD7193" w:rsidRPr="00806B36">
        <w:t>s</w:t>
      </w:r>
      <w:r w:rsidR="00BB3A45" w:rsidRPr="00806B36">
        <w:t>ubmission</w:t>
      </w:r>
      <w:bookmarkEnd w:id="1"/>
    </w:p>
    <w:p w14:paraId="19414AA1" w14:textId="653407A8" w:rsidR="002C2775" w:rsidRPr="00806B36" w:rsidRDefault="007170DA" w:rsidP="004E18E9">
      <w:pPr>
        <w:pStyle w:val="COMexecsumnumberedpara"/>
      </w:pPr>
      <w:r w:rsidRPr="00806B36">
        <w:t xml:space="preserve">The </w:t>
      </w:r>
      <w:r w:rsidR="007206DB" w:rsidRPr="00806B36">
        <w:t>Category 1</w:t>
      </w:r>
      <w:r w:rsidR="00F73E08" w:rsidRPr="00806B36">
        <w:t xml:space="preserve"> </w:t>
      </w:r>
      <w:r w:rsidRPr="00806B36">
        <w:t xml:space="preserve">submission requested </w:t>
      </w:r>
      <w:r w:rsidR="007206DB" w:rsidRPr="00806B36">
        <w:t xml:space="preserve">a </w:t>
      </w:r>
      <w:r w:rsidR="008B1757" w:rsidRPr="00806B36">
        <w:t>Section 100</w:t>
      </w:r>
      <w:r w:rsidR="007206DB" w:rsidRPr="00806B36">
        <w:t xml:space="preserve"> (Highly Specialised Drug Program)</w:t>
      </w:r>
      <w:r w:rsidR="008B1757" w:rsidRPr="00806B36">
        <w:t>, Authority Required</w:t>
      </w:r>
      <w:r w:rsidR="007206DB" w:rsidRPr="00806B36">
        <w:t xml:space="preserve"> (telephone/online)</w:t>
      </w:r>
      <w:r w:rsidR="008B1757" w:rsidRPr="00806B36">
        <w:t xml:space="preserve"> listing for </w:t>
      </w:r>
      <w:r w:rsidR="007206DB" w:rsidRPr="00806B36">
        <w:t>the treatment of moderate to severe pruritus associated with chronic kidney disease in adult patients on haemodialysis.</w:t>
      </w:r>
    </w:p>
    <w:p w14:paraId="4E9FBCB5" w14:textId="6C10210C" w:rsidR="00C2778B" w:rsidRPr="00806B36" w:rsidRDefault="005750C5" w:rsidP="004E18E9">
      <w:pPr>
        <w:pStyle w:val="COMexecsumnumberedpara"/>
      </w:pPr>
      <w:r w:rsidRPr="00806B36">
        <w:t xml:space="preserve">Listing was requested on the basis of a cost-effectiveness analysis </w:t>
      </w:r>
      <w:r w:rsidR="00F679C0" w:rsidRPr="00806B36">
        <w:t xml:space="preserve">of difelikefalin </w:t>
      </w:r>
      <w:r w:rsidRPr="00806B36">
        <w:t xml:space="preserve">versus </w:t>
      </w:r>
      <w:r w:rsidR="00CE56C3" w:rsidRPr="00806B36">
        <w:t>best supportive care</w:t>
      </w:r>
      <w:r w:rsidRPr="00806B36">
        <w:t xml:space="preserve">. </w:t>
      </w:r>
    </w:p>
    <w:p w14:paraId="4D23C1DC" w14:textId="771DF85B" w:rsidR="00A24F76" w:rsidRPr="00806B36" w:rsidRDefault="008E1F17" w:rsidP="00A24F76">
      <w:pPr>
        <w:pStyle w:val="COMtablefigcaption"/>
      </w:pPr>
      <w:r w:rsidRPr="00806B36">
        <w:t>Table</w:t>
      </w:r>
      <w:r w:rsidR="00A24F76" w:rsidRPr="00806B36">
        <w:t xml:space="preserve"> </w:t>
      </w:r>
      <w:r w:rsidR="00487C7F">
        <w:fldChar w:fldCharType="begin"/>
      </w:r>
      <w:r w:rsidR="00487C7F">
        <w:instrText xml:space="preserve"> SEQ Table \* ARABIC </w:instrText>
      </w:r>
      <w:r w:rsidR="00487C7F">
        <w:fldChar w:fldCharType="separate"/>
      </w:r>
      <w:r w:rsidR="00487C7F">
        <w:rPr>
          <w:noProof/>
        </w:rPr>
        <w:t>1</w:t>
      </w:r>
      <w:r w:rsidR="00487C7F">
        <w:rPr>
          <w:noProof/>
        </w:rPr>
        <w:fldChar w:fldCharType="end"/>
      </w:r>
      <w:r w:rsidR="00A24F76" w:rsidRPr="00806B36">
        <w:t>: Key components of the clinical issue addressed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4D7E2A" w:rsidRPr="00806B36" w14:paraId="3652A2B8" w14:textId="77777777" w:rsidTr="005961FA">
        <w:tc>
          <w:tcPr>
            <w:tcW w:w="911" w:type="pct"/>
            <w:vAlign w:val="center"/>
          </w:tcPr>
          <w:p w14:paraId="59B97909" w14:textId="77777777" w:rsidR="004D7E2A" w:rsidRPr="00806B36" w:rsidRDefault="004D7E2A" w:rsidP="0049704D">
            <w:pPr>
              <w:pStyle w:val="COMTableheadingrow"/>
              <w:rPr>
                <w:lang w:val="en-AU"/>
              </w:rPr>
            </w:pPr>
            <w:r w:rsidRPr="00806B36">
              <w:rPr>
                <w:lang w:val="en-AU"/>
              </w:rPr>
              <w:t>Component</w:t>
            </w:r>
          </w:p>
        </w:tc>
        <w:tc>
          <w:tcPr>
            <w:tcW w:w="4089" w:type="pct"/>
            <w:vAlign w:val="center"/>
          </w:tcPr>
          <w:p w14:paraId="3B653FF0" w14:textId="77777777" w:rsidR="004D7E2A" w:rsidRPr="00806B36" w:rsidRDefault="004D7E2A" w:rsidP="0049704D">
            <w:pPr>
              <w:pStyle w:val="COMTableheadingrow"/>
              <w:rPr>
                <w:lang w:val="en-AU"/>
              </w:rPr>
            </w:pPr>
            <w:r w:rsidRPr="00806B36">
              <w:rPr>
                <w:lang w:val="en-AU"/>
              </w:rPr>
              <w:t>Description</w:t>
            </w:r>
          </w:p>
        </w:tc>
      </w:tr>
      <w:tr w:rsidR="004D7E2A" w:rsidRPr="00806B36" w14:paraId="3E58D8E6" w14:textId="77777777" w:rsidTr="005961FA">
        <w:tc>
          <w:tcPr>
            <w:tcW w:w="911" w:type="pct"/>
            <w:vAlign w:val="center"/>
          </w:tcPr>
          <w:p w14:paraId="1B394017" w14:textId="77777777" w:rsidR="004D7E2A" w:rsidRPr="00806B36" w:rsidRDefault="004D7E2A" w:rsidP="0049704D">
            <w:pPr>
              <w:pStyle w:val="COMTabletext"/>
            </w:pPr>
            <w:r w:rsidRPr="00806B36">
              <w:t>Population</w:t>
            </w:r>
          </w:p>
        </w:tc>
        <w:tc>
          <w:tcPr>
            <w:tcW w:w="4089" w:type="pct"/>
            <w:vAlign w:val="center"/>
          </w:tcPr>
          <w:p w14:paraId="7E5C84A0" w14:textId="77777777" w:rsidR="004D7E2A" w:rsidRPr="00806B36" w:rsidRDefault="004D7E2A" w:rsidP="0049704D">
            <w:pPr>
              <w:pStyle w:val="COMTabletext"/>
            </w:pPr>
            <w:r w:rsidRPr="00806B36">
              <w:t>Adult patients on haemodialysis with moderate to severe pruritus associated with chronic kidney disease, who have inadequate response to best supportive care</w:t>
            </w:r>
          </w:p>
        </w:tc>
      </w:tr>
      <w:tr w:rsidR="004D7E2A" w:rsidRPr="00806B36" w14:paraId="265C5324" w14:textId="77777777" w:rsidTr="005961FA">
        <w:tc>
          <w:tcPr>
            <w:tcW w:w="911" w:type="pct"/>
            <w:vAlign w:val="center"/>
          </w:tcPr>
          <w:p w14:paraId="7185C33F" w14:textId="77777777" w:rsidR="004D7E2A" w:rsidRPr="00806B36" w:rsidRDefault="004D7E2A" w:rsidP="0049704D">
            <w:pPr>
              <w:pStyle w:val="COMTabletext"/>
            </w:pPr>
            <w:r w:rsidRPr="00806B36">
              <w:t>Intervention</w:t>
            </w:r>
          </w:p>
        </w:tc>
        <w:tc>
          <w:tcPr>
            <w:tcW w:w="4089" w:type="pct"/>
            <w:vAlign w:val="center"/>
          </w:tcPr>
          <w:p w14:paraId="33A043F8" w14:textId="77777777" w:rsidR="004D7E2A" w:rsidRPr="00806B36" w:rsidRDefault="004D7E2A" w:rsidP="0049704D">
            <w:pPr>
              <w:pStyle w:val="COMTabletext"/>
            </w:pPr>
            <w:r w:rsidRPr="00806B36">
              <w:t>Difelikefalin in addition to best supportive care</w:t>
            </w:r>
          </w:p>
        </w:tc>
      </w:tr>
      <w:tr w:rsidR="004D7E2A" w:rsidRPr="00806B36" w14:paraId="0D02252F" w14:textId="77777777" w:rsidTr="005961FA">
        <w:tc>
          <w:tcPr>
            <w:tcW w:w="911" w:type="pct"/>
            <w:vAlign w:val="center"/>
          </w:tcPr>
          <w:p w14:paraId="3EEE61F2" w14:textId="77777777" w:rsidR="004D7E2A" w:rsidRPr="00806B36" w:rsidRDefault="004D7E2A" w:rsidP="0049704D">
            <w:pPr>
              <w:pStyle w:val="COMTabletext"/>
            </w:pPr>
            <w:r w:rsidRPr="00806B36">
              <w:t>Comparator</w:t>
            </w:r>
          </w:p>
        </w:tc>
        <w:tc>
          <w:tcPr>
            <w:tcW w:w="4089" w:type="pct"/>
            <w:vAlign w:val="center"/>
          </w:tcPr>
          <w:p w14:paraId="5A3060E5" w14:textId="77777777" w:rsidR="004D7E2A" w:rsidRPr="00806B36" w:rsidRDefault="004D7E2A" w:rsidP="0049704D">
            <w:pPr>
              <w:pStyle w:val="COMTabletext"/>
            </w:pPr>
            <w:r w:rsidRPr="00806B36">
              <w:t xml:space="preserve">Best supportive care </w:t>
            </w:r>
          </w:p>
        </w:tc>
      </w:tr>
      <w:tr w:rsidR="004D7E2A" w:rsidRPr="00806B36" w14:paraId="26770986" w14:textId="77777777" w:rsidTr="005961FA">
        <w:tc>
          <w:tcPr>
            <w:tcW w:w="911" w:type="pct"/>
            <w:vAlign w:val="center"/>
          </w:tcPr>
          <w:p w14:paraId="26593672" w14:textId="77777777" w:rsidR="004D7E2A" w:rsidRPr="00806B36" w:rsidRDefault="004D7E2A" w:rsidP="0049704D">
            <w:pPr>
              <w:pStyle w:val="COMTabletext"/>
            </w:pPr>
            <w:r w:rsidRPr="00806B36">
              <w:t>Outcomes</w:t>
            </w:r>
          </w:p>
        </w:tc>
        <w:tc>
          <w:tcPr>
            <w:tcW w:w="4089" w:type="pct"/>
            <w:vAlign w:val="center"/>
          </w:tcPr>
          <w:p w14:paraId="478A79FF" w14:textId="77777777" w:rsidR="004D7E2A" w:rsidRPr="00806B36" w:rsidRDefault="004D7E2A" w:rsidP="0049704D">
            <w:pPr>
              <w:pStyle w:val="COMTabletext"/>
            </w:pPr>
            <w:r w:rsidRPr="00806B36">
              <w:t>Improvements in disease-related symptoms leading to improved quality of life</w:t>
            </w:r>
          </w:p>
        </w:tc>
      </w:tr>
      <w:tr w:rsidR="004D7E2A" w:rsidRPr="00806B36" w14:paraId="006E91F0" w14:textId="77777777" w:rsidTr="005961FA">
        <w:tc>
          <w:tcPr>
            <w:tcW w:w="911" w:type="pct"/>
            <w:vAlign w:val="center"/>
          </w:tcPr>
          <w:p w14:paraId="3FB52402" w14:textId="77777777" w:rsidR="004D7E2A" w:rsidRPr="00806B36" w:rsidRDefault="004D7E2A" w:rsidP="0049704D">
            <w:pPr>
              <w:pStyle w:val="COMTabletext"/>
            </w:pPr>
            <w:r w:rsidRPr="00806B36">
              <w:t>Clinical claim</w:t>
            </w:r>
          </w:p>
        </w:tc>
        <w:tc>
          <w:tcPr>
            <w:tcW w:w="4089" w:type="pct"/>
            <w:vAlign w:val="center"/>
          </w:tcPr>
          <w:p w14:paraId="233341C3" w14:textId="77777777" w:rsidR="004D7E2A" w:rsidRPr="00806B36" w:rsidRDefault="004D7E2A" w:rsidP="0049704D">
            <w:pPr>
              <w:pStyle w:val="COMTabletext"/>
            </w:pPr>
            <w:r w:rsidRPr="00806B36">
              <w:t>Superior efficacy and inferior safety compared to best supportive care</w:t>
            </w:r>
          </w:p>
        </w:tc>
      </w:tr>
    </w:tbl>
    <w:p w14:paraId="2CE14B3A" w14:textId="77777777" w:rsidR="004D7E2A" w:rsidRPr="00806B36" w:rsidRDefault="004D7E2A" w:rsidP="004D7E2A">
      <w:pPr>
        <w:pStyle w:val="COMTablefooter"/>
      </w:pPr>
      <w:r w:rsidRPr="00806B36">
        <w:t>Source: Table 1, p28 of the submission</w:t>
      </w:r>
    </w:p>
    <w:p w14:paraId="6B4AB6C2" w14:textId="483817F5" w:rsidR="005C25FF" w:rsidRPr="00806B36" w:rsidRDefault="005C25FF" w:rsidP="004A6040">
      <w:pPr>
        <w:pStyle w:val="COMH1numbered"/>
      </w:pPr>
      <w:bookmarkStart w:id="2" w:name="_Toc124836713"/>
      <w:r w:rsidRPr="00806B36">
        <w:t>Background</w:t>
      </w:r>
      <w:bookmarkEnd w:id="2"/>
    </w:p>
    <w:p w14:paraId="2C521D6D" w14:textId="53DB3792" w:rsidR="005C25FF" w:rsidRPr="00806B36" w:rsidRDefault="005C25FF" w:rsidP="0045707B">
      <w:pPr>
        <w:pStyle w:val="COMH2-non-numbered"/>
      </w:pPr>
      <w:bookmarkStart w:id="3" w:name="_Toc22897638"/>
      <w:bookmarkStart w:id="4" w:name="_Toc124836714"/>
      <w:r w:rsidRPr="00806B36">
        <w:t>Registration status</w:t>
      </w:r>
      <w:bookmarkEnd w:id="3"/>
      <w:bookmarkEnd w:id="4"/>
    </w:p>
    <w:p w14:paraId="3E2A6EAB" w14:textId="168ED9F2" w:rsidR="005C25FF" w:rsidRPr="00806B36" w:rsidRDefault="008D67DF" w:rsidP="0007628B">
      <w:pPr>
        <w:pStyle w:val="COMexecsumnumberedpara"/>
      </w:pPr>
      <w:r w:rsidRPr="00806B36">
        <w:t xml:space="preserve">TGA status at time of </w:t>
      </w:r>
      <w:r w:rsidR="00A177E7" w:rsidRPr="00806B36">
        <w:t>PBAC consideration</w:t>
      </w:r>
      <w:r w:rsidRPr="00806B36">
        <w:t xml:space="preserve">: </w:t>
      </w:r>
      <w:r w:rsidR="0007628B" w:rsidRPr="00806B36">
        <w:t xml:space="preserve">Difelikefalin was </w:t>
      </w:r>
      <w:r w:rsidR="00564727" w:rsidRPr="00806B36">
        <w:t>TGA registered on 10 November 2022. T</w:t>
      </w:r>
      <w:r w:rsidR="00FE43E5" w:rsidRPr="00806B36">
        <w:t>he finalised Product Information was provided alongside the Pre-Sub-Committee Response (PSCR).</w:t>
      </w:r>
      <w:r w:rsidR="0007628B" w:rsidRPr="00806B36">
        <w:t xml:space="preserve"> </w:t>
      </w:r>
    </w:p>
    <w:p w14:paraId="3657571C" w14:textId="77777777" w:rsidR="00D92E5D" w:rsidRPr="00806B36" w:rsidRDefault="003830D8" w:rsidP="0007628B">
      <w:pPr>
        <w:pStyle w:val="COMexecsumnumberedpara"/>
      </w:pPr>
      <w:r w:rsidRPr="00806B36">
        <w:t xml:space="preserve">The TGA indication for difelikefalin is for the treatment of moderate to severe pruritus associated with chronic kidney disease in adult patients on haemodialysis. </w:t>
      </w:r>
    </w:p>
    <w:p w14:paraId="31B0FFB6" w14:textId="2286445F" w:rsidR="003830D8" w:rsidRPr="00806B36" w:rsidRDefault="003830D8" w:rsidP="0007628B">
      <w:pPr>
        <w:pStyle w:val="COMexecsumnumberedpara"/>
      </w:pPr>
      <w:r w:rsidRPr="00806B36">
        <w:t xml:space="preserve">In August 2022, the </w:t>
      </w:r>
      <w:r w:rsidR="00B34192" w:rsidRPr="00806B36">
        <w:t>Advisory Committee for Medicines (</w:t>
      </w:r>
      <w:r w:rsidRPr="00806B36">
        <w:t>ACM</w:t>
      </w:r>
      <w:r w:rsidR="00B34192" w:rsidRPr="00806B36">
        <w:t>)</w:t>
      </w:r>
      <w:r w:rsidRPr="00806B36">
        <w:t xml:space="preserve"> considered that difelikefalin has an overall positive benefit-risk profile for the proposed indication but proposed multiple amendments to the </w:t>
      </w:r>
      <w:r w:rsidR="00E52520" w:rsidRPr="00806B36">
        <w:t>P</w:t>
      </w:r>
      <w:r w:rsidRPr="00806B36">
        <w:t>roduct</w:t>
      </w:r>
      <w:r w:rsidR="00E52520" w:rsidRPr="00806B36">
        <w:t xml:space="preserve"> I</w:t>
      </w:r>
      <w:r w:rsidRPr="00806B36">
        <w:t xml:space="preserve">nformation. The suggested amendments included that the administration of difelikefalin be ‘under the guidance of health care professionals’ rather than ‘doctor or nurse must administer’. The ACM considered that many patients are well-trained to self-administer drugs and dialysis and therefore requiring administration by health professionals may disadvantage patients living in remote areas who have home haemodialysis with frequent </w:t>
      </w:r>
      <w:r w:rsidRPr="00806B36">
        <w:lastRenderedPageBreak/>
        <w:t>healthcare professional visits.</w:t>
      </w:r>
      <w:r w:rsidR="00336D5D" w:rsidRPr="00806B36">
        <w:t xml:space="preserve"> The ESC noted the finalised Product Information </w:t>
      </w:r>
      <w:r w:rsidR="007866C7" w:rsidRPr="00806B36">
        <w:t>states administration should be ‘under the guidance of health care professionals’.</w:t>
      </w:r>
      <w:r w:rsidR="007866C7" w:rsidRPr="00806B36">
        <w:rPr>
          <w:i/>
          <w:iCs/>
        </w:rPr>
        <w:t xml:space="preserve"> </w:t>
      </w:r>
    </w:p>
    <w:p w14:paraId="6F4EA2A2" w14:textId="77777777" w:rsidR="00741369" w:rsidRPr="00806B36" w:rsidRDefault="00741369" w:rsidP="00741369">
      <w:pPr>
        <w:ind w:firstLine="709"/>
        <w:rPr>
          <w:rFonts w:asciiTheme="minorHAnsi" w:hAnsiTheme="minorHAnsi"/>
          <w:i/>
        </w:rPr>
      </w:pPr>
      <w:bookmarkStart w:id="5" w:name="_Hlk76375324"/>
      <w:r w:rsidRPr="00806B36">
        <w:rPr>
          <w:rFonts w:asciiTheme="minorHAnsi" w:hAnsiTheme="minorHAnsi"/>
          <w:i/>
        </w:rPr>
        <w:t>For more detail on PBAC’s view, see section 7 PBAC outcome.</w:t>
      </w:r>
    </w:p>
    <w:p w14:paraId="323E0C60" w14:textId="777ED8A5" w:rsidR="001405D7" w:rsidRPr="00806B36" w:rsidRDefault="00B50DB8" w:rsidP="001405D7">
      <w:pPr>
        <w:pStyle w:val="COMH1numbered"/>
      </w:pPr>
      <w:bookmarkStart w:id="6" w:name="_Toc107902078"/>
      <w:bookmarkStart w:id="7" w:name="_Toc124836715"/>
      <w:bookmarkEnd w:id="5"/>
      <w:bookmarkEnd w:id="6"/>
      <w:r w:rsidRPr="00806B36">
        <w:t>Requested listing</w:t>
      </w:r>
      <w:bookmarkStart w:id="8" w:name="_Hlk104809082"/>
      <w:bookmarkEnd w:id="7"/>
    </w:p>
    <w:bookmarkEnd w:id="8"/>
    <w:p w14:paraId="25EA38A2" w14:textId="73745827" w:rsidR="002A27C7" w:rsidRPr="00806B36" w:rsidRDefault="002A27C7" w:rsidP="002A27C7">
      <w:pPr>
        <w:pStyle w:val="COMexecsumnumberedpara"/>
      </w:pPr>
      <w:r w:rsidRPr="00806B36">
        <w:t xml:space="preserve">Suggestions and additions proposed by the Secretariat are added in italics and suggested deletions are crossed out with strikethrough. </w:t>
      </w:r>
      <w:r w:rsidR="00D91D6F" w:rsidRPr="00806B36">
        <w:t>Essential elements for grandfathered treatment were added</w:t>
      </w:r>
      <w:r w:rsidRPr="00806B36">
        <w:t xml:space="preserve"> </w:t>
      </w:r>
      <w:r w:rsidR="00D91D6F" w:rsidRPr="00806B36">
        <w:t xml:space="preserve">during the evaluation, assumed to be the same as </w:t>
      </w:r>
      <w:r w:rsidR="00743227" w:rsidRPr="00806B36">
        <w:t xml:space="preserve">initial treatment (when they initiated non-PBS treatment) and </w:t>
      </w:r>
      <w:r w:rsidR="00D91D6F" w:rsidRPr="00806B36">
        <w:t>for continuing treatment</w:t>
      </w:r>
      <w:r w:rsidR="00E7436A" w:rsidRPr="00806B3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31"/>
        <w:gridCol w:w="1452"/>
        <w:gridCol w:w="1560"/>
        <w:gridCol w:w="988"/>
        <w:gridCol w:w="709"/>
        <w:gridCol w:w="709"/>
        <w:gridCol w:w="707"/>
        <w:gridCol w:w="1798"/>
      </w:tblGrid>
      <w:tr w:rsidR="002A27C7" w:rsidRPr="00806B36" w14:paraId="5EE2C956" w14:textId="77777777" w:rsidTr="002A27C7">
        <w:tc>
          <w:tcPr>
            <w:tcW w:w="141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4E0C7B" w14:textId="77777777" w:rsidR="002A27C7" w:rsidRPr="00806B36" w:rsidRDefault="002A27C7" w:rsidP="00C6526D">
            <w:pPr>
              <w:tabs>
                <w:tab w:val="left" w:pos="6510"/>
              </w:tabs>
              <w:rPr>
                <w:rFonts w:ascii="Arial Narrow" w:hAnsi="Arial Narrow"/>
                <w:b/>
                <w:sz w:val="20"/>
                <w:szCs w:val="20"/>
              </w:rPr>
            </w:pPr>
            <w:r w:rsidRPr="00806B36">
              <w:rPr>
                <w:rFonts w:ascii="Arial Narrow" w:hAnsi="Arial Narrow"/>
                <w:b/>
                <w:sz w:val="20"/>
                <w:szCs w:val="20"/>
              </w:rPr>
              <w:t>Name, Restriction,</w:t>
            </w:r>
          </w:p>
          <w:p w14:paraId="4D416B21" w14:textId="77777777" w:rsidR="002A27C7" w:rsidRPr="00806B36" w:rsidRDefault="002A27C7" w:rsidP="00C6526D">
            <w:pPr>
              <w:tabs>
                <w:tab w:val="left" w:pos="6510"/>
              </w:tabs>
              <w:rPr>
                <w:rFonts w:ascii="Arial Narrow" w:hAnsi="Arial Narrow"/>
                <w:b/>
                <w:sz w:val="20"/>
                <w:szCs w:val="20"/>
              </w:rPr>
            </w:pPr>
            <w:r w:rsidRPr="00806B36">
              <w:rPr>
                <w:rFonts w:ascii="Arial Narrow" w:hAnsi="Arial Narrow"/>
                <w:b/>
                <w:sz w:val="20"/>
                <w:szCs w:val="20"/>
              </w:rPr>
              <w:t>Manner of administration and form</w:t>
            </w:r>
          </w:p>
        </w:tc>
        <w:tc>
          <w:tcPr>
            <w:tcW w:w="8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494B43" w14:textId="37FDDF40" w:rsidR="002A27C7" w:rsidRPr="00806B36" w:rsidRDefault="002A27C7" w:rsidP="00C6526D">
            <w:pPr>
              <w:tabs>
                <w:tab w:val="left" w:pos="6510"/>
              </w:tabs>
              <w:jc w:val="center"/>
              <w:rPr>
                <w:rFonts w:ascii="Arial Narrow" w:hAnsi="Arial Narrow"/>
                <w:b/>
                <w:sz w:val="20"/>
                <w:szCs w:val="20"/>
              </w:rPr>
            </w:pPr>
            <w:r w:rsidRPr="00806B36">
              <w:rPr>
                <w:rFonts w:ascii="Arial Narrow" w:hAnsi="Arial Narrow"/>
                <w:b/>
                <w:sz w:val="20"/>
                <w:szCs w:val="20"/>
              </w:rPr>
              <w:t>Dispensed Price for Max. Qty</w:t>
            </w:r>
          </w:p>
        </w:tc>
        <w:tc>
          <w:tcPr>
            <w:tcW w:w="548" w:type="pct"/>
            <w:tcBorders>
              <w:top w:val="single" w:sz="4" w:space="0" w:color="auto"/>
              <w:left w:val="single" w:sz="4" w:space="0" w:color="auto"/>
              <w:bottom w:val="single" w:sz="4" w:space="0" w:color="auto"/>
              <w:right w:val="single" w:sz="4" w:space="0" w:color="auto"/>
            </w:tcBorders>
          </w:tcPr>
          <w:p w14:paraId="61B79D6A" w14:textId="2B12623C" w:rsidR="002A27C7" w:rsidRPr="00806B36" w:rsidRDefault="002A27C7" w:rsidP="00C6526D">
            <w:pPr>
              <w:tabs>
                <w:tab w:val="left" w:pos="6510"/>
              </w:tabs>
              <w:jc w:val="center"/>
              <w:rPr>
                <w:rFonts w:ascii="Arial Narrow" w:hAnsi="Arial Narrow"/>
                <w:b/>
                <w:sz w:val="20"/>
                <w:szCs w:val="20"/>
              </w:rPr>
            </w:pPr>
            <w:r w:rsidRPr="00806B36">
              <w:rPr>
                <w:rFonts w:ascii="Arial Narrow" w:hAnsi="Arial Narrow"/>
                <w:b/>
                <w:sz w:val="20"/>
                <w:szCs w:val="20"/>
              </w:rPr>
              <w:t>PBS item code</w:t>
            </w:r>
          </w:p>
        </w:tc>
        <w:tc>
          <w:tcPr>
            <w:tcW w:w="3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1EDE39" w14:textId="77777777" w:rsidR="002A27C7" w:rsidRPr="00806B36" w:rsidRDefault="002A27C7" w:rsidP="00C6526D">
            <w:pPr>
              <w:tabs>
                <w:tab w:val="left" w:pos="6510"/>
              </w:tabs>
              <w:jc w:val="center"/>
              <w:rPr>
                <w:rFonts w:ascii="Arial Narrow" w:hAnsi="Arial Narrow"/>
                <w:b/>
                <w:sz w:val="20"/>
                <w:szCs w:val="20"/>
              </w:rPr>
            </w:pPr>
            <w:r w:rsidRPr="00806B36">
              <w:rPr>
                <w:rFonts w:ascii="Arial Narrow" w:hAnsi="Arial Narrow"/>
                <w:b/>
                <w:sz w:val="20"/>
                <w:szCs w:val="20"/>
              </w:rPr>
              <w:t>Max. qty packs</w:t>
            </w:r>
          </w:p>
        </w:tc>
        <w:tc>
          <w:tcPr>
            <w:tcW w:w="3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400E12" w14:textId="77777777" w:rsidR="002A27C7" w:rsidRPr="00806B36" w:rsidRDefault="002A27C7" w:rsidP="00C6526D">
            <w:pPr>
              <w:tabs>
                <w:tab w:val="left" w:pos="6510"/>
              </w:tabs>
              <w:jc w:val="center"/>
              <w:rPr>
                <w:rFonts w:ascii="Arial Narrow" w:hAnsi="Arial Narrow"/>
                <w:b/>
                <w:sz w:val="20"/>
                <w:szCs w:val="20"/>
              </w:rPr>
            </w:pPr>
            <w:r w:rsidRPr="00806B36">
              <w:rPr>
                <w:rFonts w:ascii="Arial Narrow" w:hAnsi="Arial Narrow"/>
                <w:b/>
                <w:sz w:val="20"/>
                <w:szCs w:val="20"/>
              </w:rPr>
              <w:t>Max. qty units</w:t>
            </w:r>
          </w:p>
        </w:tc>
        <w:tc>
          <w:tcPr>
            <w:tcW w:w="3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688874" w14:textId="77777777" w:rsidR="002A27C7" w:rsidRPr="00806B36" w:rsidRDefault="002A27C7" w:rsidP="00C6526D">
            <w:pPr>
              <w:keepNext/>
              <w:ind w:left="-108"/>
              <w:jc w:val="center"/>
              <w:rPr>
                <w:rFonts w:ascii="Arial Narrow" w:hAnsi="Arial Narrow"/>
                <w:b/>
                <w:sz w:val="20"/>
                <w:szCs w:val="20"/>
              </w:rPr>
            </w:pPr>
            <w:r w:rsidRPr="00806B36">
              <w:rPr>
                <w:rFonts w:ascii="Arial Narrow" w:hAnsi="Arial Narrow"/>
                <w:b/>
                <w:sz w:val="20"/>
                <w:szCs w:val="20"/>
              </w:rPr>
              <w:t>№.of</w:t>
            </w:r>
          </w:p>
          <w:p w14:paraId="4847A1A8" w14:textId="77777777" w:rsidR="002A27C7" w:rsidRPr="00806B36" w:rsidRDefault="002A27C7" w:rsidP="00C6526D">
            <w:pPr>
              <w:tabs>
                <w:tab w:val="left" w:pos="6510"/>
              </w:tabs>
              <w:jc w:val="center"/>
              <w:rPr>
                <w:rFonts w:ascii="Arial Narrow" w:hAnsi="Arial Narrow"/>
                <w:b/>
                <w:sz w:val="20"/>
                <w:szCs w:val="20"/>
              </w:rPr>
            </w:pPr>
            <w:r w:rsidRPr="00806B36">
              <w:rPr>
                <w:rFonts w:ascii="Arial Narrow" w:hAnsi="Arial Narrow"/>
                <w:b/>
                <w:sz w:val="20"/>
                <w:szCs w:val="20"/>
              </w:rPr>
              <w:t>Rpts</w:t>
            </w:r>
          </w:p>
        </w:tc>
        <w:tc>
          <w:tcPr>
            <w:tcW w:w="9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1189DC" w14:textId="77777777" w:rsidR="002A27C7" w:rsidRPr="00806B36" w:rsidRDefault="002A27C7" w:rsidP="00C6526D">
            <w:pPr>
              <w:tabs>
                <w:tab w:val="left" w:pos="6510"/>
              </w:tabs>
              <w:jc w:val="center"/>
              <w:rPr>
                <w:rFonts w:ascii="Arial Narrow" w:hAnsi="Arial Narrow"/>
                <w:b/>
                <w:sz w:val="20"/>
                <w:szCs w:val="20"/>
              </w:rPr>
            </w:pPr>
            <w:r w:rsidRPr="00806B36">
              <w:rPr>
                <w:rFonts w:ascii="Arial Narrow" w:hAnsi="Arial Narrow"/>
                <w:b/>
                <w:sz w:val="20"/>
                <w:szCs w:val="20"/>
              </w:rPr>
              <w:t>Proprietary Name and Manufacturer</w:t>
            </w:r>
          </w:p>
        </w:tc>
      </w:tr>
      <w:tr w:rsidR="002A27C7" w:rsidRPr="00806B36" w14:paraId="2D36D6EB" w14:textId="77777777" w:rsidTr="002A27C7">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52D15E" w14:textId="6288A9DF" w:rsidR="002A27C7" w:rsidRPr="00806B36" w:rsidRDefault="00806B36" w:rsidP="00806B36">
            <w:pPr>
              <w:keepNext/>
              <w:ind w:left="-108"/>
              <w:jc w:val="left"/>
              <w:rPr>
                <w:rFonts w:ascii="Arial Narrow" w:hAnsi="Arial Narrow"/>
                <w:sz w:val="20"/>
                <w:szCs w:val="20"/>
              </w:rPr>
            </w:pPr>
            <w:r>
              <w:rPr>
                <w:rFonts w:ascii="Arial Narrow" w:hAnsi="Arial Narrow"/>
                <w:sz w:val="20"/>
                <w:szCs w:val="20"/>
              </w:rPr>
              <w:t xml:space="preserve">   </w:t>
            </w:r>
            <w:r w:rsidR="002A27C7" w:rsidRPr="00806B36">
              <w:rPr>
                <w:rFonts w:ascii="Arial Narrow" w:hAnsi="Arial Narrow"/>
                <w:sz w:val="20"/>
                <w:szCs w:val="20"/>
              </w:rPr>
              <w:t>DIFELIKEFALIN</w:t>
            </w:r>
          </w:p>
        </w:tc>
      </w:tr>
      <w:tr w:rsidR="002A27C7" w:rsidRPr="00806B36" w14:paraId="0E31C1B5" w14:textId="77777777" w:rsidTr="002A27C7">
        <w:tc>
          <w:tcPr>
            <w:tcW w:w="141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DFD20F" w14:textId="77777777" w:rsidR="002A27C7" w:rsidRPr="00806B36" w:rsidRDefault="002A27C7" w:rsidP="00C6526D">
            <w:pPr>
              <w:tabs>
                <w:tab w:val="left" w:pos="6510"/>
              </w:tabs>
              <w:rPr>
                <w:rFonts w:ascii="Arial Narrow" w:hAnsi="Arial Narrow"/>
                <w:b/>
                <w:sz w:val="20"/>
                <w:szCs w:val="20"/>
              </w:rPr>
            </w:pPr>
            <w:r w:rsidRPr="00806B36">
              <w:rPr>
                <w:rFonts w:ascii="Arial Narrow" w:hAnsi="Arial Narrow"/>
                <w:sz w:val="20"/>
                <w:szCs w:val="20"/>
              </w:rPr>
              <w:t>Difelikefalin 50 mcg/mL solution for injection, 1mL vial (as acetate)</w:t>
            </w:r>
          </w:p>
        </w:tc>
        <w:tc>
          <w:tcPr>
            <w:tcW w:w="8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80FFFA" w14:textId="77777777" w:rsidR="002A27C7" w:rsidRPr="00806B36" w:rsidRDefault="002A27C7" w:rsidP="002A27C7">
            <w:pPr>
              <w:pStyle w:val="COMTabletext"/>
              <w:keepNext w:val="0"/>
              <w:widowControl w:val="0"/>
              <w:jc w:val="center"/>
              <w:rPr>
                <w:rFonts w:eastAsia="Times New Roman" w:cs="Arial"/>
                <w:bCs w:val="0"/>
                <w:szCs w:val="20"/>
              </w:rPr>
            </w:pPr>
            <w:r w:rsidRPr="00806B36">
              <w:rPr>
                <w:rFonts w:eastAsia="Times New Roman" w:cs="Arial"/>
                <w:bCs w:val="0"/>
                <w:szCs w:val="20"/>
              </w:rPr>
              <w:t>$</w:t>
            </w:r>
            <w:r w:rsidRPr="00AE7B50">
              <w:rPr>
                <w:rFonts w:eastAsia="Times New Roman" w:cs="Arial"/>
                <w:bCs w:val="0"/>
                <w:szCs w:val="20"/>
              </w:rPr>
              <w:t>616.77</w:t>
            </w:r>
            <w:r w:rsidRPr="00806B36">
              <w:rPr>
                <w:rFonts w:eastAsia="Times New Roman" w:cs="Arial"/>
                <w:bCs w:val="0"/>
                <w:szCs w:val="20"/>
              </w:rPr>
              <w:t xml:space="preserve"> (published)</w:t>
            </w:r>
          </w:p>
          <w:p w14:paraId="2F6654FD" w14:textId="0A0F5E93" w:rsidR="002A27C7" w:rsidRPr="00806B36" w:rsidRDefault="002A27C7" w:rsidP="002A27C7">
            <w:pPr>
              <w:tabs>
                <w:tab w:val="left" w:pos="6510"/>
              </w:tabs>
              <w:jc w:val="center"/>
              <w:rPr>
                <w:rFonts w:ascii="Arial Narrow" w:hAnsi="Arial Narrow"/>
                <w:bCs/>
                <w:sz w:val="20"/>
                <w:szCs w:val="20"/>
              </w:rPr>
            </w:pPr>
            <w:r w:rsidRPr="00806B36">
              <w:rPr>
                <w:rFonts w:ascii="Arial Narrow" w:hAnsi="Arial Narrow"/>
                <w:sz w:val="20"/>
                <w:szCs w:val="20"/>
              </w:rPr>
              <w:t>$</w:t>
            </w:r>
            <w:r w:rsidR="008537BB" w:rsidRPr="00665FA1">
              <w:rPr>
                <w:rFonts w:ascii="Arial Narrow" w:hAnsi="Arial Narrow"/>
                <w:color w:val="000000"/>
                <w:spacing w:val="28"/>
                <w:sz w:val="20"/>
                <w:szCs w:val="20"/>
                <w:shd w:val="solid" w:color="000000" w:fill="000000"/>
                <w:fitText w:val="541" w:id="-1236598016"/>
                <w14:textFill>
                  <w14:solidFill>
                    <w14:srgbClr w14:val="000000">
                      <w14:alpha w14:val="100000"/>
                    </w14:srgbClr>
                  </w14:solidFill>
                </w14:textFill>
              </w:rPr>
              <w:t>|||||||</w:t>
            </w:r>
            <w:r w:rsidR="008537BB" w:rsidRPr="00665FA1">
              <w:rPr>
                <w:rFonts w:ascii="Arial Narrow" w:hAnsi="Arial Narrow"/>
                <w:color w:val="000000"/>
                <w:spacing w:val="5"/>
                <w:sz w:val="20"/>
                <w:szCs w:val="20"/>
                <w:shd w:val="solid" w:color="000000" w:fill="000000"/>
                <w:fitText w:val="541" w:id="-1236598016"/>
                <w14:textFill>
                  <w14:solidFill>
                    <w14:srgbClr w14:val="000000">
                      <w14:alpha w14:val="100000"/>
                    </w14:srgbClr>
                  </w14:solidFill>
                </w14:textFill>
              </w:rPr>
              <w:t>|</w:t>
            </w:r>
            <w:r w:rsidRPr="00806B36">
              <w:rPr>
                <w:rFonts w:ascii="Arial Narrow" w:hAnsi="Arial Narrow"/>
                <w:sz w:val="20"/>
                <w:szCs w:val="20"/>
              </w:rPr>
              <w:t xml:space="preserve"> (effective)</w:t>
            </w:r>
          </w:p>
        </w:tc>
        <w:tc>
          <w:tcPr>
            <w:tcW w:w="548" w:type="pct"/>
            <w:tcBorders>
              <w:top w:val="single" w:sz="4" w:space="0" w:color="auto"/>
              <w:left w:val="single" w:sz="4" w:space="0" w:color="auto"/>
              <w:bottom w:val="single" w:sz="4" w:space="0" w:color="auto"/>
              <w:right w:val="single" w:sz="4" w:space="0" w:color="auto"/>
            </w:tcBorders>
          </w:tcPr>
          <w:p w14:paraId="3255B293" w14:textId="1CB0773D" w:rsidR="002A27C7" w:rsidRPr="00806B36" w:rsidRDefault="002A27C7" w:rsidP="00C6526D">
            <w:pPr>
              <w:tabs>
                <w:tab w:val="left" w:pos="6510"/>
              </w:tabs>
              <w:jc w:val="center"/>
              <w:rPr>
                <w:rFonts w:ascii="Arial Narrow" w:hAnsi="Arial Narrow"/>
                <w:bCs/>
                <w:sz w:val="20"/>
                <w:szCs w:val="20"/>
              </w:rPr>
            </w:pPr>
            <w:r w:rsidRPr="00806B36">
              <w:rPr>
                <w:rFonts w:ascii="Arial Narrow" w:hAnsi="Arial Narrow"/>
                <w:bCs/>
                <w:sz w:val="20"/>
                <w:szCs w:val="20"/>
              </w:rPr>
              <w:t>New HSD (Public)</w:t>
            </w:r>
          </w:p>
          <w:p w14:paraId="0A46D41F" w14:textId="692B046D" w:rsidR="002A27C7" w:rsidRPr="00806B36" w:rsidRDefault="002A27C7" w:rsidP="00C6526D">
            <w:pPr>
              <w:tabs>
                <w:tab w:val="left" w:pos="6510"/>
              </w:tabs>
              <w:jc w:val="center"/>
              <w:rPr>
                <w:rFonts w:ascii="Arial Narrow" w:hAnsi="Arial Narrow"/>
                <w:b/>
                <w:sz w:val="20"/>
                <w:szCs w:val="20"/>
              </w:rPr>
            </w:pPr>
            <w:r w:rsidRPr="00806B36">
              <w:rPr>
                <w:rFonts w:ascii="Arial Narrow" w:hAnsi="Arial Narrow"/>
                <w:bCs/>
                <w:sz w:val="20"/>
                <w:szCs w:val="20"/>
              </w:rPr>
              <w:t>New HSD (Private)</w:t>
            </w:r>
          </w:p>
        </w:tc>
        <w:tc>
          <w:tcPr>
            <w:tcW w:w="3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45F5C" w14:textId="77777777" w:rsidR="002A27C7" w:rsidRPr="00806B36" w:rsidRDefault="002A27C7" w:rsidP="00C6526D">
            <w:pPr>
              <w:tabs>
                <w:tab w:val="left" w:pos="6510"/>
              </w:tabs>
              <w:jc w:val="center"/>
              <w:rPr>
                <w:rFonts w:ascii="Arial Narrow" w:hAnsi="Arial Narrow"/>
                <w:bCs/>
                <w:sz w:val="20"/>
                <w:szCs w:val="20"/>
              </w:rPr>
            </w:pPr>
            <w:r w:rsidRPr="00806B36">
              <w:rPr>
                <w:rFonts w:ascii="Arial Narrow" w:hAnsi="Arial Narrow"/>
                <w:bCs/>
                <w:sz w:val="20"/>
                <w:szCs w:val="20"/>
              </w:rPr>
              <w:t>1</w:t>
            </w:r>
          </w:p>
        </w:tc>
        <w:tc>
          <w:tcPr>
            <w:tcW w:w="3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0B2BCF" w14:textId="77777777" w:rsidR="002A27C7" w:rsidRPr="00806B36" w:rsidRDefault="002A27C7" w:rsidP="00C6526D">
            <w:pPr>
              <w:tabs>
                <w:tab w:val="left" w:pos="6510"/>
              </w:tabs>
              <w:jc w:val="center"/>
              <w:rPr>
                <w:rFonts w:ascii="Arial Narrow" w:hAnsi="Arial Narrow"/>
                <w:bCs/>
                <w:sz w:val="20"/>
                <w:szCs w:val="20"/>
              </w:rPr>
            </w:pPr>
            <w:r w:rsidRPr="00806B36">
              <w:rPr>
                <w:rFonts w:ascii="Arial Narrow" w:hAnsi="Arial Narrow"/>
                <w:bCs/>
                <w:sz w:val="20"/>
                <w:szCs w:val="20"/>
              </w:rPr>
              <w:t>12</w:t>
            </w:r>
          </w:p>
        </w:tc>
        <w:tc>
          <w:tcPr>
            <w:tcW w:w="3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9C6072" w14:textId="77777777" w:rsidR="002A27C7" w:rsidRPr="00806B36" w:rsidRDefault="002A27C7" w:rsidP="00C6526D">
            <w:pPr>
              <w:tabs>
                <w:tab w:val="left" w:pos="6510"/>
              </w:tabs>
              <w:jc w:val="center"/>
              <w:rPr>
                <w:rFonts w:ascii="Arial Narrow" w:hAnsi="Arial Narrow"/>
                <w:bCs/>
                <w:sz w:val="20"/>
                <w:szCs w:val="20"/>
              </w:rPr>
            </w:pPr>
            <w:r w:rsidRPr="00806B36">
              <w:rPr>
                <w:rFonts w:ascii="Arial Narrow" w:hAnsi="Arial Narrow"/>
                <w:bCs/>
                <w:sz w:val="20"/>
                <w:szCs w:val="20"/>
              </w:rPr>
              <w:t>2</w:t>
            </w:r>
          </w:p>
        </w:tc>
        <w:tc>
          <w:tcPr>
            <w:tcW w:w="9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2CAA63" w14:textId="77777777" w:rsidR="002A27C7" w:rsidRPr="00806B36" w:rsidRDefault="002A27C7" w:rsidP="00C6526D">
            <w:pPr>
              <w:tabs>
                <w:tab w:val="left" w:pos="6510"/>
              </w:tabs>
              <w:ind w:firstLine="720"/>
              <w:rPr>
                <w:rFonts w:ascii="Arial Narrow" w:hAnsi="Arial Narrow"/>
                <w:sz w:val="20"/>
                <w:szCs w:val="20"/>
              </w:rPr>
            </w:pPr>
            <w:r w:rsidRPr="00806B36">
              <w:rPr>
                <w:rFonts w:ascii="Arial Narrow" w:hAnsi="Arial Narrow"/>
                <w:sz w:val="20"/>
                <w:szCs w:val="20"/>
              </w:rPr>
              <w:t>Korsuva</w:t>
            </w:r>
          </w:p>
          <w:p w14:paraId="699181E9" w14:textId="77777777" w:rsidR="002A27C7" w:rsidRPr="00806B36" w:rsidRDefault="002A27C7" w:rsidP="00C6526D">
            <w:pPr>
              <w:tabs>
                <w:tab w:val="left" w:pos="6510"/>
              </w:tabs>
              <w:rPr>
                <w:rFonts w:ascii="Arial Narrow" w:hAnsi="Arial Narrow"/>
                <w:b/>
                <w:sz w:val="20"/>
                <w:szCs w:val="20"/>
              </w:rPr>
            </w:pPr>
            <w:r w:rsidRPr="00806B36">
              <w:rPr>
                <w:rFonts w:ascii="Arial Narrow" w:hAnsi="Arial Narrow"/>
                <w:sz w:val="20"/>
                <w:szCs w:val="20"/>
              </w:rPr>
              <w:t>Vifor Pharma (trading as CSL Vifor)</w:t>
            </w:r>
          </w:p>
        </w:tc>
      </w:tr>
      <w:tr w:rsidR="002A27C7" w:rsidRPr="00806B36" w14:paraId="40CEC038" w14:textId="77777777" w:rsidTr="002A27C7">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E0EC1C" w14:textId="77777777" w:rsidR="002A27C7" w:rsidRPr="00806B36" w:rsidRDefault="002A27C7" w:rsidP="00C6526D">
            <w:pPr>
              <w:tabs>
                <w:tab w:val="left" w:pos="6510"/>
              </w:tabs>
              <w:ind w:firstLine="720"/>
              <w:rPr>
                <w:rFonts w:ascii="Arial Narrow" w:hAnsi="Arial Narrow"/>
                <w:b/>
                <w:sz w:val="20"/>
                <w:szCs w:val="20"/>
              </w:rPr>
            </w:pPr>
            <w:r w:rsidRPr="00806B36">
              <w:rPr>
                <w:rFonts w:ascii="Arial Narrow" w:hAnsi="Arial Narrow"/>
                <w:b/>
                <w:sz w:val="20"/>
                <w:szCs w:val="20"/>
              </w:rPr>
              <w:tab/>
            </w:r>
          </w:p>
        </w:tc>
      </w:tr>
      <w:tr w:rsidR="002A27C7" w:rsidRPr="00806B36" w14:paraId="5E7BC999" w14:textId="77777777" w:rsidTr="002A27C7">
        <w:trPr>
          <w:trHeight w:val="230"/>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B0FA36" w14:textId="77777777" w:rsidR="002A27C7" w:rsidRPr="00806B36" w:rsidRDefault="002A27C7" w:rsidP="00C6526D">
            <w:pPr>
              <w:rPr>
                <w:rFonts w:ascii="Arial Narrow" w:hAnsi="Arial Narrow" w:cs="Times New Roman"/>
                <w:b/>
                <w:sz w:val="20"/>
                <w:szCs w:val="20"/>
              </w:rPr>
            </w:pPr>
            <w:r w:rsidRPr="00806B36">
              <w:rPr>
                <w:rFonts w:ascii="Arial Narrow" w:hAnsi="Arial Narrow"/>
                <w:b/>
                <w:sz w:val="20"/>
                <w:szCs w:val="20"/>
              </w:rPr>
              <w:t>Restriction Summary [new 1] / Treatment of Concept: [new 2]</w:t>
            </w:r>
          </w:p>
        </w:tc>
      </w:tr>
      <w:tr w:rsidR="002A27C7" w:rsidRPr="00806B36" w14:paraId="4FA7F079"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1E692" w14:textId="77777777" w:rsidR="002A27C7" w:rsidRPr="00806B36" w:rsidRDefault="002A27C7" w:rsidP="00C6526D">
            <w:pPr>
              <w:jc w:val="center"/>
              <w:rPr>
                <w:rFonts w:ascii="Arial Narrow" w:hAnsi="Arial Narrow"/>
                <w:b/>
                <w:sz w:val="20"/>
                <w:szCs w:val="20"/>
              </w:rPr>
            </w:pPr>
            <w:r w:rsidRPr="00806B36">
              <w:rPr>
                <w:rFonts w:ascii="Arial Narrow" w:hAnsi="Arial Narrow"/>
                <w:b/>
                <w:sz w:val="20"/>
                <w:szCs w:val="20"/>
              </w:rPr>
              <w:t>Concept ID</w:t>
            </w: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274FC5" w14:textId="77777777" w:rsidR="002A27C7" w:rsidRPr="00806B36" w:rsidRDefault="002A27C7" w:rsidP="00C6526D">
            <w:pPr>
              <w:rPr>
                <w:rFonts w:ascii="Arial Narrow" w:hAnsi="Arial Narrow"/>
                <w:sz w:val="20"/>
                <w:szCs w:val="20"/>
              </w:rPr>
            </w:pPr>
            <w:r w:rsidRPr="00806B36">
              <w:rPr>
                <w:rFonts w:ascii="Arial Narrow" w:hAnsi="Arial Narrow"/>
                <w:b/>
                <w:sz w:val="20"/>
                <w:szCs w:val="20"/>
              </w:rPr>
              <w:t xml:space="preserve">Category / Program:   </w:t>
            </w:r>
          </w:p>
          <w:p w14:paraId="032C2584"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 xml:space="preserve">Section 100 – Highly Specialised Drugs Program {Public and Private Hospitals} </w:t>
            </w:r>
          </w:p>
        </w:tc>
      </w:tr>
      <w:tr w:rsidR="002A27C7" w:rsidRPr="00806B36" w14:paraId="51602D25" w14:textId="77777777" w:rsidTr="002A27C7">
        <w:trPr>
          <w:trHeight w:val="366"/>
        </w:trPr>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C142A6" w14:textId="77777777" w:rsidR="002A27C7" w:rsidRPr="00806B36" w:rsidRDefault="002A27C7" w:rsidP="00C6526D">
            <w:pP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26D257" w14:textId="77777777" w:rsidR="002A27C7" w:rsidRPr="00806B36" w:rsidRDefault="002A27C7" w:rsidP="00C6526D">
            <w:pPr>
              <w:rPr>
                <w:rFonts w:ascii="Arial Narrow" w:hAnsi="Arial Narrow"/>
                <w:sz w:val="20"/>
                <w:szCs w:val="20"/>
              </w:rPr>
            </w:pPr>
            <w:r w:rsidRPr="00806B36">
              <w:rPr>
                <w:rFonts w:ascii="Arial Narrow" w:hAnsi="Arial Narrow"/>
                <w:b/>
                <w:sz w:val="20"/>
                <w:szCs w:val="20"/>
              </w:rPr>
              <w:t xml:space="preserve">Prescriber type:  </w:t>
            </w:r>
            <w:r w:rsidRPr="00806B36">
              <w:rPr>
                <w:rFonts w:ascii="Arial Narrow" w:hAnsi="Arial Narrow"/>
                <w:sz w:val="20"/>
                <w:szCs w:val="20"/>
              </w:rPr>
              <w:fldChar w:fldCharType="begin">
                <w:ffData>
                  <w:name w:val=""/>
                  <w:enabled/>
                  <w:calcOnExit w:val="0"/>
                  <w:checkBox>
                    <w:sizeAuto/>
                    <w:default w:val="1"/>
                  </w:checkBox>
                </w:ffData>
              </w:fldChar>
            </w:r>
            <w:r w:rsidRPr="00806B36">
              <w:rPr>
                <w:rFonts w:ascii="Arial Narrow" w:hAnsi="Arial Narrow"/>
                <w:sz w:val="20"/>
                <w:szCs w:val="20"/>
              </w:rPr>
              <w:instrText xml:space="preserve"> FORMCHECKBOX </w:instrText>
            </w:r>
            <w:r w:rsidR="00487C7F">
              <w:rPr>
                <w:rFonts w:ascii="Arial Narrow" w:hAnsi="Arial Narrow"/>
                <w:sz w:val="20"/>
                <w:szCs w:val="20"/>
              </w:rPr>
            </w:r>
            <w:r w:rsidR="00487C7F">
              <w:rPr>
                <w:rFonts w:ascii="Arial Narrow" w:hAnsi="Arial Narrow"/>
                <w:sz w:val="20"/>
                <w:szCs w:val="20"/>
              </w:rPr>
              <w:fldChar w:fldCharType="separate"/>
            </w:r>
            <w:r w:rsidRPr="00806B36">
              <w:rPr>
                <w:rFonts w:ascii="Arial Narrow" w:hAnsi="Arial Narrow"/>
                <w:sz w:val="20"/>
                <w:szCs w:val="20"/>
              </w:rPr>
              <w:fldChar w:fldCharType="end"/>
            </w:r>
            <w:r w:rsidRPr="00806B36">
              <w:rPr>
                <w:rFonts w:ascii="Arial Narrow" w:hAnsi="Arial Narrow"/>
                <w:sz w:val="20"/>
                <w:szCs w:val="20"/>
              </w:rPr>
              <w:t xml:space="preserve">Medical Practitioners </w:t>
            </w:r>
          </w:p>
        </w:tc>
      </w:tr>
      <w:tr w:rsidR="002A27C7" w:rsidRPr="00806B36" w14:paraId="0A3C3996" w14:textId="77777777" w:rsidTr="002A27C7">
        <w:trPr>
          <w:trHeight w:val="564"/>
        </w:trPr>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53EE17" w14:textId="77777777" w:rsidR="002A27C7" w:rsidRPr="00806B36" w:rsidRDefault="002A27C7" w:rsidP="00C6526D">
            <w:pP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E1C92A" w14:textId="77777777" w:rsidR="002A27C7" w:rsidRPr="00806B36" w:rsidRDefault="002A27C7" w:rsidP="00C6526D">
            <w:pPr>
              <w:rPr>
                <w:rFonts w:ascii="Arial Narrow" w:hAnsi="Arial Narrow"/>
                <w:b/>
                <w:sz w:val="20"/>
                <w:szCs w:val="20"/>
              </w:rPr>
            </w:pPr>
            <w:r w:rsidRPr="00806B36">
              <w:rPr>
                <w:rFonts w:ascii="Arial Narrow" w:hAnsi="Arial Narrow"/>
                <w:b/>
                <w:sz w:val="20"/>
                <w:szCs w:val="20"/>
              </w:rPr>
              <w:t>Restriction Level / Method:</w:t>
            </w:r>
          </w:p>
          <w:p w14:paraId="4E5767F6" w14:textId="1C3E8566" w:rsidR="002A27C7" w:rsidRPr="00806B36" w:rsidRDefault="002A27C7" w:rsidP="002A27C7">
            <w:pPr>
              <w:rPr>
                <w:rFonts w:ascii="Arial Narrow" w:hAnsi="Arial Narrow"/>
                <w:sz w:val="20"/>
                <w:szCs w:val="20"/>
              </w:rPr>
            </w:pPr>
            <w:r w:rsidRPr="00806B36">
              <w:rPr>
                <w:rFonts w:ascii="Arial Narrow" w:hAnsi="Arial Narrow"/>
                <w:sz w:val="20"/>
                <w:szCs w:val="20"/>
              </w:rPr>
              <w:fldChar w:fldCharType="begin">
                <w:ffData>
                  <w:name w:val="Check3"/>
                  <w:enabled/>
                  <w:calcOnExit w:val="0"/>
                  <w:checkBox>
                    <w:sizeAuto/>
                    <w:default w:val="1"/>
                  </w:checkBox>
                </w:ffData>
              </w:fldChar>
            </w:r>
            <w:r w:rsidRPr="00806B36">
              <w:rPr>
                <w:rFonts w:ascii="Arial Narrow" w:hAnsi="Arial Narrow"/>
                <w:sz w:val="20"/>
                <w:szCs w:val="20"/>
              </w:rPr>
              <w:instrText xml:space="preserve"> FORMCHECKBOX </w:instrText>
            </w:r>
            <w:r w:rsidR="00487C7F">
              <w:rPr>
                <w:rFonts w:ascii="Arial Narrow" w:hAnsi="Arial Narrow"/>
                <w:sz w:val="20"/>
                <w:szCs w:val="20"/>
              </w:rPr>
            </w:r>
            <w:r w:rsidR="00487C7F">
              <w:rPr>
                <w:rFonts w:ascii="Arial Narrow" w:hAnsi="Arial Narrow"/>
                <w:sz w:val="20"/>
                <w:szCs w:val="20"/>
              </w:rPr>
              <w:fldChar w:fldCharType="separate"/>
            </w:r>
            <w:r w:rsidRPr="00806B36">
              <w:rPr>
                <w:rFonts w:ascii="Times New Roman" w:hAnsi="Times New Roman" w:cs="Times New Roman"/>
                <w:sz w:val="20"/>
                <w:szCs w:val="20"/>
              </w:rPr>
              <w:fldChar w:fldCharType="end"/>
            </w:r>
            <w:r w:rsidRPr="00806B36">
              <w:rPr>
                <w:rFonts w:ascii="Arial Narrow" w:hAnsi="Arial Narrow"/>
                <w:sz w:val="20"/>
                <w:szCs w:val="20"/>
              </w:rPr>
              <w:t>Authority Required – Telephone/Electronic/</w:t>
            </w:r>
            <w:r w:rsidRPr="00806B36">
              <w:rPr>
                <w:rFonts w:ascii="Arial Narrow" w:hAnsi="Arial Narrow"/>
                <w:strike/>
                <w:sz w:val="20"/>
                <w:szCs w:val="20"/>
              </w:rPr>
              <w:t>Emergency</w:t>
            </w:r>
          </w:p>
        </w:tc>
      </w:tr>
      <w:tr w:rsidR="002A27C7" w:rsidRPr="00806B36" w14:paraId="71CE16E1" w14:textId="77777777" w:rsidTr="00DA0BD2">
        <w:tc>
          <w:tcPr>
            <w:tcW w:w="257" w:type="pct"/>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379F494" w14:textId="2A8761B9" w:rsidR="002A27C7" w:rsidRPr="00806B36" w:rsidRDefault="002A27C7" w:rsidP="00C6526D">
            <w:pPr>
              <w:jc w:val="center"/>
              <w:rPr>
                <w:rFonts w:ascii="Arial Narrow" w:hAnsi="Arial Narrow" w:cs="Times New Roman"/>
                <w:i/>
                <w:iCs/>
                <w:sz w:val="20"/>
                <w:szCs w:val="20"/>
              </w:rPr>
            </w:pP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A89760" w14:textId="570C8516"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C40DE6"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Administrative Advice:</w:t>
            </w:r>
          </w:p>
          <w:p w14:paraId="1A560A19" w14:textId="77777777" w:rsidR="002A27C7" w:rsidRPr="00806B36" w:rsidRDefault="002A27C7" w:rsidP="00C6526D">
            <w:pPr>
              <w:rPr>
                <w:rFonts w:ascii="Arial Narrow" w:hAnsi="Arial Narrow"/>
                <w:i/>
                <w:iCs/>
                <w:sz w:val="20"/>
                <w:szCs w:val="20"/>
              </w:rPr>
            </w:pPr>
            <w:r w:rsidRPr="00806B36">
              <w:rPr>
                <w:rFonts w:ascii="Arial Narrow" w:hAnsi="Arial Narrow"/>
                <w:i/>
                <w:iCs/>
                <w:sz w:val="20"/>
                <w:szCs w:val="20"/>
              </w:rPr>
              <w:t>No increase to the maximum number of repeats may be authorised.</w:t>
            </w:r>
          </w:p>
        </w:tc>
      </w:tr>
      <w:tr w:rsidR="002A27C7" w:rsidRPr="00806B36" w14:paraId="4A165684" w14:textId="77777777" w:rsidTr="00DA0BD2">
        <w:tc>
          <w:tcPr>
            <w:tcW w:w="0" w:type="auto"/>
            <w:vMerge/>
            <w:tcBorders>
              <w:left w:val="single" w:sz="4" w:space="0" w:color="auto"/>
              <w:right w:val="single" w:sz="4" w:space="0" w:color="auto"/>
            </w:tcBorders>
            <w:vAlign w:val="center"/>
            <w:hideMark/>
          </w:tcPr>
          <w:p w14:paraId="0A509F9E" w14:textId="77777777" w:rsidR="002A27C7" w:rsidRPr="00806B36" w:rsidRDefault="002A27C7" w:rsidP="00C6526D">
            <w:pPr>
              <w:rPr>
                <w:rFonts w:ascii="Arial Narrow" w:hAnsi="Arial Narrow"/>
                <w:i/>
                <w:iCs/>
                <w:sz w:val="20"/>
                <w:szCs w:val="20"/>
              </w:rPr>
            </w:pP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0816D6" w14:textId="165A88BE" w:rsidR="002A27C7" w:rsidRPr="00806B36" w:rsidRDefault="002A27C7" w:rsidP="00C6526D">
            <w:pPr>
              <w:jc w:val="center"/>
              <w:rPr>
                <w:rFonts w:ascii="Arial Narrow" w:hAnsi="Arial Narrow"/>
                <w:i/>
                <w:iCs/>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60F08D" w14:textId="619C203B" w:rsidR="002A27C7" w:rsidRPr="00806B36" w:rsidRDefault="002A27C7" w:rsidP="00C6526D">
            <w:pPr>
              <w:rPr>
                <w:rFonts w:ascii="Arial Narrow" w:hAnsi="Arial Narrow"/>
                <w:i/>
                <w:iCs/>
                <w:strike/>
                <w:sz w:val="20"/>
                <w:szCs w:val="20"/>
              </w:rPr>
            </w:pPr>
            <w:r w:rsidRPr="00806B36">
              <w:rPr>
                <w:rFonts w:ascii="Arial Narrow" w:hAnsi="Arial Narrow"/>
                <w:b/>
                <w:bCs/>
                <w:i/>
                <w:iCs/>
                <w:sz w:val="20"/>
                <w:szCs w:val="20"/>
              </w:rPr>
              <w:t>Prescribing instructions:</w:t>
            </w:r>
          </w:p>
          <w:p w14:paraId="201E6BB2" w14:textId="77777777" w:rsidR="002A27C7" w:rsidRPr="00806B36" w:rsidRDefault="002A27C7" w:rsidP="00C6526D">
            <w:pPr>
              <w:rPr>
                <w:rFonts w:ascii="Arial Narrow" w:hAnsi="Arial Narrow"/>
                <w:i/>
                <w:iCs/>
                <w:sz w:val="20"/>
                <w:szCs w:val="20"/>
              </w:rPr>
            </w:pPr>
            <w:r w:rsidRPr="00806B36">
              <w:rPr>
                <w:rFonts w:ascii="Arial Narrow" w:hAnsi="Arial Narrow"/>
                <w:i/>
                <w:iCs/>
                <w:sz w:val="20"/>
                <w:szCs w:val="20"/>
              </w:rPr>
              <w:t xml:space="preserve">Requests for increased quantities may be authorised to provide sufficient doses for the initial 12 weeks of therapy based on the weight-based dosing table in the approved Product Information. </w:t>
            </w:r>
          </w:p>
        </w:tc>
      </w:tr>
      <w:tr w:rsidR="002A27C7" w:rsidRPr="00806B36" w14:paraId="1C5FF71C" w14:textId="77777777" w:rsidTr="00DA0BD2">
        <w:tc>
          <w:tcPr>
            <w:tcW w:w="0" w:type="auto"/>
            <w:vMerge/>
            <w:tcBorders>
              <w:left w:val="single" w:sz="4" w:space="0" w:color="auto"/>
              <w:right w:val="single" w:sz="4" w:space="0" w:color="auto"/>
            </w:tcBorders>
            <w:vAlign w:val="center"/>
            <w:hideMark/>
          </w:tcPr>
          <w:p w14:paraId="5601F166" w14:textId="77777777" w:rsidR="002A27C7" w:rsidRPr="00806B36" w:rsidRDefault="002A27C7" w:rsidP="00C6526D">
            <w:pPr>
              <w:rPr>
                <w:rFonts w:ascii="Arial Narrow" w:hAnsi="Arial Narrow"/>
                <w:i/>
                <w:iCs/>
                <w:sz w:val="20"/>
                <w:szCs w:val="20"/>
              </w:rPr>
            </w:pP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96C207" w14:textId="2A3C9C25" w:rsidR="002A27C7" w:rsidRPr="00806B36" w:rsidRDefault="002A27C7" w:rsidP="00C6526D">
            <w:pPr>
              <w:jc w:val="center"/>
              <w:rPr>
                <w:rFonts w:ascii="Arial Narrow" w:hAnsi="Arial Narrow"/>
                <w:strike/>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E5690" w14:textId="77777777" w:rsidR="002A27C7" w:rsidRPr="00806B36" w:rsidRDefault="002A27C7" w:rsidP="00C6526D">
            <w:pPr>
              <w:rPr>
                <w:rFonts w:ascii="Arial Narrow" w:hAnsi="Arial Narrow"/>
                <w:b/>
                <w:bCs/>
                <w:strike/>
                <w:sz w:val="20"/>
                <w:szCs w:val="20"/>
              </w:rPr>
            </w:pPr>
            <w:r w:rsidRPr="00806B36">
              <w:rPr>
                <w:rFonts w:ascii="Arial Narrow" w:hAnsi="Arial Narrow"/>
                <w:b/>
                <w:bCs/>
                <w:strike/>
                <w:sz w:val="20"/>
                <w:szCs w:val="20"/>
              </w:rPr>
              <w:t>Administrative advice:</w:t>
            </w:r>
          </w:p>
          <w:p w14:paraId="7A6BD236" w14:textId="77777777" w:rsidR="002A27C7" w:rsidRPr="00806B36" w:rsidRDefault="002A27C7" w:rsidP="00C6526D">
            <w:pPr>
              <w:rPr>
                <w:rFonts w:ascii="Arial Narrow" w:hAnsi="Arial Narrow"/>
                <w:strike/>
                <w:sz w:val="20"/>
                <w:szCs w:val="20"/>
              </w:rPr>
            </w:pPr>
            <w:r w:rsidRPr="00806B36">
              <w:rPr>
                <w:rFonts w:ascii="Arial Narrow" w:hAnsi="Arial Narrow"/>
                <w:strike/>
                <w:sz w:val="20"/>
                <w:szCs w:val="20"/>
              </w:rPr>
              <w:t>Other causes of pruritus include drug/dialysis related (e.g., opioid-related pruritus; drug hypersensitivity or adverse effect; contact dermatitis; allergy) or differential diagnoses (e.g., xerosis; infestations; iron deficiency; liver disease;- polycythaemia vera/leukemia/lymphoma; hypothyroidism; uncontrolled diabetes).</w:t>
            </w:r>
          </w:p>
          <w:p w14:paraId="156C6425" w14:textId="77777777" w:rsidR="002A27C7" w:rsidRPr="00806B36" w:rsidRDefault="002A27C7" w:rsidP="00C6526D">
            <w:pPr>
              <w:rPr>
                <w:rFonts w:ascii="Arial Narrow" w:hAnsi="Arial Narrow"/>
                <w:strike/>
                <w:sz w:val="20"/>
                <w:szCs w:val="20"/>
              </w:rPr>
            </w:pPr>
          </w:p>
          <w:p w14:paraId="7A4AA319" w14:textId="77777777" w:rsidR="002A27C7" w:rsidRPr="00806B36" w:rsidRDefault="002A27C7" w:rsidP="00C6526D">
            <w:pPr>
              <w:rPr>
                <w:rFonts w:ascii="Arial Narrow" w:hAnsi="Arial Narrow"/>
                <w:strike/>
                <w:sz w:val="20"/>
                <w:szCs w:val="20"/>
              </w:rPr>
            </w:pPr>
            <w:r w:rsidRPr="00806B36">
              <w:rPr>
                <w:rFonts w:ascii="Arial Narrow" w:hAnsi="Arial Narrow"/>
                <w:strike/>
                <w:sz w:val="20"/>
                <w:szCs w:val="20"/>
              </w:rPr>
              <w:t>Best supportive care for patients with chronic kidney disease-associated pruritus is not limited to but includes: optimisation of dialysis, skin hydration (with the use of moisturiser, emollients, barrier creams or oils) and nutrition; and patient education on the importance of avoiding or minimising scratching.</w:t>
            </w:r>
          </w:p>
        </w:tc>
      </w:tr>
      <w:tr w:rsidR="002A27C7" w:rsidRPr="00806B36" w14:paraId="3355214C" w14:textId="77777777" w:rsidTr="002A27C7">
        <w:tc>
          <w:tcPr>
            <w:tcW w:w="0" w:type="auto"/>
            <w:vMerge/>
            <w:tcBorders>
              <w:left w:val="single" w:sz="4" w:space="0" w:color="auto"/>
              <w:bottom w:val="single" w:sz="4" w:space="0" w:color="auto"/>
              <w:right w:val="single" w:sz="4" w:space="0" w:color="auto"/>
            </w:tcBorders>
            <w:vAlign w:val="center"/>
          </w:tcPr>
          <w:p w14:paraId="2897BEEC" w14:textId="77777777" w:rsidR="002A27C7" w:rsidRPr="00806B36" w:rsidRDefault="002A27C7" w:rsidP="00C6526D">
            <w:pPr>
              <w:rPr>
                <w:rFonts w:ascii="Arial Narrow" w:hAnsi="Arial Narrow"/>
                <w:i/>
                <w:iCs/>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tcPr>
          <w:p w14:paraId="60841DBA" w14:textId="723EF6FA" w:rsidR="002A27C7" w:rsidRPr="00806B36" w:rsidRDefault="002A27C7" w:rsidP="00C6526D">
            <w:pPr>
              <w:jc w:val="center"/>
              <w:rPr>
                <w:rFonts w:ascii="Arial Narrow" w:hAnsi="Arial Narrow"/>
                <w:strike/>
                <w:sz w:val="20"/>
                <w:szCs w:val="20"/>
              </w:rPr>
            </w:pPr>
          </w:p>
        </w:tc>
        <w:tc>
          <w:tcPr>
            <w:tcW w:w="439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tcPr>
          <w:p w14:paraId="4775590A" w14:textId="77777777" w:rsidR="002A27C7" w:rsidRPr="00806B36" w:rsidRDefault="002A27C7" w:rsidP="00C6526D">
            <w:pPr>
              <w:rPr>
                <w:rFonts w:ascii="Arial Narrow" w:hAnsi="Arial Narrow"/>
                <w:b/>
                <w:bCs/>
                <w:i/>
                <w:iCs/>
                <w:color w:val="333333"/>
                <w:sz w:val="20"/>
                <w:szCs w:val="20"/>
              </w:rPr>
            </w:pPr>
            <w:r w:rsidRPr="00806B36">
              <w:rPr>
                <w:rFonts w:ascii="Arial Narrow" w:hAnsi="Arial Narrow"/>
                <w:b/>
                <w:bCs/>
                <w:i/>
                <w:iCs/>
                <w:color w:val="333333"/>
                <w:sz w:val="20"/>
                <w:szCs w:val="20"/>
              </w:rPr>
              <w:t xml:space="preserve">Administrative Advice: </w:t>
            </w:r>
          </w:p>
          <w:p w14:paraId="7BE5A0C2" w14:textId="6A81C92B" w:rsidR="002A27C7" w:rsidRPr="00806B36" w:rsidRDefault="002A27C7" w:rsidP="00C6526D">
            <w:pPr>
              <w:rPr>
                <w:rFonts w:ascii="Arial Narrow" w:hAnsi="Arial Narrow"/>
                <w:b/>
                <w:bCs/>
                <w:strike/>
                <w:sz w:val="20"/>
                <w:szCs w:val="20"/>
              </w:rPr>
            </w:pPr>
            <w:r w:rsidRPr="00806B36">
              <w:rPr>
                <w:rFonts w:ascii="Arial Narrow" w:hAnsi="Arial Narrow"/>
                <w:i/>
                <w:iCs/>
                <w:sz w:val="20"/>
                <w:szCs w:val="20"/>
              </w:rPr>
              <w:t xml:space="preserve">Applications for authorisation under this restriction may be made in real time using the Online PBS Authorities system (see </w:t>
            </w:r>
            <w:hyperlink r:id="rId8" w:history="1">
              <w:r w:rsidRPr="00806B36">
                <w:rPr>
                  <w:rStyle w:val="Hyperlink"/>
                  <w:rFonts w:ascii="Arial Narrow" w:hAnsi="Arial Narrow"/>
                  <w:i/>
                  <w:iCs/>
                  <w:sz w:val="20"/>
                  <w:szCs w:val="20"/>
                </w:rPr>
                <w:t>www.servicesaustralia.gov.au/HPOS</w:t>
              </w:r>
            </w:hyperlink>
            <w:r w:rsidRPr="00806B36">
              <w:rPr>
                <w:rFonts w:ascii="Arial Narrow" w:hAnsi="Arial Narrow"/>
                <w:i/>
                <w:iCs/>
                <w:sz w:val="20"/>
                <w:szCs w:val="20"/>
              </w:rPr>
              <w:t>) or by telephone by contacting Services Australia on 1800 700 270 (hours of operation 8 a.m. to 5 p.m. Monday to Friday).</w:t>
            </w:r>
          </w:p>
        </w:tc>
      </w:tr>
      <w:tr w:rsidR="002A27C7" w:rsidRPr="00806B36" w14:paraId="44F6E3D9"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EB2CF6"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28B6BA" w14:textId="77777777" w:rsidR="002A27C7" w:rsidRPr="00806B36" w:rsidRDefault="002A27C7" w:rsidP="00C6526D">
            <w:pPr>
              <w:rPr>
                <w:rFonts w:ascii="Arial Narrow" w:hAnsi="Arial Narrow"/>
                <w:b/>
                <w:bCs/>
                <w:sz w:val="20"/>
                <w:szCs w:val="20"/>
              </w:rPr>
            </w:pPr>
          </w:p>
        </w:tc>
      </w:tr>
      <w:tr w:rsidR="002A27C7" w:rsidRPr="00806B36" w14:paraId="22507A50"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8FD359"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ABDD29"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 xml:space="preserve">Severity: </w:t>
            </w:r>
            <w:r w:rsidRPr="00806B36">
              <w:rPr>
                <w:rFonts w:ascii="Arial Narrow" w:hAnsi="Arial Narrow"/>
                <w:bCs/>
                <w:sz w:val="20"/>
                <w:szCs w:val="20"/>
              </w:rPr>
              <w:t>Moderate to severe</w:t>
            </w:r>
          </w:p>
        </w:tc>
      </w:tr>
      <w:tr w:rsidR="002A27C7" w:rsidRPr="00806B36" w14:paraId="3881CEEC"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7111D4"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C59F6D"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 xml:space="preserve">Condition: </w:t>
            </w:r>
            <w:r w:rsidRPr="00806B36">
              <w:rPr>
                <w:rFonts w:ascii="Arial Narrow" w:hAnsi="Arial Narrow"/>
                <w:i/>
                <w:iCs/>
                <w:sz w:val="20"/>
                <w:szCs w:val="20"/>
              </w:rPr>
              <w:t>Pruritus (itching) associated with chronic kidney disease</w:t>
            </w:r>
            <w:r w:rsidRPr="00806B36">
              <w:rPr>
                <w:rFonts w:ascii="Arial Narrow" w:hAnsi="Arial Narrow"/>
                <w:b/>
                <w:bCs/>
                <w:i/>
                <w:iCs/>
                <w:sz w:val="20"/>
                <w:szCs w:val="20"/>
              </w:rPr>
              <w:t xml:space="preserve"> </w:t>
            </w:r>
            <w:r w:rsidRPr="00806B36">
              <w:rPr>
                <w:rFonts w:ascii="Arial Narrow" w:hAnsi="Arial Narrow"/>
                <w:strike/>
                <w:sz w:val="20"/>
                <w:szCs w:val="20"/>
              </w:rPr>
              <w:t>Chronic kidney disease-associated pruritus</w:t>
            </w:r>
          </w:p>
        </w:tc>
      </w:tr>
      <w:tr w:rsidR="002A27C7" w:rsidRPr="00806B36" w14:paraId="6ED9C3E3"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C01A9" w14:textId="7495D638"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08921B"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Indication:</w:t>
            </w:r>
            <w:r w:rsidRPr="00806B36">
              <w:rPr>
                <w:rFonts w:ascii="Arial Narrow" w:hAnsi="Arial Narrow"/>
                <w:sz w:val="20"/>
                <w:szCs w:val="20"/>
              </w:rPr>
              <w:t xml:space="preserve"> </w:t>
            </w:r>
            <w:r w:rsidRPr="00806B36">
              <w:rPr>
                <w:rFonts w:ascii="Arial Narrow" w:hAnsi="Arial Narrow"/>
                <w:i/>
                <w:iCs/>
                <w:sz w:val="20"/>
                <w:szCs w:val="20"/>
              </w:rPr>
              <w:t>Moderate to severe pruritus (itching) associated with chronic kidney disease</w:t>
            </w:r>
          </w:p>
        </w:tc>
      </w:tr>
      <w:tr w:rsidR="002A27C7" w:rsidRPr="00806B36" w14:paraId="0B69632C"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3CD081" w14:textId="77777777" w:rsidR="002A27C7" w:rsidRPr="00806B36" w:rsidRDefault="002A27C7" w:rsidP="00C6526D">
            <w:pP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7B436"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Treatment Phase:</w:t>
            </w:r>
            <w:r w:rsidRPr="00806B36">
              <w:rPr>
                <w:rFonts w:ascii="Arial Narrow" w:hAnsi="Arial Narrow"/>
                <w:sz w:val="20"/>
                <w:szCs w:val="20"/>
              </w:rPr>
              <w:t xml:space="preserve"> initial treatment</w:t>
            </w:r>
          </w:p>
        </w:tc>
      </w:tr>
      <w:tr w:rsidR="002A27C7" w:rsidRPr="00806B36" w14:paraId="20FBA3FE"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E4382" w14:textId="334816DC"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40B8BA"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Clinical criteria:</w:t>
            </w:r>
          </w:p>
        </w:tc>
      </w:tr>
      <w:tr w:rsidR="002A27C7" w:rsidRPr="00806B36" w14:paraId="6A7036FA"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CF1AD1" w14:textId="6FA1BAC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44B212"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Patient must have chronic kidney disease</w:t>
            </w:r>
          </w:p>
        </w:tc>
      </w:tr>
      <w:tr w:rsidR="002A27C7" w:rsidRPr="00806B36" w14:paraId="0D2F9532"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F9F7DF" w14:textId="77777777" w:rsidR="002A27C7" w:rsidRPr="00806B36" w:rsidRDefault="002A27C7" w:rsidP="00C6526D">
            <w:pP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A72B29"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254E793C"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7B55B5" w14:textId="26BCD2BF"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9409F3"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Clinical criteria:</w:t>
            </w:r>
          </w:p>
        </w:tc>
      </w:tr>
      <w:tr w:rsidR="002A27C7" w:rsidRPr="00806B36" w14:paraId="1C5CEE34"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8DB0FD" w14:textId="34EDA960"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CBAA9C"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 xml:space="preserve">Patient must be on optimised </w:t>
            </w:r>
            <w:r w:rsidRPr="00806B36">
              <w:rPr>
                <w:rFonts w:ascii="Arial Narrow" w:hAnsi="Arial Narrow"/>
                <w:b/>
                <w:bCs/>
                <w:strike/>
                <w:sz w:val="20"/>
                <w:szCs w:val="20"/>
              </w:rPr>
              <w:t>in-centre</w:t>
            </w:r>
            <w:r w:rsidRPr="00806B36">
              <w:rPr>
                <w:rFonts w:ascii="Arial Narrow" w:hAnsi="Arial Narrow"/>
                <w:sz w:val="20"/>
                <w:szCs w:val="20"/>
              </w:rPr>
              <w:t xml:space="preserve"> haemodialysis, </w:t>
            </w:r>
            <w:r w:rsidRPr="00806B36">
              <w:rPr>
                <w:rFonts w:ascii="Arial Narrow" w:hAnsi="Arial Narrow"/>
                <w:strike/>
                <w:sz w:val="20"/>
                <w:szCs w:val="20"/>
              </w:rPr>
              <w:t>stable for at least 3 months</w:t>
            </w:r>
          </w:p>
        </w:tc>
      </w:tr>
      <w:tr w:rsidR="002A27C7" w:rsidRPr="00806B36" w14:paraId="574DAB6E"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2AF7F7"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77859C" w14:textId="77777777" w:rsidR="002A27C7" w:rsidRPr="00806B36" w:rsidRDefault="002A27C7" w:rsidP="00C6526D">
            <w:pPr>
              <w:rPr>
                <w:rFonts w:ascii="Arial Narrow" w:hAnsi="Arial Narrow"/>
                <w:i/>
                <w:iCs/>
                <w:sz w:val="20"/>
                <w:szCs w:val="20"/>
              </w:rPr>
            </w:pPr>
            <w:r w:rsidRPr="00806B36">
              <w:rPr>
                <w:rFonts w:ascii="Arial Narrow" w:hAnsi="Arial Narrow"/>
                <w:b/>
                <w:bCs/>
                <w:i/>
                <w:iCs/>
                <w:sz w:val="20"/>
                <w:szCs w:val="20"/>
              </w:rPr>
              <w:t>AND</w:t>
            </w:r>
          </w:p>
        </w:tc>
      </w:tr>
      <w:tr w:rsidR="002A27C7" w:rsidRPr="00806B36" w14:paraId="2BEC2D6E"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67B3E"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A2E306" w14:textId="77777777" w:rsidR="002A27C7" w:rsidRPr="00806B36" w:rsidRDefault="002A27C7" w:rsidP="00C6526D">
            <w:pPr>
              <w:rPr>
                <w:rFonts w:ascii="Arial Narrow" w:hAnsi="Arial Narrow"/>
                <w:b/>
                <w:bCs/>
                <w:i/>
                <w:iCs/>
                <w:sz w:val="20"/>
                <w:szCs w:val="20"/>
              </w:rPr>
            </w:pPr>
            <w:r w:rsidRPr="00806B36">
              <w:rPr>
                <w:rFonts w:ascii="Arial Narrow" w:hAnsi="Arial Narrow"/>
                <w:b/>
                <w:bCs/>
                <w:i/>
                <w:iCs/>
                <w:sz w:val="20"/>
                <w:szCs w:val="20"/>
              </w:rPr>
              <w:t>Clinical criteria:</w:t>
            </w:r>
          </w:p>
        </w:tc>
      </w:tr>
      <w:tr w:rsidR="002A27C7" w:rsidRPr="00806B36" w14:paraId="2BBD1CBF"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79D0B" w14:textId="1C87A65D" w:rsidR="002A27C7" w:rsidRPr="00806B36" w:rsidRDefault="002A27C7" w:rsidP="00C6526D">
            <w:pPr>
              <w:jc w:val="center"/>
              <w:rPr>
                <w:rFonts w:ascii="Arial Narrow" w:hAnsi="Arial Narrow"/>
                <w:i/>
                <w:iCs/>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707ECC" w14:textId="77777777" w:rsidR="002A27C7" w:rsidRPr="00806B36" w:rsidRDefault="002A27C7" w:rsidP="00C6526D">
            <w:pPr>
              <w:rPr>
                <w:rFonts w:ascii="Arial Narrow" w:hAnsi="Arial Narrow"/>
                <w:i/>
                <w:iCs/>
                <w:sz w:val="20"/>
                <w:szCs w:val="20"/>
              </w:rPr>
            </w:pPr>
            <w:r w:rsidRPr="00806B36">
              <w:rPr>
                <w:rFonts w:ascii="Arial Narrow" w:hAnsi="Arial Narrow"/>
                <w:i/>
                <w:iCs/>
                <w:sz w:val="20"/>
                <w:szCs w:val="20"/>
              </w:rPr>
              <w:t xml:space="preserve">Patient must be </w:t>
            </w:r>
            <w:r w:rsidRPr="00806B36">
              <w:rPr>
                <w:rFonts w:ascii="Arial Narrow" w:hAnsi="Arial Narrow"/>
                <w:b/>
                <w:bCs/>
                <w:i/>
                <w:iCs/>
                <w:strike/>
                <w:sz w:val="20"/>
                <w:szCs w:val="20"/>
              </w:rPr>
              <w:t>stable</w:t>
            </w:r>
            <w:r w:rsidRPr="00806B36">
              <w:rPr>
                <w:rFonts w:ascii="Arial Narrow" w:hAnsi="Arial Narrow"/>
                <w:i/>
                <w:iCs/>
                <w:sz w:val="20"/>
                <w:szCs w:val="20"/>
              </w:rPr>
              <w:t xml:space="preserve"> on haemodialysis at least 3 times per week for at least 3 months. </w:t>
            </w:r>
          </w:p>
        </w:tc>
      </w:tr>
      <w:tr w:rsidR="002A27C7" w:rsidRPr="00806B36" w14:paraId="69D163F6"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048D8D"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B71C9B"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1F775728"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4C5BC" w14:textId="1B05F323"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529051"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Clinical criteria:</w:t>
            </w:r>
          </w:p>
        </w:tc>
      </w:tr>
      <w:tr w:rsidR="002A27C7" w:rsidRPr="00806B36" w14:paraId="3A4438B2"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576A4E" w14:textId="4E4D45C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604D4"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 xml:space="preserve">The condition must be </w:t>
            </w:r>
            <w:r w:rsidRPr="00806B36">
              <w:rPr>
                <w:rFonts w:ascii="Arial Narrow" w:hAnsi="Arial Narrow"/>
                <w:i/>
                <w:iCs/>
                <w:sz w:val="20"/>
                <w:szCs w:val="20"/>
              </w:rPr>
              <w:t xml:space="preserve">confirmed </w:t>
            </w:r>
            <w:r w:rsidRPr="00806B36">
              <w:rPr>
                <w:rFonts w:ascii="Arial Narrow" w:hAnsi="Arial Narrow"/>
                <w:sz w:val="20"/>
                <w:szCs w:val="20"/>
              </w:rPr>
              <w:t xml:space="preserve">based on both physical examination and patient history </w:t>
            </w:r>
            <w:r w:rsidRPr="00806B36">
              <w:rPr>
                <w:rFonts w:ascii="Arial Narrow" w:hAnsi="Arial Narrow"/>
                <w:strike/>
                <w:sz w:val="20"/>
                <w:szCs w:val="20"/>
              </w:rPr>
              <w:t>(</w:t>
            </w:r>
            <w:r w:rsidRPr="00806B36">
              <w:rPr>
                <w:rFonts w:ascii="Arial Narrow" w:hAnsi="Arial Narrow"/>
                <w:sz w:val="20"/>
                <w:szCs w:val="20"/>
              </w:rPr>
              <w:t>to exclude any factors that may be triggering the pruritus</w:t>
            </w:r>
            <w:r w:rsidRPr="00806B36">
              <w:rPr>
                <w:rFonts w:ascii="Arial Narrow" w:hAnsi="Arial Narrow"/>
                <w:strike/>
                <w:sz w:val="20"/>
                <w:szCs w:val="20"/>
              </w:rPr>
              <w:t>)</w:t>
            </w:r>
          </w:p>
        </w:tc>
      </w:tr>
      <w:tr w:rsidR="002A27C7" w:rsidRPr="00806B36" w14:paraId="7847E845"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3FCBEB"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7EEC9C"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4780DDB5"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A6A9D5" w14:textId="057AC8C0"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E3982"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Clinical criteria:</w:t>
            </w:r>
          </w:p>
        </w:tc>
      </w:tr>
      <w:tr w:rsidR="002A27C7" w:rsidRPr="00806B36" w14:paraId="03193DE6"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C64C69" w14:textId="52741EFA"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6E21F4"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Patient must have experienced itch that persists for at least 6 weeks despite best supportive care.</w:t>
            </w:r>
          </w:p>
        </w:tc>
      </w:tr>
      <w:tr w:rsidR="002A27C7" w:rsidRPr="00806B36" w14:paraId="26738F8C"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685321"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A0A23"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061CFBFD"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56B57E" w14:textId="4BD5439F"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7D6F20"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Clinical criteria:</w:t>
            </w:r>
          </w:p>
        </w:tc>
      </w:tr>
      <w:tr w:rsidR="002A27C7" w:rsidRPr="00806B36" w14:paraId="0FF2C775"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BD8D4" w14:textId="4F900CB1"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B9EE2A"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 xml:space="preserve">Patient must not receive more than 12 weeks of treatment with this drug under this </w:t>
            </w:r>
            <w:r w:rsidRPr="00806B36">
              <w:rPr>
                <w:rFonts w:ascii="Arial Narrow" w:hAnsi="Arial Narrow"/>
                <w:strike/>
                <w:sz w:val="20"/>
                <w:szCs w:val="20"/>
              </w:rPr>
              <w:t xml:space="preserve">restriction </w:t>
            </w:r>
            <w:r w:rsidRPr="00806B36">
              <w:rPr>
                <w:rFonts w:ascii="Arial Narrow" w:hAnsi="Arial Narrow"/>
                <w:i/>
                <w:iCs/>
                <w:sz w:val="20"/>
                <w:szCs w:val="20"/>
              </w:rPr>
              <w:t>treatment phase</w:t>
            </w:r>
          </w:p>
        </w:tc>
      </w:tr>
      <w:tr w:rsidR="002A27C7" w:rsidRPr="00806B36" w14:paraId="3F70AD2B"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DA9344"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5087A6"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4780BC70"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B0177F" w14:textId="6443CBA6"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824AE9"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Treatment criteria:</w:t>
            </w:r>
          </w:p>
        </w:tc>
      </w:tr>
      <w:tr w:rsidR="002A27C7" w:rsidRPr="00806B36" w14:paraId="0B0BB964" w14:textId="77777777" w:rsidTr="00DA0BD2">
        <w:tc>
          <w:tcPr>
            <w:tcW w:w="6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center"/>
          </w:tcPr>
          <w:p w14:paraId="30C9EED4" w14:textId="17E887FB"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center"/>
            <w:hideMark/>
          </w:tcPr>
          <w:p w14:paraId="4DDC0232" w14:textId="77777777" w:rsidR="002A27C7" w:rsidRPr="00806B36" w:rsidRDefault="002A27C7" w:rsidP="00C6526D">
            <w:pPr>
              <w:autoSpaceDE w:val="0"/>
              <w:autoSpaceDN w:val="0"/>
              <w:adjustRightInd w:val="0"/>
              <w:rPr>
                <w:rFonts w:ascii="Arial Narrow" w:eastAsiaTheme="minorHAnsi" w:hAnsi="Arial Narrow" w:cs="Arial Narrow"/>
                <w:strike/>
                <w:sz w:val="20"/>
                <w:szCs w:val="20"/>
                <w:lang w:eastAsia="en-US"/>
              </w:rPr>
            </w:pPr>
            <w:r w:rsidRPr="00806B36">
              <w:rPr>
                <w:rFonts w:ascii="Arial Narrow" w:hAnsi="Arial Narrow" w:cs="Arial Narrow"/>
                <w:strike/>
                <w:sz w:val="20"/>
                <w:szCs w:val="20"/>
              </w:rPr>
              <w:t>Must be treated by, or in consultation with, any of the following specialists:</w:t>
            </w:r>
          </w:p>
          <w:p w14:paraId="0C4D2770" w14:textId="77777777" w:rsidR="002A27C7" w:rsidRPr="00806B36" w:rsidRDefault="002A27C7" w:rsidP="00C6526D">
            <w:pPr>
              <w:autoSpaceDE w:val="0"/>
              <w:autoSpaceDN w:val="0"/>
              <w:adjustRightInd w:val="0"/>
              <w:rPr>
                <w:rFonts w:ascii="Arial Narrow" w:hAnsi="Arial Narrow" w:cs="Arial Narrow"/>
                <w:strike/>
                <w:sz w:val="20"/>
                <w:szCs w:val="20"/>
              </w:rPr>
            </w:pPr>
            <w:r w:rsidRPr="00806B36">
              <w:rPr>
                <w:rFonts w:ascii="Arial Narrow" w:hAnsi="Arial Narrow" w:cs="Arial Narrow"/>
                <w:strike/>
                <w:sz w:val="20"/>
                <w:szCs w:val="20"/>
              </w:rPr>
              <w:t>renal physician, nephrologist, allergist, or general physician experienced in the management of patients with chronic kidney disease</w:t>
            </w:r>
          </w:p>
          <w:p w14:paraId="06EE9D0D" w14:textId="77777777" w:rsidR="002A27C7" w:rsidRPr="00806B36" w:rsidRDefault="002A27C7" w:rsidP="00C6526D">
            <w:pPr>
              <w:rPr>
                <w:rFonts w:cs="Calibri"/>
                <w:i/>
                <w:iCs/>
                <w:sz w:val="22"/>
                <w:szCs w:val="22"/>
              </w:rPr>
            </w:pPr>
            <w:r w:rsidRPr="00806B36">
              <w:rPr>
                <w:rFonts w:ascii="Arial Narrow" w:hAnsi="Arial Narrow"/>
                <w:i/>
                <w:iCs/>
                <w:sz w:val="20"/>
                <w:szCs w:val="20"/>
              </w:rPr>
              <w:t>Must be treated by at least one of (i) a renal physician, (ii) nephrologist, (iii) allergist.</w:t>
            </w:r>
          </w:p>
        </w:tc>
      </w:tr>
      <w:tr w:rsidR="002A27C7" w:rsidRPr="00806B36" w14:paraId="39DB1B2C"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D3F79C" w14:textId="77777777" w:rsidR="002A27C7" w:rsidRPr="00806B36" w:rsidRDefault="002A27C7" w:rsidP="00C6526D">
            <w:pPr>
              <w:jc w:val="center"/>
              <w:rPr>
                <w:rFonts w:ascii="Arial Narrow" w:hAnsi="Arial Narrow" w:cs="Times New Roman"/>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CF040B"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4AD5A93B"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AE4685" w14:textId="4EB57882" w:rsidR="002A27C7" w:rsidRPr="00806B36" w:rsidRDefault="002A27C7" w:rsidP="00C6526D">
            <w:pPr>
              <w:jc w:val="center"/>
              <w:rPr>
                <w:rFonts w:ascii="Arial Narrow" w:hAnsi="Arial Narrow"/>
                <w:strike/>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D4267F"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Population criteria:</w:t>
            </w:r>
          </w:p>
        </w:tc>
      </w:tr>
      <w:tr w:rsidR="002A27C7" w:rsidRPr="00806B36" w14:paraId="580EC93C" w14:textId="77777777" w:rsidTr="00DA0BD2">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CA2723" w14:textId="22DCE24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4C1001"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 xml:space="preserve">Patient must be </w:t>
            </w:r>
            <w:r w:rsidRPr="00806B36">
              <w:rPr>
                <w:rFonts w:ascii="Arial Narrow" w:hAnsi="Arial Narrow"/>
                <w:i/>
                <w:iCs/>
                <w:sz w:val="20"/>
                <w:szCs w:val="20"/>
              </w:rPr>
              <w:t>at least</w:t>
            </w:r>
            <w:r w:rsidRPr="00806B36">
              <w:rPr>
                <w:rFonts w:ascii="Arial Narrow" w:hAnsi="Arial Narrow"/>
                <w:sz w:val="20"/>
                <w:szCs w:val="20"/>
              </w:rPr>
              <w:t xml:space="preserve"> 18 years </w:t>
            </w:r>
            <w:r w:rsidRPr="00806B36">
              <w:rPr>
                <w:rFonts w:ascii="Arial Narrow" w:hAnsi="Arial Narrow"/>
                <w:i/>
                <w:iCs/>
                <w:sz w:val="20"/>
                <w:szCs w:val="20"/>
              </w:rPr>
              <w:t>of age</w:t>
            </w:r>
            <w:r w:rsidRPr="00806B36">
              <w:rPr>
                <w:rFonts w:ascii="Arial Narrow" w:hAnsi="Arial Narrow"/>
                <w:sz w:val="20"/>
                <w:szCs w:val="20"/>
              </w:rPr>
              <w:t xml:space="preserve"> </w:t>
            </w:r>
            <w:r w:rsidRPr="00806B36">
              <w:rPr>
                <w:rFonts w:ascii="Arial Narrow" w:hAnsi="Arial Narrow"/>
                <w:strike/>
                <w:sz w:val="20"/>
                <w:szCs w:val="20"/>
              </w:rPr>
              <w:t>or older.</w:t>
            </w:r>
          </w:p>
        </w:tc>
      </w:tr>
      <w:tr w:rsidR="002A27C7" w:rsidRPr="00806B36" w14:paraId="37B3C631"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4AEF98"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D66A2B" w14:textId="77777777" w:rsidR="002A27C7" w:rsidRPr="00806B36" w:rsidRDefault="002A27C7" w:rsidP="00C6526D">
            <w:pPr>
              <w:rPr>
                <w:rFonts w:ascii="Arial Narrow" w:hAnsi="Arial Narrow"/>
                <w:sz w:val="20"/>
                <w:szCs w:val="20"/>
              </w:rPr>
            </w:pPr>
          </w:p>
        </w:tc>
      </w:tr>
      <w:tr w:rsidR="002A27C7" w:rsidRPr="00806B36" w14:paraId="6897EB3D"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C72616"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0CDD21" w14:textId="77777777" w:rsidR="002A27C7" w:rsidRPr="00806B36" w:rsidRDefault="002A27C7" w:rsidP="00C6526D">
            <w:pPr>
              <w:rPr>
                <w:rFonts w:ascii="Arial Narrow" w:hAnsi="Arial Narrow"/>
                <w:b/>
                <w:bCs/>
                <w:strike/>
                <w:sz w:val="20"/>
                <w:szCs w:val="20"/>
              </w:rPr>
            </w:pPr>
            <w:r w:rsidRPr="00806B36">
              <w:rPr>
                <w:rFonts w:ascii="Arial Narrow" w:hAnsi="Arial Narrow"/>
                <w:b/>
                <w:bCs/>
                <w:strike/>
                <w:sz w:val="20"/>
                <w:szCs w:val="20"/>
              </w:rPr>
              <w:t>Administrative advice:</w:t>
            </w:r>
          </w:p>
          <w:p w14:paraId="058C0B3E" w14:textId="77777777" w:rsidR="002A27C7" w:rsidRPr="00806B36" w:rsidRDefault="002A27C7" w:rsidP="00C6526D">
            <w:pPr>
              <w:rPr>
                <w:rFonts w:ascii="Arial Narrow" w:hAnsi="Arial Narrow"/>
                <w:strike/>
                <w:sz w:val="20"/>
                <w:szCs w:val="20"/>
              </w:rPr>
            </w:pPr>
            <w:r w:rsidRPr="00806B36">
              <w:rPr>
                <w:rFonts w:ascii="Arial Narrow" w:hAnsi="Arial Narrow"/>
                <w:strike/>
                <w:sz w:val="20"/>
                <w:szCs w:val="20"/>
              </w:rPr>
              <w:t>If a patient fails to demonstrate a response to treatment with this drug they will not be eligible to receive further PBS-subsidised treatment with this drug for this condition.</w:t>
            </w:r>
          </w:p>
        </w:tc>
      </w:tr>
      <w:tr w:rsidR="002A27C7" w:rsidRPr="00806B36" w14:paraId="57F7D7A1"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87953"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C329C9" w14:textId="77777777" w:rsidR="002A27C7" w:rsidRPr="00806B36" w:rsidRDefault="002A27C7" w:rsidP="00C6526D">
            <w:pPr>
              <w:rPr>
                <w:rFonts w:ascii="Arial Narrow" w:hAnsi="Arial Narrow"/>
                <w:b/>
                <w:bCs/>
                <w:sz w:val="20"/>
                <w:szCs w:val="20"/>
              </w:rPr>
            </w:pPr>
            <w:r w:rsidRPr="00806B36">
              <w:rPr>
                <w:rFonts w:ascii="Arial Narrow" w:hAnsi="Arial Narrow"/>
                <w:b/>
                <w:bCs/>
                <w:strike/>
                <w:sz w:val="20"/>
                <w:szCs w:val="20"/>
              </w:rPr>
              <w:t>Administrative advice:</w:t>
            </w:r>
            <w:r w:rsidRPr="00806B36">
              <w:rPr>
                <w:rFonts w:ascii="Arial Narrow" w:hAnsi="Arial Narrow"/>
                <w:b/>
                <w:bCs/>
                <w:sz w:val="20"/>
                <w:szCs w:val="20"/>
              </w:rPr>
              <w:t xml:space="preserve"> </w:t>
            </w:r>
            <w:r w:rsidRPr="00806B36">
              <w:rPr>
                <w:rFonts w:ascii="Arial Narrow" w:hAnsi="Arial Narrow"/>
                <w:b/>
                <w:bCs/>
                <w:i/>
                <w:iCs/>
                <w:sz w:val="20"/>
                <w:szCs w:val="20"/>
              </w:rPr>
              <w:t>Prescribing instructions:</w:t>
            </w:r>
          </w:p>
          <w:p w14:paraId="1826EC8C" w14:textId="77777777" w:rsidR="002A27C7" w:rsidRPr="00806B36" w:rsidRDefault="002A27C7" w:rsidP="00C6526D">
            <w:pPr>
              <w:rPr>
                <w:rFonts w:ascii="Arial Narrow" w:hAnsi="Arial Narrow"/>
                <w:sz w:val="20"/>
                <w:szCs w:val="20"/>
              </w:rPr>
            </w:pPr>
            <w:r w:rsidRPr="00806B36">
              <w:rPr>
                <w:rFonts w:ascii="Arial Narrow" w:hAnsi="Arial Narrow"/>
                <w:i/>
                <w:iCs/>
                <w:sz w:val="20"/>
                <w:szCs w:val="20"/>
              </w:rPr>
              <w:t>Prescriber must exclude any</w:t>
            </w:r>
            <w:r w:rsidRPr="00806B36">
              <w:rPr>
                <w:rFonts w:ascii="Arial Narrow" w:hAnsi="Arial Narrow"/>
                <w:sz w:val="20"/>
                <w:szCs w:val="20"/>
              </w:rPr>
              <w:t xml:space="preserve"> other causes of pruritus </w:t>
            </w:r>
            <w:r w:rsidRPr="00806B36">
              <w:rPr>
                <w:rFonts w:ascii="Arial Narrow" w:hAnsi="Arial Narrow"/>
                <w:i/>
                <w:iCs/>
                <w:sz w:val="20"/>
                <w:szCs w:val="20"/>
              </w:rPr>
              <w:t>which</w:t>
            </w:r>
            <w:r w:rsidRPr="00806B36">
              <w:rPr>
                <w:rFonts w:ascii="Arial Narrow" w:hAnsi="Arial Narrow"/>
                <w:sz w:val="20"/>
                <w:szCs w:val="20"/>
              </w:rPr>
              <w:t xml:space="preserve"> include any of the following: </w:t>
            </w:r>
          </w:p>
          <w:p w14:paraId="284D793F"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(i) drug/dialysis related (e.g., opioid-related pruritus)</w:t>
            </w:r>
          </w:p>
          <w:p w14:paraId="3F313D2E"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 xml:space="preserve">(ii) drug hypersensitivity or adverse effect; contact dermatitis; allergy) </w:t>
            </w:r>
            <w:r w:rsidRPr="00806B36">
              <w:rPr>
                <w:rFonts w:ascii="Arial Narrow" w:hAnsi="Arial Narrow"/>
                <w:strike/>
                <w:sz w:val="20"/>
                <w:szCs w:val="20"/>
              </w:rPr>
              <w:t>or</w:t>
            </w:r>
            <w:r w:rsidRPr="00806B36">
              <w:rPr>
                <w:rFonts w:ascii="Arial Narrow" w:hAnsi="Arial Narrow"/>
                <w:sz w:val="20"/>
                <w:szCs w:val="20"/>
              </w:rPr>
              <w:t xml:space="preserve"> </w:t>
            </w:r>
          </w:p>
          <w:p w14:paraId="5F04D8A3"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(iii) differential diagnoses (e.g., xerosis; infestations; iron deficiency; liver disease; - polycythaemia vera/leukemia/lymphoma; hypothyroidism; uncontrolled diabetes).</w:t>
            </w:r>
          </w:p>
        </w:tc>
      </w:tr>
      <w:tr w:rsidR="002A27C7" w:rsidRPr="00806B36" w14:paraId="64942439"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82356"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109100" w14:textId="77777777" w:rsidR="002A27C7" w:rsidRPr="00806B36" w:rsidRDefault="002A27C7" w:rsidP="00C6526D">
            <w:pPr>
              <w:rPr>
                <w:rFonts w:ascii="Arial Narrow" w:hAnsi="Arial Narrow"/>
                <w:b/>
                <w:bCs/>
                <w:strike/>
                <w:sz w:val="20"/>
                <w:szCs w:val="20"/>
              </w:rPr>
            </w:pPr>
            <w:r w:rsidRPr="00806B36">
              <w:rPr>
                <w:rFonts w:ascii="Arial Narrow" w:hAnsi="Arial Narrow"/>
                <w:b/>
                <w:bCs/>
                <w:strike/>
                <w:sz w:val="20"/>
                <w:szCs w:val="20"/>
              </w:rPr>
              <w:t xml:space="preserve">Administrative advice: </w:t>
            </w:r>
            <w:r w:rsidRPr="00806B36">
              <w:rPr>
                <w:rFonts w:ascii="Arial Narrow" w:hAnsi="Arial Narrow"/>
                <w:b/>
                <w:bCs/>
                <w:i/>
                <w:iCs/>
                <w:sz w:val="20"/>
                <w:szCs w:val="20"/>
              </w:rPr>
              <w:t>Prescribing instructions:</w:t>
            </w:r>
          </w:p>
          <w:p w14:paraId="7597A961"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Best supportive care for patients with chronic kidney disease-associated pruritus is not limited to but includes:</w:t>
            </w:r>
          </w:p>
          <w:p w14:paraId="5649DC28"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 xml:space="preserve">(i) optimisation of dialysis, </w:t>
            </w:r>
          </w:p>
          <w:p w14:paraId="6A8FD65A" w14:textId="77777777" w:rsidR="002A27C7" w:rsidRPr="00806B36" w:rsidRDefault="002A27C7" w:rsidP="00C6526D">
            <w:pPr>
              <w:rPr>
                <w:rFonts w:ascii="Arial Narrow" w:hAnsi="Arial Narrow"/>
                <w:sz w:val="20"/>
                <w:szCs w:val="20"/>
              </w:rPr>
            </w:pPr>
            <w:r w:rsidRPr="00806B36">
              <w:rPr>
                <w:rFonts w:ascii="Arial Narrow" w:hAnsi="Arial Narrow"/>
                <w:sz w:val="20"/>
                <w:szCs w:val="20"/>
              </w:rPr>
              <w:t xml:space="preserve">(ii) skin hydration </w:t>
            </w:r>
            <w:r w:rsidRPr="00806B36">
              <w:rPr>
                <w:rFonts w:ascii="Arial Narrow" w:hAnsi="Arial Narrow"/>
                <w:i/>
                <w:iCs/>
                <w:sz w:val="20"/>
                <w:szCs w:val="20"/>
              </w:rPr>
              <w:t>and nutrition</w:t>
            </w:r>
            <w:r w:rsidRPr="00806B36">
              <w:rPr>
                <w:rFonts w:ascii="Arial Narrow" w:hAnsi="Arial Narrow"/>
                <w:sz w:val="20"/>
                <w:szCs w:val="20"/>
              </w:rPr>
              <w:t xml:space="preserve"> (with the use of moisturiser, emollients, barrier creams or oils) </w:t>
            </w:r>
            <w:r w:rsidRPr="00806B36">
              <w:rPr>
                <w:rFonts w:ascii="Arial Narrow" w:hAnsi="Arial Narrow"/>
                <w:strike/>
                <w:sz w:val="20"/>
                <w:szCs w:val="20"/>
              </w:rPr>
              <w:t>and nutrition</w:t>
            </w:r>
            <w:r w:rsidRPr="00806B36">
              <w:rPr>
                <w:rFonts w:ascii="Arial Narrow" w:hAnsi="Arial Narrow"/>
                <w:sz w:val="20"/>
                <w:szCs w:val="20"/>
              </w:rPr>
              <w:t xml:space="preserve">; </w:t>
            </w:r>
          </w:p>
          <w:p w14:paraId="2B1F2326" w14:textId="77777777" w:rsidR="002A27C7" w:rsidRPr="00806B36" w:rsidRDefault="002A27C7" w:rsidP="00C6526D">
            <w:pPr>
              <w:rPr>
                <w:rFonts w:ascii="Arial Narrow" w:hAnsi="Arial Narrow"/>
                <w:sz w:val="20"/>
                <w:szCs w:val="20"/>
              </w:rPr>
            </w:pPr>
            <w:r w:rsidRPr="00806B36">
              <w:rPr>
                <w:rFonts w:ascii="Arial Narrow" w:hAnsi="Arial Narrow"/>
                <w:strike/>
                <w:sz w:val="20"/>
                <w:szCs w:val="20"/>
              </w:rPr>
              <w:t>and</w:t>
            </w:r>
            <w:r w:rsidRPr="00806B36">
              <w:rPr>
                <w:rFonts w:ascii="Arial Narrow" w:hAnsi="Arial Narrow"/>
                <w:sz w:val="20"/>
                <w:szCs w:val="20"/>
              </w:rPr>
              <w:t xml:space="preserve"> (iii) patient education on the importance of avoiding or minimising scratching.</w:t>
            </w:r>
          </w:p>
        </w:tc>
      </w:tr>
      <w:tr w:rsidR="002A27C7" w:rsidRPr="00806B36" w14:paraId="101B3E81" w14:textId="77777777" w:rsidTr="002A27C7">
        <w:tc>
          <w:tcPr>
            <w:tcW w:w="60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3E7A1F" w14:textId="77777777" w:rsidR="002A27C7" w:rsidRPr="00806B36" w:rsidRDefault="002A27C7" w:rsidP="00C6526D">
            <w:pPr>
              <w:jc w:val="center"/>
              <w:rPr>
                <w:rFonts w:ascii="Arial Narrow" w:hAnsi="Arial Narrow"/>
                <w:sz w:val="20"/>
                <w:szCs w:val="20"/>
              </w:rPr>
            </w:pPr>
          </w:p>
        </w:tc>
        <w:tc>
          <w:tcPr>
            <w:tcW w:w="4393"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DFC1D1" w14:textId="77777777" w:rsidR="002A27C7" w:rsidRPr="00806B36" w:rsidRDefault="002A27C7" w:rsidP="00C6526D">
            <w:pPr>
              <w:rPr>
                <w:rFonts w:ascii="Arial Narrow" w:hAnsi="Arial Narrow"/>
                <w:b/>
                <w:bCs/>
                <w:strike/>
                <w:sz w:val="20"/>
                <w:szCs w:val="20"/>
              </w:rPr>
            </w:pPr>
          </w:p>
        </w:tc>
      </w:tr>
    </w:tbl>
    <w:p w14:paraId="00398A99" w14:textId="77777777" w:rsidR="002A27C7" w:rsidRPr="00806B36" w:rsidRDefault="002A27C7" w:rsidP="002A27C7">
      <w:pPr>
        <w:rPr>
          <w:rFonts w:ascii="Times New Roman" w:eastAsiaTheme="minorHAnsi" w:hAnsi="Times New Roman"/>
          <w:lang w:eastAsia="en-US"/>
        </w:rPr>
      </w:pPr>
    </w:p>
    <w:p w14:paraId="3A86B7BF" w14:textId="77777777" w:rsidR="002A27C7" w:rsidRPr="00806B36" w:rsidRDefault="002A27C7" w:rsidP="002A27C7">
      <w:pPr>
        <w:rPr>
          <w:rFonts w:ascii="Times New Roman" w:eastAsiaTheme="minorHAnsi" w:hAnsi="Times New Rom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628"/>
        <w:gridCol w:w="1390"/>
        <w:gridCol w:w="1362"/>
        <w:gridCol w:w="1363"/>
        <w:gridCol w:w="846"/>
        <w:gridCol w:w="705"/>
        <w:gridCol w:w="705"/>
        <w:gridCol w:w="1549"/>
      </w:tblGrid>
      <w:tr w:rsidR="007565A8" w:rsidRPr="00806B36" w14:paraId="6EBD9072" w14:textId="77777777" w:rsidTr="00FE3F9B">
        <w:tc>
          <w:tcPr>
            <w:tcW w:w="1379"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43DBA6" w14:textId="77777777" w:rsidR="007565A8" w:rsidRPr="00806B36" w:rsidRDefault="007565A8" w:rsidP="00C6526D">
            <w:pPr>
              <w:tabs>
                <w:tab w:val="left" w:pos="6510"/>
              </w:tabs>
              <w:rPr>
                <w:rFonts w:ascii="Arial Narrow" w:hAnsi="Arial Narrow"/>
                <w:b/>
                <w:sz w:val="20"/>
                <w:szCs w:val="20"/>
              </w:rPr>
            </w:pPr>
            <w:r w:rsidRPr="00806B36">
              <w:rPr>
                <w:rFonts w:ascii="Arial Narrow" w:hAnsi="Arial Narrow"/>
                <w:b/>
                <w:sz w:val="20"/>
                <w:szCs w:val="20"/>
              </w:rPr>
              <w:t>Name, Restriction,</w:t>
            </w:r>
          </w:p>
          <w:p w14:paraId="0F4E5F8D" w14:textId="77777777" w:rsidR="007565A8" w:rsidRPr="00806B36" w:rsidRDefault="007565A8" w:rsidP="00C6526D">
            <w:pPr>
              <w:rPr>
                <w:rFonts w:ascii="Arial Narrow" w:hAnsi="Arial Narrow" w:cs="Times New Roman"/>
                <w:b/>
                <w:bCs/>
                <w:sz w:val="20"/>
                <w:szCs w:val="20"/>
              </w:rPr>
            </w:pPr>
            <w:r w:rsidRPr="00806B36">
              <w:rPr>
                <w:rFonts w:ascii="Arial Narrow" w:hAnsi="Arial Narrow"/>
                <w:b/>
                <w:sz w:val="20"/>
                <w:szCs w:val="20"/>
              </w:rPr>
              <w:t>Manner of administration and form</w:t>
            </w:r>
          </w:p>
        </w:tc>
        <w:tc>
          <w:tcPr>
            <w:tcW w:w="7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7933D9" w14:textId="22FE598C" w:rsidR="007565A8" w:rsidRPr="00806B36" w:rsidRDefault="007565A8" w:rsidP="00C6526D">
            <w:pPr>
              <w:rPr>
                <w:rFonts w:ascii="Arial Narrow" w:hAnsi="Arial Narrow"/>
                <w:b/>
                <w:bCs/>
                <w:sz w:val="20"/>
                <w:szCs w:val="20"/>
              </w:rPr>
            </w:pPr>
            <w:r w:rsidRPr="00806B36">
              <w:rPr>
                <w:rFonts w:ascii="Arial Narrow" w:hAnsi="Arial Narrow"/>
                <w:b/>
                <w:sz w:val="20"/>
                <w:szCs w:val="20"/>
              </w:rPr>
              <w:t>Dispensed Price for Max. Qty</w:t>
            </w:r>
          </w:p>
        </w:tc>
        <w:tc>
          <w:tcPr>
            <w:tcW w:w="756" w:type="pct"/>
            <w:tcBorders>
              <w:top w:val="single" w:sz="4" w:space="0" w:color="auto"/>
              <w:left w:val="single" w:sz="4" w:space="0" w:color="auto"/>
              <w:bottom w:val="single" w:sz="4" w:space="0" w:color="auto"/>
              <w:right w:val="single" w:sz="4" w:space="0" w:color="auto"/>
            </w:tcBorders>
          </w:tcPr>
          <w:p w14:paraId="4CB45B72" w14:textId="15903154" w:rsidR="007565A8" w:rsidRPr="00806B36" w:rsidRDefault="007565A8" w:rsidP="00C6526D">
            <w:pPr>
              <w:rPr>
                <w:rFonts w:ascii="Arial Narrow" w:hAnsi="Arial Narrow"/>
                <w:b/>
                <w:bCs/>
                <w:sz w:val="20"/>
                <w:szCs w:val="20"/>
              </w:rPr>
            </w:pPr>
            <w:r w:rsidRPr="00806B36">
              <w:rPr>
                <w:rFonts w:ascii="Arial Narrow" w:hAnsi="Arial Narrow"/>
                <w:b/>
                <w:sz w:val="20"/>
                <w:szCs w:val="20"/>
              </w:rPr>
              <w:t>PBS item code</w:t>
            </w:r>
          </w:p>
        </w:tc>
        <w:tc>
          <w:tcPr>
            <w:tcW w:w="4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4F93C" w14:textId="77777777" w:rsidR="007565A8" w:rsidRPr="00806B36" w:rsidRDefault="007565A8" w:rsidP="00C6526D">
            <w:pPr>
              <w:rPr>
                <w:rFonts w:ascii="Arial Narrow" w:hAnsi="Arial Narrow"/>
                <w:b/>
                <w:bCs/>
                <w:sz w:val="20"/>
                <w:szCs w:val="20"/>
              </w:rPr>
            </w:pPr>
            <w:r w:rsidRPr="00806B36">
              <w:rPr>
                <w:rFonts w:ascii="Arial Narrow" w:hAnsi="Arial Narrow"/>
                <w:b/>
                <w:sz w:val="20"/>
                <w:szCs w:val="20"/>
              </w:rPr>
              <w:t>Max. qty packs</w:t>
            </w:r>
          </w:p>
        </w:tc>
        <w:tc>
          <w:tcPr>
            <w:tcW w:w="39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7A3DF4" w14:textId="77777777" w:rsidR="007565A8" w:rsidRPr="00806B36" w:rsidRDefault="007565A8" w:rsidP="00C6526D">
            <w:pPr>
              <w:rPr>
                <w:rFonts w:ascii="Arial Narrow" w:hAnsi="Arial Narrow"/>
                <w:b/>
                <w:bCs/>
                <w:sz w:val="20"/>
                <w:szCs w:val="20"/>
              </w:rPr>
            </w:pPr>
            <w:r w:rsidRPr="00806B36">
              <w:rPr>
                <w:rFonts w:ascii="Arial Narrow" w:hAnsi="Arial Narrow"/>
                <w:b/>
                <w:sz w:val="20"/>
                <w:szCs w:val="20"/>
              </w:rPr>
              <w:t>Max. qty units</w:t>
            </w:r>
          </w:p>
        </w:tc>
        <w:tc>
          <w:tcPr>
            <w:tcW w:w="39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A7743D" w14:textId="77777777" w:rsidR="007565A8" w:rsidRPr="00806B36" w:rsidRDefault="007565A8" w:rsidP="00C6526D">
            <w:pPr>
              <w:keepNext/>
              <w:ind w:left="-108"/>
              <w:jc w:val="center"/>
              <w:rPr>
                <w:rFonts w:ascii="Arial Narrow" w:eastAsiaTheme="minorHAnsi" w:hAnsi="Arial Narrow"/>
                <w:b/>
                <w:sz w:val="20"/>
                <w:szCs w:val="20"/>
                <w:lang w:eastAsia="en-US"/>
              </w:rPr>
            </w:pPr>
            <w:r w:rsidRPr="00806B36">
              <w:rPr>
                <w:rFonts w:ascii="Arial Narrow" w:hAnsi="Arial Narrow"/>
                <w:b/>
                <w:sz w:val="20"/>
                <w:szCs w:val="20"/>
              </w:rPr>
              <w:t>№.of</w:t>
            </w:r>
          </w:p>
          <w:p w14:paraId="3222FD49" w14:textId="77777777" w:rsidR="007565A8" w:rsidRPr="00806B36" w:rsidRDefault="007565A8" w:rsidP="00C6526D">
            <w:pPr>
              <w:rPr>
                <w:rFonts w:ascii="Arial Narrow" w:hAnsi="Arial Narrow" w:cs="Times New Roman"/>
                <w:b/>
                <w:bCs/>
                <w:sz w:val="20"/>
                <w:szCs w:val="20"/>
              </w:rPr>
            </w:pPr>
            <w:r w:rsidRPr="00806B36">
              <w:rPr>
                <w:rFonts w:ascii="Arial Narrow" w:hAnsi="Arial Narrow"/>
                <w:b/>
                <w:sz w:val="20"/>
                <w:szCs w:val="20"/>
              </w:rPr>
              <w:t>Rpts</w:t>
            </w:r>
          </w:p>
        </w:tc>
        <w:tc>
          <w:tcPr>
            <w:tcW w:w="8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5BAB0C" w14:textId="77777777" w:rsidR="007565A8" w:rsidRPr="00806B36" w:rsidRDefault="007565A8" w:rsidP="00C6526D">
            <w:pPr>
              <w:rPr>
                <w:rFonts w:ascii="Arial Narrow" w:hAnsi="Arial Narrow"/>
                <w:b/>
                <w:bCs/>
                <w:sz w:val="20"/>
                <w:szCs w:val="20"/>
              </w:rPr>
            </w:pPr>
            <w:r w:rsidRPr="00806B36">
              <w:rPr>
                <w:rFonts w:ascii="Arial Narrow" w:hAnsi="Arial Narrow"/>
                <w:b/>
                <w:sz w:val="20"/>
                <w:szCs w:val="20"/>
              </w:rPr>
              <w:t>Proprietary Name and Manufacturer</w:t>
            </w:r>
          </w:p>
        </w:tc>
      </w:tr>
      <w:tr w:rsidR="002A27C7" w:rsidRPr="00806B36" w14:paraId="41D4D60A" w14:textId="77777777" w:rsidTr="00FE3F9B">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5B623E" w14:textId="77777777" w:rsidR="002A27C7" w:rsidRPr="00806B36" w:rsidRDefault="002A27C7" w:rsidP="00C6526D">
            <w:pPr>
              <w:rPr>
                <w:rFonts w:ascii="Arial Narrow" w:hAnsi="Arial Narrow"/>
                <w:b/>
                <w:bCs/>
                <w:sz w:val="20"/>
                <w:szCs w:val="20"/>
              </w:rPr>
            </w:pPr>
            <w:r w:rsidRPr="00806B36">
              <w:rPr>
                <w:rFonts w:ascii="Arial Narrow" w:hAnsi="Arial Narrow"/>
                <w:sz w:val="20"/>
                <w:szCs w:val="20"/>
              </w:rPr>
              <w:lastRenderedPageBreak/>
              <w:t>DIFELIKEFALIN</w:t>
            </w:r>
          </w:p>
        </w:tc>
      </w:tr>
      <w:tr w:rsidR="007565A8" w:rsidRPr="00806B36" w14:paraId="04FF9FE6" w14:textId="77777777" w:rsidTr="00FE3F9B">
        <w:tc>
          <w:tcPr>
            <w:tcW w:w="1379"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241EAB" w14:textId="77777777" w:rsidR="007565A8" w:rsidRPr="00806B36" w:rsidRDefault="007565A8" w:rsidP="00C6526D">
            <w:pPr>
              <w:rPr>
                <w:rFonts w:ascii="Arial Narrow" w:hAnsi="Arial Narrow"/>
                <w:b/>
                <w:bCs/>
                <w:sz w:val="20"/>
                <w:szCs w:val="20"/>
              </w:rPr>
            </w:pPr>
            <w:r w:rsidRPr="00806B36">
              <w:rPr>
                <w:rFonts w:ascii="Arial Narrow" w:hAnsi="Arial Narrow"/>
                <w:sz w:val="20"/>
                <w:szCs w:val="20"/>
              </w:rPr>
              <w:t>Difelikefalin 50 mcg/mL solution for injection, 1mL vial (as acetate)</w:t>
            </w:r>
          </w:p>
        </w:tc>
        <w:tc>
          <w:tcPr>
            <w:tcW w:w="7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BCEDA2" w14:textId="77777777" w:rsidR="007565A8" w:rsidRPr="00806B36" w:rsidRDefault="007565A8" w:rsidP="007565A8">
            <w:pPr>
              <w:pStyle w:val="COMTabletext"/>
              <w:keepNext w:val="0"/>
              <w:widowControl w:val="0"/>
              <w:jc w:val="center"/>
              <w:rPr>
                <w:rFonts w:eastAsia="Times New Roman" w:cs="Arial"/>
                <w:bCs w:val="0"/>
                <w:szCs w:val="20"/>
              </w:rPr>
            </w:pPr>
            <w:r w:rsidRPr="00806B36">
              <w:rPr>
                <w:rFonts w:eastAsia="Times New Roman" w:cs="Arial"/>
                <w:bCs w:val="0"/>
                <w:szCs w:val="20"/>
              </w:rPr>
              <w:t>$</w:t>
            </w:r>
            <w:r w:rsidRPr="00AE7B50">
              <w:rPr>
                <w:rFonts w:eastAsia="Times New Roman" w:cs="Arial"/>
                <w:bCs w:val="0"/>
                <w:szCs w:val="20"/>
              </w:rPr>
              <w:t>616.77</w:t>
            </w:r>
            <w:r w:rsidRPr="00806B36">
              <w:rPr>
                <w:rFonts w:eastAsia="Times New Roman" w:cs="Arial"/>
                <w:bCs w:val="0"/>
                <w:szCs w:val="20"/>
              </w:rPr>
              <w:t xml:space="preserve"> (published)</w:t>
            </w:r>
          </w:p>
          <w:p w14:paraId="10796A32" w14:textId="23F202D8" w:rsidR="007565A8" w:rsidRPr="00806B36" w:rsidRDefault="007565A8" w:rsidP="007565A8">
            <w:pPr>
              <w:tabs>
                <w:tab w:val="left" w:pos="6510"/>
              </w:tabs>
              <w:jc w:val="center"/>
              <w:rPr>
                <w:rFonts w:ascii="Arial Narrow" w:eastAsiaTheme="minorHAnsi" w:hAnsi="Arial Narrow"/>
                <w:bCs/>
                <w:sz w:val="20"/>
                <w:szCs w:val="20"/>
                <w:lang w:eastAsia="en-US"/>
              </w:rPr>
            </w:pPr>
            <w:r w:rsidRPr="00806B36">
              <w:rPr>
                <w:rFonts w:ascii="Arial Narrow" w:hAnsi="Arial Narrow"/>
                <w:sz w:val="20"/>
                <w:szCs w:val="20"/>
              </w:rPr>
              <w:t>$</w:t>
            </w:r>
            <w:r w:rsidR="008537BB" w:rsidRPr="008537BB">
              <w:rPr>
                <w:rFonts w:ascii="Arial Narrow" w:hAnsi="Arial Narrow"/>
                <w:color w:val="000000"/>
                <w:spacing w:val="172"/>
                <w:sz w:val="20"/>
                <w:szCs w:val="20"/>
                <w:shd w:val="solid" w:color="000000" w:fill="000000"/>
                <w:fitText w:val="258" w:id="-1236598015"/>
                <w14:textFill>
                  <w14:solidFill>
                    <w14:srgbClr w14:val="000000">
                      <w14:alpha w14:val="100000"/>
                    </w14:srgbClr>
                  </w14:solidFill>
                </w14:textFill>
              </w:rPr>
              <w:t>|</w:t>
            </w:r>
            <w:r w:rsidR="008537BB" w:rsidRPr="008537BB">
              <w:rPr>
                <w:rFonts w:ascii="Arial Narrow" w:hAnsi="Arial Narrow"/>
                <w:color w:val="000000"/>
                <w:sz w:val="20"/>
                <w:szCs w:val="20"/>
                <w:shd w:val="solid" w:color="000000" w:fill="000000"/>
                <w:fitText w:val="258" w:id="-1236598015"/>
                <w14:textFill>
                  <w14:solidFill>
                    <w14:srgbClr w14:val="000000">
                      <w14:alpha w14:val="100000"/>
                    </w14:srgbClr>
                  </w14:solidFill>
                </w14:textFill>
              </w:rPr>
              <w:t>|</w:t>
            </w:r>
            <w:r w:rsidRPr="00806B36">
              <w:rPr>
                <w:rFonts w:ascii="Arial Narrow" w:hAnsi="Arial Narrow"/>
                <w:sz w:val="20"/>
                <w:szCs w:val="20"/>
              </w:rPr>
              <w:t xml:space="preserve"> (effective)</w:t>
            </w:r>
          </w:p>
        </w:tc>
        <w:tc>
          <w:tcPr>
            <w:tcW w:w="756" w:type="pct"/>
            <w:tcBorders>
              <w:top w:val="single" w:sz="4" w:space="0" w:color="auto"/>
              <w:left w:val="single" w:sz="4" w:space="0" w:color="auto"/>
              <w:bottom w:val="single" w:sz="4" w:space="0" w:color="auto"/>
              <w:right w:val="single" w:sz="4" w:space="0" w:color="auto"/>
            </w:tcBorders>
          </w:tcPr>
          <w:p w14:paraId="19190AAB" w14:textId="70BB0375" w:rsidR="007565A8" w:rsidRPr="00806B36" w:rsidRDefault="007565A8" w:rsidP="00C6526D">
            <w:pPr>
              <w:jc w:val="center"/>
              <w:rPr>
                <w:rFonts w:ascii="Arial Narrow" w:hAnsi="Arial Narrow"/>
                <w:bCs/>
                <w:sz w:val="20"/>
                <w:szCs w:val="20"/>
              </w:rPr>
            </w:pPr>
            <w:r w:rsidRPr="00806B36">
              <w:rPr>
                <w:rFonts w:ascii="Arial Narrow" w:hAnsi="Arial Narrow"/>
                <w:bCs/>
                <w:sz w:val="20"/>
                <w:szCs w:val="20"/>
              </w:rPr>
              <w:t>New HSD (Public)</w:t>
            </w:r>
          </w:p>
          <w:p w14:paraId="172E0562" w14:textId="5C6E9362" w:rsidR="007565A8" w:rsidRPr="00806B36" w:rsidRDefault="007565A8" w:rsidP="00C6526D">
            <w:pPr>
              <w:jc w:val="center"/>
              <w:rPr>
                <w:rFonts w:ascii="Arial Narrow" w:hAnsi="Arial Narrow" w:cs="Times New Roman"/>
                <w:b/>
                <w:bCs/>
                <w:sz w:val="20"/>
                <w:szCs w:val="20"/>
              </w:rPr>
            </w:pPr>
            <w:r w:rsidRPr="00806B36">
              <w:rPr>
                <w:rFonts w:ascii="Arial Narrow" w:hAnsi="Arial Narrow"/>
                <w:bCs/>
                <w:sz w:val="20"/>
                <w:szCs w:val="20"/>
              </w:rPr>
              <w:t>New HSD (Private)</w:t>
            </w:r>
          </w:p>
        </w:tc>
        <w:tc>
          <w:tcPr>
            <w:tcW w:w="4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914C6D" w14:textId="77777777" w:rsidR="007565A8" w:rsidRPr="00806B36" w:rsidRDefault="007565A8" w:rsidP="00C6526D">
            <w:pPr>
              <w:jc w:val="center"/>
              <w:rPr>
                <w:rFonts w:ascii="Arial Narrow" w:hAnsi="Arial Narrow"/>
                <w:b/>
                <w:bCs/>
                <w:sz w:val="20"/>
                <w:szCs w:val="20"/>
              </w:rPr>
            </w:pPr>
            <w:r w:rsidRPr="00806B36">
              <w:rPr>
                <w:rFonts w:ascii="Arial Narrow" w:hAnsi="Arial Narrow"/>
                <w:bCs/>
                <w:sz w:val="20"/>
                <w:szCs w:val="20"/>
              </w:rPr>
              <w:t>1</w:t>
            </w:r>
          </w:p>
        </w:tc>
        <w:tc>
          <w:tcPr>
            <w:tcW w:w="39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2DEAE7" w14:textId="77777777" w:rsidR="007565A8" w:rsidRPr="00806B36" w:rsidRDefault="007565A8" w:rsidP="00C6526D">
            <w:pPr>
              <w:jc w:val="center"/>
              <w:rPr>
                <w:rFonts w:ascii="Arial Narrow" w:hAnsi="Arial Narrow"/>
                <w:b/>
                <w:bCs/>
                <w:sz w:val="20"/>
                <w:szCs w:val="20"/>
              </w:rPr>
            </w:pPr>
            <w:r w:rsidRPr="00806B36">
              <w:rPr>
                <w:rFonts w:ascii="Arial Narrow" w:hAnsi="Arial Narrow"/>
                <w:bCs/>
                <w:sz w:val="20"/>
                <w:szCs w:val="20"/>
              </w:rPr>
              <w:t>12</w:t>
            </w:r>
          </w:p>
        </w:tc>
        <w:tc>
          <w:tcPr>
            <w:tcW w:w="39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99A30B" w14:textId="77777777" w:rsidR="007565A8" w:rsidRPr="00806B36" w:rsidRDefault="007565A8" w:rsidP="00C6526D">
            <w:pPr>
              <w:jc w:val="center"/>
              <w:rPr>
                <w:rFonts w:ascii="Arial Narrow" w:hAnsi="Arial Narrow"/>
                <w:b/>
                <w:bCs/>
                <w:sz w:val="20"/>
                <w:szCs w:val="20"/>
              </w:rPr>
            </w:pPr>
            <w:r w:rsidRPr="00806B36">
              <w:rPr>
                <w:rFonts w:ascii="Arial Narrow" w:hAnsi="Arial Narrow"/>
                <w:b/>
                <w:bCs/>
                <w:sz w:val="20"/>
                <w:szCs w:val="20"/>
              </w:rPr>
              <w:t>5</w:t>
            </w:r>
          </w:p>
        </w:tc>
        <w:tc>
          <w:tcPr>
            <w:tcW w:w="8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10B20B" w14:textId="77777777" w:rsidR="007565A8" w:rsidRPr="00806B36" w:rsidRDefault="007565A8" w:rsidP="00C6526D">
            <w:pPr>
              <w:tabs>
                <w:tab w:val="left" w:pos="6510"/>
              </w:tabs>
              <w:ind w:firstLine="720"/>
              <w:rPr>
                <w:rFonts w:ascii="Arial Narrow" w:eastAsiaTheme="minorHAnsi" w:hAnsi="Arial Narrow"/>
                <w:sz w:val="20"/>
                <w:szCs w:val="20"/>
                <w:lang w:eastAsia="en-US"/>
              </w:rPr>
            </w:pPr>
            <w:r w:rsidRPr="00806B36">
              <w:rPr>
                <w:rFonts w:ascii="Arial Narrow" w:hAnsi="Arial Narrow"/>
                <w:sz w:val="20"/>
                <w:szCs w:val="20"/>
              </w:rPr>
              <w:t>Korsuva</w:t>
            </w:r>
          </w:p>
          <w:p w14:paraId="248B09B1" w14:textId="77777777" w:rsidR="007565A8" w:rsidRPr="00806B36" w:rsidRDefault="007565A8" w:rsidP="00C6526D">
            <w:pPr>
              <w:rPr>
                <w:rFonts w:ascii="Arial Narrow" w:hAnsi="Arial Narrow" w:cs="Times New Roman"/>
                <w:b/>
                <w:bCs/>
                <w:sz w:val="20"/>
                <w:szCs w:val="20"/>
              </w:rPr>
            </w:pPr>
            <w:r w:rsidRPr="00806B36">
              <w:rPr>
                <w:rFonts w:ascii="Arial Narrow" w:hAnsi="Arial Narrow"/>
                <w:sz w:val="20"/>
                <w:szCs w:val="20"/>
              </w:rPr>
              <w:t>Vifor Pharma (trading as CSL Vifor)</w:t>
            </w:r>
          </w:p>
        </w:tc>
      </w:tr>
      <w:tr w:rsidR="002A27C7" w:rsidRPr="00806B36" w14:paraId="4213D5CB" w14:textId="77777777" w:rsidTr="00FE3F9B">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A5F0CD" w14:textId="77777777" w:rsidR="002A27C7" w:rsidRPr="00806B36" w:rsidRDefault="002A27C7" w:rsidP="00C6526D">
            <w:pPr>
              <w:rPr>
                <w:rFonts w:ascii="Arial Narrow" w:hAnsi="Arial Narrow"/>
                <w:b/>
                <w:bCs/>
                <w:sz w:val="20"/>
                <w:szCs w:val="20"/>
              </w:rPr>
            </w:pPr>
          </w:p>
        </w:tc>
      </w:tr>
      <w:tr w:rsidR="002A27C7" w:rsidRPr="00806B36" w14:paraId="5700B942" w14:textId="77777777" w:rsidTr="00FE3F9B">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FDA71D" w14:textId="77777777" w:rsidR="002A27C7" w:rsidRPr="00806B36" w:rsidRDefault="002A27C7" w:rsidP="00C6526D">
            <w:pPr>
              <w:rPr>
                <w:rFonts w:ascii="Arial Narrow" w:hAnsi="Arial Narrow"/>
                <w:b/>
                <w:bCs/>
                <w:sz w:val="20"/>
                <w:szCs w:val="20"/>
              </w:rPr>
            </w:pPr>
            <w:r w:rsidRPr="00806B36">
              <w:rPr>
                <w:rFonts w:ascii="Arial Narrow" w:hAnsi="Arial Narrow"/>
                <w:b/>
                <w:sz w:val="20"/>
                <w:szCs w:val="20"/>
              </w:rPr>
              <w:t>Restriction Summary [new 3] / Treatment of Concept: [new 4]</w:t>
            </w:r>
          </w:p>
        </w:tc>
      </w:tr>
      <w:tr w:rsidR="002A27C7" w:rsidRPr="00806B36" w14:paraId="12716E0E" w14:textId="77777777" w:rsidTr="00DA0BD2">
        <w:tc>
          <w:tcPr>
            <w:tcW w:w="260" w:type="pct"/>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1CFFBE2" w14:textId="7D63ABF6" w:rsidR="002A27C7" w:rsidRPr="00806B36" w:rsidRDefault="002A27C7" w:rsidP="00C6526D">
            <w:pPr>
              <w:rPr>
                <w:rFonts w:ascii="Arial Narrow" w:eastAsiaTheme="minorHAnsi" w:hAnsi="Arial Narrow"/>
                <w:b/>
                <w:sz w:val="20"/>
                <w:szCs w:val="20"/>
                <w:lang w:eastAsia="en-US"/>
              </w:rPr>
            </w:pP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FEDDF3" w14:textId="0EE18979" w:rsidR="002A27C7" w:rsidRPr="00806B36" w:rsidRDefault="002A27C7" w:rsidP="00C6526D">
            <w:pPr>
              <w:rPr>
                <w:rFonts w:ascii="Arial Narrow" w:hAnsi="Arial Narrow"/>
                <w:b/>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958CBD"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Administrative Advice:</w:t>
            </w:r>
          </w:p>
          <w:p w14:paraId="62452A37" w14:textId="77777777" w:rsidR="002A27C7" w:rsidRPr="00806B36" w:rsidRDefault="002A27C7" w:rsidP="00C6526D">
            <w:pPr>
              <w:rPr>
                <w:rFonts w:ascii="Arial Narrow" w:eastAsiaTheme="minorHAnsi" w:hAnsi="Arial Narrow"/>
                <w:b/>
                <w:sz w:val="20"/>
                <w:szCs w:val="20"/>
                <w:lang w:eastAsia="en-US"/>
              </w:rPr>
            </w:pPr>
            <w:r w:rsidRPr="00806B36">
              <w:rPr>
                <w:rFonts w:ascii="Arial Narrow" w:hAnsi="Arial Narrow"/>
                <w:i/>
                <w:iCs/>
                <w:sz w:val="20"/>
                <w:szCs w:val="20"/>
              </w:rPr>
              <w:t>No increase to the maximum number of repeats may be authorised.</w:t>
            </w:r>
          </w:p>
        </w:tc>
      </w:tr>
      <w:tr w:rsidR="002A27C7" w:rsidRPr="00806B36" w14:paraId="4068EB3D" w14:textId="77777777" w:rsidTr="00DA0BD2">
        <w:tc>
          <w:tcPr>
            <w:tcW w:w="0" w:type="auto"/>
            <w:vMerge/>
            <w:tcBorders>
              <w:left w:val="single" w:sz="4" w:space="0" w:color="auto"/>
              <w:right w:val="single" w:sz="4" w:space="0" w:color="auto"/>
            </w:tcBorders>
            <w:vAlign w:val="center"/>
          </w:tcPr>
          <w:p w14:paraId="2497BC0B" w14:textId="77777777" w:rsidR="002A27C7" w:rsidRPr="00806B36" w:rsidRDefault="002A27C7" w:rsidP="00C6526D">
            <w:pPr>
              <w:rPr>
                <w:rFonts w:ascii="Arial Narrow" w:hAnsi="Arial Narrow"/>
                <w:b/>
                <w:sz w:val="20"/>
                <w:szCs w:val="20"/>
                <w:lang w:eastAsia="en-US"/>
              </w:rPr>
            </w:pP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5CB3C" w14:textId="73C907BB" w:rsidR="002A27C7" w:rsidRPr="00806B36" w:rsidRDefault="002A27C7" w:rsidP="00C6526D">
            <w:pPr>
              <w:rPr>
                <w:rFonts w:ascii="Arial Narrow" w:hAnsi="Arial Narrow"/>
                <w:b/>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2A374" w14:textId="262BA808" w:rsidR="002A27C7" w:rsidRPr="00806B36" w:rsidRDefault="002A27C7" w:rsidP="00C6526D">
            <w:pPr>
              <w:rPr>
                <w:rFonts w:ascii="Arial Narrow" w:hAnsi="Arial Narrow"/>
                <w:i/>
                <w:iCs/>
                <w:strike/>
                <w:sz w:val="20"/>
                <w:szCs w:val="20"/>
              </w:rPr>
            </w:pPr>
            <w:r w:rsidRPr="00806B36">
              <w:rPr>
                <w:rFonts w:ascii="Arial Narrow" w:hAnsi="Arial Narrow"/>
                <w:b/>
                <w:bCs/>
                <w:i/>
                <w:iCs/>
                <w:sz w:val="20"/>
                <w:szCs w:val="20"/>
              </w:rPr>
              <w:t>Prescribing instructions:</w:t>
            </w:r>
          </w:p>
          <w:p w14:paraId="68DEA4E6" w14:textId="77777777" w:rsidR="002A27C7" w:rsidRPr="00806B36" w:rsidRDefault="002A27C7" w:rsidP="00C6526D">
            <w:pPr>
              <w:rPr>
                <w:rFonts w:ascii="Arial Narrow" w:eastAsiaTheme="minorHAnsi" w:hAnsi="Arial Narrow"/>
                <w:b/>
                <w:sz w:val="20"/>
                <w:szCs w:val="20"/>
                <w:lang w:eastAsia="en-US"/>
              </w:rPr>
            </w:pPr>
            <w:r w:rsidRPr="00806B36">
              <w:rPr>
                <w:rFonts w:ascii="Arial Narrow" w:hAnsi="Arial Narrow"/>
                <w:i/>
                <w:iCs/>
                <w:sz w:val="20"/>
                <w:szCs w:val="20"/>
              </w:rPr>
              <w:t xml:space="preserve">Requests for increased quantities may be authorised to provide sufficient doses for the 24 weeks (continuing or grandfather) of therapy based on the weight-based dosing table in the approved Product Information. </w:t>
            </w:r>
          </w:p>
        </w:tc>
      </w:tr>
      <w:tr w:rsidR="002A27C7" w:rsidRPr="00806B36" w14:paraId="78C0360D" w14:textId="77777777" w:rsidTr="00FE3F9B">
        <w:tc>
          <w:tcPr>
            <w:tcW w:w="0" w:type="auto"/>
            <w:vMerge/>
            <w:tcBorders>
              <w:left w:val="single" w:sz="4" w:space="0" w:color="auto"/>
              <w:bottom w:val="single" w:sz="4" w:space="0" w:color="auto"/>
              <w:right w:val="single" w:sz="4" w:space="0" w:color="auto"/>
            </w:tcBorders>
            <w:vAlign w:val="center"/>
          </w:tcPr>
          <w:p w14:paraId="58FB452C" w14:textId="77777777" w:rsidR="002A27C7" w:rsidRPr="00806B36" w:rsidRDefault="002A27C7" w:rsidP="00C6526D">
            <w:pPr>
              <w:rPr>
                <w:rFonts w:ascii="Arial Narrow" w:hAnsi="Arial Narrow"/>
                <w:b/>
                <w:sz w:val="20"/>
                <w:szCs w:val="20"/>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tcPr>
          <w:p w14:paraId="3A999C13" w14:textId="023A8B72" w:rsidR="002A27C7" w:rsidRPr="00806B36" w:rsidRDefault="002A27C7" w:rsidP="00C6526D">
            <w:pPr>
              <w:rPr>
                <w:rFonts w:ascii="Arial Narrow" w:hAnsi="Arial Narrow"/>
                <w:strike/>
                <w:sz w:val="20"/>
                <w:szCs w:val="20"/>
              </w:rPr>
            </w:pPr>
          </w:p>
        </w:tc>
        <w:tc>
          <w:tcPr>
            <w:tcW w:w="439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tcPr>
          <w:p w14:paraId="32055EBE" w14:textId="77777777" w:rsidR="002A27C7" w:rsidRPr="00806B36" w:rsidRDefault="002A27C7" w:rsidP="00C6526D">
            <w:pPr>
              <w:rPr>
                <w:rFonts w:ascii="Arial Narrow" w:hAnsi="Arial Narrow"/>
                <w:b/>
                <w:bCs/>
                <w:i/>
                <w:iCs/>
                <w:sz w:val="20"/>
                <w:szCs w:val="20"/>
              </w:rPr>
            </w:pPr>
            <w:r w:rsidRPr="00806B36">
              <w:rPr>
                <w:rFonts w:ascii="Arial Narrow" w:hAnsi="Arial Narrow"/>
                <w:b/>
                <w:bCs/>
                <w:i/>
                <w:iCs/>
                <w:sz w:val="20"/>
                <w:szCs w:val="20"/>
              </w:rPr>
              <w:t xml:space="preserve">Administrative Advice: </w:t>
            </w:r>
          </w:p>
          <w:p w14:paraId="131070B3" w14:textId="77777777" w:rsidR="002A27C7" w:rsidRPr="00806B36" w:rsidRDefault="002A27C7" w:rsidP="00C6526D">
            <w:pPr>
              <w:rPr>
                <w:rFonts w:ascii="Arial Narrow" w:hAnsi="Arial Narrow"/>
                <w:strike/>
                <w:sz w:val="20"/>
                <w:szCs w:val="20"/>
              </w:rPr>
            </w:pPr>
            <w:r w:rsidRPr="00806B36">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2A27C7" w:rsidRPr="00806B36" w14:paraId="269519D1" w14:textId="77777777" w:rsidTr="00FE3F9B">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E68551" w14:textId="77777777" w:rsidR="002A27C7" w:rsidRPr="00806B36" w:rsidRDefault="002A27C7" w:rsidP="00C6526D">
            <w:pPr>
              <w:rPr>
                <w:rFonts w:ascii="Arial Narrow" w:hAnsi="Arial Narrow"/>
                <w:b/>
                <w:sz w:val="20"/>
                <w:szCs w:val="20"/>
              </w:rPr>
            </w:pPr>
          </w:p>
        </w:tc>
      </w:tr>
      <w:tr w:rsidR="002A27C7" w:rsidRPr="00806B36" w14:paraId="6B56D12D"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0C32E8"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09B44E"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 xml:space="preserve">Treatment Phase: </w:t>
            </w:r>
            <w:r w:rsidRPr="00806B36">
              <w:rPr>
                <w:rFonts w:ascii="Arial Narrow" w:hAnsi="Arial Narrow"/>
                <w:sz w:val="20"/>
                <w:szCs w:val="20"/>
              </w:rPr>
              <w:t>Continuing treatment</w:t>
            </w:r>
          </w:p>
        </w:tc>
      </w:tr>
      <w:tr w:rsidR="002A27C7" w:rsidRPr="00806B36" w14:paraId="47AFABF4" w14:textId="77777777" w:rsidTr="00DA0BD2">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A39811" w14:textId="1B04474B" w:rsidR="002A27C7" w:rsidRPr="00806B36" w:rsidRDefault="002A27C7" w:rsidP="00C6526D">
            <w:pPr>
              <w:jc w:val="center"/>
              <w:rPr>
                <w:rFonts w:ascii="Arial Narrow" w:hAnsi="Arial Narrow"/>
                <w:strike/>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0DB399"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Clinical criteria:</w:t>
            </w:r>
          </w:p>
        </w:tc>
      </w:tr>
      <w:tr w:rsidR="002A27C7" w:rsidRPr="00806B36" w14:paraId="1D664B22" w14:textId="77777777" w:rsidTr="00DA0BD2">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5115F7" w14:textId="0E2FC88A"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C48670" w14:textId="77777777" w:rsidR="002A27C7" w:rsidRPr="00806B36" w:rsidRDefault="002A27C7" w:rsidP="00C6526D">
            <w:pPr>
              <w:rPr>
                <w:rFonts w:ascii="Arial Narrow" w:hAnsi="Arial Narrow"/>
                <w:b/>
                <w:bCs/>
                <w:sz w:val="20"/>
                <w:szCs w:val="20"/>
              </w:rPr>
            </w:pPr>
            <w:r w:rsidRPr="00806B36">
              <w:rPr>
                <w:rFonts w:ascii="Arial Narrow" w:hAnsi="Arial Narrow"/>
                <w:sz w:val="20"/>
                <w:szCs w:val="20"/>
              </w:rPr>
              <w:t xml:space="preserve">Patient must have previously received PBS-subsidised </w:t>
            </w:r>
            <w:r w:rsidRPr="00806B36">
              <w:rPr>
                <w:rFonts w:ascii="Arial Narrow" w:hAnsi="Arial Narrow"/>
                <w:strike/>
                <w:sz w:val="20"/>
                <w:szCs w:val="20"/>
              </w:rPr>
              <w:t>initial</w:t>
            </w:r>
            <w:r w:rsidRPr="00806B36">
              <w:rPr>
                <w:rFonts w:ascii="Arial Narrow" w:hAnsi="Arial Narrow"/>
                <w:sz w:val="20"/>
                <w:szCs w:val="20"/>
              </w:rPr>
              <w:t xml:space="preserve"> treatment with this drug for this condition</w:t>
            </w:r>
          </w:p>
        </w:tc>
      </w:tr>
      <w:tr w:rsidR="002A27C7" w:rsidRPr="00806B36" w14:paraId="1DE4B7B7"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D2606"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88A9BE"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AND</w:t>
            </w:r>
          </w:p>
        </w:tc>
      </w:tr>
      <w:tr w:rsidR="002A27C7" w:rsidRPr="00806B36" w14:paraId="7BD7DA82"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68AB37"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7D3E9D"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Clinical criteria:</w:t>
            </w:r>
          </w:p>
        </w:tc>
      </w:tr>
      <w:tr w:rsidR="002A27C7" w:rsidRPr="00806B36" w14:paraId="1836EC64" w14:textId="77777777" w:rsidTr="00DA0BD2">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E6A663" w14:textId="5A2D1AC4" w:rsidR="002A27C7" w:rsidRPr="00806B36" w:rsidRDefault="002A27C7" w:rsidP="00C6526D">
            <w:pPr>
              <w:jc w:val="center"/>
              <w:rPr>
                <w:rFonts w:ascii="Arial Narrow" w:hAnsi="Arial Narrow"/>
                <w:i/>
                <w:iCs/>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89F2DE" w14:textId="77777777" w:rsidR="002A27C7" w:rsidRPr="00806B36" w:rsidRDefault="002A27C7" w:rsidP="00C6526D">
            <w:pPr>
              <w:rPr>
                <w:rFonts w:ascii="Arial Narrow" w:hAnsi="Arial Narrow"/>
                <w:b/>
                <w:bCs/>
                <w:sz w:val="20"/>
                <w:szCs w:val="20"/>
              </w:rPr>
            </w:pPr>
            <w:r w:rsidRPr="00806B36">
              <w:rPr>
                <w:rFonts w:ascii="Arial Narrow" w:hAnsi="Arial Narrow"/>
                <w:sz w:val="20"/>
                <w:szCs w:val="20"/>
              </w:rPr>
              <w:t>Patient must have demonstrated /</w:t>
            </w:r>
            <w:r w:rsidRPr="00806B36">
              <w:rPr>
                <w:rFonts w:ascii="Arial Narrow" w:hAnsi="Arial Narrow"/>
                <w:strike/>
                <w:sz w:val="20"/>
                <w:szCs w:val="20"/>
              </w:rPr>
              <w:t>or</w:t>
            </w:r>
            <w:r w:rsidRPr="00806B36">
              <w:rPr>
                <w:rFonts w:ascii="Arial Narrow" w:hAnsi="Arial Narrow"/>
                <w:sz w:val="20"/>
                <w:szCs w:val="20"/>
              </w:rPr>
              <w:t xml:space="preserve"> sustained an adequate response to </w:t>
            </w:r>
            <w:r w:rsidRPr="00806B36">
              <w:rPr>
                <w:rFonts w:ascii="Arial Narrow" w:hAnsi="Arial Narrow"/>
                <w:strike/>
                <w:sz w:val="20"/>
                <w:szCs w:val="20"/>
              </w:rPr>
              <w:t>the most recent PBS-subsidised</w:t>
            </w:r>
            <w:r w:rsidRPr="00806B36">
              <w:rPr>
                <w:rFonts w:ascii="Arial Narrow" w:hAnsi="Arial Narrow"/>
                <w:sz w:val="20"/>
                <w:szCs w:val="20"/>
              </w:rPr>
              <w:t xml:space="preserve"> treatment with this drug </w:t>
            </w:r>
            <w:r w:rsidRPr="00806B36">
              <w:rPr>
                <w:rFonts w:ascii="Arial Narrow" w:hAnsi="Arial Narrow"/>
                <w:strike/>
                <w:sz w:val="20"/>
                <w:szCs w:val="20"/>
              </w:rPr>
              <w:t>for this condition</w:t>
            </w:r>
          </w:p>
        </w:tc>
      </w:tr>
      <w:tr w:rsidR="002A27C7" w:rsidRPr="00806B36" w14:paraId="541F9201"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78595"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6C6305"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AND</w:t>
            </w:r>
          </w:p>
        </w:tc>
      </w:tr>
      <w:tr w:rsidR="002A27C7" w:rsidRPr="00806B36" w14:paraId="79A3F287" w14:textId="77777777" w:rsidTr="00DA0BD2">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310C60" w14:textId="0F68B9BB"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B49AD0"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Treatment criteria:</w:t>
            </w:r>
          </w:p>
        </w:tc>
      </w:tr>
      <w:tr w:rsidR="002A27C7" w:rsidRPr="00806B36" w14:paraId="28B8EEC9" w14:textId="77777777" w:rsidTr="00DA0BD2">
        <w:tc>
          <w:tcPr>
            <w:tcW w:w="6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center"/>
          </w:tcPr>
          <w:p w14:paraId="219C2480" w14:textId="3FA9FD52"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center"/>
            <w:hideMark/>
          </w:tcPr>
          <w:p w14:paraId="7E30F4EC" w14:textId="00EBEEE9" w:rsidR="002A27C7" w:rsidRPr="00806B36" w:rsidRDefault="002A27C7" w:rsidP="00C6526D">
            <w:pPr>
              <w:rPr>
                <w:rFonts w:ascii="Arial Narrow" w:eastAsiaTheme="minorHAnsi" w:hAnsi="Arial Narrow" w:cs="Arial Narrow"/>
                <w:strike/>
                <w:sz w:val="20"/>
                <w:szCs w:val="20"/>
                <w:lang w:eastAsia="en-US"/>
              </w:rPr>
            </w:pPr>
            <w:r w:rsidRPr="00806B36">
              <w:rPr>
                <w:rFonts w:ascii="Arial Narrow" w:hAnsi="Arial Narrow" w:cs="Arial Narrow"/>
                <w:strike/>
                <w:sz w:val="20"/>
                <w:szCs w:val="20"/>
              </w:rPr>
              <w:t>Must be treated by</w:t>
            </w:r>
            <w:r w:rsidR="0003051C" w:rsidRPr="00806B36">
              <w:rPr>
                <w:rFonts w:ascii="Arial Narrow" w:hAnsi="Arial Narrow" w:cs="Arial Narrow"/>
                <w:strike/>
                <w:sz w:val="20"/>
                <w:szCs w:val="20"/>
              </w:rPr>
              <w:t xml:space="preserve"> </w:t>
            </w:r>
            <w:r w:rsidRPr="00806B36">
              <w:rPr>
                <w:rFonts w:ascii="Arial Narrow" w:hAnsi="Arial Narrow" w:cs="Arial Narrow"/>
                <w:strike/>
                <w:sz w:val="20"/>
                <w:szCs w:val="20"/>
              </w:rPr>
              <w:t>a renal physician, nephrologist, allergist or general physician experienced in the management of patients with chronic kidney disease</w:t>
            </w:r>
          </w:p>
          <w:p w14:paraId="542EF6A5" w14:textId="77777777" w:rsidR="002A27C7" w:rsidRPr="00806B36" w:rsidRDefault="002A27C7" w:rsidP="00C6526D">
            <w:pPr>
              <w:rPr>
                <w:rFonts w:ascii="Arial Narrow" w:hAnsi="Arial Narrow" w:cs="Times New Roman"/>
                <w:b/>
                <w:bCs/>
                <w:strike/>
                <w:sz w:val="20"/>
                <w:szCs w:val="20"/>
              </w:rPr>
            </w:pPr>
            <w:r w:rsidRPr="00806B36">
              <w:rPr>
                <w:rFonts w:ascii="Arial Narrow" w:hAnsi="Arial Narrow"/>
                <w:i/>
                <w:iCs/>
                <w:sz w:val="20"/>
                <w:szCs w:val="20"/>
              </w:rPr>
              <w:t>Must be treated by at least one of (i) a renal physician, (ii) nephrologist, (iii) allergist, (iv) medical practitioner in consultation with one of these specialists.</w:t>
            </w:r>
          </w:p>
        </w:tc>
      </w:tr>
      <w:tr w:rsidR="002A27C7" w:rsidRPr="00806B36" w14:paraId="1C778439"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AD5C80"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C27F47"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Administrative advice:</w:t>
            </w:r>
          </w:p>
          <w:p w14:paraId="4299AC65" w14:textId="77777777" w:rsidR="002A27C7" w:rsidRPr="00806B36" w:rsidRDefault="002A27C7" w:rsidP="00C6526D">
            <w:pPr>
              <w:rPr>
                <w:rFonts w:ascii="Arial Narrow" w:eastAsiaTheme="minorHAnsi" w:hAnsi="Arial Narrow" w:cs="Arial Narrow"/>
                <w:sz w:val="20"/>
                <w:szCs w:val="20"/>
                <w:lang w:eastAsia="en-US"/>
              </w:rPr>
            </w:pPr>
            <w:r w:rsidRPr="00806B36">
              <w:rPr>
                <w:rFonts w:ascii="Arial Narrow" w:hAnsi="Arial Narrow"/>
                <w:sz w:val="20"/>
                <w:szCs w:val="20"/>
              </w:rPr>
              <w:t>A</w:t>
            </w:r>
            <w:r w:rsidRPr="00806B36">
              <w:rPr>
                <w:rFonts w:ascii="Arial Narrow" w:hAnsi="Arial Narrow"/>
                <w:strike/>
                <w:sz w:val="20"/>
                <w:szCs w:val="20"/>
              </w:rPr>
              <w:t xml:space="preserve"> patient who fails to respond to treatment with non-PBS-subsidised treatment with this medication for chronic kidney disease associated pruritus will not be eligible to receive PBS-subsidised treatment with this medication for this condition.</w:t>
            </w:r>
          </w:p>
        </w:tc>
      </w:tr>
      <w:tr w:rsidR="002A27C7" w:rsidRPr="00806B36" w14:paraId="0E5FAB4C"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1836E8" w14:textId="77777777" w:rsidR="002A27C7" w:rsidRPr="00806B36" w:rsidRDefault="002A27C7" w:rsidP="00C6526D">
            <w:pPr>
              <w:jc w:val="center"/>
              <w:rPr>
                <w:rFonts w:ascii="Arial Narrow" w:hAnsi="Arial Narrow" w:cs="Times New Roman"/>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FF1E9A" w14:textId="77777777" w:rsidR="002A27C7" w:rsidRPr="00806B36" w:rsidRDefault="002A27C7" w:rsidP="00C6526D">
            <w:pPr>
              <w:rPr>
                <w:rFonts w:ascii="Arial Narrow" w:hAnsi="Arial Narrow"/>
                <w:b/>
                <w:bCs/>
                <w:strike/>
                <w:sz w:val="20"/>
                <w:szCs w:val="20"/>
              </w:rPr>
            </w:pPr>
            <w:r w:rsidRPr="00806B36">
              <w:rPr>
                <w:rFonts w:ascii="Arial Narrow" w:hAnsi="Arial Narrow"/>
                <w:b/>
                <w:bCs/>
                <w:strike/>
                <w:sz w:val="20"/>
                <w:szCs w:val="20"/>
              </w:rPr>
              <w:t>Administrative advice:</w:t>
            </w:r>
          </w:p>
          <w:p w14:paraId="7545B5E3" w14:textId="77777777" w:rsidR="002A27C7" w:rsidRPr="00806B36" w:rsidRDefault="002A27C7" w:rsidP="00C6526D">
            <w:pPr>
              <w:rPr>
                <w:rFonts w:ascii="Arial Narrow" w:eastAsiaTheme="minorHAnsi" w:hAnsi="Arial Narrow" w:cs="Arial Narrow"/>
                <w:sz w:val="20"/>
                <w:szCs w:val="20"/>
                <w:lang w:eastAsia="en-US"/>
              </w:rPr>
            </w:pPr>
            <w:r w:rsidRPr="00806B36">
              <w:rPr>
                <w:rFonts w:ascii="Arial Narrow" w:hAnsi="Arial Narrow"/>
                <w:strike/>
                <w:sz w:val="20"/>
                <w:szCs w:val="20"/>
              </w:rPr>
              <w:t>At the time of the authority application, medical practitioners should request the appropriate quantity and number of repeats to provide for a continuing course of this medicine consisting of the recommended number of doses for the dry body weight of the patient (refer to the TGA-approved Product Information), sufficient for up to 24 weeks of therapy.</w:t>
            </w:r>
          </w:p>
        </w:tc>
      </w:tr>
      <w:tr w:rsidR="002A27C7" w:rsidRPr="00806B36" w14:paraId="45C2D275"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B3065" w14:textId="77777777" w:rsidR="002A27C7" w:rsidRPr="00806B36" w:rsidRDefault="002A27C7" w:rsidP="00C6526D">
            <w:pPr>
              <w:jc w:val="center"/>
              <w:rPr>
                <w:rFonts w:ascii="Arial Narrow" w:hAnsi="Arial Narrow" w:cs="Times New Roman"/>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C457F" w14:textId="77777777" w:rsidR="002A27C7" w:rsidRPr="00806B36" w:rsidRDefault="002A27C7" w:rsidP="00C6526D">
            <w:pPr>
              <w:rPr>
                <w:rFonts w:ascii="Arial Narrow" w:hAnsi="Arial Narrow"/>
                <w:b/>
                <w:bCs/>
                <w:strike/>
                <w:sz w:val="20"/>
                <w:szCs w:val="20"/>
              </w:rPr>
            </w:pPr>
          </w:p>
        </w:tc>
      </w:tr>
      <w:tr w:rsidR="002A27C7" w:rsidRPr="00806B36" w14:paraId="406E609E" w14:textId="77777777" w:rsidTr="00FE3F9B">
        <w:trPr>
          <w:trHeight w:val="453"/>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10AA9E" w14:textId="77777777" w:rsidR="002A27C7" w:rsidRPr="00806B36" w:rsidRDefault="002A27C7" w:rsidP="00C6526D">
            <w:pPr>
              <w:rPr>
                <w:rFonts w:ascii="Arial Narrow" w:hAnsi="Arial Narrow"/>
                <w:b/>
                <w:bCs/>
                <w:strike/>
                <w:sz w:val="20"/>
                <w:szCs w:val="20"/>
              </w:rPr>
            </w:pPr>
          </w:p>
        </w:tc>
      </w:tr>
      <w:tr w:rsidR="002A27C7" w:rsidRPr="00806B36" w14:paraId="13D224A9" w14:textId="77777777" w:rsidTr="00FE3F9B">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D527B" w14:textId="77777777" w:rsidR="002A27C7" w:rsidRPr="00806B36" w:rsidRDefault="002A27C7" w:rsidP="00C6526D">
            <w:pPr>
              <w:rPr>
                <w:rFonts w:ascii="Arial Narrow" w:hAnsi="Arial Narrow"/>
                <w:b/>
                <w:bCs/>
                <w:strike/>
                <w:sz w:val="20"/>
                <w:szCs w:val="20"/>
              </w:rPr>
            </w:pPr>
            <w:r w:rsidRPr="00806B36">
              <w:rPr>
                <w:rFonts w:ascii="Arial Narrow" w:hAnsi="Arial Narrow"/>
                <w:b/>
                <w:sz w:val="20"/>
                <w:szCs w:val="20"/>
              </w:rPr>
              <w:t>Restriction Summary [new 5] / Treatment of Concept: [new 6]</w:t>
            </w:r>
          </w:p>
        </w:tc>
      </w:tr>
      <w:tr w:rsidR="002A27C7" w:rsidRPr="00806B36" w14:paraId="0256195E"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D5110D"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FC1FA0" w14:textId="77777777" w:rsidR="002A27C7" w:rsidRPr="00806B36" w:rsidRDefault="002A27C7" w:rsidP="00C6526D">
            <w:pPr>
              <w:rPr>
                <w:rFonts w:ascii="Arial Narrow" w:hAnsi="Arial Narrow"/>
                <w:b/>
                <w:bCs/>
                <w:strike/>
                <w:sz w:val="20"/>
                <w:szCs w:val="20"/>
              </w:rPr>
            </w:pPr>
            <w:r w:rsidRPr="00806B36">
              <w:rPr>
                <w:rFonts w:ascii="Arial Narrow" w:hAnsi="Arial Narrow"/>
                <w:b/>
                <w:bCs/>
                <w:sz w:val="20"/>
                <w:szCs w:val="20"/>
              </w:rPr>
              <w:t xml:space="preserve">Treatment Phase: </w:t>
            </w:r>
            <w:r w:rsidRPr="00806B36">
              <w:rPr>
                <w:rFonts w:ascii="Arial Narrow" w:hAnsi="Arial Narrow"/>
                <w:sz w:val="20"/>
                <w:szCs w:val="20"/>
              </w:rPr>
              <w:t>Transitioning from non-PBS to PBS-subsidised treatment - Grandfather treatment</w:t>
            </w:r>
          </w:p>
        </w:tc>
      </w:tr>
      <w:tr w:rsidR="002A27C7" w:rsidRPr="00806B36" w14:paraId="0EEBC3EB"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7CF44"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772C4F" w14:textId="77777777" w:rsidR="002A27C7" w:rsidRPr="00806B36" w:rsidRDefault="002A27C7" w:rsidP="00C6526D">
            <w:pPr>
              <w:rPr>
                <w:rFonts w:ascii="Arial Narrow" w:hAnsi="Arial Narrow"/>
                <w:b/>
                <w:bCs/>
                <w:strike/>
                <w:sz w:val="20"/>
                <w:szCs w:val="20"/>
              </w:rPr>
            </w:pPr>
            <w:r w:rsidRPr="00806B36">
              <w:rPr>
                <w:rFonts w:ascii="Arial Narrow" w:hAnsi="Arial Narrow"/>
                <w:b/>
                <w:bCs/>
                <w:sz w:val="20"/>
                <w:szCs w:val="20"/>
              </w:rPr>
              <w:t>Clinical criteria:</w:t>
            </w:r>
          </w:p>
        </w:tc>
      </w:tr>
      <w:tr w:rsidR="002A27C7" w:rsidRPr="00806B36" w14:paraId="60999373"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C7D389"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0AD4FB" w14:textId="77777777" w:rsidR="002A27C7" w:rsidRPr="00806B36" w:rsidRDefault="002A27C7" w:rsidP="00C6526D">
            <w:pPr>
              <w:rPr>
                <w:rFonts w:ascii="Arial Narrow" w:hAnsi="Arial Narrow"/>
                <w:b/>
                <w:bCs/>
                <w:sz w:val="20"/>
                <w:szCs w:val="20"/>
              </w:rPr>
            </w:pPr>
            <w:r w:rsidRPr="00806B36">
              <w:rPr>
                <w:rFonts w:ascii="Arial Narrow" w:hAnsi="Arial Narrow"/>
                <w:sz w:val="20"/>
                <w:szCs w:val="20"/>
              </w:rPr>
              <w:t xml:space="preserve">Patient must have </w:t>
            </w:r>
            <w:r w:rsidRPr="00806B36">
              <w:rPr>
                <w:rFonts w:ascii="Arial Narrow" w:hAnsi="Arial Narrow"/>
                <w:strike/>
                <w:sz w:val="20"/>
                <w:szCs w:val="20"/>
              </w:rPr>
              <w:t>previously</w:t>
            </w:r>
            <w:r w:rsidRPr="00806B36">
              <w:rPr>
                <w:rFonts w:ascii="Arial Narrow" w:hAnsi="Arial Narrow"/>
                <w:i/>
                <w:iCs/>
                <w:sz w:val="20"/>
                <w:szCs w:val="20"/>
              </w:rPr>
              <w:t xml:space="preserve"> been </w:t>
            </w:r>
            <w:r w:rsidRPr="00806B36">
              <w:rPr>
                <w:rFonts w:ascii="Arial Narrow" w:hAnsi="Arial Narrow"/>
                <w:sz w:val="20"/>
                <w:szCs w:val="20"/>
              </w:rPr>
              <w:t>receivi</w:t>
            </w:r>
            <w:r w:rsidRPr="00806B36">
              <w:rPr>
                <w:rFonts w:ascii="Arial Narrow" w:hAnsi="Arial Narrow"/>
                <w:i/>
                <w:iCs/>
                <w:sz w:val="20"/>
                <w:szCs w:val="20"/>
              </w:rPr>
              <w:t xml:space="preserve">ng </w:t>
            </w:r>
            <w:r w:rsidRPr="00806B36">
              <w:rPr>
                <w:rFonts w:ascii="Arial Narrow" w:hAnsi="Arial Narrow"/>
                <w:sz w:val="20"/>
                <w:szCs w:val="20"/>
              </w:rPr>
              <w:t xml:space="preserve"> non-PBS-subsidised treatment with drug for this condition prior to [PBS listing date]</w:t>
            </w:r>
          </w:p>
        </w:tc>
      </w:tr>
      <w:tr w:rsidR="002A27C7" w:rsidRPr="00806B36" w14:paraId="026974E6"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BA7CB0"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4E6AF1"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409C0564"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B64AC3"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5EDEF4"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Clinical criteria:</w:t>
            </w:r>
          </w:p>
        </w:tc>
      </w:tr>
      <w:tr w:rsidR="002A27C7" w:rsidRPr="00806B36" w14:paraId="775C47FD"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87A37F"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9814A1" w14:textId="77777777" w:rsidR="002A27C7" w:rsidRPr="00806B36" w:rsidRDefault="002A27C7" w:rsidP="00C6526D">
            <w:pPr>
              <w:rPr>
                <w:rFonts w:ascii="Arial Narrow" w:hAnsi="Arial Narrow"/>
                <w:b/>
                <w:bCs/>
                <w:strike/>
                <w:sz w:val="20"/>
                <w:szCs w:val="20"/>
              </w:rPr>
            </w:pPr>
            <w:r w:rsidRPr="00806B36">
              <w:rPr>
                <w:rFonts w:ascii="Arial Narrow" w:hAnsi="Arial Narrow"/>
                <w:strike/>
                <w:sz w:val="20"/>
                <w:szCs w:val="20"/>
              </w:rPr>
              <w:t>Patient must be receiving non-PBS treatment with this drug for this condition at the time of application</w:t>
            </w:r>
          </w:p>
        </w:tc>
      </w:tr>
      <w:tr w:rsidR="002A27C7" w:rsidRPr="00806B36" w14:paraId="55099C48"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2BD82"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6CDCCC" w14:textId="77777777" w:rsidR="002A27C7" w:rsidRPr="00806B36" w:rsidRDefault="002A27C7" w:rsidP="00C6526D">
            <w:pPr>
              <w:rPr>
                <w:rFonts w:ascii="Arial Narrow" w:eastAsiaTheme="minorHAnsi" w:hAnsi="Arial Narrow"/>
                <w:i/>
                <w:iCs/>
                <w:sz w:val="20"/>
                <w:szCs w:val="20"/>
                <w:lang w:eastAsia="en-US"/>
              </w:rPr>
            </w:pPr>
            <w:r w:rsidRPr="00806B36">
              <w:rPr>
                <w:rFonts w:ascii="Arial Narrow" w:hAnsi="Arial Narrow"/>
                <w:i/>
                <w:iCs/>
                <w:sz w:val="20"/>
                <w:szCs w:val="20"/>
              </w:rPr>
              <w:t>Patient must have met all other PBS eligibility criteria that a non- ‘Grandfather’ patient would ordinarily be required to meet, meaning that at the time non-PBS subsidised supply was commenced, the patient:</w:t>
            </w:r>
          </w:p>
          <w:p w14:paraId="345F5D45" w14:textId="77777777" w:rsidR="002A27C7" w:rsidRPr="00806B36" w:rsidRDefault="002A27C7" w:rsidP="00C6526D">
            <w:pPr>
              <w:rPr>
                <w:rFonts w:ascii="Arial Narrow" w:hAnsi="Arial Narrow"/>
                <w:i/>
                <w:iCs/>
                <w:sz w:val="20"/>
                <w:szCs w:val="20"/>
              </w:rPr>
            </w:pPr>
            <w:r w:rsidRPr="00806B36">
              <w:rPr>
                <w:rFonts w:ascii="Arial Narrow" w:hAnsi="Arial Narrow"/>
                <w:i/>
                <w:iCs/>
                <w:sz w:val="20"/>
                <w:szCs w:val="20"/>
              </w:rPr>
              <w:t xml:space="preserve">(i) was on optimised </w:t>
            </w:r>
            <w:r w:rsidRPr="00806B36">
              <w:rPr>
                <w:rFonts w:ascii="Arial Narrow" w:hAnsi="Arial Narrow"/>
                <w:b/>
                <w:bCs/>
                <w:i/>
                <w:iCs/>
                <w:strike/>
                <w:sz w:val="20"/>
                <w:szCs w:val="20"/>
              </w:rPr>
              <w:t>in-centre</w:t>
            </w:r>
            <w:r w:rsidRPr="00806B36">
              <w:rPr>
                <w:rFonts w:ascii="Arial Narrow" w:hAnsi="Arial Narrow"/>
                <w:i/>
                <w:iCs/>
                <w:sz w:val="20"/>
                <w:szCs w:val="20"/>
              </w:rPr>
              <w:t xml:space="preserve"> haemodialysis,</w:t>
            </w:r>
          </w:p>
          <w:p w14:paraId="4989EDC4" w14:textId="77777777" w:rsidR="002A27C7" w:rsidRPr="00806B36" w:rsidRDefault="002A27C7" w:rsidP="00C6526D">
            <w:pPr>
              <w:rPr>
                <w:rFonts w:ascii="Arial Narrow" w:hAnsi="Arial Narrow"/>
                <w:i/>
                <w:iCs/>
                <w:sz w:val="20"/>
                <w:szCs w:val="20"/>
              </w:rPr>
            </w:pPr>
            <w:r w:rsidRPr="00806B36">
              <w:rPr>
                <w:rFonts w:ascii="Arial Narrow" w:hAnsi="Arial Narrow"/>
                <w:i/>
                <w:iCs/>
                <w:sz w:val="20"/>
                <w:szCs w:val="20"/>
              </w:rPr>
              <w:t xml:space="preserve">(ii) was </w:t>
            </w:r>
            <w:r w:rsidRPr="00806B36">
              <w:rPr>
                <w:rFonts w:ascii="Arial Narrow" w:hAnsi="Arial Narrow"/>
                <w:b/>
                <w:bCs/>
                <w:i/>
                <w:iCs/>
                <w:strike/>
                <w:sz w:val="20"/>
                <w:szCs w:val="20"/>
              </w:rPr>
              <w:t xml:space="preserve">stable </w:t>
            </w:r>
            <w:r w:rsidRPr="00806B36">
              <w:rPr>
                <w:rFonts w:ascii="Arial Narrow" w:hAnsi="Arial Narrow"/>
                <w:i/>
                <w:iCs/>
                <w:sz w:val="20"/>
                <w:szCs w:val="20"/>
              </w:rPr>
              <w:t>on haemodialysis at least 3 times per week for at least 3 months</w:t>
            </w:r>
          </w:p>
          <w:p w14:paraId="4B735FE7" w14:textId="77777777" w:rsidR="002A27C7" w:rsidRPr="00806B36" w:rsidRDefault="002A27C7" w:rsidP="00C6526D">
            <w:pPr>
              <w:rPr>
                <w:rFonts w:ascii="Arial Narrow" w:hAnsi="Arial Narrow"/>
                <w:i/>
                <w:iCs/>
                <w:sz w:val="20"/>
                <w:szCs w:val="20"/>
              </w:rPr>
            </w:pPr>
            <w:r w:rsidRPr="00806B36">
              <w:rPr>
                <w:rFonts w:ascii="Arial Narrow" w:hAnsi="Arial Narrow"/>
                <w:i/>
                <w:iCs/>
                <w:sz w:val="20"/>
                <w:szCs w:val="20"/>
              </w:rPr>
              <w:t>(iii) had a condition confirmed based on both physical examination and patient history</w:t>
            </w:r>
          </w:p>
          <w:p w14:paraId="243309BF" w14:textId="77777777" w:rsidR="002A27C7" w:rsidRPr="00806B36" w:rsidRDefault="002A27C7" w:rsidP="00C6526D">
            <w:pPr>
              <w:rPr>
                <w:rFonts w:ascii="Arial Narrow" w:eastAsiaTheme="minorHAnsi" w:hAnsi="Arial Narrow"/>
                <w:sz w:val="20"/>
                <w:szCs w:val="20"/>
                <w:lang w:eastAsia="en-US"/>
              </w:rPr>
            </w:pPr>
            <w:r w:rsidRPr="00806B36">
              <w:rPr>
                <w:rFonts w:ascii="Arial Narrow" w:hAnsi="Arial Narrow"/>
                <w:i/>
                <w:iCs/>
                <w:sz w:val="20"/>
                <w:szCs w:val="20"/>
              </w:rPr>
              <w:t>(iv) had experienced itch that persists for at least 6 weeks despite best supportive care.</w:t>
            </w:r>
          </w:p>
        </w:tc>
      </w:tr>
      <w:tr w:rsidR="002A27C7" w:rsidRPr="00806B36" w14:paraId="47BF56E1"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BD6353"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9859F1"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24BFB5F1"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4D7E6"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8B4416"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Clinical criteria:</w:t>
            </w:r>
          </w:p>
        </w:tc>
      </w:tr>
      <w:tr w:rsidR="002A27C7" w:rsidRPr="00806B36" w14:paraId="4ADFD3A3"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B3AFFF"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73B47C" w14:textId="77777777" w:rsidR="002A27C7" w:rsidRPr="00806B36" w:rsidRDefault="002A27C7" w:rsidP="00C6526D">
            <w:pPr>
              <w:rPr>
                <w:rFonts w:ascii="Arial Narrow" w:hAnsi="Arial Narrow"/>
                <w:b/>
                <w:bCs/>
                <w:sz w:val="20"/>
                <w:szCs w:val="20"/>
              </w:rPr>
            </w:pPr>
            <w:r w:rsidRPr="00806B36">
              <w:rPr>
                <w:rFonts w:ascii="Arial Narrow" w:hAnsi="Arial Narrow"/>
                <w:sz w:val="20"/>
                <w:szCs w:val="20"/>
              </w:rPr>
              <w:t>Patient must have demonstrated /</w:t>
            </w:r>
            <w:r w:rsidRPr="00806B36">
              <w:rPr>
                <w:rFonts w:ascii="Arial Narrow" w:hAnsi="Arial Narrow"/>
                <w:strike/>
                <w:sz w:val="20"/>
                <w:szCs w:val="20"/>
              </w:rPr>
              <w:t>or</w:t>
            </w:r>
            <w:r w:rsidRPr="00806B36">
              <w:rPr>
                <w:rFonts w:ascii="Arial Narrow" w:hAnsi="Arial Narrow"/>
                <w:sz w:val="20"/>
                <w:szCs w:val="20"/>
              </w:rPr>
              <w:t xml:space="preserve"> sustained an adequate response to the most recent non-subsidised treatment with this drug for this condition</w:t>
            </w:r>
          </w:p>
        </w:tc>
      </w:tr>
      <w:tr w:rsidR="002A27C7" w:rsidRPr="00806B36" w14:paraId="3F61D410"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C6DED9"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5FDB02" w14:textId="77777777" w:rsidR="002A27C7" w:rsidRPr="00806B36" w:rsidRDefault="002A27C7" w:rsidP="00C6526D">
            <w:pPr>
              <w:rPr>
                <w:rFonts w:ascii="Arial Narrow" w:hAnsi="Arial Narrow"/>
                <w:sz w:val="20"/>
                <w:szCs w:val="20"/>
              </w:rPr>
            </w:pPr>
            <w:r w:rsidRPr="00806B36">
              <w:rPr>
                <w:rFonts w:ascii="Arial Narrow" w:hAnsi="Arial Narrow"/>
                <w:b/>
                <w:bCs/>
                <w:sz w:val="20"/>
                <w:szCs w:val="20"/>
              </w:rPr>
              <w:t>AND</w:t>
            </w:r>
          </w:p>
        </w:tc>
      </w:tr>
      <w:tr w:rsidR="002A27C7" w:rsidRPr="00806B36" w14:paraId="765265BD" w14:textId="77777777" w:rsidTr="00DA0BD2">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138DD" w14:textId="57EFAC66"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BF41F6"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Treatment criteria:</w:t>
            </w:r>
          </w:p>
        </w:tc>
      </w:tr>
      <w:tr w:rsidR="002A27C7" w:rsidRPr="00806B36" w14:paraId="3BE9FE2E" w14:textId="77777777" w:rsidTr="00DA0BD2">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15E8AA" w14:textId="20B5A2F1"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B95E7" w14:textId="77777777" w:rsidR="002A27C7" w:rsidRPr="00806B36" w:rsidRDefault="002A27C7" w:rsidP="00C6526D">
            <w:pPr>
              <w:rPr>
                <w:rFonts w:ascii="Arial Narrow" w:eastAsiaTheme="minorHAnsi" w:hAnsi="Arial Narrow" w:cs="Arial Narrow"/>
                <w:strike/>
                <w:sz w:val="20"/>
                <w:szCs w:val="20"/>
                <w:lang w:eastAsia="en-US"/>
              </w:rPr>
            </w:pPr>
            <w:r w:rsidRPr="00806B36">
              <w:rPr>
                <w:rFonts w:ascii="Arial Narrow" w:hAnsi="Arial Narrow" w:cs="Arial Narrow"/>
                <w:strike/>
                <w:sz w:val="20"/>
                <w:szCs w:val="20"/>
              </w:rPr>
              <w:t>Must be treated by, or in consultation with, a renal physician, nephrologist, allergist or general physician experienced in the management of patients with chronic kidney disease</w:t>
            </w:r>
          </w:p>
          <w:p w14:paraId="5F029815" w14:textId="77777777" w:rsidR="002A27C7" w:rsidRPr="00806B36" w:rsidRDefault="002A27C7" w:rsidP="00C6526D">
            <w:pPr>
              <w:autoSpaceDE w:val="0"/>
              <w:autoSpaceDN w:val="0"/>
              <w:adjustRightInd w:val="0"/>
              <w:rPr>
                <w:rFonts w:ascii="Arial Narrow" w:hAnsi="Arial Narrow" w:cs="Arial Narrow"/>
                <w:i/>
                <w:iCs/>
                <w:sz w:val="20"/>
                <w:szCs w:val="20"/>
              </w:rPr>
            </w:pPr>
            <w:r w:rsidRPr="00806B36">
              <w:rPr>
                <w:rFonts w:ascii="Arial Narrow" w:hAnsi="Arial Narrow" w:cs="Arial Narrow"/>
                <w:i/>
                <w:iCs/>
                <w:sz w:val="20"/>
                <w:szCs w:val="20"/>
              </w:rPr>
              <w:t>Must be treated by, or in consultation with</w:t>
            </w:r>
            <w:r w:rsidRPr="00806B36">
              <w:rPr>
                <w:rFonts w:ascii="Arial Narrow" w:hAnsi="Arial Narrow" w:cs="Arial Narrow"/>
                <w:i/>
                <w:iCs/>
                <w:strike/>
                <w:sz w:val="20"/>
                <w:szCs w:val="20"/>
              </w:rPr>
              <w:t>,</w:t>
            </w:r>
            <w:r w:rsidRPr="00806B36">
              <w:rPr>
                <w:rFonts w:ascii="Arial Narrow" w:hAnsi="Arial Narrow" w:cs="Arial Narrow"/>
                <w:i/>
                <w:iCs/>
                <w:sz w:val="20"/>
                <w:szCs w:val="20"/>
              </w:rPr>
              <w:t xml:space="preserve"> any of the following specialists:</w:t>
            </w:r>
          </w:p>
          <w:p w14:paraId="01913D51" w14:textId="77777777" w:rsidR="002A27C7" w:rsidRPr="00806B36" w:rsidRDefault="002A27C7" w:rsidP="00C6526D">
            <w:pPr>
              <w:rPr>
                <w:rFonts w:ascii="Arial Narrow" w:hAnsi="Arial Narrow" w:cs="Times New Roman"/>
                <w:b/>
                <w:bCs/>
                <w:strike/>
                <w:sz w:val="20"/>
                <w:szCs w:val="20"/>
              </w:rPr>
            </w:pPr>
            <w:r w:rsidRPr="00806B36">
              <w:rPr>
                <w:rFonts w:ascii="Arial Narrow" w:hAnsi="Arial Narrow" w:cs="Arial Narrow"/>
                <w:i/>
                <w:iCs/>
                <w:sz w:val="20"/>
                <w:szCs w:val="20"/>
              </w:rPr>
              <w:t>renal physician, nephrologist, allergist, or general physician experienced in the management of patients with chronic kidney disease</w:t>
            </w:r>
          </w:p>
        </w:tc>
      </w:tr>
      <w:tr w:rsidR="002A27C7" w:rsidRPr="00806B36" w14:paraId="18561B13"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C8F591"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818C3A" w14:textId="77777777" w:rsidR="002A27C7" w:rsidRPr="00806B36" w:rsidRDefault="002A27C7" w:rsidP="00C6526D">
            <w:pPr>
              <w:rPr>
                <w:rFonts w:ascii="Arial Narrow" w:hAnsi="Arial Narrow"/>
                <w:b/>
                <w:bCs/>
                <w:strike/>
                <w:sz w:val="20"/>
                <w:szCs w:val="20"/>
              </w:rPr>
            </w:pPr>
            <w:r w:rsidRPr="00806B36">
              <w:rPr>
                <w:rFonts w:ascii="Arial Narrow" w:hAnsi="Arial Narrow"/>
                <w:b/>
                <w:bCs/>
                <w:strike/>
                <w:sz w:val="20"/>
                <w:szCs w:val="20"/>
              </w:rPr>
              <w:t>Administrative advice:</w:t>
            </w:r>
          </w:p>
          <w:p w14:paraId="46ED4AA9" w14:textId="77777777" w:rsidR="002A27C7" w:rsidRPr="00806B36" w:rsidRDefault="002A27C7" w:rsidP="00C6526D">
            <w:pPr>
              <w:rPr>
                <w:rFonts w:ascii="Arial Narrow" w:eastAsiaTheme="minorHAnsi" w:hAnsi="Arial Narrow" w:cs="Arial Narrow"/>
                <w:sz w:val="20"/>
                <w:szCs w:val="20"/>
                <w:lang w:eastAsia="en-US"/>
              </w:rPr>
            </w:pPr>
            <w:r w:rsidRPr="00806B36">
              <w:rPr>
                <w:rFonts w:ascii="Arial Narrow" w:hAnsi="Arial Narrow"/>
                <w:strike/>
                <w:sz w:val="20"/>
                <w:szCs w:val="20"/>
              </w:rPr>
              <w:t>A patient who fails to respond to treatment with non-PBS-subsidised treatment with this medication for chronic kidney disease associated pruritus will not be eligible to receive PBS-subsidised treatment with this medication for this condition</w:t>
            </w:r>
            <w:r w:rsidRPr="00806B36">
              <w:rPr>
                <w:rFonts w:ascii="Arial Narrow" w:hAnsi="Arial Narrow"/>
                <w:sz w:val="20"/>
                <w:szCs w:val="20"/>
              </w:rPr>
              <w:t>.</w:t>
            </w:r>
          </w:p>
        </w:tc>
      </w:tr>
      <w:tr w:rsidR="002A27C7" w:rsidRPr="00806B36" w14:paraId="5B7CCEFB"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596E09" w14:textId="77777777" w:rsidR="002A27C7" w:rsidRPr="00806B36" w:rsidRDefault="002A27C7" w:rsidP="00C6526D">
            <w:pPr>
              <w:jc w:val="center"/>
              <w:rPr>
                <w:rFonts w:ascii="Arial Narrow" w:hAnsi="Arial Narrow" w:cs="Times New Roman"/>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DF29B6" w14:textId="77777777" w:rsidR="002A27C7" w:rsidRPr="00806B36" w:rsidRDefault="002A27C7" w:rsidP="00C6526D">
            <w:pPr>
              <w:rPr>
                <w:rFonts w:ascii="Arial Narrow" w:hAnsi="Arial Narrow"/>
                <w:b/>
                <w:bCs/>
                <w:strike/>
                <w:sz w:val="20"/>
                <w:szCs w:val="20"/>
              </w:rPr>
            </w:pPr>
            <w:r w:rsidRPr="00806B36">
              <w:rPr>
                <w:rFonts w:ascii="Arial Narrow" w:hAnsi="Arial Narrow"/>
                <w:b/>
                <w:bCs/>
                <w:strike/>
                <w:sz w:val="20"/>
                <w:szCs w:val="20"/>
              </w:rPr>
              <w:t>Administrative advice:</w:t>
            </w:r>
          </w:p>
          <w:p w14:paraId="734FE7CE" w14:textId="77777777" w:rsidR="002A27C7" w:rsidRPr="00806B36" w:rsidRDefault="002A27C7" w:rsidP="00C6526D">
            <w:pPr>
              <w:rPr>
                <w:rFonts w:ascii="Arial Narrow" w:hAnsi="Arial Narrow"/>
                <w:b/>
                <w:bCs/>
                <w:sz w:val="20"/>
                <w:szCs w:val="20"/>
              </w:rPr>
            </w:pPr>
            <w:r w:rsidRPr="00806B36">
              <w:rPr>
                <w:rFonts w:ascii="Arial Narrow" w:hAnsi="Arial Narrow"/>
                <w:strike/>
                <w:sz w:val="20"/>
                <w:szCs w:val="20"/>
              </w:rPr>
              <w:t>At the time of the authority application, medical practitioners should request the appropriate quantity and number of repeats to provide for a continuing course of this medicine consisting of the recommended number of doses for the dry body weight of the patient (refer to the TGA-approved Product Information), sufficient for up to 24 weeks of therapy.</w:t>
            </w:r>
          </w:p>
        </w:tc>
      </w:tr>
      <w:tr w:rsidR="002A27C7" w:rsidRPr="00806B36" w14:paraId="75831D6A"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1D6AD8"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98BD62"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Administrative advice:</w:t>
            </w:r>
          </w:p>
          <w:p w14:paraId="63A61511" w14:textId="77777777" w:rsidR="002A27C7" w:rsidRPr="00806B36" w:rsidRDefault="002A27C7" w:rsidP="00C6526D">
            <w:pPr>
              <w:rPr>
                <w:rFonts w:ascii="Arial Narrow" w:hAnsi="Arial Narrow"/>
                <w:b/>
                <w:bCs/>
                <w:strike/>
                <w:sz w:val="20"/>
                <w:szCs w:val="20"/>
              </w:rPr>
            </w:pPr>
            <w:r w:rsidRPr="00806B36">
              <w:rPr>
                <w:rFonts w:ascii="Arial Narrow" w:hAnsi="Arial Narrow"/>
                <w:sz w:val="20"/>
                <w:szCs w:val="20"/>
              </w:rPr>
              <w:t>A Grandfathered patient may qualify for PBS-subsidised treatment under this restriction once only. For continuing PBS-subsidised treatment, a Grandfathered patient must qualify under the subsequent continuing treatment criteria.</w:t>
            </w:r>
          </w:p>
        </w:tc>
      </w:tr>
      <w:tr w:rsidR="002A27C7" w:rsidRPr="00806B36" w14:paraId="36C19A2F" w14:textId="77777777" w:rsidTr="00FE3F9B">
        <w:tc>
          <w:tcPr>
            <w:tcW w:w="6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0C6F75" w14:textId="77777777" w:rsidR="002A27C7" w:rsidRPr="00806B36" w:rsidRDefault="002A27C7" w:rsidP="00C6526D">
            <w:pPr>
              <w:jc w:val="center"/>
              <w:rPr>
                <w:rFonts w:ascii="Arial Narrow" w:hAnsi="Arial Narrow"/>
                <w:sz w:val="20"/>
                <w:szCs w:val="20"/>
              </w:rPr>
            </w:pPr>
          </w:p>
        </w:tc>
        <w:tc>
          <w:tcPr>
            <w:tcW w:w="4392"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1CB065" w14:textId="77777777" w:rsidR="002A27C7" w:rsidRPr="00806B36" w:rsidRDefault="002A27C7" w:rsidP="00C6526D">
            <w:pPr>
              <w:rPr>
                <w:rFonts w:ascii="Arial Narrow" w:hAnsi="Arial Narrow"/>
                <w:b/>
                <w:bCs/>
                <w:sz w:val="20"/>
                <w:szCs w:val="20"/>
              </w:rPr>
            </w:pPr>
            <w:r w:rsidRPr="00806B36">
              <w:rPr>
                <w:rFonts w:ascii="Arial Narrow" w:hAnsi="Arial Narrow"/>
                <w:b/>
                <w:bCs/>
                <w:sz w:val="20"/>
                <w:szCs w:val="20"/>
              </w:rPr>
              <w:t>Administrative advice:</w:t>
            </w:r>
          </w:p>
          <w:p w14:paraId="51A80B2D" w14:textId="77777777" w:rsidR="002A27C7" w:rsidRPr="00806B36" w:rsidRDefault="002A27C7" w:rsidP="00C6526D">
            <w:pPr>
              <w:rPr>
                <w:rFonts w:ascii="Arial Narrow" w:hAnsi="Arial Narrow"/>
                <w:b/>
                <w:bCs/>
                <w:sz w:val="20"/>
                <w:szCs w:val="20"/>
              </w:rPr>
            </w:pPr>
            <w:r w:rsidRPr="00806B36">
              <w:rPr>
                <w:rFonts w:ascii="Arial Narrow" w:hAnsi="Arial Narrow"/>
                <w:sz w:val="20"/>
                <w:szCs w:val="20"/>
              </w:rPr>
              <w:t>This grandfather restriction will cease to operate from 12 months after the date specified in the clinical criteria</w:t>
            </w:r>
            <w:r w:rsidRPr="00806B36">
              <w:rPr>
                <w:rFonts w:ascii="Arial Narrow" w:hAnsi="Arial Narrow"/>
                <w:b/>
                <w:bCs/>
                <w:sz w:val="20"/>
                <w:szCs w:val="20"/>
              </w:rPr>
              <w:t>.</w:t>
            </w:r>
          </w:p>
        </w:tc>
      </w:tr>
    </w:tbl>
    <w:p w14:paraId="63959667" w14:textId="77777777" w:rsidR="00BC062E" w:rsidRPr="00806B36" w:rsidRDefault="00BC062E" w:rsidP="003B7199">
      <w:pPr>
        <w:pStyle w:val="COMexecsumnumberedpara"/>
        <w:numPr>
          <w:ilvl w:val="0"/>
          <w:numId w:val="0"/>
        </w:numPr>
        <w:spacing w:after="0"/>
      </w:pPr>
    </w:p>
    <w:p w14:paraId="4618CCA8" w14:textId="78FBFAC7" w:rsidR="007565A8" w:rsidRPr="00806B36" w:rsidRDefault="007565A8" w:rsidP="00785B99">
      <w:pPr>
        <w:pStyle w:val="COMexecsumnumberedpara"/>
      </w:pPr>
      <w:bookmarkStart w:id="9" w:name="_Ref131591252"/>
      <w:r w:rsidRPr="00806B36">
        <w:t>The sponsor proposed a special pricing arrangement for both initial and continuing scripts, with a DPMQ effective price of $</w:t>
      </w:r>
      <w:r w:rsidR="008537BB" w:rsidRPr="003B7199">
        <w:rPr>
          <w:color w:val="000000"/>
          <w:w w:val="21"/>
          <w:shd w:val="solid" w:color="000000" w:fill="000000"/>
          <w:fitText w:val="71" w:id="-1236598014"/>
          <w14:textFill>
            <w14:solidFill>
              <w14:srgbClr w14:val="000000">
                <w14:alpha w14:val="100000"/>
              </w14:srgbClr>
            </w14:solidFill>
          </w14:textFill>
        </w:rPr>
        <w:t xml:space="preserve">|  </w:t>
      </w:r>
      <w:r w:rsidR="008537BB" w:rsidRPr="003B7199">
        <w:rPr>
          <w:color w:val="000000"/>
          <w:spacing w:val="1"/>
          <w:w w:val="21"/>
          <w:shd w:val="solid" w:color="000000" w:fill="000000"/>
          <w:fitText w:val="71" w:id="-1236598014"/>
          <w14:textFill>
            <w14:solidFill>
              <w14:srgbClr w14:val="000000">
                <w14:alpha w14:val="100000"/>
              </w14:srgbClr>
            </w14:solidFill>
          </w14:textFill>
        </w:rPr>
        <w:t>|</w:t>
      </w:r>
      <w:r w:rsidRPr="00806B36">
        <w:t xml:space="preserve"> for 12 vials of difelikefalin and a published price of $</w:t>
      </w:r>
      <w:r w:rsidRPr="00AE7B50">
        <w:t>616.77</w:t>
      </w:r>
      <w:r w:rsidRPr="00806B36">
        <w:t>. The proposed effective and published prices appear to include fees and mark-ups associated with private hospital and community scripts only. For public hospitals, prices would be based on an effective AEMP of $</w:t>
      </w:r>
      <w:r w:rsidR="008537BB" w:rsidRPr="003B7199">
        <w:rPr>
          <w:color w:val="000000"/>
          <w:w w:val="21"/>
          <w:shd w:val="solid" w:color="000000" w:fill="000000"/>
          <w:fitText w:val="72" w:id="-1236598013"/>
          <w14:textFill>
            <w14:solidFill>
              <w14:srgbClr w14:val="000000">
                <w14:alpha w14:val="100000"/>
              </w14:srgbClr>
            </w14:solidFill>
          </w14:textFill>
        </w:rPr>
        <w:t xml:space="preserve">|  </w:t>
      </w:r>
      <w:r w:rsidR="008537BB" w:rsidRPr="003B7199">
        <w:rPr>
          <w:color w:val="000000"/>
          <w:spacing w:val="2"/>
          <w:w w:val="21"/>
          <w:shd w:val="solid" w:color="000000" w:fill="000000"/>
          <w:fitText w:val="72" w:id="-1236598013"/>
          <w14:textFill>
            <w14:solidFill>
              <w14:srgbClr w14:val="000000">
                <w14:alpha w14:val="100000"/>
              </w14:srgbClr>
            </w14:solidFill>
          </w14:textFill>
        </w:rPr>
        <w:t>|</w:t>
      </w:r>
      <w:r w:rsidRPr="00806B36">
        <w:t xml:space="preserve"> </w:t>
      </w:r>
      <w:r w:rsidR="00FE3F9B" w:rsidRPr="00806B36">
        <w:t xml:space="preserve">for 12 vials </w:t>
      </w:r>
      <w:r w:rsidRPr="00806B36">
        <w:t>and a published AEMP of $</w:t>
      </w:r>
      <w:r w:rsidRPr="00AE7B50">
        <w:t>540</w:t>
      </w:r>
      <w:r w:rsidRPr="00806B36">
        <w:t xml:space="preserve">. The drug cost of difelikefalin in the economic model and financial estimates was based on the proposed prices including fees and mark-ups. The pre-PBAC response offered a </w:t>
      </w:r>
      <w:r w:rsidR="008537BB" w:rsidRPr="003B7199">
        <w:rPr>
          <w:color w:val="000000"/>
          <w:w w:val="24"/>
          <w:shd w:val="solid" w:color="000000" w:fill="000000"/>
          <w:fitText w:val="80" w:id="-1236598012"/>
          <w14:textFill>
            <w14:solidFill>
              <w14:srgbClr w14:val="000000">
                <w14:alpha w14:val="100000"/>
              </w14:srgbClr>
            </w14:solidFill>
          </w14:textFill>
        </w:rPr>
        <w:t xml:space="preserve">|  </w:t>
      </w:r>
      <w:r w:rsidR="008537BB" w:rsidRPr="003B7199">
        <w:rPr>
          <w:color w:val="000000"/>
          <w:spacing w:val="1"/>
          <w:w w:val="24"/>
          <w:shd w:val="solid" w:color="000000" w:fill="000000"/>
          <w:fitText w:val="80" w:id="-1236598012"/>
          <w14:textFill>
            <w14:solidFill>
              <w14:srgbClr w14:val="000000">
                <w14:alpha w14:val="100000"/>
              </w14:srgbClr>
            </w14:solidFill>
          </w14:textFill>
        </w:rPr>
        <w:t>|</w:t>
      </w:r>
      <w:r w:rsidRPr="00555C97">
        <w:t>%</w:t>
      </w:r>
      <w:r w:rsidRPr="00806B36">
        <w:t xml:space="preserve"> price reduction (AEMP $</w:t>
      </w:r>
      <w:r w:rsidR="008537BB" w:rsidRPr="003B7199">
        <w:rPr>
          <w:color w:val="000000"/>
          <w:w w:val="21"/>
          <w:shd w:val="solid" w:color="000000" w:fill="000000"/>
          <w:fitText w:val="72" w:id="-1236598011"/>
          <w14:textFill>
            <w14:solidFill>
              <w14:srgbClr w14:val="000000">
                <w14:alpha w14:val="100000"/>
              </w14:srgbClr>
            </w14:solidFill>
          </w14:textFill>
        </w:rPr>
        <w:t xml:space="preserve">|  </w:t>
      </w:r>
      <w:r w:rsidR="008537BB" w:rsidRPr="003B7199">
        <w:rPr>
          <w:color w:val="000000"/>
          <w:spacing w:val="2"/>
          <w:w w:val="21"/>
          <w:shd w:val="solid" w:color="000000" w:fill="000000"/>
          <w:fitText w:val="72" w:id="-1236598011"/>
          <w14:textFill>
            <w14:solidFill>
              <w14:srgbClr w14:val="000000">
                <w14:alpha w14:val="100000"/>
              </w14:srgbClr>
            </w14:solidFill>
          </w14:textFill>
        </w:rPr>
        <w:t>|</w:t>
      </w:r>
      <w:r w:rsidRPr="00806B36">
        <w:t xml:space="preserve"> per vial </w:t>
      </w:r>
      <w:r w:rsidR="00FE3F9B" w:rsidRPr="00806B36">
        <w:t>($</w:t>
      </w:r>
      <w:r w:rsidR="008537BB" w:rsidRPr="003B7199">
        <w:rPr>
          <w:color w:val="000000"/>
          <w:w w:val="21"/>
          <w:shd w:val="solid" w:color="000000" w:fill="000000"/>
          <w:fitText w:val="71" w:id="-1236598010"/>
          <w14:textFill>
            <w14:solidFill>
              <w14:srgbClr w14:val="000000">
                <w14:alpha w14:val="100000"/>
              </w14:srgbClr>
            </w14:solidFill>
          </w14:textFill>
        </w:rPr>
        <w:t>|  |</w:t>
      </w:r>
      <w:r w:rsidR="00FE3F9B" w:rsidRPr="00806B36">
        <w:t xml:space="preserve"> per 12 vials) </w:t>
      </w:r>
      <w:r w:rsidRPr="00806B36">
        <w:t>reduced to $</w:t>
      </w:r>
      <w:r w:rsidR="008537BB" w:rsidRPr="003B7199">
        <w:rPr>
          <w:color w:val="000000"/>
          <w:w w:val="21"/>
          <w:shd w:val="solid" w:color="000000" w:fill="000000"/>
          <w:fitText w:val="71" w:id="-1236598009"/>
          <w14:textFill>
            <w14:solidFill>
              <w14:srgbClr w14:val="000000">
                <w14:alpha w14:val="100000"/>
              </w14:srgbClr>
            </w14:solidFill>
          </w14:textFill>
        </w:rPr>
        <w:t xml:space="preserve">|  </w:t>
      </w:r>
      <w:r w:rsidR="008537BB" w:rsidRPr="003B7199">
        <w:rPr>
          <w:color w:val="000000"/>
          <w:spacing w:val="1"/>
          <w:w w:val="21"/>
          <w:shd w:val="solid" w:color="000000" w:fill="000000"/>
          <w:fitText w:val="71" w:id="-1236598009"/>
          <w14:textFill>
            <w14:solidFill>
              <w14:srgbClr w14:val="000000">
                <w14:alpha w14:val="100000"/>
              </w14:srgbClr>
            </w14:solidFill>
          </w14:textFill>
        </w:rPr>
        <w:t>|</w:t>
      </w:r>
      <w:r w:rsidRPr="00806B36">
        <w:t xml:space="preserve"> AEMP per vial</w:t>
      </w:r>
      <w:r w:rsidR="00FE3F9B" w:rsidRPr="00806B36">
        <w:t xml:space="preserve"> ($</w:t>
      </w:r>
      <w:r w:rsidR="008537BB" w:rsidRPr="003B7199">
        <w:rPr>
          <w:color w:val="000000"/>
          <w:w w:val="21"/>
          <w:shd w:val="solid" w:color="000000" w:fill="000000"/>
          <w:fitText w:val="71" w:id="-1236598008"/>
          <w14:textFill>
            <w14:solidFill>
              <w14:srgbClr w14:val="000000">
                <w14:alpha w14:val="100000"/>
              </w14:srgbClr>
            </w14:solidFill>
          </w14:textFill>
        </w:rPr>
        <w:t xml:space="preserve">|  </w:t>
      </w:r>
      <w:r w:rsidR="008537BB" w:rsidRPr="003B7199">
        <w:rPr>
          <w:color w:val="000000"/>
          <w:spacing w:val="1"/>
          <w:w w:val="21"/>
          <w:shd w:val="solid" w:color="000000" w:fill="000000"/>
          <w:fitText w:val="71" w:id="-1236598008"/>
          <w14:textFill>
            <w14:solidFill>
              <w14:srgbClr w14:val="000000">
                <w14:alpha w14:val="100000"/>
              </w14:srgbClr>
            </w14:solidFill>
          </w14:textFill>
        </w:rPr>
        <w:t>|</w:t>
      </w:r>
      <w:r w:rsidR="00FE3F9B" w:rsidRPr="00806B36">
        <w:t xml:space="preserve"> per 12 vials</w:t>
      </w:r>
      <w:r w:rsidRPr="00806B36">
        <w:t>).</w:t>
      </w:r>
      <w:bookmarkEnd w:id="9"/>
    </w:p>
    <w:p w14:paraId="31AD1EC3" w14:textId="108122CC" w:rsidR="002229F0" w:rsidRPr="00806B36" w:rsidRDefault="00EC005A" w:rsidP="00785B99">
      <w:pPr>
        <w:pStyle w:val="COMexecsumnumberedpara"/>
      </w:pPr>
      <w:r w:rsidRPr="00806B36">
        <w:t xml:space="preserve">Notes regarding </w:t>
      </w:r>
      <w:r w:rsidR="00724CEF" w:rsidRPr="00806B36">
        <w:t xml:space="preserve">requests for greater quantities based on the dry body weight </w:t>
      </w:r>
      <w:r w:rsidR="00735B63" w:rsidRPr="00806B36">
        <w:t>of patients (</w:t>
      </w:r>
      <w:r w:rsidR="00C6222E" w:rsidRPr="00806B36">
        <w:t>&gt;</w:t>
      </w:r>
      <w:r w:rsidR="00735B63" w:rsidRPr="00806B36">
        <w:t>104</w:t>
      </w:r>
      <w:r w:rsidR="00665FA1">
        <w:t> </w:t>
      </w:r>
      <w:r w:rsidR="00735B63" w:rsidRPr="00806B36">
        <w:t>kg require</w:t>
      </w:r>
      <w:r w:rsidR="00C6222E" w:rsidRPr="00806B36">
        <w:t>s</w:t>
      </w:r>
      <w:r w:rsidR="00735B63" w:rsidRPr="00806B36">
        <w:t xml:space="preserve"> more than 1 vial per dose) were</w:t>
      </w:r>
      <w:r w:rsidR="009B579F" w:rsidRPr="00806B36">
        <w:t xml:space="preserve"> included in the continuing and grandfathering restrictions but not in the initial restriction.</w:t>
      </w:r>
      <w:r w:rsidR="00735B63" w:rsidRPr="00806B36">
        <w:t xml:space="preserve"> </w:t>
      </w:r>
      <w:r w:rsidR="007866C7" w:rsidRPr="00806B36">
        <w:t>The ESC considered increased quantities would be required for patients who required 4 administrations a week and/or weigh &gt;104</w:t>
      </w:r>
      <w:r w:rsidR="00665FA1">
        <w:t> </w:t>
      </w:r>
      <w:r w:rsidR="007866C7" w:rsidRPr="00806B36">
        <w:t xml:space="preserve">kg and was concerned there was a potential for wastage in </w:t>
      </w:r>
      <w:r w:rsidR="007866C7" w:rsidRPr="00806B36">
        <w:lastRenderedPageBreak/>
        <w:t>these patients which has not been considered elsewhere in the submission (including the</w:t>
      </w:r>
      <w:r w:rsidR="00951A9B" w:rsidRPr="00806B36">
        <w:t xml:space="preserve"> economic model and</w:t>
      </w:r>
      <w:r w:rsidR="007866C7" w:rsidRPr="00806B36">
        <w:t xml:space="preserve"> financial estimates).</w:t>
      </w:r>
    </w:p>
    <w:p w14:paraId="6EB813D0" w14:textId="2BB91187" w:rsidR="00BC062E" w:rsidRPr="00806B36" w:rsidRDefault="00785B99" w:rsidP="00785B99">
      <w:pPr>
        <w:pStyle w:val="COMexecsumnumberedpara"/>
      </w:pPr>
      <w:r w:rsidRPr="00806B36">
        <w:t>None of the proposed restrictions appear to allow for requests for more vials or repeats, which may be required for patients</w:t>
      </w:r>
      <w:r w:rsidR="00AA4BFF" w:rsidRPr="00806B36">
        <w:t xml:space="preserve"> </w:t>
      </w:r>
      <w:r w:rsidRPr="00806B36">
        <w:t xml:space="preserve">requiring additional, potentially unplanned administrations. This was inconsistent with the administration of difelikefalin in the trials and the </w:t>
      </w:r>
      <w:r w:rsidR="00E52520" w:rsidRPr="00806B36">
        <w:t>P</w:t>
      </w:r>
      <w:r w:rsidRPr="00806B36">
        <w:t xml:space="preserve">roduct </w:t>
      </w:r>
      <w:r w:rsidR="00E52520" w:rsidRPr="00806B36">
        <w:t>I</w:t>
      </w:r>
      <w:r w:rsidRPr="00806B36">
        <w:t>nformation that recommends up to 4 doses per week in patients who require additional haemodialysis treatment.</w:t>
      </w:r>
    </w:p>
    <w:p w14:paraId="71E66257" w14:textId="7FB39E8F" w:rsidR="00785B99" w:rsidRPr="00806B36" w:rsidRDefault="00785B99" w:rsidP="00FE3F9B">
      <w:pPr>
        <w:pStyle w:val="COMexecsumnumberedpara"/>
      </w:pPr>
      <w:r w:rsidRPr="00806B36">
        <w:t>The submission stated that only the 12-vial pack size will be marketed in Australia. Any applications for more vials would require breaking an additional pack, which may result in potential wastage and/or additional costs to the pharmacy.</w:t>
      </w:r>
      <w:r w:rsidR="007866C7" w:rsidRPr="00806B36">
        <w:t xml:space="preserve"> The ESC noted</w:t>
      </w:r>
      <w:r w:rsidR="009E7DDF" w:rsidRPr="00806B36">
        <w:t xml:space="preserve"> </w:t>
      </w:r>
      <w:r w:rsidR="007866C7" w:rsidRPr="00806B36">
        <w:t>the Sponsor’s intention for dispensed difelikefalin vials to be stored at in-centre facilities and considered the dispensing of a large number of vials at one time and the proposed storage arrangements may lead to quality use of medicines (QUM) issues</w:t>
      </w:r>
      <w:r w:rsidR="00EF612E" w:rsidRPr="00806B36">
        <w:t xml:space="preserve">. The ESC considered that such QUM issues were also likely </w:t>
      </w:r>
      <w:r w:rsidR="007866C7" w:rsidRPr="00806B36">
        <w:t xml:space="preserve">if difelikefalin </w:t>
      </w:r>
      <w:r w:rsidR="00D30C2B" w:rsidRPr="00806B36">
        <w:t>wa</w:t>
      </w:r>
      <w:r w:rsidR="007866C7" w:rsidRPr="00806B36">
        <w:t xml:space="preserve">s used in home-based haemodialysis. The </w:t>
      </w:r>
      <w:r w:rsidR="00D92E5D" w:rsidRPr="00806B36">
        <w:t>ESC</w:t>
      </w:r>
      <w:r w:rsidR="007866C7" w:rsidRPr="00806B36">
        <w:t xml:space="preserve"> noted</w:t>
      </w:r>
      <w:r w:rsidR="00515818" w:rsidRPr="00806B36">
        <w:t xml:space="preserve"> </w:t>
      </w:r>
      <w:r w:rsidR="007866C7" w:rsidRPr="00806B36">
        <w:t>s</w:t>
      </w:r>
      <w:r w:rsidR="00A10560" w:rsidRPr="00806B36">
        <w:t xml:space="preserve">maller pack sizes of 3 vials are approved by the EMA. </w:t>
      </w:r>
      <w:bookmarkStart w:id="10" w:name="_Hlk127184347"/>
    </w:p>
    <w:bookmarkEnd w:id="10"/>
    <w:p w14:paraId="7F30E722" w14:textId="66DBE51C" w:rsidR="00A91208" w:rsidRPr="00806B36" w:rsidRDefault="00A91208" w:rsidP="00785B99">
      <w:pPr>
        <w:pStyle w:val="COMexecsumnumberedpara"/>
      </w:pPr>
      <w:r w:rsidRPr="00806B36">
        <w:t>The requested restriction is narrower than the proposed TGA indication in terms of treatment setting (in-centre haemodialysis) and place in therapy (patients with inadequate response to best supportive care).</w:t>
      </w:r>
      <w:r w:rsidR="00A52130" w:rsidRPr="00806B36">
        <w:t xml:space="preserve"> </w:t>
      </w:r>
    </w:p>
    <w:p w14:paraId="13C5DA83" w14:textId="45209C83" w:rsidR="004A4267" w:rsidRPr="00806B36" w:rsidRDefault="004A4267" w:rsidP="00785B99">
      <w:pPr>
        <w:pStyle w:val="COMexecsumnumberedpara"/>
        <w:rPr>
          <w:i/>
          <w:iCs/>
        </w:rPr>
      </w:pPr>
      <w:bookmarkStart w:id="11" w:name="_Ref130809013"/>
      <w:bookmarkStart w:id="12" w:name="_Hlk127198678"/>
      <w:r w:rsidRPr="00806B36">
        <w:t xml:space="preserve">No justification was provided in the submission for limiting treatment eligibility to patients on in-centre haemodialysis. The ACM was of the view that </w:t>
      </w:r>
      <w:r w:rsidR="00C31E6A" w:rsidRPr="00806B36">
        <w:t>this</w:t>
      </w:r>
      <w:r w:rsidRPr="00806B36">
        <w:t xml:space="preserve"> may disadvantage some patients, particularly those who live in remote settings</w:t>
      </w:r>
      <w:r w:rsidR="00C31E6A" w:rsidRPr="00806B36">
        <w:t xml:space="preserve">. </w:t>
      </w:r>
      <w:r w:rsidRPr="00806B36">
        <w:t>Uneven access to treatment may also cause a shift for some patients from home haemodialysis to in-centre haemodialysis.</w:t>
      </w:r>
      <w:r w:rsidR="00A52130" w:rsidRPr="00806B36">
        <w:t xml:space="preserve"> The PSCR noted the sponsor was open to amending the restriction to permit difelikefalin administration in the home </w:t>
      </w:r>
      <w:r w:rsidR="003F31AD" w:rsidRPr="00806B36">
        <w:t xml:space="preserve">haemodialysis </w:t>
      </w:r>
      <w:r w:rsidR="00A52130" w:rsidRPr="00806B36">
        <w:t>setting, consistent with the views of the ACM. The ESC agreed this change was appropriate and would minimise potential inequities in access.</w:t>
      </w:r>
      <w:r w:rsidR="0004782C" w:rsidRPr="00806B36">
        <w:t xml:space="preserve"> The ESC noted that Complex Authority Required (CAR) listing</w:t>
      </w:r>
      <w:r w:rsidR="00B755D7" w:rsidRPr="00806B36">
        <w:t>s</w:t>
      </w:r>
      <w:r w:rsidR="0004782C" w:rsidRPr="00806B36">
        <w:t xml:space="preserve"> </w:t>
      </w:r>
      <w:r w:rsidR="00B755D7" w:rsidRPr="00806B36">
        <w:t xml:space="preserve">under the HSD Public and Private hospital program </w:t>
      </w:r>
      <w:r w:rsidR="0004782C" w:rsidRPr="00806B36">
        <w:t xml:space="preserve">would allow difelikefalin, to be dispensed by a </w:t>
      </w:r>
      <w:r w:rsidR="00B755D7" w:rsidRPr="00806B36">
        <w:t>S90 c</w:t>
      </w:r>
      <w:r w:rsidR="0004782C" w:rsidRPr="00806B36">
        <w:t>ommunity Pharmacy, as well as a Public</w:t>
      </w:r>
      <w:r w:rsidR="00B755D7" w:rsidRPr="00806B36">
        <w:t xml:space="preserve">/Private </w:t>
      </w:r>
      <w:r w:rsidR="0004782C" w:rsidRPr="00806B36">
        <w:t>Hospital Pharmacy. The ESC considered such an approach may assist access by home haemodialysis patients.</w:t>
      </w:r>
      <w:bookmarkEnd w:id="11"/>
      <w:r w:rsidR="0004782C" w:rsidRPr="00806B36">
        <w:rPr>
          <w:i/>
          <w:iCs/>
        </w:rPr>
        <w:t xml:space="preserve"> </w:t>
      </w:r>
    </w:p>
    <w:bookmarkEnd w:id="12"/>
    <w:p w14:paraId="612DB7AE" w14:textId="2FFF58C3" w:rsidR="00AA5F68" w:rsidRPr="00806B36" w:rsidRDefault="00111C34" w:rsidP="00785B99">
      <w:pPr>
        <w:pStyle w:val="COMexecsumnumberedpara"/>
      </w:pPr>
      <w:r w:rsidRPr="00806B36">
        <w:t>The terms ‘optimised’ and ‘stable’ haemodialysis were not defined in the restriction. The submission did not specify the frequency of haemodialysis, based on advice from the sponsor’s advisory board, that clinical trials for incremental dialysis were making progress and less frequent haemodialysis (twice weekly) may become standard in the future. This was inconsistent with the trials that required patients to be on haemodialysis 3 times a week for at least 3 months prior. The administration of difelikefalin is dependent on the frequency of haemodialysis and was given at the end of each haemodialysis session (maximum of 4 doses per week) in the trials.</w:t>
      </w:r>
      <w:r w:rsidR="00A52130" w:rsidRPr="00806B36">
        <w:t xml:space="preserve"> </w:t>
      </w:r>
      <w:r w:rsidR="00A225D8" w:rsidRPr="00806B36">
        <w:t>T</w:t>
      </w:r>
      <w:r w:rsidR="00A52130" w:rsidRPr="00806B36">
        <w:t xml:space="preserve">he </w:t>
      </w:r>
      <w:r w:rsidR="009A6E58" w:rsidRPr="00806B36">
        <w:t xml:space="preserve">ESC noted the </w:t>
      </w:r>
      <w:r w:rsidR="00A52130" w:rsidRPr="00806B36">
        <w:t xml:space="preserve">PSCR requested removal of the word ‘stable’ from the restriction, as the word </w:t>
      </w:r>
      <w:r w:rsidR="002625EA" w:rsidRPr="00806B36">
        <w:t>has no clear definition and the term ‘optimised haemodialysis’ would generally be understood by prescribers.</w:t>
      </w:r>
    </w:p>
    <w:p w14:paraId="0BAEEAB8" w14:textId="0F213478" w:rsidR="00F30CFD" w:rsidRPr="00806B36" w:rsidRDefault="00F30CFD" w:rsidP="00785B99">
      <w:pPr>
        <w:pStyle w:val="COMexecsumnumberedpara"/>
      </w:pPr>
      <w:r w:rsidRPr="00806B36">
        <w:t xml:space="preserve">The submission claimed that the assessment of CKD-associated pruritus is challenging in practice, proposing instead that treatment eligibility be determined using the judgement of the treating physician based on physical examination of the patient and clinical history taking. Therefore, no </w:t>
      </w:r>
      <w:r w:rsidR="004E2F3D" w:rsidRPr="00806B36">
        <w:t xml:space="preserve">specific </w:t>
      </w:r>
      <w:r w:rsidRPr="00806B36">
        <w:t>diagnosis criteria or use of instruments</w:t>
      </w:r>
      <w:r w:rsidR="00A86665" w:rsidRPr="00806B36">
        <w:t xml:space="preserve"> to determine pruritus severity</w:t>
      </w:r>
      <w:r w:rsidRPr="00806B36">
        <w:t xml:space="preserve"> were specified in the restriction.</w:t>
      </w:r>
      <w:r w:rsidR="009B4823" w:rsidRPr="00806B36">
        <w:t xml:space="preserve"> T</w:t>
      </w:r>
      <w:r w:rsidR="009A6E58" w:rsidRPr="00806B36">
        <w:t>he evaluation considered t</w:t>
      </w:r>
      <w:r w:rsidR="009B4823" w:rsidRPr="00806B36">
        <w:t xml:space="preserve">his may </w:t>
      </w:r>
      <w:r w:rsidR="002D5538" w:rsidRPr="00806B36">
        <w:t>be reasonable as there is</w:t>
      </w:r>
      <w:r w:rsidR="00BB19A0" w:rsidRPr="00806B36">
        <w:t xml:space="preserve"> currently no formal guidance on the assessment and diagnosis of CKD-associated pruritus</w:t>
      </w:r>
      <w:r w:rsidR="002D5538" w:rsidRPr="00806B36">
        <w:t>.</w:t>
      </w:r>
      <w:r w:rsidR="002625EA" w:rsidRPr="00806B36">
        <w:t xml:space="preserve"> The ESC considered suspicion of CKD-associated pruritis is likely to be high given it is a common condition in dialysis patients</w:t>
      </w:r>
      <w:r w:rsidR="009A6E58" w:rsidRPr="00806B36">
        <w:t>. The ESC considered</w:t>
      </w:r>
      <w:r w:rsidR="002625EA" w:rsidRPr="00806B36">
        <w:t xml:space="preserve"> the inability to reliably classify the severity of itch in practice suggests difelikefalin </w:t>
      </w:r>
      <w:r w:rsidR="00D92E5D" w:rsidRPr="00806B36">
        <w:t>may</w:t>
      </w:r>
      <w:r w:rsidR="002625EA" w:rsidRPr="00806B36">
        <w:t xml:space="preserve"> be used in patients with milder disease, despite a lack of evidence in this population.</w:t>
      </w:r>
      <w:r w:rsidR="009A6E58" w:rsidRPr="00806B36">
        <w:t xml:space="preserve"> The ESC considered the use of the Worst-Itching Intensity Numerical Rating Scale (WI</w:t>
      </w:r>
      <w:r w:rsidR="009A6E58" w:rsidRPr="00806B36">
        <w:noBreakHyphen/>
        <w:t>NRS) in practice</w:t>
      </w:r>
      <w:r w:rsidR="00D92E5D" w:rsidRPr="00806B36">
        <w:t>,</w:t>
      </w:r>
      <w:r w:rsidR="00220242" w:rsidRPr="00806B36">
        <w:t xml:space="preserve"> and hence in the restriction</w:t>
      </w:r>
      <w:r w:rsidR="00D92E5D" w:rsidRPr="00806B36">
        <w:t>,</w:t>
      </w:r>
      <w:r w:rsidR="009A6E58" w:rsidRPr="00806B36">
        <w:t xml:space="preserve"> was feasible</w:t>
      </w:r>
      <w:r w:rsidR="00416D69" w:rsidRPr="00806B36">
        <w:t xml:space="preserve"> to define the moderate-severe pruritis</w:t>
      </w:r>
      <w:r w:rsidR="00220242" w:rsidRPr="00806B36">
        <w:t>.</w:t>
      </w:r>
      <w:r w:rsidR="00220242" w:rsidRPr="00806B36">
        <w:rPr>
          <w:i/>
          <w:iCs/>
        </w:rPr>
        <w:t xml:space="preserve"> </w:t>
      </w:r>
      <w:r w:rsidR="00C7101B" w:rsidRPr="00806B36">
        <w:t>T</w:t>
      </w:r>
      <w:r w:rsidR="001976E9" w:rsidRPr="00806B36">
        <w:t xml:space="preserve">he </w:t>
      </w:r>
      <w:r w:rsidR="00C7101B" w:rsidRPr="00806B36">
        <w:t xml:space="preserve">pre-PBAC response </w:t>
      </w:r>
      <w:r w:rsidR="00692A76" w:rsidRPr="00806B36">
        <w:t xml:space="preserve">acknowledged the use of the WI-NRS instrument was feasible, however questioned the value it would add to the restriction as it is a simple numeric rating scale based on a subjective assessment of symptoms. </w:t>
      </w:r>
    </w:p>
    <w:p w14:paraId="7FBF6AB7" w14:textId="228BC9E3" w:rsidR="00914DDA" w:rsidRPr="00806B36" w:rsidRDefault="00914DDA" w:rsidP="00785B99">
      <w:pPr>
        <w:pStyle w:val="COMexecsumnumberedpara"/>
      </w:pPr>
      <w:r w:rsidRPr="00806B36">
        <w:t>The initial restriction requires patients to have persistent itch for at least 6 weeks despite best supportive care. The submission claimed the 6-week duration was based on a general definition of chronic pruritus. The restriction appears targeted at a subset of patients with chronic, persistent CKD-associated pruritus, which may be appropriate based on the key trials of difelikefalin. The</w:t>
      </w:r>
      <w:r w:rsidR="002625EA" w:rsidRPr="00806B36">
        <w:t xml:space="preserve"> ESC noted the</w:t>
      </w:r>
      <w:r w:rsidRPr="00806B36">
        <w:t xml:space="preserve"> 6-week threshold</w:t>
      </w:r>
      <w:r w:rsidR="002625EA" w:rsidRPr="00806B36">
        <w:t xml:space="preserve"> aligns with accepted definitions for chronic itch</w:t>
      </w:r>
      <w:r w:rsidRPr="00806B36">
        <w:t>, however, appears relatively short compared to the duration of pruritus experienced by most patients in the KALM trials (mean 3.3 years, median 2.5 years)</w:t>
      </w:r>
      <w:r w:rsidR="002625EA" w:rsidRPr="00806B36">
        <w:t>, and considered the impact on the benefit/risk profile in the PBS population was unclear</w:t>
      </w:r>
      <w:r w:rsidR="00E27AC9" w:rsidRPr="00806B36">
        <w:t>.</w:t>
      </w:r>
    </w:p>
    <w:p w14:paraId="446F9165" w14:textId="386FD5A1" w:rsidR="00BE629B" w:rsidRPr="00806B36" w:rsidRDefault="00BE629B" w:rsidP="00785B99">
      <w:pPr>
        <w:pStyle w:val="COMexecsumnumberedpara"/>
      </w:pPr>
      <w:r w:rsidRPr="00806B36">
        <w:t xml:space="preserve">The submission proposed initial script coverage of 12 weeks as this is consistent with the double-blind treatment period </w:t>
      </w:r>
      <w:r w:rsidR="00B759CA" w:rsidRPr="00806B36">
        <w:t>of</w:t>
      </w:r>
      <w:r w:rsidRPr="00806B36">
        <w:t xml:space="preserve"> the key trials. The intent is that patients who demonstrate adequate response to treatment would be eligible for continuing treatment. The purpose of having separate initial and continuing restrictions was unclear given the absence of objective response criteria. However, the</w:t>
      </w:r>
      <w:r w:rsidR="002625EA" w:rsidRPr="00806B36">
        <w:t xml:space="preserve"> ESC </w:t>
      </w:r>
      <w:r w:rsidR="00220242" w:rsidRPr="00806B36">
        <w:t>agreed with the evaluation that</w:t>
      </w:r>
      <w:r w:rsidR="002625EA" w:rsidRPr="00806B36">
        <w:t xml:space="preserve"> the</w:t>
      </w:r>
      <w:r w:rsidRPr="00806B36">
        <w:t xml:space="preserve"> use of a continuation rule was consistent with assumptions in the economic model and financial estimates of the submission</w:t>
      </w:r>
      <w:r w:rsidR="002625EA" w:rsidRPr="00806B36">
        <w:t>, but</w:t>
      </w:r>
      <w:r w:rsidR="00220242" w:rsidRPr="00806B36">
        <w:t xml:space="preserve"> considered</w:t>
      </w:r>
      <w:r w:rsidR="002625EA" w:rsidRPr="00806B36">
        <w:t xml:space="preserve"> the expected discontinuation in practice was likely overestimated</w:t>
      </w:r>
      <w:r w:rsidRPr="00806B36">
        <w:t>.</w:t>
      </w:r>
      <w:r w:rsidR="000B5A06" w:rsidRPr="00806B36">
        <w:t xml:space="preserve"> The </w:t>
      </w:r>
      <w:r w:rsidR="00C7101B" w:rsidRPr="00806B36">
        <w:t>p</w:t>
      </w:r>
      <w:r w:rsidR="000B5A06" w:rsidRPr="00806B36">
        <w:t xml:space="preserve">re-PBAC </w:t>
      </w:r>
      <w:r w:rsidR="00C7101B" w:rsidRPr="00806B36">
        <w:t>r</w:t>
      </w:r>
      <w:r w:rsidR="000B5A06" w:rsidRPr="00806B36">
        <w:t>esponse argued that given no medication is without risk of adverse side effects and patients on haemodialysis undergo regular medication review, it would be unlikely</w:t>
      </w:r>
      <w:r w:rsidR="00951A9B" w:rsidRPr="00806B36">
        <w:t xml:space="preserve"> that</w:t>
      </w:r>
      <w:r w:rsidR="000B5A06" w:rsidRPr="00806B36">
        <w:t xml:space="preserve"> a treating nephrologist would allow a patient to continue with a treatment (such as difelikefalin) where the patient was not tolerating the medicine well or not receiving a positive benefit.</w:t>
      </w:r>
    </w:p>
    <w:p w14:paraId="032FD45D" w14:textId="1A707AE6" w:rsidR="00CE0E5A" w:rsidRPr="00806B36" w:rsidRDefault="00CE0E5A" w:rsidP="00785B99">
      <w:pPr>
        <w:pStyle w:val="COMexecsumnumberedpara"/>
      </w:pPr>
      <w:r w:rsidRPr="00806B36">
        <w:t xml:space="preserve">The submission acknowledged the simplified restriction may lead to use outside the restrictions (i.e. patients with mild pruritus and continuing treatment in patients </w:t>
      </w:r>
      <w:r w:rsidR="0072738D" w:rsidRPr="00806B36">
        <w:t>without adequate response), but proposed that the risk be managed through a risk</w:t>
      </w:r>
      <w:r w:rsidR="00C7101B" w:rsidRPr="00806B36">
        <w:t xml:space="preserve"> </w:t>
      </w:r>
      <w:r w:rsidR="0072738D" w:rsidRPr="00806B36">
        <w:t xml:space="preserve">sharing arrangement </w:t>
      </w:r>
      <w:r w:rsidR="00C7101B" w:rsidRPr="00806B36">
        <w:t xml:space="preserve">(RSA) </w:t>
      </w:r>
      <w:r w:rsidR="0072738D" w:rsidRPr="00806B36">
        <w:t xml:space="preserve">and cap based on the financial estimates of the submission. </w:t>
      </w:r>
      <w:r w:rsidR="00654B32" w:rsidRPr="00806B36">
        <w:t xml:space="preserve">Details of the </w:t>
      </w:r>
      <w:r w:rsidR="00C7101B" w:rsidRPr="00806B36">
        <w:t>RSA</w:t>
      </w:r>
      <w:r w:rsidR="00654B32" w:rsidRPr="00806B36">
        <w:t xml:space="preserve"> were not provided, with the sponsor indicating that they are willing to work with the Department of Health to agree on an appropriate rebate over agreed levels of expenditure.</w:t>
      </w:r>
      <w:r w:rsidR="00A23991" w:rsidRPr="00806B36">
        <w:t xml:space="preserve"> The PSCR argued the expectation was that use in patients with mild pruritis would be low as patients with mild symptoms would not seek treatment with difelikefalin and prescribers would be educated </w:t>
      </w:r>
      <w:r w:rsidR="00220242" w:rsidRPr="00806B36">
        <w:t xml:space="preserve">on the </w:t>
      </w:r>
      <w:r w:rsidR="00A23991" w:rsidRPr="00806B36">
        <w:t>appropriate use</w:t>
      </w:r>
      <w:r w:rsidR="00220242" w:rsidRPr="00806B36">
        <w:t xml:space="preserve"> of the drug</w:t>
      </w:r>
      <w:r w:rsidR="00A23991" w:rsidRPr="00806B36">
        <w:t>. Furthermore, the PSCR also emphasised a R</w:t>
      </w:r>
      <w:r w:rsidR="00C7101B" w:rsidRPr="00806B36">
        <w:t>SA</w:t>
      </w:r>
      <w:r w:rsidR="00A23991" w:rsidRPr="00806B36">
        <w:t xml:space="preserve"> had been proposed based on the estimates of how difelikefalin was intended to be used. The ESC considered use in patients with milder disease was highly likely given it is easy to administer alongside haemodialysis and the lack of objective criteria for assessing itch severity in the </w:t>
      </w:r>
      <w:r w:rsidR="00220242" w:rsidRPr="00806B36">
        <w:t xml:space="preserve">proposed </w:t>
      </w:r>
      <w:r w:rsidR="00A23991" w:rsidRPr="00806B36">
        <w:t>restriction.</w:t>
      </w:r>
      <w:r w:rsidR="000B5A06" w:rsidRPr="00806B36">
        <w:t xml:space="preserve"> The </w:t>
      </w:r>
      <w:r w:rsidR="00C7101B" w:rsidRPr="00806B36">
        <w:t>p</w:t>
      </w:r>
      <w:r w:rsidR="000B5A06" w:rsidRPr="00806B36">
        <w:t xml:space="preserve">re-PBAC </w:t>
      </w:r>
      <w:r w:rsidR="00C7101B" w:rsidRPr="00806B36">
        <w:t>r</w:t>
      </w:r>
      <w:r w:rsidR="000B5A06" w:rsidRPr="00806B36">
        <w:t>esponse argued the use of difelikefalin in patients with milder symptoms was highly unlikely to be widespread and stated clinicians will adopt a best supportive care approach for the management of their patients, with topical treatments and anti-itch medications likely to be used first.</w:t>
      </w:r>
    </w:p>
    <w:p w14:paraId="7B7EB695" w14:textId="475523B5" w:rsidR="00E06916" w:rsidRPr="00806B36" w:rsidRDefault="00E06916" w:rsidP="00785B99">
      <w:pPr>
        <w:pStyle w:val="COMexecsumnumberedpara"/>
      </w:pPr>
      <w:r w:rsidRPr="00806B36">
        <w:t>The submission included a broad definition of best supportive care in the notes of the initial restriction. It may also be appropriate to include treatment of biochemical abnormalities (e.g. calcium, phosphate, parathyroid, vitamin D) that are common in patients with CKD. It was unclear whether the definition should include the use of off-label treatments (e.g. gabapentinoids, antihistamines, antidepressants) given the risk-benefit profile of these treatments for CKD-associated pruritus remains uncertain.</w:t>
      </w:r>
    </w:p>
    <w:p w14:paraId="7C129716" w14:textId="78BE6DE6" w:rsidR="00986DFE" w:rsidRPr="00806B36" w:rsidRDefault="00B759B4" w:rsidP="00CE6E26">
      <w:pPr>
        <w:pStyle w:val="COMexecsumnumberedpara"/>
      </w:pPr>
      <w:r w:rsidRPr="00806B36">
        <w:t xml:space="preserve">The submission requested </w:t>
      </w:r>
      <w:r w:rsidR="00C37469" w:rsidRPr="00806B36">
        <w:t>a grandfather restriction</w:t>
      </w:r>
      <w:r w:rsidRPr="00806B36">
        <w:t xml:space="preserve"> for patients who have received difelikefalin as part of a patient access program. The submission anticipated that up to 50 patients will be enrolled</w:t>
      </w:r>
      <w:r w:rsidR="00F126A7" w:rsidRPr="00806B36">
        <w:t xml:space="preserve">. </w:t>
      </w:r>
      <w:r w:rsidR="00FB14CD" w:rsidRPr="00806B36">
        <w:t>Eligible patients are those</w:t>
      </w:r>
      <w:r w:rsidRPr="00806B36">
        <w:t xml:space="preserve"> receiving optimised, in-centre haemodialysis three times a week. In addition, moderate to severe disease would be determined using the</w:t>
      </w:r>
      <w:r w:rsidR="00972BAF" w:rsidRPr="00806B36">
        <w:t xml:space="preserve"> </w:t>
      </w:r>
      <w:r w:rsidRPr="00806B36">
        <w:t>WI</w:t>
      </w:r>
      <w:r w:rsidR="00972BAF" w:rsidRPr="00806B36">
        <w:noBreakHyphen/>
      </w:r>
      <w:r w:rsidRPr="00806B36">
        <w:t xml:space="preserve">NRS and Self-Assessment of Disease Severity (SADS) tools. The proposed </w:t>
      </w:r>
      <w:r w:rsidR="006251CB" w:rsidRPr="00806B36">
        <w:t>restriction</w:t>
      </w:r>
      <w:r w:rsidRPr="00806B36">
        <w:t xml:space="preserve"> also requires that patients demonstrate adequate response to difelikefalin treatment (no proposed instrument). The enrolment criteria appeared narrower than the proposed restriction in terms of haemodialysis frequency and use of instruments to determine disease severity.</w:t>
      </w:r>
    </w:p>
    <w:p w14:paraId="78B2EF29" w14:textId="77777777" w:rsidR="00741369" w:rsidRPr="00806B36" w:rsidRDefault="00741369" w:rsidP="00741369">
      <w:pPr>
        <w:ind w:firstLine="709"/>
        <w:rPr>
          <w:rFonts w:asciiTheme="minorHAnsi" w:hAnsiTheme="minorHAnsi"/>
          <w:i/>
        </w:rPr>
      </w:pPr>
      <w:r w:rsidRPr="00806B36">
        <w:rPr>
          <w:rFonts w:asciiTheme="minorHAnsi" w:hAnsiTheme="minorHAnsi"/>
          <w:i/>
        </w:rPr>
        <w:t>For more detail on PBAC’s view, see section 7 PBAC outcome.</w:t>
      </w:r>
    </w:p>
    <w:p w14:paraId="7075B85C" w14:textId="321C9B30" w:rsidR="00B50DB8" w:rsidRPr="00806B36" w:rsidDel="00195452" w:rsidRDefault="00203181" w:rsidP="004E18E9">
      <w:pPr>
        <w:pStyle w:val="COMH1numbered"/>
      </w:pPr>
      <w:bookmarkStart w:id="13" w:name="_Toc124836716"/>
      <w:r w:rsidRPr="00806B36" w:rsidDel="00195452">
        <w:t xml:space="preserve">Population and </w:t>
      </w:r>
      <w:r w:rsidR="008E0D3C" w:rsidRPr="00806B36" w:rsidDel="00195452">
        <w:t>d</w:t>
      </w:r>
      <w:r w:rsidRPr="00806B36" w:rsidDel="00195452">
        <w:t>isease</w:t>
      </w:r>
      <w:bookmarkEnd w:id="13"/>
    </w:p>
    <w:p w14:paraId="21FDD135" w14:textId="28B93350" w:rsidR="00894489" w:rsidRPr="00806B36" w:rsidRDefault="00E9240C" w:rsidP="00E9240C">
      <w:pPr>
        <w:pStyle w:val="COMexecsumnumberedpara"/>
      </w:pPr>
      <w:r w:rsidRPr="00806B36">
        <w:t xml:space="preserve">Chronic kidney disease (CKD) is characterised by the gradual loss of kidney function over time which decreases the ability to filter waste products from blood. Earlier stages of this condition are typically asymptomatic, but the condition can progress over time with a variety of symptoms (e.g. tiredness, frequent urination, nausea and vomiting, itchiness, swelling) and complications (e.g. hypertension, heart failure and cardiomyopathy, anaemia, mineral and bone disorders, electrolyte abnormalities). At later stages, when the kidneys can no longer function on their own, people need kidney replacement therapy such as dialysis or </w:t>
      </w:r>
      <w:r w:rsidR="007C4E6F" w:rsidRPr="00806B36">
        <w:t xml:space="preserve">a </w:t>
      </w:r>
      <w:r w:rsidRPr="00806B36">
        <w:t>kidney transplant to survive.</w:t>
      </w:r>
    </w:p>
    <w:p w14:paraId="0659027B" w14:textId="5B27E459" w:rsidR="00E9240C" w:rsidRPr="00806B36" w:rsidRDefault="00E9240C" w:rsidP="00E9240C">
      <w:pPr>
        <w:pStyle w:val="COMexecsumnumberedpara"/>
      </w:pPr>
      <w:r w:rsidRPr="00806B36">
        <w:t xml:space="preserve">CKD-associated pruritus, also known previously as uraemic pruritus, is defined as itching directly related to kidney disease without another comorbid condition to explain the itching. It is a common condition in patients with renal failure or end stage renal disease and occurs more frequently in patients undergoing haemodialysis than peritoneal dialysis. The condition is characterised by itch that most commonly affects the back; however, it can also involve the arms, head, and abdomen. More severe conditions can negatively impact sleep, mood, </w:t>
      </w:r>
      <w:r w:rsidR="009B579F" w:rsidRPr="00806B36">
        <w:t xml:space="preserve">and </w:t>
      </w:r>
      <w:r w:rsidRPr="00806B36">
        <w:t>quality of life; and are associated with additional complications such as infections.</w:t>
      </w:r>
    </w:p>
    <w:p w14:paraId="7EAA73D2" w14:textId="654C8D63" w:rsidR="005C5BD2" w:rsidRPr="00806B36" w:rsidRDefault="005C5BD2" w:rsidP="00E9240C">
      <w:pPr>
        <w:pStyle w:val="COMexecsumnumberedpara"/>
      </w:pPr>
      <w:r w:rsidRPr="00806B36">
        <w:t>Currently the pathophysiology of CKD-associated pruritus is unknown, with several emerging hypotheses including uraemic toxin build-up, histamine release, immune-mediated response, and opioid receptor dysregulation. The diagnosis of this condition is challenging due to variability in severity of its clinical presentation during the onset of disease, the time course, the distribution, the exacerbating/relieving factors, and its tendency to occur with co-existing skin manifestations.</w:t>
      </w:r>
    </w:p>
    <w:p w14:paraId="44D8F072" w14:textId="6A459ECF" w:rsidR="007C4E6F" w:rsidRPr="00806B36" w:rsidRDefault="007C4E6F" w:rsidP="007C4E6F">
      <w:pPr>
        <w:pStyle w:val="COMexecsumnumberedpara"/>
      </w:pPr>
      <w:r w:rsidRPr="00806B36">
        <w:t xml:space="preserve">Difelikefalin is a highly selective kappa-opioid receptor agonist with low central nervous system penetration. Opioid receptors are known to modulate itch signals and inflammation, with kappa opioid receptor activation reducing itch and producing immunomodulatory effects. </w:t>
      </w:r>
    </w:p>
    <w:p w14:paraId="402E49EC" w14:textId="04D7E1A2" w:rsidR="00E9240C" w:rsidRPr="00806B36" w:rsidRDefault="00350EB1" w:rsidP="00A225D8">
      <w:pPr>
        <w:pStyle w:val="COMexecsumnumberedpara"/>
        <w:numPr>
          <w:ilvl w:val="1"/>
          <w:numId w:val="5"/>
        </w:numPr>
      </w:pPr>
      <w:r w:rsidRPr="00806B36">
        <w:t>The submission positioned difelikefalin as an adjunct to best supportive care in CKD patients on haemodialysis who remain at least moderately bothered by CKD-associated pruritus despite best supportive care for 6 weeks.</w:t>
      </w:r>
      <w:r w:rsidR="005161D1" w:rsidRPr="00806B36">
        <w:t xml:space="preserve"> </w:t>
      </w:r>
      <w:r w:rsidR="008F06BF" w:rsidRPr="00806B36">
        <w:t>The optimal duration of best supportive care measures is likely to vary substantially given the broad range interventions that can be initiated, with timing of assessments dependent on both patient- and clinician-related factors.</w:t>
      </w:r>
    </w:p>
    <w:p w14:paraId="7EF3D2F6" w14:textId="603504B0" w:rsidR="00F65B31" w:rsidRPr="00806B36" w:rsidRDefault="00F65B31" w:rsidP="00E9240C">
      <w:pPr>
        <w:pStyle w:val="COMexecsumnumberedpara"/>
      </w:pPr>
      <w:r w:rsidRPr="00806B36">
        <w:t>The optimal duration of treatment with difelikefalin is unclear, particularly in patients with relapsing-remitting pruritus. There are limited long</w:t>
      </w:r>
      <w:r w:rsidR="007C4E6F" w:rsidRPr="00806B36">
        <w:t>-</w:t>
      </w:r>
      <w:r w:rsidRPr="00806B36">
        <w:t>term data for difelikefalin.</w:t>
      </w:r>
      <w:r w:rsidR="00741369" w:rsidRPr="00806B36">
        <w:t xml:space="preserve"> </w:t>
      </w:r>
    </w:p>
    <w:p w14:paraId="343417EE" w14:textId="4D86CC1E" w:rsidR="003B27BF" w:rsidRPr="00806B36" w:rsidRDefault="003B27BF" w:rsidP="00E9240C">
      <w:pPr>
        <w:pStyle w:val="COMexecsumnumberedpara"/>
      </w:pPr>
      <w:r w:rsidRPr="00806B36">
        <w:t>There are multiple ongoing Phase II/Phase III trials of an oral formulation of difelikefalin for pruritus associated with advanced non-dialysis dependent CKD (stages 4-5) (NCT05342623, NCT05356403), atopic dermatitis (NCT04018027, NCT05387707), notalgia paresthetica (NCT04706975) and primary biliary cholangitis (NCT03995212).</w:t>
      </w:r>
    </w:p>
    <w:p w14:paraId="5CA15D19" w14:textId="77777777" w:rsidR="00741369" w:rsidRPr="00806B36" w:rsidRDefault="00741369" w:rsidP="00741369">
      <w:pPr>
        <w:ind w:firstLine="709"/>
        <w:rPr>
          <w:rFonts w:asciiTheme="minorHAnsi" w:hAnsiTheme="minorHAnsi"/>
          <w:i/>
        </w:rPr>
      </w:pPr>
      <w:r w:rsidRPr="00806B36">
        <w:rPr>
          <w:rFonts w:asciiTheme="minorHAnsi" w:hAnsiTheme="minorHAnsi"/>
          <w:i/>
        </w:rPr>
        <w:t>For more detail on PBAC’s view, see section 7 PBAC outcome.</w:t>
      </w:r>
    </w:p>
    <w:p w14:paraId="51E5AE96" w14:textId="5945884B" w:rsidR="00B50DB8" w:rsidRPr="00806B36" w:rsidRDefault="00B50DB8" w:rsidP="004E18E9">
      <w:pPr>
        <w:pStyle w:val="COMH1numbered"/>
      </w:pPr>
      <w:bookmarkStart w:id="14" w:name="_Toc124836717"/>
      <w:r w:rsidRPr="00806B36">
        <w:t>Comparator</w:t>
      </w:r>
      <w:bookmarkEnd w:id="14"/>
    </w:p>
    <w:p w14:paraId="2D6EF10E" w14:textId="29308CDF" w:rsidR="00C34D5D" w:rsidRPr="00806B36" w:rsidRDefault="00703A9B" w:rsidP="00882E3C">
      <w:pPr>
        <w:pStyle w:val="COMexecsumnumberedpara"/>
        <w:rPr>
          <w:snapToGrid/>
        </w:rPr>
      </w:pPr>
      <w:r w:rsidRPr="00806B36">
        <w:rPr>
          <w:snapToGrid/>
        </w:rPr>
        <w:t xml:space="preserve">The submission nominated best supportive care as the main comparator. </w:t>
      </w:r>
      <w:r w:rsidR="00C34D5D" w:rsidRPr="00806B36">
        <w:rPr>
          <w:snapToGrid/>
        </w:rPr>
        <w:t>The ESC considered this was reasonable.</w:t>
      </w:r>
    </w:p>
    <w:p w14:paraId="747A75CC" w14:textId="34E0C193" w:rsidR="00A05472" w:rsidRPr="00806B36" w:rsidRDefault="00703A9B" w:rsidP="00882E3C">
      <w:pPr>
        <w:pStyle w:val="COMexecsumnumberedpara"/>
        <w:rPr>
          <w:snapToGrid/>
        </w:rPr>
      </w:pPr>
      <w:r w:rsidRPr="00806B36">
        <w:rPr>
          <w:snapToGrid/>
        </w:rPr>
        <w:t>The submission claimed that difelikefalin would be used in addition to best supportive and not as alternative treatment. This was reasonable given the proposed place in therapy and restriction positions difelikefalin for the treatment of patients with persistent pruritus despite best supportive care.</w:t>
      </w:r>
      <w:r w:rsidR="00C34D5D" w:rsidRPr="00806B36">
        <w:rPr>
          <w:snapToGrid/>
        </w:rPr>
        <w:t xml:space="preserve"> </w:t>
      </w:r>
    </w:p>
    <w:p w14:paraId="5D592703" w14:textId="2982C18D" w:rsidR="00703A9B" w:rsidRPr="00806B36" w:rsidRDefault="00703A9B" w:rsidP="00882E3C">
      <w:pPr>
        <w:pStyle w:val="COMexecsumnumberedpara"/>
        <w:rPr>
          <w:snapToGrid/>
        </w:rPr>
      </w:pPr>
      <w:bookmarkStart w:id="15" w:name="_Ref130803868"/>
      <w:r w:rsidRPr="00806B36">
        <w:rPr>
          <w:snapToGrid/>
        </w:rPr>
        <w:t>The submission claimed that there are currently no treatments that are approved specifically for the treatment of CKD-associated pruritus. The submission listed a range of interventions that are part of best supportive care including the optimisation of dialysis and skin hydration (with the use of topical emollients, moisturisers, barrier creams) as well as off-label use of systemic treatments such as antihistamines, gabapentinoids, antidepressants or UVB therapy. The listed treatments were largely based on literature reviews and expert opinion due to a lack of formal guidelines and high-quality evidence for both pharmacological and non-pharmacological interventions. There was consensus amongst the published reviews, however, that patients on haemodialysis with persistent pruritus should consider kidney transplantation as symptoms would generally resolve following transplantation.</w:t>
      </w:r>
      <w:bookmarkEnd w:id="15"/>
    </w:p>
    <w:p w14:paraId="1220411F" w14:textId="5F7B70FD" w:rsidR="0011539F" w:rsidRPr="00806B36" w:rsidRDefault="00BD23E8" w:rsidP="00BF3E39">
      <w:pPr>
        <w:pStyle w:val="COMexecsumnumberedpara"/>
        <w:rPr>
          <w:snapToGrid/>
        </w:rPr>
      </w:pPr>
      <w:r w:rsidRPr="00806B36">
        <w:rPr>
          <w:snapToGrid/>
        </w:rPr>
        <w:t xml:space="preserve">The submission claimed that the off-label use of systemic treatments was consistent with the pivotal trials of difelikefalin as these therapies were permitted as concomitant treatment. </w:t>
      </w:r>
      <w:r w:rsidR="0011539F" w:rsidRPr="00806B36">
        <w:rPr>
          <w:snapToGrid/>
        </w:rPr>
        <w:t>The submission acknowledged</w:t>
      </w:r>
      <w:r w:rsidR="007D6F14" w:rsidRPr="00806B36">
        <w:rPr>
          <w:snapToGrid/>
        </w:rPr>
        <w:t>, however,</w:t>
      </w:r>
      <w:r w:rsidR="0011539F" w:rsidRPr="00806B36">
        <w:rPr>
          <w:snapToGrid/>
        </w:rPr>
        <w:t xml:space="preserve"> that the use of best supportive care measures in the Australian setting is unclear. The submission claimed the relative effectiveness of the identified interventions is uncertain given the weak body of evidence and the cost-effectiveness of these treatments for CKD-associated pruritus has not previously been considered by the PBAC. Overall, the </w:t>
      </w:r>
      <w:r w:rsidR="00C34D5D" w:rsidRPr="00806B36">
        <w:rPr>
          <w:snapToGrid/>
        </w:rPr>
        <w:t xml:space="preserve">ESC agreed with the evaluation that the </w:t>
      </w:r>
      <w:r w:rsidR="0011539F" w:rsidRPr="00806B36">
        <w:rPr>
          <w:snapToGrid/>
        </w:rPr>
        <w:t>management of CKD-associated pruritus in practice is not well-defined.</w:t>
      </w:r>
      <w:r w:rsidR="00741369" w:rsidRPr="00806B36">
        <w:rPr>
          <w:snapToGrid/>
        </w:rPr>
        <w:t xml:space="preserve"> </w:t>
      </w:r>
    </w:p>
    <w:p w14:paraId="036A82EE" w14:textId="77777777" w:rsidR="00741369" w:rsidRPr="00806B36" w:rsidRDefault="00741369" w:rsidP="00741369">
      <w:pPr>
        <w:ind w:firstLine="709"/>
        <w:rPr>
          <w:rFonts w:asciiTheme="minorHAnsi" w:hAnsiTheme="minorHAnsi"/>
          <w:i/>
        </w:rPr>
      </w:pPr>
      <w:r w:rsidRPr="00806B36">
        <w:rPr>
          <w:rFonts w:asciiTheme="minorHAnsi" w:hAnsiTheme="minorHAnsi"/>
          <w:i/>
        </w:rPr>
        <w:t>For more detail on PBAC’s view, see section 7 PBAC outcome.</w:t>
      </w:r>
    </w:p>
    <w:p w14:paraId="7F9C27C8" w14:textId="73EBD390" w:rsidR="00223D5A" w:rsidRPr="00806B36" w:rsidRDefault="00223D5A" w:rsidP="0089087A">
      <w:pPr>
        <w:pStyle w:val="COMH1numbered"/>
      </w:pPr>
      <w:bookmarkStart w:id="16" w:name="_Toc124836718"/>
      <w:r w:rsidRPr="00806B36">
        <w:t>Consideration of the evidence</w:t>
      </w:r>
      <w:bookmarkStart w:id="17" w:name="_Toc22897640"/>
      <w:bookmarkEnd w:id="16"/>
    </w:p>
    <w:p w14:paraId="5C1ED8D6" w14:textId="77777777" w:rsidR="009770E4" w:rsidRPr="00806B36" w:rsidRDefault="009770E4" w:rsidP="00B854DE">
      <w:pPr>
        <w:pStyle w:val="COMH2-non-numbered"/>
      </w:pPr>
      <w:bookmarkStart w:id="18" w:name="_Hlk76375935"/>
      <w:bookmarkStart w:id="19" w:name="_Toc124836719"/>
      <w:r w:rsidRPr="00806B36">
        <w:t>Sponsor hearing</w:t>
      </w:r>
    </w:p>
    <w:p w14:paraId="26717989" w14:textId="68F7B77A" w:rsidR="009770E4" w:rsidRPr="00806B36" w:rsidRDefault="009770E4" w:rsidP="009770E4">
      <w:pPr>
        <w:widowControl w:val="0"/>
        <w:numPr>
          <w:ilvl w:val="1"/>
          <w:numId w:val="1"/>
        </w:numPr>
        <w:spacing w:after="120"/>
        <w:rPr>
          <w:rFonts w:asciiTheme="minorHAnsi" w:hAnsiTheme="minorHAnsi"/>
          <w:bCs/>
          <w:snapToGrid w:val="0"/>
        </w:rPr>
      </w:pPr>
      <w:bookmarkStart w:id="20" w:name="_Hlk76382586"/>
      <w:r w:rsidRPr="00806B36">
        <w:rPr>
          <w:rFonts w:asciiTheme="minorHAnsi" w:hAnsiTheme="minorHAnsi"/>
          <w:bCs/>
          <w:snapToGrid w:val="0"/>
        </w:rPr>
        <w:t xml:space="preserve">The sponsor requested a hearing for this item. The clinician </w:t>
      </w:r>
      <w:r w:rsidR="00ED7EB1" w:rsidRPr="00806B36">
        <w:rPr>
          <w:rFonts w:asciiTheme="minorHAnsi" w:hAnsiTheme="minorHAnsi"/>
          <w:bCs/>
          <w:snapToGrid w:val="0"/>
        </w:rPr>
        <w:t xml:space="preserve">highlighted the impact of pruritus in patients with CKD undergoing dialysis, the lack of treatment options with good quality evidence and the need for effective treatment options. The clinician also discussed the proposed PBS restriction and stated that the measurement of itch severity was subjective, although </w:t>
      </w:r>
      <w:r w:rsidR="00B7166B" w:rsidRPr="00806B36">
        <w:rPr>
          <w:rFonts w:asciiTheme="minorHAnsi" w:hAnsiTheme="minorHAnsi"/>
          <w:bCs/>
          <w:snapToGrid w:val="0"/>
        </w:rPr>
        <w:t xml:space="preserve">simple </w:t>
      </w:r>
      <w:r w:rsidR="00ED7EB1" w:rsidRPr="00806B36">
        <w:rPr>
          <w:rFonts w:asciiTheme="minorHAnsi" w:hAnsiTheme="minorHAnsi"/>
          <w:bCs/>
          <w:snapToGrid w:val="0"/>
        </w:rPr>
        <w:t>tools like rating scales were used in the difelikefalin clinical trials</w:t>
      </w:r>
      <w:r w:rsidR="00B7166B" w:rsidRPr="00806B36">
        <w:rPr>
          <w:rFonts w:asciiTheme="minorHAnsi" w:hAnsiTheme="minorHAnsi"/>
          <w:bCs/>
          <w:snapToGrid w:val="0"/>
        </w:rPr>
        <w:t xml:space="preserve">. The clinician </w:t>
      </w:r>
      <w:r w:rsidR="00ED7EB1" w:rsidRPr="00806B36">
        <w:rPr>
          <w:rFonts w:asciiTheme="minorHAnsi" w:hAnsiTheme="minorHAnsi"/>
          <w:bCs/>
          <w:snapToGrid w:val="0"/>
        </w:rPr>
        <w:t xml:space="preserve">further stated </w:t>
      </w:r>
      <w:r w:rsidR="00B7166B" w:rsidRPr="00806B36">
        <w:rPr>
          <w:rFonts w:asciiTheme="minorHAnsi" w:hAnsiTheme="minorHAnsi"/>
          <w:bCs/>
          <w:snapToGrid w:val="0"/>
        </w:rPr>
        <w:t xml:space="preserve">that </w:t>
      </w:r>
      <w:r w:rsidR="00ED7EB1" w:rsidRPr="00806B36">
        <w:rPr>
          <w:rFonts w:asciiTheme="minorHAnsi" w:hAnsiTheme="minorHAnsi"/>
          <w:bCs/>
          <w:snapToGrid w:val="0"/>
        </w:rPr>
        <w:t xml:space="preserve">use with patients in mild disease was unlikely to occur regularly in practice and that clinicians would </w:t>
      </w:r>
      <w:r w:rsidR="00B7166B" w:rsidRPr="00806B36">
        <w:rPr>
          <w:rFonts w:asciiTheme="minorHAnsi" w:hAnsiTheme="minorHAnsi"/>
          <w:bCs/>
          <w:snapToGrid w:val="0"/>
        </w:rPr>
        <w:t xml:space="preserve">be unlikely to </w:t>
      </w:r>
      <w:r w:rsidR="00ED7EB1" w:rsidRPr="00806B36">
        <w:rPr>
          <w:rFonts w:asciiTheme="minorHAnsi" w:hAnsiTheme="minorHAnsi"/>
          <w:bCs/>
          <w:snapToGrid w:val="0"/>
        </w:rPr>
        <w:t>continue patients on treatment if it was not helpful for them.</w:t>
      </w:r>
    </w:p>
    <w:bookmarkEnd w:id="20"/>
    <w:p w14:paraId="025760ED" w14:textId="77777777" w:rsidR="009770E4" w:rsidRPr="00806B36" w:rsidRDefault="009770E4" w:rsidP="00B854DE">
      <w:pPr>
        <w:pStyle w:val="COMH2-non-numbered"/>
      </w:pPr>
      <w:r w:rsidRPr="00806B36">
        <w:t>Consumer comments</w:t>
      </w:r>
    </w:p>
    <w:p w14:paraId="6D2E0D75" w14:textId="0246A2EF" w:rsidR="009770E4" w:rsidRPr="00806B36" w:rsidRDefault="009770E4" w:rsidP="009770E4">
      <w:pPr>
        <w:widowControl w:val="0"/>
        <w:numPr>
          <w:ilvl w:val="1"/>
          <w:numId w:val="1"/>
        </w:numPr>
        <w:spacing w:after="120"/>
        <w:rPr>
          <w:rFonts w:asciiTheme="minorHAnsi" w:hAnsiTheme="minorHAnsi"/>
          <w:bCs/>
          <w:snapToGrid w:val="0"/>
        </w:rPr>
      </w:pPr>
      <w:bookmarkStart w:id="21" w:name="_Hlk76382618"/>
      <w:r w:rsidRPr="00806B36">
        <w:rPr>
          <w:rFonts w:asciiTheme="minorHAnsi" w:hAnsiTheme="minorHAnsi"/>
          <w:bCs/>
          <w:snapToGrid w:val="0"/>
        </w:rPr>
        <w:t>The PBAC noted and welcomed the input from health care professionals (</w:t>
      </w:r>
      <w:r w:rsidR="00B64F8D" w:rsidRPr="00806B36">
        <w:rPr>
          <w:rFonts w:asciiTheme="minorHAnsi" w:hAnsiTheme="minorHAnsi"/>
          <w:bCs/>
          <w:snapToGrid w:val="0"/>
        </w:rPr>
        <w:t>2</w:t>
      </w:r>
      <w:r w:rsidRPr="00806B36">
        <w:rPr>
          <w:rFonts w:asciiTheme="minorHAnsi" w:hAnsiTheme="minorHAnsi"/>
          <w:bCs/>
          <w:snapToGrid w:val="0"/>
        </w:rPr>
        <w:t>) and organisations (</w:t>
      </w:r>
      <w:r w:rsidR="00B64F8D" w:rsidRPr="00806B36">
        <w:rPr>
          <w:rFonts w:asciiTheme="minorHAnsi" w:hAnsiTheme="minorHAnsi"/>
          <w:bCs/>
          <w:snapToGrid w:val="0"/>
        </w:rPr>
        <w:t>3</w:t>
      </w:r>
      <w:r w:rsidRPr="00806B36">
        <w:rPr>
          <w:rFonts w:asciiTheme="minorHAnsi" w:hAnsiTheme="minorHAnsi"/>
          <w:bCs/>
          <w:snapToGrid w:val="0"/>
        </w:rPr>
        <w:t xml:space="preserve">) via the Consumer Comments facility on the PBS website. The comments </w:t>
      </w:r>
      <w:r w:rsidR="007D2532" w:rsidRPr="00806B36">
        <w:rPr>
          <w:rFonts w:asciiTheme="minorHAnsi" w:hAnsiTheme="minorHAnsi"/>
          <w:bCs/>
          <w:snapToGrid w:val="0"/>
        </w:rPr>
        <w:t xml:space="preserve">from health care professionals </w:t>
      </w:r>
      <w:r w:rsidRPr="00806B36">
        <w:rPr>
          <w:rFonts w:asciiTheme="minorHAnsi" w:hAnsiTheme="minorHAnsi"/>
          <w:bCs/>
          <w:snapToGrid w:val="0"/>
        </w:rPr>
        <w:t xml:space="preserve">described </w:t>
      </w:r>
      <w:r w:rsidR="00343ABA" w:rsidRPr="00806B36">
        <w:rPr>
          <w:rFonts w:asciiTheme="minorHAnsi" w:hAnsiTheme="minorHAnsi"/>
          <w:bCs/>
          <w:snapToGrid w:val="0"/>
        </w:rPr>
        <w:t>the</w:t>
      </w:r>
      <w:r w:rsidR="007D2532" w:rsidRPr="00806B36">
        <w:rPr>
          <w:rFonts w:asciiTheme="minorHAnsi" w:hAnsiTheme="minorHAnsi"/>
          <w:bCs/>
          <w:snapToGrid w:val="0"/>
        </w:rPr>
        <w:t xml:space="preserve"> </w:t>
      </w:r>
      <w:r w:rsidR="00343ABA" w:rsidRPr="00806B36">
        <w:rPr>
          <w:rFonts w:asciiTheme="minorHAnsi" w:hAnsiTheme="minorHAnsi"/>
          <w:bCs/>
          <w:snapToGrid w:val="0"/>
        </w:rPr>
        <w:t>high prevalence of pruritus symptoms in the CKD population undergoing dialysis</w:t>
      </w:r>
      <w:r w:rsidR="007D2532" w:rsidRPr="00806B36">
        <w:rPr>
          <w:rFonts w:asciiTheme="minorHAnsi" w:hAnsiTheme="minorHAnsi"/>
          <w:bCs/>
          <w:snapToGrid w:val="0"/>
        </w:rPr>
        <w:t xml:space="preserve"> and </w:t>
      </w:r>
      <w:r w:rsidR="00343ABA" w:rsidRPr="00806B36">
        <w:rPr>
          <w:rFonts w:asciiTheme="minorHAnsi" w:hAnsiTheme="minorHAnsi"/>
          <w:bCs/>
          <w:snapToGrid w:val="0"/>
        </w:rPr>
        <w:t xml:space="preserve">the impact on </w:t>
      </w:r>
      <w:r w:rsidR="007D2532" w:rsidRPr="00806B36">
        <w:rPr>
          <w:rFonts w:asciiTheme="minorHAnsi" w:hAnsiTheme="minorHAnsi"/>
          <w:bCs/>
          <w:snapToGrid w:val="0"/>
        </w:rPr>
        <w:t xml:space="preserve">patients </w:t>
      </w:r>
      <w:r w:rsidR="00343ABA" w:rsidRPr="00806B36">
        <w:rPr>
          <w:rFonts w:asciiTheme="minorHAnsi" w:hAnsiTheme="minorHAnsi"/>
          <w:bCs/>
          <w:snapToGrid w:val="0"/>
        </w:rPr>
        <w:t>quality of life</w:t>
      </w:r>
      <w:r w:rsidR="007D2532" w:rsidRPr="00806B36">
        <w:rPr>
          <w:rFonts w:asciiTheme="minorHAnsi" w:hAnsiTheme="minorHAnsi"/>
          <w:bCs/>
          <w:snapToGrid w:val="0"/>
        </w:rPr>
        <w:t>, especially for those with intractable itch. The comments also noted the</w:t>
      </w:r>
      <w:r w:rsidR="00343ABA" w:rsidRPr="00806B36">
        <w:rPr>
          <w:rFonts w:asciiTheme="minorHAnsi" w:hAnsiTheme="minorHAnsi"/>
          <w:bCs/>
          <w:snapToGrid w:val="0"/>
        </w:rPr>
        <w:t xml:space="preserve"> lack of effective treatments for patients with moderate to severe symptoms</w:t>
      </w:r>
      <w:r w:rsidR="003661D5" w:rsidRPr="00806B36">
        <w:rPr>
          <w:rFonts w:asciiTheme="minorHAnsi" w:hAnsiTheme="minorHAnsi"/>
          <w:bCs/>
          <w:snapToGrid w:val="0"/>
        </w:rPr>
        <w:t xml:space="preserve"> </w:t>
      </w:r>
      <w:r w:rsidR="003661D5" w:rsidRPr="00806B36">
        <w:t>and the problems with tolerability and side-effects with existing treatments for some patients</w:t>
      </w:r>
      <w:r w:rsidR="00343ABA" w:rsidRPr="00806B36">
        <w:rPr>
          <w:rFonts w:asciiTheme="minorHAnsi" w:hAnsiTheme="minorHAnsi"/>
          <w:bCs/>
          <w:snapToGrid w:val="0"/>
        </w:rPr>
        <w:t xml:space="preserve">. </w:t>
      </w:r>
    </w:p>
    <w:p w14:paraId="1AC7258A" w14:textId="009C56DE" w:rsidR="009770E4" w:rsidRPr="00806B36" w:rsidRDefault="009770E4" w:rsidP="009770E4">
      <w:pPr>
        <w:widowControl w:val="0"/>
        <w:numPr>
          <w:ilvl w:val="1"/>
          <w:numId w:val="1"/>
        </w:numPr>
        <w:spacing w:after="120"/>
        <w:rPr>
          <w:rFonts w:asciiTheme="minorHAnsi" w:hAnsiTheme="minorHAnsi"/>
          <w:bCs/>
          <w:snapToGrid w:val="0"/>
        </w:rPr>
      </w:pPr>
      <w:r w:rsidRPr="00806B36">
        <w:rPr>
          <w:rFonts w:asciiTheme="minorHAnsi" w:hAnsiTheme="minorHAnsi"/>
          <w:bCs/>
          <w:snapToGrid w:val="0"/>
        </w:rPr>
        <w:t xml:space="preserve">The PBAC noted the advice received from </w:t>
      </w:r>
      <w:r w:rsidR="009B4156" w:rsidRPr="00806B36">
        <w:rPr>
          <w:rFonts w:asciiTheme="minorHAnsi" w:hAnsiTheme="minorHAnsi"/>
          <w:bCs/>
          <w:snapToGrid w:val="0"/>
        </w:rPr>
        <w:t>Kidney Health Australia, the Australian and New Zealand Society of Nephrology (ANZSN) and the Renal Society of Australia</w:t>
      </w:r>
      <w:r w:rsidRPr="00806B36">
        <w:rPr>
          <w:rFonts w:asciiTheme="minorHAnsi" w:hAnsiTheme="minorHAnsi"/>
          <w:bCs/>
          <w:snapToGrid w:val="0"/>
        </w:rPr>
        <w:t xml:space="preserve"> </w:t>
      </w:r>
      <w:r w:rsidR="009B4156" w:rsidRPr="00806B36">
        <w:rPr>
          <w:rFonts w:asciiTheme="minorHAnsi" w:hAnsiTheme="minorHAnsi"/>
          <w:bCs/>
          <w:snapToGrid w:val="0"/>
        </w:rPr>
        <w:t>discussing the impact of pruritus on the quality of life of patients with CKD, issues with current treatment options and the apparent benefits of difelikefalin based on the KALM trials</w:t>
      </w:r>
      <w:r w:rsidR="007D2532" w:rsidRPr="00806B36">
        <w:rPr>
          <w:rFonts w:asciiTheme="minorHAnsi" w:hAnsiTheme="minorHAnsi"/>
          <w:bCs/>
          <w:snapToGrid w:val="0"/>
        </w:rPr>
        <w:t xml:space="preserve">. The advice also noted </w:t>
      </w:r>
      <w:r w:rsidR="006303D9" w:rsidRPr="00806B36">
        <w:rPr>
          <w:rFonts w:asciiTheme="minorHAnsi" w:hAnsiTheme="minorHAnsi"/>
          <w:bCs/>
          <w:snapToGrid w:val="0"/>
        </w:rPr>
        <w:t>the limitations of</w:t>
      </w:r>
      <w:r w:rsidR="007D2532" w:rsidRPr="00806B36">
        <w:rPr>
          <w:rFonts w:asciiTheme="minorHAnsi" w:hAnsiTheme="minorHAnsi"/>
          <w:bCs/>
          <w:snapToGrid w:val="0"/>
        </w:rPr>
        <w:t xml:space="preserve"> the</w:t>
      </w:r>
      <w:r w:rsidR="006303D9" w:rsidRPr="00806B36">
        <w:rPr>
          <w:rFonts w:asciiTheme="minorHAnsi" w:hAnsiTheme="minorHAnsi"/>
          <w:bCs/>
          <w:snapToGrid w:val="0"/>
        </w:rPr>
        <w:t xml:space="preserve"> IV route of administration </w:t>
      </w:r>
      <w:r w:rsidR="007D2532" w:rsidRPr="00806B36">
        <w:rPr>
          <w:rFonts w:asciiTheme="minorHAnsi" w:hAnsiTheme="minorHAnsi"/>
          <w:bCs/>
          <w:snapToGrid w:val="0"/>
        </w:rPr>
        <w:t xml:space="preserve">difelikefalin which effectively restricts use </w:t>
      </w:r>
      <w:r w:rsidR="006303D9" w:rsidRPr="00806B36">
        <w:rPr>
          <w:rFonts w:asciiTheme="minorHAnsi" w:hAnsiTheme="minorHAnsi"/>
          <w:bCs/>
          <w:snapToGrid w:val="0"/>
        </w:rPr>
        <w:t>to patients receiving haemodialysis</w:t>
      </w:r>
      <w:r w:rsidR="009B4156" w:rsidRPr="00806B36">
        <w:rPr>
          <w:rFonts w:asciiTheme="minorHAnsi" w:hAnsiTheme="minorHAnsi"/>
          <w:bCs/>
          <w:snapToGrid w:val="0"/>
        </w:rPr>
        <w:t xml:space="preserve">. The PBAC noted the input from Kidney Health Australia discussed pruritus symptoms in the CKD population as being a particularly distressing symptom associated with advanced kidney disease and highlighted the effectiveness and </w:t>
      </w:r>
      <w:r w:rsidR="00D030E2" w:rsidRPr="00806B36">
        <w:rPr>
          <w:rFonts w:asciiTheme="minorHAnsi" w:hAnsiTheme="minorHAnsi"/>
          <w:bCs/>
          <w:snapToGrid w:val="0"/>
        </w:rPr>
        <w:t>tolerability of difelikefalin. The Committee also noted the input from the ANZSN which outlined the impacts of pruritus in patients with CKD, including disturbed sleep, lethargy, fatigue, depression and poor life participation</w:t>
      </w:r>
      <w:r w:rsidR="007D2532" w:rsidRPr="00806B36">
        <w:rPr>
          <w:rFonts w:asciiTheme="minorHAnsi" w:hAnsiTheme="minorHAnsi"/>
          <w:bCs/>
          <w:snapToGrid w:val="0"/>
        </w:rPr>
        <w:t xml:space="preserve">. The input from ANZSN also </w:t>
      </w:r>
      <w:r w:rsidR="006303D9" w:rsidRPr="00806B36">
        <w:rPr>
          <w:rFonts w:asciiTheme="minorHAnsi" w:hAnsiTheme="minorHAnsi"/>
          <w:bCs/>
          <w:snapToGrid w:val="0"/>
        </w:rPr>
        <w:t>discussed the adverse events associated with off-label use of the gabapentinoid family of drugs, which can cause sedation, confusion and dizziness. The PBAC also noted the input from the Renal Society of Australia, which discussed the wide range of treatments which were often used in CKD-associated pruritus including moisturisers, antihistamines, gabapentinoids, phosphate binders, phot</w:t>
      </w:r>
      <w:r w:rsidR="007D2532" w:rsidRPr="00806B36">
        <w:rPr>
          <w:rFonts w:asciiTheme="minorHAnsi" w:hAnsiTheme="minorHAnsi"/>
          <w:bCs/>
          <w:snapToGrid w:val="0"/>
        </w:rPr>
        <w:t>ot</w:t>
      </w:r>
      <w:r w:rsidR="006303D9" w:rsidRPr="00806B36">
        <w:rPr>
          <w:rFonts w:asciiTheme="minorHAnsi" w:hAnsiTheme="minorHAnsi"/>
          <w:bCs/>
          <w:snapToGrid w:val="0"/>
        </w:rPr>
        <w:t>herapy, corticosteroids and other treatments and highlighted the mostly unproven and often ineffective nature of current treatment options.</w:t>
      </w:r>
    </w:p>
    <w:bookmarkEnd w:id="18"/>
    <w:bookmarkEnd w:id="21"/>
    <w:p w14:paraId="609C0765" w14:textId="165DDBF5" w:rsidR="00B60939" w:rsidRPr="00806B36" w:rsidRDefault="00B60939" w:rsidP="002E4F02">
      <w:pPr>
        <w:pStyle w:val="COMH2-non-numbered"/>
      </w:pPr>
      <w:r w:rsidRPr="00806B36">
        <w:t>Clinical trials</w:t>
      </w:r>
      <w:bookmarkEnd w:id="17"/>
      <w:bookmarkEnd w:id="19"/>
    </w:p>
    <w:p w14:paraId="17DE34DC" w14:textId="79A0C440" w:rsidR="007F1017" w:rsidRPr="00806B36" w:rsidRDefault="001D1B7F" w:rsidP="001D1B7F">
      <w:pPr>
        <w:pStyle w:val="COMexecsumnumberedpara"/>
      </w:pPr>
      <w:r w:rsidRPr="00806B36">
        <w:t>The submission was based on individual trial results and post hoc pooled analyses of data from two head-to-head trials of intravenous difelikefalin versus placebo, conducted in the US (KALM-1) and globally (KALM-2) in patients on haemodialysis with moderate to severe CKD-associated pruritus.</w:t>
      </w:r>
    </w:p>
    <w:p w14:paraId="5F4951CF" w14:textId="117ED1F9" w:rsidR="00BB1A56" w:rsidRPr="00806B36" w:rsidRDefault="00972AFD" w:rsidP="003B27BF">
      <w:pPr>
        <w:pStyle w:val="COMexecsumnumberedpara"/>
      </w:pPr>
      <w:r w:rsidRPr="00806B36">
        <w:t xml:space="preserve">The submission also included supportive </w:t>
      </w:r>
      <w:r w:rsidR="006B6790" w:rsidRPr="00806B36">
        <w:t xml:space="preserve">data </w:t>
      </w:r>
      <w:r w:rsidR="003D7570" w:rsidRPr="00806B36">
        <w:t>based on</w:t>
      </w:r>
      <w:r w:rsidR="00BD263D" w:rsidRPr="00806B36">
        <w:t xml:space="preserve"> pooled analyses using data from the KALM-1 and KALM-2 trials and open-label extensions (Topf 2022)</w:t>
      </w:r>
      <w:r w:rsidRPr="00806B36">
        <w:t xml:space="preserve"> and </w:t>
      </w:r>
      <w:r w:rsidR="006408F4" w:rsidRPr="00806B36">
        <w:t>pooled analyses of safety data from the broader Phase III clinical trial program of difelikefalin for treatment of CKD-associated pruritus in haemodialysis patients</w:t>
      </w:r>
      <w:r w:rsidR="006B6790" w:rsidRPr="00806B36">
        <w:t xml:space="preserve"> (Fishbane 2022)</w:t>
      </w:r>
      <w:r w:rsidR="006408F4" w:rsidRPr="00806B36">
        <w:t xml:space="preserve">. </w:t>
      </w:r>
    </w:p>
    <w:p w14:paraId="2B59ABAC" w14:textId="3A30FA92" w:rsidR="00862502" w:rsidRPr="00806B36" w:rsidRDefault="00A73134" w:rsidP="002E4F02">
      <w:pPr>
        <w:pStyle w:val="COMexecsumnumberedpara"/>
      </w:pPr>
      <w:r w:rsidRPr="00806B36">
        <w:rPr>
          <w:snapToGrid/>
        </w:rPr>
        <w:t xml:space="preserve">Details of the trials presented in the submission are provided in </w:t>
      </w:r>
      <w:r w:rsidR="00275A1B" w:rsidRPr="00806B36">
        <w:rPr>
          <w:snapToGrid/>
        </w:rPr>
        <w:fldChar w:fldCharType="begin"/>
      </w:r>
      <w:r w:rsidR="00275A1B" w:rsidRPr="00806B36">
        <w:rPr>
          <w:snapToGrid/>
        </w:rPr>
        <w:instrText xml:space="preserve"> REF _Ref121657109 \h </w:instrText>
      </w:r>
      <w:r w:rsidR="008D67DF" w:rsidRPr="00806B36">
        <w:rPr>
          <w:snapToGrid/>
        </w:rPr>
        <w:instrText xml:space="preserve"> \* MERGEFORMAT </w:instrText>
      </w:r>
      <w:r w:rsidR="00275A1B" w:rsidRPr="00806B36">
        <w:rPr>
          <w:snapToGrid/>
        </w:rPr>
      </w:r>
      <w:r w:rsidR="00275A1B" w:rsidRPr="00806B36">
        <w:rPr>
          <w:snapToGrid/>
        </w:rPr>
        <w:fldChar w:fldCharType="separate"/>
      </w:r>
      <w:r w:rsidR="00487C7F" w:rsidRPr="00806B36">
        <w:t xml:space="preserve">Table </w:t>
      </w:r>
      <w:r w:rsidR="00487C7F">
        <w:t>2</w:t>
      </w:r>
      <w:r w:rsidR="00275A1B" w:rsidRPr="00806B36">
        <w:rPr>
          <w:snapToGrid/>
        </w:rPr>
        <w:fldChar w:fldCharType="end"/>
      </w:r>
      <w:r w:rsidRPr="00806B36">
        <w:rPr>
          <w:snapToGrid/>
        </w:rPr>
        <w:t>.</w:t>
      </w:r>
      <w:r w:rsidR="00BC591F" w:rsidRPr="00806B36">
        <w:rPr>
          <w:snapToGrid/>
        </w:rPr>
        <w:t xml:space="preserve"> </w:t>
      </w:r>
    </w:p>
    <w:p w14:paraId="11167A22" w14:textId="27425E80" w:rsidR="009D6FCD" w:rsidRPr="00806B36" w:rsidRDefault="008E1F17" w:rsidP="004B37E5">
      <w:pPr>
        <w:pStyle w:val="COMtablefigcaption"/>
        <w:keepLines/>
      </w:pPr>
      <w:bookmarkStart w:id="22" w:name="_Ref121657109"/>
      <w:bookmarkStart w:id="23" w:name="_Ref121657103"/>
      <w:r w:rsidRPr="00806B36">
        <w:t>Table</w:t>
      </w:r>
      <w:r w:rsidR="009D6FCD" w:rsidRPr="00806B36">
        <w:t xml:space="preserve"> </w:t>
      </w:r>
      <w:r w:rsidR="00487C7F">
        <w:fldChar w:fldCharType="begin"/>
      </w:r>
      <w:r w:rsidR="00487C7F">
        <w:instrText xml:space="preserve"> SEQ Table \* ARABIC </w:instrText>
      </w:r>
      <w:r w:rsidR="00487C7F">
        <w:fldChar w:fldCharType="separate"/>
      </w:r>
      <w:r w:rsidR="00487C7F">
        <w:rPr>
          <w:noProof/>
        </w:rPr>
        <w:t>2</w:t>
      </w:r>
      <w:r w:rsidR="00487C7F">
        <w:rPr>
          <w:noProof/>
        </w:rPr>
        <w:fldChar w:fldCharType="end"/>
      </w:r>
      <w:bookmarkEnd w:id="22"/>
      <w:r w:rsidR="009D6FCD" w:rsidRPr="00806B36">
        <w:t>: Trials and associated reports presented in the submission</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378"/>
        <w:gridCol w:w="2204"/>
      </w:tblGrid>
      <w:tr w:rsidR="009D6FCD" w:rsidRPr="00806B36" w14:paraId="21B9BD96" w14:textId="77777777" w:rsidTr="00B4390F">
        <w:trPr>
          <w:cantSplit/>
          <w:tblHeader/>
        </w:trPr>
        <w:tc>
          <w:tcPr>
            <w:tcW w:w="796" w:type="pct"/>
            <w:vAlign w:val="center"/>
          </w:tcPr>
          <w:p w14:paraId="1FE14891" w14:textId="77777777" w:rsidR="009D6FCD" w:rsidRPr="00806B36" w:rsidRDefault="009D6FCD" w:rsidP="004B37E5">
            <w:pPr>
              <w:pStyle w:val="COMTableheadingrow"/>
              <w:keepLines/>
              <w:widowControl w:val="0"/>
              <w:rPr>
                <w:lang w:val="en-AU"/>
              </w:rPr>
            </w:pPr>
            <w:r w:rsidRPr="00806B36">
              <w:rPr>
                <w:lang w:val="en-AU"/>
              </w:rPr>
              <w:t>Trial ID</w:t>
            </w:r>
          </w:p>
        </w:tc>
        <w:tc>
          <w:tcPr>
            <w:tcW w:w="2982" w:type="pct"/>
            <w:vAlign w:val="center"/>
          </w:tcPr>
          <w:p w14:paraId="20A9ACB5" w14:textId="77777777" w:rsidR="009D6FCD" w:rsidRPr="00806B36" w:rsidRDefault="009D6FCD" w:rsidP="004B37E5">
            <w:pPr>
              <w:pStyle w:val="COMTableheadingrow"/>
              <w:keepLines/>
              <w:widowControl w:val="0"/>
              <w:rPr>
                <w:lang w:val="en-AU"/>
              </w:rPr>
            </w:pPr>
            <w:r w:rsidRPr="00806B36">
              <w:rPr>
                <w:lang w:val="en-AU"/>
              </w:rPr>
              <w:t>Protocol title/ Publication title</w:t>
            </w:r>
          </w:p>
        </w:tc>
        <w:tc>
          <w:tcPr>
            <w:tcW w:w="1223" w:type="pct"/>
            <w:vAlign w:val="center"/>
          </w:tcPr>
          <w:p w14:paraId="285360EA" w14:textId="77777777" w:rsidR="009D6FCD" w:rsidRPr="00806B36" w:rsidRDefault="009D6FCD" w:rsidP="004B37E5">
            <w:pPr>
              <w:pStyle w:val="COMTableheadingrow"/>
              <w:keepLines/>
              <w:widowControl w:val="0"/>
              <w:rPr>
                <w:lang w:val="en-AU"/>
              </w:rPr>
            </w:pPr>
            <w:r w:rsidRPr="00806B36">
              <w:rPr>
                <w:lang w:val="en-AU"/>
              </w:rPr>
              <w:t>Publication citation</w:t>
            </w:r>
          </w:p>
        </w:tc>
      </w:tr>
      <w:tr w:rsidR="009D6FCD" w:rsidRPr="00806B36" w14:paraId="51AECF9B" w14:textId="77777777" w:rsidTr="0049704D">
        <w:trPr>
          <w:cantSplit/>
        </w:trPr>
        <w:tc>
          <w:tcPr>
            <w:tcW w:w="5000" w:type="pct"/>
            <w:gridSpan w:val="3"/>
            <w:vAlign w:val="center"/>
          </w:tcPr>
          <w:p w14:paraId="6DAAEF64" w14:textId="77777777" w:rsidR="009D6FCD" w:rsidRPr="00806B36" w:rsidRDefault="009D6FCD" w:rsidP="004B37E5">
            <w:pPr>
              <w:pStyle w:val="COMTableheadingrow"/>
              <w:keepLines/>
              <w:widowControl w:val="0"/>
              <w:rPr>
                <w:lang w:val="en-AU"/>
              </w:rPr>
            </w:pPr>
            <w:r w:rsidRPr="00806B36">
              <w:rPr>
                <w:lang w:val="en-AU"/>
              </w:rPr>
              <w:t>Randomised Controlled Trials</w:t>
            </w:r>
          </w:p>
        </w:tc>
      </w:tr>
      <w:tr w:rsidR="009D6FCD" w:rsidRPr="00806B36" w14:paraId="1BF0CC93" w14:textId="77777777" w:rsidTr="00B4390F">
        <w:trPr>
          <w:cantSplit/>
        </w:trPr>
        <w:tc>
          <w:tcPr>
            <w:tcW w:w="796" w:type="pct"/>
            <w:vMerge w:val="restart"/>
            <w:vAlign w:val="center"/>
          </w:tcPr>
          <w:p w14:paraId="25668CC2" w14:textId="77777777" w:rsidR="009D6FCD" w:rsidRPr="00806B36" w:rsidRDefault="009D6FCD" w:rsidP="004B37E5">
            <w:pPr>
              <w:pStyle w:val="COMTabletext"/>
              <w:keepLines/>
              <w:widowControl w:val="0"/>
            </w:pPr>
            <w:r w:rsidRPr="00806B36">
              <w:t>KALM-1 (CLIN3102; NCT03422653)</w:t>
            </w:r>
          </w:p>
        </w:tc>
        <w:tc>
          <w:tcPr>
            <w:tcW w:w="2982" w:type="pct"/>
            <w:tcBorders>
              <w:top w:val="single" w:sz="4" w:space="0" w:color="auto"/>
              <w:bottom w:val="nil"/>
            </w:tcBorders>
            <w:vAlign w:val="center"/>
          </w:tcPr>
          <w:p w14:paraId="6A32B9DA" w14:textId="77777777" w:rsidR="009D6FCD" w:rsidRPr="00806B36" w:rsidRDefault="009D6FCD" w:rsidP="004B37E5">
            <w:pPr>
              <w:pStyle w:val="COMTabletext"/>
              <w:keepLines/>
              <w:widowControl w:val="0"/>
              <w:rPr>
                <w:szCs w:val="18"/>
              </w:rPr>
            </w:pPr>
            <w:r w:rsidRPr="00806B36">
              <w:rPr>
                <w:szCs w:val="18"/>
              </w:rPr>
              <w:t>Clinical Study Report (October 2020). A Multicenter, Double-Blind, Randomized, Placebo Controlled Study to Evaluate the Safety and Efficacy of Intravenous CR845 in Hemodialysis Patients with Moderate-to-Severe Pruritus, with a 52 Week Open-Label Extension.</w:t>
            </w:r>
          </w:p>
        </w:tc>
        <w:tc>
          <w:tcPr>
            <w:tcW w:w="1223" w:type="pct"/>
            <w:tcBorders>
              <w:top w:val="single" w:sz="4" w:space="0" w:color="auto"/>
              <w:bottom w:val="nil"/>
            </w:tcBorders>
            <w:vAlign w:val="center"/>
          </w:tcPr>
          <w:p w14:paraId="3710D60F" w14:textId="77777777" w:rsidR="009D6FCD" w:rsidRPr="00806B36" w:rsidRDefault="009D6FCD" w:rsidP="004B37E5">
            <w:pPr>
              <w:pStyle w:val="COMTabletext"/>
              <w:keepLines/>
              <w:widowControl w:val="0"/>
            </w:pPr>
            <w:r w:rsidRPr="00806B36">
              <w:t>Internal study report</w:t>
            </w:r>
          </w:p>
        </w:tc>
      </w:tr>
      <w:tr w:rsidR="009D6FCD" w:rsidRPr="00806B36" w14:paraId="21004A17" w14:textId="77777777" w:rsidTr="00B4390F">
        <w:trPr>
          <w:cantSplit/>
        </w:trPr>
        <w:tc>
          <w:tcPr>
            <w:tcW w:w="796" w:type="pct"/>
            <w:vMerge/>
            <w:tcBorders>
              <w:bottom w:val="nil"/>
            </w:tcBorders>
            <w:vAlign w:val="center"/>
          </w:tcPr>
          <w:p w14:paraId="7FE4F60B" w14:textId="77777777" w:rsidR="009D6FCD" w:rsidRPr="00806B36" w:rsidRDefault="009D6FCD" w:rsidP="001B7F69">
            <w:pPr>
              <w:pStyle w:val="COMTabletext"/>
              <w:keepLines/>
              <w:widowControl w:val="0"/>
            </w:pPr>
          </w:p>
        </w:tc>
        <w:tc>
          <w:tcPr>
            <w:tcW w:w="2982" w:type="pct"/>
            <w:tcBorders>
              <w:top w:val="nil"/>
              <w:bottom w:val="nil"/>
            </w:tcBorders>
            <w:vAlign w:val="center"/>
          </w:tcPr>
          <w:p w14:paraId="0DC0119D" w14:textId="77777777" w:rsidR="009D6FCD" w:rsidRPr="00806B36" w:rsidRDefault="009D6FCD" w:rsidP="001B7F69">
            <w:pPr>
              <w:pStyle w:val="COMTabletext"/>
              <w:keepLines/>
              <w:widowControl w:val="0"/>
              <w:rPr>
                <w:szCs w:val="18"/>
              </w:rPr>
            </w:pPr>
            <w:r w:rsidRPr="00806B36">
              <w:rPr>
                <w:szCs w:val="18"/>
              </w:rPr>
              <w:t xml:space="preserve">Fishbane S et al (2020). A Phase 3 Trial of Difelikefalin in Hemodialysis Patients with Pruritus. </w:t>
            </w:r>
          </w:p>
        </w:tc>
        <w:tc>
          <w:tcPr>
            <w:tcW w:w="1223" w:type="pct"/>
            <w:tcBorders>
              <w:top w:val="nil"/>
              <w:bottom w:val="nil"/>
            </w:tcBorders>
            <w:vAlign w:val="center"/>
          </w:tcPr>
          <w:p w14:paraId="1C707334" w14:textId="77777777" w:rsidR="009D6FCD" w:rsidRPr="00806B36" w:rsidRDefault="009D6FCD" w:rsidP="001B7F69">
            <w:pPr>
              <w:pStyle w:val="COMTabletext"/>
              <w:keepLines/>
              <w:widowControl w:val="0"/>
              <w:rPr>
                <w:szCs w:val="18"/>
              </w:rPr>
            </w:pPr>
            <w:r w:rsidRPr="00806B36">
              <w:rPr>
                <w:szCs w:val="18"/>
              </w:rPr>
              <w:t>The New England Journal of Medicine 382(3): 222–232</w:t>
            </w:r>
          </w:p>
        </w:tc>
      </w:tr>
      <w:tr w:rsidR="009D6FCD" w:rsidRPr="00806B36" w14:paraId="79CAC2AF" w14:textId="77777777" w:rsidTr="00B4390F">
        <w:trPr>
          <w:cantSplit/>
        </w:trPr>
        <w:tc>
          <w:tcPr>
            <w:tcW w:w="796" w:type="pct"/>
            <w:tcBorders>
              <w:bottom w:val="single" w:sz="4" w:space="0" w:color="auto"/>
            </w:tcBorders>
            <w:vAlign w:val="center"/>
          </w:tcPr>
          <w:p w14:paraId="232710AD" w14:textId="77777777" w:rsidR="009D6FCD" w:rsidRPr="00806B36" w:rsidRDefault="009D6FCD" w:rsidP="004B37E5">
            <w:pPr>
              <w:pStyle w:val="COMTabletext"/>
              <w:keepLines/>
              <w:widowControl w:val="0"/>
            </w:pPr>
            <w:r w:rsidRPr="00806B36">
              <w:t>KALM -2 (CLIN3103; NCT03636269)</w:t>
            </w:r>
          </w:p>
        </w:tc>
        <w:tc>
          <w:tcPr>
            <w:tcW w:w="2982" w:type="pct"/>
            <w:tcBorders>
              <w:bottom w:val="single" w:sz="4" w:space="0" w:color="auto"/>
            </w:tcBorders>
            <w:vAlign w:val="center"/>
          </w:tcPr>
          <w:p w14:paraId="2CB778CB" w14:textId="77777777" w:rsidR="009D6FCD" w:rsidRPr="00806B36" w:rsidRDefault="009D6FCD" w:rsidP="004B37E5">
            <w:pPr>
              <w:pStyle w:val="COMTabletext"/>
              <w:keepLines/>
              <w:widowControl w:val="0"/>
            </w:pPr>
            <w:r w:rsidRPr="00806B36">
              <w:t>A Multicenter, Double-Blind, Randomized, PBO Controlled Study to Evaluate the Safety and Efficacy of Intravenous CR845 in Hemodialysis Patients with Moderate-to-Severe Pruritus, with a 52 Week Open-Label Extension.</w:t>
            </w:r>
          </w:p>
        </w:tc>
        <w:tc>
          <w:tcPr>
            <w:tcW w:w="1223" w:type="pct"/>
            <w:tcBorders>
              <w:bottom w:val="single" w:sz="4" w:space="0" w:color="auto"/>
            </w:tcBorders>
            <w:vAlign w:val="center"/>
          </w:tcPr>
          <w:p w14:paraId="15A1C337" w14:textId="77777777" w:rsidR="009D6FCD" w:rsidRPr="00806B36" w:rsidRDefault="009D6FCD" w:rsidP="004B37E5">
            <w:pPr>
              <w:pStyle w:val="COMTabletext"/>
              <w:keepLines/>
              <w:widowControl w:val="0"/>
            </w:pPr>
            <w:r w:rsidRPr="00806B36">
              <w:t>Internal study report</w:t>
            </w:r>
          </w:p>
        </w:tc>
      </w:tr>
      <w:tr w:rsidR="009D6FCD" w:rsidRPr="00806B36" w14:paraId="0E895F27" w14:textId="77777777" w:rsidTr="00DC13D3">
        <w:trPr>
          <w:cantSplit/>
        </w:trPr>
        <w:tc>
          <w:tcPr>
            <w:tcW w:w="5000" w:type="pct"/>
            <w:gridSpan w:val="3"/>
            <w:tcBorders>
              <w:top w:val="single" w:sz="4" w:space="0" w:color="auto"/>
              <w:bottom w:val="single" w:sz="4" w:space="0" w:color="auto"/>
            </w:tcBorders>
            <w:vAlign w:val="center"/>
          </w:tcPr>
          <w:p w14:paraId="0BF69A47" w14:textId="77777777" w:rsidR="009D6FCD" w:rsidRPr="00806B36" w:rsidRDefault="009D6FCD" w:rsidP="004B37E5">
            <w:pPr>
              <w:pStyle w:val="COMTabletext"/>
              <w:keepLines/>
              <w:widowControl w:val="0"/>
            </w:pPr>
            <w:r w:rsidRPr="00806B36">
              <w:rPr>
                <w:b/>
                <w:bCs w:val="0"/>
              </w:rPr>
              <w:t>Uncontrolled studies</w:t>
            </w:r>
          </w:p>
        </w:tc>
      </w:tr>
      <w:tr w:rsidR="009D6FCD" w:rsidRPr="00806B36" w14:paraId="253F5AF7" w14:textId="77777777" w:rsidTr="00B4390F">
        <w:trPr>
          <w:cantSplit/>
        </w:trPr>
        <w:tc>
          <w:tcPr>
            <w:tcW w:w="796" w:type="pct"/>
            <w:tcBorders>
              <w:top w:val="nil"/>
              <w:bottom w:val="single" w:sz="4" w:space="0" w:color="auto"/>
            </w:tcBorders>
            <w:vAlign w:val="center"/>
          </w:tcPr>
          <w:p w14:paraId="28144E30" w14:textId="77777777" w:rsidR="009D6FCD" w:rsidRPr="00806B36" w:rsidRDefault="009D6FCD" w:rsidP="004B37E5">
            <w:pPr>
              <w:pStyle w:val="COMTabletext"/>
              <w:keepLines/>
              <w:widowControl w:val="0"/>
            </w:pPr>
            <w:r w:rsidRPr="00806B36">
              <w:t>KALM-1 OLE (NCT03422653)</w:t>
            </w:r>
          </w:p>
        </w:tc>
        <w:tc>
          <w:tcPr>
            <w:tcW w:w="2982" w:type="pct"/>
            <w:tcBorders>
              <w:top w:val="single" w:sz="4" w:space="0" w:color="auto"/>
              <w:bottom w:val="single" w:sz="4" w:space="0" w:color="auto"/>
            </w:tcBorders>
            <w:vAlign w:val="center"/>
          </w:tcPr>
          <w:p w14:paraId="2E085CEF" w14:textId="77777777" w:rsidR="009D6FCD" w:rsidRPr="00806B36" w:rsidRDefault="009D6FCD" w:rsidP="004B37E5">
            <w:pPr>
              <w:pStyle w:val="COMTabletext"/>
              <w:keepLines/>
              <w:widowControl w:val="0"/>
              <w:rPr>
                <w:szCs w:val="18"/>
              </w:rPr>
            </w:pPr>
            <w:r w:rsidRPr="00806B36">
              <w:rPr>
                <w:szCs w:val="18"/>
              </w:rPr>
              <w:t>Clinical Study Report for the Open-label Extension Phase (October 2020). A Multicenter, Double-blind, Randomized, Placebo-controlled Study to Evaluate the Safety and Efficacy of Intravenous CR845 in Hemodialysis Patients with Moderate-to-Severe Pruritus, with a 52 Week Open-label Extension.</w:t>
            </w:r>
          </w:p>
        </w:tc>
        <w:tc>
          <w:tcPr>
            <w:tcW w:w="1223" w:type="pct"/>
            <w:tcBorders>
              <w:top w:val="single" w:sz="4" w:space="0" w:color="auto"/>
              <w:bottom w:val="single" w:sz="4" w:space="0" w:color="auto"/>
            </w:tcBorders>
            <w:vAlign w:val="center"/>
          </w:tcPr>
          <w:p w14:paraId="11E1F9F8" w14:textId="77777777" w:rsidR="009D6FCD" w:rsidRPr="00806B36" w:rsidRDefault="009D6FCD" w:rsidP="004B37E5">
            <w:pPr>
              <w:pStyle w:val="COMTabletext"/>
              <w:keepLines/>
              <w:widowControl w:val="0"/>
            </w:pPr>
            <w:r w:rsidRPr="00806B36">
              <w:t>Internal study report</w:t>
            </w:r>
          </w:p>
        </w:tc>
      </w:tr>
      <w:tr w:rsidR="009D6FCD" w:rsidRPr="00806B36" w14:paraId="34DDAF39" w14:textId="77777777" w:rsidTr="00B4390F">
        <w:trPr>
          <w:cantSplit/>
        </w:trPr>
        <w:tc>
          <w:tcPr>
            <w:tcW w:w="796" w:type="pct"/>
            <w:tcBorders>
              <w:top w:val="nil"/>
              <w:bottom w:val="single" w:sz="4" w:space="0" w:color="auto"/>
            </w:tcBorders>
            <w:vAlign w:val="center"/>
          </w:tcPr>
          <w:p w14:paraId="0A916E3B" w14:textId="77777777" w:rsidR="009D6FCD" w:rsidRPr="00806B36" w:rsidRDefault="009D6FCD" w:rsidP="004B37E5">
            <w:pPr>
              <w:pStyle w:val="COMTabletext"/>
              <w:keepLines/>
              <w:widowControl w:val="0"/>
            </w:pPr>
            <w:r w:rsidRPr="00806B36">
              <w:t>KALM-2 OLE (NCT03636269)</w:t>
            </w:r>
          </w:p>
        </w:tc>
        <w:tc>
          <w:tcPr>
            <w:tcW w:w="2982" w:type="pct"/>
            <w:tcBorders>
              <w:top w:val="nil"/>
              <w:bottom w:val="single" w:sz="4" w:space="0" w:color="auto"/>
            </w:tcBorders>
            <w:vAlign w:val="center"/>
          </w:tcPr>
          <w:p w14:paraId="083E7F44" w14:textId="77777777" w:rsidR="009D6FCD" w:rsidRPr="00806B36" w:rsidRDefault="009D6FCD" w:rsidP="004B37E5">
            <w:pPr>
              <w:pStyle w:val="COMTabletext"/>
              <w:keepLines/>
              <w:widowControl w:val="0"/>
              <w:rPr>
                <w:szCs w:val="18"/>
              </w:rPr>
            </w:pPr>
            <w:r w:rsidRPr="00806B36">
              <w:rPr>
                <w:szCs w:val="18"/>
              </w:rPr>
              <w:t>Clinical Study Report for the Open-label Extension Phase (November 2020). A Multicenter, Double-Blind, Randomized, Placebo Controlled Study to Evaluate the Safety and Efficacy of Intravenous CR845 in Hemodialysis Patients with Moderate-to-Severe Pruritus, with a 52 Week Open-label Extension</w:t>
            </w:r>
          </w:p>
        </w:tc>
        <w:tc>
          <w:tcPr>
            <w:tcW w:w="1223" w:type="pct"/>
            <w:tcBorders>
              <w:top w:val="nil"/>
              <w:bottom w:val="single" w:sz="4" w:space="0" w:color="auto"/>
            </w:tcBorders>
            <w:vAlign w:val="center"/>
          </w:tcPr>
          <w:p w14:paraId="60A4FF29" w14:textId="77777777" w:rsidR="009D6FCD" w:rsidRPr="00806B36" w:rsidRDefault="009D6FCD" w:rsidP="004B37E5">
            <w:pPr>
              <w:pStyle w:val="COMTabletext"/>
              <w:keepLines/>
              <w:widowControl w:val="0"/>
            </w:pPr>
            <w:r w:rsidRPr="00806B36">
              <w:t>Internal study report</w:t>
            </w:r>
          </w:p>
        </w:tc>
      </w:tr>
      <w:tr w:rsidR="009D6FCD" w:rsidRPr="00806B36" w14:paraId="5906C9CD" w14:textId="77777777" w:rsidTr="0049704D">
        <w:trPr>
          <w:cantSplit/>
        </w:trPr>
        <w:tc>
          <w:tcPr>
            <w:tcW w:w="5000" w:type="pct"/>
            <w:gridSpan w:val="3"/>
            <w:tcBorders>
              <w:top w:val="nil"/>
              <w:bottom w:val="single" w:sz="4" w:space="0" w:color="auto"/>
            </w:tcBorders>
            <w:vAlign w:val="center"/>
          </w:tcPr>
          <w:p w14:paraId="3797E3B1" w14:textId="77777777" w:rsidR="009D6FCD" w:rsidRPr="00806B36" w:rsidRDefault="009D6FCD" w:rsidP="004B37E5">
            <w:pPr>
              <w:pStyle w:val="COMTabletext"/>
              <w:keepLines/>
              <w:widowControl w:val="0"/>
              <w:rPr>
                <w:b/>
                <w:bCs w:val="0"/>
              </w:rPr>
            </w:pPr>
            <w:r w:rsidRPr="00806B36">
              <w:rPr>
                <w:b/>
                <w:bCs w:val="0"/>
              </w:rPr>
              <w:t>Pooled analyses</w:t>
            </w:r>
          </w:p>
        </w:tc>
      </w:tr>
      <w:tr w:rsidR="009D6FCD" w:rsidRPr="00806B36" w14:paraId="4A268F47" w14:textId="77777777" w:rsidTr="00B4390F">
        <w:trPr>
          <w:cantSplit/>
        </w:trPr>
        <w:tc>
          <w:tcPr>
            <w:tcW w:w="796" w:type="pct"/>
            <w:tcBorders>
              <w:top w:val="nil"/>
              <w:bottom w:val="single" w:sz="4" w:space="0" w:color="auto"/>
            </w:tcBorders>
            <w:vAlign w:val="center"/>
          </w:tcPr>
          <w:p w14:paraId="7478A8C4" w14:textId="77777777" w:rsidR="009D6FCD" w:rsidRPr="00806B36" w:rsidRDefault="009D6FCD" w:rsidP="004B37E5">
            <w:pPr>
              <w:pStyle w:val="COMTabletext"/>
              <w:keepLines/>
              <w:widowControl w:val="0"/>
            </w:pPr>
            <w:r w:rsidRPr="00806B36">
              <w:t>KALM-1 and KALM-2 trials</w:t>
            </w:r>
          </w:p>
        </w:tc>
        <w:tc>
          <w:tcPr>
            <w:tcW w:w="2982" w:type="pct"/>
            <w:tcBorders>
              <w:top w:val="nil"/>
              <w:bottom w:val="single" w:sz="4" w:space="0" w:color="auto"/>
            </w:tcBorders>
            <w:vAlign w:val="center"/>
          </w:tcPr>
          <w:p w14:paraId="53EF6B9A" w14:textId="77777777" w:rsidR="009D6FCD" w:rsidRPr="00806B36" w:rsidRDefault="009D6FCD" w:rsidP="004B37E5">
            <w:pPr>
              <w:pStyle w:val="COMTabletext"/>
              <w:keepLines/>
              <w:widowControl w:val="0"/>
              <w:rPr>
                <w:szCs w:val="18"/>
              </w:rPr>
            </w:pPr>
            <w:r w:rsidRPr="00806B36">
              <w:rPr>
                <w:szCs w:val="18"/>
              </w:rPr>
              <w:t>Topf J et al (2022). Efficacy of Difelikefalin for the Treatment of Moderate to Severe Pruritus in Hemodialysis Patients: Pooled Analysis of KALM-1 and KALM-2 Phase 3 Studies.</w:t>
            </w:r>
          </w:p>
        </w:tc>
        <w:tc>
          <w:tcPr>
            <w:tcW w:w="1223" w:type="pct"/>
            <w:tcBorders>
              <w:top w:val="nil"/>
              <w:bottom w:val="single" w:sz="4" w:space="0" w:color="auto"/>
            </w:tcBorders>
            <w:vAlign w:val="center"/>
          </w:tcPr>
          <w:p w14:paraId="22FFCB4A" w14:textId="77777777" w:rsidR="009D6FCD" w:rsidRPr="00806B36" w:rsidRDefault="009D6FCD" w:rsidP="004B37E5">
            <w:pPr>
              <w:pStyle w:val="COMTabletext"/>
              <w:keepLines/>
              <w:widowControl w:val="0"/>
            </w:pPr>
            <w:r w:rsidRPr="00806B36">
              <w:t>Kidney Medicine 4(8):100512</w:t>
            </w:r>
          </w:p>
        </w:tc>
      </w:tr>
      <w:tr w:rsidR="009D6FCD" w:rsidRPr="00806B36" w14:paraId="3030ECF6" w14:textId="77777777" w:rsidTr="00B4390F">
        <w:trPr>
          <w:cantSplit/>
        </w:trPr>
        <w:tc>
          <w:tcPr>
            <w:tcW w:w="796" w:type="pct"/>
            <w:tcBorders>
              <w:top w:val="nil"/>
              <w:bottom w:val="single" w:sz="4" w:space="0" w:color="auto"/>
            </w:tcBorders>
            <w:vAlign w:val="center"/>
          </w:tcPr>
          <w:p w14:paraId="445375E1" w14:textId="77777777" w:rsidR="009D6FCD" w:rsidRPr="00806B36" w:rsidRDefault="009D6FCD" w:rsidP="004B37E5">
            <w:pPr>
              <w:pStyle w:val="COMTabletext"/>
              <w:keepLines/>
              <w:widowControl w:val="0"/>
            </w:pPr>
            <w:r w:rsidRPr="00806B36">
              <w:t>KALM-1, KALM-2 and CLIN2101 trials</w:t>
            </w:r>
          </w:p>
        </w:tc>
        <w:tc>
          <w:tcPr>
            <w:tcW w:w="2982" w:type="pct"/>
            <w:tcBorders>
              <w:top w:val="nil"/>
              <w:bottom w:val="single" w:sz="4" w:space="0" w:color="auto"/>
            </w:tcBorders>
            <w:vAlign w:val="center"/>
          </w:tcPr>
          <w:p w14:paraId="50DDFF78" w14:textId="77777777" w:rsidR="009D6FCD" w:rsidRPr="00806B36" w:rsidRDefault="009D6FCD" w:rsidP="004B37E5">
            <w:pPr>
              <w:pStyle w:val="COMTabletext"/>
              <w:keepLines/>
              <w:widowControl w:val="0"/>
              <w:rPr>
                <w:szCs w:val="18"/>
              </w:rPr>
            </w:pPr>
            <w:r w:rsidRPr="00806B36">
              <w:rPr>
                <w:szCs w:val="18"/>
              </w:rPr>
              <w:t>Difelikefalin 2.7.3 Summary of Clinical Efficacy, 5 August 2021</w:t>
            </w:r>
          </w:p>
        </w:tc>
        <w:tc>
          <w:tcPr>
            <w:tcW w:w="1223" w:type="pct"/>
            <w:tcBorders>
              <w:top w:val="nil"/>
              <w:bottom w:val="single" w:sz="4" w:space="0" w:color="auto"/>
            </w:tcBorders>
            <w:vAlign w:val="center"/>
          </w:tcPr>
          <w:p w14:paraId="6F9E8A6A" w14:textId="77777777" w:rsidR="009D6FCD" w:rsidRPr="00806B36" w:rsidRDefault="009D6FCD" w:rsidP="004B37E5">
            <w:pPr>
              <w:pStyle w:val="COMTabletext"/>
              <w:keepLines/>
              <w:widowControl w:val="0"/>
            </w:pPr>
            <w:r w:rsidRPr="00806B36">
              <w:t>Internal analyses report</w:t>
            </w:r>
          </w:p>
        </w:tc>
      </w:tr>
      <w:tr w:rsidR="009D6FCD" w:rsidRPr="00806B36" w14:paraId="046C51B9" w14:textId="77777777" w:rsidTr="00B4390F">
        <w:trPr>
          <w:cantSplit/>
        </w:trPr>
        <w:tc>
          <w:tcPr>
            <w:tcW w:w="796" w:type="pct"/>
            <w:tcBorders>
              <w:top w:val="single" w:sz="4" w:space="0" w:color="auto"/>
              <w:bottom w:val="single" w:sz="4" w:space="0" w:color="auto"/>
            </w:tcBorders>
            <w:vAlign w:val="center"/>
          </w:tcPr>
          <w:p w14:paraId="5FFF54EF" w14:textId="77777777" w:rsidR="009D6FCD" w:rsidRPr="00806B36" w:rsidRDefault="009D6FCD" w:rsidP="004B37E5">
            <w:pPr>
              <w:pStyle w:val="COMTabletext"/>
              <w:keepLines/>
              <w:widowControl w:val="0"/>
            </w:pPr>
            <w:r w:rsidRPr="00806B36">
              <w:t>KALM-1, KALM-2, CLIN3101 and CLIN3105 studies</w:t>
            </w:r>
          </w:p>
        </w:tc>
        <w:tc>
          <w:tcPr>
            <w:tcW w:w="2982" w:type="pct"/>
            <w:tcBorders>
              <w:top w:val="single" w:sz="4" w:space="0" w:color="auto"/>
              <w:bottom w:val="single" w:sz="4" w:space="0" w:color="auto"/>
            </w:tcBorders>
            <w:vAlign w:val="center"/>
          </w:tcPr>
          <w:p w14:paraId="616A3E2C" w14:textId="77777777" w:rsidR="009D6FCD" w:rsidRPr="00806B36" w:rsidRDefault="009D6FCD" w:rsidP="004B37E5">
            <w:pPr>
              <w:pStyle w:val="COMTabletext"/>
              <w:keepLines/>
              <w:widowControl w:val="0"/>
              <w:rPr>
                <w:szCs w:val="18"/>
              </w:rPr>
            </w:pPr>
            <w:r w:rsidRPr="00806B36">
              <w:rPr>
                <w:szCs w:val="18"/>
              </w:rPr>
              <w:t>Fishbane S et al (2022). Safety and Tolerability of Difelikefalin for the Treatment of Moderate to Severe Pruritus in Hemodialysis Patients: Pooled Analysis From the Phase 3 Clinical Trial Program.</w:t>
            </w:r>
          </w:p>
        </w:tc>
        <w:tc>
          <w:tcPr>
            <w:tcW w:w="1223" w:type="pct"/>
            <w:tcBorders>
              <w:top w:val="single" w:sz="4" w:space="0" w:color="auto"/>
              <w:bottom w:val="single" w:sz="4" w:space="0" w:color="auto"/>
            </w:tcBorders>
            <w:vAlign w:val="center"/>
          </w:tcPr>
          <w:p w14:paraId="43E006A9" w14:textId="77777777" w:rsidR="009D6FCD" w:rsidRPr="00806B36" w:rsidRDefault="009D6FCD" w:rsidP="004B37E5">
            <w:pPr>
              <w:pStyle w:val="COMTabletext"/>
              <w:keepLines/>
              <w:widowControl w:val="0"/>
            </w:pPr>
            <w:r w:rsidRPr="00806B36">
              <w:t>Kidney Medicine 4(8):100513</w:t>
            </w:r>
          </w:p>
        </w:tc>
      </w:tr>
    </w:tbl>
    <w:p w14:paraId="5718F2DE" w14:textId="77777777" w:rsidR="009D6FCD" w:rsidRPr="00806B36" w:rsidRDefault="009D6FCD" w:rsidP="009D6FCD">
      <w:pPr>
        <w:pStyle w:val="COMTablefooter"/>
        <w:rPr>
          <w:sz w:val="20"/>
        </w:rPr>
      </w:pPr>
      <w:r w:rsidRPr="00806B36">
        <w:t>Source: Table 12, p70; Attachments 4 and 5 of the submission</w:t>
      </w:r>
    </w:p>
    <w:p w14:paraId="1DD06D7D" w14:textId="08FFE6C7" w:rsidR="007F1017" w:rsidRPr="00806B36" w:rsidRDefault="008F120A" w:rsidP="00EC5836">
      <w:pPr>
        <w:pStyle w:val="COMexecsumnumberedpara"/>
        <w:rPr>
          <w:color w:val="0066FF"/>
        </w:rPr>
      </w:pPr>
      <w:r w:rsidRPr="00806B36">
        <w:t xml:space="preserve">The key features of the </w:t>
      </w:r>
      <w:r w:rsidR="00621ADA" w:rsidRPr="00806B36">
        <w:t xml:space="preserve">included </w:t>
      </w:r>
      <w:r w:rsidR="00275A1B" w:rsidRPr="00806B36">
        <w:t>trials</w:t>
      </w:r>
      <w:r w:rsidRPr="00806B36">
        <w:t xml:space="preserve"> are summarised in</w:t>
      </w:r>
      <w:r w:rsidR="00D6076E" w:rsidRPr="00806B36">
        <w:t xml:space="preserve"> </w:t>
      </w:r>
      <w:r w:rsidR="00D6076E" w:rsidRPr="00806B36">
        <w:fldChar w:fldCharType="begin"/>
      </w:r>
      <w:r w:rsidR="00D6076E" w:rsidRPr="00806B36">
        <w:instrText xml:space="preserve"> REF _Ref104804098 \h  \* MERGEFORMAT </w:instrText>
      </w:r>
      <w:r w:rsidR="00D6076E" w:rsidRPr="00806B36">
        <w:fldChar w:fldCharType="separate"/>
      </w:r>
      <w:r w:rsidR="00487C7F" w:rsidRPr="00806B36">
        <w:t xml:space="preserve">Table </w:t>
      </w:r>
      <w:r w:rsidR="00487C7F">
        <w:t>3</w:t>
      </w:r>
      <w:r w:rsidR="00D6076E" w:rsidRPr="00806B36">
        <w:fldChar w:fldCharType="end"/>
      </w:r>
      <w:r w:rsidRPr="00806B36">
        <w:t>.</w:t>
      </w:r>
    </w:p>
    <w:p w14:paraId="355E2F15" w14:textId="67B62A8D" w:rsidR="007F1017" w:rsidRPr="00806B36" w:rsidRDefault="008E1F17" w:rsidP="00646665">
      <w:pPr>
        <w:pStyle w:val="COMtablefigcaption"/>
      </w:pPr>
      <w:bookmarkStart w:id="24" w:name="_Ref104804098"/>
      <w:r w:rsidRPr="00806B36">
        <w:t>Table</w:t>
      </w:r>
      <w:r w:rsidR="00696EF9" w:rsidRPr="00806B36">
        <w:t xml:space="preserve"> </w:t>
      </w:r>
      <w:r w:rsidR="00487C7F">
        <w:fldChar w:fldCharType="begin"/>
      </w:r>
      <w:r w:rsidR="00487C7F">
        <w:instrText xml:space="preserve"> SEQ Table \* ARABIC </w:instrText>
      </w:r>
      <w:r w:rsidR="00487C7F">
        <w:fldChar w:fldCharType="separate"/>
      </w:r>
      <w:r w:rsidR="00487C7F">
        <w:rPr>
          <w:noProof/>
        </w:rPr>
        <w:t>3</w:t>
      </w:r>
      <w:r w:rsidR="00487C7F">
        <w:rPr>
          <w:noProof/>
        </w:rPr>
        <w:fldChar w:fldCharType="end"/>
      </w:r>
      <w:bookmarkEnd w:id="24"/>
      <w:r w:rsidR="00D6076E" w:rsidRPr="00806B36">
        <w:t xml:space="preserve">: </w:t>
      </w:r>
      <w:r w:rsidR="007F1017" w:rsidRPr="00806B36">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6"/>
        <w:gridCol w:w="700"/>
        <w:gridCol w:w="1219"/>
        <w:gridCol w:w="1037"/>
        <w:gridCol w:w="1847"/>
        <w:gridCol w:w="1259"/>
        <w:gridCol w:w="2009"/>
      </w:tblGrid>
      <w:tr w:rsidR="00B41614" w:rsidRPr="00806B36" w14:paraId="53DD7CC6" w14:textId="77777777" w:rsidTr="000032B8">
        <w:trPr>
          <w:cantSplit/>
          <w:tblHeader/>
        </w:trPr>
        <w:tc>
          <w:tcPr>
            <w:tcW w:w="525" w:type="pct"/>
            <w:shd w:val="clear" w:color="auto" w:fill="auto"/>
            <w:vAlign w:val="center"/>
          </w:tcPr>
          <w:p w14:paraId="794116BC" w14:textId="77777777" w:rsidR="007F1017" w:rsidRPr="00806B36" w:rsidRDefault="007F1017" w:rsidP="00646665">
            <w:pPr>
              <w:pStyle w:val="COMTableheadingrow"/>
              <w:rPr>
                <w:lang w:val="en-AU"/>
              </w:rPr>
            </w:pPr>
            <w:r w:rsidRPr="00806B36">
              <w:rPr>
                <w:lang w:val="en-AU"/>
              </w:rPr>
              <w:t>Trial</w:t>
            </w:r>
          </w:p>
        </w:tc>
        <w:tc>
          <w:tcPr>
            <w:tcW w:w="388" w:type="pct"/>
            <w:shd w:val="clear" w:color="auto" w:fill="auto"/>
            <w:vAlign w:val="center"/>
          </w:tcPr>
          <w:p w14:paraId="51122FE5" w14:textId="77777777" w:rsidR="007F1017" w:rsidRPr="00806B36" w:rsidRDefault="007F1017" w:rsidP="00646665">
            <w:pPr>
              <w:pStyle w:val="COMTableheadingrow"/>
              <w:jc w:val="center"/>
              <w:rPr>
                <w:lang w:val="en-AU"/>
              </w:rPr>
            </w:pPr>
            <w:r w:rsidRPr="00806B36">
              <w:rPr>
                <w:lang w:val="en-AU"/>
              </w:rPr>
              <w:t>N</w:t>
            </w:r>
          </w:p>
        </w:tc>
        <w:tc>
          <w:tcPr>
            <w:tcW w:w="676" w:type="pct"/>
            <w:shd w:val="clear" w:color="auto" w:fill="auto"/>
            <w:vAlign w:val="center"/>
          </w:tcPr>
          <w:p w14:paraId="41C438EF" w14:textId="27B1C9E4" w:rsidR="007F1017" w:rsidRPr="00806B36" w:rsidRDefault="007F1017" w:rsidP="00646665">
            <w:pPr>
              <w:pStyle w:val="COMTableheadingrow"/>
              <w:jc w:val="center"/>
              <w:rPr>
                <w:lang w:val="en-AU"/>
              </w:rPr>
            </w:pPr>
            <w:r w:rsidRPr="00806B36">
              <w:rPr>
                <w:lang w:val="en-AU"/>
              </w:rPr>
              <w:t>Design/</w:t>
            </w:r>
            <w:r w:rsidR="00BD12D0" w:rsidRPr="00806B36">
              <w:rPr>
                <w:lang w:val="en-AU"/>
              </w:rPr>
              <w:t xml:space="preserve"> </w:t>
            </w:r>
            <w:r w:rsidRPr="00806B36">
              <w:rPr>
                <w:lang w:val="en-AU"/>
              </w:rPr>
              <w:t>duration</w:t>
            </w:r>
          </w:p>
        </w:tc>
        <w:tc>
          <w:tcPr>
            <w:tcW w:w="575" w:type="pct"/>
            <w:shd w:val="clear" w:color="auto" w:fill="auto"/>
            <w:vAlign w:val="center"/>
          </w:tcPr>
          <w:p w14:paraId="1FC91360" w14:textId="77777777" w:rsidR="007F1017" w:rsidRPr="00806B36" w:rsidRDefault="007F1017" w:rsidP="00646665">
            <w:pPr>
              <w:pStyle w:val="COMTableheadingrow"/>
              <w:jc w:val="center"/>
              <w:rPr>
                <w:lang w:val="en-AU"/>
              </w:rPr>
            </w:pPr>
            <w:r w:rsidRPr="00806B36">
              <w:rPr>
                <w:lang w:val="en-AU"/>
              </w:rPr>
              <w:t>Risk of bias</w:t>
            </w:r>
          </w:p>
        </w:tc>
        <w:tc>
          <w:tcPr>
            <w:tcW w:w="1024" w:type="pct"/>
            <w:shd w:val="clear" w:color="auto" w:fill="auto"/>
            <w:vAlign w:val="center"/>
          </w:tcPr>
          <w:p w14:paraId="7FF90896" w14:textId="77777777" w:rsidR="007F1017" w:rsidRPr="00806B36" w:rsidRDefault="007F1017" w:rsidP="00646665">
            <w:pPr>
              <w:pStyle w:val="COMTableheadingrow"/>
              <w:jc w:val="center"/>
              <w:rPr>
                <w:lang w:val="en-AU"/>
              </w:rPr>
            </w:pPr>
            <w:r w:rsidRPr="00806B36">
              <w:rPr>
                <w:lang w:val="en-AU"/>
              </w:rPr>
              <w:t>Patient population</w:t>
            </w:r>
          </w:p>
        </w:tc>
        <w:tc>
          <w:tcPr>
            <w:tcW w:w="698" w:type="pct"/>
            <w:shd w:val="clear" w:color="auto" w:fill="auto"/>
            <w:vAlign w:val="center"/>
          </w:tcPr>
          <w:p w14:paraId="0FCB63F9" w14:textId="27A0F0E9" w:rsidR="007F1017" w:rsidRPr="00806B36" w:rsidRDefault="007F1017" w:rsidP="00646665">
            <w:pPr>
              <w:pStyle w:val="COMTableheadingrow"/>
              <w:jc w:val="center"/>
              <w:rPr>
                <w:lang w:val="en-AU"/>
              </w:rPr>
            </w:pPr>
            <w:r w:rsidRPr="00806B36">
              <w:rPr>
                <w:lang w:val="en-AU"/>
              </w:rPr>
              <w:t>Outcomes</w:t>
            </w:r>
          </w:p>
        </w:tc>
        <w:tc>
          <w:tcPr>
            <w:tcW w:w="1114" w:type="pct"/>
            <w:shd w:val="clear" w:color="auto" w:fill="auto"/>
            <w:vAlign w:val="center"/>
          </w:tcPr>
          <w:p w14:paraId="08C6F624" w14:textId="77777777" w:rsidR="007F1017" w:rsidRPr="00806B36" w:rsidRDefault="007F1017" w:rsidP="00646665">
            <w:pPr>
              <w:pStyle w:val="COMTableheadingrow"/>
              <w:jc w:val="center"/>
              <w:rPr>
                <w:lang w:val="en-AU"/>
              </w:rPr>
            </w:pPr>
            <w:r w:rsidRPr="00806B36">
              <w:rPr>
                <w:lang w:val="en-AU"/>
              </w:rPr>
              <w:t>Use in modelled evaluation</w:t>
            </w:r>
          </w:p>
        </w:tc>
      </w:tr>
      <w:tr w:rsidR="007F1017" w:rsidRPr="00806B36" w14:paraId="2A03CD4B" w14:textId="77777777" w:rsidTr="00682BA6">
        <w:trPr>
          <w:cantSplit/>
        </w:trPr>
        <w:tc>
          <w:tcPr>
            <w:tcW w:w="5000" w:type="pct"/>
            <w:gridSpan w:val="7"/>
            <w:shd w:val="clear" w:color="auto" w:fill="auto"/>
            <w:vAlign w:val="center"/>
          </w:tcPr>
          <w:p w14:paraId="73088C85" w14:textId="537681F1" w:rsidR="007F1017" w:rsidRPr="00806B36" w:rsidRDefault="008F3874" w:rsidP="00646665">
            <w:pPr>
              <w:pStyle w:val="COMTableheadingrow"/>
              <w:rPr>
                <w:lang w:val="en-AU"/>
              </w:rPr>
            </w:pPr>
            <w:r w:rsidRPr="00806B36">
              <w:rPr>
                <w:lang w:val="en-AU"/>
              </w:rPr>
              <w:t>Difelikefalin versus placebo</w:t>
            </w:r>
          </w:p>
        </w:tc>
      </w:tr>
      <w:tr w:rsidR="00F72DC0" w:rsidRPr="00806B36" w14:paraId="4EE88DCB" w14:textId="77777777" w:rsidTr="000032B8">
        <w:trPr>
          <w:cantSplit/>
        </w:trPr>
        <w:tc>
          <w:tcPr>
            <w:tcW w:w="525" w:type="pct"/>
            <w:shd w:val="clear" w:color="auto" w:fill="auto"/>
            <w:vAlign w:val="center"/>
          </w:tcPr>
          <w:p w14:paraId="6EE77D33" w14:textId="1FA46AB0" w:rsidR="00F72DC0" w:rsidRPr="00806B36" w:rsidRDefault="00F72DC0" w:rsidP="00646665">
            <w:pPr>
              <w:pStyle w:val="COMTabletext"/>
            </w:pPr>
            <w:r w:rsidRPr="00806B36">
              <w:t xml:space="preserve">KALM-1 </w:t>
            </w:r>
          </w:p>
        </w:tc>
        <w:tc>
          <w:tcPr>
            <w:tcW w:w="388" w:type="pct"/>
            <w:shd w:val="clear" w:color="auto" w:fill="auto"/>
            <w:vAlign w:val="center"/>
          </w:tcPr>
          <w:p w14:paraId="41BB0E41" w14:textId="7AF5CBB7" w:rsidR="00F72DC0" w:rsidRPr="00806B36" w:rsidRDefault="00F72DC0" w:rsidP="00646665">
            <w:pPr>
              <w:pStyle w:val="COMTabletext"/>
              <w:jc w:val="center"/>
            </w:pPr>
            <w:r w:rsidRPr="00806B36">
              <w:t>378</w:t>
            </w:r>
          </w:p>
        </w:tc>
        <w:tc>
          <w:tcPr>
            <w:tcW w:w="676" w:type="pct"/>
            <w:shd w:val="clear" w:color="auto" w:fill="auto"/>
            <w:vAlign w:val="center"/>
          </w:tcPr>
          <w:p w14:paraId="401EAFDA" w14:textId="16A60734" w:rsidR="00F72DC0" w:rsidRPr="00806B36" w:rsidRDefault="00F72DC0" w:rsidP="00646665">
            <w:pPr>
              <w:pStyle w:val="COMTabletext"/>
              <w:jc w:val="center"/>
            </w:pPr>
            <w:r w:rsidRPr="00806B36">
              <w:t>US, MC, R, DB</w:t>
            </w:r>
          </w:p>
          <w:p w14:paraId="744D08AC" w14:textId="58A4071D" w:rsidR="00F72DC0" w:rsidRPr="00806B36" w:rsidRDefault="00F72DC0" w:rsidP="00646665">
            <w:pPr>
              <w:pStyle w:val="COMTabletext"/>
              <w:jc w:val="center"/>
            </w:pPr>
            <w:r w:rsidRPr="00806B36">
              <w:t>12 weeks</w:t>
            </w:r>
          </w:p>
        </w:tc>
        <w:tc>
          <w:tcPr>
            <w:tcW w:w="575" w:type="pct"/>
            <w:shd w:val="clear" w:color="auto" w:fill="auto"/>
            <w:vAlign w:val="center"/>
          </w:tcPr>
          <w:p w14:paraId="4A529D74" w14:textId="3327CC1D" w:rsidR="00F72DC0" w:rsidRPr="00806B36" w:rsidRDefault="00F72DC0" w:rsidP="00646665">
            <w:pPr>
              <w:pStyle w:val="COMTabletext"/>
              <w:jc w:val="center"/>
              <w:rPr>
                <w:iCs/>
              </w:rPr>
            </w:pPr>
            <w:r w:rsidRPr="00806B36">
              <w:rPr>
                <w:iCs/>
              </w:rPr>
              <w:t>Low</w:t>
            </w:r>
          </w:p>
        </w:tc>
        <w:tc>
          <w:tcPr>
            <w:tcW w:w="1024" w:type="pct"/>
            <w:vMerge w:val="restart"/>
            <w:shd w:val="clear" w:color="auto" w:fill="auto"/>
            <w:vAlign w:val="center"/>
          </w:tcPr>
          <w:p w14:paraId="5E6F456D" w14:textId="68F7154A" w:rsidR="00F72DC0" w:rsidRPr="00806B36" w:rsidRDefault="00F72DC0" w:rsidP="00646665">
            <w:pPr>
              <w:pStyle w:val="COMTabletext"/>
              <w:jc w:val="center"/>
            </w:pPr>
            <w:r w:rsidRPr="00806B36">
              <w:t>Patients on haemodialysis with moderate/severe CKD-associated pruritus</w:t>
            </w:r>
            <w:r w:rsidR="00D56332" w:rsidRPr="00806B36">
              <w:t xml:space="preserve"> based on WI-NRS ≥4</w:t>
            </w:r>
          </w:p>
        </w:tc>
        <w:tc>
          <w:tcPr>
            <w:tcW w:w="698" w:type="pct"/>
            <w:vMerge w:val="restart"/>
            <w:shd w:val="clear" w:color="auto" w:fill="auto"/>
            <w:vAlign w:val="center"/>
          </w:tcPr>
          <w:p w14:paraId="6DC76214" w14:textId="7F1A2B30" w:rsidR="00F72DC0" w:rsidRPr="00806B36" w:rsidRDefault="00F72DC0" w:rsidP="00646665">
            <w:pPr>
              <w:pStyle w:val="COMTabletext"/>
              <w:jc w:val="center"/>
            </w:pPr>
            <w:r w:rsidRPr="00806B36">
              <w:t>WI-NRS, Skindex-10 and 5-D Itch scales</w:t>
            </w:r>
          </w:p>
        </w:tc>
        <w:tc>
          <w:tcPr>
            <w:tcW w:w="1114" w:type="pct"/>
            <w:shd w:val="clear" w:color="auto" w:fill="auto"/>
            <w:vAlign w:val="center"/>
          </w:tcPr>
          <w:p w14:paraId="150A804C" w14:textId="4D03EAF0" w:rsidR="00F72DC0" w:rsidRPr="00806B36" w:rsidRDefault="00A016BC" w:rsidP="00646665">
            <w:pPr>
              <w:pStyle w:val="COMTabletext"/>
              <w:jc w:val="center"/>
            </w:pPr>
            <w:r w:rsidRPr="00806B36">
              <w:t>No</w:t>
            </w:r>
          </w:p>
        </w:tc>
      </w:tr>
      <w:tr w:rsidR="00F72DC0" w:rsidRPr="00806B36" w14:paraId="13A6895C" w14:textId="77777777" w:rsidTr="000032B8">
        <w:trPr>
          <w:cantSplit/>
        </w:trPr>
        <w:tc>
          <w:tcPr>
            <w:tcW w:w="525" w:type="pct"/>
            <w:shd w:val="clear" w:color="auto" w:fill="auto"/>
            <w:vAlign w:val="center"/>
          </w:tcPr>
          <w:p w14:paraId="4A9488B3" w14:textId="019D9232" w:rsidR="00F72DC0" w:rsidRPr="00806B36" w:rsidRDefault="00F72DC0" w:rsidP="00646665">
            <w:pPr>
              <w:pStyle w:val="COMTabletext"/>
            </w:pPr>
            <w:r w:rsidRPr="00806B36">
              <w:t xml:space="preserve">KALM-2 </w:t>
            </w:r>
          </w:p>
        </w:tc>
        <w:tc>
          <w:tcPr>
            <w:tcW w:w="388" w:type="pct"/>
            <w:shd w:val="clear" w:color="auto" w:fill="auto"/>
            <w:vAlign w:val="center"/>
          </w:tcPr>
          <w:p w14:paraId="3F4D20B5" w14:textId="2459E7F6" w:rsidR="00F72DC0" w:rsidRPr="00806B36" w:rsidRDefault="00F72DC0" w:rsidP="00646665">
            <w:pPr>
              <w:pStyle w:val="COMTabletext"/>
              <w:jc w:val="center"/>
            </w:pPr>
            <w:r w:rsidRPr="00806B36">
              <w:t>473</w:t>
            </w:r>
          </w:p>
        </w:tc>
        <w:tc>
          <w:tcPr>
            <w:tcW w:w="676" w:type="pct"/>
            <w:shd w:val="clear" w:color="auto" w:fill="auto"/>
            <w:vAlign w:val="center"/>
          </w:tcPr>
          <w:p w14:paraId="57A47860" w14:textId="77777777" w:rsidR="00F72DC0" w:rsidRPr="00806B36" w:rsidRDefault="00F72DC0" w:rsidP="00646665">
            <w:pPr>
              <w:pStyle w:val="COMTabletext"/>
              <w:jc w:val="center"/>
            </w:pPr>
            <w:r w:rsidRPr="00806B36">
              <w:t xml:space="preserve">Global, </w:t>
            </w:r>
            <w:r w:rsidR="00D56332" w:rsidRPr="00806B36">
              <w:t xml:space="preserve">MC, </w:t>
            </w:r>
            <w:r w:rsidR="00A016BC" w:rsidRPr="00806B36">
              <w:t>R, DB</w:t>
            </w:r>
          </w:p>
          <w:p w14:paraId="68D92FE7" w14:textId="552B326A" w:rsidR="00A016BC" w:rsidRPr="00806B36" w:rsidRDefault="00A016BC" w:rsidP="00646665">
            <w:pPr>
              <w:pStyle w:val="COMTabletext"/>
              <w:jc w:val="center"/>
            </w:pPr>
            <w:r w:rsidRPr="00806B36">
              <w:t>12 weeks</w:t>
            </w:r>
          </w:p>
        </w:tc>
        <w:tc>
          <w:tcPr>
            <w:tcW w:w="575" w:type="pct"/>
            <w:shd w:val="clear" w:color="auto" w:fill="auto"/>
            <w:vAlign w:val="center"/>
          </w:tcPr>
          <w:p w14:paraId="6F0F93F8" w14:textId="761ABFA7" w:rsidR="00F72DC0" w:rsidRPr="00806B36" w:rsidRDefault="00F72DC0" w:rsidP="00646665">
            <w:pPr>
              <w:pStyle w:val="COMTabletext"/>
              <w:jc w:val="center"/>
              <w:rPr>
                <w:iCs/>
              </w:rPr>
            </w:pPr>
            <w:r w:rsidRPr="00806B36">
              <w:rPr>
                <w:iCs/>
              </w:rPr>
              <w:t>Low</w:t>
            </w:r>
          </w:p>
        </w:tc>
        <w:tc>
          <w:tcPr>
            <w:tcW w:w="1024" w:type="pct"/>
            <w:vMerge/>
            <w:shd w:val="clear" w:color="auto" w:fill="auto"/>
            <w:vAlign w:val="center"/>
          </w:tcPr>
          <w:p w14:paraId="43AC963E" w14:textId="04DFD101" w:rsidR="00F72DC0" w:rsidRPr="00806B36" w:rsidRDefault="00F72DC0" w:rsidP="00646665">
            <w:pPr>
              <w:pStyle w:val="COMTabletext"/>
              <w:jc w:val="center"/>
            </w:pPr>
          </w:p>
        </w:tc>
        <w:tc>
          <w:tcPr>
            <w:tcW w:w="698" w:type="pct"/>
            <w:vMerge/>
            <w:shd w:val="clear" w:color="auto" w:fill="auto"/>
            <w:vAlign w:val="center"/>
          </w:tcPr>
          <w:p w14:paraId="4F0C99D2" w14:textId="53075AB7" w:rsidR="00F72DC0" w:rsidRPr="00806B36" w:rsidRDefault="00F72DC0" w:rsidP="00646665">
            <w:pPr>
              <w:pStyle w:val="COMTabletext"/>
              <w:jc w:val="center"/>
            </w:pPr>
          </w:p>
        </w:tc>
        <w:tc>
          <w:tcPr>
            <w:tcW w:w="1114" w:type="pct"/>
            <w:shd w:val="clear" w:color="auto" w:fill="auto"/>
            <w:vAlign w:val="center"/>
          </w:tcPr>
          <w:p w14:paraId="3175EA34" w14:textId="2DE676BB" w:rsidR="00F72DC0" w:rsidRPr="00806B36" w:rsidRDefault="00A016BC" w:rsidP="00646665">
            <w:pPr>
              <w:pStyle w:val="COMTabletext"/>
              <w:jc w:val="center"/>
            </w:pPr>
            <w:r w:rsidRPr="00806B36">
              <w:t>No</w:t>
            </w:r>
          </w:p>
        </w:tc>
      </w:tr>
      <w:tr w:rsidR="00AA1E16" w:rsidRPr="00806B36" w14:paraId="5A102EF8" w14:textId="77777777" w:rsidTr="008F283F">
        <w:trPr>
          <w:cantSplit/>
        </w:trPr>
        <w:tc>
          <w:tcPr>
            <w:tcW w:w="525" w:type="pct"/>
            <w:shd w:val="clear" w:color="auto" w:fill="auto"/>
            <w:vAlign w:val="center"/>
          </w:tcPr>
          <w:p w14:paraId="74E44F8B" w14:textId="60A36993" w:rsidR="00AA1E16" w:rsidRPr="00806B36" w:rsidRDefault="00AA1E16" w:rsidP="00646665">
            <w:pPr>
              <w:pStyle w:val="COMTabletext"/>
            </w:pPr>
            <w:r w:rsidRPr="00806B36">
              <w:t>Pooled analysis</w:t>
            </w:r>
          </w:p>
        </w:tc>
        <w:tc>
          <w:tcPr>
            <w:tcW w:w="388" w:type="pct"/>
            <w:shd w:val="clear" w:color="auto" w:fill="auto"/>
            <w:vAlign w:val="center"/>
          </w:tcPr>
          <w:p w14:paraId="75CC8F57" w14:textId="3A9E2C81" w:rsidR="00AA1E16" w:rsidRPr="00806B36" w:rsidRDefault="005C15FD" w:rsidP="00646665">
            <w:pPr>
              <w:pStyle w:val="COMTabletext"/>
              <w:jc w:val="center"/>
            </w:pPr>
            <w:r w:rsidRPr="00806B36">
              <w:t>851</w:t>
            </w:r>
          </w:p>
        </w:tc>
        <w:tc>
          <w:tcPr>
            <w:tcW w:w="2973" w:type="pct"/>
            <w:gridSpan w:val="4"/>
            <w:shd w:val="clear" w:color="auto" w:fill="auto"/>
            <w:vAlign w:val="center"/>
          </w:tcPr>
          <w:p w14:paraId="4470A691" w14:textId="3FB636A7" w:rsidR="00AA1E16" w:rsidRPr="00806B36" w:rsidRDefault="00552F6F" w:rsidP="00646665">
            <w:pPr>
              <w:pStyle w:val="COMTabletext"/>
              <w:jc w:val="center"/>
            </w:pPr>
            <w:r w:rsidRPr="00806B36">
              <w:t>Based on KALM-1 and KALM-2 whole trial populations</w:t>
            </w:r>
          </w:p>
        </w:tc>
        <w:tc>
          <w:tcPr>
            <w:tcW w:w="1114" w:type="pct"/>
            <w:shd w:val="clear" w:color="auto" w:fill="auto"/>
            <w:vAlign w:val="center"/>
          </w:tcPr>
          <w:p w14:paraId="30B2E537" w14:textId="70721A9D" w:rsidR="00AA1E16" w:rsidRPr="00806B36" w:rsidRDefault="00A120B2" w:rsidP="00646665">
            <w:pPr>
              <w:pStyle w:val="COMTabletext"/>
              <w:jc w:val="center"/>
            </w:pPr>
            <w:r w:rsidRPr="00806B36">
              <w:t xml:space="preserve">Individual patient data analysis of </w:t>
            </w:r>
            <w:r w:rsidR="00FB2417" w:rsidRPr="00806B36">
              <w:t>5-D Itch scores</w:t>
            </w:r>
          </w:p>
        </w:tc>
      </w:tr>
      <w:tr w:rsidR="00AC72A4" w:rsidRPr="00806B36" w14:paraId="05E2E28B" w14:textId="77777777" w:rsidTr="00AC72A4">
        <w:trPr>
          <w:cantSplit/>
        </w:trPr>
        <w:tc>
          <w:tcPr>
            <w:tcW w:w="5000" w:type="pct"/>
            <w:gridSpan w:val="7"/>
            <w:shd w:val="clear" w:color="auto" w:fill="auto"/>
            <w:vAlign w:val="center"/>
          </w:tcPr>
          <w:p w14:paraId="278DCC49" w14:textId="23C03455" w:rsidR="00AC72A4" w:rsidRPr="00806B36" w:rsidRDefault="00AC72A4" w:rsidP="00AC72A4">
            <w:pPr>
              <w:pStyle w:val="COMtablefigcaption"/>
            </w:pPr>
            <w:r w:rsidRPr="00806B36">
              <w:t>Difelikefalin</w:t>
            </w:r>
            <w:r w:rsidR="009554A3" w:rsidRPr="00806B36">
              <w:t>, single-arm studies</w:t>
            </w:r>
          </w:p>
        </w:tc>
      </w:tr>
      <w:tr w:rsidR="00055EF1" w:rsidRPr="00806B36" w14:paraId="1AF572D1" w14:textId="77777777" w:rsidTr="000032B8">
        <w:trPr>
          <w:cantSplit/>
        </w:trPr>
        <w:tc>
          <w:tcPr>
            <w:tcW w:w="525" w:type="pct"/>
            <w:shd w:val="clear" w:color="auto" w:fill="auto"/>
            <w:vAlign w:val="center"/>
          </w:tcPr>
          <w:p w14:paraId="7AF25A8F" w14:textId="34685D79" w:rsidR="00055EF1" w:rsidRPr="00806B36" w:rsidRDefault="00055EF1" w:rsidP="00646665">
            <w:pPr>
              <w:pStyle w:val="COMTabletext"/>
            </w:pPr>
            <w:r w:rsidRPr="00806B36">
              <w:t>KALM-1 OLE</w:t>
            </w:r>
          </w:p>
        </w:tc>
        <w:tc>
          <w:tcPr>
            <w:tcW w:w="388" w:type="pct"/>
            <w:shd w:val="clear" w:color="auto" w:fill="auto"/>
            <w:vAlign w:val="center"/>
          </w:tcPr>
          <w:p w14:paraId="3E890C25" w14:textId="5D3814B1" w:rsidR="00055EF1" w:rsidRPr="00806B36" w:rsidRDefault="00055EF1" w:rsidP="00646665">
            <w:pPr>
              <w:pStyle w:val="COMTabletext"/>
              <w:jc w:val="center"/>
            </w:pPr>
            <w:r w:rsidRPr="00806B36">
              <w:t>313</w:t>
            </w:r>
          </w:p>
        </w:tc>
        <w:tc>
          <w:tcPr>
            <w:tcW w:w="676" w:type="pct"/>
            <w:shd w:val="clear" w:color="auto" w:fill="auto"/>
            <w:vAlign w:val="center"/>
          </w:tcPr>
          <w:p w14:paraId="66B3A87D" w14:textId="77777777" w:rsidR="00055EF1" w:rsidRPr="00806B36" w:rsidRDefault="00055EF1" w:rsidP="00646665">
            <w:pPr>
              <w:pStyle w:val="COMTabletext"/>
              <w:jc w:val="center"/>
            </w:pPr>
            <w:r w:rsidRPr="00806B36">
              <w:t>US, MC, OL, cross-over</w:t>
            </w:r>
          </w:p>
          <w:p w14:paraId="2AA3CC5F" w14:textId="3B609426" w:rsidR="00055EF1" w:rsidRPr="00806B36" w:rsidRDefault="00055EF1" w:rsidP="00646665">
            <w:pPr>
              <w:pStyle w:val="COMTabletext"/>
              <w:jc w:val="center"/>
            </w:pPr>
            <w:r w:rsidRPr="00806B36">
              <w:t>52 weeks</w:t>
            </w:r>
          </w:p>
        </w:tc>
        <w:tc>
          <w:tcPr>
            <w:tcW w:w="575" w:type="pct"/>
            <w:shd w:val="clear" w:color="auto" w:fill="auto"/>
            <w:vAlign w:val="center"/>
          </w:tcPr>
          <w:p w14:paraId="68E425B0" w14:textId="7EA1FC0F" w:rsidR="00055EF1" w:rsidRPr="00806B36" w:rsidRDefault="00055EF1" w:rsidP="00646665">
            <w:pPr>
              <w:pStyle w:val="COMTabletext"/>
              <w:jc w:val="center"/>
              <w:rPr>
                <w:iCs/>
              </w:rPr>
            </w:pPr>
            <w:r w:rsidRPr="00806B36">
              <w:rPr>
                <w:iCs/>
              </w:rPr>
              <w:t>High</w:t>
            </w:r>
          </w:p>
        </w:tc>
        <w:tc>
          <w:tcPr>
            <w:tcW w:w="1024" w:type="pct"/>
            <w:vMerge w:val="restart"/>
            <w:shd w:val="clear" w:color="auto" w:fill="auto"/>
            <w:vAlign w:val="center"/>
          </w:tcPr>
          <w:p w14:paraId="1386AE3A" w14:textId="240E722D" w:rsidR="00055EF1" w:rsidRPr="00806B36" w:rsidRDefault="00055EF1" w:rsidP="00646665">
            <w:pPr>
              <w:pStyle w:val="COMTabletext"/>
              <w:jc w:val="center"/>
            </w:pPr>
            <w:r w:rsidRPr="00806B36">
              <w:t>Patients from the KALM trials who received at least 30 of 36 doses of study drug during the double-blind period</w:t>
            </w:r>
          </w:p>
        </w:tc>
        <w:tc>
          <w:tcPr>
            <w:tcW w:w="698" w:type="pct"/>
            <w:vMerge w:val="restart"/>
            <w:shd w:val="clear" w:color="auto" w:fill="auto"/>
            <w:vAlign w:val="center"/>
          </w:tcPr>
          <w:p w14:paraId="30D6A004" w14:textId="261540FD" w:rsidR="00055EF1" w:rsidRPr="00806B36" w:rsidRDefault="001D3C0B" w:rsidP="00646665">
            <w:pPr>
              <w:pStyle w:val="COMTabletext"/>
              <w:jc w:val="center"/>
            </w:pPr>
            <w:r w:rsidRPr="00806B36">
              <w:t>Safety, 5-D Itch</w:t>
            </w:r>
          </w:p>
        </w:tc>
        <w:tc>
          <w:tcPr>
            <w:tcW w:w="1114" w:type="pct"/>
            <w:shd w:val="clear" w:color="auto" w:fill="auto"/>
            <w:vAlign w:val="center"/>
          </w:tcPr>
          <w:p w14:paraId="34C59517" w14:textId="0217738D" w:rsidR="00055EF1" w:rsidRPr="00806B36" w:rsidRDefault="00055EF1" w:rsidP="00646665">
            <w:pPr>
              <w:pStyle w:val="COMTabletext"/>
              <w:jc w:val="center"/>
            </w:pPr>
            <w:r w:rsidRPr="00806B36">
              <w:t>No</w:t>
            </w:r>
          </w:p>
        </w:tc>
      </w:tr>
      <w:tr w:rsidR="00055EF1" w:rsidRPr="00806B36" w14:paraId="5D95C634" w14:textId="77777777" w:rsidTr="000032B8">
        <w:trPr>
          <w:cantSplit/>
        </w:trPr>
        <w:tc>
          <w:tcPr>
            <w:tcW w:w="525" w:type="pct"/>
            <w:shd w:val="clear" w:color="auto" w:fill="auto"/>
            <w:vAlign w:val="center"/>
          </w:tcPr>
          <w:p w14:paraId="1EC2FFA0" w14:textId="706A35D9" w:rsidR="00055EF1" w:rsidRPr="00806B36" w:rsidRDefault="00055EF1" w:rsidP="00646665">
            <w:pPr>
              <w:pStyle w:val="COMTabletext"/>
            </w:pPr>
            <w:r w:rsidRPr="00806B36">
              <w:t>KAML-2 OLE</w:t>
            </w:r>
          </w:p>
        </w:tc>
        <w:tc>
          <w:tcPr>
            <w:tcW w:w="388" w:type="pct"/>
            <w:shd w:val="clear" w:color="auto" w:fill="auto"/>
            <w:vAlign w:val="center"/>
          </w:tcPr>
          <w:p w14:paraId="39D55014" w14:textId="2BFFF1EC" w:rsidR="00055EF1" w:rsidRPr="00806B36" w:rsidRDefault="00055EF1" w:rsidP="00646665">
            <w:pPr>
              <w:pStyle w:val="COMTabletext"/>
              <w:jc w:val="center"/>
            </w:pPr>
            <w:r w:rsidRPr="00806B36">
              <w:t>399</w:t>
            </w:r>
          </w:p>
        </w:tc>
        <w:tc>
          <w:tcPr>
            <w:tcW w:w="676" w:type="pct"/>
            <w:shd w:val="clear" w:color="auto" w:fill="auto"/>
            <w:vAlign w:val="center"/>
          </w:tcPr>
          <w:p w14:paraId="35504300" w14:textId="77777777" w:rsidR="00055EF1" w:rsidRPr="00806B36" w:rsidRDefault="00055EF1" w:rsidP="00646665">
            <w:pPr>
              <w:pStyle w:val="COMTabletext"/>
              <w:jc w:val="center"/>
            </w:pPr>
            <w:r w:rsidRPr="00806B36">
              <w:t>Global, MC, OL, cross-over</w:t>
            </w:r>
          </w:p>
          <w:p w14:paraId="476DD686" w14:textId="13FCEECF" w:rsidR="00055EF1" w:rsidRPr="00806B36" w:rsidRDefault="00055EF1" w:rsidP="00646665">
            <w:pPr>
              <w:pStyle w:val="COMTabletext"/>
              <w:jc w:val="center"/>
            </w:pPr>
            <w:r w:rsidRPr="00806B36">
              <w:t>52 weeks</w:t>
            </w:r>
          </w:p>
        </w:tc>
        <w:tc>
          <w:tcPr>
            <w:tcW w:w="575" w:type="pct"/>
            <w:shd w:val="clear" w:color="auto" w:fill="auto"/>
            <w:vAlign w:val="center"/>
          </w:tcPr>
          <w:p w14:paraId="5BCBA28D" w14:textId="41599190" w:rsidR="00055EF1" w:rsidRPr="00806B36" w:rsidRDefault="00055EF1" w:rsidP="00646665">
            <w:pPr>
              <w:pStyle w:val="COMTabletext"/>
              <w:jc w:val="center"/>
              <w:rPr>
                <w:iCs/>
              </w:rPr>
            </w:pPr>
            <w:r w:rsidRPr="00806B36">
              <w:rPr>
                <w:iCs/>
              </w:rPr>
              <w:t>High</w:t>
            </w:r>
          </w:p>
        </w:tc>
        <w:tc>
          <w:tcPr>
            <w:tcW w:w="1024" w:type="pct"/>
            <w:vMerge/>
            <w:shd w:val="clear" w:color="auto" w:fill="auto"/>
            <w:vAlign w:val="center"/>
          </w:tcPr>
          <w:p w14:paraId="2E27ED31" w14:textId="77777777" w:rsidR="00055EF1" w:rsidRPr="00806B36" w:rsidRDefault="00055EF1" w:rsidP="00646665">
            <w:pPr>
              <w:pStyle w:val="COMTabletext"/>
              <w:jc w:val="center"/>
            </w:pPr>
          </w:p>
        </w:tc>
        <w:tc>
          <w:tcPr>
            <w:tcW w:w="698" w:type="pct"/>
            <w:vMerge/>
            <w:shd w:val="clear" w:color="auto" w:fill="auto"/>
            <w:vAlign w:val="center"/>
          </w:tcPr>
          <w:p w14:paraId="4CC32ED7" w14:textId="77777777" w:rsidR="00055EF1" w:rsidRPr="00806B36" w:rsidRDefault="00055EF1" w:rsidP="00646665">
            <w:pPr>
              <w:pStyle w:val="COMTabletext"/>
              <w:jc w:val="center"/>
            </w:pPr>
          </w:p>
        </w:tc>
        <w:tc>
          <w:tcPr>
            <w:tcW w:w="1114" w:type="pct"/>
            <w:shd w:val="clear" w:color="auto" w:fill="auto"/>
            <w:vAlign w:val="center"/>
          </w:tcPr>
          <w:p w14:paraId="76E8D73A" w14:textId="3EBB225F" w:rsidR="00055EF1" w:rsidRPr="00806B36" w:rsidRDefault="00055EF1" w:rsidP="00646665">
            <w:pPr>
              <w:pStyle w:val="COMTabletext"/>
              <w:jc w:val="center"/>
            </w:pPr>
            <w:r w:rsidRPr="00806B36">
              <w:t>No</w:t>
            </w:r>
          </w:p>
        </w:tc>
      </w:tr>
      <w:tr w:rsidR="00F31D5A" w:rsidRPr="00806B36" w14:paraId="0F9290DD" w14:textId="77777777" w:rsidTr="008F283F">
        <w:trPr>
          <w:cantSplit/>
        </w:trPr>
        <w:tc>
          <w:tcPr>
            <w:tcW w:w="525" w:type="pct"/>
            <w:shd w:val="clear" w:color="auto" w:fill="auto"/>
            <w:vAlign w:val="center"/>
          </w:tcPr>
          <w:p w14:paraId="07CD5136" w14:textId="314523BA" w:rsidR="007F1017" w:rsidRPr="00806B36" w:rsidRDefault="008F3874" w:rsidP="00646665">
            <w:pPr>
              <w:pStyle w:val="COMTabletext"/>
            </w:pPr>
            <w:r w:rsidRPr="00806B36">
              <w:t xml:space="preserve">Pooled </w:t>
            </w:r>
            <w:r w:rsidR="007F1017" w:rsidRPr="00806B36">
              <w:t>analysis</w:t>
            </w:r>
          </w:p>
        </w:tc>
        <w:tc>
          <w:tcPr>
            <w:tcW w:w="388" w:type="pct"/>
            <w:shd w:val="clear" w:color="auto" w:fill="auto"/>
            <w:vAlign w:val="center"/>
          </w:tcPr>
          <w:p w14:paraId="6AB142BB" w14:textId="1534E210" w:rsidR="007F1017" w:rsidRPr="00806B36" w:rsidRDefault="0000434A" w:rsidP="00646665">
            <w:pPr>
              <w:pStyle w:val="COMTabletext"/>
              <w:jc w:val="center"/>
            </w:pPr>
            <w:r w:rsidRPr="00806B36">
              <w:t>712</w:t>
            </w:r>
          </w:p>
        </w:tc>
        <w:tc>
          <w:tcPr>
            <w:tcW w:w="2973" w:type="pct"/>
            <w:gridSpan w:val="4"/>
            <w:shd w:val="clear" w:color="auto" w:fill="auto"/>
            <w:vAlign w:val="center"/>
          </w:tcPr>
          <w:p w14:paraId="2D59F007" w14:textId="21F3D5D0" w:rsidR="007F1017" w:rsidRPr="00806B36" w:rsidRDefault="00D66679" w:rsidP="00646665">
            <w:pPr>
              <w:pStyle w:val="COMTabletext"/>
              <w:jc w:val="center"/>
            </w:pPr>
            <w:r w:rsidRPr="00806B36">
              <w:t>Based on patients in the KALM-1 and KALM-2 OLE</w:t>
            </w:r>
          </w:p>
        </w:tc>
        <w:tc>
          <w:tcPr>
            <w:tcW w:w="1114" w:type="pct"/>
            <w:shd w:val="clear" w:color="auto" w:fill="auto"/>
            <w:vAlign w:val="center"/>
          </w:tcPr>
          <w:p w14:paraId="6E5A0C30" w14:textId="64DB0576" w:rsidR="007F1017" w:rsidRPr="00806B36" w:rsidRDefault="00FB2417" w:rsidP="00646665">
            <w:pPr>
              <w:pStyle w:val="COMTabletext"/>
              <w:jc w:val="center"/>
            </w:pPr>
            <w:r w:rsidRPr="00806B36">
              <w:t xml:space="preserve">Individual patient data analysis of 5-D Itch scores. </w:t>
            </w:r>
            <w:r w:rsidR="00BA37EA" w:rsidRPr="00806B36">
              <w:t>Based on the subgroup</w:t>
            </w:r>
            <w:r w:rsidR="00902F68" w:rsidRPr="00806B36">
              <w:t xml:space="preserve"> with 5-D Itch score ≥12 at baseline with response defined as ≥5-point improvement</w:t>
            </w:r>
            <w:r w:rsidR="008F283F" w:rsidRPr="00806B36">
              <w:t xml:space="preserve"> at 12 weeks</w:t>
            </w:r>
          </w:p>
        </w:tc>
      </w:tr>
    </w:tbl>
    <w:p w14:paraId="560080D2" w14:textId="5D099185" w:rsidR="00045017" w:rsidRPr="00806B36" w:rsidRDefault="00045017" w:rsidP="00646665">
      <w:pPr>
        <w:pStyle w:val="COMTablefooter"/>
        <w:keepNext/>
      </w:pPr>
      <w:r w:rsidRPr="00806B36">
        <w:t xml:space="preserve">Source: </w:t>
      </w:r>
      <w:r w:rsidR="000D6130" w:rsidRPr="00806B36">
        <w:t>Table 13, p273 of the submission</w:t>
      </w:r>
    </w:p>
    <w:p w14:paraId="1095487C" w14:textId="499CB1DB" w:rsidR="00620C25" w:rsidRPr="00806B36" w:rsidRDefault="000D6130" w:rsidP="00646665">
      <w:pPr>
        <w:pStyle w:val="COMTablefooter"/>
        <w:keepNext/>
        <w:rPr>
          <w:sz w:val="20"/>
        </w:rPr>
      </w:pPr>
      <w:r w:rsidRPr="00806B36">
        <w:t xml:space="preserve">Abbreviations: </w:t>
      </w:r>
      <w:r w:rsidR="00620C25" w:rsidRPr="00806B36">
        <w:t>DB</w:t>
      </w:r>
      <w:r w:rsidRPr="00806B36">
        <w:t xml:space="preserve">, </w:t>
      </w:r>
      <w:r w:rsidR="00620C25" w:rsidRPr="00806B36">
        <w:t>double blind; MC</w:t>
      </w:r>
      <w:r w:rsidRPr="00806B36">
        <w:t xml:space="preserve">, </w:t>
      </w:r>
      <w:r w:rsidR="00620C25" w:rsidRPr="00806B36">
        <w:t>multi-centre; OL</w:t>
      </w:r>
      <w:r w:rsidR="00C67F16" w:rsidRPr="00806B36">
        <w:t xml:space="preserve">, </w:t>
      </w:r>
      <w:r w:rsidR="00620C25" w:rsidRPr="00806B36">
        <w:t>open label; R</w:t>
      </w:r>
      <w:r w:rsidR="009B579F" w:rsidRPr="00806B36">
        <w:t xml:space="preserve">, </w:t>
      </w:r>
      <w:r w:rsidR="00620C25" w:rsidRPr="00806B36">
        <w:t>randomised</w:t>
      </w:r>
      <w:r w:rsidR="00C67F16" w:rsidRPr="00806B36">
        <w:t>; US, United States; WI-NRS, Worst-Itching Intensity Numeric Rating Scale</w:t>
      </w:r>
    </w:p>
    <w:p w14:paraId="4B83BBF3" w14:textId="1D50F9DF" w:rsidR="00045017" w:rsidRPr="00806B36" w:rsidRDefault="001C7718" w:rsidP="001C7718">
      <w:pPr>
        <w:pStyle w:val="COMexecsumnumberedpara"/>
      </w:pPr>
      <w:r w:rsidRPr="00806B36">
        <w:t>The submission acknowledged that the efficacy endpoints in the key trials were based on subjective patient-reported measures (24-hour WI-NRS, Skindex-10 Scale, 5-D Itch Scale and Patient Global Impression of Change), which can be prone to bias. The submission claimed the use of double-blinding and collection of measurements at multiple time points may help mitigate the risk of bias. The risk of bias was high for efficacy endpoints during the open-label extension periods given patients and study personnel were aware of treatments received and measurements were collected at less frequent time points.</w:t>
      </w:r>
    </w:p>
    <w:p w14:paraId="468EAD1D" w14:textId="6F40B98F" w:rsidR="005A58E2" w:rsidRPr="00806B36" w:rsidRDefault="005A58E2" w:rsidP="001C7718">
      <w:pPr>
        <w:pStyle w:val="COMexecsumnumberedpara"/>
      </w:pPr>
      <w:r w:rsidRPr="00806B36">
        <w:t>There was differential discontinuation between treatment arms during the 12-week double-blind treatment period, with more patients discontinuing in the difelikefalin arm compared to placebo in both KALM-1 (difelikefalin 14%, placebo 10%) and KALM-2 (difelikefalin 12%, placebo 6%) trials. The difference was primarily due to adverse events. Clinical data were not collected following treatment discontinuation, which may have an impact on any differences observed between treatment arms after discontinuations. Multiple imputation methods were used to handle the missing data, with sensitivity analyses using different assumptions and imputation algorithms</w:t>
      </w:r>
      <w:r w:rsidR="007A4B0C" w:rsidRPr="00806B36">
        <w:t>.</w:t>
      </w:r>
    </w:p>
    <w:p w14:paraId="4899E35E" w14:textId="7B1210A5" w:rsidR="007F1017" w:rsidRPr="00806B36" w:rsidRDefault="007A4B0C" w:rsidP="003A44A8">
      <w:pPr>
        <w:pStyle w:val="COMexecsumnumberedpara"/>
      </w:pPr>
      <w:bookmarkStart w:id="25" w:name="_Ref130806646"/>
      <w:r w:rsidRPr="00806B36">
        <w:t>The open-label extension periods in both trials were stopped early due to sponsor decision, with the trial reports stating that it was due to administrative reasons and not safety or lack of efficacy concerns. The decision had a greater impact on the global study, KALM-2, with almost all patients discontinuing early (80% due to sponsor stopping the study) and results only reported up to Week 36 of the open-label extension. Approximately 40% of patients discontinued early from the open-label extension period of the KALM-1 trial (approximately 20% due to the sponsor stopping the study). It may be difficult to interpret data from later timepoints of the extension studies.</w:t>
      </w:r>
      <w:bookmarkEnd w:id="25"/>
    </w:p>
    <w:p w14:paraId="587F6A19" w14:textId="3537921E" w:rsidR="00F37CBE" w:rsidRPr="00806B36" w:rsidRDefault="00F37CBE" w:rsidP="00F37CBE">
      <w:pPr>
        <w:pStyle w:val="COMexecsumnumberedpara"/>
      </w:pPr>
      <w:r w:rsidRPr="00806B36">
        <w:t xml:space="preserve">The primary outcome in the key trials was the proportion of patients achieving a ≥3-point improvement from baseline with respect to the weekly mean of the daily 24-hour WI-NRS at Week 12 of the double-blind treatment period. The submission acknowledged that the assessment of pruritus severity is highly subjective but argued that the 3-point threshold used to define treatment response in the trials would represent a minimal clinically important difference (MCID). </w:t>
      </w:r>
    </w:p>
    <w:p w14:paraId="2B163812" w14:textId="77777777" w:rsidR="00F37CBE" w:rsidRPr="00806B36" w:rsidRDefault="00F37CBE" w:rsidP="00F37CBE">
      <w:pPr>
        <w:pStyle w:val="COMexecsumnumberedpara"/>
      </w:pPr>
      <w:r w:rsidRPr="00806B36">
        <w:t>The submission claimed the nominated MCID was supported by an anchor- and distribution-based analysis of data from a Phase II trial of difelikefalin versus placebo in haemodialysis patients with moderate to severe CKD-associated pruritus (CLIN2101) (Vernon 2021a, published in a research letter). The results of the analysis were not presented or discussed in the submission.</w:t>
      </w:r>
    </w:p>
    <w:p w14:paraId="0E71CF1A" w14:textId="77777777" w:rsidR="00F37CBE" w:rsidRPr="00806B36" w:rsidRDefault="00F37CBE" w:rsidP="00F37CBE">
      <w:pPr>
        <w:pStyle w:val="COMexecsumnumberedpara"/>
      </w:pPr>
      <w:r w:rsidRPr="00806B36">
        <w:t xml:space="preserve">The submission also acknowledged, however, that the FDA prefers a higher threshold of ≥4-point change in WI-NRS to define treatment response. Outcomes based on a ≥4-point change were assessed as secondary endpoints in the trials. </w:t>
      </w:r>
    </w:p>
    <w:p w14:paraId="3F22D3A4" w14:textId="77777777" w:rsidR="00F37CBE" w:rsidRPr="00806B36" w:rsidRDefault="00F37CBE" w:rsidP="00F37CBE">
      <w:pPr>
        <w:pStyle w:val="COMexecsumnumberedpara"/>
      </w:pPr>
      <w:r w:rsidRPr="00806B36">
        <w:t>Other key secondary endpoints in the trials included measures of itch-related quality of life using 2 multi-dimensional questionnaires (5-D Itch Scale and Skindex-10 Scale). The submission claimed that the Phase II trial dataset (CLIN2101) showed that a 15-point improvement from baseline total Skindex-10 score and a 5-point improvement from baseline 5-D itch scores represented clinically meaningful changes. Data to support these claims were not provided in the submission. The Patient Global Impression of Change (PGIC) scale was assessed an exploratory outcome.</w:t>
      </w:r>
    </w:p>
    <w:p w14:paraId="2A646EE4" w14:textId="3D48F181" w:rsidR="00F37CBE" w:rsidRPr="00806B36" w:rsidRDefault="00F37CBE" w:rsidP="00F37CBE">
      <w:pPr>
        <w:pStyle w:val="COMexecsumnumberedpara"/>
      </w:pPr>
      <w:r w:rsidRPr="00806B36">
        <w:t xml:space="preserve">No health-related quality of life outcomes using generic instruments (e.g. EQ-5D or SF 36) were captured in the key trials. </w:t>
      </w:r>
    </w:p>
    <w:p w14:paraId="4A4FE085" w14:textId="27EB77B1" w:rsidR="00B60939" w:rsidRPr="00806B36" w:rsidDel="000F2C79" w:rsidRDefault="00B60939" w:rsidP="00EC5836">
      <w:pPr>
        <w:pStyle w:val="COMH2-non-numbered"/>
      </w:pPr>
      <w:bookmarkStart w:id="26" w:name="_Toc22897641"/>
      <w:bookmarkStart w:id="27" w:name="_Toc124836720"/>
      <w:r w:rsidRPr="00806B36" w:rsidDel="000F2C79">
        <w:t>Comparative effectiveness</w:t>
      </w:r>
      <w:bookmarkEnd w:id="26"/>
      <w:bookmarkEnd w:id="27"/>
    </w:p>
    <w:p w14:paraId="5243F40C" w14:textId="03272DCE" w:rsidR="00A11781" w:rsidRPr="00806B36" w:rsidRDefault="009B100B" w:rsidP="00086970">
      <w:pPr>
        <w:pStyle w:val="COMexecsumnumberedpara"/>
      </w:pPr>
      <w:r w:rsidRPr="00806B36">
        <w:fldChar w:fldCharType="begin"/>
      </w:r>
      <w:r w:rsidRPr="00806B36">
        <w:instrText xml:space="preserve"> REF _Ref121662016 \h </w:instrText>
      </w:r>
      <w:r w:rsidRPr="00806B36">
        <w:fldChar w:fldCharType="separate"/>
      </w:r>
      <w:r w:rsidR="00487C7F" w:rsidRPr="00806B36">
        <w:t xml:space="preserve">Table </w:t>
      </w:r>
      <w:r w:rsidR="00487C7F">
        <w:rPr>
          <w:noProof/>
        </w:rPr>
        <w:t>4</w:t>
      </w:r>
      <w:r w:rsidRPr="00806B36">
        <w:fldChar w:fldCharType="end"/>
      </w:r>
      <w:r w:rsidR="00A11781" w:rsidRPr="00806B36">
        <w:t xml:space="preserve"> presents key results based on the WI-NRS (range,</w:t>
      </w:r>
      <w:r w:rsidRPr="00806B36">
        <w:t xml:space="preserve"> </w:t>
      </w:r>
      <w:r w:rsidR="00A11781" w:rsidRPr="00806B36">
        <w:t>0-10) in the pivotal trials of difelikefalin.</w:t>
      </w:r>
    </w:p>
    <w:p w14:paraId="3CC6FEC3" w14:textId="47ED9FB9" w:rsidR="009B100B" w:rsidRPr="00806B36" w:rsidRDefault="008E1F17" w:rsidP="009B100B">
      <w:pPr>
        <w:pStyle w:val="COMtablefigcaption"/>
      </w:pPr>
      <w:bookmarkStart w:id="28" w:name="_Ref121662016"/>
      <w:r w:rsidRPr="00806B36">
        <w:t>Table</w:t>
      </w:r>
      <w:r w:rsidR="009B100B" w:rsidRPr="00806B36">
        <w:t xml:space="preserve"> </w:t>
      </w:r>
      <w:r w:rsidR="00487C7F">
        <w:fldChar w:fldCharType="begin"/>
      </w:r>
      <w:r w:rsidR="00487C7F">
        <w:instrText xml:space="preserve"> SEQ Table \* ARABIC </w:instrText>
      </w:r>
      <w:r w:rsidR="00487C7F">
        <w:fldChar w:fldCharType="separate"/>
      </w:r>
      <w:r w:rsidR="00487C7F">
        <w:rPr>
          <w:noProof/>
        </w:rPr>
        <w:t>4</w:t>
      </w:r>
      <w:r w:rsidR="00487C7F">
        <w:rPr>
          <w:noProof/>
        </w:rPr>
        <w:fldChar w:fldCharType="end"/>
      </w:r>
      <w:bookmarkEnd w:id="28"/>
      <w:r w:rsidR="009B100B" w:rsidRPr="00806B36">
        <w:t>: Results based on the Worst Itching Intensity Numerical Rating Scale (WI-NRS) in the key trials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9"/>
        <w:gridCol w:w="1185"/>
        <w:gridCol w:w="1185"/>
        <w:gridCol w:w="1185"/>
        <w:gridCol w:w="1185"/>
        <w:gridCol w:w="1185"/>
        <w:gridCol w:w="1183"/>
      </w:tblGrid>
      <w:tr w:rsidR="009B100B" w:rsidRPr="00806B36" w14:paraId="748FD376" w14:textId="77777777" w:rsidTr="005961FA">
        <w:trPr>
          <w:tblHeader/>
        </w:trPr>
        <w:tc>
          <w:tcPr>
            <w:tcW w:w="1059" w:type="pct"/>
            <w:vMerge w:val="restart"/>
            <w:vAlign w:val="center"/>
          </w:tcPr>
          <w:p w14:paraId="5B1A9F8F" w14:textId="77777777" w:rsidR="009B100B" w:rsidRPr="00806B36" w:rsidRDefault="009B100B" w:rsidP="0049704D">
            <w:pPr>
              <w:pStyle w:val="COMTableheadingrow"/>
              <w:rPr>
                <w:lang w:val="en-AU"/>
              </w:rPr>
            </w:pPr>
            <w:r w:rsidRPr="00806B36">
              <w:rPr>
                <w:lang w:val="en-AU"/>
              </w:rPr>
              <w:t>Analysis</w:t>
            </w:r>
          </w:p>
        </w:tc>
        <w:tc>
          <w:tcPr>
            <w:tcW w:w="1314" w:type="pct"/>
            <w:gridSpan w:val="2"/>
            <w:vAlign w:val="center"/>
          </w:tcPr>
          <w:p w14:paraId="27682910" w14:textId="77777777" w:rsidR="009B100B" w:rsidRPr="00806B36" w:rsidRDefault="009B100B" w:rsidP="0049704D">
            <w:pPr>
              <w:pStyle w:val="COMTableheadingrow"/>
              <w:jc w:val="center"/>
              <w:rPr>
                <w:lang w:val="en-AU"/>
              </w:rPr>
            </w:pPr>
            <w:r w:rsidRPr="00806B36">
              <w:rPr>
                <w:lang w:val="en-AU"/>
              </w:rPr>
              <w:t>KALM-1</w:t>
            </w:r>
          </w:p>
        </w:tc>
        <w:tc>
          <w:tcPr>
            <w:tcW w:w="1314" w:type="pct"/>
            <w:gridSpan w:val="2"/>
            <w:vAlign w:val="center"/>
          </w:tcPr>
          <w:p w14:paraId="61FC04CE" w14:textId="77777777" w:rsidR="009B100B" w:rsidRPr="00806B36" w:rsidRDefault="009B100B" w:rsidP="0049704D">
            <w:pPr>
              <w:pStyle w:val="COMTableheadingrow"/>
              <w:jc w:val="center"/>
              <w:rPr>
                <w:lang w:val="en-AU"/>
              </w:rPr>
            </w:pPr>
            <w:r w:rsidRPr="00806B36">
              <w:rPr>
                <w:lang w:val="en-AU"/>
              </w:rPr>
              <w:t>KALM-2</w:t>
            </w:r>
          </w:p>
        </w:tc>
        <w:tc>
          <w:tcPr>
            <w:tcW w:w="1313" w:type="pct"/>
            <w:gridSpan w:val="2"/>
            <w:vAlign w:val="center"/>
          </w:tcPr>
          <w:p w14:paraId="1C51434E" w14:textId="77777777" w:rsidR="009B100B" w:rsidRPr="00806B36" w:rsidRDefault="009B100B" w:rsidP="0049704D">
            <w:pPr>
              <w:pStyle w:val="COMTableheadingrow"/>
              <w:jc w:val="center"/>
              <w:rPr>
                <w:lang w:val="en-AU"/>
              </w:rPr>
            </w:pPr>
            <w:r w:rsidRPr="00806B36">
              <w:rPr>
                <w:lang w:val="en-AU"/>
              </w:rPr>
              <w:t>Pooled</w:t>
            </w:r>
          </w:p>
        </w:tc>
      </w:tr>
      <w:tr w:rsidR="009B100B" w:rsidRPr="00806B36" w14:paraId="418C5700" w14:textId="77777777" w:rsidTr="005961FA">
        <w:tc>
          <w:tcPr>
            <w:tcW w:w="1059" w:type="pct"/>
            <w:vMerge/>
            <w:vAlign w:val="center"/>
          </w:tcPr>
          <w:p w14:paraId="4CB044B0" w14:textId="77777777" w:rsidR="009B100B" w:rsidRPr="00806B36" w:rsidRDefault="009B100B" w:rsidP="0049704D">
            <w:pPr>
              <w:pStyle w:val="COMTabletext"/>
            </w:pPr>
          </w:p>
        </w:tc>
        <w:tc>
          <w:tcPr>
            <w:tcW w:w="657" w:type="pct"/>
            <w:vAlign w:val="center"/>
          </w:tcPr>
          <w:p w14:paraId="2147E04B" w14:textId="77777777" w:rsidR="009B100B" w:rsidRPr="00806B36" w:rsidRDefault="009B100B" w:rsidP="0049704D">
            <w:pPr>
              <w:pStyle w:val="COMTabletext"/>
              <w:jc w:val="center"/>
              <w:rPr>
                <w:b/>
                <w:bCs w:val="0"/>
              </w:rPr>
            </w:pPr>
            <w:r w:rsidRPr="00806B36">
              <w:rPr>
                <w:b/>
                <w:bCs w:val="0"/>
              </w:rPr>
              <w:t>Difelikefalin</w:t>
            </w:r>
          </w:p>
          <w:p w14:paraId="5D74543E" w14:textId="77777777" w:rsidR="009B100B" w:rsidRPr="00806B36" w:rsidRDefault="009B100B" w:rsidP="0049704D">
            <w:pPr>
              <w:pStyle w:val="COMTabletext"/>
              <w:jc w:val="center"/>
              <w:rPr>
                <w:b/>
                <w:bCs w:val="0"/>
              </w:rPr>
            </w:pPr>
            <w:r w:rsidRPr="00806B36">
              <w:rPr>
                <w:b/>
                <w:bCs w:val="0"/>
              </w:rPr>
              <w:t>N=189</w:t>
            </w:r>
          </w:p>
        </w:tc>
        <w:tc>
          <w:tcPr>
            <w:tcW w:w="657" w:type="pct"/>
            <w:vAlign w:val="center"/>
          </w:tcPr>
          <w:p w14:paraId="52D0B4CD" w14:textId="77777777" w:rsidR="009B100B" w:rsidRPr="00806B36" w:rsidRDefault="009B100B" w:rsidP="0049704D">
            <w:pPr>
              <w:pStyle w:val="COMTabletext"/>
              <w:jc w:val="center"/>
              <w:rPr>
                <w:b/>
                <w:bCs w:val="0"/>
              </w:rPr>
            </w:pPr>
            <w:r w:rsidRPr="00806B36">
              <w:rPr>
                <w:b/>
                <w:bCs w:val="0"/>
              </w:rPr>
              <w:t>Placebo</w:t>
            </w:r>
          </w:p>
          <w:p w14:paraId="2BB4F3FE" w14:textId="77777777" w:rsidR="009B100B" w:rsidRPr="00806B36" w:rsidRDefault="009B100B" w:rsidP="0049704D">
            <w:pPr>
              <w:pStyle w:val="COMTabletext"/>
              <w:jc w:val="center"/>
              <w:rPr>
                <w:b/>
                <w:bCs w:val="0"/>
              </w:rPr>
            </w:pPr>
            <w:r w:rsidRPr="00806B36">
              <w:rPr>
                <w:b/>
                <w:bCs w:val="0"/>
              </w:rPr>
              <w:t>N=189</w:t>
            </w:r>
          </w:p>
        </w:tc>
        <w:tc>
          <w:tcPr>
            <w:tcW w:w="657" w:type="pct"/>
            <w:vAlign w:val="center"/>
          </w:tcPr>
          <w:p w14:paraId="580110BE" w14:textId="77777777" w:rsidR="009B100B" w:rsidRPr="00806B36" w:rsidRDefault="009B100B" w:rsidP="0049704D">
            <w:pPr>
              <w:pStyle w:val="COMTabletext"/>
              <w:jc w:val="center"/>
              <w:rPr>
                <w:b/>
                <w:bCs w:val="0"/>
              </w:rPr>
            </w:pPr>
            <w:r w:rsidRPr="00806B36">
              <w:rPr>
                <w:b/>
                <w:bCs w:val="0"/>
              </w:rPr>
              <w:t>Difelikefalin</w:t>
            </w:r>
          </w:p>
          <w:p w14:paraId="3BEC2F14" w14:textId="77777777" w:rsidR="009B100B" w:rsidRPr="00806B36" w:rsidRDefault="009B100B" w:rsidP="0049704D">
            <w:pPr>
              <w:pStyle w:val="COMTabletext"/>
              <w:jc w:val="center"/>
              <w:rPr>
                <w:b/>
                <w:bCs w:val="0"/>
              </w:rPr>
            </w:pPr>
            <w:r w:rsidRPr="00806B36">
              <w:rPr>
                <w:b/>
                <w:bCs w:val="0"/>
              </w:rPr>
              <w:t>N=237</w:t>
            </w:r>
          </w:p>
        </w:tc>
        <w:tc>
          <w:tcPr>
            <w:tcW w:w="657" w:type="pct"/>
            <w:vAlign w:val="center"/>
          </w:tcPr>
          <w:p w14:paraId="6ED6D4E0" w14:textId="77777777" w:rsidR="009B100B" w:rsidRPr="00806B36" w:rsidRDefault="009B100B" w:rsidP="0049704D">
            <w:pPr>
              <w:pStyle w:val="COMTabletext"/>
              <w:jc w:val="center"/>
              <w:rPr>
                <w:b/>
                <w:bCs w:val="0"/>
              </w:rPr>
            </w:pPr>
            <w:r w:rsidRPr="00806B36">
              <w:rPr>
                <w:b/>
                <w:bCs w:val="0"/>
              </w:rPr>
              <w:t>Placebo</w:t>
            </w:r>
          </w:p>
          <w:p w14:paraId="42B18192" w14:textId="77777777" w:rsidR="009B100B" w:rsidRPr="00806B36" w:rsidRDefault="009B100B" w:rsidP="0049704D">
            <w:pPr>
              <w:pStyle w:val="COMTabletext"/>
              <w:jc w:val="center"/>
              <w:rPr>
                <w:b/>
                <w:bCs w:val="0"/>
              </w:rPr>
            </w:pPr>
            <w:r w:rsidRPr="00806B36">
              <w:rPr>
                <w:b/>
                <w:bCs w:val="0"/>
              </w:rPr>
              <w:t>N=236</w:t>
            </w:r>
          </w:p>
        </w:tc>
        <w:tc>
          <w:tcPr>
            <w:tcW w:w="657" w:type="pct"/>
            <w:vAlign w:val="center"/>
          </w:tcPr>
          <w:p w14:paraId="2EC4A2F8" w14:textId="77777777" w:rsidR="009B100B" w:rsidRPr="00806B36" w:rsidRDefault="009B100B" w:rsidP="0049704D">
            <w:pPr>
              <w:pStyle w:val="COMTabletext"/>
              <w:jc w:val="center"/>
              <w:rPr>
                <w:b/>
                <w:bCs w:val="0"/>
              </w:rPr>
            </w:pPr>
            <w:r w:rsidRPr="00806B36">
              <w:rPr>
                <w:b/>
                <w:bCs w:val="0"/>
              </w:rPr>
              <w:t>Difelikefalin</w:t>
            </w:r>
          </w:p>
          <w:p w14:paraId="48ACD145" w14:textId="77777777" w:rsidR="009B100B" w:rsidRPr="00806B36" w:rsidRDefault="009B100B" w:rsidP="0049704D">
            <w:pPr>
              <w:pStyle w:val="COMTabletext"/>
              <w:jc w:val="center"/>
              <w:rPr>
                <w:b/>
                <w:bCs w:val="0"/>
              </w:rPr>
            </w:pPr>
            <w:r w:rsidRPr="00806B36">
              <w:rPr>
                <w:b/>
                <w:bCs w:val="0"/>
              </w:rPr>
              <w:t>N=426</w:t>
            </w:r>
          </w:p>
        </w:tc>
        <w:tc>
          <w:tcPr>
            <w:tcW w:w="656" w:type="pct"/>
            <w:vAlign w:val="center"/>
          </w:tcPr>
          <w:p w14:paraId="28E5215B" w14:textId="77777777" w:rsidR="009B100B" w:rsidRPr="00806B36" w:rsidRDefault="009B100B" w:rsidP="0049704D">
            <w:pPr>
              <w:pStyle w:val="COMTabletext"/>
              <w:jc w:val="center"/>
              <w:rPr>
                <w:b/>
                <w:bCs w:val="0"/>
              </w:rPr>
            </w:pPr>
            <w:r w:rsidRPr="00806B36">
              <w:rPr>
                <w:b/>
                <w:bCs w:val="0"/>
              </w:rPr>
              <w:t>Placebo</w:t>
            </w:r>
          </w:p>
          <w:p w14:paraId="793D5900" w14:textId="77777777" w:rsidR="009B100B" w:rsidRPr="00806B36" w:rsidRDefault="009B100B" w:rsidP="0049704D">
            <w:pPr>
              <w:pStyle w:val="COMTabletext"/>
              <w:jc w:val="center"/>
              <w:rPr>
                <w:b/>
                <w:bCs w:val="0"/>
              </w:rPr>
            </w:pPr>
            <w:r w:rsidRPr="00806B36">
              <w:rPr>
                <w:b/>
                <w:bCs w:val="0"/>
              </w:rPr>
              <w:t>N=427</w:t>
            </w:r>
          </w:p>
        </w:tc>
      </w:tr>
      <w:tr w:rsidR="009B100B" w:rsidRPr="00806B36" w14:paraId="5453A3F3" w14:textId="77777777" w:rsidTr="005961FA">
        <w:tc>
          <w:tcPr>
            <w:tcW w:w="5000" w:type="pct"/>
            <w:gridSpan w:val="7"/>
            <w:vAlign w:val="center"/>
          </w:tcPr>
          <w:p w14:paraId="3FF27A89" w14:textId="77777777" w:rsidR="009B100B" w:rsidRPr="00806B36" w:rsidRDefault="009B100B" w:rsidP="0049704D">
            <w:pPr>
              <w:pStyle w:val="COMTableheadingrow"/>
              <w:rPr>
                <w:lang w:val="en-AU"/>
              </w:rPr>
            </w:pPr>
            <w:r w:rsidRPr="00806B36">
              <w:rPr>
                <w:lang w:val="en-AU"/>
              </w:rPr>
              <w:t>Proportion of patients with ≥3-point improvement in WI-NRS score from baseline to Week 12 (primary outcome)</w:t>
            </w:r>
          </w:p>
        </w:tc>
      </w:tr>
      <w:tr w:rsidR="009B100B" w:rsidRPr="00806B36" w14:paraId="079EBDCB" w14:textId="77777777" w:rsidTr="005961FA">
        <w:tc>
          <w:tcPr>
            <w:tcW w:w="1059" w:type="pct"/>
            <w:vAlign w:val="center"/>
          </w:tcPr>
          <w:p w14:paraId="27C57460" w14:textId="77777777" w:rsidR="009B100B" w:rsidRPr="00806B36" w:rsidRDefault="009B100B" w:rsidP="0049704D">
            <w:pPr>
              <w:pStyle w:val="COMTabletext"/>
            </w:pPr>
            <w:r w:rsidRPr="00806B36">
              <w:t xml:space="preserve">Observed, n/N (%) </w:t>
            </w:r>
            <w:r w:rsidRPr="00806B36">
              <w:rPr>
                <w:vertAlign w:val="superscript"/>
              </w:rPr>
              <w:t>a</w:t>
            </w:r>
            <w:r w:rsidRPr="00806B36">
              <w:t xml:space="preserve"> </w:t>
            </w:r>
          </w:p>
        </w:tc>
        <w:tc>
          <w:tcPr>
            <w:tcW w:w="657" w:type="pct"/>
            <w:vAlign w:val="center"/>
          </w:tcPr>
          <w:p w14:paraId="5D0E4B35" w14:textId="77777777" w:rsidR="009B100B" w:rsidRPr="00806B36" w:rsidRDefault="009B100B" w:rsidP="0049704D">
            <w:pPr>
              <w:pStyle w:val="COMTabletext"/>
              <w:jc w:val="center"/>
            </w:pPr>
            <w:r w:rsidRPr="00806B36">
              <w:t>82/157 (52.2)</w:t>
            </w:r>
          </w:p>
        </w:tc>
        <w:tc>
          <w:tcPr>
            <w:tcW w:w="657" w:type="pct"/>
            <w:vAlign w:val="center"/>
          </w:tcPr>
          <w:p w14:paraId="08682346" w14:textId="77777777" w:rsidR="009B100B" w:rsidRPr="00806B36" w:rsidRDefault="009B100B" w:rsidP="0049704D">
            <w:pPr>
              <w:pStyle w:val="COMTabletext"/>
              <w:jc w:val="center"/>
            </w:pPr>
            <w:r w:rsidRPr="00806B36">
              <w:t>51/165 (30.9)</w:t>
            </w:r>
          </w:p>
        </w:tc>
        <w:tc>
          <w:tcPr>
            <w:tcW w:w="657" w:type="pct"/>
            <w:vAlign w:val="center"/>
          </w:tcPr>
          <w:p w14:paraId="1E1DE0F1" w14:textId="77777777" w:rsidR="009B100B" w:rsidRPr="00806B36" w:rsidRDefault="009B100B" w:rsidP="0049704D">
            <w:pPr>
              <w:pStyle w:val="COMTabletext"/>
              <w:jc w:val="center"/>
            </w:pPr>
            <w:r w:rsidRPr="00806B36">
              <w:t>95/191 (49.7)</w:t>
            </w:r>
          </w:p>
        </w:tc>
        <w:tc>
          <w:tcPr>
            <w:tcW w:w="657" w:type="pct"/>
            <w:vAlign w:val="center"/>
          </w:tcPr>
          <w:p w14:paraId="7B4B2CFA" w14:textId="77777777" w:rsidR="009B100B" w:rsidRPr="00806B36" w:rsidRDefault="009B100B" w:rsidP="0049704D">
            <w:pPr>
              <w:pStyle w:val="COMTabletext"/>
              <w:jc w:val="center"/>
            </w:pPr>
            <w:r w:rsidRPr="00806B36">
              <w:t>77/207 (37.2)</w:t>
            </w:r>
          </w:p>
        </w:tc>
        <w:tc>
          <w:tcPr>
            <w:tcW w:w="657" w:type="pct"/>
            <w:vAlign w:val="center"/>
          </w:tcPr>
          <w:p w14:paraId="0E097234" w14:textId="77777777" w:rsidR="009B100B" w:rsidRPr="00806B36" w:rsidRDefault="009B100B" w:rsidP="0049704D">
            <w:pPr>
              <w:pStyle w:val="COMTabletext"/>
              <w:jc w:val="center"/>
            </w:pPr>
            <w:r w:rsidRPr="00806B36">
              <w:t>-</w:t>
            </w:r>
          </w:p>
        </w:tc>
        <w:tc>
          <w:tcPr>
            <w:tcW w:w="656" w:type="pct"/>
            <w:vAlign w:val="center"/>
          </w:tcPr>
          <w:p w14:paraId="1B6EE047" w14:textId="77777777" w:rsidR="009B100B" w:rsidRPr="00806B36" w:rsidRDefault="009B100B" w:rsidP="0049704D">
            <w:pPr>
              <w:pStyle w:val="COMTabletext"/>
              <w:jc w:val="center"/>
            </w:pPr>
            <w:r w:rsidRPr="00806B36">
              <w:t>-</w:t>
            </w:r>
          </w:p>
        </w:tc>
      </w:tr>
      <w:tr w:rsidR="009B100B" w:rsidRPr="00806B36" w14:paraId="6B53C11E" w14:textId="77777777" w:rsidTr="005961FA">
        <w:tc>
          <w:tcPr>
            <w:tcW w:w="1059" w:type="pct"/>
            <w:vAlign w:val="center"/>
          </w:tcPr>
          <w:p w14:paraId="6FE3B87C" w14:textId="77777777" w:rsidR="009B100B" w:rsidRPr="00806B36" w:rsidRDefault="009B100B" w:rsidP="0049704D">
            <w:pPr>
              <w:pStyle w:val="COMTabletext"/>
            </w:pPr>
            <w:r w:rsidRPr="00806B36">
              <w:t>Missing, n/N (%)</w:t>
            </w:r>
          </w:p>
        </w:tc>
        <w:tc>
          <w:tcPr>
            <w:tcW w:w="657" w:type="pct"/>
            <w:vAlign w:val="center"/>
          </w:tcPr>
          <w:p w14:paraId="0E295F8A" w14:textId="77777777" w:rsidR="009B100B" w:rsidRPr="00806B36" w:rsidRDefault="009B100B" w:rsidP="0049704D">
            <w:pPr>
              <w:pStyle w:val="COMTabletext"/>
              <w:jc w:val="center"/>
            </w:pPr>
            <w:r w:rsidRPr="00806B36">
              <w:t>32/189 (16.9)</w:t>
            </w:r>
          </w:p>
        </w:tc>
        <w:tc>
          <w:tcPr>
            <w:tcW w:w="657" w:type="pct"/>
            <w:vAlign w:val="center"/>
          </w:tcPr>
          <w:p w14:paraId="6442F996" w14:textId="77777777" w:rsidR="009B100B" w:rsidRPr="00806B36" w:rsidRDefault="009B100B" w:rsidP="0049704D">
            <w:pPr>
              <w:pStyle w:val="COMTabletext"/>
              <w:jc w:val="center"/>
            </w:pPr>
            <w:r w:rsidRPr="00806B36">
              <w:t>24/189 (12.7)</w:t>
            </w:r>
          </w:p>
        </w:tc>
        <w:tc>
          <w:tcPr>
            <w:tcW w:w="657" w:type="pct"/>
            <w:vAlign w:val="center"/>
          </w:tcPr>
          <w:p w14:paraId="786DE221" w14:textId="77777777" w:rsidR="009B100B" w:rsidRPr="00806B36" w:rsidRDefault="009B100B" w:rsidP="0049704D">
            <w:pPr>
              <w:pStyle w:val="COMTabletext"/>
              <w:jc w:val="center"/>
            </w:pPr>
            <w:r w:rsidRPr="00806B36">
              <w:t>46/237 (19.4)</w:t>
            </w:r>
          </w:p>
        </w:tc>
        <w:tc>
          <w:tcPr>
            <w:tcW w:w="657" w:type="pct"/>
            <w:vAlign w:val="center"/>
          </w:tcPr>
          <w:p w14:paraId="2A8908BF" w14:textId="77777777" w:rsidR="009B100B" w:rsidRPr="00806B36" w:rsidRDefault="009B100B" w:rsidP="0049704D">
            <w:pPr>
              <w:pStyle w:val="COMTabletext"/>
              <w:jc w:val="center"/>
            </w:pPr>
            <w:r w:rsidRPr="00806B36">
              <w:t>29/236 (12.3)</w:t>
            </w:r>
          </w:p>
        </w:tc>
        <w:tc>
          <w:tcPr>
            <w:tcW w:w="657" w:type="pct"/>
            <w:vAlign w:val="center"/>
          </w:tcPr>
          <w:p w14:paraId="66214B7F" w14:textId="77777777" w:rsidR="009B100B" w:rsidRPr="00806B36" w:rsidRDefault="009B100B" w:rsidP="0049704D">
            <w:pPr>
              <w:pStyle w:val="COMTabletext"/>
              <w:jc w:val="center"/>
            </w:pPr>
            <w:r w:rsidRPr="00806B36">
              <w:t>-</w:t>
            </w:r>
          </w:p>
        </w:tc>
        <w:tc>
          <w:tcPr>
            <w:tcW w:w="656" w:type="pct"/>
            <w:vAlign w:val="center"/>
          </w:tcPr>
          <w:p w14:paraId="265A2540" w14:textId="77777777" w:rsidR="009B100B" w:rsidRPr="00806B36" w:rsidRDefault="009B100B" w:rsidP="0049704D">
            <w:pPr>
              <w:pStyle w:val="COMTabletext"/>
              <w:jc w:val="center"/>
            </w:pPr>
            <w:r w:rsidRPr="00806B36">
              <w:t>-</w:t>
            </w:r>
          </w:p>
        </w:tc>
      </w:tr>
      <w:tr w:rsidR="009B100B" w:rsidRPr="00806B36" w14:paraId="4B453596" w14:textId="77777777" w:rsidTr="005961FA">
        <w:tc>
          <w:tcPr>
            <w:tcW w:w="1059" w:type="pct"/>
            <w:vAlign w:val="center"/>
          </w:tcPr>
          <w:p w14:paraId="072496EF" w14:textId="77777777" w:rsidR="009B100B" w:rsidRPr="00806B36" w:rsidRDefault="009B100B" w:rsidP="0049704D">
            <w:pPr>
              <w:pStyle w:val="COMTabletext"/>
              <w:rPr>
                <w:vertAlign w:val="superscript"/>
              </w:rPr>
            </w:pPr>
            <w:r w:rsidRPr="00806B36">
              <w:t xml:space="preserve">LS means estimate, % (95% CI) </w:t>
            </w:r>
            <w:r w:rsidRPr="00806B36">
              <w:rPr>
                <w:vertAlign w:val="superscript"/>
              </w:rPr>
              <w:t>b</w:t>
            </w:r>
          </w:p>
        </w:tc>
        <w:tc>
          <w:tcPr>
            <w:tcW w:w="657" w:type="pct"/>
            <w:vAlign w:val="center"/>
          </w:tcPr>
          <w:p w14:paraId="21BF0C31" w14:textId="77777777" w:rsidR="009B100B" w:rsidRPr="00806B36" w:rsidRDefault="009B100B" w:rsidP="0049704D">
            <w:pPr>
              <w:pStyle w:val="COMTabletext"/>
              <w:jc w:val="center"/>
            </w:pPr>
            <w:r w:rsidRPr="00806B36">
              <w:t xml:space="preserve">51.0 </w:t>
            </w:r>
          </w:p>
          <w:p w14:paraId="39438493" w14:textId="77777777" w:rsidR="009B100B" w:rsidRPr="00806B36" w:rsidRDefault="009B100B" w:rsidP="0049704D">
            <w:pPr>
              <w:pStyle w:val="COMTabletext"/>
              <w:jc w:val="center"/>
            </w:pPr>
            <w:r w:rsidRPr="00806B36">
              <w:t>(42.9, 58.9)</w:t>
            </w:r>
          </w:p>
        </w:tc>
        <w:tc>
          <w:tcPr>
            <w:tcW w:w="657" w:type="pct"/>
            <w:vAlign w:val="center"/>
          </w:tcPr>
          <w:p w14:paraId="6E41CDE5" w14:textId="77777777" w:rsidR="009B100B" w:rsidRPr="00806B36" w:rsidRDefault="009B100B" w:rsidP="0049704D">
            <w:pPr>
              <w:pStyle w:val="COMTabletext"/>
              <w:jc w:val="center"/>
            </w:pPr>
            <w:r w:rsidRPr="00806B36">
              <w:t xml:space="preserve">27.6 </w:t>
            </w:r>
          </w:p>
          <w:p w14:paraId="6D84C9DE" w14:textId="77777777" w:rsidR="009B100B" w:rsidRPr="00806B36" w:rsidRDefault="009B100B" w:rsidP="0049704D">
            <w:pPr>
              <w:pStyle w:val="COMTabletext"/>
              <w:jc w:val="center"/>
            </w:pPr>
            <w:r w:rsidRPr="00806B36">
              <w:t>(20.2, 36.6)</w:t>
            </w:r>
          </w:p>
        </w:tc>
        <w:tc>
          <w:tcPr>
            <w:tcW w:w="657" w:type="pct"/>
            <w:vAlign w:val="center"/>
          </w:tcPr>
          <w:p w14:paraId="1A413745" w14:textId="77777777" w:rsidR="009B100B" w:rsidRPr="00806B36" w:rsidRDefault="009B100B" w:rsidP="0049704D">
            <w:pPr>
              <w:pStyle w:val="COMTabletext"/>
              <w:jc w:val="center"/>
            </w:pPr>
            <w:r w:rsidRPr="00806B36">
              <w:t>54.0</w:t>
            </w:r>
          </w:p>
          <w:p w14:paraId="52F22204" w14:textId="77777777" w:rsidR="009B100B" w:rsidRPr="00806B36" w:rsidRDefault="009B100B" w:rsidP="0049704D">
            <w:pPr>
              <w:pStyle w:val="COMTabletext"/>
              <w:jc w:val="center"/>
            </w:pPr>
            <w:r w:rsidRPr="00806B36">
              <w:t>(43.9, 63.9)</w:t>
            </w:r>
          </w:p>
        </w:tc>
        <w:tc>
          <w:tcPr>
            <w:tcW w:w="657" w:type="pct"/>
            <w:vAlign w:val="center"/>
          </w:tcPr>
          <w:p w14:paraId="2E0FC607" w14:textId="77777777" w:rsidR="009B100B" w:rsidRPr="00806B36" w:rsidRDefault="009B100B" w:rsidP="0049704D">
            <w:pPr>
              <w:pStyle w:val="COMTabletext"/>
              <w:jc w:val="center"/>
            </w:pPr>
            <w:r w:rsidRPr="00806B36">
              <w:t>42.2</w:t>
            </w:r>
          </w:p>
          <w:p w14:paraId="2E2CB477" w14:textId="77777777" w:rsidR="009B100B" w:rsidRPr="00806B36" w:rsidRDefault="009B100B" w:rsidP="0049704D">
            <w:pPr>
              <w:pStyle w:val="COMTabletext"/>
              <w:jc w:val="center"/>
            </w:pPr>
            <w:r w:rsidRPr="00806B36">
              <w:t>(32.5, 52.5)</w:t>
            </w:r>
          </w:p>
        </w:tc>
        <w:tc>
          <w:tcPr>
            <w:tcW w:w="657" w:type="pct"/>
            <w:vAlign w:val="center"/>
          </w:tcPr>
          <w:p w14:paraId="0413FC5F" w14:textId="77777777" w:rsidR="009B100B" w:rsidRPr="00806B36" w:rsidRDefault="009B100B" w:rsidP="0049704D">
            <w:pPr>
              <w:pStyle w:val="COMTabletext"/>
              <w:jc w:val="center"/>
            </w:pPr>
            <w:r w:rsidRPr="00806B36">
              <w:t>51.1</w:t>
            </w:r>
          </w:p>
          <w:p w14:paraId="0DC57266" w14:textId="77777777" w:rsidR="009B100B" w:rsidRPr="00806B36" w:rsidRDefault="009B100B" w:rsidP="0049704D">
            <w:pPr>
              <w:pStyle w:val="COMTabletext"/>
              <w:jc w:val="center"/>
            </w:pPr>
            <w:r w:rsidRPr="00806B36">
              <w:t>(45.0, 57.2)</w:t>
            </w:r>
          </w:p>
        </w:tc>
        <w:tc>
          <w:tcPr>
            <w:tcW w:w="656" w:type="pct"/>
            <w:vAlign w:val="center"/>
          </w:tcPr>
          <w:p w14:paraId="6AC27B22" w14:textId="77777777" w:rsidR="009B100B" w:rsidRPr="00806B36" w:rsidRDefault="009B100B" w:rsidP="0049704D">
            <w:pPr>
              <w:pStyle w:val="COMTabletext"/>
              <w:jc w:val="center"/>
            </w:pPr>
            <w:r w:rsidRPr="00806B36">
              <w:t>35.2</w:t>
            </w:r>
          </w:p>
          <w:p w14:paraId="41FABD84" w14:textId="77777777" w:rsidR="009B100B" w:rsidRPr="00806B36" w:rsidRDefault="009B100B" w:rsidP="0049704D">
            <w:pPr>
              <w:pStyle w:val="COMTabletext"/>
              <w:jc w:val="center"/>
            </w:pPr>
            <w:r w:rsidRPr="00806B36">
              <w:t>(29.7, 41.1)</w:t>
            </w:r>
          </w:p>
        </w:tc>
      </w:tr>
      <w:tr w:rsidR="009B100B" w:rsidRPr="00806B36" w14:paraId="4760305C" w14:textId="77777777" w:rsidTr="005961FA">
        <w:tc>
          <w:tcPr>
            <w:tcW w:w="1059" w:type="pct"/>
            <w:vAlign w:val="center"/>
          </w:tcPr>
          <w:p w14:paraId="3925A405" w14:textId="77777777" w:rsidR="009B100B" w:rsidRPr="00806B36" w:rsidRDefault="009B100B" w:rsidP="0049704D">
            <w:pPr>
              <w:pStyle w:val="COMTabletext"/>
              <w:rPr>
                <w:vertAlign w:val="superscript"/>
              </w:rPr>
            </w:pPr>
            <w:r w:rsidRPr="00806B36">
              <w:t xml:space="preserve">Odds ratio (95% CI) </w:t>
            </w:r>
            <w:r w:rsidRPr="00806B36">
              <w:rPr>
                <w:vertAlign w:val="superscript"/>
              </w:rPr>
              <w:t>b</w:t>
            </w:r>
          </w:p>
        </w:tc>
        <w:tc>
          <w:tcPr>
            <w:tcW w:w="1314" w:type="pct"/>
            <w:gridSpan w:val="2"/>
            <w:vAlign w:val="center"/>
          </w:tcPr>
          <w:p w14:paraId="74121633" w14:textId="77777777" w:rsidR="009B100B" w:rsidRPr="00806B36" w:rsidRDefault="009B100B" w:rsidP="0049704D">
            <w:pPr>
              <w:pStyle w:val="COMTabletext"/>
              <w:jc w:val="center"/>
              <w:rPr>
                <w:b/>
                <w:bCs w:val="0"/>
              </w:rPr>
            </w:pPr>
            <w:r w:rsidRPr="00806B36">
              <w:rPr>
                <w:b/>
                <w:bCs w:val="0"/>
              </w:rPr>
              <w:t>2.72 (1.72, 4.30)</w:t>
            </w:r>
          </w:p>
        </w:tc>
        <w:tc>
          <w:tcPr>
            <w:tcW w:w="1314" w:type="pct"/>
            <w:gridSpan w:val="2"/>
            <w:vAlign w:val="center"/>
          </w:tcPr>
          <w:p w14:paraId="74EAA02E" w14:textId="77777777" w:rsidR="009B100B" w:rsidRPr="00806B36" w:rsidRDefault="009B100B" w:rsidP="0049704D">
            <w:pPr>
              <w:pStyle w:val="COMTabletext"/>
              <w:jc w:val="center"/>
              <w:rPr>
                <w:b/>
                <w:bCs w:val="0"/>
              </w:rPr>
            </w:pPr>
            <w:r w:rsidRPr="00806B36">
              <w:rPr>
                <w:b/>
                <w:bCs w:val="0"/>
              </w:rPr>
              <w:t>1.61 (1.08, 2.41)</w:t>
            </w:r>
          </w:p>
        </w:tc>
        <w:tc>
          <w:tcPr>
            <w:tcW w:w="1313" w:type="pct"/>
            <w:gridSpan w:val="2"/>
            <w:vAlign w:val="center"/>
          </w:tcPr>
          <w:p w14:paraId="680FF613" w14:textId="77777777" w:rsidR="009B100B" w:rsidRPr="00806B36" w:rsidRDefault="009B100B" w:rsidP="0049704D">
            <w:pPr>
              <w:pStyle w:val="COMTabletext"/>
              <w:jc w:val="center"/>
            </w:pPr>
            <w:r w:rsidRPr="00806B36">
              <w:t>1.93 (1.44, 2.57)</w:t>
            </w:r>
          </w:p>
        </w:tc>
      </w:tr>
      <w:tr w:rsidR="009B100B" w:rsidRPr="00806B36" w14:paraId="487285EA" w14:textId="77777777" w:rsidTr="005961FA">
        <w:tc>
          <w:tcPr>
            <w:tcW w:w="5000" w:type="pct"/>
            <w:gridSpan w:val="7"/>
            <w:vAlign w:val="center"/>
          </w:tcPr>
          <w:p w14:paraId="502C241E" w14:textId="77777777" w:rsidR="009B100B" w:rsidRPr="00806B36" w:rsidRDefault="009B100B" w:rsidP="0049704D">
            <w:pPr>
              <w:pStyle w:val="COMTableheadingrow"/>
              <w:rPr>
                <w:lang w:val="en-AU"/>
              </w:rPr>
            </w:pPr>
            <w:r w:rsidRPr="00806B36">
              <w:rPr>
                <w:lang w:val="en-AU"/>
              </w:rPr>
              <w:t>Proportion of patients with ≥4-point improvement in WI-NRS score from baseline to Week 12 (secondary outcome)</w:t>
            </w:r>
          </w:p>
        </w:tc>
      </w:tr>
      <w:tr w:rsidR="009B100B" w:rsidRPr="00806B36" w14:paraId="7CC97E43" w14:textId="77777777" w:rsidTr="005961FA">
        <w:tc>
          <w:tcPr>
            <w:tcW w:w="1059" w:type="pct"/>
            <w:vAlign w:val="center"/>
          </w:tcPr>
          <w:p w14:paraId="6C8834E0" w14:textId="77777777" w:rsidR="009B100B" w:rsidRPr="00806B36" w:rsidRDefault="009B100B" w:rsidP="0049704D">
            <w:pPr>
              <w:pStyle w:val="COMTabletext"/>
            </w:pPr>
            <w:r w:rsidRPr="00806B36">
              <w:t xml:space="preserve">Observed, n/N (%) </w:t>
            </w:r>
            <w:r w:rsidRPr="00806B36">
              <w:rPr>
                <w:vertAlign w:val="superscript"/>
              </w:rPr>
              <w:t>a</w:t>
            </w:r>
            <w:r w:rsidRPr="00806B36">
              <w:t xml:space="preserve"> </w:t>
            </w:r>
          </w:p>
        </w:tc>
        <w:tc>
          <w:tcPr>
            <w:tcW w:w="657" w:type="pct"/>
            <w:vAlign w:val="center"/>
          </w:tcPr>
          <w:p w14:paraId="40617188" w14:textId="77777777" w:rsidR="009B100B" w:rsidRPr="00806B36" w:rsidRDefault="009B100B" w:rsidP="0049704D">
            <w:pPr>
              <w:pStyle w:val="COMTabletext"/>
              <w:jc w:val="center"/>
            </w:pPr>
            <w:r w:rsidRPr="00806B36">
              <w:t>64/157 (40.8)</w:t>
            </w:r>
          </w:p>
        </w:tc>
        <w:tc>
          <w:tcPr>
            <w:tcW w:w="657" w:type="pct"/>
            <w:vAlign w:val="center"/>
          </w:tcPr>
          <w:p w14:paraId="754D477E" w14:textId="77777777" w:rsidR="009B100B" w:rsidRPr="00806B36" w:rsidRDefault="009B100B" w:rsidP="0049704D">
            <w:pPr>
              <w:pStyle w:val="COMTabletext"/>
              <w:jc w:val="center"/>
            </w:pPr>
            <w:r w:rsidRPr="00806B36">
              <w:t>35/165 (21.2)</w:t>
            </w:r>
          </w:p>
        </w:tc>
        <w:tc>
          <w:tcPr>
            <w:tcW w:w="657" w:type="pct"/>
            <w:vAlign w:val="center"/>
          </w:tcPr>
          <w:p w14:paraId="30BCABDA" w14:textId="77777777" w:rsidR="009B100B" w:rsidRPr="00806B36" w:rsidRDefault="009B100B" w:rsidP="0049704D">
            <w:pPr>
              <w:pStyle w:val="COMTabletext"/>
              <w:jc w:val="center"/>
            </w:pPr>
            <w:r w:rsidRPr="00806B36">
              <w:t>72/191 (37.7)</w:t>
            </w:r>
          </w:p>
        </w:tc>
        <w:tc>
          <w:tcPr>
            <w:tcW w:w="657" w:type="pct"/>
            <w:vAlign w:val="center"/>
          </w:tcPr>
          <w:p w14:paraId="5119A66E" w14:textId="77777777" w:rsidR="009B100B" w:rsidRPr="00806B36" w:rsidRDefault="009B100B" w:rsidP="0049704D">
            <w:pPr>
              <w:pStyle w:val="COMTabletext"/>
              <w:jc w:val="center"/>
            </w:pPr>
            <w:r w:rsidRPr="00806B36">
              <w:t>52/207 (25.2)</w:t>
            </w:r>
          </w:p>
        </w:tc>
        <w:tc>
          <w:tcPr>
            <w:tcW w:w="657" w:type="pct"/>
            <w:vAlign w:val="center"/>
          </w:tcPr>
          <w:p w14:paraId="6012BACD" w14:textId="77777777" w:rsidR="009B100B" w:rsidRPr="00806B36" w:rsidRDefault="009B100B" w:rsidP="0049704D">
            <w:pPr>
              <w:pStyle w:val="COMTabletext"/>
              <w:jc w:val="center"/>
            </w:pPr>
            <w:r w:rsidRPr="00806B36">
              <w:t>-</w:t>
            </w:r>
          </w:p>
        </w:tc>
        <w:tc>
          <w:tcPr>
            <w:tcW w:w="656" w:type="pct"/>
            <w:vAlign w:val="center"/>
          </w:tcPr>
          <w:p w14:paraId="49953971" w14:textId="77777777" w:rsidR="009B100B" w:rsidRPr="00806B36" w:rsidRDefault="009B100B" w:rsidP="0049704D">
            <w:pPr>
              <w:pStyle w:val="COMTabletext"/>
              <w:jc w:val="center"/>
            </w:pPr>
            <w:r w:rsidRPr="00806B36">
              <w:t>-</w:t>
            </w:r>
          </w:p>
        </w:tc>
      </w:tr>
      <w:tr w:rsidR="009B100B" w:rsidRPr="00806B36" w14:paraId="40248DF5" w14:textId="77777777" w:rsidTr="005961FA">
        <w:tc>
          <w:tcPr>
            <w:tcW w:w="1059" w:type="pct"/>
            <w:vAlign w:val="center"/>
          </w:tcPr>
          <w:p w14:paraId="58FDC4DA" w14:textId="77777777" w:rsidR="009B100B" w:rsidRPr="00806B36" w:rsidRDefault="009B100B" w:rsidP="0049704D">
            <w:pPr>
              <w:pStyle w:val="COMTabletext"/>
            </w:pPr>
            <w:r w:rsidRPr="00806B36">
              <w:t>Missing, n/N (%)</w:t>
            </w:r>
          </w:p>
        </w:tc>
        <w:tc>
          <w:tcPr>
            <w:tcW w:w="657" w:type="pct"/>
            <w:vAlign w:val="center"/>
          </w:tcPr>
          <w:p w14:paraId="1A75CA6C" w14:textId="77777777" w:rsidR="009B100B" w:rsidRPr="00806B36" w:rsidRDefault="009B100B" w:rsidP="0049704D">
            <w:pPr>
              <w:pStyle w:val="COMTabletext"/>
              <w:jc w:val="center"/>
            </w:pPr>
            <w:r w:rsidRPr="00806B36">
              <w:t>32/189 (16.9)</w:t>
            </w:r>
          </w:p>
        </w:tc>
        <w:tc>
          <w:tcPr>
            <w:tcW w:w="657" w:type="pct"/>
            <w:vAlign w:val="center"/>
          </w:tcPr>
          <w:p w14:paraId="33E341F0" w14:textId="77777777" w:rsidR="009B100B" w:rsidRPr="00806B36" w:rsidRDefault="009B100B" w:rsidP="0049704D">
            <w:pPr>
              <w:pStyle w:val="COMTabletext"/>
              <w:jc w:val="center"/>
            </w:pPr>
            <w:r w:rsidRPr="00806B36">
              <w:t>24/189 (12.7)</w:t>
            </w:r>
          </w:p>
        </w:tc>
        <w:tc>
          <w:tcPr>
            <w:tcW w:w="657" w:type="pct"/>
            <w:vAlign w:val="center"/>
          </w:tcPr>
          <w:p w14:paraId="30657093" w14:textId="77777777" w:rsidR="009B100B" w:rsidRPr="00806B36" w:rsidRDefault="009B100B" w:rsidP="0049704D">
            <w:pPr>
              <w:pStyle w:val="COMTabletext"/>
              <w:jc w:val="center"/>
            </w:pPr>
            <w:r w:rsidRPr="00806B36">
              <w:t>46/237 (19.4)</w:t>
            </w:r>
          </w:p>
        </w:tc>
        <w:tc>
          <w:tcPr>
            <w:tcW w:w="657" w:type="pct"/>
            <w:vAlign w:val="center"/>
          </w:tcPr>
          <w:p w14:paraId="3E9C8FD1" w14:textId="77777777" w:rsidR="009B100B" w:rsidRPr="00806B36" w:rsidRDefault="009B100B" w:rsidP="0049704D">
            <w:pPr>
              <w:pStyle w:val="COMTabletext"/>
              <w:jc w:val="center"/>
            </w:pPr>
            <w:r w:rsidRPr="00806B36">
              <w:t>29/236 (12.3)</w:t>
            </w:r>
          </w:p>
        </w:tc>
        <w:tc>
          <w:tcPr>
            <w:tcW w:w="657" w:type="pct"/>
            <w:vAlign w:val="center"/>
          </w:tcPr>
          <w:p w14:paraId="17462BA8" w14:textId="77777777" w:rsidR="009B100B" w:rsidRPr="00806B36" w:rsidRDefault="009B100B" w:rsidP="0049704D">
            <w:pPr>
              <w:pStyle w:val="COMTabletext"/>
              <w:jc w:val="center"/>
            </w:pPr>
            <w:r w:rsidRPr="00806B36">
              <w:t>-</w:t>
            </w:r>
          </w:p>
        </w:tc>
        <w:tc>
          <w:tcPr>
            <w:tcW w:w="656" w:type="pct"/>
            <w:vAlign w:val="center"/>
          </w:tcPr>
          <w:p w14:paraId="7A0580A1" w14:textId="77777777" w:rsidR="009B100B" w:rsidRPr="00806B36" w:rsidRDefault="009B100B" w:rsidP="0049704D">
            <w:pPr>
              <w:pStyle w:val="COMTabletext"/>
              <w:jc w:val="center"/>
            </w:pPr>
            <w:r w:rsidRPr="00806B36">
              <w:t>-</w:t>
            </w:r>
          </w:p>
        </w:tc>
      </w:tr>
      <w:tr w:rsidR="009B100B" w:rsidRPr="00806B36" w14:paraId="4BBC2BA5" w14:textId="77777777" w:rsidTr="005961FA">
        <w:tc>
          <w:tcPr>
            <w:tcW w:w="1059" w:type="pct"/>
            <w:vAlign w:val="center"/>
          </w:tcPr>
          <w:p w14:paraId="5566D861" w14:textId="77777777" w:rsidR="009B100B" w:rsidRPr="00806B36" w:rsidRDefault="009B100B" w:rsidP="0049704D">
            <w:pPr>
              <w:pStyle w:val="COMTabletext"/>
              <w:rPr>
                <w:vertAlign w:val="superscript"/>
              </w:rPr>
            </w:pPr>
            <w:r w:rsidRPr="00806B36">
              <w:t xml:space="preserve">LS means estimate, % (95% CI) </w:t>
            </w:r>
            <w:r w:rsidRPr="00806B36">
              <w:rPr>
                <w:vertAlign w:val="superscript"/>
              </w:rPr>
              <w:t>b</w:t>
            </w:r>
          </w:p>
        </w:tc>
        <w:tc>
          <w:tcPr>
            <w:tcW w:w="657" w:type="pct"/>
            <w:vAlign w:val="center"/>
          </w:tcPr>
          <w:p w14:paraId="6587DC0D" w14:textId="77777777" w:rsidR="009B100B" w:rsidRPr="00806B36" w:rsidRDefault="009B100B" w:rsidP="0049704D">
            <w:pPr>
              <w:pStyle w:val="COMTabletext"/>
              <w:jc w:val="center"/>
            </w:pPr>
            <w:r w:rsidRPr="00806B36">
              <w:t xml:space="preserve">38.9 </w:t>
            </w:r>
          </w:p>
          <w:p w14:paraId="2811BE42" w14:textId="77777777" w:rsidR="009B100B" w:rsidRPr="00806B36" w:rsidRDefault="009B100B" w:rsidP="0049704D">
            <w:pPr>
              <w:pStyle w:val="COMTabletext"/>
              <w:jc w:val="center"/>
            </w:pPr>
            <w:r w:rsidRPr="00806B36">
              <w:t>(29.8, 48.7)</w:t>
            </w:r>
          </w:p>
        </w:tc>
        <w:tc>
          <w:tcPr>
            <w:tcW w:w="657" w:type="pct"/>
            <w:vAlign w:val="center"/>
          </w:tcPr>
          <w:p w14:paraId="4BBCB428" w14:textId="77777777" w:rsidR="009B100B" w:rsidRPr="00806B36" w:rsidRDefault="009B100B" w:rsidP="0049704D">
            <w:pPr>
              <w:pStyle w:val="COMTabletext"/>
              <w:jc w:val="center"/>
            </w:pPr>
            <w:r w:rsidRPr="00806B36">
              <w:t>18.0</w:t>
            </w:r>
          </w:p>
          <w:p w14:paraId="215835A1" w14:textId="77777777" w:rsidR="009B100B" w:rsidRPr="00806B36" w:rsidRDefault="009B100B" w:rsidP="0049704D">
            <w:pPr>
              <w:pStyle w:val="COMTabletext"/>
              <w:jc w:val="center"/>
            </w:pPr>
            <w:r w:rsidRPr="00806B36">
              <w:t>(12.1, 26.0)</w:t>
            </w:r>
          </w:p>
        </w:tc>
        <w:tc>
          <w:tcPr>
            <w:tcW w:w="657" w:type="pct"/>
            <w:vAlign w:val="center"/>
          </w:tcPr>
          <w:p w14:paraId="500E25D2" w14:textId="77777777" w:rsidR="009B100B" w:rsidRPr="00806B36" w:rsidRDefault="009B100B" w:rsidP="0049704D">
            <w:pPr>
              <w:pStyle w:val="COMTabletext"/>
              <w:jc w:val="center"/>
            </w:pPr>
            <w:r w:rsidRPr="00806B36">
              <w:t>41.2</w:t>
            </w:r>
          </w:p>
          <w:p w14:paraId="49CDDC4E" w14:textId="77777777" w:rsidR="009B100B" w:rsidRPr="00806B36" w:rsidRDefault="009B100B" w:rsidP="0049704D">
            <w:pPr>
              <w:pStyle w:val="COMTabletext"/>
              <w:jc w:val="center"/>
            </w:pPr>
            <w:r w:rsidRPr="00806B36">
              <w:t>(33.0, 50.0)</w:t>
            </w:r>
          </w:p>
        </w:tc>
        <w:tc>
          <w:tcPr>
            <w:tcW w:w="657" w:type="pct"/>
            <w:vAlign w:val="center"/>
          </w:tcPr>
          <w:p w14:paraId="79896F34" w14:textId="77777777" w:rsidR="009B100B" w:rsidRPr="00806B36" w:rsidRDefault="009B100B" w:rsidP="0049704D">
            <w:pPr>
              <w:pStyle w:val="COMTabletext"/>
              <w:jc w:val="center"/>
            </w:pPr>
            <w:r w:rsidRPr="00806B36">
              <w:t>28.4</w:t>
            </w:r>
          </w:p>
          <w:p w14:paraId="287C1A0C" w14:textId="77777777" w:rsidR="009B100B" w:rsidRPr="00806B36" w:rsidRDefault="009B100B" w:rsidP="0049704D">
            <w:pPr>
              <w:pStyle w:val="COMTabletext"/>
              <w:jc w:val="center"/>
            </w:pPr>
            <w:r w:rsidRPr="00806B36">
              <w:t>(21.3, 36.7)</w:t>
            </w:r>
          </w:p>
        </w:tc>
        <w:tc>
          <w:tcPr>
            <w:tcW w:w="657" w:type="pct"/>
            <w:vAlign w:val="center"/>
          </w:tcPr>
          <w:p w14:paraId="3C001773" w14:textId="77777777" w:rsidR="009B100B" w:rsidRPr="00806B36" w:rsidRDefault="009B100B" w:rsidP="0049704D">
            <w:pPr>
              <w:pStyle w:val="COMTabletext"/>
              <w:jc w:val="center"/>
            </w:pPr>
            <w:r w:rsidRPr="00806B36">
              <w:t>38.7</w:t>
            </w:r>
          </w:p>
          <w:p w14:paraId="6A906F7D" w14:textId="77777777" w:rsidR="009B100B" w:rsidRPr="00806B36" w:rsidRDefault="009B100B" w:rsidP="0049704D">
            <w:pPr>
              <w:pStyle w:val="COMTabletext"/>
              <w:jc w:val="center"/>
            </w:pPr>
            <w:r w:rsidRPr="00806B36">
              <w:t>(32.8, 45.0)</w:t>
            </w:r>
          </w:p>
        </w:tc>
        <w:tc>
          <w:tcPr>
            <w:tcW w:w="656" w:type="pct"/>
            <w:vAlign w:val="center"/>
          </w:tcPr>
          <w:p w14:paraId="42121103" w14:textId="77777777" w:rsidR="009B100B" w:rsidRPr="00806B36" w:rsidRDefault="009B100B" w:rsidP="0049704D">
            <w:pPr>
              <w:pStyle w:val="COMTabletext"/>
              <w:jc w:val="center"/>
            </w:pPr>
            <w:r w:rsidRPr="00806B36">
              <w:t>23.4</w:t>
            </w:r>
          </w:p>
          <w:p w14:paraId="4A236A91" w14:textId="77777777" w:rsidR="009B100B" w:rsidRPr="00806B36" w:rsidRDefault="009B100B" w:rsidP="0049704D">
            <w:pPr>
              <w:pStyle w:val="COMTabletext"/>
              <w:jc w:val="center"/>
            </w:pPr>
            <w:r w:rsidRPr="00806B36">
              <w:t>(18.7, 28.8)</w:t>
            </w:r>
          </w:p>
        </w:tc>
      </w:tr>
      <w:tr w:rsidR="009B100B" w:rsidRPr="00806B36" w14:paraId="2D6387D4" w14:textId="77777777" w:rsidTr="005961FA">
        <w:tc>
          <w:tcPr>
            <w:tcW w:w="1059" w:type="pct"/>
            <w:vAlign w:val="center"/>
          </w:tcPr>
          <w:p w14:paraId="0CE33329" w14:textId="77777777" w:rsidR="009B100B" w:rsidRPr="00806B36" w:rsidRDefault="009B100B" w:rsidP="0049704D">
            <w:pPr>
              <w:pStyle w:val="COMTabletext"/>
              <w:rPr>
                <w:vertAlign w:val="superscript"/>
              </w:rPr>
            </w:pPr>
            <w:r w:rsidRPr="00806B36">
              <w:t xml:space="preserve">Odds ratio (95% CI) </w:t>
            </w:r>
            <w:r w:rsidRPr="00806B36">
              <w:rPr>
                <w:vertAlign w:val="superscript"/>
              </w:rPr>
              <w:t>b</w:t>
            </w:r>
          </w:p>
        </w:tc>
        <w:tc>
          <w:tcPr>
            <w:tcW w:w="1314" w:type="pct"/>
            <w:gridSpan w:val="2"/>
            <w:vAlign w:val="center"/>
          </w:tcPr>
          <w:p w14:paraId="032E53AF" w14:textId="77777777" w:rsidR="009B100B" w:rsidRPr="00806B36" w:rsidRDefault="009B100B" w:rsidP="0049704D">
            <w:pPr>
              <w:pStyle w:val="COMTabletext"/>
              <w:jc w:val="center"/>
              <w:rPr>
                <w:b/>
                <w:bCs w:val="0"/>
              </w:rPr>
            </w:pPr>
            <w:r w:rsidRPr="00806B36">
              <w:rPr>
                <w:b/>
                <w:bCs w:val="0"/>
              </w:rPr>
              <w:t>2.89 (1.75, 4.76)</w:t>
            </w:r>
          </w:p>
        </w:tc>
        <w:tc>
          <w:tcPr>
            <w:tcW w:w="1314" w:type="pct"/>
            <w:gridSpan w:val="2"/>
            <w:vAlign w:val="center"/>
          </w:tcPr>
          <w:p w14:paraId="234D255C" w14:textId="77777777" w:rsidR="009B100B" w:rsidRPr="00806B36" w:rsidRDefault="009B100B" w:rsidP="0049704D">
            <w:pPr>
              <w:pStyle w:val="COMTabletext"/>
              <w:jc w:val="center"/>
              <w:rPr>
                <w:b/>
                <w:bCs w:val="0"/>
              </w:rPr>
            </w:pPr>
            <w:r w:rsidRPr="00806B36">
              <w:rPr>
                <w:b/>
                <w:bCs w:val="0"/>
              </w:rPr>
              <w:t>1.77 (1.14, 2.74)</w:t>
            </w:r>
          </w:p>
        </w:tc>
        <w:tc>
          <w:tcPr>
            <w:tcW w:w="1313" w:type="pct"/>
            <w:gridSpan w:val="2"/>
            <w:vAlign w:val="center"/>
          </w:tcPr>
          <w:p w14:paraId="619F0A85" w14:textId="77777777" w:rsidR="009B100B" w:rsidRPr="00806B36" w:rsidRDefault="009B100B" w:rsidP="0049704D">
            <w:pPr>
              <w:pStyle w:val="COMTabletext"/>
              <w:jc w:val="center"/>
            </w:pPr>
            <w:r w:rsidRPr="00806B36">
              <w:t>2.07 (1.51, 2.84)</w:t>
            </w:r>
          </w:p>
        </w:tc>
      </w:tr>
    </w:tbl>
    <w:p w14:paraId="5E5E9EFD" w14:textId="77777777" w:rsidR="009B100B" w:rsidRPr="00806B36" w:rsidRDefault="009B100B" w:rsidP="009B100B">
      <w:pPr>
        <w:pStyle w:val="COMTablefooter"/>
        <w:keepNext/>
      </w:pPr>
      <w:r w:rsidRPr="00806B36">
        <w:t>Source: Table 23, p107; Table 24, p111 of the submission; Table 12, p61; Table 13, p64 of the ‘CLMD DFK – Summary of Clinical Efficacy’ report of the submission</w:t>
      </w:r>
    </w:p>
    <w:p w14:paraId="6F063AFB" w14:textId="77777777" w:rsidR="009B100B" w:rsidRPr="00806B36" w:rsidRDefault="009B100B" w:rsidP="009B100B">
      <w:pPr>
        <w:pStyle w:val="COMTablefooter"/>
        <w:keepNext/>
      </w:pPr>
      <w:r w:rsidRPr="00806B36">
        <w:t>Abbreviations: CI, confidence interval; LS, least squares</w:t>
      </w:r>
    </w:p>
    <w:p w14:paraId="5D119EAD" w14:textId="77777777" w:rsidR="009B100B" w:rsidRPr="00806B36" w:rsidRDefault="009B100B" w:rsidP="009B100B">
      <w:pPr>
        <w:pStyle w:val="COMTablefooter"/>
        <w:keepNext/>
      </w:pPr>
      <w:r w:rsidRPr="00806B36">
        <w:rPr>
          <w:vertAlign w:val="superscript"/>
        </w:rPr>
        <w:t>a</w:t>
      </w:r>
      <w:r w:rsidRPr="00806B36">
        <w:t xml:space="preserve"> Counts and percentages were based on non-missing data</w:t>
      </w:r>
    </w:p>
    <w:p w14:paraId="0801377B" w14:textId="77777777" w:rsidR="009B100B" w:rsidRPr="00806B36" w:rsidRDefault="009B100B" w:rsidP="009B100B">
      <w:pPr>
        <w:pStyle w:val="COMTablefooter"/>
      </w:pPr>
      <w:r w:rsidRPr="00806B36">
        <w:rPr>
          <w:vertAlign w:val="superscript"/>
        </w:rPr>
        <w:t>b</w:t>
      </w:r>
      <w:r w:rsidRPr="00806B36">
        <w:t xml:space="preserve"> Estimated using a logistic regression with terms for treatment group, baseline WI-NRS score, baseline anti-itch medications and presence of specific medical conditions. Region was also included in the model for the KALM-2 analysis while a region/study variable was included in the model for the pooled analysis. Missing values were imputed using multiple imputation under missing at random assumptions</w:t>
      </w:r>
    </w:p>
    <w:p w14:paraId="31BA1AFD" w14:textId="77777777" w:rsidR="009B100B" w:rsidRPr="00806B36" w:rsidRDefault="009B100B" w:rsidP="009B100B">
      <w:pPr>
        <w:pStyle w:val="COMTablefooter"/>
        <w:keepNext/>
        <w:rPr>
          <w:rFonts w:eastAsia="Calibri"/>
        </w:rPr>
      </w:pPr>
      <w:r w:rsidRPr="00806B36">
        <w:rPr>
          <w:rFonts w:eastAsia="Calibri"/>
          <w:b/>
        </w:rPr>
        <w:t>Bold</w:t>
      </w:r>
      <w:r w:rsidRPr="00806B36">
        <w:rPr>
          <w:rFonts w:eastAsia="Calibri"/>
        </w:rPr>
        <w:t xml:space="preserve"> indicates statistically significant results. Pooled analyses were conducted </w:t>
      </w:r>
      <w:r w:rsidRPr="00806B36">
        <w:rPr>
          <w:rFonts w:eastAsia="Calibri"/>
          <w:i/>
          <w:iCs/>
        </w:rPr>
        <w:t>post hoc</w:t>
      </w:r>
      <w:r w:rsidRPr="00806B36">
        <w:rPr>
          <w:rFonts w:eastAsia="Calibri"/>
        </w:rPr>
        <w:t xml:space="preserve"> and were unadjusted for multiplicity</w:t>
      </w:r>
    </w:p>
    <w:p w14:paraId="28593FB8" w14:textId="22A7E9BB" w:rsidR="002C2775" w:rsidRPr="00806B36" w:rsidRDefault="009B100B" w:rsidP="009B100B">
      <w:pPr>
        <w:pStyle w:val="COMexecsumnumberedpara"/>
      </w:pPr>
      <w:r w:rsidRPr="00806B36">
        <w:t>A statistically significantly greater proportion of patients treated with difelikefalin achieved a ≥3-point improvement in WI-NRS score at Week 12 from baseline compared to those receiving placebo. More patients in the difelikefalin arm had missing data compared to the placebo arm. This is likely due to more patients discontinuing difelikefalin (primarily due to adverse events) compared to placebo. Sensitivity analyses using alternative methods of handling missing data including a non-responder analysis produced results that were consistent with the primary analysis.</w:t>
      </w:r>
    </w:p>
    <w:p w14:paraId="4D44A1AD" w14:textId="7C3BA12E" w:rsidR="009B100B" w:rsidRPr="00806B36" w:rsidRDefault="00D66FAD" w:rsidP="00D66FAD">
      <w:pPr>
        <w:pStyle w:val="COMexecsumnumberedpara"/>
      </w:pPr>
      <w:r w:rsidRPr="00806B36">
        <w:t>Results based on the secondary endpoint using a higher 4-point threshold were also statistically significant in favour of difelikefalin. The absolute proportion of patients achieving response in each arm was lower compared to response defined using a 3-point improvement, however, the difference between arms appeared similar.</w:t>
      </w:r>
    </w:p>
    <w:p w14:paraId="1B5DA247" w14:textId="49557254" w:rsidR="00D66FAD" w:rsidRPr="00806B36" w:rsidRDefault="00BF34AE" w:rsidP="00D66FAD">
      <w:pPr>
        <w:pStyle w:val="COMexecsumnumberedpara"/>
      </w:pPr>
      <w:r w:rsidRPr="00806B36">
        <w:t>Estimated response rates in the difelikefalin arms were similar in both trials but varied substantially for the placebo arms (difference exceeding 10%). The placebo response rate in KALM-2 was higher than in KALM-1 and appears to be the primary driver of a numerically lower difference in treatment response associated with difelikefalin (KALM-1, approximately 23%; KALM-2, approximately 12%).</w:t>
      </w:r>
    </w:p>
    <w:p w14:paraId="6E0FE837" w14:textId="6E7CC08A" w:rsidR="00BF34AE" w:rsidRPr="00806B36" w:rsidRDefault="00BC233E" w:rsidP="00D66FAD">
      <w:pPr>
        <w:pStyle w:val="COMexecsumnumberedpara"/>
      </w:pPr>
      <w:r w:rsidRPr="00806B36">
        <w:t>The submission noted the high placebo response rates in both trials but claimed that this was not unexpected given the subjective nature of itch. The submission claimed that strong placebo effects have previously been observed in dermatological studies that rely on patient-reported outcomes. The submission claimed that specific reasons for the difference in magnitude of placebo response between the trials were unclear but could be due to the larger site number and region-specific variation in the global study. However, additional analyses indicated that similar response rates were observed across regions and that placebo response rates in US patients were also higher in the global KALM-2 study (37.3%) than in the KALM-1 US study (27.6%).</w:t>
      </w:r>
    </w:p>
    <w:p w14:paraId="42F36C50" w14:textId="57AEC4B8" w:rsidR="00BC233E" w:rsidRPr="00806B36" w:rsidRDefault="004D0813" w:rsidP="00D66FAD">
      <w:pPr>
        <w:pStyle w:val="COMexecsumnumberedpara"/>
      </w:pPr>
      <w:r w:rsidRPr="00806B36">
        <w:t xml:space="preserve">Results for key secondary outcomes based on the multi-dimensional itch-related quality of life questionnaires, Skindex-10 (range, 0-60) and 5-D Itch Scales (range, 5-25) are presented in </w:t>
      </w:r>
      <w:r w:rsidR="00AB5B6C" w:rsidRPr="00806B36">
        <w:fldChar w:fldCharType="begin"/>
      </w:r>
      <w:r w:rsidR="00AB5B6C" w:rsidRPr="00806B36">
        <w:instrText xml:space="preserve"> REF _Ref121662295 \h </w:instrText>
      </w:r>
      <w:r w:rsidR="00AB5B6C" w:rsidRPr="00806B36">
        <w:fldChar w:fldCharType="separate"/>
      </w:r>
      <w:r w:rsidR="00487C7F" w:rsidRPr="00806B36">
        <w:t xml:space="preserve">Table </w:t>
      </w:r>
      <w:r w:rsidR="00487C7F">
        <w:rPr>
          <w:noProof/>
        </w:rPr>
        <w:t>5</w:t>
      </w:r>
      <w:r w:rsidR="00AB5B6C" w:rsidRPr="00806B36">
        <w:fldChar w:fldCharType="end"/>
      </w:r>
      <w:r w:rsidRPr="00806B36">
        <w:t>.</w:t>
      </w:r>
    </w:p>
    <w:p w14:paraId="4008468E" w14:textId="00751CC0" w:rsidR="00AB5B6C" w:rsidRPr="00806B36" w:rsidRDefault="008E1F17" w:rsidP="00AB5B6C">
      <w:pPr>
        <w:pStyle w:val="COMtablefigcaption"/>
        <w:rPr>
          <w:b w:val="0"/>
        </w:rPr>
      </w:pPr>
      <w:bookmarkStart w:id="29" w:name="_Ref121662295"/>
      <w:r w:rsidRPr="00806B36">
        <w:t>Table</w:t>
      </w:r>
      <w:r w:rsidR="00AB5B6C" w:rsidRPr="00806B36">
        <w:t xml:space="preserve"> </w:t>
      </w:r>
      <w:r w:rsidR="00487C7F">
        <w:fldChar w:fldCharType="begin"/>
      </w:r>
      <w:r w:rsidR="00487C7F">
        <w:instrText xml:space="preserve"> SEQ Table \* ARABIC </w:instrText>
      </w:r>
      <w:r w:rsidR="00487C7F">
        <w:fldChar w:fldCharType="separate"/>
      </w:r>
      <w:r w:rsidR="00487C7F">
        <w:rPr>
          <w:noProof/>
        </w:rPr>
        <w:t>5</w:t>
      </w:r>
      <w:r w:rsidR="00487C7F">
        <w:rPr>
          <w:noProof/>
        </w:rPr>
        <w:fldChar w:fldCharType="end"/>
      </w:r>
      <w:bookmarkEnd w:id="29"/>
      <w:r w:rsidR="00AB5B6C" w:rsidRPr="00806B36">
        <w:t>: Results based on the Skindex-10 and 5-D Itch scales in the key trials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9"/>
        <w:gridCol w:w="1185"/>
        <w:gridCol w:w="1185"/>
        <w:gridCol w:w="1185"/>
        <w:gridCol w:w="1185"/>
        <w:gridCol w:w="1185"/>
        <w:gridCol w:w="1183"/>
      </w:tblGrid>
      <w:tr w:rsidR="00AB5B6C" w:rsidRPr="00806B36" w14:paraId="68203976" w14:textId="77777777" w:rsidTr="005961FA">
        <w:trPr>
          <w:tblHeader/>
        </w:trPr>
        <w:tc>
          <w:tcPr>
            <w:tcW w:w="1059" w:type="pct"/>
            <w:vMerge w:val="restart"/>
            <w:vAlign w:val="center"/>
          </w:tcPr>
          <w:p w14:paraId="18878D8E" w14:textId="77777777" w:rsidR="00AB5B6C" w:rsidRPr="00806B36" w:rsidRDefault="00AB5B6C" w:rsidP="0049704D">
            <w:pPr>
              <w:pStyle w:val="COMTableheadingrow"/>
              <w:rPr>
                <w:lang w:val="en-AU"/>
              </w:rPr>
            </w:pPr>
            <w:r w:rsidRPr="00806B36">
              <w:rPr>
                <w:lang w:val="en-AU"/>
              </w:rPr>
              <w:t>Analysis</w:t>
            </w:r>
          </w:p>
        </w:tc>
        <w:tc>
          <w:tcPr>
            <w:tcW w:w="1314" w:type="pct"/>
            <w:gridSpan w:val="2"/>
            <w:vAlign w:val="center"/>
          </w:tcPr>
          <w:p w14:paraId="234E3D81" w14:textId="77777777" w:rsidR="00AB5B6C" w:rsidRPr="00806B36" w:rsidRDefault="00AB5B6C" w:rsidP="0049704D">
            <w:pPr>
              <w:pStyle w:val="COMTableheadingrow"/>
              <w:jc w:val="center"/>
              <w:rPr>
                <w:lang w:val="en-AU"/>
              </w:rPr>
            </w:pPr>
            <w:r w:rsidRPr="00806B36">
              <w:rPr>
                <w:lang w:val="en-AU"/>
              </w:rPr>
              <w:t>KALM-1</w:t>
            </w:r>
          </w:p>
        </w:tc>
        <w:tc>
          <w:tcPr>
            <w:tcW w:w="1314" w:type="pct"/>
            <w:gridSpan w:val="2"/>
            <w:vAlign w:val="center"/>
          </w:tcPr>
          <w:p w14:paraId="0B9A4B31" w14:textId="77777777" w:rsidR="00AB5B6C" w:rsidRPr="00806B36" w:rsidRDefault="00AB5B6C" w:rsidP="0049704D">
            <w:pPr>
              <w:pStyle w:val="COMTableheadingrow"/>
              <w:jc w:val="center"/>
              <w:rPr>
                <w:lang w:val="en-AU"/>
              </w:rPr>
            </w:pPr>
            <w:r w:rsidRPr="00806B36">
              <w:rPr>
                <w:lang w:val="en-AU"/>
              </w:rPr>
              <w:t>KALM-2</w:t>
            </w:r>
          </w:p>
        </w:tc>
        <w:tc>
          <w:tcPr>
            <w:tcW w:w="1313" w:type="pct"/>
            <w:gridSpan w:val="2"/>
            <w:vAlign w:val="center"/>
          </w:tcPr>
          <w:p w14:paraId="39435BA9" w14:textId="77777777" w:rsidR="00AB5B6C" w:rsidRPr="00806B36" w:rsidRDefault="00AB5B6C" w:rsidP="0049704D">
            <w:pPr>
              <w:pStyle w:val="COMTableheadingrow"/>
              <w:jc w:val="center"/>
              <w:rPr>
                <w:lang w:val="en-AU"/>
              </w:rPr>
            </w:pPr>
            <w:r w:rsidRPr="00806B36">
              <w:rPr>
                <w:lang w:val="en-AU"/>
              </w:rPr>
              <w:t>Pooled</w:t>
            </w:r>
          </w:p>
        </w:tc>
      </w:tr>
      <w:tr w:rsidR="00AB5B6C" w:rsidRPr="00806B36" w14:paraId="096B43E3" w14:textId="77777777" w:rsidTr="005961FA">
        <w:tc>
          <w:tcPr>
            <w:tcW w:w="1059" w:type="pct"/>
            <w:vMerge/>
            <w:vAlign w:val="center"/>
          </w:tcPr>
          <w:p w14:paraId="37494041" w14:textId="77777777" w:rsidR="00AB5B6C" w:rsidRPr="00806B36" w:rsidRDefault="00AB5B6C" w:rsidP="0049704D">
            <w:pPr>
              <w:pStyle w:val="COMTabletext"/>
            </w:pPr>
          </w:p>
        </w:tc>
        <w:tc>
          <w:tcPr>
            <w:tcW w:w="657" w:type="pct"/>
            <w:vAlign w:val="center"/>
          </w:tcPr>
          <w:p w14:paraId="1032D608" w14:textId="77777777" w:rsidR="00AB5B6C" w:rsidRPr="00806B36" w:rsidRDefault="00AB5B6C" w:rsidP="0049704D">
            <w:pPr>
              <w:pStyle w:val="COMTabletext"/>
              <w:jc w:val="center"/>
              <w:rPr>
                <w:b/>
                <w:bCs w:val="0"/>
              </w:rPr>
            </w:pPr>
            <w:r w:rsidRPr="00806B36">
              <w:rPr>
                <w:b/>
                <w:bCs w:val="0"/>
              </w:rPr>
              <w:t>Difelikefalin</w:t>
            </w:r>
          </w:p>
          <w:p w14:paraId="0949B146" w14:textId="77777777" w:rsidR="00AB5B6C" w:rsidRPr="00806B36" w:rsidRDefault="00AB5B6C" w:rsidP="0049704D">
            <w:pPr>
              <w:pStyle w:val="COMTabletext"/>
              <w:jc w:val="center"/>
              <w:rPr>
                <w:b/>
                <w:bCs w:val="0"/>
              </w:rPr>
            </w:pPr>
            <w:r w:rsidRPr="00806B36">
              <w:rPr>
                <w:b/>
                <w:bCs w:val="0"/>
              </w:rPr>
              <w:t>N=189</w:t>
            </w:r>
          </w:p>
        </w:tc>
        <w:tc>
          <w:tcPr>
            <w:tcW w:w="657" w:type="pct"/>
            <w:vAlign w:val="center"/>
          </w:tcPr>
          <w:p w14:paraId="6B227F07" w14:textId="77777777" w:rsidR="00AB5B6C" w:rsidRPr="00806B36" w:rsidRDefault="00AB5B6C" w:rsidP="0049704D">
            <w:pPr>
              <w:pStyle w:val="COMTabletext"/>
              <w:jc w:val="center"/>
              <w:rPr>
                <w:b/>
                <w:bCs w:val="0"/>
              </w:rPr>
            </w:pPr>
            <w:r w:rsidRPr="00806B36">
              <w:rPr>
                <w:b/>
                <w:bCs w:val="0"/>
              </w:rPr>
              <w:t>Placebo</w:t>
            </w:r>
          </w:p>
          <w:p w14:paraId="25701D04" w14:textId="77777777" w:rsidR="00AB5B6C" w:rsidRPr="00806B36" w:rsidRDefault="00AB5B6C" w:rsidP="0049704D">
            <w:pPr>
              <w:pStyle w:val="COMTabletext"/>
              <w:jc w:val="center"/>
              <w:rPr>
                <w:b/>
                <w:bCs w:val="0"/>
              </w:rPr>
            </w:pPr>
            <w:r w:rsidRPr="00806B36">
              <w:rPr>
                <w:b/>
                <w:bCs w:val="0"/>
              </w:rPr>
              <w:t>N=189</w:t>
            </w:r>
          </w:p>
        </w:tc>
        <w:tc>
          <w:tcPr>
            <w:tcW w:w="657" w:type="pct"/>
            <w:vAlign w:val="center"/>
          </w:tcPr>
          <w:p w14:paraId="5915E477" w14:textId="77777777" w:rsidR="00AB5B6C" w:rsidRPr="00806B36" w:rsidRDefault="00AB5B6C" w:rsidP="0049704D">
            <w:pPr>
              <w:pStyle w:val="COMTabletext"/>
              <w:jc w:val="center"/>
              <w:rPr>
                <w:b/>
                <w:bCs w:val="0"/>
              </w:rPr>
            </w:pPr>
            <w:r w:rsidRPr="00806B36">
              <w:rPr>
                <w:b/>
                <w:bCs w:val="0"/>
              </w:rPr>
              <w:t>Difelikefalin</w:t>
            </w:r>
          </w:p>
          <w:p w14:paraId="37EA840B" w14:textId="77777777" w:rsidR="00AB5B6C" w:rsidRPr="00806B36" w:rsidRDefault="00AB5B6C" w:rsidP="0049704D">
            <w:pPr>
              <w:pStyle w:val="COMTabletext"/>
              <w:jc w:val="center"/>
              <w:rPr>
                <w:b/>
                <w:bCs w:val="0"/>
              </w:rPr>
            </w:pPr>
            <w:r w:rsidRPr="00806B36">
              <w:rPr>
                <w:b/>
                <w:bCs w:val="0"/>
              </w:rPr>
              <w:t>N=237</w:t>
            </w:r>
          </w:p>
        </w:tc>
        <w:tc>
          <w:tcPr>
            <w:tcW w:w="657" w:type="pct"/>
            <w:vAlign w:val="center"/>
          </w:tcPr>
          <w:p w14:paraId="3AD87988" w14:textId="77777777" w:rsidR="00AB5B6C" w:rsidRPr="00806B36" w:rsidRDefault="00AB5B6C" w:rsidP="0049704D">
            <w:pPr>
              <w:pStyle w:val="COMTabletext"/>
              <w:jc w:val="center"/>
              <w:rPr>
                <w:b/>
                <w:bCs w:val="0"/>
              </w:rPr>
            </w:pPr>
            <w:r w:rsidRPr="00806B36">
              <w:rPr>
                <w:b/>
                <w:bCs w:val="0"/>
              </w:rPr>
              <w:t>Placebo</w:t>
            </w:r>
          </w:p>
          <w:p w14:paraId="1DBB2096" w14:textId="77777777" w:rsidR="00AB5B6C" w:rsidRPr="00806B36" w:rsidRDefault="00AB5B6C" w:rsidP="0049704D">
            <w:pPr>
              <w:pStyle w:val="COMTabletext"/>
              <w:jc w:val="center"/>
              <w:rPr>
                <w:b/>
                <w:bCs w:val="0"/>
              </w:rPr>
            </w:pPr>
            <w:r w:rsidRPr="00806B36">
              <w:rPr>
                <w:b/>
                <w:bCs w:val="0"/>
              </w:rPr>
              <w:t>N=236</w:t>
            </w:r>
          </w:p>
        </w:tc>
        <w:tc>
          <w:tcPr>
            <w:tcW w:w="657" w:type="pct"/>
            <w:vAlign w:val="center"/>
          </w:tcPr>
          <w:p w14:paraId="2EDDED97" w14:textId="77777777" w:rsidR="00AB5B6C" w:rsidRPr="00806B36" w:rsidRDefault="00AB5B6C" w:rsidP="0049704D">
            <w:pPr>
              <w:pStyle w:val="COMTabletext"/>
              <w:jc w:val="center"/>
              <w:rPr>
                <w:b/>
                <w:bCs w:val="0"/>
              </w:rPr>
            </w:pPr>
            <w:r w:rsidRPr="00806B36">
              <w:rPr>
                <w:b/>
                <w:bCs w:val="0"/>
              </w:rPr>
              <w:t>Difelikefalin</w:t>
            </w:r>
          </w:p>
          <w:p w14:paraId="12F07E31" w14:textId="77777777" w:rsidR="00AB5B6C" w:rsidRPr="00806B36" w:rsidRDefault="00AB5B6C" w:rsidP="0049704D">
            <w:pPr>
              <w:pStyle w:val="COMTabletext"/>
              <w:jc w:val="center"/>
              <w:rPr>
                <w:b/>
                <w:bCs w:val="0"/>
              </w:rPr>
            </w:pPr>
            <w:r w:rsidRPr="00806B36">
              <w:rPr>
                <w:b/>
                <w:bCs w:val="0"/>
              </w:rPr>
              <w:t>N=426</w:t>
            </w:r>
          </w:p>
        </w:tc>
        <w:tc>
          <w:tcPr>
            <w:tcW w:w="656" w:type="pct"/>
            <w:vAlign w:val="center"/>
          </w:tcPr>
          <w:p w14:paraId="2F25EA74" w14:textId="77777777" w:rsidR="00AB5B6C" w:rsidRPr="00806B36" w:rsidRDefault="00AB5B6C" w:rsidP="0049704D">
            <w:pPr>
              <w:pStyle w:val="COMTabletext"/>
              <w:jc w:val="center"/>
              <w:rPr>
                <w:b/>
                <w:bCs w:val="0"/>
              </w:rPr>
            </w:pPr>
            <w:r w:rsidRPr="00806B36">
              <w:rPr>
                <w:b/>
                <w:bCs w:val="0"/>
              </w:rPr>
              <w:t>Placebo</w:t>
            </w:r>
          </w:p>
          <w:p w14:paraId="5CA03703" w14:textId="77777777" w:rsidR="00AB5B6C" w:rsidRPr="00806B36" w:rsidRDefault="00AB5B6C" w:rsidP="0049704D">
            <w:pPr>
              <w:pStyle w:val="COMTabletext"/>
              <w:jc w:val="center"/>
              <w:rPr>
                <w:b/>
                <w:bCs w:val="0"/>
              </w:rPr>
            </w:pPr>
            <w:r w:rsidRPr="00806B36">
              <w:rPr>
                <w:b/>
                <w:bCs w:val="0"/>
              </w:rPr>
              <w:t>N=427</w:t>
            </w:r>
          </w:p>
        </w:tc>
      </w:tr>
      <w:tr w:rsidR="00AB5B6C" w:rsidRPr="00806B36" w14:paraId="7CE266A4" w14:textId="77777777" w:rsidTr="005961FA">
        <w:tc>
          <w:tcPr>
            <w:tcW w:w="5000" w:type="pct"/>
            <w:gridSpan w:val="7"/>
            <w:vAlign w:val="center"/>
          </w:tcPr>
          <w:p w14:paraId="73180E1D" w14:textId="77777777" w:rsidR="00AB5B6C" w:rsidRPr="00806B36" w:rsidRDefault="00AB5B6C" w:rsidP="0049704D">
            <w:pPr>
              <w:pStyle w:val="COMTableheadingrow"/>
              <w:rPr>
                <w:lang w:val="en-AU"/>
              </w:rPr>
            </w:pPr>
            <w:r w:rsidRPr="00806B36">
              <w:rPr>
                <w:lang w:val="en-AU"/>
              </w:rPr>
              <w:t>Change from baseline to Week 12 in total Skindex-10 score (secondary outcome)</w:t>
            </w:r>
          </w:p>
        </w:tc>
      </w:tr>
      <w:tr w:rsidR="00AB5B6C" w:rsidRPr="00806B36" w14:paraId="325F139D" w14:textId="77777777" w:rsidTr="005961FA">
        <w:tc>
          <w:tcPr>
            <w:tcW w:w="1059" w:type="pct"/>
            <w:vAlign w:val="center"/>
          </w:tcPr>
          <w:p w14:paraId="1488A861" w14:textId="77777777" w:rsidR="00AB5B6C" w:rsidRPr="00806B36" w:rsidRDefault="00AB5B6C" w:rsidP="0049704D">
            <w:pPr>
              <w:pStyle w:val="COMTabletext"/>
            </w:pPr>
            <w:r w:rsidRPr="00806B36">
              <w:t xml:space="preserve">LS mean change </w:t>
            </w:r>
          </w:p>
          <w:p w14:paraId="59B03C05" w14:textId="77777777" w:rsidR="00AB5B6C" w:rsidRPr="00806B36" w:rsidRDefault="00AB5B6C" w:rsidP="0049704D">
            <w:pPr>
              <w:pStyle w:val="COMTabletext"/>
              <w:rPr>
                <w:vertAlign w:val="superscript"/>
              </w:rPr>
            </w:pPr>
            <w:r w:rsidRPr="00806B36">
              <w:t xml:space="preserve">(95% CI) </w:t>
            </w:r>
            <w:r w:rsidRPr="00806B36">
              <w:rPr>
                <w:vertAlign w:val="superscript"/>
              </w:rPr>
              <w:t>a</w:t>
            </w:r>
          </w:p>
        </w:tc>
        <w:tc>
          <w:tcPr>
            <w:tcW w:w="657" w:type="pct"/>
            <w:vAlign w:val="center"/>
          </w:tcPr>
          <w:p w14:paraId="58FB8127" w14:textId="77777777" w:rsidR="00AB5B6C" w:rsidRPr="00806B36" w:rsidRDefault="00AB5B6C" w:rsidP="0049704D">
            <w:pPr>
              <w:pStyle w:val="COMTabletext"/>
              <w:jc w:val="center"/>
            </w:pPr>
            <w:r w:rsidRPr="00806B36">
              <w:t xml:space="preserve">-17.2 </w:t>
            </w:r>
          </w:p>
          <w:p w14:paraId="4396A03E" w14:textId="77777777" w:rsidR="00AB5B6C" w:rsidRPr="00806B36" w:rsidRDefault="00AB5B6C" w:rsidP="0049704D">
            <w:pPr>
              <w:pStyle w:val="COMTabletext"/>
              <w:jc w:val="center"/>
            </w:pPr>
            <w:r w:rsidRPr="00806B36">
              <w:t>(-19.6, -14.7)</w:t>
            </w:r>
          </w:p>
        </w:tc>
        <w:tc>
          <w:tcPr>
            <w:tcW w:w="657" w:type="pct"/>
            <w:vAlign w:val="center"/>
          </w:tcPr>
          <w:p w14:paraId="048E33A8" w14:textId="77777777" w:rsidR="00AB5B6C" w:rsidRPr="00806B36" w:rsidRDefault="00AB5B6C" w:rsidP="0049704D">
            <w:pPr>
              <w:pStyle w:val="COMTabletext"/>
              <w:jc w:val="center"/>
            </w:pPr>
            <w:r w:rsidRPr="00806B36">
              <w:t>-12.0</w:t>
            </w:r>
          </w:p>
          <w:p w14:paraId="5E60724C" w14:textId="77777777" w:rsidR="00AB5B6C" w:rsidRPr="00806B36" w:rsidRDefault="00AB5B6C" w:rsidP="0049704D">
            <w:pPr>
              <w:pStyle w:val="COMTabletext"/>
              <w:jc w:val="center"/>
            </w:pPr>
            <w:r w:rsidRPr="00806B36">
              <w:t>(-14.5, -9.6)</w:t>
            </w:r>
          </w:p>
        </w:tc>
        <w:tc>
          <w:tcPr>
            <w:tcW w:w="657" w:type="pct"/>
            <w:vAlign w:val="center"/>
          </w:tcPr>
          <w:p w14:paraId="350DA547" w14:textId="77777777" w:rsidR="00AB5B6C" w:rsidRPr="00806B36" w:rsidRDefault="00AB5B6C" w:rsidP="0049704D">
            <w:pPr>
              <w:pStyle w:val="COMTabletext"/>
              <w:jc w:val="center"/>
            </w:pPr>
            <w:r w:rsidRPr="00806B36">
              <w:t>-16.6</w:t>
            </w:r>
          </w:p>
          <w:p w14:paraId="678A5C33" w14:textId="77777777" w:rsidR="00AB5B6C" w:rsidRPr="00806B36" w:rsidRDefault="00AB5B6C" w:rsidP="0049704D">
            <w:pPr>
              <w:pStyle w:val="COMTabletext"/>
              <w:jc w:val="center"/>
            </w:pPr>
            <w:r w:rsidRPr="00806B36">
              <w:t>(-19.3, -14.0)</w:t>
            </w:r>
          </w:p>
        </w:tc>
        <w:tc>
          <w:tcPr>
            <w:tcW w:w="657" w:type="pct"/>
            <w:vAlign w:val="center"/>
          </w:tcPr>
          <w:p w14:paraId="41FFEE56" w14:textId="77777777" w:rsidR="00AB5B6C" w:rsidRPr="00806B36" w:rsidRDefault="00AB5B6C" w:rsidP="0049704D">
            <w:pPr>
              <w:pStyle w:val="COMTabletext"/>
              <w:jc w:val="center"/>
            </w:pPr>
            <w:r w:rsidRPr="00806B36">
              <w:t>-14.8</w:t>
            </w:r>
          </w:p>
          <w:p w14:paraId="126742F8" w14:textId="77777777" w:rsidR="00AB5B6C" w:rsidRPr="00806B36" w:rsidRDefault="00AB5B6C" w:rsidP="0049704D">
            <w:pPr>
              <w:pStyle w:val="COMTabletext"/>
              <w:jc w:val="center"/>
            </w:pPr>
            <w:r w:rsidRPr="00806B36">
              <w:t>(-17.4, -12.2)</w:t>
            </w:r>
          </w:p>
        </w:tc>
        <w:tc>
          <w:tcPr>
            <w:tcW w:w="657" w:type="pct"/>
            <w:vAlign w:val="center"/>
          </w:tcPr>
          <w:p w14:paraId="1E80E2E3" w14:textId="77777777" w:rsidR="00AB5B6C" w:rsidRPr="00806B36" w:rsidRDefault="00AB5B6C" w:rsidP="0049704D">
            <w:pPr>
              <w:pStyle w:val="COMTabletext"/>
              <w:jc w:val="center"/>
            </w:pPr>
            <w:r w:rsidRPr="00806B36">
              <w:t>-16.1</w:t>
            </w:r>
          </w:p>
          <w:p w14:paraId="518CDA2F" w14:textId="77777777" w:rsidR="00AB5B6C" w:rsidRPr="00806B36" w:rsidRDefault="00AB5B6C" w:rsidP="0049704D">
            <w:pPr>
              <w:pStyle w:val="COMTabletext"/>
              <w:jc w:val="center"/>
            </w:pPr>
            <w:r w:rsidRPr="00806B36">
              <w:t>(-17.7, -14.5)</w:t>
            </w:r>
          </w:p>
        </w:tc>
        <w:tc>
          <w:tcPr>
            <w:tcW w:w="656" w:type="pct"/>
            <w:vAlign w:val="center"/>
          </w:tcPr>
          <w:p w14:paraId="239B0E00" w14:textId="77777777" w:rsidR="00AB5B6C" w:rsidRPr="00806B36" w:rsidRDefault="00AB5B6C" w:rsidP="0049704D">
            <w:pPr>
              <w:pStyle w:val="COMTabletext"/>
              <w:jc w:val="center"/>
            </w:pPr>
            <w:r w:rsidRPr="00806B36">
              <w:t>-12.8</w:t>
            </w:r>
          </w:p>
          <w:p w14:paraId="0E74D013" w14:textId="77777777" w:rsidR="00AB5B6C" w:rsidRPr="00806B36" w:rsidRDefault="00AB5B6C" w:rsidP="0049704D">
            <w:pPr>
              <w:pStyle w:val="COMTabletext"/>
              <w:jc w:val="center"/>
            </w:pPr>
            <w:r w:rsidRPr="00806B36">
              <w:t>(-14.5, -11.2)</w:t>
            </w:r>
          </w:p>
        </w:tc>
      </w:tr>
      <w:tr w:rsidR="00AB5B6C" w:rsidRPr="00806B36" w14:paraId="2C71E2C1" w14:textId="77777777" w:rsidTr="005961FA">
        <w:tc>
          <w:tcPr>
            <w:tcW w:w="1059" w:type="pct"/>
            <w:vAlign w:val="center"/>
          </w:tcPr>
          <w:p w14:paraId="0480360C" w14:textId="77777777" w:rsidR="00AB5B6C" w:rsidRPr="00806B36" w:rsidRDefault="00AB5B6C" w:rsidP="0049704D">
            <w:pPr>
              <w:pStyle w:val="COMTabletext"/>
              <w:rPr>
                <w:vertAlign w:val="superscript"/>
              </w:rPr>
            </w:pPr>
            <w:r w:rsidRPr="00806B36">
              <w:t xml:space="preserve">Difference (95% CI) </w:t>
            </w:r>
            <w:r w:rsidRPr="00806B36">
              <w:rPr>
                <w:vertAlign w:val="superscript"/>
              </w:rPr>
              <w:t>a</w:t>
            </w:r>
          </w:p>
        </w:tc>
        <w:tc>
          <w:tcPr>
            <w:tcW w:w="1314" w:type="pct"/>
            <w:gridSpan w:val="2"/>
            <w:vAlign w:val="center"/>
          </w:tcPr>
          <w:p w14:paraId="45A60CD4" w14:textId="77777777" w:rsidR="00AB5B6C" w:rsidRPr="00806B36" w:rsidRDefault="00AB5B6C" w:rsidP="0049704D">
            <w:pPr>
              <w:pStyle w:val="COMTabletext"/>
              <w:jc w:val="center"/>
              <w:rPr>
                <w:b/>
                <w:bCs w:val="0"/>
              </w:rPr>
            </w:pPr>
            <w:r w:rsidRPr="00806B36">
              <w:rPr>
                <w:b/>
                <w:bCs w:val="0"/>
              </w:rPr>
              <w:t>-5.1 (-8.0, -2.3)</w:t>
            </w:r>
          </w:p>
        </w:tc>
        <w:tc>
          <w:tcPr>
            <w:tcW w:w="1314" w:type="pct"/>
            <w:gridSpan w:val="2"/>
            <w:vAlign w:val="center"/>
          </w:tcPr>
          <w:p w14:paraId="0E46E9C6" w14:textId="77777777" w:rsidR="00AB5B6C" w:rsidRPr="00806B36" w:rsidRDefault="00AB5B6C" w:rsidP="0049704D">
            <w:pPr>
              <w:pStyle w:val="COMTabletext"/>
              <w:jc w:val="center"/>
            </w:pPr>
            <w:r w:rsidRPr="00806B36">
              <w:t>-1.8 (-4.3, 0.8)</w:t>
            </w:r>
          </w:p>
        </w:tc>
        <w:tc>
          <w:tcPr>
            <w:tcW w:w="1313" w:type="pct"/>
            <w:gridSpan w:val="2"/>
            <w:vAlign w:val="center"/>
          </w:tcPr>
          <w:p w14:paraId="518312B7" w14:textId="77777777" w:rsidR="00AB5B6C" w:rsidRPr="00806B36" w:rsidRDefault="00AB5B6C" w:rsidP="0049704D">
            <w:pPr>
              <w:pStyle w:val="COMTabletext"/>
              <w:jc w:val="center"/>
            </w:pPr>
            <w:r w:rsidRPr="00806B36">
              <w:t>-3.3 (-5.2, -1.4)</w:t>
            </w:r>
          </w:p>
        </w:tc>
      </w:tr>
      <w:tr w:rsidR="00AB5B6C" w:rsidRPr="00806B36" w14:paraId="40D5685C" w14:textId="77777777" w:rsidTr="005961FA">
        <w:tc>
          <w:tcPr>
            <w:tcW w:w="5000" w:type="pct"/>
            <w:gridSpan w:val="7"/>
            <w:vAlign w:val="center"/>
          </w:tcPr>
          <w:p w14:paraId="2814CBA6" w14:textId="77777777" w:rsidR="00AB5B6C" w:rsidRPr="00806B36" w:rsidRDefault="00AB5B6C" w:rsidP="0049704D">
            <w:pPr>
              <w:pStyle w:val="COMTableheadingrow"/>
              <w:rPr>
                <w:lang w:val="en-AU"/>
              </w:rPr>
            </w:pPr>
            <w:r w:rsidRPr="00806B36">
              <w:rPr>
                <w:lang w:val="en-AU"/>
              </w:rPr>
              <w:t>Change from baseline to Week 12 in total 5-D Itch score (secondary outcome)</w:t>
            </w:r>
          </w:p>
        </w:tc>
      </w:tr>
      <w:tr w:rsidR="00AB5B6C" w:rsidRPr="00806B36" w14:paraId="61B6DD3C" w14:textId="77777777" w:rsidTr="005961FA">
        <w:tc>
          <w:tcPr>
            <w:tcW w:w="1059" w:type="pct"/>
            <w:vAlign w:val="center"/>
          </w:tcPr>
          <w:p w14:paraId="56116F15" w14:textId="77777777" w:rsidR="00AB5B6C" w:rsidRPr="00806B36" w:rsidRDefault="00AB5B6C" w:rsidP="0049704D">
            <w:pPr>
              <w:pStyle w:val="COMTabletext"/>
            </w:pPr>
            <w:r w:rsidRPr="00806B36">
              <w:t xml:space="preserve">LS mean change </w:t>
            </w:r>
          </w:p>
          <w:p w14:paraId="75DF546A" w14:textId="77777777" w:rsidR="00AB5B6C" w:rsidRPr="00806B36" w:rsidRDefault="00AB5B6C" w:rsidP="0049704D">
            <w:pPr>
              <w:pStyle w:val="COMTabletext"/>
              <w:rPr>
                <w:vertAlign w:val="superscript"/>
              </w:rPr>
            </w:pPr>
            <w:r w:rsidRPr="00806B36">
              <w:t xml:space="preserve">(95% CI) </w:t>
            </w:r>
            <w:r w:rsidRPr="00806B36">
              <w:rPr>
                <w:vertAlign w:val="superscript"/>
              </w:rPr>
              <w:t>a</w:t>
            </w:r>
          </w:p>
        </w:tc>
        <w:tc>
          <w:tcPr>
            <w:tcW w:w="657" w:type="pct"/>
            <w:vAlign w:val="center"/>
          </w:tcPr>
          <w:p w14:paraId="13B653E8" w14:textId="77777777" w:rsidR="00AB5B6C" w:rsidRPr="00806B36" w:rsidRDefault="00AB5B6C" w:rsidP="0049704D">
            <w:pPr>
              <w:pStyle w:val="COMTabletext"/>
              <w:jc w:val="center"/>
            </w:pPr>
            <w:r w:rsidRPr="00806B36">
              <w:t>-5.0</w:t>
            </w:r>
          </w:p>
          <w:p w14:paraId="54BDA640" w14:textId="77777777" w:rsidR="00AB5B6C" w:rsidRPr="00806B36" w:rsidRDefault="00AB5B6C" w:rsidP="0049704D">
            <w:pPr>
              <w:pStyle w:val="COMTabletext"/>
              <w:jc w:val="center"/>
            </w:pPr>
            <w:r w:rsidRPr="00806B36">
              <w:t>(-5.7, -4.4)</w:t>
            </w:r>
          </w:p>
        </w:tc>
        <w:tc>
          <w:tcPr>
            <w:tcW w:w="657" w:type="pct"/>
            <w:vAlign w:val="center"/>
          </w:tcPr>
          <w:p w14:paraId="0A9FBD38" w14:textId="77777777" w:rsidR="00AB5B6C" w:rsidRPr="00806B36" w:rsidRDefault="00AB5B6C" w:rsidP="0049704D">
            <w:pPr>
              <w:pStyle w:val="COMTabletext"/>
              <w:jc w:val="center"/>
            </w:pPr>
            <w:r w:rsidRPr="00806B36">
              <w:t>-3.7</w:t>
            </w:r>
          </w:p>
          <w:p w14:paraId="2D2ACA43" w14:textId="77777777" w:rsidR="00AB5B6C" w:rsidRPr="00806B36" w:rsidRDefault="00AB5B6C" w:rsidP="0049704D">
            <w:pPr>
              <w:pStyle w:val="COMTabletext"/>
              <w:jc w:val="center"/>
            </w:pPr>
            <w:r w:rsidRPr="00806B36">
              <w:t>(-4.4, -3.1)</w:t>
            </w:r>
          </w:p>
        </w:tc>
        <w:tc>
          <w:tcPr>
            <w:tcW w:w="657" w:type="pct"/>
            <w:vAlign w:val="center"/>
          </w:tcPr>
          <w:p w14:paraId="5D9E39AA" w14:textId="77777777" w:rsidR="00AB5B6C" w:rsidRPr="00806B36" w:rsidRDefault="00AB5B6C" w:rsidP="0049704D">
            <w:pPr>
              <w:pStyle w:val="COMTabletext"/>
              <w:jc w:val="center"/>
            </w:pPr>
            <w:r w:rsidRPr="00806B36">
              <w:t>-4.9</w:t>
            </w:r>
          </w:p>
          <w:p w14:paraId="1A1719FC" w14:textId="77777777" w:rsidR="00AB5B6C" w:rsidRPr="00806B36" w:rsidRDefault="00AB5B6C" w:rsidP="0049704D">
            <w:pPr>
              <w:pStyle w:val="COMTabletext"/>
              <w:jc w:val="center"/>
            </w:pPr>
            <w:r w:rsidRPr="00806B36">
              <w:t>(-5.6, -4.2)</w:t>
            </w:r>
          </w:p>
        </w:tc>
        <w:tc>
          <w:tcPr>
            <w:tcW w:w="657" w:type="pct"/>
            <w:vAlign w:val="center"/>
          </w:tcPr>
          <w:p w14:paraId="034C8941" w14:textId="77777777" w:rsidR="00AB5B6C" w:rsidRPr="00806B36" w:rsidRDefault="00AB5B6C" w:rsidP="0049704D">
            <w:pPr>
              <w:pStyle w:val="COMTabletext"/>
              <w:jc w:val="center"/>
            </w:pPr>
            <w:r w:rsidRPr="00806B36">
              <w:t>-3.8</w:t>
            </w:r>
          </w:p>
          <w:p w14:paraId="2A3A38A3" w14:textId="77777777" w:rsidR="00AB5B6C" w:rsidRPr="00806B36" w:rsidRDefault="00AB5B6C" w:rsidP="0049704D">
            <w:pPr>
              <w:pStyle w:val="COMTabletext"/>
              <w:jc w:val="center"/>
            </w:pPr>
            <w:r w:rsidRPr="00806B36">
              <w:t>(-4.5, -3.1)</w:t>
            </w:r>
          </w:p>
        </w:tc>
        <w:tc>
          <w:tcPr>
            <w:tcW w:w="657" w:type="pct"/>
            <w:vAlign w:val="center"/>
          </w:tcPr>
          <w:p w14:paraId="169B9DA3" w14:textId="77777777" w:rsidR="00AB5B6C" w:rsidRPr="00806B36" w:rsidRDefault="00AB5B6C" w:rsidP="0049704D">
            <w:pPr>
              <w:pStyle w:val="COMTabletext"/>
              <w:jc w:val="center"/>
            </w:pPr>
            <w:r w:rsidRPr="00806B36">
              <w:t xml:space="preserve">-4.8 </w:t>
            </w:r>
          </w:p>
          <w:p w14:paraId="6AFB2737" w14:textId="77777777" w:rsidR="00AB5B6C" w:rsidRPr="00806B36" w:rsidRDefault="00AB5B6C" w:rsidP="0049704D">
            <w:pPr>
              <w:pStyle w:val="COMTabletext"/>
              <w:jc w:val="center"/>
            </w:pPr>
            <w:r w:rsidRPr="00806B36">
              <w:t>(-5.3, -4.4)</w:t>
            </w:r>
          </w:p>
        </w:tc>
        <w:tc>
          <w:tcPr>
            <w:tcW w:w="656" w:type="pct"/>
            <w:vAlign w:val="center"/>
          </w:tcPr>
          <w:p w14:paraId="401C613E" w14:textId="77777777" w:rsidR="00AB5B6C" w:rsidRPr="00806B36" w:rsidRDefault="00AB5B6C" w:rsidP="0049704D">
            <w:pPr>
              <w:pStyle w:val="COMTabletext"/>
              <w:jc w:val="center"/>
            </w:pPr>
            <w:r w:rsidRPr="00806B36">
              <w:t>-3.7</w:t>
            </w:r>
          </w:p>
          <w:p w14:paraId="1BCB4F88" w14:textId="77777777" w:rsidR="00AB5B6C" w:rsidRPr="00806B36" w:rsidRDefault="00AB5B6C" w:rsidP="0049704D">
            <w:pPr>
              <w:pStyle w:val="COMTabletext"/>
              <w:jc w:val="center"/>
            </w:pPr>
            <w:r w:rsidRPr="00806B36">
              <w:t>(-4.1, -3.3)</w:t>
            </w:r>
          </w:p>
        </w:tc>
      </w:tr>
      <w:tr w:rsidR="00AB5B6C" w:rsidRPr="00806B36" w14:paraId="65D17591" w14:textId="77777777" w:rsidTr="005961FA">
        <w:tc>
          <w:tcPr>
            <w:tcW w:w="1059" w:type="pct"/>
            <w:vAlign w:val="center"/>
          </w:tcPr>
          <w:p w14:paraId="3F5235EA" w14:textId="77777777" w:rsidR="00AB5B6C" w:rsidRPr="00806B36" w:rsidRDefault="00AB5B6C" w:rsidP="0049704D">
            <w:pPr>
              <w:pStyle w:val="COMTabletext"/>
              <w:rPr>
                <w:vertAlign w:val="superscript"/>
              </w:rPr>
            </w:pPr>
            <w:r w:rsidRPr="00806B36">
              <w:t xml:space="preserve">Difference (95% CI) </w:t>
            </w:r>
            <w:r w:rsidRPr="00806B36">
              <w:rPr>
                <w:vertAlign w:val="superscript"/>
              </w:rPr>
              <w:t>a</w:t>
            </w:r>
            <w:r w:rsidRPr="00806B36">
              <w:t xml:space="preserve"> </w:t>
            </w:r>
          </w:p>
        </w:tc>
        <w:tc>
          <w:tcPr>
            <w:tcW w:w="1314" w:type="pct"/>
            <w:gridSpan w:val="2"/>
            <w:vAlign w:val="center"/>
          </w:tcPr>
          <w:p w14:paraId="4FEB3A28" w14:textId="77777777" w:rsidR="00AB5B6C" w:rsidRPr="00806B36" w:rsidRDefault="00AB5B6C" w:rsidP="0049704D">
            <w:pPr>
              <w:pStyle w:val="COMTabletext"/>
              <w:jc w:val="center"/>
              <w:rPr>
                <w:b/>
                <w:bCs w:val="0"/>
              </w:rPr>
            </w:pPr>
            <w:r w:rsidRPr="00806B36">
              <w:rPr>
                <w:b/>
                <w:bCs w:val="0"/>
              </w:rPr>
              <w:t>-1.3 (-2.0, -0.5)</w:t>
            </w:r>
          </w:p>
        </w:tc>
        <w:tc>
          <w:tcPr>
            <w:tcW w:w="1314" w:type="pct"/>
            <w:gridSpan w:val="2"/>
            <w:vAlign w:val="center"/>
          </w:tcPr>
          <w:p w14:paraId="0E22FCCE" w14:textId="77777777" w:rsidR="00AB5B6C" w:rsidRPr="00806B36" w:rsidRDefault="00AB5B6C" w:rsidP="0049704D">
            <w:pPr>
              <w:pStyle w:val="COMTabletext"/>
              <w:jc w:val="center"/>
              <w:rPr>
                <w:vertAlign w:val="superscript"/>
              </w:rPr>
            </w:pPr>
            <w:r w:rsidRPr="00806B36">
              <w:t xml:space="preserve">-1.1 (-1.7, -0.4) </w:t>
            </w:r>
            <w:r w:rsidRPr="00806B36">
              <w:rPr>
                <w:vertAlign w:val="superscript"/>
              </w:rPr>
              <w:t>b</w:t>
            </w:r>
          </w:p>
        </w:tc>
        <w:tc>
          <w:tcPr>
            <w:tcW w:w="1313" w:type="pct"/>
            <w:gridSpan w:val="2"/>
            <w:vAlign w:val="center"/>
          </w:tcPr>
          <w:p w14:paraId="6F49305E" w14:textId="77777777" w:rsidR="00AB5B6C" w:rsidRPr="00806B36" w:rsidRDefault="00AB5B6C" w:rsidP="0049704D">
            <w:pPr>
              <w:pStyle w:val="COMTabletext"/>
              <w:jc w:val="center"/>
            </w:pPr>
            <w:r w:rsidRPr="00806B36">
              <w:t>-1.1 (-1.6, -0.6)</w:t>
            </w:r>
          </w:p>
        </w:tc>
      </w:tr>
    </w:tbl>
    <w:p w14:paraId="2F98196A" w14:textId="77777777" w:rsidR="00AB5B6C" w:rsidRPr="00806B36" w:rsidRDefault="00AB5B6C" w:rsidP="00AB5B6C">
      <w:pPr>
        <w:pStyle w:val="COMTablefooter"/>
        <w:keepNext/>
      </w:pPr>
      <w:r w:rsidRPr="00806B36">
        <w:t>Source: Table 26, p118; Table 28, p123 of the submission</w:t>
      </w:r>
    </w:p>
    <w:p w14:paraId="7913B3E6" w14:textId="77777777" w:rsidR="00AB5B6C" w:rsidRPr="00806B36" w:rsidRDefault="00AB5B6C" w:rsidP="00AB5B6C">
      <w:pPr>
        <w:pStyle w:val="COMTablefooter"/>
      </w:pPr>
      <w:r w:rsidRPr="00806B36">
        <w:t>Abbreviations: CI, confidence interval; LS, least squares</w:t>
      </w:r>
    </w:p>
    <w:p w14:paraId="03E967D5" w14:textId="77777777" w:rsidR="00AB5B6C" w:rsidRPr="00806B36" w:rsidRDefault="00AB5B6C" w:rsidP="00AB5B6C">
      <w:pPr>
        <w:pStyle w:val="COMTablefooter"/>
      </w:pPr>
      <w:r w:rsidRPr="00806B36">
        <w:rPr>
          <w:vertAlign w:val="superscript"/>
        </w:rPr>
        <w:t>a</w:t>
      </w:r>
      <w:r w:rsidRPr="00806B36">
        <w:t xml:space="preserve"> Estimated using an analysis of covariance, ANCOVA, with fixed effects for treatment, baseline score, use of anti-itch medication at baseline and the presence of specific medical conditions. Region was also included in the model for the KALM-2 analysis while a region/study variable was included in the model for the pooled analysis. Missing values were imputed using multiple imputation under the missing at random assumption.</w:t>
      </w:r>
    </w:p>
    <w:p w14:paraId="2C4111CC" w14:textId="77777777" w:rsidR="00AB5B6C" w:rsidRPr="00806B36" w:rsidRDefault="00AB5B6C" w:rsidP="00AB5B6C">
      <w:pPr>
        <w:pStyle w:val="COMTablefooter"/>
      </w:pPr>
      <w:r w:rsidRPr="00806B36">
        <w:rPr>
          <w:vertAlign w:val="superscript"/>
        </w:rPr>
        <w:t>b</w:t>
      </w:r>
      <w:r w:rsidRPr="00806B36">
        <w:t xml:space="preserve"> Could not be considered statistically significant based on the hierarchical testing order (prior secondary endpoint not statistically significant)</w:t>
      </w:r>
    </w:p>
    <w:p w14:paraId="57549A85" w14:textId="77777777" w:rsidR="00AB5B6C" w:rsidRPr="00806B36" w:rsidRDefault="00AB5B6C" w:rsidP="00AB5B6C">
      <w:pPr>
        <w:pStyle w:val="COMTablefooter"/>
        <w:keepNext/>
        <w:rPr>
          <w:rFonts w:eastAsia="Calibri"/>
        </w:rPr>
      </w:pPr>
      <w:r w:rsidRPr="00806B36">
        <w:rPr>
          <w:rFonts w:eastAsia="Calibri"/>
          <w:b/>
        </w:rPr>
        <w:t>Bold</w:t>
      </w:r>
      <w:r w:rsidRPr="00806B36">
        <w:rPr>
          <w:rFonts w:eastAsia="Calibri"/>
        </w:rPr>
        <w:t xml:space="preserve"> indicates statistically significant results. Pooled analyses were conducted </w:t>
      </w:r>
      <w:r w:rsidRPr="00806B36">
        <w:rPr>
          <w:rFonts w:eastAsia="Calibri"/>
          <w:i/>
          <w:iCs/>
        </w:rPr>
        <w:t>post hoc</w:t>
      </w:r>
      <w:r w:rsidRPr="00806B36">
        <w:rPr>
          <w:rFonts w:eastAsia="Calibri"/>
        </w:rPr>
        <w:t xml:space="preserve"> and were unadjusted for multiplicity</w:t>
      </w:r>
    </w:p>
    <w:p w14:paraId="0C1282A2" w14:textId="68278126" w:rsidR="00751C9E" w:rsidRPr="00806B36" w:rsidRDefault="00AB5B6C" w:rsidP="00F70965">
      <w:pPr>
        <w:pStyle w:val="COMexecsumnumberedpara"/>
      </w:pPr>
      <w:r w:rsidRPr="00806B36">
        <w:t>In KALM-1, treatment with difelikefalin was associated with a statistically significant improvement in the total Skindex-10 score at Week 12 from baseline. In KALM-2, the difelikefalin group showed a numerical improvement in total Skindex-10 score compared to placebo but the result did not achieve statistical significance. Pooled estimates of treatment effect were similar to results from the individual studies.</w:t>
      </w:r>
    </w:p>
    <w:p w14:paraId="6DFD136D" w14:textId="0B9A823B" w:rsidR="00751C9E" w:rsidRPr="00806B36" w:rsidRDefault="008716CA" w:rsidP="00F70965">
      <w:pPr>
        <w:pStyle w:val="COMexecsumnumberedpara"/>
      </w:pPr>
      <w:r w:rsidRPr="00806B36">
        <w:t>Difelikefalin treatment was associated with an improvement on the 5-D Itch scale at Week 12 from baseline. The result from KALM-1 was statistically significant. The result from KALM-2 could not be considered statistically significant based on the hierarchical testing order as the prior secondary endpoint (total Skindex-10 score at Week 12) was not statistically significant.</w:t>
      </w:r>
    </w:p>
    <w:p w14:paraId="05AB114D" w14:textId="3351F42C" w:rsidR="008716CA" w:rsidRPr="00806B36" w:rsidRDefault="008716CA" w:rsidP="00D66FAD">
      <w:pPr>
        <w:pStyle w:val="COMexecsumnumberedpara"/>
      </w:pPr>
      <w:r w:rsidRPr="00806B36">
        <w:t>Results for exploratory outcomes based on the proportion of patients achieving ≥15-point improvement on the Skindex-10 scale and the proportion of patients achieving ≥5-point improvement on the 5-D Itch scale suggested a greater proportion of patients treated with difelikefalin achieved these response thresholds compared to those on placebo. Placebo response rates based on these measures were also high (42-48%), similar to response measures using the WI-NRS scale.</w:t>
      </w:r>
    </w:p>
    <w:p w14:paraId="51B9931A" w14:textId="7583DE83" w:rsidR="00EB183B" w:rsidRPr="00806B36" w:rsidRDefault="00EB183B" w:rsidP="00D66FAD">
      <w:pPr>
        <w:pStyle w:val="COMexecsumnumberedpara"/>
      </w:pPr>
      <w:r w:rsidRPr="00806B36">
        <w:t>The proportion of patients achieving ≥5-point improvement on the 5-D Itch scale from</w:t>
      </w:r>
      <w:r w:rsidR="00964055" w:rsidRPr="00806B36">
        <w:t xml:space="preserve"> pooled</w:t>
      </w:r>
      <w:r w:rsidR="00160D92" w:rsidRPr="00806B36">
        <w:t xml:space="preserve"> individual patient data analys</w:t>
      </w:r>
      <w:r w:rsidR="00127CCF" w:rsidRPr="00806B36">
        <w:t>e</w:t>
      </w:r>
      <w:r w:rsidR="00160D92" w:rsidRPr="00806B36">
        <w:t xml:space="preserve">s </w:t>
      </w:r>
      <w:r w:rsidR="00964055" w:rsidRPr="00806B36">
        <w:t>of</w:t>
      </w:r>
      <w:r w:rsidR="00EB37D0" w:rsidRPr="00806B36">
        <w:t xml:space="preserve"> the KALM trials were</w:t>
      </w:r>
      <w:r w:rsidRPr="00806B36">
        <w:t xml:space="preserve"> used to determine response and consequently, treatment continuation rates </w:t>
      </w:r>
      <w:r w:rsidR="00A81E31" w:rsidRPr="00806B36">
        <w:t xml:space="preserve">for difelikefalin </w:t>
      </w:r>
      <w:r w:rsidRPr="00806B36">
        <w:t xml:space="preserve">in the economic model </w:t>
      </w:r>
      <w:r w:rsidR="000E7028" w:rsidRPr="00806B36">
        <w:t>(</w:t>
      </w:r>
      <w:r w:rsidR="008B13CD" w:rsidRPr="00806B36">
        <w:t xml:space="preserve">different </w:t>
      </w:r>
      <w:r w:rsidR="000E7028" w:rsidRPr="00806B36">
        <w:t>response rates</w:t>
      </w:r>
      <w:r w:rsidR="008B13CD" w:rsidRPr="00806B36">
        <w:t xml:space="preserve"> by pruritus severity of none </w:t>
      </w:r>
      <w:r w:rsidR="001B0DEF" w:rsidRPr="00806B36">
        <w:t xml:space="preserve">92.3%, mild 68.9%, moderate 32.9% and severe </w:t>
      </w:r>
      <w:r w:rsidR="00060BC0" w:rsidRPr="00806B36">
        <w:t>10.7%)</w:t>
      </w:r>
      <w:r w:rsidR="000E7028" w:rsidRPr="00806B36">
        <w:t xml:space="preserve"> </w:t>
      </w:r>
      <w:r w:rsidRPr="00806B36">
        <w:t>and financial estimates</w:t>
      </w:r>
      <w:r w:rsidR="00113B7F" w:rsidRPr="00806B36">
        <w:t xml:space="preserve"> (51.3%</w:t>
      </w:r>
      <w:r w:rsidR="00060BC0" w:rsidRPr="00806B36">
        <w:t xml:space="preserve"> overall</w:t>
      </w:r>
      <w:r w:rsidR="00113B7F" w:rsidRPr="00806B36">
        <w:t>)</w:t>
      </w:r>
      <w:r w:rsidRPr="00806B36">
        <w:t xml:space="preserve">. </w:t>
      </w:r>
      <w:r w:rsidR="0001017B" w:rsidRPr="00806B36">
        <w:t>These estimates could not be validated during the evaluation due to poor documentation in the submission</w:t>
      </w:r>
      <w:r w:rsidR="00C41022" w:rsidRPr="00806B36">
        <w:t xml:space="preserve">, with response rates of 52.1% for difelikefalin and 42.3% for placebo based on </w:t>
      </w:r>
      <w:r w:rsidR="001B0641" w:rsidRPr="00806B36">
        <w:t xml:space="preserve">aggregate data </w:t>
      </w:r>
      <w:r w:rsidR="00F4572C" w:rsidRPr="00806B36">
        <w:t>from</w:t>
      </w:r>
      <w:r w:rsidR="001B0641" w:rsidRPr="00806B36">
        <w:t xml:space="preserve"> the trials</w:t>
      </w:r>
      <w:r w:rsidR="008A0E92" w:rsidRPr="00806B36">
        <w:t xml:space="preserve">. </w:t>
      </w:r>
      <w:r w:rsidRPr="00806B36">
        <w:t>The</w:t>
      </w:r>
      <w:r w:rsidR="008A0E92" w:rsidRPr="00806B36">
        <w:t xml:space="preserve"> ESC considered the</w:t>
      </w:r>
      <w:r w:rsidRPr="00806B36">
        <w:t xml:space="preserve"> clinical relevance of the nominated threshold for improvement was uncertain.</w:t>
      </w:r>
    </w:p>
    <w:p w14:paraId="3722EB1E" w14:textId="491CD18D" w:rsidR="00502096" w:rsidRPr="00806B36" w:rsidRDefault="00502096" w:rsidP="00D66FAD">
      <w:pPr>
        <w:pStyle w:val="COMexecsumnumberedpara"/>
      </w:pPr>
      <w:r w:rsidRPr="00806B36">
        <w:t xml:space="preserve">Results </w:t>
      </w:r>
      <w:r w:rsidR="00CF1318" w:rsidRPr="00806B36">
        <w:t xml:space="preserve">based </w:t>
      </w:r>
      <w:r w:rsidRPr="00806B36">
        <w:t xml:space="preserve">on </w:t>
      </w:r>
      <w:r w:rsidR="00CF1318" w:rsidRPr="00806B36">
        <w:t xml:space="preserve">the </w:t>
      </w:r>
      <w:r w:rsidRPr="00806B36">
        <w:t xml:space="preserve">Patient Global Impression of Change (PGIC) </w:t>
      </w:r>
      <w:r w:rsidR="00CF1318" w:rsidRPr="00806B36">
        <w:t xml:space="preserve">exploratory outcome </w:t>
      </w:r>
      <w:r w:rsidRPr="00806B36">
        <w:t>suggested that a greater proportion of patients in the difelikefalin arm compared to placebo were responders at Week 12, defined as those with a global impression of ‘very much improved’ or ‘much improved’. The difference in response rates was greater in KALM-1 (approximately 24%) compared to KALM-2 (approximately 10%).</w:t>
      </w:r>
    </w:p>
    <w:p w14:paraId="719FD7BA" w14:textId="47333671" w:rsidR="008A1E3A" w:rsidRPr="00806B36" w:rsidRDefault="008A1E3A" w:rsidP="00D66FAD">
      <w:pPr>
        <w:pStyle w:val="COMexecsumnumberedpara"/>
      </w:pPr>
      <w:r w:rsidRPr="00806B36">
        <w:t>The submission did not present results from the open-label extension periods of the KALM-1 and KALM-2 trials. Patients who received at least 30 doses of study drug (difelikefalin or placebo) during the double-blind treatment period could enter the extension period and receive treatment with difelikefalin for up to 52 weeks. The submission considered these data as supportive evidence, with transition matrices</w:t>
      </w:r>
      <w:r w:rsidR="00CA16F1" w:rsidRPr="00806B36">
        <w:t xml:space="preserve"> for the economic model</w:t>
      </w:r>
      <w:r w:rsidRPr="00806B36">
        <w:t xml:space="preserve"> based on a pooled analysis of individual patient data</w:t>
      </w:r>
      <w:r w:rsidR="00E27AC9" w:rsidRPr="00806B36">
        <w:t xml:space="preserve">. </w:t>
      </w:r>
      <w:r w:rsidRPr="00806B36">
        <w:t>Key results from the open-label extension periods were presented during the evaluation, as these are the only long-term data available for difelikefalin.</w:t>
      </w:r>
    </w:p>
    <w:p w14:paraId="78BEBB9B" w14:textId="62FF4038" w:rsidR="004978CF" w:rsidRPr="00806B36" w:rsidRDefault="003E0784" w:rsidP="00D66FAD">
      <w:pPr>
        <w:pStyle w:val="COMexecsumnumberedpara"/>
      </w:pPr>
      <w:r w:rsidRPr="00806B36">
        <w:fldChar w:fldCharType="begin"/>
      </w:r>
      <w:r w:rsidRPr="00806B36">
        <w:instrText xml:space="preserve"> REF _Ref121729632 \h </w:instrText>
      </w:r>
      <w:r w:rsidR="008D67DF" w:rsidRPr="00806B36">
        <w:instrText xml:space="preserve"> \* MERGEFORMAT </w:instrText>
      </w:r>
      <w:r w:rsidRPr="00806B36">
        <w:fldChar w:fldCharType="separate"/>
      </w:r>
      <w:r w:rsidR="00487C7F" w:rsidRPr="00806B36">
        <w:t xml:space="preserve">Figure </w:t>
      </w:r>
      <w:r w:rsidR="00487C7F">
        <w:t>1</w:t>
      </w:r>
      <w:r w:rsidRPr="00806B36">
        <w:fldChar w:fldCharType="end"/>
      </w:r>
      <w:r w:rsidR="00575499" w:rsidRPr="00806B36">
        <w:t xml:space="preserve"> </w:t>
      </w:r>
      <w:r w:rsidR="004978CF" w:rsidRPr="00806B36">
        <w:t>presents the mean change from baseline in total 5-D itch score over the 12-week double-blind treatment period and 52-week open-label extension in KALM-1.</w:t>
      </w:r>
    </w:p>
    <w:p w14:paraId="576B6CFD" w14:textId="2B632299" w:rsidR="004978CF" w:rsidRPr="00806B36" w:rsidRDefault="00885920" w:rsidP="00885920">
      <w:pPr>
        <w:pStyle w:val="Caption"/>
      </w:pPr>
      <w:bookmarkStart w:id="30" w:name="_Ref121729632"/>
      <w:bookmarkStart w:id="31" w:name="_Ref121729624"/>
      <w:r w:rsidRPr="00806B36">
        <w:t xml:space="preserve">Figure </w:t>
      </w:r>
      <w:r w:rsidR="00487C7F">
        <w:fldChar w:fldCharType="begin"/>
      </w:r>
      <w:r w:rsidR="00487C7F">
        <w:instrText xml:space="preserve"> SEQ Figure \* ARABIC </w:instrText>
      </w:r>
      <w:r w:rsidR="00487C7F">
        <w:fldChar w:fldCharType="separate"/>
      </w:r>
      <w:r w:rsidR="00487C7F">
        <w:rPr>
          <w:noProof/>
        </w:rPr>
        <w:t>1</w:t>
      </w:r>
      <w:r w:rsidR="00487C7F">
        <w:rPr>
          <w:noProof/>
        </w:rPr>
        <w:fldChar w:fldCharType="end"/>
      </w:r>
      <w:bookmarkEnd w:id="30"/>
      <w:r w:rsidR="008E1F17" w:rsidRPr="00806B36">
        <w:t>: Mean Change from double-blind baseline in total 5-D Itch scale score by visit in KALM-1</w:t>
      </w:r>
      <w:bookmarkEnd w:id="31"/>
    </w:p>
    <w:p w14:paraId="458A8C2B" w14:textId="77777777" w:rsidR="004978CF" w:rsidRPr="00806B36" w:rsidRDefault="004978CF" w:rsidP="004978CF">
      <w:pPr>
        <w:pStyle w:val="COMTableheadingrow"/>
        <w:rPr>
          <w:lang w:val="en-AU"/>
        </w:rPr>
      </w:pPr>
      <w:r w:rsidRPr="00806B36">
        <w:rPr>
          <w:noProof/>
          <w:lang w:val="en-AU"/>
        </w:rPr>
        <w:drawing>
          <wp:inline distT="0" distB="0" distL="0" distR="0" wp14:anchorId="7B12CABA" wp14:editId="3D84600B">
            <wp:extent cx="5732145" cy="2487930"/>
            <wp:effectExtent l="0" t="0" r="1905" b="7620"/>
            <wp:docPr id="27" name="Picture 27" descr="Figure 1: Mean Change from double-blind baseline in total 5-D Itch scale score by visit in KAL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1: Mean Change from double-blind baseline in total 5-D Itch scale score by visit in KALM-1"/>
                    <pic:cNvPicPr/>
                  </pic:nvPicPr>
                  <pic:blipFill>
                    <a:blip r:embed="rId9"/>
                    <a:stretch>
                      <a:fillRect/>
                    </a:stretch>
                  </pic:blipFill>
                  <pic:spPr>
                    <a:xfrm>
                      <a:off x="0" y="0"/>
                      <a:ext cx="5732145" cy="2487930"/>
                    </a:xfrm>
                    <a:prstGeom prst="rect">
                      <a:avLst/>
                    </a:prstGeom>
                  </pic:spPr>
                </pic:pic>
              </a:graphicData>
            </a:graphic>
          </wp:inline>
        </w:drawing>
      </w:r>
    </w:p>
    <w:p w14:paraId="6F30158D" w14:textId="77777777" w:rsidR="004978CF" w:rsidRPr="00806B36" w:rsidRDefault="004978CF" w:rsidP="004978CF">
      <w:pPr>
        <w:pStyle w:val="COMTablefooter"/>
      </w:pPr>
      <w:r w:rsidRPr="00806B36">
        <w:t>Source: Figure 14, p107 of the ‘CLMD DFK – Summary of Clinical Efficacy’ report of the submission</w:t>
      </w:r>
    </w:p>
    <w:p w14:paraId="22B7AA73" w14:textId="2713A4BA" w:rsidR="004978CF" w:rsidRPr="00806B36" w:rsidRDefault="004978CF" w:rsidP="004978CF">
      <w:pPr>
        <w:pStyle w:val="COMTablefooter"/>
      </w:pPr>
      <w:r w:rsidRPr="00806B36">
        <w:t>Abbreviations: CR845, difelikefalin; DB, double-blind; CI, confidence interval; LS, least squares; OL, open-label</w:t>
      </w:r>
    </w:p>
    <w:p w14:paraId="119F3BA9" w14:textId="176DABAC" w:rsidR="004978CF" w:rsidRPr="00806B36" w:rsidRDefault="004978CF" w:rsidP="00D66FAD">
      <w:pPr>
        <w:pStyle w:val="COMexecsumnumberedpara"/>
      </w:pPr>
      <w:r w:rsidRPr="00806B36">
        <w:t>The results suggest that improvements in total 5-D Itch scale scores associated with difelikefalin treatment during the double-blind treatment period were maintained over time. Similar improvements were observed in patients randomised to placebo who switched to difelikefalin during the extension period. Observations towards the end of the 52-week study should be interpreted with caution as the sponsor stopped the study early, with approximately 60% of patients completing 52 weeks of treatment.</w:t>
      </w:r>
    </w:p>
    <w:p w14:paraId="655F9669" w14:textId="4C8749A0" w:rsidR="004978CF" w:rsidRPr="00806B36" w:rsidRDefault="00006AE4" w:rsidP="00D66FAD">
      <w:pPr>
        <w:pStyle w:val="COMexecsumnumberedpara"/>
      </w:pPr>
      <w:r w:rsidRPr="00806B36">
        <w:fldChar w:fldCharType="begin"/>
      </w:r>
      <w:r w:rsidRPr="00806B36">
        <w:instrText xml:space="preserve"> REF _Ref121729844 \h </w:instrText>
      </w:r>
      <w:r w:rsidR="008D67DF" w:rsidRPr="00806B36">
        <w:instrText xml:space="preserve"> \* MERGEFORMAT </w:instrText>
      </w:r>
      <w:r w:rsidRPr="00806B36">
        <w:fldChar w:fldCharType="separate"/>
      </w:r>
      <w:r w:rsidR="00487C7F" w:rsidRPr="00806B36">
        <w:t xml:space="preserve">Figure </w:t>
      </w:r>
      <w:r w:rsidR="00487C7F">
        <w:t>2</w:t>
      </w:r>
      <w:r w:rsidRPr="00806B36">
        <w:fldChar w:fldCharType="end"/>
      </w:r>
      <w:r w:rsidR="008E1F17" w:rsidRPr="00806B36">
        <w:t xml:space="preserve"> </w:t>
      </w:r>
      <w:r w:rsidR="004978CF" w:rsidRPr="00806B36">
        <w:t>presents the mean change from baseline in total 5-D itch score over the 12-week double-blind treatment period and 52-week open-label extension</w:t>
      </w:r>
      <w:r w:rsidR="005604DE" w:rsidRPr="00806B36">
        <w:t xml:space="preserve"> </w:t>
      </w:r>
      <w:r w:rsidR="004978CF" w:rsidRPr="00806B36">
        <w:t>in KALM-2.</w:t>
      </w:r>
    </w:p>
    <w:p w14:paraId="18769E27" w14:textId="7BB0D2E1" w:rsidR="00006AE4" w:rsidRPr="00806B36" w:rsidRDefault="00006AE4" w:rsidP="00006AE4">
      <w:pPr>
        <w:pStyle w:val="Caption"/>
      </w:pPr>
      <w:bookmarkStart w:id="32" w:name="_Ref121729844"/>
      <w:r w:rsidRPr="00806B36">
        <w:t xml:space="preserve">Figure </w:t>
      </w:r>
      <w:r w:rsidR="00487C7F">
        <w:fldChar w:fldCharType="begin"/>
      </w:r>
      <w:r w:rsidR="00487C7F">
        <w:instrText xml:space="preserve"> SEQ Figure \* ARABIC </w:instrText>
      </w:r>
      <w:r w:rsidR="00487C7F">
        <w:fldChar w:fldCharType="separate"/>
      </w:r>
      <w:r w:rsidR="00487C7F">
        <w:rPr>
          <w:noProof/>
        </w:rPr>
        <w:t>2</w:t>
      </w:r>
      <w:r w:rsidR="00487C7F">
        <w:rPr>
          <w:noProof/>
        </w:rPr>
        <w:fldChar w:fldCharType="end"/>
      </w:r>
      <w:bookmarkEnd w:id="32"/>
      <w:r w:rsidRPr="00806B36">
        <w:t>: Mean Change from double-blind baseline in total 5-D Itch scale score by visit in KALM-2</w:t>
      </w:r>
    </w:p>
    <w:p w14:paraId="1F27637F" w14:textId="77777777" w:rsidR="004978CF" w:rsidRPr="00806B36" w:rsidRDefault="004978CF" w:rsidP="004978CF">
      <w:pPr>
        <w:pStyle w:val="COMTableheadingrow"/>
        <w:rPr>
          <w:lang w:val="en-AU"/>
        </w:rPr>
      </w:pPr>
      <w:r w:rsidRPr="00806B36">
        <w:rPr>
          <w:noProof/>
          <w:lang w:val="en-AU"/>
        </w:rPr>
        <w:drawing>
          <wp:inline distT="0" distB="0" distL="0" distR="0" wp14:anchorId="5EB95F48" wp14:editId="650C3921">
            <wp:extent cx="5732145" cy="2528570"/>
            <wp:effectExtent l="0" t="0" r="1905" b="5080"/>
            <wp:docPr id="28" name="Picture 28" descr="Figure 2: Mean Change from double-blind baseline in total 5-D Itch scale score by visit in KAL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gure 2: Mean Change from double-blind baseline in total 5-D Itch scale score by visit in KALM-2"/>
                    <pic:cNvPicPr/>
                  </pic:nvPicPr>
                  <pic:blipFill>
                    <a:blip r:embed="rId10"/>
                    <a:stretch>
                      <a:fillRect/>
                    </a:stretch>
                  </pic:blipFill>
                  <pic:spPr>
                    <a:xfrm>
                      <a:off x="0" y="0"/>
                      <a:ext cx="5732145" cy="2528570"/>
                    </a:xfrm>
                    <a:prstGeom prst="rect">
                      <a:avLst/>
                    </a:prstGeom>
                  </pic:spPr>
                </pic:pic>
              </a:graphicData>
            </a:graphic>
          </wp:inline>
        </w:drawing>
      </w:r>
    </w:p>
    <w:p w14:paraId="4520CB30" w14:textId="77777777" w:rsidR="004978CF" w:rsidRPr="00806B36" w:rsidRDefault="004978CF" w:rsidP="004978CF">
      <w:pPr>
        <w:pStyle w:val="COMTablefooter"/>
      </w:pPr>
      <w:r w:rsidRPr="00806B36">
        <w:t>Source: Figure 16, p109 of the ‘CLMD DFK – Summary of Clinical Efficacy’ report of the submission</w:t>
      </w:r>
    </w:p>
    <w:p w14:paraId="23725755" w14:textId="6A413BE0" w:rsidR="004978CF" w:rsidRPr="00806B36" w:rsidRDefault="004978CF" w:rsidP="004978CF">
      <w:pPr>
        <w:pStyle w:val="COMTablefooter"/>
      </w:pPr>
      <w:r w:rsidRPr="00806B36">
        <w:t>Abbreviations: CR845, difelikefalin; DB, double-blind; CI, confidence interval; LS, least squares; OL, open-label</w:t>
      </w:r>
    </w:p>
    <w:p w14:paraId="00806D31" w14:textId="4182D3D2" w:rsidR="004978CF" w:rsidRPr="00806B36" w:rsidRDefault="004978CF" w:rsidP="00D66FAD">
      <w:pPr>
        <w:pStyle w:val="COMexecsumnumberedpara"/>
      </w:pPr>
      <w:r w:rsidRPr="00806B36">
        <w:t>Improvements in 5-D Itch scale score associated with difelikefalin treatment were maintained for both treatment sequence groups through Week 36 of the extension period. Data beyond Week 36 was not reported as the sponsor stopped the study early.</w:t>
      </w:r>
    </w:p>
    <w:p w14:paraId="5304F694" w14:textId="5B7D22AB" w:rsidR="00F70965" w:rsidRPr="00806B36" w:rsidRDefault="00F70965" w:rsidP="00D66FAD">
      <w:pPr>
        <w:pStyle w:val="COMexecsumnumberedpara"/>
      </w:pPr>
      <w:r w:rsidRPr="00806B36">
        <w:t xml:space="preserve">There were no pre-specified subgroup analyses in the key trials. </w:t>
      </w:r>
    </w:p>
    <w:p w14:paraId="050A20E0" w14:textId="42262D15" w:rsidR="00F70965" w:rsidRPr="00806B36" w:rsidRDefault="00F70965" w:rsidP="00D66FAD">
      <w:pPr>
        <w:pStyle w:val="COMexecsumnumberedpara"/>
      </w:pPr>
      <w:r w:rsidRPr="00806B36">
        <w:t>The submission presented results from a post hoc subgroup analysis for patients with ≥3-point and ≥4-point improvements in WI-NRS from baseline to Week 12, using pooled data across the KALM-1 and KALM-2 trials. Results were generally consistent with those in the overall population. Improvements in itch intensity did not appear to favour difelikefalin in patients who reported their race as ‘Other’, however, the size of this subgroup was relatively small compared to the other categories.</w:t>
      </w:r>
    </w:p>
    <w:p w14:paraId="72728B9F" w14:textId="6DF30CD5" w:rsidR="00532AE9" w:rsidRPr="00806B36" w:rsidRDefault="00532AE9" w:rsidP="00D66FAD">
      <w:pPr>
        <w:pStyle w:val="COMexecsumnumberedpara"/>
      </w:pPr>
      <w:r w:rsidRPr="00806B36">
        <w:t>Summaries of descriptive subgroup analyses by randomisation stratification factors were identified in the KALM-1 and KALM-2 trial reports during the evaluation</w:t>
      </w:r>
      <w:r w:rsidR="00C832A5" w:rsidRPr="00806B36">
        <w:t>. The treatment difference in patients without anti-itch medications at baseline appeared numerically smaller than those with prior use of anti-itch medications. Response rates across the regions were varied, with numerically smaller differences observed in patients from Western Europe/European origin and the US compared to patients from Eastern Europe and Asia.</w:t>
      </w:r>
    </w:p>
    <w:p w14:paraId="25D1352C" w14:textId="0E7EBE9E" w:rsidR="00C832A5" w:rsidRPr="00806B36" w:rsidRDefault="00C832A5" w:rsidP="009A7348">
      <w:pPr>
        <w:pStyle w:val="COMexecsumnumberedpara"/>
      </w:pPr>
      <w:r w:rsidRPr="00806B36">
        <w:t xml:space="preserve">Additional post hoc subgroup analyses by baseline WI-NRS pruritus severity were requested from the sponsor by the TGA evaluator. Results based on WI-NRS categories of moderate (≥4 to &lt;7), severe (≥7 to &lt;9) and very severe (≥9) pruritus </w:t>
      </w:r>
      <w:r w:rsidR="000E6C56" w:rsidRPr="00806B36">
        <w:t xml:space="preserve">appeared consistent with the primary analysis </w:t>
      </w:r>
      <w:r w:rsidRPr="00806B36">
        <w:t>in regard to the proportion of patients with either a ≥3-point or ≥4-point improvement at Week 12 from baseline</w:t>
      </w:r>
      <w:r w:rsidR="000E6C56" w:rsidRPr="00806B36">
        <w:t>.</w:t>
      </w:r>
      <w:r w:rsidR="009A7348" w:rsidRPr="00806B36">
        <w:t xml:space="preserve"> Results based on mean change in WI-NRS from baseline to Week 12 according to baseline pruritus severity suggested numerically greater response and placebo effect in those with more severe baseline pruritus.</w:t>
      </w:r>
    </w:p>
    <w:p w14:paraId="2F637231" w14:textId="78AC3BD3" w:rsidR="009A7348" w:rsidRPr="00806B36" w:rsidRDefault="009A7348" w:rsidP="009A7348">
      <w:pPr>
        <w:pStyle w:val="COMexecsumnumberedpara"/>
      </w:pPr>
      <w:r w:rsidRPr="00806B36">
        <w:t>Overall, results from available subgroup analyses should be interpreted with caution as the analyses were conducted post hoc and were largely descriptive. There was no testing for treatment effect interactions.</w:t>
      </w:r>
    </w:p>
    <w:p w14:paraId="67D7F5FB" w14:textId="28CD73BD" w:rsidR="00B5730E" w:rsidRPr="00806B36" w:rsidRDefault="00B5730E" w:rsidP="009A7348">
      <w:pPr>
        <w:pStyle w:val="COMexecsumnumberedpara"/>
      </w:pPr>
      <w:r w:rsidRPr="00806B36">
        <w:t>No subgroup characteristics or results were presented for</w:t>
      </w:r>
      <w:r w:rsidR="006F5754" w:rsidRPr="00806B36">
        <w:t xml:space="preserve"> the subgroup of</w:t>
      </w:r>
      <w:r w:rsidRPr="00806B36">
        <w:t xml:space="preserve"> patients with 5-D Itch score ≥12 at baseline </w:t>
      </w:r>
      <w:r w:rsidR="000A3E86" w:rsidRPr="00806B36">
        <w:t>who were responders</w:t>
      </w:r>
      <w:r w:rsidRPr="00806B36">
        <w:t xml:space="preserve"> </w:t>
      </w:r>
      <w:r w:rsidR="000A3E86" w:rsidRPr="00806B36">
        <w:t>(</w:t>
      </w:r>
      <w:r w:rsidRPr="00806B36">
        <w:t>defined as ≥5-point improvement at 12 weeks</w:t>
      </w:r>
      <w:r w:rsidR="000A3E86" w:rsidRPr="00806B36">
        <w:t>)</w:t>
      </w:r>
      <w:r w:rsidR="006F5754" w:rsidRPr="00806B36">
        <w:t xml:space="preserve"> in the KALM trials</w:t>
      </w:r>
      <w:r w:rsidR="000A3E86" w:rsidRPr="00806B36">
        <w:t>, used to inform the extrapolated period of the economic model.</w:t>
      </w:r>
    </w:p>
    <w:p w14:paraId="48EF8F61" w14:textId="7FD33D45" w:rsidR="00845962" w:rsidRPr="00806B36" w:rsidRDefault="00845962" w:rsidP="009A7348">
      <w:pPr>
        <w:pStyle w:val="COMexecsumnumberedpara"/>
      </w:pPr>
      <w:r w:rsidRPr="00806B36">
        <w:t>The submission presented a comparison of selected baseline characteristics between the Australian/New Zealand subgroup</w:t>
      </w:r>
      <w:r w:rsidR="00AE22EF" w:rsidRPr="00806B36">
        <w:t xml:space="preserve"> (n=31)</w:t>
      </w:r>
      <w:r w:rsidRPr="00806B36">
        <w:t xml:space="preserve"> in the KALM-2 trial </w:t>
      </w:r>
      <w:r w:rsidR="00AE22EF" w:rsidRPr="00806B36">
        <w:t xml:space="preserve">with </w:t>
      </w:r>
      <w:r w:rsidRPr="00806B36">
        <w:t xml:space="preserve">whole trial populations </w:t>
      </w:r>
      <w:r w:rsidR="00AE22EF" w:rsidRPr="00806B36">
        <w:t xml:space="preserve">in KALM-1 and KALM-2. The submission stated the number of Australian/New Zealand patients in the trial was small, therefore comparisons with whole trial populations should be interpreted with caution. The submission claimed that there are no other data available that could be used to characterise Australian haemodialysis patients with CKD-associated pruritus. </w:t>
      </w:r>
      <w:r w:rsidR="00A64EF6" w:rsidRPr="00806B36">
        <w:t>The evaluation considered i</w:t>
      </w:r>
      <w:r w:rsidR="00AE22EF" w:rsidRPr="00806B36">
        <w:t>t may be informative to use published data from the Australia and New Zealand Dialysis and Transplant Registry (ANZDATA) to at least characterise the Australian population on haemodialysis given CKD-associated pruritus in these patients is relatively common, with 43% of patients estimated to have at least moderate pruritus in the financial estimates of the submission.</w:t>
      </w:r>
    </w:p>
    <w:p w14:paraId="0DEB0EC3" w14:textId="77777777" w:rsidR="006E6F54" w:rsidRPr="00806B36" w:rsidRDefault="00AE22EF" w:rsidP="00AB11EF">
      <w:pPr>
        <w:pStyle w:val="COMexecsumnumberedpara"/>
      </w:pPr>
      <w:r w:rsidRPr="00806B36">
        <w:t>There are potential differences</w:t>
      </w:r>
      <w:r w:rsidR="00975C65" w:rsidRPr="00806B36">
        <w:t xml:space="preserve"> between the trial populations and the Australian population</w:t>
      </w:r>
      <w:r w:rsidRPr="00806B36">
        <w:t xml:space="preserve"> in terms of demographics and renal disease characteristics (e.g. age, co-morbidities), haemodialysis requirements, the assessment of CKD-associated pruritus and disease severity, and best supportive care treatments. Regional differences in treatment and placebo response rates were also observed in the key trials, with a smaller difelikefalin treatment effect observed in the KALM-2 global trial compared to the US-based KALM-1 trial. </w:t>
      </w:r>
    </w:p>
    <w:p w14:paraId="101B2C5D" w14:textId="5D6DDF86" w:rsidR="000408B7" w:rsidRPr="00806B36" w:rsidRDefault="006E6F54" w:rsidP="005D12D5">
      <w:pPr>
        <w:pStyle w:val="COMexecsumnumberedpara"/>
      </w:pPr>
      <w:r w:rsidRPr="00806B36">
        <w:t xml:space="preserve">The PSCR acknowledged the potential for differences between the trial populations and the proposed PBS population, however </w:t>
      </w:r>
      <w:r w:rsidR="00850A42" w:rsidRPr="00806B36">
        <w:t xml:space="preserve">it </w:t>
      </w:r>
      <w:r w:rsidRPr="00806B36">
        <w:t>also noted the post hoc subgroup analyses using the pooled KALM-1</w:t>
      </w:r>
      <w:r w:rsidR="00850A42" w:rsidRPr="00806B36">
        <w:t xml:space="preserve"> and KALM-</w:t>
      </w:r>
      <w:r w:rsidRPr="00806B36">
        <w:t>2 data do not suggest meaningful differences in treatment effect based on age, gender, best supportive care, anti-itch medication use or the presence of medical conditions. On that basis, the PSCR argued any differences in demographic or disease characteristics between the trials and Australian populations were unlikely to manifest into a meaningful impact on treatment effect. The ESC considered the post</w:t>
      </w:r>
      <w:r w:rsidR="00037EC0" w:rsidRPr="00806B36">
        <w:t xml:space="preserve"> </w:t>
      </w:r>
      <w:r w:rsidRPr="00806B36">
        <w:t xml:space="preserve">hoc subgroup analyses provided in the submission and </w:t>
      </w:r>
      <w:r w:rsidR="00F97FA8" w:rsidRPr="00806B36">
        <w:t xml:space="preserve">re-presented in the </w:t>
      </w:r>
      <w:r w:rsidRPr="00806B36">
        <w:t>PSCR were not sufficiently reliable to exclude a different magnitude of benefit in the PBS population compared to the key trials.</w:t>
      </w:r>
      <w:r w:rsidR="000408B7" w:rsidRPr="00806B36">
        <w:t xml:space="preserve"> The </w:t>
      </w:r>
      <w:r w:rsidR="002734A2" w:rsidRPr="00806B36">
        <w:t>p</w:t>
      </w:r>
      <w:r w:rsidR="000408B7" w:rsidRPr="00806B36">
        <w:t xml:space="preserve">re-PBAC </w:t>
      </w:r>
      <w:r w:rsidR="002734A2" w:rsidRPr="00806B36">
        <w:t>r</w:t>
      </w:r>
      <w:r w:rsidR="000408B7" w:rsidRPr="00806B36">
        <w:t>esponse reiterated the arguments in the PSCR</w:t>
      </w:r>
      <w:r w:rsidR="00202B19" w:rsidRPr="00806B36">
        <w:t xml:space="preserve">. </w:t>
      </w:r>
    </w:p>
    <w:p w14:paraId="1452C351" w14:textId="04F85588" w:rsidR="00B60939" w:rsidRPr="00806B36" w:rsidRDefault="00B60939" w:rsidP="00D86231">
      <w:pPr>
        <w:pStyle w:val="COMH2-non-numbered"/>
      </w:pPr>
      <w:bookmarkStart w:id="33" w:name="_Toc22897642"/>
      <w:bookmarkStart w:id="34" w:name="_Toc124836721"/>
      <w:r w:rsidRPr="00806B36">
        <w:t>Comparative harms</w:t>
      </w:r>
      <w:bookmarkEnd w:id="33"/>
      <w:bookmarkEnd w:id="34"/>
    </w:p>
    <w:p w14:paraId="2350755D" w14:textId="6D07AFA6" w:rsidR="00477C4A" w:rsidRPr="00806B36" w:rsidRDefault="00477C4A" w:rsidP="00121907">
      <w:pPr>
        <w:pStyle w:val="COMexecsumnumberedpara"/>
      </w:pPr>
      <w:bookmarkStart w:id="35" w:name="_Hlk104801403"/>
      <w:r w:rsidRPr="00806B36">
        <w:rPr>
          <w:rStyle w:val="COMBodyChar"/>
          <w:rFonts w:asciiTheme="minorHAnsi" w:hAnsiTheme="minorHAnsi"/>
        </w:rPr>
        <w:t>Patients in KALM-1 were evaluated for potential signs and symptoms of opioid withdrawal</w:t>
      </w:r>
      <w:r w:rsidR="00562542" w:rsidRPr="00806B36">
        <w:rPr>
          <w:rStyle w:val="COMBodyChar"/>
          <w:rFonts w:asciiTheme="minorHAnsi" w:hAnsiTheme="minorHAnsi"/>
        </w:rPr>
        <w:t xml:space="preserve"> </w:t>
      </w:r>
      <w:r w:rsidR="00562542" w:rsidRPr="00806B36">
        <w:t>during the 2-week double-blind discontinuation period of KALM-1, during which no study drug was administered. Outcomes were measured</w:t>
      </w:r>
      <w:r w:rsidRPr="00806B36">
        <w:rPr>
          <w:rStyle w:val="COMBodyChar"/>
          <w:rFonts w:asciiTheme="minorHAnsi" w:hAnsiTheme="minorHAnsi"/>
        </w:rPr>
        <w:t xml:space="preserve"> using the Short Opioid Withdrawal Scale (ShOWS), a self-administered scale for grading opioid withdrawal symptoms over a 24-hour period</w:t>
      </w:r>
      <w:r w:rsidR="00121907" w:rsidRPr="00806B36">
        <w:rPr>
          <w:rStyle w:val="COMBodyChar"/>
          <w:rFonts w:asciiTheme="minorHAnsi" w:hAnsiTheme="minorHAnsi"/>
        </w:rPr>
        <w:t xml:space="preserve"> and the</w:t>
      </w:r>
      <w:r w:rsidR="00121907" w:rsidRPr="00806B36">
        <w:t xml:space="preserve"> investigator-assessed Objective Opiate Withdrawal Scale (OOWS). </w:t>
      </w:r>
      <w:r w:rsidR="00562542" w:rsidRPr="00806B36">
        <w:t>The results suggest no differences between arms on either scale following discontinuation of the study drug.</w:t>
      </w:r>
    </w:p>
    <w:bookmarkEnd w:id="35"/>
    <w:p w14:paraId="2DAF16D1" w14:textId="785E114D" w:rsidR="00B60939" w:rsidRPr="00806B36" w:rsidRDefault="00AB2319" w:rsidP="00562542">
      <w:pPr>
        <w:pStyle w:val="COMexecsumnumberedpara"/>
      </w:pPr>
      <w:r w:rsidRPr="00806B36">
        <w:fldChar w:fldCharType="begin"/>
      </w:r>
      <w:r w:rsidRPr="00806B36">
        <w:instrText xml:space="preserve"> REF _Ref121729983 \h </w:instrText>
      </w:r>
      <w:r w:rsidRPr="00806B36">
        <w:fldChar w:fldCharType="separate"/>
      </w:r>
      <w:r w:rsidR="00487C7F" w:rsidRPr="00806B36">
        <w:t xml:space="preserve">Table </w:t>
      </w:r>
      <w:r w:rsidR="00487C7F">
        <w:rPr>
          <w:noProof/>
        </w:rPr>
        <w:t>6</w:t>
      </w:r>
      <w:r w:rsidRPr="00806B36">
        <w:fldChar w:fldCharType="end"/>
      </w:r>
      <w:r w:rsidR="00562542" w:rsidRPr="00806B36">
        <w:t xml:space="preserve"> presents a summary of adverse events reported during the 12-week double-blind period of the key trials.</w:t>
      </w:r>
    </w:p>
    <w:p w14:paraId="35AD26ED" w14:textId="51BE4519" w:rsidR="00562542" w:rsidRPr="00806B36" w:rsidRDefault="00AB2319" w:rsidP="00562542">
      <w:pPr>
        <w:pStyle w:val="COMtablefigcaption"/>
      </w:pPr>
      <w:bookmarkStart w:id="36" w:name="_Ref121729983"/>
      <w:bookmarkStart w:id="37" w:name="_Ref121729979"/>
      <w:r w:rsidRPr="00806B36">
        <w:t xml:space="preserve">Table </w:t>
      </w:r>
      <w:r w:rsidR="00487C7F">
        <w:fldChar w:fldCharType="begin"/>
      </w:r>
      <w:r w:rsidR="00487C7F">
        <w:instrText xml:space="preserve"> SEQ Table \* ARABIC </w:instrText>
      </w:r>
      <w:r w:rsidR="00487C7F">
        <w:fldChar w:fldCharType="separate"/>
      </w:r>
      <w:r w:rsidR="00487C7F">
        <w:rPr>
          <w:noProof/>
        </w:rPr>
        <w:t>6</w:t>
      </w:r>
      <w:r w:rsidR="00487C7F">
        <w:rPr>
          <w:noProof/>
        </w:rPr>
        <w:fldChar w:fldCharType="end"/>
      </w:r>
      <w:bookmarkEnd w:id="36"/>
      <w:r w:rsidRPr="00806B36">
        <w:t>: Summary of adverse events reported during the double-blind treatment period of the key trials</w:t>
      </w:r>
      <w:bookmarkEnd w:id="37"/>
    </w:p>
    <w:tbl>
      <w:tblPr>
        <w:tblStyle w:val="TableGrid"/>
        <w:tblW w:w="0" w:type="auto"/>
        <w:tblCellMar>
          <w:left w:w="57" w:type="dxa"/>
          <w:right w:w="57" w:type="dxa"/>
        </w:tblCellMar>
        <w:tblLook w:val="04A0" w:firstRow="1" w:lastRow="0" w:firstColumn="1" w:lastColumn="0" w:noHBand="0" w:noVBand="1"/>
      </w:tblPr>
      <w:tblGrid>
        <w:gridCol w:w="2011"/>
        <w:gridCol w:w="896"/>
        <w:gridCol w:w="924"/>
        <w:gridCol w:w="868"/>
        <w:gridCol w:w="938"/>
        <w:gridCol w:w="845"/>
        <w:gridCol w:w="845"/>
        <w:gridCol w:w="845"/>
        <w:gridCol w:w="845"/>
      </w:tblGrid>
      <w:tr w:rsidR="00562542" w:rsidRPr="00806B36" w14:paraId="447D2ACB" w14:textId="77777777" w:rsidTr="0049704D">
        <w:tc>
          <w:tcPr>
            <w:tcW w:w="2011" w:type="dxa"/>
            <w:vMerge w:val="restart"/>
            <w:vAlign w:val="center"/>
          </w:tcPr>
          <w:p w14:paraId="4EBB274A" w14:textId="77777777" w:rsidR="00562542" w:rsidRPr="00806B36" w:rsidRDefault="00562542" w:rsidP="0049704D">
            <w:pPr>
              <w:pStyle w:val="COMTableheadingrow"/>
              <w:rPr>
                <w:lang w:val="en-AU"/>
              </w:rPr>
            </w:pPr>
          </w:p>
        </w:tc>
        <w:tc>
          <w:tcPr>
            <w:tcW w:w="3626" w:type="dxa"/>
            <w:gridSpan w:val="4"/>
            <w:vAlign w:val="center"/>
          </w:tcPr>
          <w:p w14:paraId="7CDF2FE0" w14:textId="77777777" w:rsidR="00562542" w:rsidRPr="00806B36" w:rsidRDefault="00562542" w:rsidP="0049704D">
            <w:pPr>
              <w:pStyle w:val="COMTableheadingrow"/>
              <w:jc w:val="center"/>
              <w:rPr>
                <w:lang w:val="en-AU"/>
              </w:rPr>
            </w:pPr>
            <w:r w:rsidRPr="00806B36">
              <w:rPr>
                <w:lang w:val="en-AU"/>
              </w:rPr>
              <w:t>Patients with events, n (%)</w:t>
            </w:r>
          </w:p>
        </w:tc>
        <w:tc>
          <w:tcPr>
            <w:tcW w:w="3380" w:type="dxa"/>
            <w:gridSpan w:val="4"/>
            <w:vAlign w:val="center"/>
          </w:tcPr>
          <w:p w14:paraId="193C9718" w14:textId="77777777" w:rsidR="00562542" w:rsidRPr="00806B36" w:rsidRDefault="00562542" w:rsidP="0049704D">
            <w:pPr>
              <w:pStyle w:val="COMTableheadingrow"/>
              <w:jc w:val="center"/>
              <w:rPr>
                <w:lang w:val="en-AU"/>
              </w:rPr>
            </w:pPr>
            <w:r w:rsidRPr="00806B36">
              <w:rPr>
                <w:lang w:val="en-AU"/>
              </w:rPr>
              <w:t>Events and incidence rate</w:t>
            </w:r>
          </w:p>
        </w:tc>
      </w:tr>
      <w:tr w:rsidR="00562542" w:rsidRPr="00806B36" w14:paraId="172A81CE" w14:textId="77777777" w:rsidTr="0049704D">
        <w:tc>
          <w:tcPr>
            <w:tcW w:w="2011" w:type="dxa"/>
            <w:vMerge/>
            <w:vAlign w:val="center"/>
          </w:tcPr>
          <w:p w14:paraId="10DF74A2" w14:textId="77777777" w:rsidR="00562542" w:rsidRPr="00806B36" w:rsidRDefault="00562542" w:rsidP="0049704D">
            <w:pPr>
              <w:pStyle w:val="COMTableheadingrow"/>
              <w:rPr>
                <w:lang w:val="en-AU"/>
              </w:rPr>
            </w:pPr>
          </w:p>
        </w:tc>
        <w:tc>
          <w:tcPr>
            <w:tcW w:w="1820" w:type="dxa"/>
            <w:gridSpan w:val="2"/>
            <w:vAlign w:val="center"/>
          </w:tcPr>
          <w:p w14:paraId="678A17E2" w14:textId="77777777" w:rsidR="00562542" w:rsidRPr="00806B36" w:rsidRDefault="00562542" w:rsidP="0049704D">
            <w:pPr>
              <w:pStyle w:val="COMTableheadingrow"/>
              <w:jc w:val="center"/>
              <w:rPr>
                <w:lang w:val="en-AU"/>
              </w:rPr>
            </w:pPr>
            <w:r w:rsidRPr="00806B36">
              <w:rPr>
                <w:lang w:val="en-AU"/>
              </w:rPr>
              <w:t>KALM-1</w:t>
            </w:r>
          </w:p>
        </w:tc>
        <w:tc>
          <w:tcPr>
            <w:tcW w:w="1806" w:type="dxa"/>
            <w:gridSpan w:val="2"/>
            <w:vAlign w:val="center"/>
          </w:tcPr>
          <w:p w14:paraId="37C3194F" w14:textId="77777777" w:rsidR="00562542" w:rsidRPr="00806B36" w:rsidRDefault="00562542" w:rsidP="0049704D">
            <w:pPr>
              <w:pStyle w:val="COMTableheadingrow"/>
              <w:jc w:val="center"/>
              <w:rPr>
                <w:lang w:val="en-AU"/>
              </w:rPr>
            </w:pPr>
            <w:r w:rsidRPr="00806B36">
              <w:rPr>
                <w:lang w:val="en-AU"/>
              </w:rPr>
              <w:t>KALM-2</w:t>
            </w:r>
          </w:p>
        </w:tc>
        <w:tc>
          <w:tcPr>
            <w:tcW w:w="3380" w:type="dxa"/>
            <w:gridSpan w:val="4"/>
            <w:vAlign w:val="center"/>
          </w:tcPr>
          <w:p w14:paraId="52AECE3B" w14:textId="77777777" w:rsidR="00562542" w:rsidRPr="00806B36" w:rsidRDefault="00562542" w:rsidP="0049704D">
            <w:pPr>
              <w:pStyle w:val="COMTableheadingrow"/>
              <w:jc w:val="center"/>
              <w:rPr>
                <w:lang w:val="en-AU"/>
              </w:rPr>
            </w:pPr>
            <w:r w:rsidRPr="00806B36">
              <w:rPr>
                <w:lang w:val="en-AU"/>
              </w:rPr>
              <w:t>Pooled</w:t>
            </w:r>
          </w:p>
        </w:tc>
      </w:tr>
      <w:tr w:rsidR="00562542" w:rsidRPr="00806B36" w14:paraId="2656B509" w14:textId="77777777" w:rsidTr="0049704D">
        <w:tc>
          <w:tcPr>
            <w:tcW w:w="2011" w:type="dxa"/>
            <w:vMerge/>
          </w:tcPr>
          <w:p w14:paraId="54C2838B" w14:textId="77777777" w:rsidR="00562542" w:rsidRPr="00806B36" w:rsidRDefault="00562542" w:rsidP="0049704D">
            <w:pPr>
              <w:pStyle w:val="TableText"/>
            </w:pPr>
          </w:p>
        </w:tc>
        <w:tc>
          <w:tcPr>
            <w:tcW w:w="896" w:type="dxa"/>
            <w:vMerge w:val="restart"/>
            <w:vAlign w:val="center"/>
          </w:tcPr>
          <w:p w14:paraId="453D3ED1" w14:textId="77777777" w:rsidR="00562542" w:rsidRPr="00806B36" w:rsidRDefault="00562542" w:rsidP="0049704D">
            <w:pPr>
              <w:pStyle w:val="COMTableheadingrow"/>
              <w:jc w:val="center"/>
              <w:rPr>
                <w:lang w:val="en-AU"/>
              </w:rPr>
            </w:pPr>
            <w:r w:rsidRPr="00806B36">
              <w:rPr>
                <w:lang w:val="en-AU"/>
              </w:rPr>
              <w:t>DFK</w:t>
            </w:r>
          </w:p>
          <w:p w14:paraId="599FB12A" w14:textId="77777777" w:rsidR="00562542" w:rsidRPr="00806B36" w:rsidRDefault="00562542" w:rsidP="0049704D">
            <w:pPr>
              <w:pStyle w:val="COMTableheadingrow"/>
              <w:jc w:val="center"/>
              <w:rPr>
                <w:lang w:val="en-AU"/>
              </w:rPr>
            </w:pPr>
            <w:r w:rsidRPr="00806B36">
              <w:rPr>
                <w:lang w:val="en-AU"/>
              </w:rPr>
              <w:t>N=189</w:t>
            </w:r>
          </w:p>
        </w:tc>
        <w:tc>
          <w:tcPr>
            <w:tcW w:w="924" w:type="dxa"/>
            <w:vMerge w:val="restart"/>
            <w:vAlign w:val="center"/>
          </w:tcPr>
          <w:p w14:paraId="5E5C7EE8" w14:textId="77777777" w:rsidR="00562542" w:rsidRPr="00806B36" w:rsidRDefault="00562542" w:rsidP="0049704D">
            <w:pPr>
              <w:pStyle w:val="COMTableheadingrow"/>
              <w:jc w:val="center"/>
              <w:rPr>
                <w:lang w:val="en-AU"/>
              </w:rPr>
            </w:pPr>
            <w:r w:rsidRPr="00806B36">
              <w:rPr>
                <w:lang w:val="en-AU"/>
              </w:rPr>
              <w:t>PBO</w:t>
            </w:r>
          </w:p>
          <w:p w14:paraId="1D7D84A4" w14:textId="77777777" w:rsidR="00562542" w:rsidRPr="00806B36" w:rsidRDefault="00562542" w:rsidP="0049704D">
            <w:pPr>
              <w:pStyle w:val="COMTableheadingrow"/>
              <w:jc w:val="center"/>
              <w:rPr>
                <w:lang w:val="en-AU"/>
              </w:rPr>
            </w:pPr>
            <w:r w:rsidRPr="00806B36">
              <w:rPr>
                <w:lang w:val="en-AU"/>
              </w:rPr>
              <w:t>N=188</w:t>
            </w:r>
          </w:p>
        </w:tc>
        <w:tc>
          <w:tcPr>
            <w:tcW w:w="868" w:type="dxa"/>
            <w:vMerge w:val="restart"/>
            <w:vAlign w:val="center"/>
          </w:tcPr>
          <w:p w14:paraId="735652CE" w14:textId="77777777" w:rsidR="00562542" w:rsidRPr="00806B36" w:rsidRDefault="00562542" w:rsidP="0049704D">
            <w:pPr>
              <w:pStyle w:val="COMTableheadingrow"/>
              <w:jc w:val="center"/>
              <w:rPr>
                <w:lang w:val="en-AU"/>
              </w:rPr>
            </w:pPr>
            <w:r w:rsidRPr="00806B36">
              <w:rPr>
                <w:lang w:val="en-AU"/>
              </w:rPr>
              <w:t>DFK</w:t>
            </w:r>
          </w:p>
          <w:p w14:paraId="51B390C3" w14:textId="77777777" w:rsidR="00562542" w:rsidRPr="00806B36" w:rsidRDefault="00562542" w:rsidP="0049704D">
            <w:pPr>
              <w:pStyle w:val="COMTableheadingrow"/>
              <w:jc w:val="center"/>
              <w:rPr>
                <w:lang w:val="en-AU"/>
              </w:rPr>
            </w:pPr>
            <w:r w:rsidRPr="00806B36">
              <w:rPr>
                <w:lang w:val="en-AU"/>
              </w:rPr>
              <w:t>N=235</w:t>
            </w:r>
          </w:p>
        </w:tc>
        <w:tc>
          <w:tcPr>
            <w:tcW w:w="938" w:type="dxa"/>
            <w:vMerge w:val="restart"/>
            <w:vAlign w:val="center"/>
          </w:tcPr>
          <w:p w14:paraId="70C56047" w14:textId="77777777" w:rsidR="00562542" w:rsidRPr="00806B36" w:rsidRDefault="00562542" w:rsidP="0049704D">
            <w:pPr>
              <w:pStyle w:val="COMTableheadingrow"/>
              <w:jc w:val="center"/>
              <w:rPr>
                <w:lang w:val="en-AU"/>
              </w:rPr>
            </w:pPr>
            <w:r w:rsidRPr="00806B36">
              <w:rPr>
                <w:lang w:val="en-AU"/>
              </w:rPr>
              <w:t>PBO</w:t>
            </w:r>
          </w:p>
          <w:p w14:paraId="5F0B8305" w14:textId="77777777" w:rsidR="00562542" w:rsidRPr="00806B36" w:rsidRDefault="00562542" w:rsidP="0049704D">
            <w:pPr>
              <w:pStyle w:val="COMTableheadingrow"/>
              <w:jc w:val="center"/>
              <w:rPr>
                <w:lang w:val="en-AU"/>
              </w:rPr>
            </w:pPr>
            <w:r w:rsidRPr="00806B36">
              <w:rPr>
                <w:lang w:val="en-AU"/>
              </w:rPr>
              <w:t>N=236</w:t>
            </w:r>
          </w:p>
        </w:tc>
        <w:tc>
          <w:tcPr>
            <w:tcW w:w="1690" w:type="dxa"/>
            <w:gridSpan w:val="2"/>
            <w:vAlign w:val="center"/>
          </w:tcPr>
          <w:p w14:paraId="57AE4123" w14:textId="77777777" w:rsidR="00562542" w:rsidRPr="00806B36" w:rsidRDefault="00562542" w:rsidP="0049704D">
            <w:pPr>
              <w:pStyle w:val="COMTableheadingrow"/>
              <w:jc w:val="center"/>
              <w:rPr>
                <w:lang w:val="en-AU"/>
              </w:rPr>
            </w:pPr>
            <w:r w:rsidRPr="00806B36">
              <w:rPr>
                <w:lang w:val="en-AU"/>
              </w:rPr>
              <w:t>DFK</w:t>
            </w:r>
          </w:p>
          <w:p w14:paraId="5305D240" w14:textId="77777777" w:rsidR="00562542" w:rsidRPr="00806B36" w:rsidRDefault="00562542" w:rsidP="0049704D">
            <w:pPr>
              <w:pStyle w:val="COMTableheadingrow"/>
              <w:jc w:val="center"/>
              <w:rPr>
                <w:lang w:val="en-AU"/>
              </w:rPr>
            </w:pPr>
            <w:r w:rsidRPr="00806B36">
              <w:rPr>
                <w:lang w:val="en-AU"/>
              </w:rPr>
              <w:t>N=424</w:t>
            </w:r>
          </w:p>
        </w:tc>
        <w:tc>
          <w:tcPr>
            <w:tcW w:w="1690" w:type="dxa"/>
            <w:gridSpan w:val="2"/>
            <w:vAlign w:val="center"/>
          </w:tcPr>
          <w:p w14:paraId="215FC8BA" w14:textId="77777777" w:rsidR="00562542" w:rsidRPr="00806B36" w:rsidRDefault="00562542" w:rsidP="0049704D">
            <w:pPr>
              <w:pStyle w:val="COMTableheadingrow"/>
              <w:jc w:val="center"/>
              <w:rPr>
                <w:lang w:val="en-AU"/>
              </w:rPr>
            </w:pPr>
            <w:r w:rsidRPr="00806B36">
              <w:rPr>
                <w:lang w:val="en-AU"/>
              </w:rPr>
              <w:t>PBO</w:t>
            </w:r>
          </w:p>
          <w:p w14:paraId="72A45B7D" w14:textId="77777777" w:rsidR="00562542" w:rsidRPr="00806B36" w:rsidRDefault="00562542" w:rsidP="0049704D">
            <w:pPr>
              <w:pStyle w:val="COMTableheadingrow"/>
              <w:jc w:val="center"/>
              <w:rPr>
                <w:lang w:val="en-AU"/>
              </w:rPr>
            </w:pPr>
            <w:r w:rsidRPr="00806B36">
              <w:rPr>
                <w:lang w:val="en-AU"/>
              </w:rPr>
              <w:t>N=424</w:t>
            </w:r>
          </w:p>
        </w:tc>
      </w:tr>
      <w:tr w:rsidR="00562542" w:rsidRPr="00806B36" w14:paraId="0ADF16F1" w14:textId="77777777" w:rsidTr="0049704D">
        <w:tc>
          <w:tcPr>
            <w:tcW w:w="2011" w:type="dxa"/>
            <w:vMerge/>
          </w:tcPr>
          <w:p w14:paraId="676BE007" w14:textId="77777777" w:rsidR="00562542" w:rsidRPr="00806B36" w:rsidRDefault="00562542" w:rsidP="0049704D">
            <w:pPr>
              <w:pStyle w:val="TableText"/>
            </w:pPr>
          </w:p>
        </w:tc>
        <w:tc>
          <w:tcPr>
            <w:tcW w:w="896" w:type="dxa"/>
            <w:vMerge/>
            <w:shd w:val="clear" w:color="auto" w:fill="auto"/>
            <w:vAlign w:val="center"/>
          </w:tcPr>
          <w:p w14:paraId="307E4A81" w14:textId="77777777" w:rsidR="00562542" w:rsidRPr="00806B36" w:rsidRDefault="00562542" w:rsidP="0049704D">
            <w:pPr>
              <w:pStyle w:val="TableText"/>
              <w:jc w:val="center"/>
            </w:pPr>
          </w:p>
        </w:tc>
        <w:tc>
          <w:tcPr>
            <w:tcW w:w="924" w:type="dxa"/>
            <w:vMerge/>
            <w:shd w:val="clear" w:color="auto" w:fill="auto"/>
            <w:vAlign w:val="center"/>
          </w:tcPr>
          <w:p w14:paraId="77FD0828" w14:textId="77777777" w:rsidR="00562542" w:rsidRPr="00806B36" w:rsidRDefault="00562542" w:rsidP="0049704D">
            <w:pPr>
              <w:pStyle w:val="TableText"/>
              <w:jc w:val="center"/>
            </w:pPr>
          </w:p>
        </w:tc>
        <w:tc>
          <w:tcPr>
            <w:tcW w:w="868" w:type="dxa"/>
            <w:vMerge/>
            <w:shd w:val="clear" w:color="auto" w:fill="auto"/>
            <w:vAlign w:val="center"/>
          </w:tcPr>
          <w:p w14:paraId="412EE9CE" w14:textId="77777777" w:rsidR="00562542" w:rsidRPr="00806B36" w:rsidRDefault="00562542" w:rsidP="0049704D">
            <w:pPr>
              <w:pStyle w:val="TableText"/>
              <w:jc w:val="center"/>
            </w:pPr>
          </w:p>
        </w:tc>
        <w:tc>
          <w:tcPr>
            <w:tcW w:w="938" w:type="dxa"/>
            <w:vMerge/>
            <w:vAlign w:val="center"/>
          </w:tcPr>
          <w:p w14:paraId="3FCC66AB" w14:textId="77777777" w:rsidR="00562542" w:rsidRPr="00806B36" w:rsidRDefault="00562542" w:rsidP="0049704D">
            <w:pPr>
              <w:pStyle w:val="TableText"/>
              <w:jc w:val="center"/>
            </w:pPr>
          </w:p>
        </w:tc>
        <w:tc>
          <w:tcPr>
            <w:tcW w:w="845" w:type="dxa"/>
            <w:vAlign w:val="center"/>
          </w:tcPr>
          <w:p w14:paraId="1F8B7801" w14:textId="77777777" w:rsidR="00562542" w:rsidRPr="00806B36" w:rsidRDefault="00562542" w:rsidP="0049704D">
            <w:pPr>
              <w:pStyle w:val="TableText"/>
              <w:jc w:val="center"/>
              <w:rPr>
                <w:b/>
                <w:bCs w:val="0"/>
              </w:rPr>
            </w:pPr>
            <w:r w:rsidRPr="00806B36">
              <w:rPr>
                <w:b/>
                <w:bCs w:val="0"/>
              </w:rPr>
              <w:t>Events, n</w:t>
            </w:r>
          </w:p>
        </w:tc>
        <w:tc>
          <w:tcPr>
            <w:tcW w:w="845" w:type="dxa"/>
            <w:vAlign w:val="center"/>
          </w:tcPr>
          <w:p w14:paraId="44877596" w14:textId="77777777" w:rsidR="00562542" w:rsidRPr="00806B36" w:rsidRDefault="00562542" w:rsidP="0049704D">
            <w:pPr>
              <w:pStyle w:val="TableText"/>
              <w:jc w:val="center"/>
              <w:rPr>
                <w:b/>
                <w:bCs w:val="0"/>
              </w:rPr>
            </w:pPr>
            <w:r w:rsidRPr="00806B36">
              <w:rPr>
                <w:b/>
                <w:bCs w:val="0"/>
              </w:rPr>
              <w:t>IR/1,000 pt-yrs</w:t>
            </w:r>
          </w:p>
        </w:tc>
        <w:tc>
          <w:tcPr>
            <w:tcW w:w="845" w:type="dxa"/>
            <w:vAlign w:val="center"/>
          </w:tcPr>
          <w:p w14:paraId="1BB6D050" w14:textId="77777777" w:rsidR="00562542" w:rsidRPr="00806B36" w:rsidRDefault="00562542" w:rsidP="0049704D">
            <w:pPr>
              <w:pStyle w:val="TableText"/>
              <w:jc w:val="center"/>
              <w:rPr>
                <w:b/>
                <w:bCs w:val="0"/>
              </w:rPr>
            </w:pPr>
            <w:r w:rsidRPr="00806B36">
              <w:rPr>
                <w:b/>
                <w:bCs w:val="0"/>
              </w:rPr>
              <w:t>Events, n</w:t>
            </w:r>
          </w:p>
        </w:tc>
        <w:tc>
          <w:tcPr>
            <w:tcW w:w="845" w:type="dxa"/>
            <w:vAlign w:val="center"/>
          </w:tcPr>
          <w:p w14:paraId="4F625837" w14:textId="77777777" w:rsidR="00562542" w:rsidRPr="00806B36" w:rsidRDefault="00562542" w:rsidP="0049704D">
            <w:pPr>
              <w:pStyle w:val="TableText"/>
              <w:jc w:val="center"/>
              <w:rPr>
                <w:b/>
                <w:bCs w:val="0"/>
              </w:rPr>
            </w:pPr>
            <w:r w:rsidRPr="00806B36">
              <w:rPr>
                <w:b/>
                <w:bCs w:val="0"/>
              </w:rPr>
              <w:t>IR/1,000 pt-yrs</w:t>
            </w:r>
          </w:p>
        </w:tc>
      </w:tr>
      <w:tr w:rsidR="00562542" w:rsidRPr="00806B36" w14:paraId="2DAFAB71" w14:textId="77777777" w:rsidTr="0049704D">
        <w:tc>
          <w:tcPr>
            <w:tcW w:w="2011" w:type="dxa"/>
          </w:tcPr>
          <w:p w14:paraId="2B7FD0AD" w14:textId="77777777" w:rsidR="00562542" w:rsidRPr="00806B36" w:rsidRDefault="00562542" w:rsidP="0049704D">
            <w:pPr>
              <w:pStyle w:val="TableText"/>
            </w:pPr>
            <w:r w:rsidRPr="00806B36">
              <w:t>Any AE</w:t>
            </w:r>
          </w:p>
        </w:tc>
        <w:tc>
          <w:tcPr>
            <w:tcW w:w="896" w:type="dxa"/>
            <w:shd w:val="clear" w:color="auto" w:fill="auto"/>
            <w:vAlign w:val="center"/>
          </w:tcPr>
          <w:p w14:paraId="61754E5E" w14:textId="77777777" w:rsidR="00562542" w:rsidRPr="00806B36" w:rsidRDefault="00562542" w:rsidP="0049704D">
            <w:pPr>
              <w:pStyle w:val="TableText"/>
              <w:jc w:val="center"/>
            </w:pPr>
            <w:r w:rsidRPr="00806B36">
              <w:t>130 (68.8)</w:t>
            </w:r>
          </w:p>
        </w:tc>
        <w:tc>
          <w:tcPr>
            <w:tcW w:w="924" w:type="dxa"/>
            <w:shd w:val="clear" w:color="auto" w:fill="auto"/>
            <w:vAlign w:val="center"/>
          </w:tcPr>
          <w:p w14:paraId="6C4C5DF6" w14:textId="77777777" w:rsidR="00562542" w:rsidRPr="00806B36" w:rsidRDefault="00562542" w:rsidP="0049704D">
            <w:pPr>
              <w:pStyle w:val="TableText"/>
              <w:jc w:val="center"/>
            </w:pPr>
            <w:r w:rsidRPr="00806B36">
              <w:t>117 (62.2)</w:t>
            </w:r>
          </w:p>
        </w:tc>
        <w:tc>
          <w:tcPr>
            <w:tcW w:w="868" w:type="dxa"/>
            <w:shd w:val="clear" w:color="auto" w:fill="auto"/>
            <w:vAlign w:val="center"/>
          </w:tcPr>
          <w:p w14:paraId="48BDA333" w14:textId="77777777" w:rsidR="00562542" w:rsidRPr="00806B36" w:rsidRDefault="00562542" w:rsidP="0049704D">
            <w:pPr>
              <w:pStyle w:val="TableText"/>
              <w:jc w:val="center"/>
            </w:pPr>
            <w:r w:rsidRPr="00806B36">
              <w:t>160 (68.1)</w:t>
            </w:r>
          </w:p>
        </w:tc>
        <w:tc>
          <w:tcPr>
            <w:tcW w:w="938" w:type="dxa"/>
            <w:vAlign w:val="center"/>
          </w:tcPr>
          <w:p w14:paraId="2E2AA6AF" w14:textId="77777777" w:rsidR="00562542" w:rsidRPr="00806B36" w:rsidRDefault="00562542" w:rsidP="0049704D">
            <w:pPr>
              <w:pStyle w:val="TableText"/>
              <w:jc w:val="center"/>
            </w:pPr>
            <w:r w:rsidRPr="00806B36">
              <w:t>145 (61.4)</w:t>
            </w:r>
          </w:p>
        </w:tc>
        <w:tc>
          <w:tcPr>
            <w:tcW w:w="845" w:type="dxa"/>
            <w:vAlign w:val="center"/>
          </w:tcPr>
          <w:p w14:paraId="3549422B" w14:textId="77777777" w:rsidR="00562542" w:rsidRPr="00806B36" w:rsidRDefault="00562542" w:rsidP="0049704D">
            <w:pPr>
              <w:pStyle w:val="TableText"/>
              <w:jc w:val="center"/>
            </w:pPr>
            <w:r w:rsidRPr="00806B36">
              <w:t>302</w:t>
            </w:r>
          </w:p>
        </w:tc>
        <w:tc>
          <w:tcPr>
            <w:tcW w:w="845" w:type="dxa"/>
            <w:vAlign w:val="center"/>
          </w:tcPr>
          <w:p w14:paraId="567C471C" w14:textId="77777777" w:rsidR="00562542" w:rsidRPr="00806B36" w:rsidRDefault="00562542" w:rsidP="0049704D">
            <w:pPr>
              <w:pStyle w:val="TableText"/>
              <w:jc w:val="center"/>
            </w:pPr>
            <w:r w:rsidRPr="00806B36">
              <w:t>10,862.9</w:t>
            </w:r>
          </w:p>
        </w:tc>
        <w:tc>
          <w:tcPr>
            <w:tcW w:w="845" w:type="dxa"/>
            <w:vAlign w:val="center"/>
          </w:tcPr>
          <w:p w14:paraId="78C0CEB1" w14:textId="77777777" w:rsidR="00562542" w:rsidRPr="00806B36" w:rsidRDefault="00562542" w:rsidP="0049704D">
            <w:pPr>
              <w:pStyle w:val="TableText"/>
              <w:jc w:val="center"/>
            </w:pPr>
            <w:r w:rsidRPr="00806B36">
              <w:t>277</w:t>
            </w:r>
          </w:p>
        </w:tc>
        <w:tc>
          <w:tcPr>
            <w:tcW w:w="845" w:type="dxa"/>
            <w:vAlign w:val="center"/>
          </w:tcPr>
          <w:p w14:paraId="17C64E1F" w14:textId="77777777" w:rsidR="00562542" w:rsidRPr="00806B36" w:rsidRDefault="00562542" w:rsidP="0049704D">
            <w:pPr>
              <w:pStyle w:val="TableText"/>
              <w:jc w:val="center"/>
            </w:pPr>
            <w:r w:rsidRPr="00806B36">
              <w:t>9,597.8</w:t>
            </w:r>
          </w:p>
        </w:tc>
      </w:tr>
      <w:tr w:rsidR="00562542" w:rsidRPr="00806B36" w14:paraId="7E406149" w14:textId="77777777" w:rsidTr="0049704D">
        <w:tc>
          <w:tcPr>
            <w:tcW w:w="2011" w:type="dxa"/>
          </w:tcPr>
          <w:p w14:paraId="4750E006" w14:textId="77777777" w:rsidR="00562542" w:rsidRPr="00806B36" w:rsidRDefault="00562542" w:rsidP="0049704D">
            <w:pPr>
              <w:pStyle w:val="TableText"/>
            </w:pPr>
            <w:r w:rsidRPr="00806B36">
              <w:t>AEs leading to treatment discontinuation</w:t>
            </w:r>
          </w:p>
        </w:tc>
        <w:tc>
          <w:tcPr>
            <w:tcW w:w="896" w:type="dxa"/>
            <w:vAlign w:val="center"/>
          </w:tcPr>
          <w:p w14:paraId="04AF1515" w14:textId="77777777" w:rsidR="00562542" w:rsidRPr="00806B36" w:rsidRDefault="00562542" w:rsidP="0049704D">
            <w:pPr>
              <w:pStyle w:val="TableText"/>
              <w:jc w:val="center"/>
            </w:pPr>
            <w:r w:rsidRPr="00806B36">
              <w:t>15 (7.9)</w:t>
            </w:r>
          </w:p>
        </w:tc>
        <w:tc>
          <w:tcPr>
            <w:tcW w:w="924" w:type="dxa"/>
            <w:vAlign w:val="center"/>
          </w:tcPr>
          <w:p w14:paraId="4BC8845F" w14:textId="77777777" w:rsidR="00562542" w:rsidRPr="00806B36" w:rsidRDefault="00562542" w:rsidP="0049704D">
            <w:pPr>
              <w:pStyle w:val="TableText"/>
              <w:jc w:val="center"/>
            </w:pPr>
            <w:r w:rsidRPr="00806B36">
              <w:t>9 (4.8)</w:t>
            </w:r>
          </w:p>
        </w:tc>
        <w:tc>
          <w:tcPr>
            <w:tcW w:w="868" w:type="dxa"/>
            <w:vAlign w:val="center"/>
          </w:tcPr>
          <w:p w14:paraId="668AFDC3" w14:textId="77777777" w:rsidR="00562542" w:rsidRPr="00806B36" w:rsidRDefault="00562542" w:rsidP="0049704D">
            <w:pPr>
              <w:pStyle w:val="TableText"/>
              <w:jc w:val="center"/>
            </w:pPr>
            <w:r w:rsidRPr="00806B36">
              <w:t>13 (5.5)</w:t>
            </w:r>
          </w:p>
        </w:tc>
        <w:tc>
          <w:tcPr>
            <w:tcW w:w="938" w:type="dxa"/>
            <w:vAlign w:val="center"/>
          </w:tcPr>
          <w:p w14:paraId="7D360617" w14:textId="77777777" w:rsidR="00562542" w:rsidRPr="00806B36" w:rsidRDefault="00562542" w:rsidP="0049704D">
            <w:pPr>
              <w:pStyle w:val="TableText"/>
              <w:jc w:val="center"/>
            </w:pPr>
            <w:r w:rsidRPr="00806B36">
              <w:t>8 (3.4)</w:t>
            </w:r>
          </w:p>
        </w:tc>
        <w:tc>
          <w:tcPr>
            <w:tcW w:w="845" w:type="dxa"/>
            <w:vAlign w:val="center"/>
          </w:tcPr>
          <w:p w14:paraId="1C94A1E9" w14:textId="77777777" w:rsidR="00562542" w:rsidRPr="00806B36" w:rsidRDefault="00562542" w:rsidP="0049704D">
            <w:pPr>
              <w:pStyle w:val="TableText"/>
              <w:jc w:val="center"/>
            </w:pPr>
            <w:r w:rsidRPr="00806B36">
              <w:t>29</w:t>
            </w:r>
          </w:p>
        </w:tc>
        <w:tc>
          <w:tcPr>
            <w:tcW w:w="845" w:type="dxa"/>
            <w:vAlign w:val="center"/>
          </w:tcPr>
          <w:p w14:paraId="0D141D5F" w14:textId="77777777" w:rsidR="00562542" w:rsidRPr="00806B36" w:rsidRDefault="00562542" w:rsidP="0049704D">
            <w:pPr>
              <w:pStyle w:val="TableText"/>
              <w:jc w:val="center"/>
            </w:pPr>
            <w:r w:rsidRPr="00806B36">
              <w:t>428.4</w:t>
            </w:r>
          </w:p>
        </w:tc>
        <w:tc>
          <w:tcPr>
            <w:tcW w:w="845" w:type="dxa"/>
            <w:vAlign w:val="center"/>
          </w:tcPr>
          <w:p w14:paraId="57B7820D" w14:textId="77777777" w:rsidR="00562542" w:rsidRPr="00806B36" w:rsidRDefault="00562542" w:rsidP="0049704D">
            <w:pPr>
              <w:pStyle w:val="TableText"/>
              <w:jc w:val="center"/>
            </w:pPr>
            <w:r w:rsidRPr="00806B36">
              <w:t>29</w:t>
            </w:r>
          </w:p>
        </w:tc>
        <w:tc>
          <w:tcPr>
            <w:tcW w:w="845" w:type="dxa"/>
            <w:vAlign w:val="center"/>
          </w:tcPr>
          <w:p w14:paraId="360523EF" w14:textId="77777777" w:rsidR="00562542" w:rsidRPr="00806B36" w:rsidRDefault="00562542" w:rsidP="0049704D">
            <w:pPr>
              <w:pStyle w:val="TableText"/>
              <w:jc w:val="center"/>
            </w:pPr>
            <w:r w:rsidRPr="00806B36">
              <w:t>428.4</w:t>
            </w:r>
          </w:p>
        </w:tc>
      </w:tr>
      <w:tr w:rsidR="00562542" w:rsidRPr="00806B36" w14:paraId="11B0470D" w14:textId="77777777" w:rsidTr="0049704D">
        <w:tc>
          <w:tcPr>
            <w:tcW w:w="2011" w:type="dxa"/>
          </w:tcPr>
          <w:p w14:paraId="06E12915" w14:textId="77777777" w:rsidR="00562542" w:rsidRPr="00806B36" w:rsidRDefault="00562542" w:rsidP="0049704D">
            <w:pPr>
              <w:pStyle w:val="TableText"/>
            </w:pPr>
            <w:r w:rsidRPr="00806B36">
              <w:t>AEs leading to study drug interruption</w:t>
            </w:r>
          </w:p>
        </w:tc>
        <w:tc>
          <w:tcPr>
            <w:tcW w:w="896" w:type="dxa"/>
            <w:vAlign w:val="center"/>
          </w:tcPr>
          <w:p w14:paraId="06F1ABFA" w14:textId="77777777" w:rsidR="00562542" w:rsidRPr="00806B36" w:rsidRDefault="00562542" w:rsidP="0049704D">
            <w:pPr>
              <w:pStyle w:val="TableText"/>
              <w:jc w:val="center"/>
            </w:pPr>
            <w:r w:rsidRPr="00806B36">
              <w:t>26 (13.8)</w:t>
            </w:r>
          </w:p>
        </w:tc>
        <w:tc>
          <w:tcPr>
            <w:tcW w:w="924" w:type="dxa"/>
            <w:vAlign w:val="center"/>
          </w:tcPr>
          <w:p w14:paraId="005F42C8" w14:textId="77777777" w:rsidR="00562542" w:rsidRPr="00806B36" w:rsidRDefault="00562542" w:rsidP="0049704D">
            <w:pPr>
              <w:pStyle w:val="TableText"/>
              <w:jc w:val="center"/>
            </w:pPr>
            <w:r w:rsidRPr="00806B36">
              <w:t>17 (9.0)</w:t>
            </w:r>
          </w:p>
        </w:tc>
        <w:tc>
          <w:tcPr>
            <w:tcW w:w="868" w:type="dxa"/>
            <w:vAlign w:val="center"/>
          </w:tcPr>
          <w:p w14:paraId="6191A588" w14:textId="77777777" w:rsidR="00562542" w:rsidRPr="00806B36" w:rsidRDefault="00562542" w:rsidP="0049704D">
            <w:pPr>
              <w:pStyle w:val="TableText"/>
              <w:jc w:val="center"/>
            </w:pPr>
            <w:r w:rsidRPr="00806B36">
              <w:t>22 (9.4)</w:t>
            </w:r>
          </w:p>
        </w:tc>
        <w:tc>
          <w:tcPr>
            <w:tcW w:w="938" w:type="dxa"/>
            <w:vAlign w:val="center"/>
          </w:tcPr>
          <w:p w14:paraId="2B883910" w14:textId="77777777" w:rsidR="00562542" w:rsidRPr="00806B36" w:rsidRDefault="00562542" w:rsidP="0049704D">
            <w:pPr>
              <w:pStyle w:val="TableText"/>
              <w:jc w:val="center"/>
            </w:pPr>
            <w:r w:rsidRPr="00806B36">
              <w:t>11 (4.7)</w:t>
            </w:r>
          </w:p>
        </w:tc>
        <w:tc>
          <w:tcPr>
            <w:tcW w:w="845" w:type="dxa"/>
            <w:vAlign w:val="center"/>
          </w:tcPr>
          <w:p w14:paraId="2401D6D5" w14:textId="77777777" w:rsidR="00562542" w:rsidRPr="00806B36" w:rsidRDefault="00562542" w:rsidP="0049704D">
            <w:pPr>
              <w:pStyle w:val="TableText"/>
              <w:jc w:val="center"/>
            </w:pPr>
            <w:r w:rsidRPr="00806B36">
              <w:t>NR</w:t>
            </w:r>
          </w:p>
        </w:tc>
        <w:tc>
          <w:tcPr>
            <w:tcW w:w="845" w:type="dxa"/>
            <w:vAlign w:val="center"/>
          </w:tcPr>
          <w:p w14:paraId="759B6FCF" w14:textId="77777777" w:rsidR="00562542" w:rsidRPr="00806B36" w:rsidRDefault="00562542" w:rsidP="0049704D">
            <w:pPr>
              <w:pStyle w:val="TableText"/>
              <w:jc w:val="center"/>
            </w:pPr>
            <w:r w:rsidRPr="00806B36">
              <w:t>NR</w:t>
            </w:r>
          </w:p>
        </w:tc>
        <w:tc>
          <w:tcPr>
            <w:tcW w:w="845" w:type="dxa"/>
            <w:vAlign w:val="center"/>
          </w:tcPr>
          <w:p w14:paraId="671D4E82" w14:textId="77777777" w:rsidR="00562542" w:rsidRPr="00806B36" w:rsidRDefault="00562542" w:rsidP="0049704D">
            <w:pPr>
              <w:pStyle w:val="TableText"/>
              <w:jc w:val="center"/>
            </w:pPr>
            <w:r w:rsidRPr="00806B36">
              <w:t>NR</w:t>
            </w:r>
          </w:p>
        </w:tc>
        <w:tc>
          <w:tcPr>
            <w:tcW w:w="845" w:type="dxa"/>
            <w:vAlign w:val="center"/>
          </w:tcPr>
          <w:p w14:paraId="6A59CA3C" w14:textId="77777777" w:rsidR="00562542" w:rsidRPr="00806B36" w:rsidRDefault="00562542" w:rsidP="0049704D">
            <w:pPr>
              <w:pStyle w:val="TableText"/>
              <w:jc w:val="center"/>
            </w:pPr>
            <w:r w:rsidRPr="00806B36">
              <w:t>NR</w:t>
            </w:r>
          </w:p>
        </w:tc>
      </w:tr>
      <w:tr w:rsidR="00562542" w:rsidRPr="00806B36" w14:paraId="79964DAE" w14:textId="77777777" w:rsidTr="0049704D">
        <w:tc>
          <w:tcPr>
            <w:tcW w:w="2011" w:type="dxa"/>
          </w:tcPr>
          <w:p w14:paraId="32A27CBD" w14:textId="77777777" w:rsidR="00562542" w:rsidRPr="00806B36" w:rsidRDefault="00562542" w:rsidP="0049704D">
            <w:pPr>
              <w:pStyle w:val="TableText"/>
            </w:pPr>
            <w:r w:rsidRPr="00806B36">
              <w:t>Serious AE</w:t>
            </w:r>
          </w:p>
        </w:tc>
        <w:tc>
          <w:tcPr>
            <w:tcW w:w="896" w:type="dxa"/>
            <w:vAlign w:val="center"/>
          </w:tcPr>
          <w:p w14:paraId="1E982F49" w14:textId="77777777" w:rsidR="00562542" w:rsidRPr="00806B36" w:rsidRDefault="00562542" w:rsidP="0049704D">
            <w:pPr>
              <w:pStyle w:val="TableText"/>
              <w:jc w:val="center"/>
            </w:pPr>
            <w:r w:rsidRPr="00806B36">
              <w:t>49 (25.9)</w:t>
            </w:r>
          </w:p>
        </w:tc>
        <w:tc>
          <w:tcPr>
            <w:tcW w:w="924" w:type="dxa"/>
            <w:vAlign w:val="center"/>
          </w:tcPr>
          <w:p w14:paraId="4F5AC814" w14:textId="77777777" w:rsidR="00562542" w:rsidRPr="00806B36" w:rsidRDefault="00562542" w:rsidP="0049704D">
            <w:pPr>
              <w:pStyle w:val="TableText"/>
              <w:jc w:val="center"/>
            </w:pPr>
            <w:r w:rsidRPr="00806B36">
              <w:t>41 (21.8)</w:t>
            </w:r>
          </w:p>
        </w:tc>
        <w:tc>
          <w:tcPr>
            <w:tcW w:w="868" w:type="dxa"/>
            <w:vAlign w:val="center"/>
          </w:tcPr>
          <w:p w14:paraId="68BA88D2" w14:textId="77777777" w:rsidR="00562542" w:rsidRPr="00806B36" w:rsidRDefault="00562542" w:rsidP="0049704D">
            <w:pPr>
              <w:pStyle w:val="TableText"/>
              <w:jc w:val="center"/>
            </w:pPr>
            <w:r w:rsidRPr="00806B36">
              <w:t>58 (24.7)</w:t>
            </w:r>
          </w:p>
        </w:tc>
        <w:tc>
          <w:tcPr>
            <w:tcW w:w="938" w:type="dxa"/>
            <w:vAlign w:val="center"/>
          </w:tcPr>
          <w:p w14:paraId="571FCD29" w14:textId="77777777" w:rsidR="00562542" w:rsidRPr="00806B36" w:rsidRDefault="00562542" w:rsidP="0049704D">
            <w:pPr>
              <w:pStyle w:val="TableText"/>
              <w:jc w:val="center"/>
            </w:pPr>
            <w:r w:rsidRPr="00806B36">
              <w:t>51 (21.6)</w:t>
            </w:r>
          </w:p>
        </w:tc>
        <w:tc>
          <w:tcPr>
            <w:tcW w:w="845" w:type="dxa"/>
            <w:vAlign w:val="center"/>
          </w:tcPr>
          <w:p w14:paraId="7A0E74CF" w14:textId="77777777" w:rsidR="00562542" w:rsidRPr="00806B36" w:rsidRDefault="00562542" w:rsidP="0049704D">
            <w:pPr>
              <w:pStyle w:val="TableText"/>
              <w:jc w:val="center"/>
            </w:pPr>
            <w:r w:rsidRPr="00806B36">
              <w:t>107</w:t>
            </w:r>
          </w:p>
        </w:tc>
        <w:tc>
          <w:tcPr>
            <w:tcW w:w="845" w:type="dxa"/>
            <w:vAlign w:val="center"/>
          </w:tcPr>
          <w:p w14:paraId="17A41E04" w14:textId="77777777" w:rsidR="00562542" w:rsidRPr="00806B36" w:rsidRDefault="00562542" w:rsidP="0049704D">
            <w:pPr>
              <w:pStyle w:val="TableText"/>
              <w:jc w:val="center"/>
            </w:pPr>
            <w:r w:rsidRPr="00806B36">
              <w:t>2,040</w:t>
            </w:r>
          </w:p>
        </w:tc>
        <w:tc>
          <w:tcPr>
            <w:tcW w:w="845" w:type="dxa"/>
            <w:vAlign w:val="center"/>
          </w:tcPr>
          <w:p w14:paraId="0E2039D3" w14:textId="77777777" w:rsidR="00562542" w:rsidRPr="00806B36" w:rsidRDefault="00562542" w:rsidP="0049704D">
            <w:pPr>
              <w:pStyle w:val="TableText"/>
              <w:jc w:val="center"/>
            </w:pPr>
            <w:r w:rsidRPr="00806B36">
              <w:t>96</w:t>
            </w:r>
          </w:p>
        </w:tc>
        <w:tc>
          <w:tcPr>
            <w:tcW w:w="845" w:type="dxa"/>
            <w:vAlign w:val="center"/>
          </w:tcPr>
          <w:p w14:paraId="05571A3D" w14:textId="77777777" w:rsidR="00562542" w:rsidRPr="00806B36" w:rsidRDefault="00562542" w:rsidP="0049704D">
            <w:pPr>
              <w:pStyle w:val="TableText"/>
              <w:jc w:val="center"/>
            </w:pPr>
            <w:r w:rsidRPr="00806B36">
              <w:t>1,860.2</w:t>
            </w:r>
          </w:p>
        </w:tc>
      </w:tr>
      <w:tr w:rsidR="00562542" w:rsidRPr="00806B36" w14:paraId="4DE50709" w14:textId="77777777" w:rsidTr="0049704D">
        <w:tc>
          <w:tcPr>
            <w:tcW w:w="2011" w:type="dxa"/>
          </w:tcPr>
          <w:p w14:paraId="162EFCE8" w14:textId="77777777" w:rsidR="00562542" w:rsidRPr="00806B36" w:rsidRDefault="00562542" w:rsidP="0049704D">
            <w:pPr>
              <w:pStyle w:val="TableText"/>
            </w:pPr>
            <w:r w:rsidRPr="00806B36">
              <w:t>Deaths</w:t>
            </w:r>
          </w:p>
        </w:tc>
        <w:tc>
          <w:tcPr>
            <w:tcW w:w="896" w:type="dxa"/>
            <w:vAlign w:val="center"/>
          </w:tcPr>
          <w:p w14:paraId="23A90AF4" w14:textId="77777777" w:rsidR="00562542" w:rsidRPr="00806B36" w:rsidRDefault="00562542" w:rsidP="0049704D">
            <w:pPr>
              <w:pStyle w:val="TableText"/>
              <w:jc w:val="center"/>
            </w:pPr>
            <w:r w:rsidRPr="00806B36">
              <w:t>2 (1.1)</w:t>
            </w:r>
          </w:p>
        </w:tc>
        <w:tc>
          <w:tcPr>
            <w:tcW w:w="924" w:type="dxa"/>
            <w:vAlign w:val="center"/>
          </w:tcPr>
          <w:p w14:paraId="2715EEBC" w14:textId="77777777" w:rsidR="00562542" w:rsidRPr="00806B36" w:rsidRDefault="00562542" w:rsidP="0049704D">
            <w:pPr>
              <w:pStyle w:val="TableText"/>
              <w:jc w:val="center"/>
            </w:pPr>
            <w:r w:rsidRPr="00806B36">
              <w:t>2 (1.1)</w:t>
            </w:r>
          </w:p>
        </w:tc>
        <w:tc>
          <w:tcPr>
            <w:tcW w:w="868" w:type="dxa"/>
            <w:vAlign w:val="center"/>
          </w:tcPr>
          <w:p w14:paraId="0F746FB3" w14:textId="77777777" w:rsidR="00562542" w:rsidRPr="00806B36" w:rsidRDefault="00562542" w:rsidP="0049704D">
            <w:pPr>
              <w:pStyle w:val="TableText"/>
              <w:jc w:val="center"/>
            </w:pPr>
            <w:r w:rsidRPr="00806B36">
              <w:t>2 (0.9)</w:t>
            </w:r>
          </w:p>
        </w:tc>
        <w:tc>
          <w:tcPr>
            <w:tcW w:w="938" w:type="dxa"/>
            <w:vAlign w:val="center"/>
          </w:tcPr>
          <w:p w14:paraId="00EDF1DC" w14:textId="77777777" w:rsidR="00562542" w:rsidRPr="00806B36" w:rsidRDefault="00562542" w:rsidP="0049704D">
            <w:pPr>
              <w:pStyle w:val="TableText"/>
              <w:jc w:val="center"/>
            </w:pPr>
            <w:r w:rsidRPr="00806B36">
              <w:t>2 (0.8)</w:t>
            </w:r>
          </w:p>
        </w:tc>
        <w:tc>
          <w:tcPr>
            <w:tcW w:w="845" w:type="dxa"/>
            <w:vAlign w:val="center"/>
          </w:tcPr>
          <w:p w14:paraId="43643181" w14:textId="77777777" w:rsidR="00562542" w:rsidRPr="00806B36" w:rsidRDefault="00562542" w:rsidP="0049704D">
            <w:pPr>
              <w:pStyle w:val="TableText"/>
              <w:jc w:val="center"/>
              <w:rPr>
                <w:vertAlign w:val="superscript"/>
              </w:rPr>
            </w:pPr>
            <w:r w:rsidRPr="00806B36">
              <w:t xml:space="preserve">3 </w:t>
            </w:r>
            <w:r w:rsidRPr="00806B36">
              <w:rPr>
                <w:vertAlign w:val="superscript"/>
              </w:rPr>
              <w:t>a</w:t>
            </w:r>
          </w:p>
        </w:tc>
        <w:tc>
          <w:tcPr>
            <w:tcW w:w="845" w:type="dxa"/>
            <w:vAlign w:val="center"/>
          </w:tcPr>
          <w:p w14:paraId="75CBFE9F" w14:textId="77777777" w:rsidR="00562542" w:rsidRPr="00806B36" w:rsidRDefault="00562542" w:rsidP="0049704D">
            <w:pPr>
              <w:pStyle w:val="TableText"/>
              <w:jc w:val="center"/>
              <w:rPr>
                <w:vertAlign w:val="superscript"/>
              </w:rPr>
            </w:pPr>
            <w:r w:rsidRPr="00806B36">
              <w:t xml:space="preserve">30.6 </w:t>
            </w:r>
            <w:r w:rsidRPr="00806B36">
              <w:rPr>
                <w:vertAlign w:val="superscript"/>
              </w:rPr>
              <w:t>a</w:t>
            </w:r>
          </w:p>
        </w:tc>
        <w:tc>
          <w:tcPr>
            <w:tcW w:w="845" w:type="dxa"/>
            <w:vAlign w:val="center"/>
          </w:tcPr>
          <w:p w14:paraId="2DF4207C" w14:textId="77777777" w:rsidR="00562542" w:rsidRPr="00806B36" w:rsidRDefault="00562542" w:rsidP="0049704D">
            <w:pPr>
              <w:pStyle w:val="TableText"/>
              <w:jc w:val="center"/>
              <w:rPr>
                <w:vertAlign w:val="superscript"/>
              </w:rPr>
            </w:pPr>
            <w:r w:rsidRPr="00806B36">
              <w:t xml:space="preserve">5 </w:t>
            </w:r>
            <w:r w:rsidRPr="00806B36">
              <w:rPr>
                <w:vertAlign w:val="superscript"/>
              </w:rPr>
              <w:t>a</w:t>
            </w:r>
          </w:p>
        </w:tc>
        <w:tc>
          <w:tcPr>
            <w:tcW w:w="845" w:type="dxa"/>
            <w:vAlign w:val="center"/>
          </w:tcPr>
          <w:p w14:paraId="098EFF4E" w14:textId="77777777" w:rsidR="00562542" w:rsidRPr="00806B36" w:rsidRDefault="00562542" w:rsidP="0049704D">
            <w:pPr>
              <w:pStyle w:val="TableText"/>
              <w:jc w:val="center"/>
            </w:pPr>
            <w:r w:rsidRPr="00806B36">
              <w:t xml:space="preserve">49.5 </w:t>
            </w:r>
            <w:r w:rsidRPr="00806B36">
              <w:rPr>
                <w:vertAlign w:val="superscript"/>
              </w:rPr>
              <w:t>a</w:t>
            </w:r>
          </w:p>
        </w:tc>
      </w:tr>
      <w:tr w:rsidR="00562542" w:rsidRPr="00806B36" w14:paraId="04B1B3DD" w14:textId="77777777" w:rsidTr="0049704D">
        <w:tc>
          <w:tcPr>
            <w:tcW w:w="9017" w:type="dxa"/>
            <w:gridSpan w:val="9"/>
          </w:tcPr>
          <w:p w14:paraId="664BCAD8" w14:textId="77777777" w:rsidR="00562542" w:rsidRPr="00806B36" w:rsidRDefault="00562542" w:rsidP="0049704D">
            <w:pPr>
              <w:pStyle w:val="COMtablefigcaption"/>
              <w:rPr>
                <w:vertAlign w:val="superscript"/>
              </w:rPr>
            </w:pPr>
            <w:r w:rsidRPr="00806B36">
              <w:t xml:space="preserve">Most common adverse events (falls, dizziness, somnolence and mental status changes are reported under adverse events of special interest below) </w:t>
            </w:r>
            <w:r w:rsidRPr="00806B36">
              <w:rPr>
                <w:b w:val="0"/>
                <w:bCs w:val="0"/>
                <w:vertAlign w:val="superscript"/>
              </w:rPr>
              <w:t>b</w:t>
            </w:r>
          </w:p>
        </w:tc>
      </w:tr>
      <w:tr w:rsidR="00562542" w:rsidRPr="00806B36" w14:paraId="306A0881" w14:textId="77777777" w:rsidTr="0049704D">
        <w:tc>
          <w:tcPr>
            <w:tcW w:w="2011" w:type="dxa"/>
          </w:tcPr>
          <w:p w14:paraId="304DCE46" w14:textId="77777777" w:rsidR="00562542" w:rsidRPr="00806B36" w:rsidRDefault="00562542" w:rsidP="0049704D">
            <w:pPr>
              <w:pStyle w:val="TableText"/>
            </w:pPr>
            <w:r w:rsidRPr="00806B36">
              <w:t>Diarrhoea</w:t>
            </w:r>
          </w:p>
        </w:tc>
        <w:tc>
          <w:tcPr>
            <w:tcW w:w="896" w:type="dxa"/>
          </w:tcPr>
          <w:p w14:paraId="33EF149E" w14:textId="77777777" w:rsidR="00562542" w:rsidRPr="00806B36" w:rsidRDefault="00562542" w:rsidP="0049704D">
            <w:pPr>
              <w:pStyle w:val="TableText"/>
              <w:jc w:val="center"/>
            </w:pPr>
            <w:r w:rsidRPr="00806B36">
              <w:t>18 (9.5)</w:t>
            </w:r>
          </w:p>
        </w:tc>
        <w:tc>
          <w:tcPr>
            <w:tcW w:w="924" w:type="dxa"/>
          </w:tcPr>
          <w:p w14:paraId="75F6CC49" w14:textId="77777777" w:rsidR="00562542" w:rsidRPr="00806B36" w:rsidRDefault="00562542" w:rsidP="0049704D">
            <w:pPr>
              <w:pStyle w:val="TableText"/>
              <w:jc w:val="center"/>
            </w:pPr>
            <w:r w:rsidRPr="00806B36">
              <w:t>7 (3.7)</w:t>
            </w:r>
          </w:p>
        </w:tc>
        <w:tc>
          <w:tcPr>
            <w:tcW w:w="868" w:type="dxa"/>
          </w:tcPr>
          <w:p w14:paraId="1807F306" w14:textId="77777777" w:rsidR="00562542" w:rsidRPr="00806B36" w:rsidRDefault="00562542" w:rsidP="0049704D">
            <w:pPr>
              <w:pStyle w:val="TableText"/>
              <w:jc w:val="center"/>
            </w:pPr>
            <w:r w:rsidRPr="00806B36">
              <w:t>19 (8.1)</w:t>
            </w:r>
          </w:p>
        </w:tc>
        <w:tc>
          <w:tcPr>
            <w:tcW w:w="938" w:type="dxa"/>
          </w:tcPr>
          <w:p w14:paraId="0402F33E" w14:textId="77777777" w:rsidR="00562542" w:rsidRPr="00806B36" w:rsidRDefault="00562542" w:rsidP="0049704D">
            <w:pPr>
              <w:pStyle w:val="TableText"/>
              <w:jc w:val="center"/>
            </w:pPr>
            <w:r w:rsidRPr="00806B36">
              <w:t>13 (5.5)</w:t>
            </w:r>
          </w:p>
        </w:tc>
        <w:tc>
          <w:tcPr>
            <w:tcW w:w="845" w:type="dxa"/>
            <w:vAlign w:val="center"/>
          </w:tcPr>
          <w:p w14:paraId="003A3EA2" w14:textId="77777777" w:rsidR="00562542" w:rsidRPr="00806B36" w:rsidRDefault="00562542" w:rsidP="0049704D">
            <w:pPr>
              <w:pStyle w:val="TableText"/>
              <w:jc w:val="center"/>
            </w:pPr>
            <w:r w:rsidRPr="00806B36">
              <w:t>38</w:t>
            </w:r>
          </w:p>
        </w:tc>
        <w:tc>
          <w:tcPr>
            <w:tcW w:w="845" w:type="dxa"/>
            <w:vAlign w:val="center"/>
          </w:tcPr>
          <w:p w14:paraId="55818DAA" w14:textId="77777777" w:rsidR="00562542" w:rsidRPr="00806B36" w:rsidRDefault="00562542" w:rsidP="0049704D">
            <w:pPr>
              <w:pStyle w:val="TableText"/>
              <w:jc w:val="center"/>
            </w:pPr>
            <w:r w:rsidRPr="00806B36">
              <w:t>469.2</w:t>
            </w:r>
          </w:p>
        </w:tc>
        <w:tc>
          <w:tcPr>
            <w:tcW w:w="845" w:type="dxa"/>
            <w:vAlign w:val="center"/>
          </w:tcPr>
          <w:p w14:paraId="6624912B" w14:textId="77777777" w:rsidR="00562542" w:rsidRPr="00806B36" w:rsidRDefault="00562542" w:rsidP="0049704D">
            <w:pPr>
              <w:pStyle w:val="TableText"/>
              <w:jc w:val="center"/>
            </w:pPr>
            <w:r w:rsidRPr="00806B36">
              <w:t>24</w:t>
            </w:r>
          </w:p>
        </w:tc>
        <w:tc>
          <w:tcPr>
            <w:tcW w:w="845" w:type="dxa"/>
            <w:vAlign w:val="center"/>
          </w:tcPr>
          <w:p w14:paraId="23E201C1" w14:textId="77777777" w:rsidR="00562542" w:rsidRPr="00806B36" w:rsidRDefault="00562542" w:rsidP="0049704D">
            <w:pPr>
              <w:pStyle w:val="TableText"/>
              <w:jc w:val="center"/>
            </w:pPr>
            <w:r w:rsidRPr="00806B36">
              <w:t>267.2</w:t>
            </w:r>
          </w:p>
        </w:tc>
      </w:tr>
      <w:tr w:rsidR="00562542" w:rsidRPr="00806B36" w14:paraId="4B7956F7" w14:textId="77777777" w:rsidTr="0049704D">
        <w:tc>
          <w:tcPr>
            <w:tcW w:w="2011" w:type="dxa"/>
          </w:tcPr>
          <w:p w14:paraId="6ED509F6" w14:textId="77777777" w:rsidR="00562542" w:rsidRPr="00806B36" w:rsidRDefault="00562542" w:rsidP="0049704D">
            <w:pPr>
              <w:pStyle w:val="TableText"/>
            </w:pPr>
            <w:r w:rsidRPr="00806B36">
              <w:t>Vomiting</w:t>
            </w:r>
          </w:p>
        </w:tc>
        <w:tc>
          <w:tcPr>
            <w:tcW w:w="896" w:type="dxa"/>
          </w:tcPr>
          <w:p w14:paraId="7DEC1F0B" w14:textId="77777777" w:rsidR="00562542" w:rsidRPr="00806B36" w:rsidRDefault="00562542" w:rsidP="0049704D">
            <w:pPr>
              <w:pStyle w:val="TableText"/>
              <w:jc w:val="center"/>
            </w:pPr>
            <w:r w:rsidRPr="00806B36">
              <w:t>10 (5.3)</w:t>
            </w:r>
          </w:p>
        </w:tc>
        <w:tc>
          <w:tcPr>
            <w:tcW w:w="924" w:type="dxa"/>
          </w:tcPr>
          <w:p w14:paraId="666FF2CA" w14:textId="77777777" w:rsidR="00562542" w:rsidRPr="00806B36" w:rsidRDefault="00562542" w:rsidP="0049704D">
            <w:pPr>
              <w:pStyle w:val="TableText"/>
              <w:jc w:val="center"/>
            </w:pPr>
            <w:r w:rsidRPr="00806B36">
              <w:t>6 (3.2)</w:t>
            </w:r>
          </w:p>
        </w:tc>
        <w:tc>
          <w:tcPr>
            <w:tcW w:w="868" w:type="dxa"/>
          </w:tcPr>
          <w:p w14:paraId="6FC20AB8" w14:textId="77777777" w:rsidR="00562542" w:rsidRPr="00806B36" w:rsidRDefault="00562542" w:rsidP="0049704D">
            <w:pPr>
              <w:pStyle w:val="TableText"/>
              <w:jc w:val="center"/>
            </w:pPr>
            <w:r w:rsidRPr="00806B36">
              <w:t>15 (6.4)</w:t>
            </w:r>
          </w:p>
        </w:tc>
        <w:tc>
          <w:tcPr>
            <w:tcW w:w="938" w:type="dxa"/>
          </w:tcPr>
          <w:p w14:paraId="02221ECC" w14:textId="77777777" w:rsidR="00562542" w:rsidRPr="00806B36" w:rsidRDefault="00562542" w:rsidP="0049704D">
            <w:pPr>
              <w:pStyle w:val="TableText"/>
              <w:jc w:val="center"/>
            </w:pPr>
            <w:r w:rsidRPr="00806B36">
              <w:t>14 (5.9)</w:t>
            </w:r>
          </w:p>
        </w:tc>
        <w:tc>
          <w:tcPr>
            <w:tcW w:w="845" w:type="dxa"/>
            <w:vAlign w:val="center"/>
          </w:tcPr>
          <w:p w14:paraId="72042597" w14:textId="77777777" w:rsidR="00562542" w:rsidRPr="00806B36" w:rsidRDefault="00562542" w:rsidP="0049704D">
            <w:pPr>
              <w:pStyle w:val="TableText"/>
              <w:jc w:val="center"/>
            </w:pPr>
            <w:r w:rsidRPr="00806B36">
              <w:t>NR</w:t>
            </w:r>
          </w:p>
        </w:tc>
        <w:tc>
          <w:tcPr>
            <w:tcW w:w="845" w:type="dxa"/>
            <w:vAlign w:val="center"/>
          </w:tcPr>
          <w:p w14:paraId="2422F584" w14:textId="77777777" w:rsidR="00562542" w:rsidRPr="00806B36" w:rsidRDefault="00562542" w:rsidP="0049704D">
            <w:pPr>
              <w:pStyle w:val="TableText"/>
              <w:jc w:val="center"/>
            </w:pPr>
            <w:r w:rsidRPr="00806B36">
              <w:t>NR</w:t>
            </w:r>
          </w:p>
        </w:tc>
        <w:tc>
          <w:tcPr>
            <w:tcW w:w="845" w:type="dxa"/>
            <w:vAlign w:val="center"/>
          </w:tcPr>
          <w:p w14:paraId="6C318378" w14:textId="77777777" w:rsidR="00562542" w:rsidRPr="00806B36" w:rsidRDefault="00562542" w:rsidP="0049704D">
            <w:pPr>
              <w:pStyle w:val="TableText"/>
              <w:jc w:val="center"/>
            </w:pPr>
            <w:r w:rsidRPr="00806B36">
              <w:t>NR</w:t>
            </w:r>
          </w:p>
        </w:tc>
        <w:tc>
          <w:tcPr>
            <w:tcW w:w="845" w:type="dxa"/>
            <w:vAlign w:val="center"/>
          </w:tcPr>
          <w:p w14:paraId="428D8D7A" w14:textId="77777777" w:rsidR="00562542" w:rsidRPr="00806B36" w:rsidRDefault="00562542" w:rsidP="0049704D">
            <w:pPr>
              <w:pStyle w:val="TableText"/>
              <w:jc w:val="center"/>
            </w:pPr>
            <w:r w:rsidRPr="00806B36">
              <w:t>NR</w:t>
            </w:r>
          </w:p>
        </w:tc>
      </w:tr>
      <w:tr w:rsidR="00562542" w:rsidRPr="00806B36" w14:paraId="2E153B96" w14:textId="77777777" w:rsidTr="0049704D">
        <w:tc>
          <w:tcPr>
            <w:tcW w:w="2011" w:type="dxa"/>
          </w:tcPr>
          <w:p w14:paraId="090A0CD0" w14:textId="77777777" w:rsidR="00562542" w:rsidRPr="00806B36" w:rsidRDefault="00562542" w:rsidP="0049704D">
            <w:pPr>
              <w:pStyle w:val="TableText"/>
            </w:pPr>
            <w:r w:rsidRPr="00806B36">
              <w:t>Nausea</w:t>
            </w:r>
          </w:p>
        </w:tc>
        <w:tc>
          <w:tcPr>
            <w:tcW w:w="896" w:type="dxa"/>
          </w:tcPr>
          <w:p w14:paraId="619A3B30" w14:textId="77777777" w:rsidR="00562542" w:rsidRPr="00806B36" w:rsidRDefault="00562542" w:rsidP="0049704D">
            <w:pPr>
              <w:pStyle w:val="TableText"/>
              <w:jc w:val="center"/>
            </w:pPr>
            <w:r w:rsidRPr="00806B36">
              <w:t>6 (3.2)</w:t>
            </w:r>
          </w:p>
        </w:tc>
        <w:tc>
          <w:tcPr>
            <w:tcW w:w="924" w:type="dxa"/>
          </w:tcPr>
          <w:p w14:paraId="74DD800B" w14:textId="77777777" w:rsidR="00562542" w:rsidRPr="00806B36" w:rsidRDefault="00562542" w:rsidP="0049704D">
            <w:pPr>
              <w:pStyle w:val="TableText"/>
              <w:jc w:val="center"/>
            </w:pPr>
            <w:r w:rsidRPr="00806B36">
              <w:t>9 (4.8)</w:t>
            </w:r>
          </w:p>
        </w:tc>
        <w:tc>
          <w:tcPr>
            <w:tcW w:w="868" w:type="dxa"/>
          </w:tcPr>
          <w:p w14:paraId="70861D81" w14:textId="77777777" w:rsidR="00562542" w:rsidRPr="00806B36" w:rsidRDefault="00562542" w:rsidP="0049704D">
            <w:pPr>
              <w:pStyle w:val="TableText"/>
              <w:jc w:val="center"/>
            </w:pPr>
            <w:r w:rsidRPr="00806B36">
              <w:t>15 (6.4)</w:t>
            </w:r>
          </w:p>
        </w:tc>
        <w:tc>
          <w:tcPr>
            <w:tcW w:w="938" w:type="dxa"/>
          </w:tcPr>
          <w:p w14:paraId="6426D346" w14:textId="77777777" w:rsidR="00562542" w:rsidRPr="00806B36" w:rsidRDefault="00562542" w:rsidP="0049704D">
            <w:pPr>
              <w:pStyle w:val="TableText"/>
              <w:jc w:val="center"/>
            </w:pPr>
            <w:r w:rsidRPr="00806B36">
              <w:t>10 (4.2)</w:t>
            </w:r>
          </w:p>
        </w:tc>
        <w:tc>
          <w:tcPr>
            <w:tcW w:w="845" w:type="dxa"/>
            <w:vAlign w:val="center"/>
          </w:tcPr>
          <w:p w14:paraId="4084168C" w14:textId="77777777" w:rsidR="00562542" w:rsidRPr="00806B36" w:rsidRDefault="00562542" w:rsidP="0049704D">
            <w:pPr>
              <w:pStyle w:val="TableText"/>
              <w:jc w:val="center"/>
            </w:pPr>
            <w:r w:rsidRPr="00806B36">
              <w:t>28</w:t>
            </w:r>
          </w:p>
        </w:tc>
        <w:tc>
          <w:tcPr>
            <w:tcW w:w="845" w:type="dxa"/>
            <w:vAlign w:val="center"/>
          </w:tcPr>
          <w:p w14:paraId="2661C4D7" w14:textId="77777777" w:rsidR="00562542" w:rsidRPr="00806B36" w:rsidRDefault="00562542" w:rsidP="0049704D">
            <w:pPr>
              <w:pStyle w:val="TableText"/>
              <w:jc w:val="center"/>
            </w:pPr>
            <w:r w:rsidRPr="00806B36">
              <w:t>326.4</w:t>
            </w:r>
          </w:p>
        </w:tc>
        <w:tc>
          <w:tcPr>
            <w:tcW w:w="845" w:type="dxa"/>
            <w:vAlign w:val="center"/>
          </w:tcPr>
          <w:p w14:paraId="0FC926A1" w14:textId="77777777" w:rsidR="00562542" w:rsidRPr="00806B36" w:rsidRDefault="00562542" w:rsidP="0049704D">
            <w:pPr>
              <w:pStyle w:val="TableText"/>
              <w:jc w:val="center"/>
            </w:pPr>
            <w:r w:rsidRPr="00806B36">
              <w:t>19</w:t>
            </w:r>
          </w:p>
        </w:tc>
        <w:tc>
          <w:tcPr>
            <w:tcW w:w="845" w:type="dxa"/>
            <w:vAlign w:val="center"/>
          </w:tcPr>
          <w:p w14:paraId="32DB9CA5" w14:textId="77777777" w:rsidR="00562542" w:rsidRPr="00806B36" w:rsidRDefault="00562542" w:rsidP="0049704D">
            <w:pPr>
              <w:pStyle w:val="TableText"/>
              <w:jc w:val="center"/>
            </w:pPr>
            <w:r w:rsidRPr="00806B36">
              <w:t>207.8</w:t>
            </w:r>
          </w:p>
        </w:tc>
      </w:tr>
      <w:tr w:rsidR="00562542" w:rsidRPr="00806B36" w14:paraId="041A57D2" w14:textId="77777777" w:rsidTr="0049704D">
        <w:tc>
          <w:tcPr>
            <w:tcW w:w="2011" w:type="dxa"/>
          </w:tcPr>
          <w:p w14:paraId="7F9BB491" w14:textId="77777777" w:rsidR="00562542" w:rsidRPr="00806B36" w:rsidRDefault="00562542" w:rsidP="0049704D">
            <w:pPr>
              <w:pStyle w:val="TableText"/>
            </w:pPr>
            <w:r w:rsidRPr="00806B36">
              <w:t>Hyperkalaemia</w:t>
            </w:r>
          </w:p>
        </w:tc>
        <w:tc>
          <w:tcPr>
            <w:tcW w:w="896" w:type="dxa"/>
          </w:tcPr>
          <w:p w14:paraId="136B1F08" w14:textId="77777777" w:rsidR="00562542" w:rsidRPr="00806B36" w:rsidRDefault="00562542" w:rsidP="0049704D">
            <w:pPr>
              <w:pStyle w:val="TableText"/>
              <w:jc w:val="center"/>
            </w:pPr>
            <w:r w:rsidRPr="00806B36">
              <w:t>8 (4.2)</w:t>
            </w:r>
          </w:p>
        </w:tc>
        <w:tc>
          <w:tcPr>
            <w:tcW w:w="924" w:type="dxa"/>
          </w:tcPr>
          <w:p w14:paraId="0F922F3B" w14:textId="77777777" w:rsidR="00562542" w:rsidRPr="00806B36" w:rsidRDefault="00562542" w:rsidP="0049704D">
            <w:pPr>
              <w:pStyle w:val="TableText"/>
              <w:jc w:val="center"/>
            </w:pPr>
            <w:r w:rsidRPr="00806B36">
              <w:t>5 (2.7)</w:t>
            </w:r>
          </w:p>
        </w:tc>
        <w:tc>
          <w:tcPr>
            <w:tcW w:w="868" w:type="dxa"/>
          </w:tcPr>
          <w:p w14:paraId="762A9C2F" w14:textId="77777777" w:rsidR="00562542" w:rsidRPr="00806B36" w:rsidRDefault="00562542" w:rsidP="0049704D">
            <w:pPr>
              <w:pStyle w:val="TableText"/>
              <w:jc w:val="center"/>
            </w:pPr>
            <w:r w:rsidRPr="00806B36">
              <w:t>9 (3.8)</w:t>
            </w:r>
          </w:p>
        </w:tc>
        <w:tc>
          <w:tcPr>
            <w:tcW w:w="938" w:type="dxa"/>
          </w:tcPr>
          <w:p w14:paraId="5BB6A84A" w14:textId="77777777" w:rsidR="00562542" w:rsidRPr="00806B36" w:rsidRDefault="00562542" w:rsidP="0049704D">
            <w:pPr>
              <w:pStyle w:val="TableText"/>
              <w:jc w:val="center"/>
            </w:pPr>
            <w:r w:rsidRPr="00806B36">
              <w:t>6 (2.5)</w:t>
            </w:r>
          </w:p>
        </w:tc>
        <w:tc>
          <w:tcPr>
            <w:tcW w:w="845" w:type="dxa"/>
            <w:vAlign w:val="center"/>
          </w:tcPr>
          <w:p w14:paraId="09630A69" w14:textId="77777777" w:rsidR="00562542" w:rsidRPr="00806B36" w:rsidRDefault="00562542" w:rsidP="0049704D">
            <w:pPr>
              <w:pStyle w:val="TableText"/>
              <w:jc w:val="center"/>
            </w:pPr>
            <w:r w:rsidRPr="00806B36">
              <w:t>20</w:t>
            </w:r>
          </w:p>
        </w:tc>
        <w:tc>
          <w:tcPr>
            <w:tcW w:w="845" w:type="dxa"/>
            <w:vAlign w:val="center"/>
          </w:tcPr>
          <w:p w14:paraId="3793045C" w14:textId="77777777" w:rsidR="00562542" w:rsidRPr="00806B36" w:rsidRDefault="00562542" w:rsidP="0049704D">
            <w:pPr>
              <w:pStyle w:val="TableText"/>
              <w:jc w:val="center"/>
            </w:pPr>
            <w:r w:rsidRPr="00806B36">
              <w:t>234.6</w:t>
            </w:r>
          </w:p>
        </w:tc>
        <w:tc>
          <w:tcPr>
            <w:tcW w:w="845" w:type="dxa"/>
            <w:vAlign w:val="center"/>
          </w:tcPr>
          <w:p w14:paraId="1E1B0954" w14:textId="77777777" w:rsidR="00562542" w:rsidRPr="00806B36" w:rsidRDefault="00562542" w:rsidP="0049704D">
            <w:pPr>
              <w:pStyle w:val="TableText"/>
              <w:jc w:val="center"/>
            </w:pPr>
            <w:r w:rsidRPr="00806B36">
              <w:t>15</w:t>
            </w:r>
          </w:p>
        </w:tc>
        <w:tc>
          <w:tcPr>
            <w:tcW w:w="845" w:type="dxa"/>
            <w:vAlign w:val="center"/>
          </w:tcPr>
          <w:p w14:paraId="0E418F12" w14:textId="77777777" w:rsidR="00562542" w:rsidRPr="00806B36" w:rsidRDefault="00562542" w:rsidP="0049704D">
            <w:pPr>
              <w:pStyle w:val="TableText"/>
              <w:jc w:val="center"/>
            </w:pPr>
            <w:r w:rsidRPr="00806B36">
              <w:t>158.3</w:t>
            </w:r>
          </w:p>
        </w:tc>
      </w:tr>
      <w:tr w:rsidR="00562542" w:rsidRPr="00806B36" w14:paraId="00B05EFB" w14:textId="77777777" w:rsidTr="0049704D">
        <w:tc>
          <w:tcPr>
            <w:tcW w:w="2011" w:type="dxa"/>
          </w:tcPr>
          <w:p w14:paraId="01A7C233" w14:textId="77777777" w:rsidR="00562542" w:rsidRPr="00806B36" w:rsidRDefault="00562542" w:rsidP="0049704D">
            <w:pPr>
              <w:pStyle w:val="TableText"/>
            </w:pPr>
            <w:r w:rsidRPr="00806B36">
              <w:t>Headache</w:t>
            </w:r>
          </w:p>
        </w:tc>
        <w:tc>
          <w:tcPr>
            <w:tcW w:w="896" w:type="dxa"/>
          </w:tcPr>
          <w:p w14:paraId="1BD1C6C4" w14:textId="77777777" w:rsidR="00562542" w:rsidRPr="00806B36" w:rsidRDefault="00562542" w:rsidP="0049704D">
            <w:pPr>
              <w:pStyle w:val="TableText"/>
              <w:jc w:val="center"/>
            </w:pPr>
            <w:r w:rsidRPr="00806B36">
              <w:t>7 (3.7)</w:t>
            </w:r>
          </w:p>
        </w:tc>
        <w:tc>
          <w:tcPr>
            <w:tcW w:w="924" w:type="dxa"/>
          </w:tcPr>
          <w:p w14:paraId="59C3156F" w14:textId="77777777" w:rsidR="00562542" w:rsidRPr="00806B36" w:rsidRDefault="00562542" w:rsidP="0049704D">
            <w:pPr>
              <w:pStyle w:val="TableText"/>
              <w:jc w:val="center"/>
            </w:pPr>
            <w:r w:rsidRPr="00806B36">
              <w:t>4 (2.7)</w:t>
            </w:r>
          </w:p>
        </w:tc>
        <w:tc>
          <w:tcPr>
            <w:tcW w:w="868" w:type="dxa"/>
          </w:tcPr>
          <w:p w14:paraId="2C1A2C90" w14:textId="77777777" w:rsidR="00562542" w:rsidRPr="00806B36" w:rsidRDefault="00562542" w:rsidP="0049704D">
            <w:pPr>
              <w:pStyle w:val="TableText"/>
              <w:jc w:val="center"/>
            </w:pPr>
            <w:r w:rsidRPr="00806B36">
              <w:t>10 (4.3)</w:t>
            </w:r>
          </w:p>
        </w:tc>
        <w:tc>
          <w:tcPr>
            <w:tcW w:w="938" w:type="dxa"/>
          </w:tcPr>
          <w:p w14:paraId="032C5B65" w14:textId="77777777" w:rsidR="00562542" w:rsidRPr="00806B36" w:rsidRDefault="00562542" w:rsidP="0049704D">
            <w:pPr>
              <w:pStyle w:val="TableText"/>
              <w:jc w:val="center"/>
            </w:pPr>
            <w:r w:rsidRPr="00806B36">
              <w:t>6 (2.5)</w:t>
            </w:r>
          </w:p>
        </w:tc>
        <w:tc>
          <w:tcPr>
            <w:tcW w:w="845" w:type="dxa"/>
            <w:vAlign w:val="center"/>
          </w:tcPr>
          <w:p w14:paraId="57BAE551" w14:textId="77777777" w:rsidR="00562542" w:rsidRPr="00806B36" w:rsidRDefault="00562542" w:rsidP="0049704D">
            <w:pPr>
              <w:pStyle w:val="TableText"/>
              <w:jc w:val="center"/>
            </w:pPr>
            <w:r w:rsidRPr="00806B36">
              <w:t>19</w:t>
            </w:r>
          </w:p>
        </w:tc>
        <w:tc>
          <w:tcPr>
            <w:tcW w:w="845" w:type="dxa"/>
            <w:vAlign w:val="center"/>
          </w:tcPr>
          <w:p w14:paraId="37FC340A" w14:textId="77777777" w:rsidR="00562542" w:rsidRPr="00806B36" w:rsidRDefault="00562542" w:rsidP="0049704D">
            <w:pPr>
              <w:pStyle w:val="TableText"/>
              <w:jc w:val="center"/>
            </w:pPr>
            <w:r w:rsidRPr="00806B36">
              <w:t>214.2</w:t>
            </w:r>
          </w:p>
        </w:tc>
        <w:tc>
          <w:tcPr>
            <w:tcW w:w="845" w:type="dxa"/>
            <w:vAlign w:val="center"/>
          </w:tcPr>
          <w:p w14:paraId="6165256B" w14:textId="77777777" w:rsidR="00562542" w:rsidRPr="00806B36" w:rsidRDefault="00562542" w:rsidP="0049704D">
            <w:pPr>
              <w:pStyle w:val="TableText"/>
              <w:jc w:val="center"/>
            </w:pPr>
            <w:r w:rsidRPr="00806B36">
              <w:t>11</w:t>
            </w:r>
          </w:p>
        </w:tc>
        <w:tc>
          <w:tcPr>
            <w:tcW w:w="845" w:type="dxa"/>
            <w:vAlign w:val="center"/>
          </w:tcPr>
          <w:p w14:paraId="00596626" w14:textId="77777777" w:rsidR="00562542" w:rsidRPr="00806B36" w:rsidRDefault="00562542" w:rsidP="0049704D">
            <w:pPr>
              <w:pStyle w:val="TableText"/>
              <w:jc w:val="center"/>
            </w:pPr>
            <w:r w:rsidRPr="00806B36">
              <w:t>118.7</w:t>
            </w:r>
          </w:p>
        </w:tc>
      </w:tr>
      <w:tr w:rsidR="00562542" w:rsidRPr="00806B36" w14:paraId="53A92E68" w14:textId="77777777" w:rsidTr="0049704D">
        <w:tc>
          <w:tcPr>
            <w:tcW w:w="9017" w:type="dxa"/>
            <w:gridSpan w:val="9"/>
          </w:tcPr>
          <w:p w14:paraId="093865E1" w14:textId="77777777" w:rsidR="00562542" w:rsidRPr="00806B36" w:rsidRDefault="00562542" w:rsidP="0049704D">
            <w:pPr>
              <w:pStyle w:val="COMTableheadingrow"/>
              <w:rPr>
                <w:lang w:val="en-AU"/>
              </w:rPr>
            </w:pPr>
            <w:r w:rsidRPr="00806B36">
              <w:rPr>
                <w:lang w:val="en-AU"/>
              </w:rPr>
              <w:t>Adverse events of special interest</w:t>
            </w:r>
          </w:p>
        </w:tc>
      </w:tr>
      <w:tr w:rsidR="00562542" w:rsidRPr="00806B36" w14:paraId="19ADD236" w14:textId="77777777" w:rsidTr="0049704D">
        <w:tc>
          <w:tcPr>
            <w:tcW w:w="2011" w:type="dxa"/>
          </w:tcPr>
          <w:p w14:paraId="1C663DC0" w14:textId="77777777" w:rsidR="00562542" w:rsidRPr="00806B36" w:rsidRDefault="00562542" w:rsidP="0049704D">
            <w:pPr>
              <w:pStyle w:val="TableText"/>
            </w:pPr>
            <w:r w:rsidRPr="00806B36">
              <w:t>Falls/gait disturbance</w:t>
            </w:r>
          </w:p>
        </w:tc>
        <w:tc>
          <w:tcPr>
            <w:tcW w:w="896" w:type="dxa"/>
            <w:shd w:val="clear" w:color="auto" w:fill="auto"/>
          </w:tcPr>
          <w:p w14:paraId="195BACCB" w14:textId="77777777" w:rsidR="00562542" w:rsidRPr="00806B36" w:rsidRDefault="00562542" w:rsidP="0049704D">
            <w:pPr>
              <w:pStyle w:val="TableText"/>
              <w:jc w:val="center"/>
            </w:pPr>
            <w:r w:rsidRPr="00806B36">
              <w:t>6 (3.1)</w:t>
            </w:r>
          </w:p>
        </w:tc>
        <w:tc>
          <w:tcPr>
            <w:tcW w:w="924" w:type="dxa"/>
          </w:tcPr>
          <w:p w14:paraId="6D00AA81" w14:textId="77777777" w:rsidR="00562542" w:rsidRPr="00806B36" w:rsidRDefault="00562542" w:rsidP="0049704D">
            <w:pPr>
              <w:pStyle w:val="TableText"/>
              <w:jc w:val="center"/>
            </w:pPr>
            <w:r w:rsidRPr="00806B36">
              <w:t>7 (3.8)</w:t>
            </w:r>
          </w:p>
        </w:tc>
        <w:tc>
          <w:tcPr>
            <w:tcW w:w="868" w:type="dxa"/>
          </w:tcPr>
          <w:p w14:paraId="4D9A10FF" w14:textId="77777777" w:rsidR="00562542" w:rsidRPr="00806B36" w:rsidRDefault="00562542" w:rsidP="0049704D">
            <w:pPr>
              <w:pStyle w:val="TableText"/>
              <w:jc w:val="center"/>
            </w:pPr>
            <w:r w:rsidRPr="00806B36">
              <w:t>23 (9.8)</w:t>
            </w:r>
          </w:p>
        </w:tc>
        <w:tc>
          <w:tcPr>
            <w:tcW w:w="938" w:type="dxa"/>
            <w:tcBorders>
              <w:top w:val="single" w:sz="4" w:space="0" w:color="auto"/>
              <w:left w:val="nil"/>
              <w:bottom w:val="single" w:sz="4" w:space="0" w:color="auto"/>
            </w:tcBorders>
          </w:tcPr>
          <w:p w14:paraId="2A8AE379" w14:textId="77777777" w:rsidR="00562542" w:rsidRPr="00806B36" w:rsidRDefault="00562542" w:rsidP="0049704D">
            <w:pPr>
              <w:pStyle w:val="TableText"/>
              <w:jc w:val="center"/>
            </w:pPr>
            <w:r w:rsidRPr="00806B36">
              <w:t>14 (5.9)</w:t>
            </w:r>
          </w:p>
        </w:tc>
        <w:tc>
          <w:tcPr>
            <w:tcW w:w="845" w:type="dxa"/>
            <w:vAlign w:val="center"/>
          </w:tcPr>
          <w:p w14:paraId="2D4574D2" w14:textId="77777777" w:rsidR="00562542" w:rsidRPr="00806B36" w:rsidRDefault="00562542" w:rsidP="0049704D">
            <w:pPr>
              <w:pStyle w:val="TableText"/>
              <w:jc w:val="center"/>
            </w:pPr>
            <w:r w:rsidRPr="00806B36">
              <w:t>28</w:t>
            </w:r>
          </w:p>
        </w:tc>
        <w:tc>
          <w:tcPr>
            <w:tcW w:w="845" w:type="dxa"/>
            <w:vAlign w:val="center"/>
          </w:tcPr>
          <w:p w14:paraId="5C9F6A4A" w14:textId="77777777" w:rsidR="00562542" w:rsidRPr="00806B36" w:rsidRDefault="00562542" w:rsidP="0049704D">
            <w:pPr>
              <w:pStyle w:val="TableText"/>
              <w:jc w:val="center"/>
            </w:pPr>
            <w:r w:rsidRPr="00806B36">
              <w:t>336.6</w:t>
            </w:r>
          </w:p>
        </w:tc>
        <w:tc>
          <w:tcPr>
            <w:tcW w:w="845" w:type="dxa"/>
            <w:vAlign w:val="center"/>
          </w:tcPr>
          <w:p w14:paraId="6ABD7617" w14:textId="77777777" w:rsidR="00562542" w:rsidRPr="00806B36" w:rsidRDefault="00562542" w:rsidP="0049704D">
            <w:pPr>
              <w:pStyle w:val="TableText"/>
              <w:jc w:val="center"/>
            </w:pPr>
            <w:r w:rsidRPr="00806B36">
              <w:t>23</w:t>
            </w:r>
          </w:p>
        </w:tc>
        <w:tc>
          <w:tcPr>
            <w:tcW w:w="845" w:type="dxa"/>
            <w:vAlign w:val="center"/>
          </w:tcPr>
          <w:p w14:paraId="01684F10" w14:textId="77777777" w:rsidR="00562542" w:rsidRPr="00806B36" w:rsidRDefault="00562542" w:rsidP="0049704D">
            <w:pPr>
              <w:pStyle w:val="TableText"/>
              <w:jc w:val="center"/>
            </w:pPr>
            <w:r w:rsidRPr="00806B36">
              <w:t>237.5</w:t>
            </w:r>
          </w:p>
        </w:tc>
      </w:tr>
      <w:tr w:rsidR="00562542" w:rsidRPr="00806B36" w14:paraId="27310116" w14:textId="77777777" w:rsidTr="0049704D">
        <w:tc>
          <w:tcPr>
            <w:tcW w:w="2011" w:type="dxa"/>
          </w:tcPr>
          <w:p w14:paraId="3C661A57" w14:textId="77777777" w:rsidR="00562542" w:rsidRPr="00806B36" w:rsidRDefault="00562542" w:rsidP="0049704D">
            <w:pPr>
              <w:pStyle w:val="TableText"/>
            </w:pPr>
            <w:r w:rsidRPr="00806B36">
              <w:t>Dizziness</w:t>
            </w:r>
          </w:p>
        </w:tc>
        <w:tc>
          <w:tcPr>
            <w:tcW w:w="896" w:type="dxa"/>
            <w:shd w:val="clear" w:color="auto" w:fill="auto"/>
          </w:tcPr>
          <w:p w14:paraId="340D4DD7" w14:textId="77777777" w:rsidR="00562542" w:rsidRPr="00806B36" w:rsidRDefault="00562542" w:rsidP="0049704D">
            <w:pPr>
              <w:pStyle w:val="TableText"/>
              <w:jc w:val="center"/>
            </w:pPr>
            <w:r w:rsidRPr="00806B36">
              <w:t>13 (6.9)</w:t>
            </w:r>
          </w:p>
        </w:tc>
        <w:tc>
          <w:tcPr>
            <w:tcW w:w="924" w:type="dxa"/>
          </w:tcPr>
          <w:p w14:paraId="7D70052C" w14:textId="77777777" w:rsidR="00562542" w:rsidRPr="00806B36" w:rsidRDefault="00562542" w:rsidP="0049704D">
            <w:pPr>
              <w:pStyle w:val="TableText"/>
              <w:jc w:val="center"/>
            </w:pPr>
            <w:r w:rsidRPr="00806B36">
              <w:t>2 (1.1)</w:t>
            </w:r>
          </w:p>
        </w:tc>
        <w:tc>
          <w:tcPr>
            <w:tcW w:w="868" w:type="dxa"/>
          </w:tcPr>
          <w:p w14:paraId="4D83618B" w14:textId="77777777" w:rsidR="00562542" w:rsidRPr="00806B36" w:rsidRDefault="00562542" w:rsidP="0049704D">
            <w:pPr>
              <w:pStyle w:val="TableText"/>
              <w:jc w:val="center"/>
            </w:pPr>
            <w:r w:rsidRPr="00806B36">
              <w:t>13 (5.5)</w:t>
            </w:r>
          </w:p>
        </w:tc>
        <w:tc>
          <w:tcPr>
            <w:tcW w:w="938" w:type="dxa"/>
            <w:tcBorders>
              <w:top w:val="single" w:sz="4" w:space="0" w:color="auto"/>
              <w:left w:val="nil"/>
              <w:bottom w:val="single" w:sz="4" w:space="0" w:color="auto"/>
            </w:tcBorders>
          </w:tcPr>
          <w:p w14:paraId="4441F560" w14:textId="77777777" w:rsidR="00562542" w:rsidRPr="00806B36" w:rsidRDefault="00562542" w:rsidP="0049704D">
            <w:pPr>
              <w:pStyle w:val="TableText"/>
              <w:jc w:val="center"/>
            </w:pPr>
            <w:r w:rsidRPr="00806B36">
              <w:t>12 (5.1)</w:t>
            </w:r>
          </w:p>
        </w:tc>
        <w:tc>
          <w:tcPr>
            <w:tcW w:w="845" w:type="dxa"/>
            <w:vAlign w:val="center"/>
          </w:tcPr>
          <w:p w14:paraId="316F4296" w14:textId="77777777" w:rsidR="00562542" w:rsidRPr="00806B36" w:rsidRDefault="00562542" w:rsidP="0049704D">
            <w:pPr>
              <w:pStyle w:val="TableText"/>
              <w:jc w:val="center"/>
            </w:pPr>
            <w:r w:rsidRPr="00806B36">
              <w:t>29</w:t>
            </w:r>
          </w:p>
        </w:tc>
        <w:tc>
          <w:tcPr>
            <w:tcW w:w="845" w:type="dxa"/>
            <w:vAlign w:val="center"/>
          </w:tcPr>
          <w:p w14:paraId="145A3EC0" w14:textId="77777777" w:rsidR="00562542" w:rsidRPr="00806B36" w:rsidRDefault="00562542" w:rsidP="0049704D">
            <w:pPr>
              <w:pStyle w:val="TableText"/>
              <w:jc w:val="center"/>
            </w:pPr>
            <w:r w:rsidRPr="00806B36">
              <w:t>316.2</w:t>
            </w:r>
          </w:p>
        </w:tc>
        <w:tc>
          <w:tcPr>
            <w:tcW w:w="845" w:type="dxa"/>
            <w:vAlign w:val="center"/>
          </w:tcPr>
          <w:p w14:paraId="6525FF73" w14:textId="77777777" w:rsidR="00562542" w:rsidRPr="00806B36" w:rsidRDefault="00562542" w:rsidP="0049704D">
            <w:pPr>
              <w:pStyle w:val="TableText"/>
              <w:jc w:val="center"/>
            </w:pPr>
            <w:r w:rsidRPr="00806B36">
              <w:t>16</w:t>
            </w:r>
          </w:p>
        </w:tc>
        <w:tc>
          <w:tcPr>
            <w:tcW w:w="845" w:type="dxa"/>
            <w:vAlign w:val="center"/>
          </w:tcPr>
          <w:p w14:paraId="7DC5C55A" w14:textId="77777777" w:rsidR="00562542" w:rsidRPr="00806B36" w:rsidRDefault="00562542" w:rsidP="0049704D">
            <w:pPr>
              <w:pStyle w:val="TableText"/>
              <w:jc w:val="center"/>
            </w:pPr>
            <w:r w:rsidRPr="00806B36">
              <w:t>188.0</w:t>
            </w:r>
          </w:p>
        </w:tc>
      </w:tr>
      <w:tr w:rsidR="00562542" w:rsidRPr="00806B36" w14:paraId="7B36DC1E" w14:textId="77777777" w:rsidTr="0049704D">
        <w:tc>
          <w:tcPr>
            <w:tcW w:w="2011" w:type="dxa"/>
          </w:tcPr>
          <w:p w14:paraId="1E037858" w14:textId="77777777" w:rsidR="00562542" w:rsidRPr="00806B36" w:rsidRDefault="00562542" w:rsidP="0049704D">
            <w:pPr>
              <w:pStyle w:val="TableText"/>
            </w:pPr>
            <w:r w:rsidRPr="00806B36">
              <w:t>Somnolence</w:t>
            </w:r>
          </w:p>
        </w:tc>
        <w:tc>
          <w:tcPr>
            <w:tcW w:w="896" w:type="dxa"/>
            <w:shd w:val="clear" w:color="auto" w:fill="auto"/>
          </w:tcPr>
          <w:p w14:paraId="062C8929" w14:textId="77777777" w:rsidR="00562542" w:rsidRPr="00806B36" w:rsidRDefault="00562542" w:rsidP="0049704D">
            <w:pPr>
              <w:pStyle w:val="TableText"/>
              <w:jc w:val="center"/>
            </w:pPr>
            <w:r w:rsidRPr="00806B36">
              <w:t>6 (3.2)</w:t>
            </w:r>
          </w:p>
        </w:tc>
        <w:tc>
          <w:tcPr>
            <w:tcW w:w="924" w:type="dxa"/>
          </w:tcPr>
          <w:p w14:paraId="75969E6B" w14:textId="77777777" w:rsidR="00562542" w:rsidRPr="00806B36" w:rsidRDefault="00562542" w:rsidP="0049704D">
            <w:pPr>
              <w:pStyle w:val="TableText"/>
              <w:jc w:val="center"/>
            </w:pPr>
            <w:r w:rsidRPr="00806B36">
              <w:t>4 (2.1)</w:t>
            </w:r>
          </w:p>
        </w:tc>
        <w:tc>
          <w:tcPr>
            <w:tcW w:w="868" w:type="dxa"/>
          </w:tcPr>
          <w:p w14:paraId="2E485560" w14:textId="77777777" w:rsidR="00562542" w:rsidRPr="00806B36" w:rsidRDefault="00562542" w:rsidP="0049704D">
            <w:pPr>
              <w:pStyle w:val="TableText"/>
              <w:jc w:val="center"/>
            </w:pPr>
            <w:r w:rsidRPr="00806B36">
              <w:t>11 (4.7)</w:t>
            </w:r>
          </w:p>
        </w:tc>
        <w:tc>
          <w:tcPr>
            <w:tcW w:w="938" w:type="dxa"/>
            <w:tcBorders>
              <w:top w:val="single" w:sz="4" w:space="0" w:color="auto"/>
              <w:left w:val="nil"/>
              <w:bottom w:val="single" w:sz="4" w:space="0" w:color="auto"/>
            </w:tcBorders>
          </w:tcPr>
          <w:p w14:paraId="280009EF" w14:textId="77777777" w:rsidR="00562542" w:rsidRPr="00806B36" w:rsidRDefault="00562542" w:rsidP="0049704D">
            <w:pPr>
              <w:pStyle w:val="TableText"/>
              <w:jc w:val="center"/>
            </w:pPr>
            <w:r w:rsidRPr="00806B36">
              <w:t>5 (2.1)</w:t>
            </w:r>
          </w:p>
        </w:tc>
        <w:tc>
          <w:tcPr>
            <w:tcW w:w="845" w:type="dxa"/>
            <w:vAlign w:val="center"/>
          </w:tcPr>
          <w:p w14:paraId="2489E94C" w14:textId="77777777" w:rsidR="00562542" w:rsidRPr="00806B36" w:rsidRDefault="00562542" w:rsidP="0049704D">
            <w:pPr>
              <w:pStyle w:val="TableText"/>
              <w:jc w:val="center"/>
            </w:pPr>
            <w:r w:rsidRPr="00806B36">
              <w:t>14</w:t>
            </w:r>
          </w:p>
        </w:tc>
        <w:tc>
          <w:tcPr>
            <w:tcW w:w="845" w:type="dxa"/>
            <w:vAlign w:val="center"/>
          </w:tcPr>
          <w:p w14:paraId="59C7C96C" w14:textId="77777777" w:rsidR="00562542" w:rsidRPr="00806B36" w:rsidRDefault="00562542" w:rsidP="0049704D">
            <w:pPr>
              <w:pStyle w:val="TableText"/>
              <w:jc w:val="center"/>
            </w:pPr>
            <w:r w:rsidRPr="00806B36">
              <w:t>142.8</w:t>
            </w:r>
          </w:p>
        </w:tc>
        <w:tc>
          <w:tcPr>
            <w:tcW w:w="845" w:type="dxa"/>
            <w:vAlign w:val="center"/>
          </w:tcPr>
          <w:p w14:paraId="608712A4" w14:textId="77777777" w:rsidR="00562542" w:rsidRPr="00806B36" w:rsidRDefault="00562542" w:rsidP="0049704D">
            <w:pPr>
              <w:pStyle w:val="TableText"/>
              <w:jc w:val="center"/>
            </w:pPr>
            <w:r w:rsidRPr="00806B36">
              <w:t>10</w:t>
            </w:r>
          </w:p>
        </w:tc>
        <w:tc>
          <w:tcPr>
            <w:tcW w:w="845" w:type="dxa"/>
            <w:vAlign w:val="center"/>
          </w:tcPr>
          <w:p w14:paraId="38E318B0" w14:textId="77777777" w:rsidR="00562542" w:rsidRPr="00806B36" w:rsidRDefault="00562542" w:rsidP="0049704D">
            <w:pPr>
              <w:pStyle w:val="TableText"/>
              <w:jc w:val="center"/>
            </w:pPr>
            <w:r w:rsidRPr="00806B36">
              <w:t>98.9</w:t>
            </w:r>
          </w:p>
        </w:tc>
      </w:tr>
      <w:tr w:rsidR="00562542" w:rsidRPr="00806B36" w14:paraId="4C7D4541" w14:textId="77777777" w:rsidTr="0049704D">
        <w:tc>
          <w:tcPr>
            <w:tcW w:w="2011" w:type="dxa"/>
          </w:tcPr>
          <w:p w14:paraId="02A77658" w14:textId="77777777" w:rsidR="00562542" w:rsidRPr="00806B36" w:rsidRDefault="00562542" w:rsidP="0049704D">
            <w:pPr>
              <w:pStyle w:val="TableText"/>
            </w:pPr>
            <w:r w:rsidRPr="00806B36">
              <w:t>Mental status changes</w:t>
            </w:r>
          </w:p>
        </w:tc>
        <w:tc>
          <w:tcPr>
            <w:tcW w:w="896" w:type="dxa"/>
            <w:shd w:val="clear" w:color="auto" w:fill="auto"/>
          </w:tcPr>
          <w:p w14:paraId="6D73C2CA" w14:textId="77777777" w:rsidR="00562542" w:rsidRPr="00806B36" w:rsidRDefault="00562542" w:rsidP="0049704D">
            <w:pPr>
              <w:pStyle w:val="TableText"/>
              <w:jc w:val="center"/>
            </w:pPr>
            <w:r w:rsidRPr="00806B36">
              <w:t>3 (1.6)</w:t>
            </w:r>
          </w:p>
        </w:tc>
        <w:tc>
          <w:tcPr>
            <w:tcW w:w="924" w:type="dxa"/>
          </w:tcPr>
          <w:p w14:paraId="0D04C1C4" w14:textId="77777777" w:rsidR="00562542" w:rsidRPr="00806B36" w:rsidRDefault="00562542" w:rsidP="0049704D">
            <w:pPr>
              <w:pStyle w:val="TableText"/>
              <w:jc w:val="center"/>
            </w:pPr>
            <w:r w:rsidRPr="00806B36">
              <w:t>3 (1.6)</w:t>
            </w:r>
          </w:p>
        </w:tc>
        <w:tc>
          <w:tcPr>
            <w:tcW w:w="868" w:type="dxa"/>
          </w:tcPr>
          <w:p w14:paraId="0A8A227F" w14:textId="77777777" w:rsidR="00562542" w:rsidRPr="00806B36" w:rsidRDefault="00562542" w:rsidP="0049704D">
            <w:pPr>
              <w:pStyle w:val="TableText"/>
              <w:jc w:val="center"/>
            </w:pPr>
            <w:r w:rsidRPr="00806B36">
              <w:t>3 (1.3)</w:t>
            </w:r>
          </w:p>
        </w:tc>
        <w:tc>
          <w:tcPr>
            <w:tcW w:w="938" w:type="dxa"/>
            <w:tcBorders>
              <w:top w:val="single" w:sz="4" w:space="0" w:color="auto"/>
              <w:left w:val="nil"/>
              <w:bottom w:val="single" w:sz="4" w:space="0" w:color="auto"/>
            </w:tcBorders>
          </w:tcPr>
          <w:p w14:paraId="705A0EA4" w14:textId="77777777" w:rsidR="00562542" w:rsidRPr="00806B36" w:rsidRDefault="00562542" w:rsidP="0049704D">
            <w:pPr>
              <w:pStyle w:val="TableText"/>
              <w:jc w:val="center"/>
            </w:pPr>
            <w:r w:rsidRPr="00806B36">
              <w:t>1 (0.4)</w:t>
            </w:r>
          </w:p>
        </w:tc>
        <w:tc>
          <w:tcPr>
            <w:tcW w:w="845" w:type="dxa"/>
            <w:vAlign w:val="center"/>
          </w:tcPr>
          <w:p w14:paraId="49F0A5BC" w14:textId="77777777" w:rsidR="00562542" w:rsidRPr="00806B36" w:rsidRDefault="00562542" w:rsidP="0049704D">
            <w:pPr>
              <w:pStyle w:val="TableText"/>
              <w:jc w:val="center"/>
            </w:pPr>
            <w:r w:rsidRPr="00806B36">
              <w:t>14</w:t>
            </w:r>
          </w:p>
        </w:tc>
        <w:tc>
          <w:tcPr>
            <w:tcW w:w="845" w:type="dxa"/>
            <w:vAlign w:val="center"/>
          </w:tcPr>
          <w:p w14:paraId="3012F663" w14:textId="77777777" w:rsidR="00562542" w:rsidRPr="00806B36" w:rsidRDefault="00562542" w:rsidP="0049704D">
            <w:pPr>
              <w:pStyle w:val="TableText"/>
              <w:jc w:val="center"/>
            </w:pPr>
            <w:r w:rsidRPr="00806B36">
              <w:t>142.8</w:t>
            </w:r>
          </w:p>
        </w:tc>
        <w:tc>
          <w:tcPr>
            <w:tcW w:w="845" w:type="dxa"/>
            <w:vAlign w:val="center"/>
          </w:tcPr>
          <w:p w14:paraId="62830CAE" w14:textId="77777777" w:rsidR="00562542" w:rsidRPr="00806B36" w:rsidRDefault="00562542" w:rsidP="0049704D">
            <w:pPr>
              <w:pStyle w:val="TableText"/>
              <w:jc w:val="center"/>
            </w:pPr>
            <w:r w:rsidRPr="00806B36">
              <w:t>6</w:t>
            </w:r>
          </w:p>
        </w:tc>
        <w:tc>
          <w:tcPr>
            <w:tcW w:w="845" w:type="dxa"/>
            <w:vAlign w:val="center"/>
          </w:tcPr>
          <w:p w14:paraId="588A4B72" w14:textId="77777777" w:rsidR="00562542" w:rsidRPr="00806B36" w:rsidRDefault="00562542" w:rsidP="0049704D">
            <w:pPr>
              <w:pStyle w:val="TableText"/>
              <w:jc w:val="center"/>
            </w:pPr>
            <w:r w:rsidRPr="00806B36">
              <w:t>59.4</w:t>
            </w:r>
          </w:p>
        </w:tc>
      </w:tr>
      <w:tr w:rsidR="00562542" w:rsidRPr="00806B36" w14:paraId="7F0EB361" w14:textId="77777777" w:rsidTr="0049704D">
        <w:tc>
          <w:tcPr>
            <w:tcW w:w="2011" w:type="dxa"/>
          </w:tcPr>
          <w:p w14:paraId="7CD6BD94" w14:textId="77777777" w:rsidR="00562542" w:rsidRPr="00806B36" w:rsidRDefault="00562542" w:rsidP="0049704D">
            <w:pPr>
              <w:pStyle w:val="TableText"/>
            </w:pPr>
            <w:r w:rsidRPr="00806B36">
              <w:t>Syncope</w:t>
            </w:r>
          </w:p>
        </w:tc>
        <w:tc>
          <w:tcPr>
            <w:tcW w:w="896" w:type="dxa"/>
            <w:shd w:val="clear" w:color="auto" w:fill="auto"/>
          </w:tcPr>
          <w:p w14:paraId="5533D757" w14:textId="77777777" w:rsidR="00562542" w:rsidRPr="00806B36" w:rsidRDefault="00562542" w:rsidP="0049704D">
            <w:pPr>
              <w:pStyle w:val="TableText"/>
              <w:jc w:val="center"/>
            </w:pPr>
            <w:r w:rsidRPr="00806B36">
              <w:t>1 (0.5)</w:t>
            </w:r>
          </w:p>
        </w:tc>
        <w:tc>
          <w:tcPr>
            <w:tcW w:w="924" w:type="dxa"/>
          </w:tcPr>
          <w:p w14:paraId="40D9191F" w14:textId="77777777" w:rsidR="00562542" w:rsidRPr="00806B36" w:rsidRDefault="00562542" w:rsidP="0049704D">
            <w:pPr>
              <w:pStyle w:val="TableText"/>
              <w:jc w:val="center"/>
            </w:pPr>
            <w:r w:rsidRPr="00806B36">
              <w:t>1 (0.5)</w:t>
            </w:r>
          </w:p>
        </w:tc>
        <w:tc>
          <w:tcPr>
            <w:tcW w:w="868" w:type="dxa"/>
          </w:tcPr>
          <w:p w14:paraId="63A57F0B" w14:textId="77777777" w:rsidR="00562542" w:rsidRPr="00806B36" w:rsidRDefault="00562542" w:rsidP="0049704D">
            <w:pPr>
              <w:pStyle w:val="TableText"/>
              <w:jc w:val="center"/>
            </w:pPr>
            <w:r w:rsidRPr="00806B36">
              <w:t>4 (1.7)</w:t>
            </w:r>
          </w:p>
        </w:tc>
        <w:tc>
          <w:tcPr>
            <w:tcW w:w="938" w:type="dxa"/>
            <w:tcBorders>
              <w:top w:val="single" w:sz="4" w:space="0" w:color="auto"/>
              <w:left w:val="nil"/>
              <w:bottom w:val="single" w:sz="4" w:space="0" w:color="auto"/>
            </w:tcBorders>
          </w:tcPr>
          <w:p w14:paraId="5F07BF75" w14:textId="77777777" w:rsidR="00562542" w:rsidRPr="00806B36" w:rsidRDefault="00562542" w:rsidP="0049704D">
            <w:pPr>
              <w:pStyle w:val="TableText"/>
              <w:jc w:val="center"/>
            </w:pPr>
            <w:r w:rsidRPr="00806B36">
              <w:t>3 (1.3)</w:t>
            </w:r>
          </w:p>
        </w:tc>
        <w:tc>
          <w:tcPr>
            <w:tcW w:w="845" w:type="dxa"/>
            <w:vAlign w:val="center"/>
          </w:tcPr>
          <w:p w14:paraId="4748CC03" w14:textId="77777777" w:rsidR="00562542" w:rsidRPr="00806B36" w:rsidRDefault="00562542" w:rsidP="0049704D">
            <w:pPr>
              <w:pStyle w:val="TableText"/>
              <w:jc w:val="center"/>
            </w:pPr>
            <w:r w:rsidRPr="00806B36">
              <w:t>NR</w:t>
            </w:r>
          </w:p>
        </w:tc>
        <w:tc>
          <w:tcPr>
            <w:tcW w:w="845" w:type="dxa"/>
            <w:vAlign w:val="center"/>
          </w:tcPr>
          <w:p w14:paraId="4EC76721" w14:textId="77777777" w:rsidR="00562542" w:rsidRPr="00806B36" w:rsidRDefault="00562542" w:rsidP="0049704D">
            <w:pPr>
              <w:pStyle w:val="TableText"/>
              <w:jc w:val="center"/>
            </w:pPr>
            <w:r w:rsidRPr="00806B36">
              <w:t>NR</w:t>
            </w:r>
          </w:p>
        </w:tc>
        <w:tc>
          <w:tcPr>
            <w:tcW w:w="845" w:type="dxa"/>
            <w:vAlign w:val="center"/>
          </w:tcPr>
          <w:p w14:paraId="52CC473C" w14:textId="77777777" w:rsidR="00562542" w:rsidRPr="00806B36" w:rsidRDefault="00562542" w:rsidP="0049704D">
            <w:pPr>
              <w:pStyle w:val="TableText"/>
              <w:jc w:val="center"/>
            </w:pPr>
            <w:r w:rsidRPr="00806B36">
              <w:t>NR</w:t>
            </w:r>
          </w:p>
        </w:tc>
        <w:tc>
          <w:tcPr>
            <w:tcW w:w="845" w:type="dxa"/>
            <w:vAlign w:val="center"/>
          </w:tcPr>
          <w:p w14:paraId="01D5B85F" w14:textId="77777777" w:rsidR="00562542" w:rsidRPr="00806B36" w:rsidRDefault="00562542" w:rsidP="0049704D">
            <w:pPr>
              <w:pStyle w:val="TableText"/>
              <w:jc w:val="center"/>
            </w:pPr>
            <w:r w:rsidRPr="00806B36">
              <w:t>NR</w:t>
            </w:r>
          </w:p>
        </w:tc>
      </w:tr>
      <w:tr w:rsidR="00562542" w:rsidRPr="00806B36" w14:paraId="010F1CC7" w14:textId="77777777" w:rsidTr="0049704D">
        <w:tc>
          <w:tcPr>
            <w:tcW w:w="2011" w:type="dxa"/>
          </w:tcPr>
          <w:p w14:paraId="72048A25" w14:textId="77777777" w:rsidR="00562542" w:rsidRPr="00806B36" w:rsidRDefault="00562542" w:rsidP="0049704D">
            <w:pPr>
              <w:pStyle w:val="TableText"/>
            </w:pPr>
            <w:r w:rsidRPr="00806B36">
              <w:t>Tachycardia</w:t>
            </w:r>
          </w:p>
        </w:tc>
        <w:tc>
          <w:tcPr>
            <w:tcW w:w="896" w:type="dxa"/>
            <w:shd w:val="clear" w:color="auto" w:fill="auto"/>
          </w:tcPr>
          <w:p w14:paraId="3334B297" w14:textId="77777777" w:rsidR="00562542" w:rsidRPr="00806B36" w:rsidRDefault="00562542" w:rsidP="0049704D">
            <w:pPr>
              <w:pStyle w:val="TableText"/>
              <w:jc w:val="center"/>
            </w:pPr>
            <w:r w:rsidRPr="00806B36">
              <w:t>2 (1.1)</w:t>
            </w:r>
          </w:p>
        </w:tc>
        <w:tc>
          <w:tcPr>
            <w:tcW w:w="924" w:type="dxa"/>
          </w:tcPr>
          <w:p w14:paraId="07B41C28" w14:textId="77777777" w:rsidR="00562542" w:rsidRPr="00806B36" w:rsidRDefault="00562542" w:rsidP="0049704D">
            <w:pPr>
              <w:pStyle w:val="TableText"/>
              <w:jc w:val="center"/>
            </w:pPr>
            <w:r w:rsidRPr="00806B36">
              <w:t>1 (0.5)</w:t>
            </w:r>
          </w:p>
        </w:tc>
        <w:tc>
          <w:tcPr>
            <w:tcW w:w="868" w:type="dxa"/>
          </w:tcPr>
          <w:p w14:paraId="23A8E115" w14:textId="77777777" w:rsidR="00562542" w:rsidRPr="00806B36" w:rsidRDefault="00562542" w:rsidP="0049704D">
            <w:pPr>
              <w:pStyle w:val="TableText"/>
              <w:jc w:val="center"/>
            </w:pPr>
            <w:r w:rsidRPr="00806B36">
              <w:t>1 (0.4)</w:t>
            </w:r>
          </w:p>
        </w:tc>
        <w:tc>
          <w:tcPr>
            <w:tcW w:w="938" w:type="dxa"/>
            <w:tcBorders>
              <w:top w:val="single" w:sz="4" w:space="0" w:color="auto"/>
              <w:left w:val="nil"/>
              <w:bottom w:val="single" w:sz="4" w:space="0" w:color="auto"/>
            </w:tcBorders>
          </w:tcPr>
          <w:p w14:paraId="20CF9F19" w14:textId="77777777" w:rsidR="00562542" w:rsidRPr="00806B36" w:rsidRDefault="00562542" w:rsidP="0049704D">
            <w:pPr>
              <w:pStyle w:val="TableText"/>
              <w:jc w:val="center"/>
            </w:pPr>
            <w:r w:rsidRPr="00806B36">
              <w:t>6 (2.5)</w:t>
            </w:r>
          </w:p>
        </w:tc>
        <w:tc>
          <w:tcPr>
            <w:tcW w:w="845" w:type="dxa"/>
            <w:vAlign w:val="center"/>
          </w:tcPr>
          <w:p w14:paraId="58174BF6" w14:textId="77777777" w:rsidR="00562542" w:rsidRPr="00806B36" w:rsidRDefault="00562542" w:rsidP="0049704D">
            <w:pPr>
              <w:pStyle w:val="TableText"/>
              <w:jc w:val="center"/>
            </w:pPr>
            <w:r w:rsidRPr="00806B36">
              <w:t>NR</w:t>
            </w:r>
          </w:p>
        </w:tc>
        <w:tc>
          <w:tcPr>
            <w:tcW w:w="845" w:type="dxa"/>
            <w:vAlign w:val="center"/>
          </w:tcPr>
          <w:p w14:paraId="10C9F9F5" w14:textId="77777777" w:rsidR="00562542" w:rsidRPr="00806B36" w:rsidRDefault="00562542" w:rsidP="0049704D">
            <w:pPr>
              <w:pStyle w:val="TableText"/>
              <w:jc w:val="center"/>
            </w:pPr>
            <w:r w:rsidRPr="00806B36">
              <w:t>NR</w:t>
            </w:r>
          </w:p>
        </w:tc>
        <w:tc>
          <w:tcPr>
            <w:tcW w:w="845" w:type="dxa"/>
            <w:vAlign w:val="center"/>
          </w:tcPr>
          <w:p w14:paraId="2F86DA76" w14:textId="77777777" w:rsidR="00562542" w:rsidRPr="00806B36" w:rsidRDefault="00562542" w:rsidP="0049704D">
            <w:pPr>
              <w:pStyle w:val="TableText"/>
              <w:jc w:val="center"/>
            </w:pPr>
            <w:r w:rsidRPr="00806B36">
              <w:t>NR</w:t>
            </w:r>
          </w:p>
        </w:tc>
        <w:tc>
          <w:tcPr>
            <w:tcW w:w="845" w:type="dxa"/>
            <w:vAlign w:val="center"/>
          </w:tcPr>
          <w:p w14:paraId="6377AC05" w14:textId="77777777" w:rsidR="00562542" w:rsidRPr="00806B36" w:rsidRDefault="00562542" w:rsidP="0049704D">
            <w:pPr>
              <w:pStyle w:val="TableText"/>
              <w:jc w:val="center"/>
            </w:pPr>
            <w:r w:rsidRPr="00806B36">
              <w:t>NR</w:t>
            </w:r>
          </w:p>
        </w:tc>
      </w:tr>
      <w:tr w:rsidR="00562542" w:rsidRPr="00806B36" w14:paraId="798E058F" w14:textId="77777777" w:rsidTr="0049704D">
        <w:tc>
          <w:tcPr>
            <w:tcW w:w="2011" w:type="dxa"/>
          </w:tcPr>
          <w:p w14:paraId="3BCFB36B" w14:textId="77777777" w:rsidR="00562542" w:rsidRPr="00806B36" w:rsidRDefault="00562542" w:rsidP="0049704D">
            <w:pPr>
              <w:pStyle w:val="TableText"/>
            </w:pPr>
            <w:r w:rsidRPr="00806B36">
              <w:t>Palpitations</w:t>
            </w:r>
          </w:p>
        </w:tc>
        <w:tc>
          <w:tcPr>
            <w:tcW w:w="896" w:type="dxa"/>
            <w:shd w:val="clear" w:color="auto" w:fill="auto"/>
          </w:tcPr>
          <w:p w14:paraId="2A22E165" w14:textId="77777777" w:rsidR="00562542" w:rsidRPr="00806B36" w:rsidRDefault="00562542" w:rsidP="0049704D">
            <w:pPr>
              <w:pStyle w:val="TableText"/>
              <w:jc w:val="center"/>
            </w:pPr>
            <w:r w:rsidRPr="00806B36">
              <w:t>0</w:t>
            </w:r>
          </w:p>
        </w:tc>
        <w:tc>
          <w:tcPr>
            <w:tcW w:w="924" w:type="dxa"/>
          </w:tcPr>
          <w:p w14:paraId="172DB69C" w14:textId="77777777" w:rsidR="00562542" w:rsidRPr="00806B36" w:rsidRDefault="00562542" w:rsidP="0049704D">
            <w:pPr>
              <w:pStyle w:val="TableText"/>
              <w:jc w:val="center"/>
            </w:pPr>
            <w:r w:rsidRPr="00806B36">
              <w:t>2 (1.1)</w:t>
            </w:r>
          </w:p>
        </w:tc>
        <w:tc>
          <w:tcPr>
            <w:tcW w:w="868" w:type="dxa"/>
          </w:tcPr>
          <w:p w14:paraId="4FC34D1F" w14:textId="77777777" w:rsidR="00562542" w:rsidRPr="00806B36" w:rsidRDefault="00562542" w:rsidP="0049704D">
            <w:pPr>
              <w:pStyle w:val="TableText"/>
              <w:jc w:val="center"/>
            </w:pPr>
            <w:r w:rsidRPr="00806B36">
              <w:t>3 (1.3)</w:t>
            </w:r>
          </w:p>
        </w:tc>
        <w:tc>
          <w:tcPr>
            <w:tcW w:w="938" w:type="dxa"/>
            <w:tcBorders>
              <w:top w:val="single" w:sz="4" w:space="0" w:color="auto"/>
              <w:left w:val="nil"/>
              <w:bottom w:val="single" w:sz="4" w:space="0" w:color="auto"/>
            </w:tcBorders>
          </w:tcPr>
          <w:p w14:paraId="12727EEC" w14:textId="77777777" w:rsidR="00562542" w:rsidRPr="00806B36" w:rsidRDefault="00562542" w:rsidP="0049704D">
            <w:pPr>
              <w:pStyle w:val="TableText"/>
              <w:jc w:val="center"/>
            </w:pPr>
            <w:r w:rsidRPr="00806B36">
              <w:t>1 (0.4)</w:t>
            </w:r>
          </w:p>
        </w:tc>
        <w:tc>
          <w:tcPr>
            <w:tcW w:w="845" w:type="dxa"/>
            <w:vAlign w:val="center"/>
          </w:tcPr>
          <w:p w14:paraId="4D7BE359" w14:textId="77777777" w:rsidR="00562542" w:rsidRPr="00806B36" w:rsidRDefault="00562542" w:rsidP="0049704D">
            <w:pPr>
              <w:pStyle w:val="TableText"/>
              <w:jc w:val="center"/>
            </w:pPr>
            <w:r w:rsidRPr="00806B36">
              <w:t>NR</w:t>
            </w:r>
          </w:p>
        </w:tc>
        <w:tc>
          <w:tcPr>
            <w:tcW w:w="845" w:type="dxa"/>
            <w:vAlign w:val="center"/>
          </w:tcPr>
          <w:p w14:paraId="24CDAF57" w14:textId="77777777" w:rsidR="00562542" w:rsidRPr="00806B36" w:rsidRDefault="00562542" w:rsidP="0049704D">
            <w:pPr>
              <w:pStyle w:val="TableText"/>
              <w:jc w:val="center"/>
            </w:pPr>
            <w:r w:rsidRPr="00806B36">
              <w:t>NR</w:t>
            </w:r>
          </w:p>
        </w:tc>
        <w:tc>
          <w:tcPr>
            <w:tcW w:w="845" w:type="dxa"/>
            <w:vAlign w:val="center"/>
          </w:tcPr>
          <w:p w14:paraId="01CC6690" w14:textId="77777777" w:rsidR="00562542" w:rsidRPr="00806B36" w:rsidRDefault="00562542" w:rsidP="0049704D">
            <w:pPr>
              <w:pStyle w:val="TableText"/>
              <w:jc w:val="center"/>
            </w:pPr>
            <w:r w:rsidRPr="00806B36">
              <w:t>NR</w:t>
            </w:r>
          </w:p>
        </w:tc>
        <w:tc>
          <w:tcPr>
            <w:tcW w:w="845" w:type="dxa"/>
            <w:vAlign w:val="center"/>
          </w:tcPr>
          <w:p w14:paraId="19876081" w14:textId="77777777" w:rsidR="00562542" w:rsidRPr="00806B36" w:rsidRDefault="00562542" w:rsidP="0049704D">
            <w:pPr>
              <w:pStyle w:val="TableText"/>
              <w:jc w:val="center"/>
            </w:pPr>
            <w:r w:rsidRPr="00806B36">
              <w:t>NR</w:t>
            </w:r>
          </w:p>
        </w:tc>
      </w:tr>
      <w:tr w:rsidR="00562542" w:rsidRPr="00806B36" w14:paraId="299D2293" w14:textId="77777777" w:rsidTr="0049704D">
        <w:tc>
          <w:tcPr>
            <w:tcW w:w="2011" w:type="dxa"/>
          </w:tcPr>
          <w:p w14:paraId="587847D8" w14:textId="77777777" w:rsidR="00562542" w:rsidRPr="00806B36" w:rsidRDefault="00562542" w:rsidP="0049704D">
            <w:pPr>
              <w:pStyle w:val="TableText"/>
            </w:pPr>
            <w:r w:rsidRPr="00806B36">
              <w:t>Mood altered</w:t>
            </w:r>
          </w:p>
        </w:tc>
        <w:tc>
          <w:tcPr>
            <w:tcW w:w="896" w:type="dxa"/>
            <w:shd w:val="clear" w:color="auto" w:fill="auto"/>
          </w:tcPr>
          <w:p w14:paraId="1968FDEA" w14:textId="77777777" w:rsidR="00562542" w:rsidRPr="00806B36" w:rsidRDefault="00562542" w:rsidP="0049704D">
            <w:pPr>
              <w:pStyle w:val="TableText"/>
              <w:jc w:val="center"/>
            </w:pPr>
            <w:r w:rsidRPr="00806B36">
              <w:t>1 (0.5)</w:t>
            </w:r>
          </w:p>
        </w:tc>
        <w:tc>
          <w:tcPr>
            <w:tcW w:w="924" w:type="dxa"/>
          </w:tcPr>
          <w:p w14:paraId="6BE1C8AE" w14:textId="77777777" w:rsidR="00562542" w:rsidRPr="00806B36" w:rsidRDefault="00562542" w:rsidP="0049704D">
            <w:pPr>
              <w:pStyle w:val="TableText"/>
              <w:jc w:val="center"/>
            </w:pPr>
            <w:r w:rsidRPr="00806B36">
              <w:t>0</w:t>
            </w:r>
          </w:p>
        </w:tc>
        <w:tc>
          <w:tcPr>
            <w:tcW w:w="868" w:type="dxa"/>
          </w:tcPr>
          <w:p w14:paraId="4FDCB0C6" w14:textId="77777777" w:rsidR="00562542" w:rsidRPr="00806B36" w:rsidRDefault="00562542" w:rsidP="0049704D">
            <w:pPr>
              <w:pStyle w:val="TableText"/>
              <w:jc w:val="center"/>
            </w:pPr>
            <w:r w:rsidRPr="00806B36">
              <w:t>0</w:t>
            </w:r>
          </w:p>
        </w:tc>
        <w:tc>
          <w:tcPr>
            <w:tcW w:w="938" w:type="dxa"/>
            <w:tcBorders>
              <w:top w:val="single" w:sz="4" w:space="0" w:color="auto"/>
              <w:left w:val="nil"/>
              <w:bottom w:val="single" w:sz="4" w:space="0" w:color="auto"/>
            </w:tcBorders>
          </w:tcPr>
          <w:p w14:paraId="6076759E" w14:textId="77777777" w:rsidR="00562542" w:rsidRPr="00806B36" w:rsidRDefault="00562542" w:rsidP="0049704D">
            <w:pPr>
              <w:pStyle w:val="TableText"/>
              <w:jc w:val="center"/>
            </w:pPr>
            <w:r w:rsidRPr="00806B36">
              <w:t>1 (0.4)</w:t>
            </w:r>
          </w:p>
        </w:tc>
        <w:tc>
          <w:tcPr>
            <w:tcW w:w="845" w:type="dxa"/>
            <w:vAlign w:val="center"/>
          </w:tcPr>
          <w:p w14:paraId="3B8B187F" w14:textId="77777777" w:rsidR="00562542" w:rsidRPr="00806B36" w:rsidRDefault="00562542" w:rsidP="0049704D">
            <w:pPr>
              <w:pStyle w:val="TableText"/>
              <w:jc w:val="center"/>
            </w:pPr>
            <w:r w:rsidRPr="00806B36">
              <w:t>NR</w:t>
            </w:r>
          </w:p>
        </w:tc>
        <w:tc>
          <w:tcPr>
            <w:tcW w:w="845" w:type="dxa"/>
            <w:vAlign w:val="center"/>
          </w:tcPr>
          <w:p w14:paraId="6237A1C4" w14:textId="77777777" w:rsidR="00562542" w:rsidRPr="00806B36" w:rsidRDefault="00562542" w:rsidP="0049704D">
            <w:pPr>
              <w:pStyle w:val="TableText"/>
              <w:jc w:val="center"/>
            </w:pPr>
            <w:r w:rsidRPr="00806B36">
              <w:t>NR</w:t>
            </w:r>
          </w:p>
        </w:tc>
        <w:tc>
          <w:tcPr>
            <w:tcW w:w="845" w:type="dxa"/>
            <w:vAlign w:val="center"/>
          </w:tcPr>
          <w:p w14:paraId="0B45D00C" w14:textId="77777777" w:rsidR="00562542" w:rsidRPr="00806B36" w:rsidRDefault="00562542" w:rsidP="0049704D">
            <w:pPr>
              <w:pStyle w:val="TableText"/>
              <w:jc w:val="center"/>
            </w:pPr>
            <w:r w:rsidRPr="00806B36">
              <w:t>NR</w:t>
            </w:r>
          </w:p>
        </w:tc>
        <w:tc>
          <w:tcPr>
            <w:tcW w:w="845" w:type="dxa"/>
            <w:vAlign w:val="center"/>
          </w:tcPr>
          <w:p w14:paraId="104B08CC" w14:textId="77777777" w:rsidR="00562542" w:rsidRPr="00806B36" w:rsidRDefault="00562542" w:rsidP="0049704D">
            <w:pPr>
              <w:pStyle w:val="TableText"/>
              <w:jc w:val="center"/>
            </w:pPr>
            <w:r w:rsidRPr="00806B36">
              <w:t>NR</w:t>
            </w:r>
          </w:p>
        </w:tc>
      </w:tr>
      <w:tr w:rsidR="00562542" w:rsidRPr="00806B36" w14:paraId="573D8D38" w14:textId="77777777" w:rsidTr="0049704D">
        <w:trPr>
          <w:trHeight w:val="54"/>
        </w:trPr>
        <w:tc>
          <w:tcPr>
            <w:tcW w:w="2011" w:type="dxa"/>
          </w:tcPr>
          <w:p w14:paraId="0C44182E" w14:textId="77777777" w:rsidR="00562542" w:rsidRPr="00806B36" w:rsidRDefault="00562542" w:rsidP="0049704D">
            <w:pPr>
              <w:pStyle w:val="TableText"/>
            </w:pPr>
            <w:r w:rsidRPr="00806B36">
              <w:t>Seizure</w:t>
            </w:r>
          </w:p>
        </w:tc>
        <w:tc>
          <w:tcPr>
            <w:tcW w:w="896" w:type="dxa"/>
            <w:shd w:val="clear" w:color="auto" w:fill="auto"/>
          </w:tcPr>
          <w:p w14:paraId="2B6047B9" w14:textId="77777777" w:rsidR="00562542" w:rsidRPr="00806B36" w:rsidRDefault="00562542" w:rsidP="0049704D">
            <w:pPr>
              <w:pStyle w:val="TableText"/>
              <w:jc w:val="center"/>
            </w:pPr>
            <w:r w:rsidRPr="00806B36">
              <w:t>1 (0.5)</w:t>
            </w:r>
          </w:p>
        </w:tc>
        <w:tc>
          <w:tcPr>
            <w:tcW w:w="924" w:type="dxa"/>
          </w:tcPr>
          <w:p w14:paraId="27AC41BA" w14:textId="77777777" w:rsidR="00562542" w:rsidRPr="00806B36" w:rsidRDefault="00562542" w:rsidP="0049704D">
            <w:pPr>
              <w:pStyle w:val="TableText"/>
              <w:jc w:val="center"/>
            </w:pPr>
            <w:r w:rsidRPr="00806B36">
              <w:t>1 (0.5)</w:t>
            </w:r>
          </w:p>
        </w:tc>
        <w:tc>
          <w:tcPr>
            <w:tcW w:w="868" w:type="dxa"/>
          </w:tcPr>
          <w:p w14:paraId="166234EB" w14:textId="77777777" w:rsidR="00562542" w:rsidRPr="00806B36" w:rsidRDefault="00562542" w:rsidP="0049704D">
            <w:pPr>
              <w:pStyle w:val="TableText"/>
              <w:jc w:val="center"/>
            </w:pPr>
            <w:r w:rsidRPr="00806B36">
              <w:t>NR</w:t>
            </w:r>
          </w:p>
        </w:tc>
        <w:tc>
          <w:tcPr>
            <w:tcW w:w="938" w:type="dxa"/>
            <w:tcBorders>
              <w:top w:val="single" w:sz="4" w:space="0" w:color="auto"/>
              <w:left w:val="nil"/>
              <w:bottom w:val="single" w:sz="4" w:space="0" w:color="auto"/>
            </w:tcBorders>
          </w:tcPr>
          <w:p w14:paraId="5094E5A0" w14:textId="77777777" w:rsidR="00562542" w:rsidRPr="00806B36" w:rsidRDefault="00562542" w:rsidP="0049704D">
            <w:pPr>
              <w:pStyle w:val="TableText"/>
              <w:jc w:val="center"/>
            </w:pPr>
            <w:r w:rsidRPr="00806B36">
              <w:t>NR</w:t>
            </w:r>
          </w:p>
        </w:tc>
        <w:tc>
          <w:tcPr>
            <w:tcW w:w="845" w:type="dxa"/>
            <w:tcBorders>
              <w:bottom w:val="single" w:sz="4" w:space="0" w:color="auto"/>
            </w:tcBorders>
            <w:vAlign w:val="center"/>
          </w:tcPr>
          <w:p w14:paraId="7B3A052F" w14:textId="77777777" w:rsidR="00562542" w:rsidRPr="00806B36" w:rsidRDefault="00562542" w:rsidP="0049704D">
            <w:pPr>
              <w:pStyle w:val="TableText"/>
              <w:jc w:val="center"/>
            </w:pPr>
            <w:r w:rsidRPr="00806B36">
              <w:t>NR</w:t>
            </w:r>
          </w:p>
        </w:tc>
        <w:tc>
          <w:tcPr>
            <w:tcW w:w="845" w:type="dxa"/>
            <w:tcBorders>
              <w:bottom w:val="single" w:sz="4" w:space="0" w:color="auto"/>
            </w:tcBorders>
            <w:vAlign w:val="center"/>
          </w:tcPr>
          <w:p w14:paraId="7BE5E903" w14:textId="77777777" w:rsidR="00562542" w:rsidRPr="00806B36" w:rsidRDefault="00562542" w:rsidP="0049704D">
            <w:pPr>
              <w:pStyle w:val="TableText"/>
              <w:jc w:val="center"/>
            </w:pPr>
            <w:r w:rsidRPr="00806B36">
              <w:t>NR</w:t>
            </w:r>
          </w:p>
        </w:tc>
        <w:tc>
          <w:tcPr>
            <w:tcW w:w="845" w:type="dxa"/>
            <w:tcBorders>
              <w:bottom w:val="single" w:sz="4" w:space="0" w:color="auto"/>
            </w:tcBorders>
            <w:vAlign w:val="center"/>
          </w:tcPr>
          <w:p w14:paraId="3E290B8E" w14:textId="77777777" w:rsidR="00562542" w:rsidRPr="00806B36" w:rsidRDefault="00562542" w:rsidP="0049704D">
            <w:pPr>
              <w:pStyle w:val="TableText"/>
              <w:jc w:val="center"/>
            </w:pPr>
            <w:r w:rsidRPr="00806B36">
              <w:t>NR</w:t>
            </w:r>
          </w:p>
        </w:tc>
        <w:tc>
          <w:tcPr>
            <w:tcW w:w="845" w:type="dxa"/>
            <w:tcBorders>
              <w:bottom w:val="single" w:sz="4" w:space="0" w:color="auto"/>
            </w:tcBorders>
            <w:vAlign w:val="center"/>
          </w:tcPr>
          <w:p w14:paraId="47AD1CFA" w14:textId="77777777" w:rsidR="00562542" w:rsidRPr="00806B36" w:rsidRDefault="00562542" w:rsidP="0049704D">
            <w:pPr>
              <w:pStyle w:val="TableText"/>
              <w:jc w:val="center"/>
            </w:pPr>
            <w:r w:rsidRPr="00806B36">
              <w:t>NR</w:t>
            </w:r>
          </w:p>
        </w:tc>
      </w:tr>
    </w:tbl>
    <w:p w14:paraId="6F5F747C" w14:textId="77777777" w:rsidR="00562542" w:rsidRPr="00806B36" w:rsidRDefault="00562542" w:rsidP="00562542">
      <w:pPr>
        <w:pStyle w:val="COMTablefooter"/>
        <w:keepNext/>
      </w:pPr>
      <w:r w:rsidRPr="00806B36">
        <w:t>Source: Table 32, p134; Table 33, p138 of the submission; Table 2 of the Fishbane 2022 publication of safety and tolerability of difelikefalin</w:t>
      </w:r>
    </w:p>
    <w:p w14:paraId="3C049C67" w14:textId="77777777" w:rsidR="00562542" w:rsidRPr="00806B36" w:rsidRDefault="00562542" w:rsidP="00562542">
      <w:pPr>
        <w:pStyle w:val="COMTablefooter"/>
        <w:keepNext/>
      </w:pPr>
      <w:r w:rsidRPr="00806B36">
        <w:t>Abbreviations: AE, adverse event; DFK, difelikefalin; IR, incidence rate; PBO, placebo; pt-yrs, patient-years; NR, not reported</w:t>
      </w:r>
    </w:p>
    <w:p w14:paraId="17F0EFDD" w14:textId="77777777" w:rsidR="00562542" w:rsidRPr="00806B36" w:rsidRDefault="00562542" w:rsidP="00562542">
      <w:pPr>
        <w:pStyle w:val="COMTablefooter"/>
      </w:pPr>
      <w:r w:rsidRPr="00806B36">
        <w:rPr>
          <w:vertAlign w:val="superscript"/>
        </w:rPr>
        <w:t>a</w:t>
      </w:r>
      <w:r w:rsidRPr="00806B36">
        <w:t xml:space="preserve"> There was a discrepancy in the number of deaths occurring in each arm reported in the pooled safety analysis (Fishbane 2022) and in the trial report. The reason for this discrepancy was unknown. </w:t>
      </w:r>
    </w:p>
    <w:p w14:paraId="112EBFF7" w14:textId="77777777" w:rsidR="00562542" w:rsidRPr="00806B36" w:rsidRDefault="00562542" w:rsidP="00562542">
      <w:pPr>
        <w:pStyle w:val="COMTablefooter"/>
      </w:pPr>
      <w:r w:rsidRPr="00806B36">
        <w:rPr>
          <w:vertAlign w:val="superscript"/>
        </w:rPr>
        <w:t>b</w:t>
      </w:r>
      <w:r w:rsidRPr="00806B36">
        <w:t xml:space="preserve"> Adverse events reported in ≥2% of difelikefalin patients with an incidence ≥1% higher than in placebo patients</w:t>
      </w:r>
    </w:p>
    <w:p w14:paraId="49870F91" w14:textId="77777777" w:rsidR="00562542" w:rsidRPr="00806B36" w:rsidRDefault="00562542" w:rsidP="00562542">
      <w:pPr>
        <w:pStyle w:val="COMTablefooter"/>
      </w:pPr>
      <w:r w:rsidRPr="00806B36">
        <w:t>Note: IR is calculated as 1,000 times the number of events divided by the total patient-years of exposure</w:t>
      </w:r>
    </w:p>
    <w:p w14:paraId="5719283E" w14:textId="4A59873F" w:rsidR="00562542" w:rsidRPr="00806B36" w:rsidRDefault="008E1F17" w:rsidP="00562542">
      <w:pPr>
        <w:pStyle w:val="COMexecsumnumberedpara"/>
      </w:pPr>
      <w:r w:rsidRPr="00806B36">
        <w:t>More patients treated with difelikefalin experienced an adverse event compared to those in the placebo arm. Treatment-emergent adverse events occurring more frequently with difelikefalin compared to placebo were diarrhoea, vomiting, nausea, fall, dizziness, somnolence, hyperkalaemia and mental status change. More patients in the difelikefalin arm experienced adverse events leading to treatment discontinuation and treatment interruption compared to placebo, with dizziness being the most common reason for discontinuation of difelikefalin.</w:t>
      </w:r>
      <w:r w:rsidR="00E27AC9" w:rsidRPr="00806B36">
        <w:t xml:space="preserve"> </w:t>
      </w:r>
    </w:p>
    <w:p w14:paraId="67A64D68" w14:textId="5B24F544" w:rsidR="00E27AC9" w:rsidRPr="00806B36" w:rsidRDefault="00E27AC9" w:rsidP="00562542">
      <w:pPr>
        <w:pStyle w:val="COMexecsumnumberedpara"/>
      </w:pPr>
      <w:r w:rsidRPr="00806B36">
        <w:t>The PSCR reiterated the subgroup analyses from the KALM trials did not suggest meaningful differences in treatment effect based on age or medical conditions</w:t>
      </w:r>
      <w:r w:rsidR="00850A42" w:rsidRPr="00806B36">
        <w:t xml:space="preserve">. The PSCR </w:t>
      </w:r>
      <w:r w:rsidRPr="00806B36">
        <w:t xml:space="preserve">noted a subgroup analysis using the primary safety pool </w:t>
      </w:r>
      <w:r w:rsidR="00957F71" w:rsidRPr="00806B36">
        <w:t xml:space="preserve">data </w:t>
      </w:r>
      <w:r w:rsidRPr="00806B36">
        <w:t xml:space="preserve">on the incidence of 1 or more treatment-emergent adverse events (TEAEs) by age showed the </w:t>
      </w:r>
      <w:r w:rsidR="00957F71" w:rsidRPr="00806B36">
        <w:t>relative risk</w:t>
      </w:r>
      <w:r w:rsidRPr="00806B36">
        <w:t xml:space="preserve"> for difelikefalin compared to placebo subjects were similar and close to 1 regardless of age grouping. </w:t>
      </w:r>
      <w:r w:rsidR="00850A42" w:rsidRPr="00806B36">
        <w:t>However, t</w:t>
      </w:r>
      <w:r w:rsidRPr="00806B36">
        <w:t>he PSCR acknowledged that older difelikefalin subjects experience</w:t>
      </w:r>
      <w:r w:rsidR="00957F71" w:rsidRPr="00806B36">
        <w:t>d more</w:t>
      </w:r>
      <w:r w:rsidRPr="00806B36">
        <w:t xml:space="preserve"> TEAEs of somnolence compared to younger subjects (7.0% for ≥65 years and 2.8% for &lt;65 years). The ESC was concerned the higher rates of falls in the clinical trials were of particular concern for the PBS population, which was likely to be older than the clinical trial populations</w:t>
      </w:r>
      <w:r w:rsidR="00850A42" w:rsidRPr="00806B36">
        <w:t xml:space="preserve">. The ESC considered </w:t>
      </w:r>
      <w:r w:rsidRPr="00806B36">
        <w:t>the higher rates of somnolence observed further exacerbated this risk. Overall, the ESC considered the costs and impact of adverse events had not been adequately accounted for throughout the submission, especially in the economic model and financial estimates.</w:t>
      </w:r>
    </w:p>
    <w:p w14:paraId="7D55C044" w14:textId="020E456F" w:rsidR="008E1F17" w:rsidRPr="00806B36" w:rsidRDefault="008E1F17" w:rsidP="00562542">
      <w:pPr>
        <w:pStyle w:val="COMexecsumnumberedpara"/>
      </w:pPr>
      <w:bookmarkStart w:id="38" w:name="_Ref132198430"/>
      <w:r w:rsidRPr="00806B36">
        <w:t xml:space="preserve">The frequency of serious adverse events was higher in patients treated with difelikefalin compared to placebo. The most common serious adverse event reported in both trials was infections and infestations, with similar frequencies of occurrence between arms in KALM-1 </w:t>
      </w:r>
      <w:r w:rsidR="006B41BD" w:rsidRPr="00806B36">
        <w:t>(</w:t>
      </w:r>
      <w:r w:rsidRPr="00806B36">
        <w:t>difelikefalin 8%, placebo 8%) but with different frequencies in KALM-2 (difelikefalin 9%, placebo 6%). There were also higher incidences of cardiac (difelikefalin 5%, placebo 2%) and respiratory disorders (difelikefalin 4%, placebo 2%) in the difelikefalin arms across the key trials.</w:t>
      </w:r>
      <w:bookmarkEnd w:id="38"/>
    </w:p>
    <w:p w14:paraId="7E116715" w14:textId="788A7376" w:rsidR="008E1F17" w:rsidRPr="00806B36" w:rsidRDefault="008E1F17" w:rsidP="00562542">
      <w:pPr>
        <w:pStyle w:val="COMexecsumnumberedpara"/>
      </w:pPr>
      <w:r w:rsidRPr="00806B36">
        <w:t>During the double-blind treatment period across the key trials, 4 deaths occurred in the difelikefalin arms (2 due to sepsis, 1 due to anaemia/cardiorespiratory failure and 1 due to cardiac arrest) and 4 deaths occurred in the placebo arms (2 due to sepsis, 1 due to dyspnoea/hypotension and 1 due to cardiac arrest). One death of unknown cause occurred in the placebo arm during the discontinuation period of the KALM-1 trial. None of the deaths were deemed related to the study drug.</w:t>
      </w:r>
    </w:p>
    <w:p w14:paraId="2247AE45" w14:textId="77777777" w:rsidR="00C91216" w:rsidRPr="00806B36" w:rsidRDefault="001C20A1" w:rsidP="00562542">
      <w:pPr>
        <w:pStyle w:val="COMexecsumnumberedpara"/>
      </w:pPr>
      <w:r w:rsidRPr="00806B36">
        <w:t xml:space="preserve">The frequency of adverse events was similar between treatment arms during the open-label extension studies in both trials regardless of treatment sequence. More patients switching from placebo to difelikefalin discontinued treatment due to adverse events. </w:t>
      </w:r>
    </w:p>
    <w:p w14:paraId="69023097" w14:textId="51B7C6FF" w:rsidR="001C20A1" w:rsidRPr="00806B36" w:rsidRDefault="00C91216" w:rsidP="00562542">
      <w:pPr>
        <w:pStyle w:val="COMexecsumnumberedpara"/>
      </w:pPr>
      <w:r w:rsidRPr="00806B36">
        <w:t xml:space="preserve">The most common treatment-emergent adverse events occurring in ≥10% of all patients in the KALM-1 open-label extension were diarrhoea (16%), fall (15%), nausea (15%), hypotension (14%), hyperkalaemia (12%), vomiting (12%), dyspnoea (11%) and pneumonia (11%). The most common serious adverse events (occurring in at least 10 patients) were pneumonia (7%), fluid overload (5%), hyperkalaemia (4%), cardiorespiratory failure (4%), and metabolic encephalopathy, sepsis and dyspnoea (3%). Twenty-two deaths were reported during the </w:t>
      </w:r>
      <w:r w:rsidR="005F44D1" w:rsidRPr="00806B36">
        <w:t>open-label extension</w:t>
      </w:r>
      <w:r w:rsidRPr="00806B36">
        <w:t>, none of which were deemed related to difelikefalin.</w:t>
      </w:r>
    </w:p>
    <w:p w14:paraId="3A664C03" w14:textId="1259F94F" w:rsidR="00C91216" w:rsidRPr="00806B36" w:rsidRDefault="00C91216" w:rsidP="00562542">
      <w:pPr>
        <w:pStyle w:val="COMexecsumnumberedpara"/>
      </w:pPr>
      <w:r w:rsidRPr="00806B36">
        <w:t xml:space="preserve">In the KALM-2 open-label extension, the most common treatment-emergent adverse events occurring in ≥5% of all patients were fall (8%), pneumonia (7%), diarrhoea (6%) and hypotension (6%). The most common serious adverse events (occurring in at least 10 patients) were pneumonia (6%), sepsis (4%) and chest pain (3%). Ten deaths were reported during the </w:t>
      </w:r>
      <w:r w:rsidR="00C13EC1" w:rsidRPr="00806B36">
        <w:t>open-label extension</w:t>
      </w:r>
      <w:r w:rsidRPr="00806B36">
        <w:t>, none of which were deemed related to difelikefalin.</w:t>
      </w:r>
    </w:p>
    <w:p w14:paraId="5C0F9361" w14:textId="75F1AB07" w:rsidR="00B4523C" w:rsidRPr="00806B36" w:rsidRDefault="00B4523C" w:rsidP="00562542">
      <w:pPr>
        <w:pStyle w:val="COMexecsumnumberedpara"/>
      </w:pPr>
      <w:r w:rsidRPr="00806B36">
        <w:t>The submission provided data on potential safety concerns beyond those identified in the clinical trials from the EU Risk Management Plan (March 2022), the Australian-Specific Annex to the EU Risk Management Plan (June 2022) and an integrated safety summary that includes safety data from the broader difelikefalin clinical trials program (December 2020)</w:t>
      </w:r>
      <w:r w:rsidR="00A77B08" w:rsidRPr="00806B36">
        <w:t>.</w:t>
      </w:r>
    </w:p>
    <w:p w14:paraId="533B18F0" w14:textId="2C471080" w:rsidR="00A77B08" w:rsidRPr="00806B36" w:rsidRDefault="00A77B08" w:rsidP="00562542">
      <w:pPr>
        <w:pStyle w:val="COMexecsumnumberedpara"/>
      </w:pPr>
      <w:r w:rsidRPr="00806B36">
        <w:t>The Australian and EU Risk Management Plans included cardiac failure and arrythmias including atrial fibrillation in haemodialysis patients with a medical history of atrial fibrillation as an important potential risk. Missing information included use in patients with severe hepatic impairment, in pregnant and lactating women and in patients with impaired blood brain barrier.</w:t>
      </w:r>
    </w:p>
    <w:p w14:paraId="3D50BC9E" w14:textId="4E163CAE" w:rsidR="00A77B08" w:rsidRPr="00806B36" w:rsidRDefault="00A77B08" w:rsidP="00562542">
      <w:pPr>
        <w:pStyle w:val="COMexecsumnumberedpara"/>
      </w:pPr>
      <w:r w:rsidRPr="00806B36">
        <w:t xml:space="preserve">The submission claimed that difelikefalin has only recently been approved for marketing in any jurisdiction, therefore no post-marketing safety data were available at the time. Difelikefalin was approved by the FDA in August 2021 and by the EMA in April 2022. The </w:t>
      </w:r>
      <w:r w:rsidR="00E52520" w:rsidRPr="00806B36">
        <w:t>P</w:t>
      </w:r>
      <w:r w:rsidRPr="00806B36">
        <w:t xml:space="preserve">roduct </w:t>
      </w:r>
      <w:r w:rsidR="00E52520" w:rsidRPr="00806B36">
        <w:t>I</w:t>
      </w:r>
      <w:r w:rsidRPr="00806B36">
        <w:t>nformation approved by the EMA stated that marketing authorisation was conditional upon submission of the first Periodic Safety Update Report (PSUR) for difelikefalin within 6 months following authorisation.</w:t>
      </w:r>
    </w:p>
    <w:p w14:paraId="2B263165" w14:textId="2C45CECC" w:rsidR="00A77B08" w:rsidRPr="00806B36" w:rsidRDefault="00A77B08" w:rsidP="00562542">
      <w:pPr>
        <w:pStyle w:val="COMexecsumnumberedpara"/>
      </w:pPr>
      <w:bookmarkStart w:id="39" w:name="_Ref126823181"/>
      <w:r w:rsidRPr="00806B36">
        <w:t>During the evaluation, a request was made for any updated safety data including any available post-marketing safety reports. No PSUR was provided, however, the sponsor provided a summary of serious unexpected adverse drug reactions (13 July 2022 cut-off date) considered by the ACM in October 2022. The summary included four cases of drug reactions that were not yet reported to the TGA at the time of ACM’s consideration of difelikefalin in September 2022. Two were considered to be serious unexpected adverse drug reactions potentially related to difelikefalin: DRESS (managed access program); and hallucination and failure to thrive (spontaneous report). The two other cases (COVID-19 and cardiac disorder) were considered unlikely to be related to difelikefalin.</w:t>
      </w:r>
      <w:r w:rsidR="008A0E92" w:rsidRPr="00806B36">
        <w:t xml:space="preserve"> The PSCR and ESC noted an updated Periodic Benefit Risk Evaluation Report (PBRER) was available which did not show additional safety signals. Additionally, </w:t>
      </w:r>
      <w:r w:rsidR="00957F71" w:rsidRPr="00806B36">
        <w:t xml:space="preserve">the PSCR noted </w:t>
      </w:r>
      <w:r w:rsidR="008A0E92" w:rsidRPr="00806B36">
        <w:t>full TGA registration has been approved without any box</w:t>
      </w:r>
      <w:r w:rsidR="00957F71" w:rsidRPr="00806B36">
        <w:t>ed</w:t>
      </w:r>
      <w:r w:rsidR="008A0E92" w:rsidRPr="00806B36">
        <w:t xml:space="preserve"> warnings.</w:t>
      </w:r>
      <w:bookmarkEnd w:id="39"/>
    </w:p>
    <w:p w14:paraId="49ADED6B" w14:textId="652ECD74" w:rsidR="001F60B4" w:rsidRPr="00806B36" w:rsidRDefault="001F60B4" w:rsidP="00562542">
      <w:pPr>
        <w:pStyle w:val="COMexecsumnumberedpara"/>
      </w:pPr>
      <w:r w:rsidRPr="00806B36">
        <w:t xml:space="preserve">The submission claimed that the extended safety data showed that difelikefalin was well-tolerated with an acceptable safety profile for the target PBS population. There are limited long-term safety data based on trials only (up to 64 weeks), with no published post-marketing safety data and emerging </w:t>
      </w:r>
      <w:r w:rsidR="002425BE" w:rsidRPr="00806B36">
        <w:t xml:space="preserve">serious </w:t>
      </w:r>
      <w:r w:rsidRPr="00806B36">
        <w:t>safety signals. The characteristics of the Australian PBS population is uncertain but likely to be older with a potentially greater number of co-morbidities than in the trials. The safety and tolerability of difelikefalin in the PBS population is uncertain.</w:t>
      </w:r>
    </w:p>
    <w:p w14:paraId="04908C7F" w14:textId="381F8EE6" w:rsidR="007F1017" w:rsidRPr="00806B36" w:rsidRDefault="007F1017" w:rsidP="00D86231">
      <w:pPr>
        <w:pStyle w:val="COMH2-non-numbered"/>
      </w:pPr>
      <w:bookmarkStart w:id="40" w:name="_Toc22897643"/>
      <w:bookmarkStart w:id="41" w:name="_Toc124836722"/>
      <w:r w:rsidRPr="00806B36">
        <w:t>Benefits/harms</w:t>
      </w:r>
      <w:bookmarkEnd w:id="40"/>
      <w:bookmarkEnd w:id="41"/>
    </w:p>
    <w:p w14:paraId="33696279" w14:textId="591BF55C" w:rsidR="002E1071" w:rsidRPr="00806B36" w:rsidRDefault="00A9712B" w:rsidP="00D726B9">
      <w:pPr>
        <w:pStyle w:val="COMexecsumnumberedpara"/>
      </w:pPr>
      <w:bookmarkStart w:id="42" w:name="_Ref130817219"/>
      <w:r w:rsidRPr="00806B36">
        <w:rPr>
          <w:snapToGrid/>
        </w:rPr>
        <w:t xml:space="preserve">On the basis of direct evidence presented in the submission (KALM </w:t>
      </w:r>
      <w:r w:rsidR="00882E83" w:rsidRPr="00806B36">
        <w:rPr>
          <w:snapToGrid/>
        </w:rPr>
        <w:t>trials pooled cohort), for every 100 patients treated with difelikefalin in comparison with</w:t>
      </w:r>
      <w:r w:rsidR="00BD2F0C" w:rsidRPr="00806B36">
        <w:rPr>
          <w:snapToGrid/>
        </w:rPr>
        <w:t xml:space="preserve"> placebo over 12 weeks</w:t>
      </w:r>
      <w:r w:rsidR="008A2C17" w:rsidRPr="00806B36">
        <w:rPr>
          <w:snapToGrid/>
        </w:rPr>
        <w:t xml:space="preserve"> there would be</w:t>
      </w:r>
      <w:r w:rsidR="00BD2F0C" w:rsidRPr="00806B36">
        <w:rPr>
          <w:snapToGrid/>
        </w:rPr>
        <w:t>:</w:t>
      </w:r>
      <w:bookmarkEnd w:id="42"/>
    </w:p>
    <w:p w14:paraId="71E5667B" w14:textId="65157F02" w:rsidR="00BD2F0C" w:rsidRPr="00806B36" w:rsidRDefault="00BD2F0C" w:rsidP="00BD2F0C">
      <w:pPr>
        <w:pStyle w:val="COMexecsummbulletlist"/>
      </w:pPr>
      <w:r w:rsidRPr="00806B36">
        <w:t xml:space="preserve">Approximately </w:t>
      </w:r>
      <w:r w:rsidR="00D47EBB" w:rsidRPr="00806B36">
        <w:t>16 more patients achiev</w:t>
      </w:r>
      <w:r w:rsidR="008A2C17" w:rsidRPr="00806B36">
        <w:t>ing</w:t>
      </w:r>
      <w:r w:rsidR="00D47EBB" w:rsidRPr="00806B36">
        <w:t xml:space="preserve"> </w:t>
      </w:r>
      <w:r w:rsidR="00EE78B1" w:rsidRPr="00806B36">
        <w:rPr>
          <w:rFonts w:cstheme="minorHAnsi"/>
        </w:rPr>
        <w:t xml:space="preserve">an improvement in itch intensity, based on ≥3-point improvement in WI-NRS score </w:t>
      </w:r>
      <w:r w:rsidR="003C47AB" w:rsidRPr="00806B36">
        <w:rPr>
          <w:rFonts w:cstheme="minorHAnsi"/>
        </w:rPr>
        <w:t>from baseline</w:t>
      </w:r>
      <w:r w:rsidR="00713FFD" w:rsidRPr="00806B36">
        <w:rPr>
          <w:rFonts w:cstheme="minorHAnsi"/>
        </w:rPr>
        <w:t xml:space="preserve"> (see </w:t>
      </w:r>
      <w:r w:rsidR="00713FFD" w:rsidRPr="00806B36">
        <w:rPr>
          <w:rFonts w:cstheme="minorHAnsi"/>
        </w:rPr>
        <w:fldChar w:fldCharType="begin"/>
      </w:r>
      <w:r w:rsidR="00713FFD" w:rsidRPr="00806B36">
        <w:rPr>
          <w:rFonts w:cstheme="minorHAnsi"/>
        </w:rPr>
        <w:instrText xml:space="preserve"> REF _Ref121662016 \h </w:instrText>
      </w:r>
      <w:r w:rsidR="00713FFD" w:rsidRPr="00806B36">
        <w:rPr>
          <w:rFonts w:cstheme="minorHAnsi"/>
        </w:rPr>
      </w:r>
      <w:r w:rsidR="00713FFD" w:rsidRPr="00806B36">
        <w:rPr>
          <w:rFonts w:cstheme="minorHAnsi"/>
        </w:rPr>
        <w:fldChar w:fldCharType="separate"/>
      </w:r>
      <w:r w:rsidR="00487C7F" w:rsidRPr="00806B36">
        <w:t xml:space="preserve">Table </w:t>
      </w:r>
      <w:r w:rsidR="00487C7F">
        <w:rPr>
          <w:noProof/>
        </w:rPr>
        <w:t>4</w:t>
      </w:r>
      <w:r w:rsidR="00713FFD" w:rsidRPr="00806B36">
        <w:rPr>
          <w:rFonts w:cstheme="minorHAnsi"/>
        </w:rPr>
        <w:fldChar w:fldCharType="end"/>
      </w:r>
      <w:r w:rsidR="00713FFD" w:rsidRPr="00806B36">
        <w:rPr>
          <w:rFonts w:cstheme="minorHAnsi"/>
        </w:rPr>
        <w:t>)</w:t>
      </w:r>
      <w:r w:rsidR="00182AC4" w:rsidRPr="00806B36">
        <w:rPr>
          <w:rFonts w:cstheme="minorHAnsi"/>
        </w:rPr>
        <w:t>.</w:t>
      </w:r>
    </w:p>
    <w:p w14:paraId="4FBB64A4" w14:textId="40112F14" w:rsidR="00C601FC" w:rsidRPr="00806B36" w:rsidRDefault="0062026B" w:rsidP="00BD2F0C">
      <w:pPr>
        <w:pStyle w:val="COMexecsummbulletlist"/>
      </w:pPr>
      <w:r w:rsidRPr="00806B36">
        <w:rPr>
          <w:rFonts w:cstheme="minorHAnsi"/>
        </w:rPr>
        <w:t xml:space="preserve">Approximately </w:t>
      </w:r>
      <w:r w:rsidR="00796C29" w:rsidRPr="00806B36">
        <w:rPr>
          <w:rFonts w:cstheme="minorHAnsi"/>
        </w:rPr>
        <w:t>1</w:t>
      </w:r>
      <w:r w:rsidR="009F2209" w:rsidRPr="00806B36">
        <w:rPr>
          <w:rFonts w:cstheme="minorHAnsi"/>
        </w:rPr>
        <w:t>4</w:t>
      </w:r>
      <w:r w:rsidR="00B566B9" w:rsidRPr="00806B36">
        <w:rPr>
          <w:rFonts w:cstheme="minorHAnsi"/>
        </w:rPr>
        <w:t xml:space="preserve"> more </w:t>
      </w:r>
      <w:r w:rsidR="00796C29" w:rsidRPr="00806B36">
        <w:rPr>
          <w:rFonts w:cstheme="minorHAnsi"/>
        </w:rPr>
        <w:t>events of diarrhoea</w:t>
      </w:r>
      <w:r w:rsidR="003A1D48" w:rsidRPr="00806B36">
        <w:rPr>
          <w:rFonts w:cstheme="minorHAnsi"/>
        </w:rPr>
        <w:t xml:space="preserve">, </w:t>
      </w:r>
      <w:r w:rsidR="00DB5514" w:rsidRPr="00806B36">
        <w:rPr>
          <w:rFonts w:cstheme="minorHAnsi"/>
        </w:rPr>
        <w:t xml:space="preserve">9 more events of nausea, </w:t>
      </w:r>
      <w:r w:rsidR="008D3415" w:rsidRPr="00806B36">
        <w:rPr>
          <w:rFonts w:cstheme="minorHAnsi"/>
        </w:rPr>
        <w:t xml:space="preserve">13 more events of dizziness, 5 more events of falls/gait disturbance, </w:t>
      </w:r>
      <w:r w:rsidR="002F7486" w:rsidRPr="00806B36">
        <w:rPr>
          <w:rFonts w:cstheme="minorHAnsi"/>
        </w:rPr>
        <w:t>8 more events of headache</w:t>
      </w:r>
      <w:r w:rsidR="00DB5514" w:rsidRPr="00806B36">
        <w:rPr>
          <w:rFonts w:cstheme="minorHAnsi"/>
        </w:rPr>
        <w:t>, 4 more events of somnolence</w:t>
      </w:r>
      <w:r w:rsidR="00182AC4" w:rsidRPr="00806B36">
        <w:rPr>
          <w:rFonts w:cstheme="minorHAnsi"/>
        </w:rPr>
        <w:t>,</w:t>
      </w:r>
      <w:r w:rsidR="00F37590" w:rsidRPr="00806B36">
        <w:rPr>
          <w:rFonts w:cstheme="minorHAnsi"/>
        </w:rPr>
        <w:t xml:space="preserve"> 8 more events of mental status change</w:t>
      </w:r>
      <w:r w:rsidR="00182AC4" w:rsidRPr="00806B36">
        <w:rPr>
          <w:rFonts w:cstheme="minorHAnsi"/>
        </w:rPr>
        <w:t xml:space="preserve"> and </w:t>
      </w:r>
      <w:r w:rsidR="0014702B" w:rsidRPr="00806B36">
        <w:rPr>
          <w:rFonts w:cstheme="minorHAnsi"/>
        </w:rPr>
        <w:t>5 more events of hyperkalaemia</w:t>
      </w:r>
      <w:r w:rsidR="00713FFD" w:rsidRPr="00806B36">
        <w:rPr>
          <w:rFonts w:cstheme="minorHAnsi"/>
        </w:rPr>
        <w:t xml:space="preserve"> (see </w:t>
      </w:r>
      <w:r w:rsidR="00713FFD" w:rsidRPr="00806B36">
        <w:rPr>
          <w:rFonts w:cstheme="minorHAnsi"/>
        </w:rPr>
        <w:fldChar w:fldCharType="begin"/>
      </w:r>
      <w:r w:rsidR="00713FFD" w:rsidRPr="00806B36">
        <w:rPr>
          <w:rFonts w:cstheme="minorHAnsi"/>
        </w:rPr>
        <w:instrText xml:space="preserve"> REF _Ref121729983 \h </w:instrText>
      </w:r>
      <w:r w:rsidR="00713FFD" w:rsidRPr="00806B36">
        <w:rPr>
          <w:rFonts w:cstheme="minorHAnsi"/>
        </w:rPr>
      </w:r>
      <w:r w:rsidR="00713FFD" w:rsidRPr="00806B36">
        <w:rPr>
          <w:rFonts w:cstheme="minorHAnsi"/>
        </w:rPr>
        <w:fldChar w:fldCharType="separate"/>
      </w:r>
      <w:r w:rsidR="00487C7F" w:rsidRPr="00806B36">
        <w:t xml:space="preserve">Table </w:t>
      </w:r>
      <w:r w:rsidR="00487C7F">
        <w:rPr>
          <w:noProof/>
        </w:rPr>
        <w:t>6</w:t>
      </w:r>
      <w:r w:rsidR="00713FFD" w:rsidRPr="00806B36">
        <w:rPr>
          <w:rFonts w:cstheme="minorHAnsi"/>
        </w:rPr>
        <w:fldChar w:fldCharType="end"/>
      </w:r>
      <w:r w:rsidR="00713FFD" w:rsidRPr="00806B36">
        <w:rPr>
          <w:rFonts w:cstheme="minorHAnsi"/>
        </w:rPr>
        <w:t>)</w:t>
      </w:r>
      <w:r w:rsidR="00182AC4" w:rsidRPr="00806B36">
        <w:rPr>
          <w:rFonts w:cstheme="minorHAnsi"/>
        </w:rPr>
        <w:t>.</w:t>
      </w:r>
      <w:r w:rsidR="002F7486" w:rsidRPr="00806B36">
        <w:rPr>
          <w:rFonts w:cstheme="minorHAnsi"/>
        </w:rPr>
        <w:t xml:space="preserve"> </w:t>
      </w:r>
    </w:p>
    <w:p w14:paraId="7F0E1F74" w14:textId="58CC32E2" w:rsidR="00CD4257" w:rsidRPr="00806B36" w:rsidRDefault="0014702B" w:rsidP="00BD2F0C">
      <w:pPr>
        <w:pStyle w:val="COMexecsummbulletlist"/>
      </w:pPr>
      <w:r w:rsidRPr="00806B36">
        <w:rPr>
          <w:rFonts w:cstheme="minorHAnsi"/>
        </w:rPr>
        <w:t xml:space="preserve">Approximately 3 more patients with </w:t>
      </w:r>
      <w:r w:rsidR="00D726B9" w:rsidRPr="00806B36">
        <w:rPr>
          <w:rFonts w:cstheme="minorHAnsi"/>
        </w:rPr>
        <w:t>serious cardiac disorders and approximately 2 more patients with serious respiratory disorders</w:t>
      </w:r>
      <w:r w:rsidR="00713FFD" w:rsidRPr="00806B36">
        <w:rPr>
          <w:rFonts w:cstheme="minorHAnsi"/>
        </w:rPr>
        <w:t xml:space="preserve"> (see paragraph </w:t>
      </w:r>
      <w:r w:rsidR="00713FFD" w:rsidRPr="00806B36">
        <w:rPr>
          <w:rFonts w:cstheme="minorHAnsi"/>
        </w:rPr>
        <w:fldChar w:fldCharType="begin"/>
      </w:r>
      <w:r w:rsidR="00713FFD" w:rsidRPr="00806B36">
        <w:rPr>
          <w:rFonts w:cstheme="minorHAnsi"/>
        </w:rPr>
        <w:instrText xml:space="preserve"> REF _Ref132198430 \r \h </w:instrText>
      </w:r>
      <w:r w:rsidR="00713FFD" w:rsidRPr="00806B36">
        <w:rPr>
          <w:rFonts w:cstheme="minorHAnsi"/>
        </w:rPr>
      </w:r>
      <w:r w:rsidR="00713FFD" w:rsidRPr="00806B36">
        <w:rPr>
          <w:rFonts w:cstheme="minorHAnsi"/>
        </w:rPr>
        <w:fldChar w:fldCharType="separate"/>
      </w:r>
      <w:r w:rsidR="00487C7F">
        <w:rPr>
          <w:rFonts w:cstheme="minorHAnsi"/>
        </w:rPr>
        <w:t>6.45</w:t>
      </w:r>
      <w:r w:rsidR="00713FFD" w:rsidRPr="00806B36">
        <w:rPr>
          <w:rFonts w:cstheme="minorHAnsi"/>
        </w:rPr>
        <w:fldChar w:fldCharType="end"/>
      </w:r>
      <w:r w:rsidR="00713FFD" w:rsidRPr="00806B36">
        <w:rPr>
          <w:rFonts w:cstheme="minorHAnsi"/>
        </w:rPr>
        <w:t>)</w:t>
      </w:r>
      <w:r w:rsidR="00D726B9" w:rsidRPr="00806B36">
        <w:rPr>
          <w:rFonts w:cstheme="minorHAnsi"/>
        </w:rPr>
        <w:t xml:space="preserve">. </w:t>
      </w:r>
    </w:p>
    <w:p w14:paraId="7A1772B6" w14:textId="21023AE6" w:rsidR="00B60939" w:rsidRPr="00806B36" w:rsidRDefault="00B60939" w:rsidP="00E9094A">
      <w:pPr>
        <w:pStyle w:val="COMH2-non-numbered"/>
      </w:pPr>
      <w:bookmarkStart w:id="43" w:name="_Toc22897644"/>
      <w:bookmarkStart w:id="44" w:name="_Toc124836723"/>
      <w:r w:rsidRPr="00806B36">
        <w:t>Clinical claim</w:t>
      </w:r>
      <w:bookmarkEnd w:id="43"/>
      <w:bookmarkEnd w:id="44"/>
    </w:p>
    <w:p w14:paraId="289EAA5E" w14:textId="3C1AA21D" w:rsidR="007C70FF" w:rsidRPr="00806B36" w:rsidRDefault="00754466" w:rsidP="00754466">
      <w:pPr>
        <w:pStyle w:val="COMexecsumnumberedpara"/>
      </w:pPr>
      <w:r w:rsidRPr="00806B36">
        <w:t>The submission described difelikefalin as superior in terms of efficacy and inferior in terms of safety compared to best supportive care. T</w:t>
      </w:r>
      <w:r w:rsidR="00FC6922" w:rsidRPr="00806B36">
        <w:t>he ESC agreed with the evaluation that t</w:t>
      </w:r>
      <w:r w:rsidRPr="00806B36">
        <w:t>his claim appeared reasonable based on the data from the key trials.</w:t>
      </w:r>
    </w:p>
    <w:p w14:paraId="1CA495D6" w14:textId="3481CA57" w:rsidR="00754466" w:rsidRPr="00806B36" w:rsidRDefault="00754466" w:rsidP="00754466">
      <w:pPr>
        <w:pStyle w:val="COMexecsumnumberedpara"/>
      </w:pPr>
      <w:r w:rsidRPr="00806B36">
        <w:t>There were limited clinical data on difelikefalin use beyond 64 weeks in the key trials. No post-market safety reports were available at the time of evaluation, with emerging safety signals such as DRESS (Drug Rash with Eosinophilia and Systemic Symptoms), cardiovascular disorders and hallucinations from recent case reports of serious events</w:t>
      </w:r>
      <w:r w:rsidR="00FC6922" w:rsidRPr="00806B36">
        <w:t>.</w:t>
      </w:r>
      <w:r w:rsidR="008A0E92" w:rsidRPr="00806B36">
        <w:t xml:space="preserve"> </w:t>
      </w:r>
      <w:r w:rsidR="00FC6922" w:rsidRPr="00806B36">
        <w:t>H</w:t>
      </w:r>
      <w:r w:rsidR="008A0E92" w:rsidRPr="00806B36">
        <w:t>owever, the</w:t>
      </w:r>
      <w:r w:rsidR="00FC6922" w:rsidRPr="00806B36">
        <w:t xml:space="preserve"> ESC noted the</w:t>
      </w:r>
      <w:r w:rsidR="008A0E92" w:rsidRPr="00806B36">
        <w:t xml:space="preserve"> PBRER provided </w:t>
      </w:r>
      <w:r w:rsidR="00FC6922" w:rsidRPr="00806B36">
        <w:t xml:space="preserve">with the PSCR </w:t>
      </w:r>
      <w:r w:rsidR="008A0E92" w:rsidRPr="00806B36">
        <w:t xml:space="preserve">did not show any additional safety signals (see paragraph </w:t>
      </w:r>
      <w:r w:rsidR="008A0E92" w:rsidRPr="00806B36">
        <w:fldChar w:fldCharType="begin"/>
      </w:r>
      <w:r w:rsidR="008A0E92" w:rsidRPr="00806B36">
        <w:instrText xml:space="preserve"> REF _Ref126823181 \r \h </w:instrText>
      </w:r>
      <w:r w:rsidR="009770E4" w:rsidRPr="00806B36">
        <w:instrText xml:space="preserve"> \* MERGEFORMAT </w:instrText>
      </w:r>
      <w:r w:rsidR="008A0E92" w:rsidRPr="00806B36">
        <w:fldChar w:fldCharType="separate"/>
      </w:r>
      <w:r w:rsidR="00487C7F">
        <w:t>6.53</w:t>
      </w:r>
      <w:r w:rsidR="008A0E92" w:rsidRPr="00806B36">
        <w:fldChar w:fldCharType="end"/>
      </w:r>
      <w:r w:rsidR="008A0E92" w:rsidRPr="00806B36">
        <w:t>)</w:t>
      </w:r>
      <w:r w:rsidR="00FC6922" w:rsidRPr="00806B36">
        <w:t xml:space="preserve"> and TGA approval had been granted without any boxed warnings</w:t>
      </w:r>
      <w:r w:rsidRPr="00806B36">
        <w:t xml:space="preserve">. </w:t>
      </w:r>
    </w:p>
    <w:p w14:paraId="287A6EDD" w14:textId="0485F9EF" w:rsidR="00F97FA8" w:rsidRPr="00806B36" w:rsidRDefault="00754466" w:rsidP="00754466">
      <w:pPr>
        <w:pStyle w:val="COMexecsumnumberedpara"/>
      </w:pPr>
      <w:bookmarkStart w:id="45" w:name="_Ref126748150"/>
      <w:r w:rsidRPr="00806B36">
        <w:t xml:space="preserve">It was unclear whether the magnitude of benefit observed in the key trials is applicable to the PBS population. There are potential differences in terms of demographics and renal disease characteristics (e.g. age, co-morbidities), haemodialysis requirements, the assessment of CKD-associated pruritus and disease severity, and best supportive care treatments. Regional differences in treatment and placebo response rates were also observed in the key trials, with a smaller difelikefalin treatment effect observed in the KALM-2 global trial compared to the US-based KALM-1 trial. </w:t>
      </w:r>
      <w:r w:rsidR="00F97FA8" w:rsidRPr="00806B36">
        <w:t>The ESC considered the post hoc subgroup analyses provided were not sufficiently reliable to exclude a different magnitude of benefit in the PBS population compared to the key trials.</w:t>
      </w:r>
    </w:p>
    <w:bookmarkEnd w:id="45"/>
    <w:p w14:paraId="4024D639" w14:textId="2FE98391" w:rsidR="006F6062" w:rsidRPr="00806B36" w:rsidRDefault="00CB1FA0" w:rsidP="006F6062">
      <w:pPr>
        <w:pStyle w:val="COMexecsumnumberedpara"/>
      </w:pPr>
      <w:r w:rsidRPr="00806B36">
        <w:t>The risk-benefit profile of difelikefalin in the Australian PBS population is uncertain</w:t>
      </w:r>
      <w:r w:rsidR="006F6062" w:rsidRPr="00806B36">
        <w:t xml:space="preserve"> as the eligible population is likely to be older, with one or more medical conditions that may increase the risk of adverse events associated with difelikefalin including somnolence, falls/gait disturbances and cardiovascular disorders. There are also evidence gaps for subgroups that may access treatment through the simplified restriction:</w:t>
      </w:r>
    </w:p>
    <w:p w14:paraId="3337DB7A" w14:textId="188EC1EA" w:rsidR="006F6062" w:rsidRPr="00806B36" w:rsidRDefault="006F6062" w:rsidP="006F6062">
      <w:pPr>
        <w:pStyle w:val="COMexecsummbulletlist"/>
      </w:pPr>
      <w:r w:rsidRPr="00806B36">
        <w:t>There are no efficacy or safety data for difelikefalin in patients with mild pruritus or those with acute or relapsing-remitting pruritus.</w:t>
      </w:r>
      <w:r w:rsidR="00E27AC9" w:rsidRPr="00806B36">
        <w:t xml:space="preserve"> The PSCR argued that as standard care is likely to be used first for all patients, the risk of use in mild pruritus was low</w:t>
      </w:r>
      <w:r w:rsidR="00F97FA8" w:rsidRPr="00806B36">
        <w:t>.</w:t>
      </w:r>
      <w:r w:rsidR="00E27AC9" w:rsidRPr="00806B36">
        <w:t xml:space="preserve"> </w:t>
      </w:r>
      <w:r w:rsidR="00F97FA8" w:rsidRPr="00806B36">
        <w:t>H</w:t>
      </w:r>
      <w:r w:rsidR="00E27AC9" w:rsidRPr="00806B36">
        <w:t>owever</w:t>
      </w:r>
      <w:r w:rsidR="00F97FA8" w:rsidRPr="00806B36">
        <w:t>,</w:t>
      </w:r>
      <w:r w:rsidR="00E27AC9" w:rsidRPr="00806B36">
        <w:t xml:space="preserve"> the ESC considered the use in people with milder disease was likely given the ease of administration with haemodialysis and lack of alternative highly effective treatments.</w:t>
      </w:r>
    </w:p>
    <w:p w14:paraId="3C8DED3E" w14:textId="37B1EBAD" w:rsidR="009770E4" w:rsidRPr="00806B36" w:rsidRDefault="006F6062" w:rsidP="009770E4">
      <w:pPr>
        <w:pStyle w:val="COMexecsummbulletlist"/>
      </w:pPr>
      <w:r w:rsidRPr="00806B36">
        <w:t xml:space="preserve">The risk-benefit profile of continuing treatment in patients without adequate response is unknown. No subgroup characteristics or results were presented for the subgroup of patients who were responders (defined as ≥5-point improvement </w:t>
      </w:r>
      <w:r w:rsidR="00321F09" w:rsidRPr="00806B36">
        <w:t xml:space="preserve">on the 5-D Itch scale </w:t>
      </w:r>
      <w:r w:rsidRPr="00806B36">
        <w:t>at 12 weeks) in the KALM trials, used to inform the extrapolated period of the economic model</w:t>
      </w:r>
      <w:r w:rsidR="00E27AC9" w:rsidRPr="00806B36">
        <w:t xml:space="preserve"> and financial estimates. The PSCR argued the intent of the restriction was that patients who do not response would not continue treatment, as they would be receiving no benefit but at risk of adverse events.</w:t>
      </w:r>
    </w:p>
    <w:p w14:paraId="077FE673" w14:textId="3179BFBD" w:rsidR="009770E4" w:rsidRPr="00806B36" w:rsidRDefault="009770E4" w:rsidP="009770E4">
      <w:pPr>
        <w:widowControl w:val="0"/>
        <w:numPr>
          <w:ilvl w:val="1"/>
          <w:numId w:val="1"/>
        </w:numPr>
        <w:spacing w:after="120"/>
        <w:rPr>
          <w:rFonts w:asciiTheme="minorHAnsi" w:hAnsiTheme="minorHAnsi"/>
          <w:snapToGrid w:val="0"/>
          <w:szCs w:val="20"/>
        </w:rPr>
      </w:pPr>
      <w:bookmarkStart w:id="46" w:name="_Hlk76376200"/>
      <w:r w:rsidRPr="00806B36">
        <w:rPr>
          <w:rFonts w:asciiTheme="minorHAnsi" w:hAnsiTheme="minorHAnsi"/>
          <w:iCs/>
          <w:snapToGrid w:val="0"/>
        </w:rPr>
        <w:t>The</w:t>
      </w:r>
      <w:r w:rsidRPr="00806B36">
        <w:rPr>
          <w:rFonts w:asciiTheme="minorHAnsi" w:hAnsiTheme="minorHAnsi"/>
          <w:snapToGrid w:val="0"/>
          <w:szCs w:val="20"/>
        </w:rPr>
        <w:t xml:space="preserve"> PBAC considered</w:t>
      </w:r>
      <w:r w:rsidR="001976E9" w:rsidRPr="00806B36">
        <w:rPr>
          <w:rFonts w:asciiTheme="minorHAnsi" w:hAnsiTheme="minorHAnsi"/>
          <w:snapToGrid w:val="0"/>
          <w:szCs w:val="20"/>
        </w:rPr>
        <w:t>, based on the available data,</w:t>
      </w:r>
      <w:r w:rsidRPr="00806B36">
        <w:rPr>
          <w:rFonts w:asciiTheme="minorHAnsi" w:hAnsiTheme="minorHAnsi"/>
          <w:snapToGrid w:val="0"/>
          <w:szCs w:val="20"/>
        </w:rPr>
        <w:t xml:space="preserve"> that the claim of superior comparative effectiveness was</w:t>
      </w:r>
      <w:r w:rsidR="001976E9" w:rsidRPr="00806B36">
        <w:rPr>
          <w:rFonts w:asciiTheme="minorHAnsi" w:hAnsiTheme="minorHAnsi"/>
          <w:snapToGrid w:val="0"/>
          <w:szCs w:val="20"/>
        </w:rPr>
        <w:t xml:space="preserve"> likely to be</w:t>
      </w:r>
      <w:r w:rsidRPr="00806B36">
        <w:rPr>
          <w:rFonts w:asciiTheme="minorHAnsi" w:hAnsiTheme="minorHAnsi"/>
          <w:snapToGrid w:val="0"/>
          <w:szCs w:val="20"/>
        </w:rPr>
        <w:t xml:space="preserve"> reasonable</w:t>
      </w:r>
      <w:r w:rsidR="001976E9" w:rsidRPr="00806B36">
        <w:rPr>
          <w:rFonts w:asciiTheme="minorHAnsi" w:hAnsiTheme="minorHAnsi"/>
          <w:snapToGrid w:val="0"/>
          <w:szCs w:val="20"/>
        </w:rPr>
        <w:t>.</w:t>
      </w:r>
    </w:p>
    <w:p w14:paraId="2A7BF790" w14:textId="7DBD5DB2" w:rsidR="009770E4" w:rsidRPr="00806B36" w:rsidRDefault="009770E4" w:rsidP="007724DB">
      <w:pPr>
        <w:widowControl w:val="0"/>
        <w:numPr>
          <w:ilvl w:val="1"/>
          <w:numId w:val="1"/>
        </w:numPr>
        <w:spacing w:after="120"/>
        <w:rPr>
          <w:rFonts w:asciiTheme="minorHAnsi" w:hAnsiTheme="minorHAnsi"/>
          <w:snapToGrid w:val="0"/>
          <w:szCs w:val="20"/>
        </w:rPr>
      </w:pPr>
      <w:r w:rsidRPr="00806B36">
        <w:rPr>
          <w:rFonts w:asciiTheme="minorHAnsi" w:hAnsiTheme="minorHAnsi"/>
          <w:snapToGrid w:val="0"/>
          <w:szCs w:val="20"/>
        </w:rPr>
        <w:t>The PBAC considered that the claim of inferior comparative safety was reasonable</w:t>
      </w:r>
      <w:r w:rsidR="001976E9" w:rsidRPr="00806B36">
        <w:rPr>
          <w:rFonts w:asciiTheme="minorHAnsi" w:hAnsiTheme="minorHAnsi"/>
          <w:snapToGrid w:val="0"/>
          <w:szCs w:val="20"/>
        </w:rPr>
        <w:t>.</w:t>
      </w:r>
      <w:bookmarkEnd w:id="46"/>
    </w:p>
    <w:p w14:paraId="74A1172E" w14:textId="1F2EDB1F" w:rsidR="00B60939" w:rsidRPr="00806B36" w:rsidRDefault="00B60939" w:rsidP="00E9094A">
      <w:pPr>
        <w:pStyle w:val="COMH2-non-numbered"/>
      </w:pPr>
      <w:bookmarkStart w:id="47" w:name="_Toc22897645"/>
      <w:bookmarkStart w:id="48" w:name="_Toc124836724"/>
      <w:r w:rsidRPr="00806B36">
        <w:t>Economic analysis</w:t>
      </w:r>
      <w:bookmarkEnd w:id="47"/>
      <w:bookmarkEnd w:id="48"/>
      <w:r w:rsidR="00491B3A" w:rsidRPr="00806B36">
        <w:t xml:space="preserve"> </w:t>
      </w:r>
    </w:p>
    <w:p w14:paraId="14C1E8F9" w14:textId="237A03E7" w:rsidR="00275C5A" w:rsidRPr="00806B36" w:rsidRDefault="000A1D61" w:rsidP="000A1D61">
      <w:pPr>
        <w:pStyle w:val="COMexecsumnumberedpara"/>
        <w:rPr>
          <w:b/>
          <w:bCs/>
        </w:rPr>
      </w:pPr>
      <w:r w:rsidRPr="00806B36">
        <w:t>The economic evaluation was based on difelikefalin versus best supportive care in patients on haemodialysis with moderate to severe CKD-associated pruritus. The modelled population and treatment effects were based on pooled data from the KALM-1 and KALM-2 double-blind trials and open-label extension studies as well as other modelled variables. The economic evaluation was presented as a cost-effectiveness/cost-utility analysis.</w:t>
      </w:r>
    </w:p>
    <w:p w14:paraId="15A9AFA4" w14:textId="34BE5659" w:rsidR="00275C5A" w:rsidRPr="00806B36" w:rsidRDefault="008A2C17" w:rsidP="00FD4ED6">
      <w:pPr>
        <w:pStyle w:val="COMtablefigcaption"/>
      </w:pPr>
      <w:r w:rsidRPr="00806B36">
        <w:t xml:space="preserve">Table </w:t>
      </w:r>
      <w:r w:rsidR="00487C7F">
        <w:fldChar w:fldCharType="begin"/>
      </w:r>
      <w:r w:rsidR="00487C7F">
        <w:instrText xml:space="preserve"> SEQ Table \* ARABIC </w:instrText>
      </w:r>
      <w:r w:rsidR="00487C7F">
        <w:fldChar w:fldCharType="separate"/>
      </w:r>
      <w:r w:rsidR="00487C7F">
        <w:rPr>
          <w:noProof/>
        </w:rPr>
        <w:t>7</w:t>
      </w:r>
      <w:r w:rsidR="00487C7F">
        <w:rPr>
          <w:noProof/>
        </w:rPr>
        <w:fldChar w:fldCharType="end"/>
      </w:r>
      <w:r w:rsidRPr="00806B36">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7"/>
        <w:gridCol w:w="7060"/>
      </w:tblGrid>
      <w:tr w:rsidR="00584995" w:rsidRPr="00806B36" w14:paraId="2DDDFDDB" w14:textId="77777777" w:rsidTr="0049704D">
        <w:tc>
          <w:tcPr>
            <w:tcW w:w="1085" w:type="pct"/>
            <w:vAlign w:val="center"/>
          </w:tcPr>
          <w:p w14:paraId="62B798EF" w14:textId="77777777" w:rsidR="00584995" w:rsidRPr="00806B36" w:rsidRDefault="00584995" w:rsidP="0049704D">
            <w:pPr>
              <w:pStyle w:val="COMTableheadingrow"/>
              <w:jc w:val="center"/>
              <w:rPr>
                <w:lang w:val="en-AU"/>
              </w:rPr>
            </w:pPr>
            <w:r w:rsidRPr="00806B36">
              <w:rPr>
                <w:lang w:val="en-AU"/>
              </w:rPr>
              <w:t>Component</w:t>
            </w:r>
          </w:p>
        </w:tc>
        <w:tc>
          <w:tcPr>
            <w:tcW w:w="3915" w:type="pct"/>
          </w:tcPr>
          <w:p w14:paraId="3872F998" w14:textId="77777777" w:rsidR="00584995" w:rsidRPr="00806B36" w:rsidRDefault="00584995" w:rsidP="0049704D">
            <w:pPr>
              <w:pStyle w:val="COMTableheadingrow"/>
              <w:jc w:val="center"/>
              <w:rPr>
                <w:lang w:val="en-AU"/>
              </w:rPr>
            </w:pPr>
            <w:r w:rsidRPr="00806B36">
              <w:rPr>
                <w:lang w:val="en-AU"/>
              </w:rPr>
              <w:t>Description</w:t>
            </w:r>
          </w:p>
        </w:tc>
      </w:tr>
      <w:tr w:rsidR="00584995" w:rsidRPr="00806B36" w14:paraId="25553796" w14:textId="77777777" w:rsidTr="0049704D">
        <w:tc>
          <w:tcPr>
            <w:tcW w:w="1085" w:type="pct"/>
            <w:vAlign w:val="center"/>
          </w:tcPr>
          <w:p w14:paraId="41F49DD5" w14:textId="77777777" w:rsidR="00584995" w:rsidRPr="00806B36" w:rsidRDefault="00584995" w:rsidP="0049704D">
            <w:pPr>
              <w:pStyle w:val="COMTabletext"/>
            </w:pPr>
            <w:r w:rsidRPr="00806B36">
              <w:t>Treatments</w:t>
            </w:r>
          </w:p>
        </w:tc>
        <w:tc>
          <w:tcPr>
            <w:tcW w:w="3915" w:type="pct"/>
          </w:tcPr>
          <w:p w14:paraId="6057DA0E" w14:textId="77777777" w:rsidR="00584995" w:rsidRPr="00806B36" w:rsidRDefault="00584995" w:rsidP="0049704D">
            <w:pPr>
              <w:pStyle w:val="COMTabletext"/>
            </w:pPr>
            <w:r w:rsidRPr="00806B36">
              <w:t>Difelikefalin versus best supportive care</w:t>
            </w:r>
          </w:p>
        </w:tc>
      </w:tr>
      <w:tr w:rsidR="00584995" w:rsidRPr="00806B36" w14:paraId="56411EB8" w14:textId="77777777" w:rsidTr="0049704D">
        <w:tc>
          <w:tcPr>
            <w:tcW w:w="1085" w:type="pct"/>
            <w:vAlign w:val="center"/>
          </w:tcPr>
          <w:p w14:paraId="51422991" w14:textId="77777777" w:rsidR="00584995" w:rsidRPr="00806B36" w:rsidRDefault="00584995" w:rsidP="0049704D">
            <w:pPr>
              <w:pStyle w:val="COMTabletext"/>
            </w:pPr>
            <w:r w:rsidRPr="00806B36">
              <w:t>Outcomes</w:t>
            </w:r>
          </w:p>
        </w:tc>
        <w:tc>
          <w:tcPr>
            <w:tcW w:w="3915" w:type="pct"/>
          </w:tcPr>
          <w:p w14:paraId="724182BA" w14:textId="77777777" w:rsidR="00584995" w:rsidRPr="00806B36" w:rsidRDefault="00584995" w:rsidP="0049704D">
            <w:pPr>
              <w:pStyle w:val="COMTabletext"/>
            </w:pPr>
            <w:r w:rsidRPr="00806B36">
              <w:t>Life years and quality-adjusted life years (QALYs)</w:t>
            </w:r>
          </w:p>
        </w:tc>
      </w:tr>
      <w:tr w:rsidR="00584995" w:rsidRPr="00806B36" w14:paraId="2FBA83BE" w14:textId="77777777" w:rsidTr="0049704D">
        <w:tc>
          <w:tcPr>
            <w:tcW w:w="1085" w:type="pct"/>
            <w:vAlign w:val="center"/>
          </w:tcPr>
          <w:p w14:paraId="1B444A25" w14:textId="77777777" w:rsidR="00584995" w:rsidRPr="00806B36" w:rsidRDefault="00584995" w:rsidP="0049704D">
            <w:pPr>
              <w:pStyle w:val="COMTabletext"/>
            </w:pPr>
            <w:r w:rsidRPr="00806B36">
              <w:t>Time horizon</w:t>
            </w:r>
          </w:p>
        </w:tc>
        <w:tc>
          <w:tcPr>
            <w:tcW w:w="3915" w:type="pct"/>
          </w:tcPr>
          <w:p w14:paraId="25DD23FE" w14:textId="77777777" w:rsidR="00584995" w:rsidRPr="00806B36" w:rsidRDefault="00584995" w:rsidP="0049704D">
            <w:pPr>
              <w:pStyle w:val="COMTabletext"/>
            </w:pPr>
            <w:r w:rsidRPr="00806B36">
              <w:t>5 years in the model base case versus 12 weeks comparative trial data and up to an additional 52 weeks in the extension studies</w:t>
            </w:r>
          </w:p>
        </w:tc>
      </w:tr>
      <w:tr w:rsidR="00584995" w:rsidRPr="00806B36" w14:paraId="2CBD39AF" w14:textId="77777777" w:rsidTr="0049704D">
        <w:tc>
          <w:tcPr>
            <w:tcW w:w="1085" w:type="pct"/>
            <w:vAlign w:val="center"/>
          </w:tcPr>
          <w:p w14:paraId="215CD9E8" w14:textId="77777777" w:rsidR="00584995" w:rsidRPr="00806B36" w:rsidRDefault="00584995" w:rsidP="0049704D">
            <w:pPr>
              <w:pStyle w:val="COMTabletext"/>
            </w:pPr>
            <w:r w:rsidRPr="00806B36">
              <w:t>Health states</w:t>
            </w:r>
          </w:p>
        </w:tc>
        <w:tc>
          <w:tcPr>
            <w:tcW w:w="3915" w:type="pct"/>
          </w:tcPr>
          <w:p w14:paraId="02205082" w14:textId="77777777" w:rsidR="00584995" w:rsidRPr="00806B36" w:rsidRDefault="00584995" w:rsidP="0049704D">
            <w:pPr>
              <w:pStyle w:val="COMTabletext"/>
            </w:pPr>
            <w:r w:rsidRPr="00806B36">
              <w:t>5 health states: none (5-D Itch score 5-8), mild (5-D Itch score 9-11), moderate (5-D Itch score 12-17), severe (5-D Itch score 18-25) and dead</w:t>
            </w:r>
          </w:p>
        </w:tc>
      </w:tr>
      <w:tr w:rsidR="00584995" w:rsidRPr="00806B36" w14:paraId="53B18FE7" w14:textId="77777777" w:rsidTr="0049704D">
        <w:tc>
          <w:tcPr>
            <w:tcW w:w="1085" w:type="pct"/>
            <w:vAlign w:val="center"/>
          </w:tcPr>
          <w:p w14:paraId="725AB9BA" w14:textId="77777777" w:rsidR="00584995" w:rsidRPr="00806B36" w:rsidRDefault="00584995" w:rsidP="0049704D">
            <w:pPr>
              <w:pStyle w:val="COMTabletext"/>
            </w:pPr>
            <w:r w:rsidRPr="00806B36">
              <w:t>Cycle length</w:t>
            </w:r>
          </w:p>
        </w:tc>
        <w:tc>
          <w:tcPr>
            <w:tcW w:w="3915" w:type="pct"/>
          </w:tcPr>
          <w:p w14:paraId="1D940C88" w14:textId="77777777" w:rsidR="00584995" w:rsidRPr="00806B36" w:rsidRDefault="00584995" w:rsidP="0049704D">
            <w:pPr>
              <w:pStyle w:val="COMTabletext"/>
            </w:pPr>
            <w:r w:rsidRPr="00806B36">
              <w:t>4 weeks</w:t>
            </w:r>
          </w:p>
        </w:tc>
      </w:tr>
      <w:tr w:rsidR="00584995" w:rsidRPr="00806B36" w14:paraId="39734FEC" w14:textId="77777777" w:rsidTr="0049704D">
        <w:tc>
          <w:tcPr>
            <w:tcW w:w="1085" w:type="pct"/>
            <w:vAlign w:val="center"/>
          </w:tcPr>
          <w:p w14:paraId="5DEA6A3B" w14:textId="77777777" w:rsidR="00584995" w:rsidRPr="00806B36" w:rsidRDefault="00584995" w:rsidP="0049704D">
            <w:pPr>
              <w:pStyle w:val="COMTabletext"/>
            </w:pPr>
            <w:r w:rsidRPr="00806B36">
              <w:t>Transition probabilities and extrapolation</w:t>
            </w:r>
          </w:p>
        </w:tc>
        <w:tc>
          <w:tcPr>
            <w:tcW w:w="3915" w:type="pct"/>
          </w:tcPr>
          <w:p w14:paraId="04FA470F" w14:textId="77777777" w:rsidR="00584995" w:rsidRPr="00806B36" w:rsidRDefault="00584995" w:rsidP="0049704D">
            <w:pPr>
              <w:pStyle w:val="COMTabletext"/>
            </w:pPr>
            <w:r w:rsidRPr="00806B36">
              <w:t xml:space="preserve">Three sets of transition probabilities were estimated for Weeks 0-12, 12-64 and 64+ of the model for difelikefalin-treated patients and best supportive care separately, based on the double-blind period of the KALM trials, open-label extension periods and assumptions. In the extrapolated period (Week 12+) transition probabilities for best supportive care were assumed based on data from difelikefalin-treated patients in the extension studies with adjustments for placebo effects (i.e. patients can no longer improve). Transition probabilities for difelikefalin treated patients in the extrapolated period were derived from unadjusted data from the extension studies. </w:t>
            </w:r>
          </w:p>
          <w:p w14:paraId="1084B3F6" w14:textId="77777777" w:rsidR="00584995" w:rsidRPr="00806B36" w:rsidRDefault="00584995" w:rsidP="0049704D">
            <w:pPr>
              <w:pStyle w:val="COMTabletext"/>
            </w:pPr>
          </w:p>
          <w:p w14:paraId="4DF8AFF8" w14:textId="77777777" w:rsidR="00584995" w:rsidRPr="00806B36" w:rsidRDefault="00584995" w:rsidP="0049704D">
            <w:pPr>
              <w:pStyle w:val="COMTabletext"/>
            </w:pPr>
            <w:r w:rsidRPr="00806B36">
              <w:t xml:space="preserve">Per cycle treatment discontinuations were estimated using trial data. Discontinuations due to inadequate response were estimated using an individual patient analysis of patients not achieving ≥5-point improvement in 5-D Itch score from baseline at 12 weeks. Patients who discontinued difelikefalin treatment assumed the same transition probabilities as those who were on best supportive care. </w:t>
            </w:r>
          </w:p>
          <w:p w14:paraId="5883A17F" w14:textId="77777777" w:rsidR="00584995" w:rsidRPr="00806B36" w:rsidRDefault="00584995" w:rsidP="0049704D">
            <w:pPr>
              <w:pStyle w:val="COMTabletext"/>
            </w:pPr>
          </w:p>
          <w:p w14:paraId="4CD76E43" w14:textId="77777777" w:rsidR="00584995" w:rsidRPr="00806B36" w:rsidRDefault="00584995" w:rsidP="0049704D">
            <w:pPr>
              <w:pStyle w:val="COMTabletext"/>
            </w:pPr>
            <w:r w:rsidRPr="00806B36">
              <w:t>Background mortality was estimated using death rates for dialysis patients in the ANZDATA 44</w:t>
            </w:r>
            <w:r w:rsidRPr="00806B36">
              <w:rPr>
                <w:vertAlign w:val="superscript"/>
              </w:rPr>
              <w:t>th</w:t>
            </w:r>
            <w:r w:rsidRPr="00806B36">
              <w:t xml:space="preserve"> Annual Report 2021. Estimates in the severe pruritus health state were adjusted for increased mortality based on data from the Sukul 2020 observational study.</w:t>
            </w:r>
          </w:p>
          <w:p w14:paraId="7FADD41B" w14:textId="77777777" w:rsidR="00584995" w:rsidRPr="00806B36" w:rsidRDefault="00584995" w:rsidP="0049704D">
            <w:pPr>
              <w:pStyle w:val="COMTabletext"/>
            </w:pPr>
          </w:p>
          <w:p w14:paraId="4AAF12DC" w14:textId="77777777" w:rsidR="00584995" w:rsidRPr="00806B36" w:rsidRDefault="00584995" w:rsidP="0049704D">
            <w:pPr>
              <w:pStyle w:val="COMTabletext"/>
            </w:pPr>
            <w:r w:rsidRPr="00806B36">
              <w:t>99.9% of incremental QALYs and 80.1% of incremental costs occur in the extrapolated period (after 12 weeks).</w:t>
            </w:r>
          </w:p>
        </w:tc>
      </w:tr>
      <w:tr w:rsidR="00584995" w:rsidRPr="00806B36" w14:paraId="51BDDE5F" w14:textId="77777777" w:rsidTr="0049704D">
        <w:tc>
          <w:tcPr>
            <w:tcW w:w="1085" w:type="pct"/>
            <w:vAlign w:val="center"/>
          </w:tcPr>
          <w:p w14:paraId="17CDEDF3" w14:textId="77777777" w:rsidR="00584995" w:rsidRPr="00806B36" w:rsidRDefault="00584995" w:rsidP="0049704D">
            <w:pPr>
              <w:pStyle w:val="COMTabletext"/>
            </w:pPr>
            <w:r w:rsidRPr="00806B36">
              <w:t>Health related quality of life</w:t>
            </w:r>
          </w:p>
        </w:tc>
        <w:tc>
          <w:tcPr>
            <w:tcW w:w="3915" w:type="pct"/>
          </w:tcPr>
          <w:p w14:paraId="522E3541" w14:textId="6A8A89B1" w:rsidR="00584995" w:rsidRPr="00806B36" w:rsidRDefault="00584995" w:rsidP="0049704D">
            <w:pPr>
              <w:pStyle w:val="COMTabletext"/>
            </w:pPr>
            <w:r w:rsidRPr="00806B36">
              <w:t>Based on an unpublished primary utility study in the UK general population undergoing haemodialysis. A linear curve was fitted to mean EQ-5D-3L estimates plotted against total 5-D Itch scores. The midpoints of lower and upper thresholds of each 5-D Itch score health state w</w:t>
            </w:r>
            <w:r w:rsidR="008A2C17" w:rsidRPr="00806B36">
              <w:t>ere</w:t>
            </w:r>
            <w:r w:rsidRPr="00806B36">
              <w:t xml:space="preserve"> used to represent the utility value for each health state (none 0.7024, mild 0.6348, moderate 0.5480 and severe 0.4418).</w:t>
            </w:r>
          </w:p>
        </w:tc>
      </w:tr>
      <w:tr w:rsidR="00584995" w:rsidRPr="00806B36" w14:paraId="1C25D5E3" w14:textId="77777777" w:rsidTr="0049704D">
        <w:tc>
          <w:tcPr>
            <w:tcW w:w="1085" w:type="pct"/>
            <w:vAlign w:val="center"/>
          </w:tcPr>
          <w:p w14:paraId="7C08C198" w14:textId="77777777" w:rsidR="00584995" w:rsidRPr="00806B36" w:rsidRDefault="00584995" w:rsidP="0049704D">
            <w:pPr>
              <w:pStyle w:val="COMTabletext"/>
            </w:pPr>
            <w:r w:rsidRPr="00806B36">
              <w:t>Costs</w:t>
            </w:r>
          </w:p>
        </w:tc>
        <w:tc>
          <w:tcPr>
            <w:tcW w:w="3915" w:type="pct"/>
          </w:tcPr>
          <w:p w14:paraId="76F7D150" w14:textId="77777777" w:rsidR="00584995" w:rsidRPr="00806B36" w:rsidRDefault="00584995" w:rsidP="0049704D">
            <w:pPr>
              <w:pStyle w:val="COMTabletext"/>
            </w:pPr>
            <w:r w:rsidRPr="00806B36">
              <w:t>Drug acquisition costs were estimated using the proposed DPMQ for difelikefalin, and no costs were assumed for best supportive care. Health state costs were based on hospitalisation rates estimated from an observational study of haemodialysis patients (Sukul 2020) and costs based on the NHCDC public sector cost weights for AR-DRG v10.0, Round 23 (2018-2019).</w:t>
            </w:r>
          </w:p>
        </w:tc>
      </w:tr>
      <w:tr w:rsidR="00584995" w:rsidRPr="00806B36" w14:paraId="352D21D1" w14:textId="77777777" w:rsidTr="0049704D">
        <w:tc>
          <w:tcPr>
            <w:tcW w:w="1085" w:type="pct"/>
            <w:vAlign w:val="center"/>
          </w:tcPr>
          <w:p w14:paraId="728B27A0" w14:textId="77777777" w:rsidR="00584995" w:rsidRPr="00806B36" w:rsidRDefault="00584995" w:rsidP="0049704D">
            <w:pPr>
              <w:pStyle w:val="COMTabletext"/>
            </w:pPr>
            <w:r w:rsidRPr="00806B36">
              <w:t>Software package</w:t>
            </w:r>
          </w:p>
        </w:tc>
        <w:tc>
          <w:tcPr>
            <w:tcW w:w="3915" w:type="pct"/>
          </w:tcPr>
          <w:p w14:paraId="5F7C0DE0" w14:textId="77777777" w:rsidR="00584995" w:rsidRPr="00806B36" w:rsidRDefault="00584995" w:rsidP="0049704D">
            <w:pPr>
              <w:pStyle w:val="COMTabletext"/>
            </w:pPr>
            <w:r w:rsidRPr="00806B36">
              <w:t>Excel</w:t>
            </w:r>
          </w:p>
        </w:tc>
      </w:tr>
    </w:tbl>
    <w:p w14:paraId="5FE2FA65" w14:textId="77777777" w:rsidR="00AB4F09" w:rsidRPr="00806B36" w:rsidRDefault="00AB4F09" w:rsidP="00AB4F09">
      <w:pPr>
        <w:pStyle w:val="COMTablefooter"/>
      </w:pPr>
      <w:r w:rsidRPr="00806B36">
        <w:t>Source: Table 42, p160 of the submission</w:t>
      </w:r>
    </w:p>
    <w:p w14:paraId="21ACE948" w14:textId="77777777" w:rsidR="00AB4F09" w:rsidRPr="00806B36" w:rsidRDefault="00AB4F09" w:rsidP="00AB4F09">
      <w:pPr>
        <w:pStyle w:val="COMTablefooter"/>
      </w:pPr>
      <w:r w:rsidRPr="00806B36">
        <w:t>Abbreviations: AR-DRG, Australian Refined Diagnosis Related Groups; NHCDC, National Hospital Cost Data Collection</w:t>
      </w:r>
    </w:p>
    <w:p w14:paraId="363CEF37" w14:textId="50AEFCEB" w:rsidR="001F09F2" w:rsidRPr="00806B36" w:rsidRDefault="003A77E0" w:rsidP="005179B1">
      <w:pPr>
        <w:pStyle w:val="COMexecsumnumberedpara"/>
      </w:pPr>
      <w:r w:rsidRPr="00806B36">
        <w:t xml:space="preserve">The submission used a Markov cohort model structure, with health states defined using 5-D Itch scores of 5-8, 9-11, 12-17 and 18-25 as proxies for different levels of pruritus severity. The submission claimed the 5-D Itch scale was used in preference to </w:t>
      </w:r>
      <w:r w:rsidR="001F09F2" w:rsidRPr="00806B36">
        <w:t xml:space="preserve">WI-NRS </w:t>
      </w:r>
      <w:r w:rsidRPr="00806B36">
        <w:t>given the longer recall period of the 5-D Itch scale (2 weeks) relative to the WI-NRS (daily) and was therefore more suitable to the structure of the economic model and 4-week cycle length.</w:t>
      </w:r>
      <w:r w:rsidR="00633522" w:rsidRPr="00806B36">
        <w:t xml:space="preserve"> The submission claimed the multi-dimensional design of the 5-D Itch scale would also correlate with quality of life.</w:t>
      </w:r>
    </w:p>
    <w:p w14:paraId="06386DE2" w14:textId="496330DE" w:rsidR="003A77E0" w:rsidRPr="00806B36" w:rsidRDefault="005455F3" w:rsidP="00F05C13">
      <w:pPr>
        <w:pStyle w:val="COMexecsumnumberedpara"/>
      </w:pPr>
      <w:r w:rsidRPr="00806B36">
        <w:t>The use of total 5-D Itch score to define the health state</w:t>
      </w:r>
      <w:r w:rsidR="00CE6975" w:rsidRPr="00806B36">
        <w:t>s</w:t>
      </w:r>
      <w:r w:rsidRPr="00806B36">
        <w:t xml:space="preserve"> was inadequately justified as the clinical relevance of changes in 5-D Itch scores is uncertain. </w:t>
      </w:r>
      <w:r w:rsidR="00F05C13" w:rsidRPr="00806B36">
        <w:t>There were additional concerns</w:t>
      </w:r>
      <w:r w:rsidR="00EB1554" w:rsidRPr="00806B36">
        <w:t xml:space="preserve"> with scores derived from the 5-D Itch scale, due to the ‘response’ domain of the questionnaire</w:t>
      </w:r>
      <w:r w:rsidR="00373B5D" w:rsidRPr="00806B36">
        <w:t>. Patients with no prior itch in the past month who responded ‘unchanged’ could end up with higher scores than those with some level of prior itch but indicated that their condition had improved. This appeared counterintuitive as higher scores on the scale would be interpreted as having worse pruritus severity.</w:t>
      </w:r>
      <w:r w:rsidR="00F4797B" w:rsidRPr="00806B36">
        <w:t xml:space="preserve"> </w:t>
      </w:r>
    </w:p>
    <w:p w14:paraId="5346C536" w14:textId="460369B3" w:rsidR="00F05C13" w:rsidRPr="00806B36" w:rsidRDefault="00D7706A" w:rsidP="00F05C13">
      <w:pPr>
        <w:pStyle w:val="COMexecsumnumberedpara"/>
      </w:pPr>
      <w:bookmarkStart w:id="49" w:name="_Ref132194558"/>
      <w:r w:rsidRPr="00806B36">
        <w:t>The reliability of cost-effectiveness estimates based on the model structure was uncertain as modelled benefits were dependent on the assumption that changes in 5-D itch scores (mapped to levels of pruritus severity) would translate to meaningful differences in costs and quality of life.</w:t>
      </w:r>
      <w:bookmarkEnd w:id="49"/>
    </w:p>
    <w:p w14:paraId="0BFAD2EB" w14:textId="3FAB1221" w:rsidR="00AF7DAC" w:rsidRPr="00806B36" w:rsidRDefault="00AF7DAC" w:rsidP="0068438A">
      <w:pPr>
        <w:pStyle w:val="COMexecsumnumberedpara"/>
      </w:pPr>
      <w:bookmarkStart w:id="50" w:name="_Ref132194578"/>
      <w:r w:rsidRPr="00806B36">
        <w:t xml:space="preserve">The PSCR stated that any economic model of difelikefalin in this setting would require translation of the trial outcomes to utility values and QALYs. The PSCR argued that the health states were defined by 5-D itch scores as this was the only outcome in the trials from which utility values could be reliably derived. The PSCR noted the 5-D itch score captures the impact of the itch on daily living and quality of life whereas other scales such as WI-NRS only capture the severity of the itch itself. The PSCR also stated the economic model was structured around health states defined by 5-D itch scores, with upper and lower values for each health state informed by Lai 2017, and noted the health state thresholds employed correlated with the numerical rating scale categories of no, mild, moderate, severe and very severe pruritus. The PSCR argued the mapping study used to translate 5-D itch scores to EQ-5D values showed a clear correlation and therefore the model structure based on this scale was reasonable and reflected the most reliable evidence available. The ESC considered that whilst the approach may reflect the best available evidence, the </w:t>
      </w:r>
      <w:r w:rsidR="006B2697" w:rsidRPr="00806B36">
        <w:t xml:space="preserve">reliability of the </w:t>
      </w:r>
      <w:r w:rsidRPr="00806B36">
        <w:t>mapping approach used was un</w:t>
      </w:r>
      <w:r w:rsidR="00E52520" w:rsidRPr="00806B36">
        <w:t>known</w:t>
      </w:r>
      <w:r w:rsidRPr="00806B36">
        <w:t>.</w:t>
      </w:r>
      <w:bookmarkEnd w:id="50"/>
      <w:r w:rsidRPr="00806B36">
        <w:t xml:space="preserve"> </w:t>
      </w:r>
    </w:p>
    <w:p w14:paraId="5826B616" w14:textId="5F708DE2" w:rsidR="00CE6975" w:rsidRPr="00806B36" w:rsidRDefault="00CE6975" w:rsidP="00F05C13">
      <w:pPr>
        <w:pStyle w:val="COMexecsumnumberedpara"/>
      </w:pPr>
      <w:r w:rsidRPr="00806B36">
        <w:t>Health states defined using 5-D Itch scores of 5-8, 9-11, 12-17 and 18-25 in the submission were referred to as none, mild, moderate and severe in the commentary.</w:t>
      </w:r>
    </w:p>
    <w:p w14:paraId="7BFFFB6D" w14:textId="4A77C9F0" w:rsidR="00CE6975" w:rsidRPr="00806B36" w:rsidRDefault="00CE6975" w:rsidP="00CE6975">
      <w:pPr>
        <w:pStyle w:val="COMexecsumnumberedpara"/>
      </w:pPr>
      <w:r w:rsidRPr="00806B36">
        <w:t>All patients start in the moderate and severe health states (baseline). All patients can die in each cycle. Patients on difelikefalin treatment can also discontinue treatment in each cycle and assume the same transition probabilities as patients on best supportive care with no further treatment costs. A once-off discontinuation rate is also applied at Week 12 of the model to difelikefalin treated patients who did not achieve adequate response.</w:t>
      </w:r>
    </w:p>
    <w:p w14:paraId="708AD25A" w14:textId="08B323D1" w:rsidR="00CE6975" w:rsidRPr="00806B36" w:rsidRDefault="00CE6975" w:rsidP="00CE6975">
      <w:pPr>
        <w:pStyle w:val="COMexecsumnumberedpara"/>
      </w:pPr>
      <w:r w:rsidRPr="00806B36">
        <w:t>In the first 12 weeks, all surviving patients can either remain in the same health state as the prior cycle, move to an improved health state or move to a worse health state. After the first 12 weeks, patients on best supportive care (including those who discontinued from difelikefalin treatment) could only remain in the same health state as the prior cycle or move to a worse health state. Throughout the model duration, patients on difelikefalin treatment could remain in the same health state as the prior cycle, or move to an improved or worse health state.</w:t>
      </w:r>
    </w:p>
    <w:p w14:paraId="37B4237B" w14:textId="3E2D56D1" w:rsidR="00275C5A" w:rsidRPr="00806B36" w:rsidRDefault="005B2D60" w:rsidP="005B2D60">
      <w:pPr>
        <w:pStyle w:val="COMexecsumnumberedpara"/>
      </w:pPr>
      <w:r w:rsidRPr="00806B36">
        <w:t xml:space="preserve">Key drivers of the economic model are summarised in </w:t>
      </w:r>
      <w:r w:rsidR="00F9208E" w:rsidRPr="00806B36">
        <w:fldChar w:fldCharType="begin"/>
      </w:r>
      <w:r w:rsidR="00F9208E" w:rsidRPr="00806B36">
        <w:instrText xml:space="preserve"> REF _Ref104805122 \h </w:instrText>
      </w:r>
      <w:r w:rsidR="00F9208E" w:rsidRPr="00806B36">
        <w:fldChar w:fldCharType="separate"/>
      </w:r>
      <w:r w:rsidR="00487C7F" w:rsidRPr="00806B36">
        <w:t xml:space="preserve">Table </w:t>
      </w:r>
      <w:r w:rsidR="00487C7F">
        <w:rPr>
          <w:noProof/>
        </w:rPr>
        <w:t>8</w:t>
      </w:r>
      <w:r w:rsidR="00F9208E" w:rsidRPr="00806B36">
        <w:fldChar w:fldCharType="end"/>
      </w:r>
      <w:r w:rsidRPr="00806B36">
        <w:t>.</w:t>
      </w:r>
    </w:p>
    <w:p w14:paraId="57A44CB0" w14:textId="693689CB" w:rsidR="005B2D60" w:rsidRPr="00806B36" w:rsidRDefault="005B2D60" w:rsidP="005B2D60">
      <w:pPr>
        <w:pStyle w:val="COMtablefigcaption"/>
      </w:pPr>
      <w:bookmarkStart w:id="51" w:name="_Ref104805122"/>
      <w:r w:rsidRPr="00806B36">
        <w:t xml:space="preserve">Table </w:t>
      </w:r>
      <w:r w:rsidR="00487C7F">
        <w:fldChar w:fldCharType="begin"/>
      </w:r>
      <w:r w:rsidR="00487C7F">
        <w:instrText xml:space="preserve"> SEQ Table \* ARABIC </w:instrText>
      </w:r>
      <w:r w:rsidR="00487C7F">
        <w:fldChar w:fldCharType="separate"/>
      </w:r>
      <w:r w:rsidR="00487C7F">
        <w:rPr>
          <w:noProof/>
        </w:rPr>
        <w:t>8</w:t>
      </w:r>
      <w:r w:rsidR="00487C7F">
        <w:rPr>
          <w:noProof/>
        </w:rPr>
        <w:fldChar w:fldCharType="end"/>
      </w:r>
      <w:bookmarkEnd w:id="51"/>
      <w:r w:rsidRPr="00806B36">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6"/>
        <w:gridCol w:w="6707"/>
        <w:gridCol w:w="1084"/>
      </w:tblGrid>
      <w:tr w:rsidR="005B2D60" w:rsidRPr="00806B36" w14:paraId="3A63C740" w14:textId="77777777" w:rsidTr="00FA6055">
        <w:trPr>
          <w:tblHeader/>
        </w:trPr>
        <w:tc>
          <w:tcPr>
            <w:tcW w:w="680" w:type="pct"/>
            <w:shd w:val="clear" w:color="auto" w:fill="auto"/>
            <w:vAlign w:val="center"/>
          </w:tcPr>
          <w:p w14:paraId="551EE12A" w14:textId="77777777" w:rsidR="005B2D60" w:rsidRPr="00806B36" w:rsidRDefault="005B2D60" w:rsidP="0099792A">
            <w:pPr>
              <w:pStyle w:val="COMTableheadingrow"/>
              <w:rPr>
                <w:lang w:val="en-AU"/>
              </w:rPr>
            </w:pPr>
            <w:r w:rsidRPr="00806B36">
              <w:rPr>
                <w:lang w:val="en-AU"/>
              </w:rPr>
              <w:t>Description</w:t>
            </w:r>
          </w:p>
        </w:tc>
        <w:tc>
          <w:tcPr>
            <w:tcW w:w="3719" w:type="pct"/>
            <w:shd w:val="clear" w:color="auto" w:fill="auto"/>
            <w:vAlign w:val="center"/>
          </w:tcPr>
          <w:p w14:paraId="1CB0F14F" w14:textId="77777777" w:rsidR="005B2D60" w:rsidRPr="00806B36" w:rsidRDefault="005B2D60" w:rsidP="0049704D">
            <w:pPr>
              <w:pStyle w:val="COMTableheadingrow"/>
              <w:jc w:val="center"/>
              <w:rPr>
                <w:lang w:val="en-AU"/>
              </w:rPr>
            </w:pPr>
            <w:r w:rsidRPr="00806B36">
              <w:rPr>
                <w:lang w:val="en-AU"/>
              </w:rPr>
              <w:t>Method/Value</w:t>
            </w:r>
          </w:p>
        </w:tc>
        <w:tc>
          <w:tcPr>
            <w:tcW w:w="602" w:type="pct"/>
            <w:shd w:val="clear" w:color="auto" w:fill="auto"/>
            <w:vAlign w:val="center"/>
          </w:tcPr>
          <w:p w14:paraId="131F7F4F" w14:textId="769E04C3" w:rsidR="005B2D60" w:rsidRPr="00806B36" w:rsidRDefault="005B2D60" w:rsidP="003227AE">
            <w:pPr>
              <w:pStyle w:val="COMTableheadingrow"/>
              <w:jc w:val="center"/>
              <w:rPr>
                <w:lang w:val="en-AU"/>
              </w:rPr>
            </w:pPr>
            <w:r w:rsidRPr="00806B36">
              <w:rPr>
                <w:lang w:val="en-AU"/>
              </w:rPr>
              <w:t>Impact</w:t>
            </w:r>
          </w:p>
        </w:tc>
      </w:tr>
      <w:tr w:rsidR="005B2D60" w:rsidRPr="00806B36" w14:paraId="3B5D5656" w14:textId="77777777" w:rsidTr="00FA6055">
        <w:tc>
          <w:tcPr>
            <w:tcW w:w="680" w:type="pct"/>
            <w:shd w:val="clear" w:color="auto" w:fill="auto"/>
            <w:vAlign w:val="center"/>
          </w:tcPr>
          <w:p w14:paraId="20DFBC04" w14:textId="303D2BE2" w:rsidR="005B2D60" w:rsidRPr="00806B36" w:rsidRDefault="005B2D60" w:rsidP="0099792A">
            <w:pPr>
              <w:pStyle w:val="COMTabletext"/>
            </w:pPr>
            <w:r w:rsidRPr="00806B36">
              <w:t>Extrapolation</w:t>
            </w:r>
            <w:r w:rsidR="003227AE" w:rsidRPr="00806B36">
              <w:t xml:space="preserve"> beyond 12 weeks</w:t>
            </w:r>
          </w:p>
        </w:tc>
        <w:tc>
          <w:tcPr>
            <w:tcW w:w="3719" w:type="pct"/>
            <w:shd w:val="clear" w:color="auto" w:fill="auto"/>
            <w:vAlign w:val="center"/>
          </w:tcPr>
          <w:p w14:paraId="7E05FC10" w14:textId="4417F2AF" w:rsidR="006B31CF" w:rsidRPr="00806B36" w:rsidRDefault="00224B96" w:rsidP="0049704D">
            <w:pPr>
              <w:pStyle w:val="COMTabletext"/>
            </w:pPr>
            <w:r w:rsidRPr="00806B36">
              <w:t xml:space="preserve">Methods used to extrapolate transition probabilities for difelikefalin treated patients resulted in continuing improvements </w:t>
            </w:r>
            <w:r w:rsidR="007E093E" w:rsidRPr="00806B36">
              <w:t>in treatment benefit up to 64 weeks in the model</w:t>
            </w:r>
            <w:r w:rsidR="00B5688F" w:rsidRPr="00806B36">
              <w:t xml:space="preserve">, which are </w:t>
            </w:r>
            <w:r w:rsidR="005825B9" w:rsidRPr="00806B36">
              <w:t xml:space="preserve">then </w:t>
            </w:r>
            <w:r w:rsidR="00B5688F" w:rsidRPr="00806B36">
              <w:t xml:space="preserve">maintained </w:t>
            </w:r>
            <w:r w:rsidR="005825B9" w:rsidRPr="00806B36">
              <w:t xml:space="preserve">over the model duration. </w:t>
            </w:r>
            <w:r w:rsidR="00BB6152" w:rsidRPr="00806B36">
              <w:t xml:space="preserve">This approach may not be appropriate due to concerns with the robustness of data from the extension studies that were stopped prematurely, and unknown applicability of the responder subgroup to patients continuing treatment in practice. </w:t>
            </w:r>
            <w:r w:rsidR="00162209" w:rsidRPr="00806B36">
              <w:t xml:space="preserve">Extrapolated transition probabilities for best supportive care were adjusted for placebo effects, assuming patients could no longer improve. </w:t>
            </w:r>
            <w:r w:rsidR="00320F56" w:rsidRPr="00806B36">
              <w:t xml:space="preserve">No matching adjustments were applied to transition probabilities for difelikefalin-treated patients. This approach was in favour of difelikefalin. </w:t>
            </w:r>
          </w:p>
          <w:p w14:paraId="1B8549D2" w14:textId="77777777" w:rsidR="00DF1A57" w:rsidRPr="00806B36" w:rsidRDefault="00DF1A57" w:rsidP="0049704D">
            <w:pPr>
              <w:pStyle w:val="COMTabletext"/>
            </w:pPr>
          </w:p>
          <w:p w14:paraId="13DA037F" w14:textId="77777777" w:rsidR="00DF1A57" w:rsidRPr="00806B36" w:rsidRDefault="00EF0E0D" w:rsidP="0049704D">
            <w:pPr>
              <w:pStyle w:val="COMTabletext"/>
            </w:pPr>
            <w:r w:rsidRPr="00806B36">
              <w:t xml:space="preserve">Patients discontinuing from difelikefalin treatment assumed the same transition probabilities as best supportive care. This resulted in </w:t>
            </w:r>
            <w:r w:rsidR="00D65AF3" w:rsidRPr="00806B36">
              <w:t xml:space="preserve">patients largely retaining treatment benefit over time without ongoing treatment costs. </w:t>
            </w:r>
          </w:p>
          <w:p w14:paraId="736EC718" w14:textId="77777777" w:rsidR="008C734F" w:rsidRPr="00806B36" w:rsidRDefault="008C734F" w:rsidP="0049704D">
            <w:pPr>
              <w:pStyle w:val="COMTabletext"/>
            </w:pPr>
          </w:p>
          <w:p w14:paraId="5D268FD8" w14:textId="7AFCF96C" w:rsidR="008C734F" w:rsidRPr="00806B36" w:rsidRDefault="008C734F" w:rsidP="0049704D">
            <w:pPr>
              <w:pStyle w:val="COMTabletext"/>
            </w:pPr>
            <w:r w:rsidRPr="00806B36">
              <w:t>The impact of assumptions applied in the extrapolated period were further</w:t>
            </w:r>
            <w:r w:rsidR="00FA6055" w:rsidRPr="00806B36">
              <w:t xml:space="preserve"> explored in a validation exercise conducted during the evaluation period (see </w:t>
            </w:r>
            <w:r w:rsidR="00C67C45" w:rsidRPr="00806B36">
              <w:fldChar w:fldCharType="begin"/>
            </w:r>
            <w:r w:rsidR="00C67C45" w:rsidRPr="00806B36">
              <w:instrText xml:space="preserve"> REF _Ref121730342 \h  \* MERGEFORMAT </w:instrText>
            </w:r>
            <w:r w:rsidR="00C67C45" w:rsidRPr="00806B36">
              <w:fldChar w:fldCharType="separate"/>
            </w:r>
            <w:r w:rsidR="00487C7F" w:rsidRPr="00806B36">
              <w:t xml:space="preserve">Figure </w:t>
            </w:r>
            <w:r w:rsidR="00487C7F">
              <w:t>3</w:t>
            </w:r>
            <w:r w:rsidR="00C67C45" w:rsidRPr="00806B36">
              <w:fldChar w:fldCharType="end"/>
            </w:r>
            <w:r w:rsidR="00FA6055" w:rsidRPr="00806B36">
              <w:t xml:space="preserve"> below).</w:t>
            </w:r>
          </w:p>
        </w:tc>
        <w:tc>
          <w:tcPr>
            <w:tcW w:w="602" w:type="pct"/>
            <w:shd w:val="clear" w:color="auto" w:fill="auto"/>
            <w:vAlign w:val="center"/>
          </w:tcPr>
          <w:p w14:paraId="00D9B765" w14:textId="00968431" w:rsidR="005B2D60" w:rsidRPr="00806B36" w:rsidRDefault="005B2D60" w:rsidP="0049704D">
            <w:pPr>
              <w:pStyle w:val="COMTabletext"/>
            </w:pPr>
            <w:r w:rsidRPr="00806B36">
              <w:t xml:space="preserve">High, favours </w:t>
            </w:r>
            <w:r w:rsidR="003227AE" w:rsidRPr="00806B36">
              <w:t>difelikefalin</w:t>
            </w:r>
          </w:p>
        </w:tc>
      </w:tr>
      <w:tr w:rsidR="005B2D60" w:rsidRPr="00806B36" w14:paraId="177B35B0" w14:textId="77777777" w:rsidTr="00FA6055">
        <w:tc>
          <w:tcPr>
            <w:tcW w:w="680" w:type="pct"/>
            <w:shd w:val="clear" w:color="auto" w:fill="auto"/>
            <w:vAlign w:val="center"/>
          </w:tcPr>
          <w:p w14:paraId="06C60760" w14:textId="4E3C6C81" w:rsidR="005B2D60" w:rsidRPr="00806B36" w:rsidRDefault="005B2D60" w:rsidP="0099792A">
            <w:pPr>
              <w:pStyle w:val="COMTabletext"/>
            </w:pPr>
            <w:r w:rsidRPr="00806B36">
              <w:t>U</w:t>
            </w:r>
            <w:r w:rsidR="00A370D3" w:rsidRPr="00806B36">
              <w:t xml:space="preserve">tility decrements </w:t>
            </w:r>
            <w:r w:rsidR="003227AE" w:rsidRPr="00806B36">
              <w:t>associated with pruritus severity</w:t>
            </w:r>
          </w:p>
        </w:tc>
        <w:tc>
          <w:tcPr>
            <w:tcW w:w="3719" w:type="pct"/>
            <w:shd w:val="clear" w:color="auto" w:fill="auto"/>
            <w:vAlign w:val="center"/>
          </w:tcPr>
          <w:p w14:paraId="2BB36E7B" w14:textId="7A441374" w:rsidR="006771AD" w:rsidRPr="00806B36" w:rsidRDefault="00B62820" w:rsidP="0049704D">
            <w:pPr>
              <w:pStyle w:val="COMTabletext"/>
            </w:pPr>
            <w:r w:rsidRPr="00806B36">
              <w:t>The model included r</w:t>
            </w:r>
            <w:r w:rsidR="00B76D1F" w:rsidRPr="00806B36">
              <w:t>elatively large utility decrements</w:t>
            </w:r>
            <w:r w:rsidR="00675126" w:rsidRPr="00806B36">
              <w:t xml:space="preserve"> </w:t>
            </w:r>
            <w:r w:rsidR="00A4680C" w:rsidRPr="00806B36">
              <w:t>(</w:t>
            </w:r>
            <w:r w:rsidR="00675126" w:rsidRPr="00806B36">
              <w:t>mild -0.0676, moderate -0.1544 and severe -0.2606</w:t>
            </w:r>
            <w:r w:rsidR="00A4680C" w:rsidRPr="00806B36">
              <w:t>) for</w:t>
            </w:r>
            <w:r w:rsidR="0099792A" w:rsidRPr="00806B36">
              <w:t xml:space="preserve"> changes in pruritus</w:t>
            </w:r>
            <w:r w:rsidR="005B2D60" w:rsidRPr="00806B36">
              <w:t xml:space="preserve"> and no disutility for adverse events</w:t>
            </w:r>
            <w:r w:rsidR="00797340" w:rsidRPr="00806B36">
              <w:t xml:space="preserve">. </w:t>
            </w:r>
          </w:p>
          <w:p w14:paraId="745F4B2F" w14:textId="77777777" w:rsidR="006771AD" w:rsidRPr="00806B36" w:rsidRDefault="006771AD" w:rsidP="0049704D">
            <w:pPr>
              <w:pStyle w:val="COMTabletext"/>
            </w:pPr>
          </w:p>
          <w:p w14:paraId="1951F632" w14:textId="3EC6E079" w:rsidR="005B2D60" w:rsidRPr="00806B36" w:rsidRDefault="00290E95" w:rsidP="0049704D">
            <w:pPr>
              <w:pStyle w:val="COMTabletext"/>
            </w:pPr>
            <w:r w:rsidRPr="00806B36">
              <w:t xml:space="preserve">There were multiple concerns with the robustness and applicability of results from the unpublished primary utility study used to inform the utility values for each health state of the model. The submission assumed </w:t>
            </w:r>
            <w:r w:rsidR="007D7F9E" w:rsidRPr="00806B36">
              <w:t xml:space="preserve">a cause-effect relationship between itch </w:t>
            </w:r>
            <w:r w:rsidR="00B505F4" w:rsidRPr="00806B36">
              <w:t xml:space="preserve">scores </w:t>
            </w:r>
            <w:r w:rsidR="007D7F9E" w:rsidRPr="00806B36">
              <w:t>and quality of life</w:t>
            </w:r>
            <w:r w:rsidR="00B505F4" w:rsidRPr="00806B36">
              <w:t>.</w:t>
            </w:r>
          </w:p>
          <w:p w14:paraId="5FB36CFF" w14:textId="77777777" w:rsidR="006771AD" w:rsidRPr="00806B36" w:rsidRDefault="006771AD" w:rsidP="0049704D">
            <w:pPr>
              <w:pStyle w:val="COMTabletext"/>
            </w:pPr>
          </w:p>
          <w:p w14:paraId="76159C8D" w14:textId="4D734A36" w:rsidR="006771AD" w:rsidRPr="00806B36" w:rsidRDefault="006771AD" w:rsidP="0049704D">
            <w:pPr>
              <w:pStyle w:val="COMTabletext"/>
            </w:pPr>
            <w:r w:rsidRPr="00806B36">
              <w:t xml:space="preserve">The lack of disutilities for adverse events </w:t>
            </w:r>
            <w:r w:rsidR="00B2540D" w:rsidRPr="00806B36">
              <w:t>was inappropriate given the claim of inferior safety versus best supportive care. Difelikefalin is associated with a higher frequency of central nervous system (e.g. dizziness, somnolence) and gastrointestinal events (e.g. nausea, vomiting, diarrhoea) as well as serious adverse events such as cardiovascular disorders which are likely to have an impact on quality of life.</w:t>
            </w:r>
          </w:p>
        </w:tc>
        <w:tc>
          <w:tcPr>
            <w:tcW w:w="602" w:type="pct"/>
            <w:shd w:val="clear" w:color="auto" w:fill="auto"/>
            <w:vAlign w:val="center"/>
          </w:tcPr>
          <w:p w14:paraId="3623D3A5" w14:textId="0904195B" w:rsidR="005B2D60" w:rsidRPr="00806B36" w:rsidRDefault="005B2D60" w:rsidP="0049704D">
            <w:pPr>
              <w:pStyle w:val="COMTabletext"/>
            </w:pPr>
            <w:r w:rsidRPr="00806B36">
              <w:t xml:space="preserve">High, favours </w:t>
            </w:r>
            <w:r w:rsidR="003227AE" w:rsidRPr="00806B36">
              <w:t>difelikefalin</w:t>
            </w:r>
          </w:p>
        </w:tc>
      </w:tr>
    </w:tbl>
    <w:p w14:paraId="08A8E46B" w14:textId="303DE799" w:rsidR="005B2D60" w:rsidRPr="00806B36" w:rsidRDefault="005B2D60" w:rsidP="005B2D60">
      <w:pPr>
        <w:pStyle w:val="COMTablefooter"/>
      </w:pPr>
      <w:r w:rsidRPr="00806B36">
        <w:t xml:space="preserve">Source: </w:t>
      </w:r>
      <w:r w:rsidR="00C67C45" w:rsidRPr="00806B36">
        <w:t>constructed during the evaluation</w:t>
      </w:r>
    </w:p>
    <w:p w14:paraId="7EC814C1" w14:textId="7BD8E25C" w:rsidR="00134757" w:rsidRPr="00806B36" w:rsidRDefault="00134757" w:rsidP="0073089B">
      <w:pPr>
        <w:pStyle w:val="COMexecsumnumberedpara"/>
      </w:pPr>
      <w:bookmarkStart w:id="52" w:name="_Ref126748145"/>
      <w:r w:rsidRPr="00806B36">
        <w:t xml:space="preserve">The PSCR </w:t>
      </w:r>
      <w:r w:rsidR="00BD102B" w:rsidRPr="00806B36">
        <w:t>noted the primary data used for the mapping of 5-D itch scale results to EQ-5D values was conducted in a population meeting the defined criteria of age</w:t>
      </w:r>
      <w:r w:rsidRPr="00806B36">
        <w:t xml:space="preserve"> (over 18 years)</w:t>
      </w:r>
      <w:r w:rsidR="00BD102B" w:rsidRPr="00806B36">
        <w:t xml:space="preserve"> and haemodialysis</w:t>
      </w:r>
      <w:r w:rsidRPr="00806B36">
        <w:t xml:space="preserve"> (receiving for at least 3-months)</w:t>
      </w:r>
      <w:r w:rsidR="00BD102B" w:rsidRPr="00806B36">
        <w:t>. Further, the PSCR clarified the utility values do not necessarily reflect a relationship between itch severity and quality of life; rather, they reflect a relationship between the 5-D itch scale and quality of life</w:t>
      </w:r>
      <w:r w:rsidRPr="00806B36">
        <w:t>. The PSCR</w:t>
      </w:r>
      <w:r w:rsidR="00BD102B" w:rsidRPr="00806B36">
        <w:t xml:space="preserve"> reiter</w:t>
      </w:r>
      <w:r w:rsidRPr="00806B36">
        <w:t>ated</w:t>
      </w:r>
      <w:r w:rsidR="00BD102B" w:rsidRPr="00806B36">
        <w:t xml:space="preserve"> there are 5 dimensions to the 5-D itch scale, of which severity is only one, alongside location of itch and impact on daily activities, which will also clearly be related to quality of life. </w:t>
      </w:r>
    </w:p>
    <w:p w14:paraId="2E4B05B6" w14:textId="4A70CE1F" w:rsidR="00BD102B" w:rsidRPr="00806B36" w:rsidRDefault="00BD102B" w:rsidP="0073089B">
      <w:pPr>
        <w:pStyle w:val="COMexecsumnumberedpara"/>
      </w:pPr>
      <w:r w:rsidRPr="00806B36">
        <w:t xml:space="preserve">The PSCR acknowledged the magnitude of the utility gains may be considered relatively large, however argued this was subject to opinion and noted there was precedent for comparable changes in utility for conditions such as severe chronic plaque psoriasis, where the </w:t>
      </w:r>
      <w:r w:rsidR="001A36BA" w:rsidRPr="00806B36">
        <w:t>p</w:t>
      </w:r>
      <w:r w:rsidRPr="00806B36">
        <w:t>ost-</w:t>
      </w:r>
      <w:r w:rsidR="001A36BA" w:rsidRPr="00806B36">
        <w:t>m</w:t>
      </w:r>
      <w:r w:rsidRPr="00806B36">
        <w:t xml:space="preserve">arket </w:t>
      </w:r>
      <w:r w:rsidR="001A36BA" w:rsidRPr="00806B36">
        <w:t>r</w:t>
      </w:r>
      <w:r w:rsidRPr="00806B36">
        <w:t xml:space="preserve">eview of the </w:t>
      </w:r>
      <w:r w:rsidR="001A36BA" w:rsidRPr="00806B36">
        <w:t>u</w:t>
      </w:r>
      <w:r w:rsidRPr="00806B36">
        <w:t xml:space="preserve">se of </w:t>
      </w:r>
      <w:r w:rsidR="001A36BA" w:rsidRPr="00806B36">
        <w:t>b</w:t>
      </w:r>
      <w:r w:rsidRPr="00806B36">
        <w:t>iologics had applied a utility gain of 0.3 for treatment responders (</w:t>
      </w:r>
      <w:r w:rsidR="00134757" w:rsidRPr="00806B36">
        <w:t xml:space="preserve">0.89 versus 0.59; </w:t>
      </w:r>
      <w:r w:rsidR="001A36BA" w:rsidRPr="00806B36">
        <w:t>9.01 Biologics for the treatment of chronic plaque psoriasis:</w:t>
      </w:r>
      <w:r w:rsidR="0068438A" w:rsidRPr="00806B36">
        <w:t xml:space="preserve"> </w:t>
      </w:r>
      <w:r w:rsidR="001A36BA" w:rsidRPr="00806B36">
        <w:t xml:space="preserve">Cost-effectiveness review </w:t>
      </w:r>
      <w:r w:rsidRPr="00806B36">
        <w:t>P</w:t>
      </w:r>
      <w:r w:rsidR="001A36BA" w:rsidRPr="00806B36">
        <w:t xml:space="preserve">ublic </w:t>
      </w:r>
      <w:r w:rsidRPr="00806B36">
        <w:t>S</w:t>
      </w:r>
      <w:r w:rsidR="001A36BA" w:rsidRPr="00806B36">
        <w:t xml:space="preserve">ummary </w:t>
      </w:r>
      <w:r w:rsidRPr="00806B36">
        <w:t>D</w:t>
      </w:r>
      <w:r w:rsidR="001A36BA" w:rsidRPr="00806B36">
        <w:t>ocument (PSD)</w:t>
      </w:r>
      <w:r w:rsidRPr="00806B36">
        <w:t>, July 2020 PBAC</w:t>
      </w:r>
      <w:r w:rsidR="00690799" w:rsidRPr="00806B36">
        <w:t xml:space="preserve"> Meeting</w:t>
      </w:r>
      <w:r w:rsidRPr="00806B36">
        <w:t xml:space="preserve">). </w:t>
      </w:r>
    </w:p>
    <w:p w14:paraId="2FF604AC" w14:textId="6688C387" w:rsidR="00BD102B" w:rsidRPr="00806B36" w:rsidRDefault="00BD102B" w:rsidP="0073089B">
      <w:pPr>
        <w:pStyle w:val="COMexecsumnumberedpara"/>
      </w:pPr>
      <w:bookmarkStart w:id="53" w:name="_Ref127449394"/>
      <w:r w:rsidRPr="00806B36">
        <w:t xml:space="preserve">The ESC remained uncertain about the reliability of the mapping study to derive the utility decrements for pruritus severity states, however acknowledged precedents for similar gains in utility for responders had been considered in both the </w:t>
      </w:r>
      <w:r w:rsidR="001A36BA" w:rsidRPr="00806B36">
        <w:t xml:space="preserve">cost-effectiveness review of biologics for severe chronic plaque psoriasis </w:t>
      </w:r>
      <w:r w:rsidRPr="00806B36">
        <w:t xml:space="preserve">and in </w:t>
      </w:r>
      <w:r w:rsidR="001A36BA" w:rsidRPr="00806B36">
        <w:t xml:space="preserve">the March 2020 consideration of </w:t>
      </w:r>
      <w:r w:rsidRPr="00806B36">
        <w:t xml:space="preserve">dupilumab for severe atopic dermatitis (Table 13, dupilumab </w:t>
      </w:r>
      <w:r w:rsidR="00690799" w:rsidRPr="00806B36">
        <w:t xml:space="preserve">PSD, </w:t>
      </w:r>
      <w:r w:rsidRPr="00806B36">
        <w:t xml:space="preserve">March 2020 </w:t>
      </w:r>
      <w:r w:rsidR="00690799" w:rsidRPr="00806B36">
        <w:t>PBAC Meeting</w:t>
      </w:r>
      <w:r w:rsidRPr="00806B36">
        <w:t xml:space="preserve">). </w:t>
      </w:r>
      <w:r w:rsidR="004353E2" w:rsidRPr="00806B36">
        <w:t>T</w:t>
      </w:r>
      <w:r w:rsidR="00272279" w:rsidRPr="00806B36">
        <w:t xml:space="preserve">he ESC noted concerns that the utility gain of 0.3 for treatment responders in the review of biologics for the treatment of chronic plaque psoriasis was a possible overestimate and was used primarily for consistency </w:t>
      </w:r>
      <w:r w:rsidR="004353E2" w:rsidRPr="00806B36">
        <w:t xml:space="preserve">in the review </w:t>
      </w:r>
      <w:r w:rsidR="00272279" w:rsidRPr="00806B36">
        <w:t>(paragraph 7</w:t>
      </w:r>
      <w:r w:rsidR="004353E2" w:rsidRPr="00806B36">
        <w:t xml:space="preserve">.7, </w:t>
      </w:r>
      <w:r w:rsidR="00272279" w:rsidRPr="00806B36">
        <w:t>deucravacitinib</w:t>
      </w:r>
      <w:r w:rsidR="004353E2" w:rsidRPr="00806B36">
        <w:t xml:space="preserve"> </w:t>
      </w:r>
      <w:r w:rsidR="00C138A7">
        <w:t>PSD</w:t>
      </w:r>
      <w:r w:rsidR="004353E2" w:rsidRPr="00806B36">
        <w:t xml:space="preserve">, November 2022 PBAC Meeting; paragraph 4.10, 9.01 Biologics for the treatment of chronic plaque psoriasis: Cost-effectiveness review PSD, July 2020 PBAC Meeting). </w:t>
      </w:r>
      <w:r w:rsidRPr="00806B36">
        <w:t xml:space="preserve">The ESC advised </w:t>
      </w:r>
      <w:r w:rsidR="0068438A" w:rsidRPr="00806B36">
        <w:t xml:space="preserve">that </w:t>
      </w:r>
      <w:r w:rsidRPr="00806B36">
        <w:t>accepting the model structure as potentially reliable for decision-making (albeit with changes to key inputs) was contingent upon accepting</w:t>
      </w:r>
      <w:r w:rsidR="00C26AAB" w:rsidRPr="00806B36">
        <w:t xml:space="preserve"> at least</w:t>
      </w:r>
      <w:r w:rsidRPr="00806B36">
        <w:t xml:space="preserve"> the plausibility of the utility decrements applied in the model, as there did not appear to be an alternative basis upon which to derive utilities for </w:t>
      </w:r>
      <w:r w:rsidR="005F2572" w:rsidRPr="00806B36">
        <w:t>CKD-associated pruritus in patients receiving haemodialysis.</w:t>
      </w:r>
      <w:bookmarkEnd w:id="53"/>
      <w:r w:rsidR="00812B4A" w:rsidRPr="00806B36">
        <w:t xml:space="preserve"> The </w:t>
      </w:r>
      <w:r w:rsidR="008F3E02" w:rsidRPr="00806B36">
        <w:t>p</w:t>
      </w:r>
      <w:r w:rsidR="00812B4A" w:rsidRPr="00806B36">
        <w:t xml:space="preserve">re-PBAC </w:t>
      </w:r>
      <w:r w:rsidR="008F3E02" w:rsidRPr="00806B36">
        <w:t>r</w:t>
      </w:r>
      <w:r w:rsidR="00812B4A" w:rsidRPr="00806B36">
        <w:t xml:space="preserve">esponse acknowledged the precedents of similar utility gains in other skin conditions and argued that end-stage kidney disease represents a small, well defined, high clinical need population relative to other more common skin conditions, such as atopic dermatitis and psoriasis, and therefore it would be expected the quality of evidence may not be as robust in the proposed difelikefalin population. </w:t>
      </w:r>
      <w:r w:rsidR="008F3E02" w:rsidRPr="00806B36">
        <w:t xml:space="preserve">The pre-PBAC response argued that </w:t>
      </w:r>
      <w:r w:rsidR="006B2697" w:rsidRPr="00806B36">
        <w:t>because</w:t>
      </w:r>
      <w:r w:rsidR="008F3E02" w:rsidRPr="00806B36">
        <w:t xml:space="preserve"> the values are of a similar order of magnitude to other skin conditions – despite the weaknesses in the underlying methods – suggests the utility values are appropriate for decision making. </w:t>
      </w:r>
    </w:p>
    <w:p w14:paraId="4750EF2B" w14:textId="55F4C18C" w:rsidR="0073089B" w:rsidRPr="00806B36" w:rsidRDefault="00BB7F16" w:rsidP="0073089B">
      <w:pPr>
        <w:pStyle w:val="COMexecsumnumberedpara"/>
      </w:pPr>
      <w:r w:rsidRPr="00806B36">
        <w:t>The submission presented a comparison of trial outcomes and modelled outputs for up to 64 weeks, based on mean change in total 5-D Itch score from baseline during the double-blind and open-label extension periods of the trials</w:t>
      </w:r>
      <w:r w:rsidR="007F5177" w:rsidRPr="00806B36">
        <w:t>.</w:t>
      </w:r>
      <w:r w:rsidR="00BD102B" w:rsidRPr="00806B36">
        <w:t xml:space="preserve"> </w:t>
      </w:r>
      <w:r w:rsidR="002A38DF" w:rsidRPr="00806B36">
        <w:t>M</w:t>
      </w:r>
      <w:r w:rsidRPr="00806B36">
        <w:t xml:space="preserve">odel values </w:t>
      </w:r>
      <w:r w:rsidR="002A38DF" w:rsidRPr="00806B36">
        <w:t xml:space="preserve">were estimated </w:t>
      </w:r>
      <w:r w:rsidRPr="00806B36">
        <w:t xml:space="preserve">based on mid-points </w:t>
      </w:r>
      <w:r w:rsidR="0073089B" w:rsidRPr="00806B36">
        <w:t>scores for</w:t>
      </w:r>
      <w:r w:rsidRPr="00806B36">
        <w:t xml:space="preserve"> each health state as an approximation for the validation exercise.</w:t>
      </w:r>
      <w:r w:rsidR="0073089B" w:rsidRPr="00806B36">
        <w:t xml:space="preserve"> </w:t>
      </w:r>
      <w:r w:rsidRPr="00806B36">
        <w:t>The 12-week difelikefalin stopping rule was also switched off in the submission for this exercise, to enable a comparison with data from the extension studies.</w:t>
      </w:r>
      <w:bookmarkEnd w:id="52"/>
      <w:r w:rsidRPr="00806B36">
        <w:t xml:space="preserve"> </w:t>
      </w:r>
    </w:p>
    <w:p w14:paraId="59EC3809" w14:textId="45EB2530" w:rsidR="00BB7F16" w:rsidRPr="00806B36" w:rsidRDefault="00BB7F16" w:rsidP="0073089B">
      <w:pPr>
        <w:pStyle w:val="COMexecsumnumberedpara"/>
      </w:pPr>
      <w:r w:rsidRPr="00806B36">
        <w:t xml:space="preserve">There was an error in the economic model, as transition probabilities for the difelikefalin arm (and linked transitions for </w:t>
      </w:r>
      <w:r w:rsidR="007C4E6F" w:rsidRPr="00806B36">
        <w:t>best supportive care</w:t>
      </w:r>
      <w:r w:rsidRPr="00806B36">
        <w:t>) were based on the subgroup of responders only despite switching off the stopping rule. This was corrected during the evaluation</w:t>
      </w:r>
      <w:r w:rsidR="007F5177" w:rsidRPr="00806B36">
        <w:t xml:space="preserve">. </w:t>
      </w:r>
      <w:r w:rsidRPr="00806B36">
        <w:t>Modelled outputs from both treatment arms appeared similar to trial outcomes</w:t>
      </w:r>
      <w:r w:rsidR="00B52D74" w:rsidRPr="00806B36">
        <w:t xml:space="preserve"> </w:t>
      </w:r>
      <w:r w:rsidRPr="00806B36">
        <w:t>up to 64 weeks</w:t>
      </w:r>
      <w:r w:rsidR="00B52D74" w:rsidRPr="00806B36">
        <w:t>.</w:t>
      </w:r>
    </w:p>
    <w:p w14:paraId="633940DD" w14:textId="5E74263F" w:rsidR="00BB7F16" w:rsidRPr="00806B36" w:rsidRDefault="00BB7F16" w:rsidP="005B2D60">
      <w:pPr>
        <w:pStyle w:val="COMexecsumnumberedpara"/>
      </w:pPr>
      <w:r w:rsidRPr="00806B36">
        <w:t xml:space="preserve">A separate validation exercise was conducted during the evaluation using a similar approach to the submission based on estimated mean change in 5-D Itch scores, with the stopping rule included as per the base case (see </w:t>
      </w:r>
      <w:r w:rsidR="00C67C45" w:rsidRPr="00806B36">
        <w:fldChar w:fldCharType="begin"/>
      </w:r>
      <w:r w:rsidR="00C67C45" w:rsidRPr="00806B36">
        <w:instrText xml:space="preserve"> REF _Ref121730342 \h  \* MERGEFORMAT </w:instrText>
      </w:r>
      <w:r w:rsidR="00C67C45" w:rsidRPr="00806B36">
        <w:fldChar w:fldCharType="separate"/>
      </w:r>
      <w:r w:rsidR="00487C7F" w:rsidRPr="00806B36">
        <w:t xml:space="preserve">Figure </w:t>
      </w:r>
      <w:r w:rsidR="00487C7F">
        <w:t>3</w:t>
      </w:r>
      <w:r w:rsidR="00C67C45" w:rsidRPr="00806B36">
        <w:fldChar w:fldCharType="end"/>
      </w:r>
      <w:r w:rsidRPr="00806B36">
        <w:t xml:space="preserve"> below).</w:t>
      </w:r>
    </w:p>
    <w:p w14:paraId="5F8CEC82" w14:textId="6C533A27" w:rsidR="00C67C45" w:rsidRPr="00806B36" w:rsidRDefault="00C67C45" w:rsidP="00C67C45">
      <w:pPr>
        <w:pStyle w:val="Caption"/>
      </w:pPr>
      <w:bookmarkStart w:id="54" w:name="_Ref121730342"/>
      <w:r w:rsidRPr="00806B36">
        <w:t xml:space="preserve">Figure </w:t>
      </w:r>
      <w:r w:rsidR="00487C7F">
        <w:fldChar w:fldCharType="begin"/>
      </w:r>
      <w:r w:rsidR="00487C7F">
        <w:instrText xml:space="preserve"> SEQ Figure \* ARABIC </w:instrText>
      </w:r>
      <w:r w:rsidR="00487C7F">
        <w:fldChar w:fldCharType="separate"/>
      </w:r>
      <w:r w:rsidR="00487C7F">
        <w:rPr>
          <w:noProof/>
        </w:rPr>
        <w:t>3</w:t>
      </w:r>
      <w:r w:rsidR="00487C7F">
        <w:rPr>
          <w:noProof/>
        </w:rPr>
        <w:fldChar w:fldCharType="end"/>
      </w:r>
      <w:bookmarkEnd w:id="54"/>
      <w:r w:rsidRPr="00806B36">
        <w:t>: Trial outcomes compared to the economic model with stopping rule (base case)</w:t>
      </w:r>
    </w:p>
    <w:p w14:paraId="576CDE6E" w14:textId="77777777" w:rsidR="00AA2091" w:rsidRPr="00806B36" w:rsidRDefault="00AA2091" w:rsidP="00AA2091">
      <w:pPr>
        <w:rPr>
          <w:i/>
          <w:iCs/>
        </w:rPr>
      </w:pPr>
      <w:r w:rsidRPr="008537BB">
        <w:rPr>
          <w:i/>
          <w:iCs/>
          <w:noProof/>
        </w:rPr>
        <w:drawing>
          <wp:inline distT="0" distB="0" distL="0" distR="0" wp14:anchorId="05EAD1B5" wp14:editId="5BB9F03C">
            <wp:extent cx="5669280" cy="3460138"/>
            <wp:effectExtent l="0" t="0" r="7620" b="6985"/>
            <wp:docPr id="30" name="Picture 30" descr="Figure 3: Trial outcomes compared to the economic model with stopping rule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igure 3: Trial outcomes compared to the economic model with stopping rule (base c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2042" cy="3467927"/>
                    </a:xfrm>
                    <a:prstGeom prst="rect">
                      <a:avLst/>
                    </a:prstGeom>
                    <a:noFill/>
                  </pic:spPr>
                </pic:pic>
              </a:graphicData>
            </a:graphic>
          </wp:inline>
        </w:drawing>
      </w:r>
    </w:p>
    <w:p w14:paraId="069DF669" w14:textId="77777777" w:rsidR="00AA2091" w:rsidRPr="00806B36" w:rsidRDefault="00AA2091" w:rsidP="00AA2091">
      <w:pPr>
        <w:pStyle w:val="COMTablefooter"/>
      </w:pPr>
      <w:r w:rsidRPr="00806B36">
        <w:t>Source: constructed during the evaluation based on difelikefalin economic model of the submission</w:t>
      </w:r>
    </w:p>
    <w:p w14:paraId="7502C274" w14:textId="77777777" w:rsidR="00AA2091" w:rsidRPr="00806B36" w:rsidRDefault="00AA2091" w:rsidP="00AA2091">
      <w:pPr>
        <w:pStyle w:val="COMTablefooter"/>
      </w:pPr>
      <w:r w:rsidRPr="00806B36">
        <w:t>Abbreviations: DFK, difelikefalin; PBO, placebo; SOC, best supportive care</w:t>
      </w:r>
    </w:p>
    <w:p w14:paraId="436B5584" w14:textId="4A6278CC" w:rsidR="00AA2091" w:rsidRPr="00806B36" w:rsidRDefault="00AA2091" w:rsidP="005B2D60">
      <w:pPr>
        <w:pStyle w:val="COMexecsumnumberedpara"/>
      </w:pPr>
      <w:r w:rsidRPr="00806B36">
        <w:t>Modelled outputs showed improvements in 5-D Itch scores in both treatment arms during the first 12 weeks of the model, with greater improvements associated with difelikefalin treatment. This appeared consistent with trial outcomes during the double-blind period.</w:t>
      </w:r>
    </w:p>
    <w:p w14:paraId="3EC0FB1B" w14:textId="229EEC81" w:rsidR="00AA2091" w:rsidRPr="00806B36" w:rsidRDefault="00AA2091" w:rsidP="005B2D60">
      <w:pPr>
        <w:pStyle w:val="COMexecsumnumberedpara"/>
      </w:pPr>
      <w:r w:rsidRPr="00806B36">
        <w:t>From Weeks 12 to 64, trial data were only available for difelikefalin treated patients. Modelled outputs for the difelikefalin arm did not appear to match data from the extension studies, however, this was due to approximately half of difelikefalin-treated patients discontinuing treatment due to inadequate response. Patients who discontinue treatment are attributed the same transition probabilities as patients on best supportive care and can only maintain their prior pruritus severity level or become worse over time. The graph show</w:t>
      </w:r>
      <w:r w:rsidR="00977961" w:rsidRPr="00806B36">
        <w:t>s</w:t>
      </w:r>
      <w:r w:rsidRPr="00806B36">
        <w:t xml:space="preserve"> that the subgroup of patients continuing difelikefalin treatment continue to improve up to week 64, with greater improvements than observed in the extension studies maintained over the modelled duration.</w:t>
      </w:r>
    </w:p>
    <w:p w14:paraId="42862D74" w14:textId="33C36C11" w:rsidR="00392ECE" w:rsidRPr="00806B36" w:rsidRDefault="00392ECE" w:rsidP="005B2D60">
      <w:pPr>
        <w:pStyle w:val="COMexecsumnumberedpara"/>
      </w:pPr>
      <w:r w:rsidRPr="00806B36">
        <w:t>The PSCR argued the model was based on evidence demonstrating patients treated with difelikefalin maintain an effect for up to 64 weeks</w:t>
      </w:r>
      <w:r w:rsidR="005604DE" w:rsidRPr="00806B36">
        <w:t xml:space="preserve"> (open-label extension data for</w:t>
      </w:r>
      <w:r w:rsidRPr="00806B36">
        <w:t xml:space="preserve"> difelikefalin-treated patients achieving the defined response at week 12</w:t>
      </w:r>
      <w:r w:rsidR="005604DE" w:rsidRPr="00806B36">
        <w:t>). The ESC considered the observed data from later timepoints of the extension studies may not be robust as the studies were stopped prematurely, with the KALM-2 extension study only reporting results up to Week 48 from baseline.</w:t>
      </w:r>
    </w:p>
    <w:p w14:paraId="45A40652" w14:textId="6F4487B5" w:rsidR="00062F0A" w:rsidRPr="00806B36" w:rsidRDefault="00062F0A" w:rsidP="005B2D60">
      <w:pPr>
        <w:pStyle w:val="COMexecsumnumberedpara"/>
      </w:pPr>
      <w:r w:rsidRPr="00806B36">
        <w:t xml:space="preserve">There is an inflection point for patients in the best supportive care arm at Week 12, as transition probabilities were adjusted for attenuation in placebo effects over time. This results in a </w:t>
      </w:r>
      <w:r w:rsidR="000B5F93" w:rsidRPr="00806B36">
        <w:t xml:space="preserve">gradual </w:t>
      </w:r>
      <w:r w:rsidRPr="00806B36">
        <w:t>loss of improvements gained in the initial 12-week period. Towards the end of the model, patients on best supportive care develop worse pruritus severity than at baseline due to a</w:t>
      </w:r>
      <w:r w:rsidR="000B5F93" w:rsidRPr="00806B36">
        <w:t>n</w:t>
      </w:r>
      <w:r w:rsidRPr="00806B36">
        <w:t xml:space="preserve"> accumulation of patients in the most severe pruritus health state.</w:t>
      </w:r>
    </w:p>
    <w:p w14:paraId="6CF47F07" w14:textId="6B15A8AE" w:rsidR="00062F0A" w:rsidRPr="00806B36" w:rsidRDefault="00062F0A" w:rsidP="005B2D60">
      <w:pPr>
        <w:pStyle w:val="COMexecsumnumberedpara"/>
      </w:pPr>
      <w:r w:rsidRPr="00806B36">
        <w:t>Overall, the graph show</w:t>
      </w:r>
      <w:r w:rsidR="005604DE" w:rsidRPr="00806B36">
        <w:t>s</w:t>
      </w:r>
      <w:r w:rsidRPr="00806B36">
        <w:t xml:space="preserve"> an increase in treatment benefit associated with patients in the difelikefalin arm between Weeks 12 and 64 of the model. The difference was driven by the assumption of attenuating placebo effects for patients on best supportive care with no matching adjustments to difelikefalin treated patients who also continued to improve up to Week 64. </w:t>
      </w:r>
      <w:r w:rsidR="00765529" w:rsidRPr="00806B36">
        <w:t xml:space="preserve">The PSCR argued that a deterioration of the placebo effect was a reasonable assumption to apply to the </w:t>
      </w:r>
      <w:r w:rsidR="00780598" w:rsidRPr="00806B36">
        <w:t>best supportive care</w:t>
      </w:r>
      <w:r w:rsidR="00765529" w:rsidRPr="00806B36">
        <w:t xml:space="preserve"> arm</w:t>
      </w:r>
      <w:r w:rsidR="0068438A" w:rsidRPr="00806B36">
        <w:t>. This was</w:t>
      </w:r>
      <w:r w:rsidR="00765529" w:rsidRPr="00806B36">
        <w:t xml:space="preserve"> on the basis that longer-term placebo effects appear to require some form of conditioning</w:t>
      </w:r>
      <w:r w:rsidR="0068438A" w:rsidRPr="00806B36">
        <w:t xml:space="preserve"> that may </w:t>
      </w:r>
      <w:r w:rsidR="00765529" w:rsidRPr="00806B36">
        <w:t>in the clinical trial setting (where patients received IV placebo) that would not occur in practice. The ESC considered</w:t>
      </w:r>
      <w:r w:rsidR="00393AA6" w:rsidRPr="00806B36">
        <w:t xml:space="preserve"> such</w:t>
      </w:r>
      <w:r w:rsidR="00765529" w:rsidRPr="00806B36">
        <w:t xml:space="preserve"> adjustments to the </w:t>
      </w:r>
      <w:r w:rsidR="00780598" w:rsidRPr="00806B36">
        <w:t>best supportive care</w:t>
      </w:r>
      <w:r w:rsidR="00765529" w:rsidRPr="00806B36">
        <w:t xml:space="preserve"> arm of the model were not well justified</w:t>
      </w:r>
      <w:r w:rsidR="00393AA6" w:rsidRPr="00806B36">
        <w:t xml:space="preserve"> and in favour of difelikefalin in the model as placebo effects would apply equally to both arms in the trial. The ESC considered the assumption of attenuating placebo effects for patients on best supportive care </w:t>
      </w:r>
      <w:r w:rsidR="00765529" w:rsidRPr="00806B36">
        <w:t xml:space="preserve">should be removed </w:t>
      </w:r>
      <w:r w:rsidR="00393AA6" w:rsidRPr="00806B36">
        <w:t>from the model</w:t>
      </w:r>
      <w:r w:rsidR="00765529" w:rsidRPr="00806B36">
        <w:t>.</w:t>
      </w:r>
    </w:p>
    <w:p w14:paraId="7421C4C3" w14:textId="433AE48E" w:rsidR="00652BBA" w:rsidRPr="00806B36" w:rsidRDefault="001009C6" w:rsidP="009F521F">
      <w:pPr>
        <w:pStyle w:val="COMexecsumnumberedpara"/>
      </w:pPr>
      <w:bookmarkStart w:id="55" w:name="_Ref130975938"/>
      <w:r w:rsidRPr="00806B36">
        <w:t>Treatment benefits associated with difelikefalin appear to be maintained over time. This result did not appear clinically plausible given the majority of patients are no longer on treatment from Week 12, with few patients (&lt;10%) on treatment at the end of the model. Modelled benefits in the extrapolated period appear to be driven by treatment benefit due to initial exposure to difelikefalin treatment, which is then largely retained when discontinuing to best supportive care only. This assumption is in favour of difelikefalin as patients maintain ongoing benefit without corresponding treatment costs.</w:t>
      </w:r>
      <w:r w:rsidR="009F521F" w:rsidRPr="00806B36">
        <w:t xml:space="preserve"> </w:t>
      </w:r>
      <w:r w:rsidR="00652BBA" w:rsidRPr="00806B36">
        <w:t xml:space="preserve">The PSCR argued that the overall modelled incremental benefits were aligned with the trial data, with greater gains in difelikefalin treatment responders over time based on an enriched population (due to stopping rule). The PSCR argued that the extrapolation of a 1.24-point improvement in 5-D Itch score at week 12 to a 2-point improvement at 5 years on the basis of the stopping rule and declining placebo response does not seem implausible (see </w:t>
      </w:r>
      <w:r w:rsidR="00652BBA" w:rsidRPr="00806B36">
        <w:fldChar w:fldCharType="begin"/>
      </w:r>
      <w:r w:rsidR="00652BBA" w:rsidRPr="00806B36">
        <w:instrText xml:space="preserve"> REF _Ref121730342 \h  \* MERGEFORMAT </w:instrText>
      </w:r>
      <w:r w:rsidR="00652BBA" w:rsidRPr="00806B36">
        <w:fldChar w:fldCharType="separate"/>
      </w:r>
      <w:r w:rsidR="00487C7F" w:rsidRPr="00806B36">
        <w:t xml:space="preserve">Figure </w:t>
      </w:r>
      <w:r w:rsidR="00487C7F">
        <w:t>3</w:t>
      </w:r>
      <w:r w:rsidR="00652BBA" w:rsidRPr="00806B36">
        <w:fldChar w:fldCharType="end"/>
      </w:r>
      <w:r w:rsidR="00652BBA" w:rsidRPr="00806B36">
        <w:t>). The ESC considered that larger gains in total incremental benefit over time may not be plausible given the majority of difelikefalin patients were no longer on treatment towards the end of the model.</w:t>
      </w:r>
      <w:bookmarkEnd w:id="55"/>
      <w:r w:rsidR="00652BBA" w:rsidRPr="00806B36">
        <w:rPr>
          <w:i/>
          <w:iCs/>
        </w:rPr>
        <w:t xml:space="preserve"> </w:t>
      </w:r>
    </w:p>
    <w:p w14:paraId="548DDF2D" w14:textId="677D2B05" w:rsidR="002E63EF" w:rsidRPr="00806B36" w:rsidRDefault="002C35BB" w:rsidP="009F521F">
      <w:pPr>
        <w:pStyle w:val="COMexecsumnumberedpara"/>
      </w:pPr>
      <w:r w:rsidRPr="00806B36">
        <w:t xml:space="preserve">The </w:t>
      </w:r>
      <w:r w:rsidR="001B217E" w:rsidRPr="00806B36">
        <w:t>model included</w:t>
      </w:r>
      <w:r w:rsidRPr="00806B36">
        <w:t xml:space="preserve"> mortality benefit</w:t>
      </w:r>
      <w:r w:rsidR="0036342B" w:rsidRPr="00806B36">
        <w:t>s</w:t>
      </w:r>
      <w:r w:rsidRPr="00806B36">
        <w:t xml:space="preserve"> associated with difelike</w:t>
      </w:r>
      <w:r w:rsidR="0036342B" w:rsidRPr="00806B36">
        <w:t xml:space="preserve">falin treatment, based on the application of a higher mortality rate in the severe </w:t>
      </w:r>
      <w:r w:rsidR="003747B1" w:rsidRPr="00806B36">
        <w:t xml:space="preserve">pruritus </w:t>
      </w:r>
      <w:r w:rsidR="0036342B" w:rsidRPr="00806B36">
        <w:t>health state</w:t>
      </w:r>
      <w:r w:rsidR="003747B1" w:rsidRPr="00806B36">
        <w:t xml:space="preserve"> and a reduction in time spent with severe pruritus</w:t>
      </w:r>
      <w:r w:rsidR="0036342B" w:rsidRPr="00806B36">
        <w:t xml:space="preserve">. </w:t>
      </w:r>
      <w:r w:rsidR="00EC209C" w:rsidRPr="00806B36">
        <w:t>The approach</w:t>
      </w:r>
      <w:r w:rsidR="004B6035" w:rsidRPr="00806B36">
        <w:t xml:space="preserve"> assumes a cause-effect relationship between </w:t>
      </w:r>
      <w:r w:rsidR="00B505F4" w:rsidRPr="00806B36">
        <w:t>high itch scores</w:t>
      </w:r>
      <w:r w:rsidR="004B6035" w:rsidRPr="00806B36">
        <w:t xml:space="preserve"> and death</w:t>
      </w:r>
      <w:r w:rsidR="003747B1" w:rsidRPr="00806B36">
        <w:t xml:space="preserve">, which was </w:t>
      </w:r>
      <w:r w:rsidR="00EC209C" w:rsidRPr="00806B36">
        <w:t xml:space="preserve">inappropriate given </w:t>
      </w:r>
      <w:r w:rsidR="006B087B" w:rsidRPr="00806B36">
        <w:t xml:space="preserve">limitations with the observational study design of the Sukul 2020 study. </w:t>
      </w:r>
      <w:r w:rsidR="002E00CA" w:rsidRPr="00806B36">
        <w:t xml:space="preserve">Assumed mortality benefits were not supported by clinical evidence and may not be clinically plausible given difelikefalin is not a </w:t>
      </w:r>
      <w:r w:rsidR="00D30457" w:rsidRPr="00806B36">
        <w:t xml:space="preserve">chronic kidney </w:t>
      </w:r>
      <w:r w:rsidR="002E00CA" w:rsidRPr="00806B36">
        <w:t>disease-modifying treatment.</w:t>
      </w:r>
    </w:p>
    <w:p w14:paraId="0BD09354" w14:textId="38025AF5" w:rsidR="0000423E" w:rsidRPr="00806B36" w:rsidRDefault="0000423E" w:rsidP="005B2D60">
      <w:pPr>
        <w:pStyle w:val="COMexecsumnumberedpara"/>
      </w:pPr>
      <w:r w:rsidRPr="00806B36">
        <w:t>The derivation of health state costs in the submission was inadequately justified</w:t>
      </w:r>
      <w:r w:rsidR="00AB6000" w:rsidRPr="00806B36">
        <w:t xml:space="preserve">, with the submission acknowledging uncertainty in the cause-effect relationship between itch </w:t>
      </w:r>
      <w:r w:rsidR="00B505F4" w:rsidRPr="00806B36">
        <w:t xml:space="preserve">score </w:t>
      </w:r>
      <w:r w:rsidR="00AB6000" w:rsidRPr="00806B36">
        <w:t xml:space="preserve">and hospitalisation rates based on the Sukul </w:t>
      </w:r>
      <w:r w:rsidR="00D922C5" w:rsidRPr="00806B36">
        <w:t xml:space="preserve">2020 </w:t>
      </w:r>
      <w:r w:rsidR="00AB6000" w:rsidRPr="00806B36">
        <w:t>study.</w:t>
      </w:r>
    </w:p>
    <w:p w14:paraId="7B896523" w14:textId="03C85691" w:rsidR="003A2FC1" w:rsidRPr="00806B36" w:rsidRDefault="003A2FC1" w:rsidP="005B2D60">
      <w:pPr>
        <w:pStyle w:val="COMexecsumnumberedpara"/>
      </w:pPr>
      <w:bookmarkStart w:id="56" w:name="_Ref127443309"/>
      <w:r w:rsidRPr="00806B36">
        <w:t xml:space="preserve">The submission claimed that the incidence of adverse events was similar between treatment arms of the key trials, therefore adverse event costs were unlikely to have a significant impact on the economic analysis. The lack of adverse event costs was inappropriate given the clinical claim of inferior safety versus best supportive care, with a higher incidence of serious adverse events including cardiorespiratory disorders in the difelikefalin arm of the key trials. </w:t>
      </w:r>
      <w:r w:rsidR="00E647C4" w:rsidRPr="00806B36">
        <w:t>The ESC agreed with the evaluation and considered any revised economic model should include costs and disutilities associated with adverse events.</w:t>
      </w:r>
      <w:bookmarkEnd w:id="56"/>
    </w:p>
    <w:p w14:paraId="18835B72" w14:textId="4921A9CB" w:rsidR="00485A68" w:rsidRPr="00806B36" w:rsidRDefault="00C75B03" w:rsidP="005B2D60">
      <w:pPr>
        <w:pStyle w:val="COMexecsumnumberedpara"/>
      </w:pPr>
      <w:r w:rsidRPr="00806B36">
        <w:t xml:space="preserve">The stepped analysis presented in the submission included results from trial-based analyses using 12-week </w:t>
      </w:r>
      <w:r w:rsidR="006E6753" w:rsidRPr="00806B36">
        <w:t>results from the key trials</w:t>
      </w:r>
      <w:r w:rsidR="007F5177" w:rsidRPr="00806B36">
        <w:t>.</w:t>
      </w:r>
      <w:r w:rsidR="0028126D" w:rsidRPr="00806B36">
        <w:t xml:space="preserve"> </w:t>
      </w:r>
      <w:r w:rsidRPr="00806B36">
        <w:t xml:space="preserve">Three sets of results were presented for </w:t>
      </w:r>
      <w:r w:rsidR="006E6753" w:rsidRPr="00806B36">
        <w:t>the individual trials and pooled analysis</w:t>
      </w:r>
      <w:r w:rsidRPr="00806B36">
        <w:t xml:space="preserve">, based on the incremental cost </w:t>
      </w:r>
      <w:r w:rsidR="00995FF7" w:rsidRPr="00806B36">
        <w:t>per responder defined as</w:t>
      </w:r>
      <w:r w:rsidRPr="00806B36">
        <w:t xml:space="preserve">: ≥3-point improvement in WI-NRS, ≥5-point improvement in 5-D Itch and total 5-D Itch &lt;12. These outcomes were not outputs from the economic model but appear to be calculated using non-missing counts of individual patient data, which differed from matching analyses in the key trials that included adjustments for missing data. </w:t>
      </w:r>
      <w:r w:rsidR="00D36350" w:rsidRPr="00806B36">
        <w:t>Cost-effectiveness results differed,</w:t>
      </w:r>
      <w:r w:rsidRPr="00806B36">
        <w:t xml:space="preserve"> depending on the dataset and response definition applied, due to differences in the magnitude of incremental benefit.</w:t>
      </w:r>
    </w:p>
    <w:p w14:paraId="7DBBA999" w14:textId="4B8D16F8" w:rsidR="00273446" w:rsidRPr="00806B36" w:rsidRDefault="00273446" w:rsidP="005B2D60">
      <w:pPr>
        <w:pStyle w:val="COMexecsumnumberedpara"/>
      </w:pPr>
      <w:r w:rsidRPr="00806B36">
        <w:t>During the evaluation, a</w:t>
      </w:r>
      <w:r w:rsidR="00EB1C2C" w:rsidRPr="00806B36">
        <w:t>n expanded</w:t>
      </w:r>
      <w:r w:rsidRPr="00806B36">
        <w:t xml:space="preserve"> stepped economic evaluation was conducted starting with the pooled cohort individual patient analysis used in the economic model. Responder outcomes were based on additional patients with mild or no disease (5-D Itch score &lt;12, as per health state definitions). </w:t>
      </w:r>
    </w:p>
    <w:p w14:paraId="00C1914E" w14:textId="587801CB" w:rsidR="00273446" w:rsidRPr="00806B36" w:rsidRDefault="00C67C45" w:rsidP="00C67C45">
      <w:pPr>
        <w:pStyle w:val="Caption"/>
      </w:pPr>
      <w:r w:rsidRPr="00806B36">
        <w:t xml:space="preserve">Table </w:t>
      </w:r>
      <w:r w:rsidR="00487C7F">
        <w:fldChar w:fldCharType="begin"/>
      </w:r>
      <w:r w:rsidR="00487C7F">
        <w:instrText xml:space="preserve"> SEQ Table \* ARABIC </w:instrText>
      </w:r>
      <w:r w:rsidR="00487C7F">
        <w:fldChar w:fldCharType="separate"/>
      </w:r>
      <w:r w:rsidR="00487C7F">
        <w:rPr>
          <w:noProof/>
        </w:rPr>
        <w:t>9</w:t>
      </w:r>
      <w:r w:rsidR="00487C7F">
        <w:rPr>
          <w:noProof/>
        </w:rPr>
        <w:fldChar w:fldCharType="end"/>
      </w:r>
      <w:r w:rsidRPr="00806B36">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36"/>
        <w:gridCol w:w="1764"/>
        <w:gridCol w:w="1506"/>
        <w:gridCol w:w="1511"/>
      </w:tblGrid>
      <w:tr w:rsidR="00273446" w:rsidRPr="00806B36" w14:paraId="0E8C2746" w14:textId="77777777" w:rsidTr="0049704D">
        <w:trPr>
          <w:tblHeader/>
        </w:trPr>
        <w:tc>
          <w:tcPr>
            <w:tcW w:w="2349" w:type="pct"/>
            <w:vAlign w:val="center"/>
          </w:tcPr>
          <w:p w14:paraId="1CEFFCCF" w14:textId="77777777" w:rsidR="00273446" w:rsidRPr="00806B36" w:rsidRDefault="00273446" w:rsidP="0049704D">
            <w:pPr>
              <w:pStyle w:val="COMTableheadingrow"/>
              <w:rPr>
                <w:lang w:val="en-AU"/>
              </w:rPr>
            </w:pPr>
            <w:r w:rsidRPr="00806B36">
              <w:rPr>
                <w:lang w:val="en-AU"/>
              </w:rPr>
              <w:t>Step and component</w:t>
            </w:r>
          </w:p>
        </w:tc>
        <w:tc>
          <w:tcPr>
            <w:tcW w:w="978" w:type="pct"/>
            <w:vAlign w:val="center"/>
          </w:tcPr>
          <w:p w14:paraId="3DC24FC4" w14:textId="77777777" w:rsidR="00273446" w:rsidRPr="00806B36" w:rsidRDefault="00273446" w:rsidP="0049704D">
            <w:pPr>
              <w:pStyle w:val="COMTableheadingrow"/>
              <w:jc w:val="center"/>
              <w:rPr>
                <w:lang w:val="en-AU"/>
              </w:rPr>
            </w:pPr>
            <w:r w:rsidRPr="00806B36">
              <w:rPr>
                <w:lang w:val="en-AU"/>
              </w:rPr>
              <w:t>Difelikefalin</w:t>
            </w:r>
          </w:p>
        </w:tc>
        <w:tc>
          <w:tcPr>
            <w:tcW w:w="835" w:type="pct"/>
            <w:vAlign w:val="center"/>
          </w:tcPr>
          <w:p w14:paraId="627AEAE1" w14:textId="77777777" w:rsidR="00273446" w:rsidRPr="00806B36" w:rsidRDefault="00273446" w:rsidP="0049704D">
            <w:pPr>
              <w:pStyle w:val="COMTableheadingrow"/>
              <w:jc w:val="center"/>
              <w:rPr>
                <w:lang w:val="en-AU"/>
              </w:rPr>
            </w:pPr>
            <w:r w:rsidRPr="00806B36">
              <w:rPr>
                <w:lang w:val="en-AU"/>
              </w:rPr>
              <w:t>BSC</w:t>
            </w:r>
          </w:p>
        </w:tc>
        <w:tc>
          <w:tcPr>
            <w:tcW w:w="838" w:type="pct"/>
            <w:vAlign w:val="center"/>
          </w:tcPr>
          <w:p w14:paraId="2091A5A3" w14:textId="77777777" w:rsidR="00273446" w:rsidRPr="00806B36" w:rsidRDefault="00273446" w:rsidP="0049704D">
            <w:pPr>
              <w:pStyle w:val="COMTableheadingrow"/>
              <w:jc w:val="center"/>
              <w:rPr>
                <w:lang w:val="en-AU"/>
              </w:rPr>
            </w:pPr>
            <w:r w:rsidRPr="00806B36">
              <w:rPr>
                <w:lang w:val="en-AU"/>
              </w:rPr>
              <w:t>Increment</w:t>
            </w:r>
          </w:p>
        </w:tc>
      </w:tr>
      <w:tr w:rsidR="00273446" w:rsidRPr="00806B36" w14:paraId="62243E5B" w14:textId="77777777" w:rsidTr="0049704D">
        <w:tc>
          <w:tcPr>
            <w:tcW w:w="5000" w:type="pct"/>
            <w:gridSpan w:val="4"/>
            <w:vAlign w:val="center"/>
          </w:tcPr>
          <w:p w14:paraId="31CB5FBA" w14:textId="7A62E8CD" w:rsidR="00273446" w:rsidRPr="00806B36" w:rsidRDefault="00273446" w:rsidP="0049704D">
            <w:pPr>
              <w:pStyle w:val="COMTabletext"/>
              <w:rPr>
                <w:b/>
                <w:bCs w:val="0"/>
              </w:rPr>
            </w:pPr>
            <w:r w:rsidRPr="00806B36">
              <w:rPr>
                <w:b/>
                <w:bCs w:val="0"/>
              </w:rPr>
              <w:t>Step 1: Pooled cohort IPD analysis (transition probabilities based on non-missing data, no treatment discontinuations, no mortality), include drug costs, 12-week time horizon</w:t>
            </w:r>
            <w:r w:rsidR="009F521F" w:rsidRPr="00806B36">
              <w:rPr>
                <w:b/>
                <w:bCs w:val="0"/>
              </w:rPr>
              <w:t>*</w:t>
            </w:r>
          </w:p>
        </w:tc>
      </w:tr>
      <w:tr w:rsidR="00273446" w:rsidRPr="00806B36" w14:paraId="680B8985" w14:textId="77777777" w:rsidTr="0049704D">
        <w:tc>
          <w:tcPr>
            <w:tcW w:w="2349" w:type="pct"/>
            <w:vAlign w:val="center"/>
          </w:tcPr>
          <w:p w14:paraId="23791675" w14:textId="77777777" w:rsidR="00273446" w:rsidRPr="00806B36" w:rsidRDefault="00273446" w:rsidP="0049704D">
            <w:pPr>
              <w:pStyle w:val="COMTabletext"/>
              <w:rPr>
                <w:rFonts w:ascii="Times" w:hAnsi="Times"/>
              </w:rPr>
            </w:pPr>
            <w:r w:rsidRPr="00806B36">
              <w:t>Costs</w:t>
            </w:r>
          </w:p>
        </w:tc>
        <w:tc>
          <w:tcPr>
            <w:tcW w:w="978" w:type="pct"/>
            <w:vAlign w:val="center"/>
          </w:tcPr>
          <w:p w14:paraId="775F4178" w14:textId="44FA88C5"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07"/>
                <w14:textFill>
                  <w14:solidFill>
                    <w14:srgbClr w14:val="000000">
                      <w14:alpha w14:val="100000"/>
                    </w14:srgbClr>
                  </w14:solidFill>
                </w14:textFill>
              </w:rPr>
              <w:t xml:space="preserve">　</w:t>
            </w:r>
            <w:r w:rsidR="008537BB" w:rsidRPr="00E173FC">
              <w:rPr>
                <w:color w:val="000000"/>
                <w:w w:val="15"/>
                <w:shd w:val="solid" w:color="000000" w:fill="000000"/>
                <w:fitText w:val="58" w:id="-1236598007"/>
                <w14:textFill>
                  <w14:solidFill>
                    <w14:srgbClr w14:val="000000">
                      <w14:alpha w14:val="100000"/>
                    </w14:srgbClr>
                  </w14:solidFill>
                </w14:textFill>
              </w:rPr>
              <w:t>|</w:t>
            </w:r>
            <w:r w:rsidR="008537BB" w:rsidRPr="00E173FC">
              <w:rPr>
                <w:rFonts w:hint="eastAsia"/>
                <w:color w:val="000000"/>
                <w:w w:val="15"/>
                <w:shd w:val="solid" w:color="000000" w:fill="000000"/>
                <w:fitText w:val="58" w:id="-1236598007"/>
                <w14:textFill>
                  <w14:solidFill>
                    <w14:srgbClr w14:val="000000">
                      <w14:alpha w14:val="100000"/>
                    </w14:srgbClr>
                  </w14:solidFill>
                </w14:textFill>
              </w:rPr>
              <w:t xml:space="preserve">　</w:t>
            </w:r>
          </w:p>
        </w:tc>
        <w:tc>
          <w:tcPr>
            <w:tcW w:w="835" w:type="pct"/>
            <w:vAlign w:val="center"/>
          </w:tcPr>
          <w:p w14:paraId="1C5F96ED" w14:textId="77777777" w:rsidR="00273446" w:rsidRPr="00806B36" w:rsidRDefault="00273446" w:rsidP="0049704D">
            <w:pPr>
              <w:pStyle w:val="COMTabletext"/>
              <w:jc w:val="center"/>
            </w:pPr>
            <w:r w:rsidRPr="00806B36">
              <w:t>$0</w:t>
            </w:r>
          </w:p>
        </w:tc>
        <w:tc>
          <w:tcPr>
            <w:tcW w:w="838" w:type="pct"/>
            <w:vAlign w:val="center"/>
          </w:tcPr>
          <w:p w14:paraId="1A2DBF2B" w14:textId="3744ED35"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06"/>
                <w14:textFill>
                  <w14:solidFill>
                    <w14:srgbClr w14:val="000000">
                      <w14:alpha w14:val="100000"/>
                    </w14:srgbClr>
                  </w14:solidFill>
                </w14:textFill>
              </w:rPr>
              <w:t>|</w:t>
            </w:r>
            <w:r w:rsidR="008537BB" w:rsidRPr="00E173FC">
              <w:rPr>
                <w:color w:val="000000"/>
                <w:shd w:val="solid" w:color="000000" w:fill="000000"/>
                <w:fitText w:val="183" w:id="-1236598006"/>
                <w14:textFill>
                  <w14:solidFill>
                    <w14:srgbClr w14:val="000000">
                      <w14:alpha w14:val="100000"/>
                    </w14:srgbClr>
                  </w14:solidFill>
                </w14:textFill>
              </w:rPr>
              <w:t>|</w:t>
            </w:r>
          </w:p>
        </w:tc>
      </w:tr>
      <w:tr w:rsidR="00273446" w:rsidRPr="00806B36" w14:paraId="61904785" w14:textId="77777777" w:rsidTr="0049704D">
        <w:tc>
          <w:tcPr>
            <w:tcW w:w="2349" w:type="pct"/>
            <w:vAlign w:val="center"/>
          </w:tcPr>
          <w:p w14:paraId="1DA7964D" w14:textId="77777777" w:rsidR="00273446" w:rsidRPr="00806B36" w:rsidRDefault="00273446" w:rsidP="0049704D">
            <w:pPr>
              <w:pStyle w:val="COMTabletext"/>
            </w:pPr>
            <w:r w:rsidRPr="00806B36">
              <w:t>Patients with mild or no disease (5-D Itch score &lt;12)</w:t>
            </w:r>
          </w:p>
        </w:tc>
        <w:tc>
          <w:tcPr>
            <w:tcW w:w="978" w:type="pct"/>
            <w:vAlign w:val="center"/>
          </w:tcPr>
          <w:p w14:paraId="413DB96D" w14:textId="77777777" w:rsidR="00273446" w:rsidRPr="00806B36" w:rsidRDefault="00273446" w:rsidP="0049704D">
            <w:pPr>
              <w:pStyle w:val="COMTabletext"/>
              <w:jc w:val="center"/>
            </w:pPr>
            <w:r w:rsidRPr="00806B36">
              <w:t>0.5080</w:t>
            </w:r>
          </w:p>
        </w:tc>
        <w:tc>
          <w:tcPr>
            <w:tcW w:w="835" w:type="pct"/>
            <w:vAlign w:val="center"/>
          </w:tcPr>
          <w:p w14:paraId="77FF5FF0" w14:textId="77777777" w:rsidR="00273446" w:rsidRPr="00806B36" w:rsidRDefault="00273446" w:rsidP="0049704D">
            <w:pPr>
              <w:pStyle w:val="COMTabletext"/>
              <w:jc w:val="center"/>
            </w:pPr>
            <w:r w:rsidRPr="00806B36">
              <w:t>0.4007</w:t>
            </w:r>
          </w:p>
        </w:tc>
        <w:tc>
          <w:tcPr>
            <w:tcW w:w="838" w:type="pct"/>
            <w:vAlign w:val="center"/>
          </w:tcPr>
          <w:p w14:paraId="1B10761F" w14:textId="77777777" w:rsidR="00273446" w:rsidRPr="00806B36" w:rsidRDefault="00273446" w:rsidP="0049704D">
            <w:pPr>
              <w:pStyle w:val="COMTabletext"/>
              <w:jc w:val="center"/>
            </w:pPr>
            <w:r w:rsidRPr="00806B36">
              <w:t>0.1073</w:t>
            </w:r>
          </w:p>
        </w:tc>
      </w:tr>
      <w:tr w:rsidR="00273446" w:rsidRPr="00806B36" w14:paraId="454F22C9" w14:textId="77777777" w:rsidTr="0049704D">
        <w:tc>
          <w:tcPr>
            <w:tcW w:w="4162" w:type="pct"/>
            <w:gridSpan w:val="3"/>
            <w:vAlign w:val="center"/>
          </w:tcPr>
          <w:p w14:paraId="7714A55C" w14:textId="77777777" w:rsidR="00273446" w:rsidRPr="00806B36" w:rsidRDefault="00273446" w:rsidP="0049704D">
            <w:pPr>
              <w:pStyle w:val="COMTabletext"/>
              <w:rPr>
                <w:rFonts w:ascii="Times" w:hAnsi="Times"/>
                <w:b/>
                <w:bCs w:val="0"/>
              </w:rPr>
            </w:pPr>
            <w:r w:rsidRPr="00806B36">
              <w:rPr>
                <w:b/>
                <w:bCs w:val="0"/>
              </w:rPr>
              <w:t xml:space="preserve">Incremental cost per additional patient with mild or no disease </w:t>
            </w:r>
          </w:p>
        </w:tc>
        <w:tc>
          <w:tcPr>
            <w:tcW w:w="838" w:type="pct"/>
            <w:vAlign w:val="center"/>
          </w:tcPr>
          <w:p w14:paraId="6E18B7C6" w14:textId="52F3A2E0"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05"/>
                <w14:textFill>
                  <w14:solidFill>
                    <w14:srgbClr w14:val="000000">
                      <w14:alpha w14:val="100000"/>
                    </w14:srgbClr>
                  </w14:solidFill>
                </w14:textFill>
              </w:rPr>
              <w:t>|</w:t>
            </w:r>
            <w:r w:rsidR="008537BB" w:rsidRPr="008537BB">
              <w:rPr>
                <w:b/>
                <w:bCs w:val="0"/>
                <w:color w:val="000000"/>
                <w:shd w:val="solid" w:color="000000" w:fill="000000"/>
                <w:fitText w:val="291" w:id="-1236598005"/>
                <w14:textFill>
                  <w14:solidFill>
                    <w14:srgbClr w14:val="000000">
                      <w14:alpha w14:val="100000"/>
                    </w14:srgbClr>
                  </w14:solidFill>
                </w14:textFill>
              </w:rPr>
              <w:t>|</w:t>
            </w:r>
            <w:r w:rsidR="00B304E7" w:rsidRPr="00555C97">
              <w:rPr>
                <w:b/>
                <w:bCs w:val="0"/>
                <w:vertAlign w:val="superscript"/>
              </w:rPr>
              <w:t>1</w:t>
            </w:r>
          </w:p>
        </w:tc>
      </w:tr>
      <w:tr w:rsidR="00273446" w:rsidRPr="00806B36" w14:paraId="114B42C9" w14:textId="77777777" w:rsidTr="0049704D">
        <w:tc>
          <w:tcPr>
            <w:tcW w:w="5000" w:type="pct"/>
            <w:gridSpan w:val="4"/>
            <w:vAlign w:val="center"/>
          </w:tcPr>
          <w:p w14:paraId="07F65C9A" w14:textId="3F8A09F7" w:rsidR="00273446" w:rsidRPr="00806B36" w:rsidRDefault="00273446" w:rsidP="0049704D">
            <w:pPr>
              <w:pStyle w:val="COMTableheadingrow"/>
              <w:rPr>
                <w:lang w:val="en-AU"/>
              </w:rPr>
            </w:pPr>
            <w:r w:rsidRPr="00806B36">
              <w:rPr>
                <w:lang w:val="en-AU"/>
              </w:rPr>
              <w:t>Step 2: Apply fixed treatment discontinuation rate to difelikefalin arm</w:t>
            </w:r>
            <w:r w:rsidR="009F521F" w:rsidRPr="00806B36">
              <w:rPr>
                <w:lang w:val="en-AU"/>
              </w:rPr>
              <w:t>*</w:t>
            </w:r>
          </w:p>
        </w:tc>
      </w:tr>
      <w:tr w:rsidR="00273446" w:rsidRPr="00806B36" w14:paraId="730973CF" w14:textId="77777777" w:rsidTr="0049704D">
        <w:tc>
          <w:tcPr>
            <w:tcW w:w="2349" w:type="pct"/>
            <w:vAlign w:val="center"/>
          </w:tcPr>
          <w:p w14:paraId="0F4DCD66" w14:textId="77777777" w:rsidR="00273446" w:rsidRPr="00806B36" w:rsidRDefault="00273446" w:rsidP="0049704D">
            <w:pPr>
              <w:pStyle w:val="COMTabletext"/>
              <w:rPr>
                <w:rFonts w:ascii="Times" w:hAnsi="Times"/>
              </w:rPr>
            </w:pPr>
            <w:r w:rsidRPr="00806B36">
              <w:t>Costs</w:t>
            </w:r>
          </w:p>
        </w:tc>
        <w:tc>
          <w:tcPr>
            <w:tcW w:w="978" w:type="pct"/>
            <w:vAlign w:val="center"/>
          </w:tcPr>
          <w:p w14:paraId="36CD7442" w14:textId="229BE175"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04"/>
                <w14:textFill>
                  <w14:solidFill>
                    <w14:srgbClr w14:val="000000">
                      <w14:alpha w14:val="100000"/>
                    </w14:srgbClr>
                  </w14:solidFill>
                </w14:textFill>
              </w:rPr>
              <w:t xml:space="preserve">　</w:t>
            </w:r>
            <w:r w:rsidR="008537BB" w:rsidRPr="00E173FC">
              <w:rPr>
                <w:color w:val="000000"/>
                <w:w w:val="15"/>
                <w:shd w:val="solid" w:color="000000" w:fill="000000"/>
                <w:fitText w:val="58" w:id="-1236598004"/>
                <w14:textFill>
                  <w14:solidFill>
                    <w14:srgbClr w14:val="000000">
                      <w14:alpha w14:val="100000"/>
                    </w14:srgbClr>
                  </w14:solidFill>
                </w14:textFill>
              </w:rPr>
              <w:t>|</w:t>
            </w:r>
            <w:r w:rsidR="008537BB" w:rsidRPr="00E173FC">
              <w:rPr>
                <w:rFonts w:hint="eastAsia"/>
                <w:color w:val="000000"/>
                <w:w w:val="15"/>
                <w:shd w:val="solid" w:color="000000" w:fill="000000"/>
                <w:fitText w:val="58" w:id="-1236598004"/>
                <w14:textFill>
                  <w14:solidFill>
                    <w14:srgbClr w14:val="000000">
                      <w14:alpha w14:val="100000"/>
                    </w14:srgbClr>
                  </w14:solidFill>
                </w14:textFill>
              </w:rPr>
              <w:t xml:space="preserve">　</w:t>
            </w:r>
          </w:p>
        </w:tc>
        <w:tc>
          <w:tcPr>
            <w:tcW w:w="835" w:type="pct"/>
            <w:vAlign w:val="center"/>
          </w:tcPr>
          <w:p w14:paraId="02F1D648" w14:textId="77777777" w:rsidR="00273446" w:rsidRPr="00806B36" w:rsidRDefault="00273446" w:rsidP="0049704D">
            <w:pPr>
              <w:pStyle w:val="COMTabletext"/>
              <w:jc w:val="center"/>
            </w:pPr>
            <w:r w:rsidRPr="00806B36">
              <w:t>$0</w:t>
            </w:r>
          </w:p>
        </w:tc>
        <w:tc>
          <w:tcPr>
            <w:tcW w:w="838" w:type="pct"/>
            <w:vAlign w:val="center"/>
          </w:tcPr>
          <w:p w14:paraId="12B63484" w14:textId="38D15407"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03"/>
                <w14:textFill>
                  <w14:solidFill>
                    <w14:srgbClr w14:val="000000">
                      <w14:alpha w14:val="100000"/>
                    </w14:srgbClr>
                  </w14:solidFill>
                </w14:textFill>
              </w:rPr>
              <w:t>|</w:t>
            </w:r>
            <w:r w:rsidR="008537BB" w:rsidRPr="00E173FC">
              <w:rPr>
                <w:color w:val="000000"/>
                <w:shd w:val="solid" w:color="000000" w:fill="000000"/>
                <w:fitText w:val="183" w:id="-1236598003"/>
                <w14:textFill>
                  <w14:solidFill>
                    <w14:srgbClr w14:val="000000">
                      <w14:alpha w14:val="100000"/>
                    </w14:srgbClr>
                  </w14:solidFill>
                </w14:textFill>
              </w:rPr>
              <w:t>|</w:t>
            </w:r>
          </w:p>
        </w:tc>
      </w:tr>
      <w:tr w:rsidR="00273446" w:rsidRPr="00806B36" w14:paraId="6CB7C2F3" w14:textId="77777777" w:rsidTr="0049704D">
        <w:tc>
          <w:tcPr>
            <w:tcW w:w="2349" w:type="pct"/>
            <w:vAlign w:val="center"/>
          </w:tcPr>
          <w:p w14:paraId="4CACC475" w14:textId="77777777" w:rsidR="00273446" w:rsidRPr="00806B36" w:rsidRDefault="00273446" w:rsidP="0049704D">
            <w:pPr>
              <w:pStyle w:val="COMTabletext"/>
              <w:rPr>
                <w:rFonts w:ascii="Times" w:hAnsi="Times"/>
              </w:rPr>
            </w:pPr>
            <w:r w:rsidRPr="00806B36">
              <w:t>Patients with mild or no disease (5-D Itch score &lt;12)</w:t>
            </w:r>
          </w:p>
        </w:tc>
        <w:tc>
          <w:tcPr>
            <w:tcW w:w="978" w:type="pct"/>
            <w:vAlign w:val="center"/>
          </w:tcPr>
          <w:p w14:paraId="1AF9AAE0" w14:textId="77777777" w:rsidR="00273446" w:rsidRPr="00806B36" w:rsidRDefault="00273446" w:rsidP="0049704D">
            <w:pPr>
              <w:pStyle w:val="COMTabletext"/>
              <w:jc w:val="center"/>
            </w:pPr>
            <w:r w:rsidRPr="00806B36">
              <w:t>0.4991</w:t>
            </w:r>
          </w:p>
        </w:tc>
        <w:tc>
          <w:tcPr>
            <w:tcW w:w="835" w:type="pct"/>
            <w:vAlign w:val="center"/>
          </w:tcPr>
          <w:p w14:paraId="771D1C34" w14:textId="77777777" w:rsidR="00273446" w:rsidRPr="00806B36" w:rsidRDefault="00273446" w:rsidP="0049704D">
            <w:pPr>
              <w:pStyle w:val="COMTabletext"/>
              <w:jc w:val="center"/>
            </w:pPr>
            <w:r w:rsidRPr="00806B36">
              <w:t>0.4007</w:t>
            </w:r>
          </w:p>
        </w:tc>
        <w:tc>
          <w:tcPr>
            <w:tcW w:w="838" w:type="pct"/>
            <w:vAlign w:val="center"/>
          </w:tcPr>
          <w:p w14:paraId="32CFE603" w14:textId="77777777" w:rsidR="00273446" w:rsidRPr="00806B36" w:rsidRDefault="00273446" w:rsidP="0049704D">
            <w:pPr>
              <w:pStyle w:val="COMTabletext"/>
              <w:jc w:val="center"/>
            </w:pPr>
            <w:r w:rsidRPr="00806B36">
              <w:t>0.0984</w:t>
            </w:r>
          </w:p>
        </w:tc>
      </w:tr>
      <w:tr w:rsidR="00273446" w:rsidRPr="00806B36" w14:paraId="1399F11C" w14:textId="77777777" w:rsidTr="0049704D">
        <w:tc>
          <w:tcPr>
            <w:tcW w:w="4162" w:type="pct"/>
            <w:gridSpan w:val="3"/>
            <w:vAlign w:val="center"/>
          </w:tcPr>
          <w:p w14:paraId="60BED784" w14:textId="1D2DFF34" w:rsidR="00273446" w:rsidRPr="00806B36" w:rsidRDefault="00273446" w:rsidP="0049704D">
            <w:pPr>
              <w:pStyle w:val="COMTabletext"/>
              <w:rPr>
                <w:rFonts w:ascii="Times" w:hAnsi="Times"/>
                <w:b/>
                <w:bCs w:val="0"/>
              </w:rPr>
            </w:pPr>
            <w:r w:rsidRPr="00806B36">
              <w:rPr>
                <w:b/>
                <w:bCs w:val="0"/>
              </w:rPr>
              <w:t xml:space="preserve">Incremental cost per additional patient with mild or no disease </w:t>
            </w:r>
          </w:p>
        </w:tc>
        <w:tc>
          <w:tcPr>
            <w:tcW w:w="838" w:type="pct"/>
            <w:vAlign w:val="center"/>
          </w:tcPr>
          <w:p w14:paraId="145ECAE2" w14:textId="5E8B8FB0"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02"/>
                <w14:textFill>
                  <w14:solidFill>
                    <w14:srgbClr w14:val="000000">
                      <w14:alpha w14:val="100000"/>
                    </w14:srgbClr>
                  </w14:solidFill>
                </w14:textFill>
              </w:rPr>
              <w:t>|</w:t>
            </w:r>
            <w:r w:rsidR="008537BB" w:rsidRPr="008537BB">
              <w:rPr>
                <w:b/>
                <w:bCs w:val="0"/>
                <w:color w:val="000000"/>
                <w:shd w:val="solid" w:color="000000" w:fill="000000"/>
                <w:fitText w:val="291" w:id="-1236598002"/>
                <w14:textFill>
                  <w14:solidFill>
                    <w14:srgbClr w14:val="000000">
                      <w14:alpha w14:val="100000"/>
                    </w14:srgbClr>
                  </w14:solidFill>
                </w14:textFill>
              </w:rPr>
              <w:t>|</w:t>
            </w:r>
            <w:r w:rsidR="00B304E7" w:rsidRPr="006F69AD">
              <w:rPr>
                <w:b/>
                <w:bCs w:val="0"/>
                <w:vertAlign w:val="superscript"/>
              </w:rPr>
              <w:t>1</w:t>
            </w:r>
          </w:p>
        </w:tc>
      </w:tr>
      <w:tr w:rsidR="00273446" w:rsidRPr="00806B36" w14:paraId="4AE169AF" w14:textId="77777777" w:rsidTr="0049704D">
        <w:tc>
          <w:tcPr>
            <w:tcW w:w="5000" w:type="pct"/>
            <w:gridSpan w:val="4"/>
            <w:vAlign w:val="center"/>
          </w:tcPr>
          <w:p w14:paraId="13C36AB5" w14:textId="08A42138" w:rsidR="00273446" w:rsidRPr="00806B36" w:rsidRDefault="00273446" w:rsidP="0049704D">
            <w:pPr>
              <w:pStyle w:val="COMTableheadingrow"/>
              <w:rPr>
                <w:lang w:val="en-AU"/>
              </w:rPr>
            </w:pPr>
            <w:r w:rsidRPr="00806B36">
              <w:rPr>
                <w:lang w:val="en-AU"/>
              </w:rPr>
              <w:t>Step 3: Apply background mortality</w:t>
            </w:r>
            <w:r w:rsidR="009F521F" w:rsidRPr="00806B36">
              <w:rPr>
                <w:lang w:val="en-AU"/>
              </w:rPr>
              <w:t>*</w:t>
            </w:r>
          </w:p>
        </w:tc>
      </w:tr>
      <w:tr w:rsidR="00273446" w:rsidRPr="00806B36" w14:paraId="48B68A15" w14:textId="77777777" w:rsidTr="0049704D">
        <w:tc>
          <w:tcPr>
            <w:tcW w:w="2349" w:type="pct"/>
            <w:vAlign w:val="center"/>
          </w:tcPr>
          <w:p w14:paraId="44A046CD" w14:textId="77777777" w:rsidR="00273446" w:rsidRPr="00806B36" w:rsidRDefault="00273446" w:rsidP="0049704D">
            <w:pPr>
              <w:pStyle w:val="COMTabletext"/>
              <w:rPr>
                <w:rFonts w:ascii="Times" w:hAnsi="Times"/>
              </w:rPr>
            </w:pPr>
            <w:r w:rsidRPr="00806B36">
              <w:t>Costs</w:t>
            </w:r>
          </w:p>
        </w:tc>
        <w:tc>
          <w:tcPr>
            <w:tcW w:w="978" w:type="pct"/>
            <w:vAlign w:val="center"/>
          </w:tcPr>
          <w:p w14:paraId="53C8F359" w14:textId="4C992826"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01"/>
                <w14:textFill>
                  <w14:solidFill>
                    <w14:srgbClr w14:val="000000">
                      <w14:alpha w14:val="100000"/>
                    </w14:srgbClr>
                  </w14:solidFill>
                </w14:textFill>
              </w:rPr>
              <w:t xml:space="preserve">　</w:t>
            </w:r>
            <w:r w:rsidR="008537BB" w:rsidRPr="00E173FC">
              <w:rPr>
                <w:color w:val="000000"/>
                <w:w w:val="15"/>
                <w:shd w:val="solid" w:color="000000" w:fill="000000"/>
                <w:fitText w:val="58" w:id="-1236598001"/>
                <w14:textFill>
                  <w14:solidFill>
                    <w14:srgbClr w14:val="000000">
                      <w14:alpha w14:val="100000"/>
                    </w14:srgbClr>
                  </w14:solidFill>
                </w14:textFill>
              </w:rPr>
              <w:t>|</w:t>
            </w:r>
            <w:r w:rsidR="008537BB" w:rsidRPr="00E173FC">
              <w:rPr>
                <w:rFonts w:hint="eastAsia"/>
                <w:color w:val="000000"/>
                <w:w w:val="15"/>
                <w:shd w:val="solid" w:color="000000" w:fill="000000"/>
                <w:fitText w:val="58" w:id="-1236598001"/>
                <w14:textFill>
                  <w14:solidFill>
                    <w14:srgbClr w14:val="000000">
                      <w14:alpha w14:val="100000"/>
                    </w14:srgbClr>
                  </w14:solidFill>
                </w14:textFill>
              </w:rPr>
              <w:t xml:space="preserve">　</w:t>
            </w:r>
          </w:p>
        </w:tc>
        <w:tc>
          <w:tcPr>
            <w:tcW w:w="835" w:type="pct"/>
            <w:vAlign w:val="center"/>
          </w:tcPr>
          <w:p w14:paraId="5F2C851B" w14:textId="77777777" w:rsidR="00273446" w:rsidRPr="00806B36" w:rsidRDefault="00273446" w:rsidP="0049704D">
            <w:pPr>
              <w:pStyle w:val="COMTabletext"/>
              <w:jc w:val="center"/>
            </w:pPr>
            <w:r w:rsidRPr="00806B36">
              <w:t>$0</w:t>
            </w:r>
          </w:p>
        </w:tc>
        <w:tc>
          <w:tcPr>
            <w:tcW w:w="838" w:type="pct"/>
            <w:vAlign w:val="center"/>
          </w:tcPr>
          <w:p w14:paraId="49FB4C9A" w14:textId="5F92058A"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00"/>
                <w14:textFill>
                  <w14:solidFill>
                    <w14:srgbClr w14:val="000000">
                      <w14:alpha w14:val="100000"/>
                    </w14:srgbClr>
                  </w14:solidFill>
                </w14:textFill>
              </w:rPr>
              <w:t>|</w:t>
            </w:r>
            <w:r w:rsidR="008537BB" w:rsidRPr="00E173FC">
              <w:rPr>
                <w:color w:val="000000"/>
                <w:shd w:val="solid" w:color="000000" w:fill="000000"/>
                <w:fitText w:val="183" w:id="-1236598000"/>
                <w14:textFill>
                  <w14:solidFill>
                    <w14:srgbClr w14:val="000000">
                      <w14:alpha w14:val="100000"/>
                    </w14:srgbClr>
                  </w14:solidFill>
                </w14:textFill>
              </w:rPr>
              <w:t>|</w:t>
            </w:r>
          </w:p>
        </w:tc>
      </w:tr>
      <w:tr w:rsidR="00273446" w:rsidRPr="00806B36" w14:paraId="0CC02BB7" w14:textId="77777777" w:rsidTr="0049704D">
        <w:tc>
          <w:tcPr>
            <w:tcW w:w="2349" w:type="pct"/>
            <w:vAlign w:val="center"/>
          </w:tcPr>
          <w:p w14:paraId="1DDC352D" w14:textId="77777777" w:rsidR="00273446" w:rsidRPr="00806B36" w:rsidRDefault="00273446" w:rsidP="0049704D">
            <w:pPr>
              <w:pStyle w:val="COMTabletext"/>
              <w:rPr>
                <w:rFonts w:ascii="Times" w:hAnsi="Times"/>
              </w:rPr>
            </w:pPr>
            <w:r w:rsidRPr="00806B36">
              <w:t>Patients with mild or no disease (5-D Itch score &lt;12)</w:t>
            </w:r>
          </w:p>
        </w:tc>
        <w:tc>
          <w:tcPr>
            <w:tcW w:w="978" w:type="pct"/>
            <w:vAlign w:val="center"/>
          </w:tcPr>
          <w:p w14:paraId="23F0C841" w14:textId="77777777" w:rsidR="00273446" w:rsidRPr="00806B36" w:rsidRDefault="00273446" w:rsidP="0049704D">
            <w:pPr>
              <w:pStyle w:val="COMTabletext"/>
              <w:jc w:val="center"/>
            </w:pPr>
            <w:r w:rsidRPr="00806B36">
              <w:t>0.4894</w:t>
            </w:r>
          </w:p>
        </w:tc>
        <w:tc>
          <w:tcPr>
            <w:tcW w:w="835" w:type="pct"/>
            <w:vAlign w:val="center"/>
          </w:tcPr>
          <w:p w14:paraId="673F3556" w14:textId="77777777" w:rsidR="00273446" w:rsidRPr="00806B36" w:rsidRDefault="00273446" w:rsidP="0049704D">
            <w:pPr>
              <w:pStyle w:val="COMTabletext"/>
              <w:jc w:val="center"/>
            </w:pPr>
            <w:r w:rsidRPr="00806B36">
              <w:t>0.3929</w:t>
            </w:r>
          </w:p>
        </w:tc>
        <w:tc>
          <w:tcPr>
            <w:tcW w:w="838" w:type="pct"/>
            <w:vAlign w:val="center"/>
          </w:tcPr>
          <w:p w14:paraId="7EEE0845" w14:textId="77777777" w:rsidR="00273446" w:rsidRPr="00806B36" w:rsidRDefault="00273446" w:rsidP="0049704D">
            <w:pPr>
              <w:pStyle w:val="COMTabletext"/>
              <w:jc w:val="center"/>
            </w:pPr>
            <w:r w:rsidRPr="00806B36">
              <w:t>0.0965</w:t>
            </w:r>
          </w:p>
        </w:tc>
      </w:tr>
      <w:tr w:rsidR="00273446" w:rsidRPr="00806B36" w14:paraId="28FA6ECF" w14:textId="77777777" w:rsidTr="0049704D">
        <w:tc>
          <w:tcPr>
            <w:tcW w:w="4162" w:type="pct"/>
            <w:gridSpan w:val="3"/>
            <w:vAlign w:val="center"/>
          </w:tcPr>
          <w:p w14:paraId="4359CDA4" w14:textId="77777777" w:rsidR="00273446" w:rsidRPr="00806B36" w:rsidRDefault="00273446" w:rsidP="0049704D">
            <w:pPr>
              <w:pStyle w:val="COMTabletext"/>
              <w:rPr>
                <w:rFonts w:ascii="Times" w:hAnsi="Times"/>
                <w:b/>
                <w:bCs w:val="0"/>
              </w:rPr>
            </w:pPr>
            <w:r w:rsidRPr="00806B36">
              <w:rPr>
                <w:b/>
                <w:bCs w:val="0"/>
              </w:rPr>
              <w:t xml:space="preserve">Incremental cost per additional patient with mild or no disease </w:t>
            </w:r>
          </w:p>
        </w:tc>
        <w:tc>
          <w:tcPr>
            <w:tcW w:w="838" w:type="pct"/>
            <w:vAlign w:val="center"/>
          </w:tcPr>
          <w:p w14:paraId="6732F553" w14:textId="3849897A"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16"/>
                <w14:textFill>
                  <w14:solidFill>
                    <w14:srgbClr w14:val="000000">
                      <w14:alpha w14:val="100000"/>
                    </w14:srgbClr>
                  </w14:solidFill>
                </w14:textFill>
              </w:rPr>
              <w:t>|</w:t>
            </w:r>
            <w:r w:rsidR="008537BB" w:rsidRPr="008537BB">
              <w:rPr>
                <w:b/>
                <w:bCs w:val="0"/>
                <w:color w:val="000000"/>
                <w:shd w:val="solid" w:color="000000" w:fill="000000"/>
                <w:fitText w:val="291" w:id="-1236598016"/>
                <w14:textFill>
                  <w14:solidFill>
                    <w14:srgbClr w14:val="000000">
                      <w14:alpha w14:val="100000"/>
                    </w14:srgbClr>
                  </w14:solidFill>
                </w14:textFill>
              </w:rPr>
              <w:t>|</w:t>
            </w:r>
            <w:r w:rsidR="00B304E7">
              <w:rPr>
                <w:b/>
                <w:bCs w:val="0"/>
                <w:vertAlign w:val="superscript"/>
              </w:rPr>
              <w:t>2</w:t>
            </w:r>
          </w:p>
        </w:tc>
      </w:tr>
      <w:tr w:rsidR="00273446" w:rsidRPr="00806B36" w14:paraId="1CB2AC0B" w14:textId="77777777" w:rsidTr="0049704D">
        <w:tc>
          <w:tcPr>
            <w:tcW w:w="5000" w:type="pct"/>
            <w:gridSpan w:val="4"/>
            <w:vAlign w:val="center"/>
          </w:tcPr>
          <w:p w14:paraId="2A79C621" w14:textId="1B9B2515" w:rsidR="00273446" w:rsidRPr="00806B36" w:rsidRDefault="00273446" w:rsidP="0049704D">
            <w:pPr>
              <w:pStyle w:val="COMTableheadingrow"/>
              <w:rPr>
                <w:lang w:val="en-AU"/>
              </w:rPr>
            </w:pPr>
            <w:r w:rsidRPr="00806B36">
              <w:rPr>
                <w:lang w:val="en-AU"/>
              </w:rPr>
              <w:t>Step 4: Adjust baseline disease distribution, assuming all patients have at least moderate disease (i.e. no patients with 5-D Itch score &lt;12 at baseline, transition probabilities unchanged)</w:t>
            </w:r>
            <w:r w:rsidR="009F521F" w:rsidRPr="00806B36">
              <w:rPr>
                <w:lang w:val="en-AU"/>
              </w:rPr>
              <w:t>*</w:t>
            </w:r>
          </w:p>
        </w:tc>
      </w:tr>
      <w:tr w:rsidR="00273446" w:rsidRPr="00806B36" w14:paraId="47E1977C" w14:textId="77777777" w:rsidTr="0049704D">
        <w:tc>
          <w:tcPr>
            <w:tcW w:w="2349" w:type="pct"/>
            <w:vAlign w:val="center"/>
          </w:tcPr>
          <w:p w14:paraId="0D7EE37D" w14:textId="77777777" w:rsidR="00273446" w:rsidRPr="00806B36" w:rsidRDefault="00273446" w:rsidP="0049704D">
            <w:pPr>
              <w:pStyle w:val="COMTabletext"/>
              <w:rPr>
                <w:rFonts w:ascii="Times" w:hAnsi="Times"/>
              </w:rPr>
            </w:pPr>
            <w:r w:rsidRPr="00806B36">
              <w:t>Costs</w:t>
            </w:r>
          </w:p>
        </w:tc>
        <w:tc>
          <w:tcPr>
            <w:tcW w:w="978" w:type="pct"/>
            <w:vAlign w:val="center"/>
          </w:tcPr>
          <w:p w14:paraId="57E9DC72" w14:textId="3F5B0BA8"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15"/>
                <w14:textFill>
                  <w14:solidFill>
                    <w14:srgbClr w14:val="000000">
                      <w14:alpha w14:val="100000"/>
                    </w14:srgbClr>
                  </w14:solidFill>
                </w14:textFill>
              </w:rPr>
              <w:t xml:space="preserve">　</w:t>
            </w:r>
            <w:r w:rsidR="008537BB" w:rsidRPr="00E173FC">
              <w:rPr>
                <w:color w:val="000000"/>
                <w:w w:val="15"/>
                <w:shd w:val="solid" w:color="000000" w:fill="000000"/>
                <w:fitText w:val="58" w:id="-1236598015"/>
                <w14:textFill>
                  <w14:solidFill>
                    <w14:srgbClr w14:val="000000">
                      <w14:alpha w14:val="100000"/>
                    </w14:srgbClr>
                  </w14:solidFill>
                </w14:textFill>
              </w:rPr>
              <w:t>|</w:t>
            </w:r>
            <w:r w:rsidR="008537BB" w:rsidRPr="00E173FC">
              <w:rPr>
                <w:rFonts w:hint="eastAsia"/>
                <w:color w:val="000000"/>
                <w:w w:val="15"/>
                <w:shd w:val="solid" w:color="000000" w:fill="000000"/>
                <w:fitText w:val="58" w:id="-1236598015"/>
                <w14:textFill>
                  <w14:solidFill>
                    <w14:srgbClr w14:val="000000">
                      <w14:alpha w14:val="100000"/>
                    </w14:srgbClr>
                  </w14:solidFill>
                </w14:textFill>
              </w:rPr>
              <w:t xml:space="preserve">　</w:t>
            </w:r>
          </w:p>
        </w:tc>
        <w:tc>
          <w:tcPr>
            <w:tcW w:w="835" w:type="pct"/>
            <w:vAlign w:val="center"/>
          </w:tcPr>
          <w:p w14:paraId="41BAD76F" w14:textId="77777777" w:rsidR="00273446" w:rsidRPr="00806B36" w:rsidRDefault="00273446" w:rsidP="0049704D">
            <w:pPr>
              <w:pStyle w:val="COMTabletext"/>
              <w:jc w:val="center"/>
            </w:pPr>
            <w:r w:rsidRPr="00806B36">
              <w:t>$0</w:t>
            </w:r>
          </w:p>
        </w:tc>
        <w:tc>
          <w:tcPr>
            <w:tcW w:w="838" w:type="pct"/>
            <w:vAlign w:val="center"/>
          </w:tcPr>
          <w:p w14:paraId="37E784E2" w14:textId="2B16F490"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14"/>
                <w14:textFill>
                  <w14:solidFill>
                    <w14:srgbClr w14:val="000000">
                      <w14:alpha w14:val="100000"/>
                    </w14:srgbClr>
                  </w14:solidFill>
                </w14:textFill>
              </w:rPr>
              <w:t>|</w:t>
            </w:r>
            <w:r w:rsidR="008537BB" w:rsidRPr="00E173FC">
              <w:rPr>
                <w:color w:val="000000"/>
                <w:shd w:val="solid" w:color="000000" w:fill="000000"/>
                <w:fitText w:val="183" w:id="-1236598014"/>
                <w14:textFill>
                  <w14:solidFill>
                    <w14:srgbClr w14:val="000000">
                      <w14:alpha w14:val="100000"/>
                    </w14:srgbClr>
                  </w14:solidFill>
                </w14:textFill>
              </w:rPr>
              <w:t>|</w:t>
            </w:r>
          </w:p>
        </w:tc>
      </w:tr>
      <w:tr w:rsidR="00273446" w:rsidRPr="00806B36" w14:paraId="7D4DC5A8" w14:textId="77777777" w:rsidTr="0049704D">
        <w:tc>
          <w:tcPr>
            <w:tcW w:w="2349" w:type="pct"/>
            <w:vAlign w:val="center"/>
          </w:tcPr>
          <w:p w14:paraId="347D5188" w14:textId="77777777" w:rsidR="00273446" w:rsidRPr="00806B36" w:rsidRDefault="00273446" w:rsidP="0049704D">
            <w:pPr>
              <w:pStyle w:val="COMTabletext"/>
              <w:rPr>
                <w:rFonts w:ascii="Times" w:hAnsi="Times"/>
              </w:rPr>
            </w:pPr>
            <w:r w:rsidRPr="00806B36">
              <w:t>Patients with mild or no disease (5-D Itch score &lt;12)</w:t>
            </w:r>
          </w:p>
        </w:tc>
        <w:tc>
          <w:tcPr>
            <w:tcW w:w="978" w:type="pct"/>
            <w:vAlign w:val="center"/>
          </w:tcPr>
          <w:p w14:paraId="46AD8DF2" w14:textId="77777777" w:rsidR="00273446" w:rsidRPr="00806B36" w:rsidRDefault="00273446" w:rsidP="0049704D">
            <w:pPr>
              <w:pStyle w:val="COMTabletext"/>
              <w:jc w:val="center"/>
            </w:pPr>
            <w:r w:rsidRPr="00806B36">
              <w:t>0.4795</w:t>
            </w:r>
          </w:p>
        </w:tc>
        <w:tc>
          <w:tcPr>
            <w:tcW w:w="835" w:type="pct"/>
            <w:vAlign w:val="center"/>
          </w:tcPr>
          <w:p w14:paraId="0B2B57F5" w14:textId="77777777" w:rsidR="00273446" w:rsidRPr="00806B36" w:rsidRDefault="00273446" w:rsidP="0049704D">
            <w:pPr>
              <w:pStyle w:val="COMTabletext"/>
              <w:jc w:val="center"/>
            </w:pPr>
            <w:r w:rsidRPr="00806B36">
              <w:t>0.3858</w:t>
            </w:r>
          </w:p>
        </w:tc>
        <w:tc>
          <w:tcPr>
            <w:tcW w:w="838" w:type="pct"/>
            <w:vAlign w:val="center"/>
          </w:tcPr>
          <w:p w14:paraId="18D9F9B8" w14:textId="77777777" w:rsidR="00273446" w:rsidRPr="00806B36" w:rsidRDefault="00273446" w:rsidP="0049704D">
            <w:pPr>
              <w:pStyle w:val="COMTabletext"/>
              <w:jc w:val="center"/>
            </w:pPr>
            <w:r w:rsidRPr="00806B36">
              <w:t>0.0937</w:t>
            </w:r>
          </w:p>
        </w:tc>
      </w:tr>
      <w:tr w:rsidR="00273446" w:rsidRPr="00806B36" w14:paraId="06C33030" w14:textId="77777777" w:rsidTr="0049704D">
        <w:tc>
          <w:tcPr>
            <w:tcW w:w="4162" w:type="pct"/>
            <w:gridSpan w:val="3"/>
            <w:vAlign w:val="center"/>
          </w:tcPr>
          <w:p w14:paraId="2BA4B89E" w14:textId="035CE0F0" w:rsidR="00273446" w:rsidRPr="00806B36" w:rsidRDefault="00273446" w:rsidP="0049704D">
            <w:pPr>
              <w:pStyle w:val="COMTabletext"/>
              <w:rPr>
                <w:rFonts w:ascii="Times" w:hAnsi="Times"/>
                <w:b/>
                <w:bCs w:val="0"/>
              </w:rPr>
            </w:pPr>
            <w:r w:rsidRPr="00806B36">
              <w:rPr>
                <w:b/>
                <w:bCs w:val="0"/>
              </w:rPr>
              <w:t xml:space="preserve">Incremental cost per additional patient with mild or no disease </w:t>
            </w:r>
          </w:p>
        </w:tc>
        <w:tc>
          <w:tcPr>
            <w:tcW w:w="838" w:type="pct"/>
            <w:vAlign w:val="center"/>
          </w:tcPr>
          <w:p w14:paraId="694B3F2A" w14:textId="1A86C405"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13"/>
                <w14:textFill>
                  <w14:solidFill>
                    <w14:srgbClr w14:val="000000">
                      <w14:alpha w14:val="100000"/>
                    </w14:srgbClr>
                  </w14:solidFill>
                </w14:textFill>
              </w:rPr>
              <w:t>|</w:t>
            </w:r>
            <w:r w:rsidR="008537BB" w:rsidRPr="008537BB">
              <w:rPr>
                <w:b/>
                <w:bCs w:val="0"/>
                <w:color w:val="000000"/>
                <w:shd w:val="solid" w:color="000000" w:fill="000000"/>
                <w:fitText w:val="291" w:id="-1236598013"/>
                <w14:textFill>
                  <w14:solidFill>
                    <w14:srgbClr w14:val="000000">
                      <w14:alpha w14:val="100000"/>
                    </w14:srgbClr>
                  </w14:solidFill>
                </w14:textFill>
              </w:rPr>
              <w:t>|</w:t>
            </w:r>
            <w:r w:rsidR="00B304E7">
              <w:rPr>
                <w:b/>
                <w:bCs w:val="0"/>
                <w:vertAlign w:val="superscript"/>
              </w:rPr>
              <w:t>2</w:t>
            </w:r>
          </w:p>
        </w:tc>
      </w:tr>
      <w:tr w:rsidR="00273446" w:rsidRPr="00806B36" w14:paraId="1EBEA903" w14:textId="77777777" w:rsidTr="0049704D">
        <w:tc>
          <w:tcPr>
            <w:tcW w:w="5000" w:type="pct"/>
            <w:gridSpan w:val="4"/>
            <w:vAlign w:val="center"/>
          </w:tcPr>
          <w:p w14:paraId="091C5391" w14:textId="29EA51E6" w:rsidR="00273446" w:rsidRPr="00806B36" w:rsidRDefault="00273446" w:rsidP="0049704D">
            <w:pPr>
              <w:pStyle w:val="COMTableheadingrow"/>
              <w:rPr>
                <w:lang w:val="en-AU"/>
              </w:rPr>
            </w:pPr>
            <w:r w:rsidRPr="00806B36">
              <w:rPr>
                <w:lang w:val="en-AU"/>
              </w:rPr>
              <w:t>Step 5: Extrapolate to 5 years (modelled transition probabilities for difelikefalin beyond 64 weeks, modelled transition probabilities for BSC beyond 12 weeks)</w:t>
            </w:r>
            <w:r w:rsidR="009F521F" w:rsidRPr="00806B36">
              <w:rPr>
                <w:lang w:val="en-AU"/>
              </w:rPr>
              <w:t>*</w:t>
            </w:r>
          </w:p>
        </w:tc>
      </w:tr>
      <w:tr w:rsidR="00273446" w:rsidRPr="00806B36" w14:paraId="02B1F052" w14:textId="77777777" w:rsidTr="0049704D">
        <w:tc>
          <w:tcPr>
            <w:tcW w:w="2349" w:type="pct"/>
            <w:vAlign w:val="center"/>
          </w:tcPr>
          <w:p w14:paraId="13668892" w14:textId="77777777" w:rsidR="00273446" w:rsidRPr="00806B36" w:rsidRDefault="00273446" w:rsidP="0049704D">
            <w:pPr>
              <w:pStyle w:val="COMTabletext"/>
              <w:rPr>
                <w:rFonts w:ascii="Times" w:hAnsi="Times"/>
              </w:rPr>
            </w:pPr>
            <w:r w:rsidRPr="00806B36">
              <w:t xml:space="preserve">Costs </w:t>
            </w:r>
          </w:p>
        </w:tc>
        <w:tc>
          <w:tcPr>
            <w:tcW w:w="978" w:type="pct"/>
          </w:tcPr>
          <w:p w14:paraId="5F921085" w14:textId="2F1002EE"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12"/>
                <w14:textFill>
                  <w14:solidFill>
                    <w14:srgbClr w14:val="000000">
                      <w14:alpha w14:val="100000"/>
                    </w14:srgbClr>
                  </w14:solidFill>
                </w14:textFill>
              </w:rPr>
              <w:t xml:space="preserve">　</w:t>
            </w:r>
            <w:r w:rsidR="008537BB" w:rsidRPr="00E173FC">
              <w:rPr>
                <w:color w:val="000000"/>
                <w:w w:val="15"/>
                <w:shd w:val="solid" w:color="000000" w:fill="000000"/>
                <w:fitText w:val="58" w:id="-1236598012"/>
                <w14:textFill>
                  <w14:solidFill>
                    <w14:srgbClr w14:val="000000">
                      <w14:alpha w14:val="100000"/>
                    </w14:srgbClr>
                  </w14:solidFill>
                </w14:textFill>
              </w:rPr>
              <w:t>|</w:t>
            </w:r>
            <w:r w:rsidR="008537BB" w:rsidRPr="00E173FC">
              <w:rPr>
                <w:rFonts w:hint="eastAsia"/>
                <w:color w:val="000000"/>
                <w:w w:val="15"/>
                <w:shd w:val="solid" w:color="000000" w:fill="000000"/>
                <w:fitText w:val="58" w:id="-1236598012"/>
                <w14:textFill>
                  <w14:solidFill>
                    <w14:srgbClr w14:val="000000">
                      <w14:alpha w14:val="100000"/>
                    </w14:srgbClr>
                  </w14:solidFill>
                </w14:textFill>
              </w:rPr>
              <w:t xml:space="preserve">　</w:t>
            </w:r>
          </w:p>
        </w:tc>
        <w:tc>
          <w:tcPr>
            <w:tcW w:w="835" w:type="pct"/>
          </w:tcPr>
          <w:p w14:paraId="0190A319" w14:textId="77777777" w:rsidR="00273446" w:rsidRPr="00806B36" w:rsidRDefault="00273446" w:rsidP="0049704D">
            <w:pPr>
              <w:pStyle w:val="COMTabletext"/>
              <w:jc w:val="center"/>
            </w:pPr>
            <w:r w:rsidRPr="00806B36">
              <w:t>$0</w:t>
            </w:r>
          </w:p>
        </w:tc>
        <w:tc>
          <w:tcPr>
            <w:tcW w:w="838" w:type="pct"/>
          </w:tcPr>
          <w:p w14:paraId="24CDB553" w14:textId="70308B32"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11"/>
                <w14:textFill>
                  <w14:solidFill>
                    <w14:srgbClr w14:val="000000">
                      <w14:alpha w14:val="100000"/>
                    </w14:srgbClr>
                  </w14:solidFill>
                </w14:textFill>
              </w:rPr>
              <w:t>|</w:t>
            </w:r>
            <w:r w:rsidR="008537BB" w:rsidRPr="00E173FC">
              <w:rPr>
                <w:color w:val="000000"/>
                <w:shd w:val="solid" w:color="000000" w:fill="000000"/>
                <w:fitText w:val="183" w:id="-1236598011"/>
                <w14:textFill>
                  <w14:solidFill>
                    <w14:srgbClr w14:val="000000">
                      <w14:alpha w14:val="100000"/>
                    </w14:srgbClr>
                  </w14:solidFill>
                </w14:textFill>
              </w:rPr>
              <w:t>|</w:t>
            </w:r>
          </w:p>
        </w:tc>
      </w:tr>
      <w:tr w:rsidR="00273446" w:rsidRPr="00806B36" w14:paraId="53B6F3FB" w14:textId="77777777" w:rsidTr="0049704D">
        <w:tc>
          <w:tcPr>
            <w:tcW w:w="2349" w:type="pct"/>
            <w:vAlign w:val="center"/>
          </w:tcPr>
          <w:p w14:paraId="7F5D3D7C" w14:textId="77777777" w:rsidR="00273446" w:rsidRPr="00806B36" w:rsidRDefault="00273446" w:rsidP="0049704D">
            <w:pPr>
              <w:pStyle w:val="COMTabletext"/>
            </w:pPr>
            <w:r w:rsidRPr="00806B36">
              <w:t>Patients with mild or no disease (5-D Itch score &lt;12)</w:t>
            </w:r>
          </w:p>
        </w:tc>
        <w:tc>
          <w:tcPr>
            <w:tcW w:w="978" w:type="pct"/>
          </w:tcPr>
          <w:p w14:paraId="370CAF61" w14:textId="77777777" w:rsidR="00273446" w:rsidRPr="00806B36" w:rsidRDefault="00273446" w:rsidP="0049704D">
            <w:pPr>
              <w:pStyle w:val="COMTabletext"/>
              <w:jc w:val="center"/>
            </w:pPr>
            <w:r w:rsidRPr="00806B36">
              <w:t>0.2169</w:t>
            </w:r>
          </w:p>
        </w:tc>
        <w:tc>
          <w:tcPr>
            <w:tcW w:w="835" w:type="pct"/>
          </w:tcPr>
          <w:p w14:paraId="7CB0EFA1" w14:textId="77777777" w:rsidR="00273446" w:rsidRPr="00806B36" w:rsidRDefault="00273446" w:rsidP="0049704D">
            <w:pPr>
              <w:pStyle w:val="COMTabletext"/>
              <w:jc w:val="center"/>
            </w:pPr>
            <w:r w:rsidRPr="00806B36">
              <w:t>0.0080</w:t>
            </w:r>
          </w:p>
        </w:tc>
        <w:tc>
          <w:tcPr>
            <w:tcW w:w="838" w:type="pct"/>
          </w:tcPr>
          <w:p w14:paraId="2AE5FA10" w14:textId="77777777" w:rsidR="00273446" w:rsidRPr="00806B36" w:rsidRDefault="00273446" w:rsidP="0049704D">
            <w:pPr>
              <w:pStyle w:val="COMTabletext"/>
              <w:jc w:val="center"/>
            </w:pPr>
            <w:r w:rsidRPr="00806B36">
              <w:t>0.2088</w:t>
            </w:r>
          </w:p>
        </w:tc>
      </w:tr>
      <w:tr w:rsidR="00273446" w:rsidRPr="00806B36" w14:paraId="4523FB91" w14:textId="77777777" w:rsidTr="0049704D">
        <w:tc>
          <w:tcPr>
            <w:tcW w:w="4162" w:type="pct"/>
            <w:gridSpan w:val="3"/>
            <w:vAlign w:val="center"/>
          </w:tcPr>
          <w:p w14:paraId="2CBAB88E" w14:textId="7AC8D2CB" w:rsidR="00273446" w:rsidRPr="00806B36" w:rsidRDefault="00273446" w:rsidP="0049704D">
            <w:pPr>
              <w:pStyle w:val="COMTabletext"/>
              <w:rPr>
                <w:b/>
                <w:bCs w:val="0"/>
              </w:rPr>
            </w:pPr>
            <w:r w:rsidRPr="00806B36">
              <w:rPr>
                <w:b/>
                <w:bCs w:val="0"/>
              </w:rPr>
              <w:t>Incremental cost per additional patient with mild or no disease</w:t>
            </w:r>
          </w:p>
        </w:tc>
        <w:tc>
          <w:tcPr>
            <w:tcW w:w="838" w:type="pct"/>
            <w:vAlign w:val="center"/>
          </w:tcPr>
          <w:p w14:paraId="1246E74C" w14:textId="3FF2D02B"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10"/>
                <w14:textFill>
                  <w14:solidFill>
                    <w14:srgbClr w14:val="000000">
                      <w14:alpha w14:val="100000"/>
                    </w14:srgbClr>
                  </w14:solidFill>
                </w14:textFill>
              </w:rPr>
              <w:t>|</w:t>
            </w:r>
            <w:r w:rsidR="008537BB" w:rsidRPr="008537BB">
              <w:rPr>
                <w:b/>
                <w:bCs w:val="0"/>
                <w:color w:val="000000"/>
                <w:shd w:val="solid" w:color="000000" w:fill="000000"/>
                <w:fitText w:val="291" w:id="-1236598010"/>
                <w14:textFill>
                  <w14:solidFill>
                    <w14:srgbClr w14:val="000000">
                      <w14:alpha w14:val="100000"/>
                    </w14:srgbClr>
                  </w14:solidFill>
                </w14:textFill>
              </w:rPr>
              <w:t>|</w:t>
            </w:r>
            <w:r w:rsidR="00B304E7">
              <w:rPr>
                <w:b/>
                <w:bCs w:val="0"/>
                <w:vertAlign w:val="superscript"/>
              </w:rPr>
              <w:t>3</w:t>
            </w:r>
          </w:p>
        </w:tc>
      </w:tr>
      <w:tr w:rsidR="00273446" w:rsidRPr="00806B36" w14:paraId="372071A9" w14:textId="77777777" w:rsidTr="0049704D">
        <w:tc>
          <w:tcPr>
            <w:tcW w:w="5000" w:type="pct"/>
            <w:gridSpan w:val="4"/>
            <w:vAlign w:val="center"/>
          </w:tcPr>
          <w:p w14:paraId="1076C2EB" w14:textId="1D54B208" w:rsidR="00273446" w:rsidRPr="00806B36" w:rsidRDefault="00273446" w:rsidP="0049704D">
            <w:pPr>
              <w:pStyle w:val="COMTableheadingrow"/>
              <w:rPr>
                <w:lang w:val="en-AU"/>
              </w:rPr>
            </w:pPr>
            <w:r w:rsidRPr="00806B36">
              <w:rPr>
                <w:lang w:val="en-AU"/>
              </w:rPr>
              <w:t>Step 6: Add health state costs</w:t>
            </w:r>
            <w:r w:rsidR="009F521F" w:rsidRPr="00806B36">
              <w:rPr>
                <w:lang w:val="en-AU"/>
              </w:rPr>
              <w:t>*</w:t>
            </w:r>
          </w:p>
        </w:tc>
      </w:tr>
      <w:tr w:rsidR="00273446" w:rsidRPr="00806B36" w14:paraId="31355EE7" w14:textId="77777777" w:rsidTr="0049704D">
        <w:tc>
          <w:tcPr>
            <w:tcW w:w="2349" w:type="pct"/>
            <w:vAlign w:val="center"/>
          </w:tcPr>
          <w:p w14:paraId="72B53463" w14:textId="77777777" w:rsidR="00273446" w:rsidRPr="00806B36" w:rsidRDefault="00273446" w:rsidP="0049704D">
            <w:pPr>
              <w:pStyle w:val="COMTabletext"/>
              <w:rPr>
                <w:rFonts w:ascii="Times" w:hAnsi="Times"/>
              </w:rPr>
            </w:pPr>
            <w:r w:rsidRPr="00806B36">
              <w:t xml:space="preserve">Costs </w:t>
            </w:r>
          </w:p>
        </w:tc>
        <w:tc>
          <w:tcPr>
            <w:tcW w:w="978" w:type="pct"/>
          </w:tcPr>
          <w:p w14:paraId="2CA7AB8F" w14:textId="0281946A"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09"/>
                <w14:textFill>
                  <w14:solidFill>
                    <w14:srgbClr w14:val="000000">
                      <w14:alpha w14:val="100000"/>
                    </w14:srgbClr>
                  </w14:solidFill>
                </w14:textFill>
              </w:rPr>
              <w:t xml:space="preserve">　</w:t>
            </w:r>
            <w:r w:rsidR="008537BB" w:rsidRPr="00E173FC">
              <w:rPr>
                <w:color w:val="000000"/>
                <w:w w:val="15"/>
                <w:shd w:val="solid" w:color="000000" w:fill="000000"/>
                <w:fitText w:val="58" w:id="-1236598009"/>
                <w14:textFill>
                  <w14:solidFill>
                    <w14:srgbClr w14:val="000000">
                      <w14:alpha w14:val="100000"/>
                    </w14:srgbClr>
                  </w14:solidFill>
                </w14:textFill>
              </w:rPr>
              <w:t>|</w:t>
            </w:r>
            <w:r w:rsidR="008537BB" w:rsidRPr="00E173FC">
              <w:rPr>
                <w:rFonts w:hint="eastAsia"/>
                <w:color w:val="000000"/>
                <w:w w:val="15"/>
                <w:shd w:val="solid" w:color="000000" w:fill="000000"/>
                <w:fitText w:val="58" w:id="-1236598009"/>
                <w14:textFill>
                  <w14:solidFill>
                    <w14:srgbClr w14:val="000000">
                      <w14:alpha w14:val="100000"/>
                    </w14:srgbClr>
                  </w14:solidFill>
                </w14:textFill>
              </w:rPr>
              <w:t xml:space="preserve">　</w:t>
            </w:r>
          </w:p>
        </w:tc>
        <w:tc>
          <w:tcPr>
            <w:tcW w:w="835" w:type="pct"/>
          </w:tcPr>
          <w:p w14:paraId="376D4E83" w14:textId="77777777" w:rsidR="00273446" w:rsidRPr="00806B36" w:rsidRDefault="00273446" w:rsidP="0049704D">
            <w:pPr>
              <w:pStyle w:val="COMTabletext"/>
              <w:jc w:val="center"/>
            </w:pPr>
            <w:r w:rsidRPr="00806B36">
              <w:t>$7,793</w:t>
            </w:r>
          </w:p>
        </w:tc>
        <w:tc>
          <w:tcPr>
            <w:tcW w:w="838" w:type="pct"/>
          </w:tcPr>
          <w:p w14:paraId="7769CEF4" w14:textId="27A6A747"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08"/>
                <w14:textFill>
                  <w14:solidFill>
                    <w14:srgbClr w14:val="000000">
                      <w14:alpha w14:val="100000"/>
                    </w14:srgbClr>
                  </w14:solidFill>
                </w14:textFill>
              </w:rPr>
              <w:t>|</w:t>
            </w:r>
            <w:r w:rsidR="008537BB" w:rsidRPr="00E173FC">
              <w:rPr>
                <w:color w:val="000000"/>
                <w:shd w:val="solid" w:color="000000" w:fill="000000"/>
                <w:fitText w:val="183" w:id="-1236598008"/>
                <w14:textFill>
                  <w14:solidFill>
                    <w14:srgbClr w14:val="000000">
                      <w14:alpha w14:val="100000"/>
                    </w14:srgbClr>
                  </w14:solidFill>
                </w14:textFill>
              </w:rPr>
              <w:t>|</w:t>
            </w:r>
          </w:p>
        </w:tc>
      </w:tr>
      <w:tr w:rsidR="00273446" w:rsidRPr="00806B36" w14:paraId="6E6BEE68" w14:textId="77777777" w:rsidTr="0049704D">
        <w:tc>
          <w:tcPr>
            <w:tcW w:w="2349" w:type="pct"/>
            <w:vAlign w:val="center"/>
          </w:tcPr>
          <w:p w14:paraId="67868BEC" w14:textId="77777777" w:rsidR="00273446" w:rsidRPr="00806B36" w:rsidRDefault="00273446" w:rsidP="0049704D">
            <w:pPr>
              <w:pStyle w:val="COMTabletext"/>
            </w:pPr>
            <w:r w:rsidRPr="00806B36">
              <w:t>Patients with mild or no disease (5-D Itch score &lt;12)</w:t>
            </w:r>
          </w:p>
        </w:tc>
        <w:tc>
          <w:tcPr>
            <w:tcW w:w="978" w:type="pct"/>
          </w:tcPr>
          <w:p w14:paraId="2FB2CBEE" w14:textId="77777777" w:rsidR="00273446" w:rsidRPr="00806B36" w:rsidRDefault="00273446" w:rsidP="0049704D">
            <w:pPr>
              <w:pStyle w:val="COMTabletext"/>
              <w:jc w:val="center"/>
            </w:pPr>
            <w:r w:rsidRPr="00806B36">
              <w:t>0.2169</w:t>
            </w:r>
          </w:p>
        </w:tc>
        <w:tc>
          <w:tcPr>
            <w:tcW w:w="835" w:type="pct"/>
          </w:tcPr>
          <w:p w14:paraId="79463237" w14:textId="77777777" w:rsidR="00273446" w:rsidRPr="00806B36" w:rsidRDefault="00273446" w:rsidP="0049704D">
            <w:pPr>
              <w:pStyle w:val="COMTabletext"/>
              <w:jc w:val="center"/>
            </w:pPr>
            <w:r w:rsidRPr="00806B36">
              <w:t>0.0080</w:t>
            </w:r>
          </w:p>
        </w:tc>
        <w:tc>
          <w:tcPr>
            <w:tcW w:w="838" w:type="pct"/>
          </w:tcPr>
          <w:p w14:paraId="15015022" w14:textId="77777777" w:rsidR="00273446" w:rsidRPr="00806B36" w:rsidRDefault="00273446" w:rsidP="0049704D">
            <w:pPr>
              <w:pStyle w:val="COMTabletext"/>
              <w:jc w:val="center"/>
            </w:pPr>
            <w:r w:rsidRPr="00806B36">
              <w:t>0.2088</w:t>
            </w:r>
          </w:p>
        </w:tc>
      </w:tr>
      <w:tr w:rsidR="00273446" w:rsidRPr="00806B36" w14:paraId="13B598C5" w14:textId="77777777" w:rsidTr="0049704D">
        <w:tc>
          <w:tcPr>
            <w:tcW w:w="4162" w:type="pct"/>
            <w:gridSpan w:val="3"/>
            <w:vAlign w:val="center"/>
          </w:tcPr>
          <w:p w14:paraId="3DA6059D" w14:textId="77777777" w:rsidR="00273446" w:rsidRPr="00806B36" w:rsidRDefault="00273446" w:rsidP="0049704D">
            <w:pPr>
              <w:pStyle w:val="COMTabletext"/>
              <w:rPr>
                <w:b/>
                <w:bCs w:val="0"/>
              </w:rPr>
            </w:pPr>
            <w:r w:rsidRPr="00806B36">
              <w:rPr>
                <w:b/>
                <w:bCs w:val="0"/>
              </w:rPr>
              <w:t xml:space="preserve">Incremental cost per additional patient with mild or no disease </w:t>
            </w:r>
          </w:p>
        </w:tc>
        <w:tc>
          <w:tcPr>
            <w:tcW w:w="838" w:type="pct"/>
            <w:vAlign w:val="center"/>
          </w:tcPr>
          <w:p w14:paraId="25323F5D" w14:textId="6751DCD3"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07"/>
                <w14:textFill>
                  <w14:solidFill>
                    <w14:srgbClr w14:val="000000">
                      <w14:alpha w14:val="100000"/>
                    </w14:srgbClr>
                  </w14:solidFill>
                </w14:textFill>
              </w:rPr>
              <w:t>|</w:t>
            </w:r>
            <w:r w:rsidR="008537BB" w:rsidRPr="008537BB">
              <w:rPr>
                <w:b/>
                <w:bCs w:val="0"/>
                <w:color w:val="000000"/>
                <w:shd w:val="solid" w:color="000000" w:fill="000000"/>
                <w:fitText w:val="291" w:id="-1236598007"/>
                <w14:textFill>
                  <w14:solidFill>
                    <w14:srgbClr w14:val="000000">
                      <w14:alpha w14:val="100000"/>
                    </w14:srgbClr>
                  </w14:solidFill>
                </w14:textFill>
              </w:rPr>
              <w:t>|</w:t>
            </w:r>
            <w:r w:rsidR="00B304E7">
              <w:rPr>
                <w:b/>
                <w:bCs w:val="0"/>
                <w:vertAlign w:val="superscript"/>
              </w:rPr>
              <w:t>3</w:t>
            </w:r>
          </w:p>
        </w:tc>
      </w:tr>
      <w:tr w:rsidR="00273446" w:rsidRPr="00806B36" w14:paraId="34679979" w14:textId="77777777" w:rsidTr="0049704D">
        <w:tc>
          <w:tcPr>
            <w:tcW w:w="5000" w:type="pct"/>
            <w:gridSpan w:val="4"/>
            <w:vAlign w:val="center"/>
          </w:tcPr>
          <w:p w14:paraId="38B28A12" w14:textId="553EAFB3" w:rsidR="00273446" w:rsidRPr="00806B36" w:rsidRDefault="00273446" w:rsidP="0049704D">
            <w:pPr>
              <w:pStyle w:val="COMTableheadingrow"/>
              <w:rPr>
                <w:lang w:val="en-AU"/>
              </w:rPr>
            </w:pPr>
            <w:r w:rsidRPr="00806B36">
              <w:rPr>
                <w:lang w:val="en-AU"/>
              </w:rPr>
              <w:t>Step 7: Add health state utility values</w:t>
            </w:r>
            <w:r w:rsidR="009F521F" w:rsidRPr="00806B36">
              <w:rPr>
                <w:lang w:val="en-AU"/>
              </w:rPr>
              <w:t>*</w:t>
            </w:r>
          </w:p>
        </w:tc>
      </w:tr>
      <w:tr w:rsidR="00273446" w:rsidRPr="00806B36" w14:paraId="44E2B5E9" w14:textId="77777777" w:rsidTr="0049704D">
        <w:tc>
          <w:tcPr>
            <w:tcW w:w="2349" w:type="pct"/>
            <w:vAlign w:val="center"/>
          </w:tcPr>
          <w:p w14:paraId="057794FF" w14:textId="77777777" w:rsidR="00273446" w:rsidRPr="00806B36" w:rsidRDefault="00273446" w:rsidP="0049704D">
            <w:pPr>
              <w:pStyle w:val="COMTabletext"/>
              <w:rPr>
                <w:rFonts w:ascii="Times" w:hAnsi="Times"/>
              </w:rPr>
            </w:pPr>
            <w:r w:rsidRPr="00806B36">
              <w:t>Costs</w:t>
            </w:r>
          </w:p>
        </w:tc>
        <w:tc>
          <w:tcPr>
            <w:tcW w:w="978" w:type="pct"/>
          </w:tcPr>
          <w:p w14:paraId="579BAC8A" w14:textId="5D27B3F4"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06"/>
                <w14:textFill>
                  <w14:solidFill>
                    <w14:srgbClr w14:val="000000">
                      <w14:alpha w14:val="100000"/>
                    </w14:srgbClr>
                  </w14:solidFill>
                </w14:textFill>
              </w:rPr>
              <w:t xml:space="preserve">　</w:t>
            </w:r>
            <w:r w:rsidR="008537BB" w:rsidRPr="00E173FC">
              <w:rPr>
                <w:color w:val="000000"/>
                <w:w w:val="15"/>
                <w:shd w:val="solid" w:color="000000" w:fill="000000"/>
                <w:fitText w:val="58" w:id="-1236598006"/>
                <w14:textFill>
                  <w14:solidFill>
                    <w14:srgbClr w14:val="000000">
                      <w14:alpha w14:val="100000"/>
                    </w14:srgbClr>
                  </w14:solidFill>
                </w14:textFill>
              </w:rPr>
              <w:t>|</w:t>
            </w:r>
            <w:r w:rsidR="008537BB" w:rsidRPr="00E173FC">
              <w:rPr>
                <w:rFonts w:hint="eastAsia"/>
                <w:color w:val="000000"/>
                <w:w w:val="15"/>
                <w:shd w:val="solid" w:color="000000" w:fill="000000"/>
                <w:fitText w:val="58" w:id="-1236598006"/>
                <w14:textFill>
                  <w14:solidFill>
                    <w14:srgbClr w14:val="000000">
                      <w14:alpha w14:val="100000"/>
                    </w14:srgbClr>
                  </w14:solidFill>
                </w14:textFill>
              </w:rPr>
              <w:t xml:space="preserve">　</w:t>
            </w:r>
          </w:p>
        </w:tc>
        <w:tc>
          <w:tcPr>
            <w:tcW w:w="835" w:type="pct"/>
          </w:tcPr>
          <w:p w14:paraId="0A3702ED" w14:textId="77777777" w:rsidR="00273446" w:rsidRPr="00806B36" w:rsidRDefault="00273446" w:rsidP="0049704D">
            <w:pPr>
              <w:pStyle w:val="COMTabletext"/>
              <w:jc w:val="center"/>
            </w:pPr>
            <w:r w:rsidRPr="009B052B">
              <w:t>$7,793</w:t>
            </w:r>
          </w:p>
        </w:tc>
        <w:tc>
          <w:tcPr>
            <w:tcW w:w="838" w:type="pct"/>
          </w:tcPr>
          <w:p w14:paraId="7B77FAF0" w14:textId="3CA014B9"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05"/>
                <w14:textFill>
                  <w14:solidFill>
                    <w14:srgbClr w14:val="000000">
                      <w14:alpha w14:val="100000"/>
                    </w14:srgbClr>
                  </w14:solidFill>
                </w14:textFill>
              </w:rPr>
              <w:t>|</w:t>
            </w:r>
            <w:r w:rsidR="008537BB" w:rsidRPr="00E173FC">
              <w:rPr>
                <w:color w:val="000000"/>
                <w:shd w:val="solid" w:color="000000" w:fill="000000"/>
                <w:fitText w:val="183" w:id="-1236598005"/>
                <w14:textFill>
                  <w14:solidFill>
                    <w14:srgbClr w14:val="000000">
                      <w14:alpha w14:val="100000"/>
                    </w14:srgbClr>
                  </w14:solidFill>
                </w14:textFill>
              </w:rPr>
              <w:t>|</w:t>
            </w:r>
          </w:p>
        </w:tc>
      </w:tr>
      <w:tr w:rsidR="00273446" w:rsidRPr="00806B36" w14:paraId="73F2BA46" w14:textId="77777777" w:rsidTr="0049704D">
        <w:tc>
          <w:tcPr>
            <w:tcW w:w="2349" w:type="pct"/>
            <w:vAlign w:val="center"/>
          </w:tcPr>
          <w:p w14:paraId="486974B3" w14:textId="77777777" w:rsidR="00273446" w:rsidRPr="00806B36" w:rsidRDefault="00273446" w:rsidP="0049704D">
            <w:pPr>
              <w:pStyle w:val="COMTabletext"/>
            </w:pPr>
            <w:r w:rsidRPr="00806B36">
              <w:t>QALYs</w:t>
            </w:r>
          </w:p>
        </w:tc>
        <w:tc>
          <w:tcPr>
            <w:tcW w:w="978" w:type="pct"/>
          </w:tcPr>
          <w:p w14:paraId="10AED4B1" w14:textId="77777777" w:rsidR="00273446" w:rsidRPr="00806B36" w:rsidRDefault="00273446" w:rsidP="0049704D">
            <w:pPr>
              <w:pStyle w:val="COMTabletext"/>
              <w:jc w:val="center"/>
            </w:pPr>
            <w:r w:rsidRPr="00806B36">
              <w:t>2.4363</w:t>
            </w:r>
          </w:p>
        </w:tc>
        <w:tc>
          <w:tcPr>
            <w:tcW w:w="835" w:type="pct"/>
          </w:tcPr>
          <w:p w14:paraId="1E223FBA" w14:textId="77777777" w:rsidR="00273446" w:rsidRPr="00806B36" w:rsidRDefault="00273446" w:rsidP="0049704D">
            <w:pPr>
              <w:pStyle w:val="COMTabletext"/>
              <w:jc w:val="center"/>
            </w:pPr>
            <w:r w:rsidRPr="00806B36">
              <w:t>2.1275</w:t>
            </w:r>
          </w:p>
        </w:tc>
        <w:tc>
          <w:tcPr>
            <w:tcW w:w="838" w:type="pct"/>
          </w:tcPr>
          <w:p w14:paraId="22F3899B" w14:textId="77777777" w:rsidR="00273446" w:rsidRPr="00806B36" w:rsidRDefault="00273446" w:rsidP="0049704D">
            <w:pPr>
              <w:pStyle w:val="COMTabletext"/>
              <w:jc w:val="center"/>
            </w:pPr>
            <w:r w:rsidRPr="00806B36">
              <w:t>0.3089</w:t>
            </w:r>
          </w:p>
        </w:tc>
      </w:tr>
      <w:tr w:rsidR="00273446" w:rsidRPr="00806B36" w14:paraId="4717D58B" w14:textId="77777777" w:rsidTr="0049704D">
        <w:tc>
          <w:tcPr>
            <w:tcW w:w="4162" w:type="pct"/>
            <w:gridSpan w:val="3"/>
            <w:vAlign w:val="center"/>
          </w:tcPr>
          <w:p w14:paraId="41E10DC2" w14:textId="26A32A1E" w:rsidR="00273446" w:rsidRPr="00806B36" w:rsidRDefault="00273446" w:rsidP="0049704D">
            <w:pPr>
              <w:pStyle w:val="COMTabletext"/>
              <w:rPr>
                <w:b/>
                <w:bCs w:val="0"/>
              </w:rPr>
            </w:pPr>
            <w:r w:rsidRPr="00806B36">
              <w:rPr>
                <w:b/>
                <w:bCs w:val="0"/>
              </w:rPr>
              <w:t>Incremental cost per QALY gained</w:t>
            </w:r>
          </w:p>
        </w:tc>
        <w:tc>
          <w:tcPr>
            <w:tcW w:w="838" w:type="pct"/>
            <w:vAlign w:val="center"/>
          </w:tcPr>
          <w:p w14:paraId="71D9AEE7" w14:textId="6748FEC4"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04"/>
                <w14:textFill>
                  <w14:solidFill>
                    <w14:srgbClr w14:val="000000">
                      <w14:alpha w14:val="100000"/>
                    </w14:srgbClr>
                  </w14:solidFill>
                </w14:textFill>
              </w:rPr>
              <w:t>|</w:t>
            </w:r>
            <w:r w:rsidR="008537BB" w:rsidRPr="008537BB">
              <w:rPr>
                <w:b/>
                <w:bCs w:val="0"/>
                <w:color w:val="000000"/>
                <w:shd w:val="solid" w:color="000000" w:fill="000000"/>
                <w:fitText w:val="291" w:id="-1236598004"/>
                <w14:textFill>
                  <w14:solidFill>
                    <w14:srgbClr w14:val="000000">
                      <w14:alpha w14:val="100000"/>
                    </w14:srgbClr>
                  </w14:solidFill>
                </w14:textFill>
              </w:rPr>
              <w:t>|</w:t>
            </w:r>
            <w:r w:rsidR="00B304E7" w:rsidRPr="00555C97">
              <w:rPr>
                <w:vertAlign w:val="superscript"/>
              </w:rPr>
              <w:t>4</w:t>
            </w:r>
          </w:p>
        </w:tc>
      </w:tr>
      <w:tr w:rsidR="00273446" w:rsidRPr="00806B36" w14:paraId="4C8597E1" w14:textId="77777777" w:rsidTr="0049704D">
        <w:tc>
          <w:tcPr>
            <w:tcW w:w="5000" w:type="pct"/>
            <w:gridSpan w:val="4"/>
            <w:vAlign w:val="center"/>
          </w:tcPr>
          <w:p w14:paraId="786818A0" w14:textId="5C939245" w:rsidR="00273446" w:rsidRPr="00806B36" w:rsidRDefault="00273446" w:rsidP="0049704D">
            <w:pPr>
              <w:pStyle w:val="COMTableheadingrow"/>
              <w:rPr>
                <w:lang w:val="en-AU"/>
              </w:rPr>
            </w:pPr>
            <w:r w:rsidRPr="00806B36">
              <w:rPr>
                <w:lang w:val="en-AU"/>
              </w:rPr>
              <w:t>Step 8: Apply hazard ratio of 1.24 to mortality in the ‘severe to very severe’ health state</w:t>
            </w:r>
            <w:r w:rsidR="009F521F" w:rsidRPr="00806B36">
              <w:rPr>
                <w:lang w:val="en-AU"/>
              </w:rPr>
              <w:t>*</w:t>
            </w:r>
          </w:p>
        </w:tc>
      </w:tr>
      <w:tr w:rsidR="00273446" w:rsidRPr="00806B36" w14:paraId="256F2989" w14:textId="77777777" w:rsidTr="0049704D">
        <w:tc>
          <w:tcPr>
            <w:tcW w:w="2349" w:type="pct"/>
            <w:vAlign w:val="center"/>
          </w:tcPr>
          <w:p w14:paraId="3C205FFD" w14:textId="77777777" w:rsidR="00273446" w:rsidRPr="00806B36" w:rsidRDefault="00273446" w:rsidP="0049704D">
            <w:pPr>
              <w:pStyle w:val="COMTabletext"/>
              <w:rPr>
                <w:rFonts w:ascii="Times" w:hAnsi="Times"/>
              </w:rPr>
            </w:pPr>
            <w:r w:rsidRPr="00806B36">
              <w:t xml:space="preserve">Costs </w:t>
            </w:r>
          </w:p>
        </w:tc>
        <w:tc>
          <w:tcPr>
            <w:tcW w:w="978" w:type="pct"/>
          </w:tcPr>
          <w:p w14:paraId="410F512A" w14:textId="1D0531D5"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03"/>
                <w14:textFill>
                  <w14:solidFill>
                    <w14:srgbClr w14:val="000000">
                      <w14:alpha w14:val="100000"/>
                    </w14:srgbClr>
                  </w14:solidFill>
                </w14:textFill>
              </w:rPr>
              <w:t xml:space="preserve">　</w:t>
            </w:r>
            <w:r w:rsidR="008537BB" w:rsidRPr="00E173FC">
              <w:rPr>
                <w:color w:val="000000"/>
                <w:w w:val="15"/>
                <w:shd w:val="solid" w:color="000000" w:fill="000000"/>
                <w:fitText w:val="58" w:id="-1236598003"/>
                <w14:textFill>
                  <w14:solidFill>
                    <w14:srgbClr w14:val="000000">
                      <w14:alpha w14:val="100000"/>
                    </w14:srgbClr>
                  </w14:solidFill>
                </w14:textFill>
              </w:rPr>
              <w:t>|</w:t>
            </w:r>
            <w:r w:rsidR="008537BB" w:rsidRPr="00E173FC">
              <w:rPr>
                <w:rFonts w:hint="eastAsia"/>
                <w:color w:val="000000"/>
                <w:w w:val="15"/>
                <w:shd w:val="solid" w:color="000000" w:fill="000000"/>
                <w:fitText w:val="58" w:id="-1236598003"/>
                <w14:textFill>
                  <w14:solidFill>
                    <w14:srgbClr w14:val="000000">
                      <w14:alpha w14:val="100000"/>
                    </w14:srgbClr>
                  </w14:solidFill>
                </w14:textFill>
              </w:rPr>
              <w:t xml:space="preserve">　</w:t>
            </w:r>
          </w:p>
        </w:tc>
        <w:tc>
          <w:tcPr>
            <w:tcW w:w="835" w:type="pct"/>
          </w:tcPr>
          <w:p w14:paraId="03A99373" w14:textId="77777777" w:rsidR="00273446" w:rsidRPr="00806B36" w:rsidRDefault="00273446" w:rsidP="0049704D">
            <w:pPr>
              <w:pStyle w:val="COMTabletext"/>
              <w:jc w:val="center"/>
            </w:pPr>
            <w:r w:rsidRPr="009B052B">
              <w:t>$7,676</w:t>
            </w:r>
          </w:p>
        </w:tc>
        <w:tc>
          <w:tcPr>
            <w:tcW w:w="838" w:type="pct"/>
          </w:tcPr>
          <w:p w14:paraId="1B8A586E" w14:textId="73B44238"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02"/>
                <w14:textFill>
                  <w14:solidFill>
                    <w14:srgbClr w14:val="000000">
                      <w14:alpha w14:val="100000"/>
                    </w14:srgbClr>
                  </w14:solidFill>
                </w14:textFill>
              </w:rPr>
              <w:t>|</w:t>
            </w:r>
            <w:r w:rsidR="008537BB" w:rsidRPr="00E173FC">
              <w:rPr>
                <w:color w:val="000000"/>
                <w:shd w:val="solid" w:color="000000" w:fill="000000"/>
                <w:fitText w:val="183" w:id="-1236598002"/>
                <w14:textFill>
                  <w14:solidFill>
                    <w14:srgbClr w14:val="000000">
                      <w14:alpha w14:val="100000"/>
                    </w14:srgbClr>
                  </w14:solidFill>
                </w14:textFill>
              </w:rPr>
              <w:t>|</w:t>
            </w:r>
          </w:p>
        </w:tc>
      </w:tr>
      <w:tr w:rsidR="00273446" w:rsidRPr="00806B36" w14:paraId="4F890912" w14:textId="77777777" w:rsidTr="0049704D">
        <w:tc>
          <w:tcPr>
            <w:tcW w:w="2349" w:type="pct"/>
            <w:vAlign w:val="center"/>
          </w:tcPr>
          <w:p w14:paraId="349941BD" w14:textId="77777777" w:rsidR="00273446" w:rsidRPr="00806B36" w:rsidRDefault="00273446" w:rsidP="0049704D">
            <w:pPr>
              <w:pStyle w:val="COMTabletext"/>
            </w:pPr>
            <w:r w:rsidRPr="00806B36">
              <w:t>QALYs</w:t>
            </w:r>
          </w:p>
        </w:tc>
        <w:tc>
          <w:tcPr>
            <w:tcW w:w="978" w:type="pct"/>
          </w:tcPr>
          <w:p w14:paraId="767BC8BF" w14:textId="77777777" w:rsidR="00273446" w:rsidRPr="00806B36" w:rsidRDefault="00273446" w:rsidP="0049704D">
            <w:pPr>
              <w:pStyle w:val="COMTabletext"/>
              <w:jc w:val="center"/>
            </w:pPr>
            <w:r w:rsidRPr="00806B36">
              <w:t>2.4255</w:t>
            </w:r>
          </w:p>
        </w:tc>
        <w:tc>
          <w:tcPr>
            <w:tcW w:w="835" w:type="pct"/>
          </w:tcPr>
          <w:p w14:paraId="05D14678" w14:textId="77777777" w:rsidR="00273446" w:rsidRPr="00806B36" w:rsidRDefault="00273446" w:rsidP="0049704D">
            <w:pPr>
              <w:pStyle w:val="COMTabletext"/>
              <w:jc w:val="center"/>
            </w:pPr>
            <w:r w:rsidRPr="00806B36">
              <w:t>2.1011</w:t>
            </w:r>
          </w:p>
        </w:tc>
        <w:tc>
          <w:tcPr>
            <w:tcW w:w="838" w:type="pct"/>
          </w:tcPr>
          <w:p w14:paraId="48891F78" w14:textId="77777777" w:rsidR="00273446" w:rsidRPr="00806B36" w:rsidRDefault="00273446" w:rsidP="0049704D">
            <w:pPr>
              <w:pStyle w:val="COMTabletext"/>
              <w:jc w:val="center"/>
            </w:pPr>
            <w:r w:rsidRPr="00806B36">
              <w:t>0.3244</w:t>
            </w:r>
          </w:p>
        </w:tc>
      </w:tr>
      <w:tr w:rsidR="00273446" w:rsidRPr="00806B36" w14:paraId="32523434" w14:textId="77777777" w:rsidTr="0049704D">
        <w:tc>
          <w:tcPr>
            <w:tcW w:w="4162" w:type="pct"/>
            <w:gridSpan w:val="3"/>
            <w:vAlign w:val="center"/>
          </w:tcPr>
          <w:p w14:paraId="572DE682" w14:textId="77777777" w:rsidR="00273446" w:rsidRPr="00806B36" w:rsidRDefault="00273446" w:rsidP="0049704D">
            <w:pPr>
              <w:pStyle w:val="COMTabletext"/>
              <w:rPr>
                <w:b/>
                <w:bCs w:val="0"/>
              </w:rPr>
            </w:pPr>
            <w:r w:rsidRPr="00806B36">
              <w:rPr>
                <w:b/>
                <w:bCs w:val="0"/>
              </w:rPr>
              <w:t>Incremental cost per QALY gained</w:t>
            </w:r>
          </w:p>
        </w:tc>
        <w:tc>
          <w:tcPr>
            <w:tcW w:w="838" w:type="pct"/>
            <w:vAlign w:val="center"/>
          </w:tcPr>
          <w:p w14:paraId="16F0E371" w14:textId="42601AF2"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01"/>
                <w14:textFill>
                  <w14:solidFill>
                    <w14:srgbClr w14:val="000000">
                      <w14:alpha w14:val="100000"/>
                    </w14:srgbClr>
                  </w14:solidFill>
                </w14:textFill>
              </w:rPr>
              <w:t>|</w:t>
            </w:r>
            <w:r w:rsidR="008537BB" w:rsidRPr="008537BB">
              <w:rPr>
                <w:b/>
                <w:bCs w:val="0"/>
                <w:color w:val="000000"/>
                <w:shd w:val="solid" w:color="000000" w:fill="000000"/>
                <w:fitText w:val="291" w:id="-1236598001"/>
                <w14:textFill>
                  <w14:solidFill>
                    <w14:srgbClr w14:val="000000">
                      <w14:alpha w14:val="100000"/>
                    </w14:srgbClr>
                  </w14:solidFill>
                </w14:textFill>
              </w:rPr>
              <w:t>|</w:t>
            </w:r>
            <w:r w:rsidR="00B304E7" w:rsidRPr="00555C97">
              <w:rPr>
                <w:vertAlign w:val="superscript"/>
              </w:rPr>
              <w:t>4</w:t>
            </w:r>
          </w:p>
        </w:tc>
      </w:tr>
      <w:tr w:rsidR="00273446" w:rsidRPr="00806B36" w14:paraId="7DC783F1" w14:textId="77777777" w:rsidTr="0049704D">
        <w:tc>
          <w:tcPr>
            <w:tcW w:w="5000" w:type="pct"/>
            <w:gridSpan w:val="4"/>
            <w:vAlign w:val="center"/>
          </w:tcPr>
          <w:p w14:paraId="16A973AD" w14:textId="245F44F3" w:rsidR="00273446" w:rsidRPr="00806B36" w:rsidRDefault="00273446" w:rsidP="0049704D">
            <w:pPr>
              <w:pStyle w:val="COMTableheadingrow"/>
              <w:rPr>
                <w:lang w:val="en-AU"/>
              </w:rPr>
            </w:pPr>
            <w:r w:rsidRPr="00806B36">
              <w:rPr>
                <w:lang w:val="en-AU"/>
              </w:rPr>
              <w:t>Step 9: Add stopping rule (only patients with ≥5-point improvement continue difelikefalin after Week 12)</w:t>
            </w:r>
            <w:r w:rsidR="009F521F" w:rsidRPr="00806B36">
              <w:rPr>
                <w:lang w:val="en-AU"/>
              </w:rPr>
              <w:t>*</w:t>
            </w:r>
          </w:p>
        </w:tc>
      </w:tr>
      <w:tr w:rsidR="00273446" w:rsidRPr="00806B36" w14:paraId="14D9671C" w14:textId="77777777" w:rsidTr="0049704D">
        <w:tc>
          <w:tcPr>
            <w:tcW w:w="2349" w:type="pct"/>
            <w:vAlign w:val="center"/>
          </w:tcPr>
          <w:p w14:paraId="6A1DBB6B" w14:textId="77777777" w:rsidR="00273446" w:rsidRPr="00806B36" w:rsidRDefault="00273446" w:rsidP="0049704D">
            <w:pPr>
              <w:pStyle w:val="COMTabletext"/>
              <w:rPr>
                <w:rFonts w:ascii="Times" w:hAnsi="Times"/>
              </w:rPr>
            </w:pPr>
            <w:r w:rsidRPr="00806B36">
              <w:t xml:space="preserve">Costs </w:t>
            </w:r>
          </w:p>
        </w:tc>
        <w:tc>
          <w:tcPr>
            <w:tcW w:w="978" w:type="pct"/>
          </w:tcPr>
          <w:p w14:paraId="11ABF647" w14:textId="7538F712" w:rsidR="00273446" w:rsidRPr="00806B36" w:rsidRDefault="00273446" w:rsidP="0049704D">
            <w:pPr>
              <w:pStyle w:val="COMTabletext"/>
              <w:jc w:val="center"/>
            </w:pPr>
            <w:r w:rsidRPr="00806B36">
              <w:t>$</w:t>
            </w:r>
            <w:r w:rsidR="008537BB" w:rsidRPr="00E173FC">
              <w:rPr>
                <w:rFonts w:hint="eastAsia"/>
                <w:color w:val="000000"/>
                <w:w w:val="15"/>
                <w:shd w:val="solid" w:color="000000" w:fill="000000"/>
                <w:fitText w:val="58" w:id="-1236598000"/>
                <w14:textFill>
                  <w14:solidFill>
                    <w14:srgbClr w14:val="000000">
                      <w14:alpha w14:val="100000"/>
                    </w14:srgbClr>
                  </w14:solidFill>
                </w14:textFill>
              </w:rPr>
              <w:t xml:space="preserve">　</w:t>
            </w:r>
            <w:r w:rsidR="008537BB" w:rsidRPr="00E173FC">
              <w:rPr>
                <w:color w:val="000000"/>
                <w:w w:val="15"/>
                <w:shd w:val="solid" w:color="000000" w:fill="000000"/>
                <w:fitText w:val="58" w:id="-1236598000"/>
                <w14:textFill>
                  <w14:solidFill>
                    <w14:srgbClr w14:val="000000">
                      <w14:alpha w14:val="100000"/>
                    </w14:srgbClr>
                  </w14:solidFill>
                </w14:textFill>
              </w:rPr>
              <w:t>|</w:t>
            </w:r>
            <w:r w:rsidR="008537BB" w:rsidRPr="00E173FC">
              <w:rPr>
                <w:rFonts w:hint="eastAsia"/>
                <w:color w:val="000000"/>
                <w:w w:val="15"/>
                <w:shd w:val="solid" w:color="000000" w:fill="000000"/>
                <w:fitText w:val="58" w:id="-1236598000"/>
                <w14:textFill>
                  <w14:solidFill>
                    <w14:srgbClr w14:val="000000">
                      <w14:alpha w14:val="100000"/>
                    </w14:srgbClr>
                  </w14:solidFill>
                </w14:textFill>
              </w:rPr>
              <w:t xml:space="preserve">　</w:t>
            </w:r>
          </w:p>
        </w:tc>
        <w:tc>
          <w:tcPr>
            <w:tcW w:w="835" w:type="pct"/>
          </w:tcPr>
          <w:p w14:paraId="0D13C5AE" w14:textId="77777777" w:rsidR="00273446" w:rsidRPr="00806B36" w:rsidRDefault="00273446" w:rsidP="0049704D">
            <w:pPr>
              <w:pStyle w:val="COMTabletext"/>
              <w:jc w:val="center"/>
            </w:pPr>
            <w:r w:rsidRPr="00806B36">
              <w:t>$7,676</w:t>
            </w:r>
          </w:p>
        </w:tc>
        <w:tc>
          <w:tcPr>
            <w:tcW w:w="838" w:type="pct"/>
          </w:tcPr>
          <w:p w14:paraId="4A936D6A" w14:textId="0CAB738E" w:rsidR="00273446" w:rsidRPr="00806B36" w:rsidRDefault="00273446" w:rsidP="0049704D">
            <w:pPr>
              <w:pStyle w:val="COMTabletext"/>
              <w:jc w:val="center"/>
            </w:pPr>
            <w:r w:rsidRPr="00806B36">
              <w:t>$</w:t>
            </w:r>
            <w:r w:rsidR="008537BB" w:rsidRPr="00E173FC">
              <w:rPr>
                <w:color w:val="000000"/>
                <w:spacing w:val="97"/>
                <w:shd w:val="solid" w:color="000000" w:fill="000000"/>
                <w:fitText w:val="183" w:id="-1236598016"/>
                <w14:textFill>
                  <w14:solidFill>
                    <w14:srgbClr w14:val="000000">
                      <w14:alpha w14:val="100000"/>
                    </w14:srgbClr>
                  </w14:solidFill>
                </w14:textFill>
              </w:rPr>
              <w:t>|</w:t>
            </w:r>
            <w:r w:rsidR="008537BB" w:rsidRPr="00E173FC">
              <w:rPr>
                <w:color w:val="000000"/>
                <w:shd w:val="solid" w:color="000000" w:fill="000000"/>
                <w:fitText w:val="183" w:id="-1236598016"/>
                <w14:textFill>
                  <w14:solidFill>
                    <w14:srgbClr w14:val="000000">
                      <w14:alpha w14:val="100000"/>
                    </w14:srgbClr>
                  </w14:solidFill>
                </w14:textFill>
              </w:rPr>
              <w:t>|</w:t>
            </w:r>
          </w:p>
        </w:tc>
      </w:tr>
      <w:tr w:rsidR="00273446" w:rsidRPr="00806B36" w14:paraId="43F41902" w14:textId="77777777" w:rsidTr="0049704D">
        <w:tc>
          <w:tcPr>
            <w:tcW w:w="2349" w:type="pct"/>
            <w:vAlign w:val="center"/>
          </w:tcPr>
          <w:p w14:paraId="73554A5A" w14:textId="77777777" w:rsidR="00273446" w:rsidRPr="00806B36" w:rsidRDefault="00273446" w:rsidP="0049704D">
            <w:pPr>
              <w:pStyle w:val="COMTabletext"/>
            </w:pPr>
            <w:r w:rsidRPr="00806B36">
              <w:t>QALYs</w:t>
            </w:r>
          </w:p>
        </w:tc>
        <w:tc>
          <w:tcPr>
            <w:tcW w:w="978" w:type="pct"/>
            <w:vAlign w:val="center"/>
          </w:tcPr>
          <w:p w14:paraId="2A124CD7" w14:textId="77777777" w:rsidR="00273446" w:rsidRPr="00806B36" w:rsidRDefault="00273446" w:rsidP="0049704D">
            <w:pPr>
              <w:pStyle w:val="COMTabletext"/>
              <w:jc w:val="center"/>
            </w:pPr>
            <w:r w:rsidRPr="00806B36">
              <w:t>2.2743</w:t>
            </w:r>
          </w:p>
        </w:tc>
        <w:tc>
          <w:tcPr>
            <w:tcW w:w="835" w:type="pct"/>
            <w:vAlign w:val="center"/>
          </w:tcPr>
          <w:p w14:paraId="1B1AAE8C" w14:textId="77777777" w:rsidR="00273446" w:rsidRPr="00806B36" w:rsidRDefault="00273446" w:rsidP="0049704D">
            <w:pPr>
              <w:pStyle w:val="COMTabletext"/>
              <w:jc w:val="center"/>
            </w:pPr>
            <w:r w:rsidRPr="00806B36">
              <w:t>2.1011</w:t>
            </w:r>
          </w:p>
        </w:tc>
        <w:tc>
          <w:tcPr>
            <w:tcW w:w="838" w:type="pct"/>
            <w:vAlign w:val="center"/>
          </w:tcPr>
          <w:p w14:paraId="69A6ED8D" w14:textId="77777777" w:rsidR="00273446" w:rsidRPr="00806B36" w:rsidRDefault="00273446" w:rsidP="0049704D">
            <w:pPr>
              <w:pStyle w:val="COMTabletext"/>
              <w:jc w:val="center"/>
            </w:pPr>
            <w:r w:rsidRPr="00806B36">
              <w:t>0.1732</w:t>
            </w:r>
          </w:p>
        </w:tc>
      </w:tr>
      <w:tr w:rsidR="00273446" w:rsidRPr="00806B36" w14:paraId="7C7ACD4B" w14:textId="77777777" w:rsidTr="0049704D">
        <w:tc>
          <w:tcPr>
            <w:tcW w:w="4162" w:type="pct"/>
            <w:gridSpan w:val="3"/>
            <w:vAlign w:val="center"/>
          </w:tcPr>
          <w:p w14:paraId="067032F4" w14:textId="77777777" w:rsidR="00273446" w:rsidRPr="00806B36" w:rsidRDefault="00273446" w:rsidP="0049704D">
            <w:pPr>
              <w:pStyle w:val="COMTabletext"/>
              <w:rPr>
                <w:b/>
                <w:bCs w:val="0"/>
              </w:rPr>
            </w:pPr>
            <w:r w:rsidRPr="00806B36">
              <w:rPr>
                <w:b/>
                <w:bCs w:val="0"/>
              </w:rPr>
              <w:t>Incremental cost per QALY gained</w:t>
            </w:r>
          </w:p>
        </w:tc>
        <w:tc>
          <w:tcPr>
            <w:tcW w:w="838" w:type="pct"/>
            <w:vAlign w:val="center"/>
          </w:tcPr>
          <w:p w14:paraId="195F6A39" w14:textId="35018C00"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15"/>
                <w14:textFill>
                  <w14:solidFill>
                    <w14:srgbClr w14:val="000000">
                      <w14:alpha w14:val="100000"/>
                    </w14:srgbClr>
                  </w14:solidFill>
                </w14:textFill>
              </w:rPr>
              <w:t>|</w:t>
            </w:r>
            <w:r w:rsidR="008537BB" w:rsidRPr="008537BB">
              <w:rPr>
                <w:b/>
                <w:bCs w:val="0"/>
                <w:color w:val="000000"/>
                <w:shd w:val="solid" w:color="000000" w:fill="000000"/>
                <w:fitText w:val="291" w:id="-1236598015"/>
                <w14:textFill>
                  <w14:solidFill>
                    <w14:srgbClr w14:val="000000">
                      <w14:alpha w14:val="100000"/>
                    </w14:srgbClr>
                  </w14:solidFill>
                </w14:textFill>
              </w:rPr>
              <w:t>|</w:t>
            </w:r>
            <w:r w:rsidR="00B304E7" w:rsidRPr="00555C97">
              <w:rPr>
                <w:vertAlign w:val="superscript"/>
              </w:rPr>
              <w:t>4</w:t>
            </w:r>
          </w:p>
        </w:tc>
      </w:tr>
      <w:tr w:rsidR="00273446" w:rsidRPr="00806B36" w14:paraId="624B87B7" w14:textId="77777777" w:rsidTr="0049704D">
        <w:tc>
          <w:tcPr>
            <w:tcW w:w="5000" w:type="pct"/>
            <w:gridSpan w:val="4"/>
            <w:vAlign w:val="center"/>
          </w:tcPr>
          <w:p w14:paraId="0E22A61E" w14:textId="670A8260" w:rsidR="00273446" w:rsidRPr="00806B36" w:rsidRDefault="00273446" w:rsidP="0049704D">
            <w:pPr>
              <w:pStyle w:val="COMTableheadingrow"/>
              <w:rPr>
                <w:lang w:val="en-AU"/>
              </w:rPr>
            </w:pPr>
            <w:r w:rsidRPr="00806B36">
              <w:rPr>
                <w:lang w:val="en-AU"/>
              </w:rPr>
              <w:t>Step 10: Include 5% discount</w:t>
            </w:r>
            <w:r w:rsidR="002C3EFA" w:rsidRPr="00806B36">
              <w:rPr>
                <w:lang w:val="en-AU"/>
              </w:rPr>
              <w:t xml:space="preserve"> rate</w:t>
            </w:r>
          </w:p>
        </w:tc>
      </w:tr>
      <w:tr w:rsidR="00273446" w:rsidRPr="00806B36" w14:paraId="27EDEAB6" w14:textId="77777777" w:rsidTr="0049704D">
        <w:tc>
          <w:tcPr>
            <w:tcW w:w="2349" w:type="pct"/>
            <w:vAlign w:val="center"/>
          </w:tcPr>
          <w:p w14:paraId="06A267E0" w14:textId="77777777" w:rsidR="00273446" w:rsidRPr="00806B36" w:rsidRDefault="00273446" w:rsidP="0049704D">
            <w:pPr>
              <w:pStyle w:val="COMTabletext"/>
              <w:rPr>
                <w:rFonts w:ascii="Times" w:hAnsi="Times"/>
              </w:rPr>
            </w:pPr>
            <w:r w:rsidRPr="00806B36">
              <w:t>Costs</w:t>
            </w:r>
          </w:p>
        </w:tc>
        <w:tc>
          <w:tcPr>
            <w:tcW w:w="978" w:type="pct"/>
          </w:tcPr>
          <w:p w14:paraId="1F77C189" w14:textId="6F1E9F31" w:rsidR="00273446" w:rsidRPr="00806B36" w:rsidRDefault="00273446" w:rsidP="0049704D">
            <w:pPr>
              <w:pStyle w:val="COMTabletext"/>
              <w:jc w:val="center"/>
              <w:rPr>
                <w:rFonts w:ascii="Times" w:hAnsi="Times"/>
              </w:rPr>
            </w:pPr>
            <w:r w:rsidRPr="00806B36">
              <w:t>$</w:t>
            </w:r>
            <w:r w:rsidR="008537BB" w:rsidRPr="00E173FC">
              <w:rPr>
                <w:rFonts w:hint="eastAsia"/>
                <w:color w:val="000000"/>
                <w:w w:val="15"/>
                <w:shd w:val="solid" w:color="000000" w:fill="000000"/>
                <w:fitText w:val="58" w:id="-1236598014"/>
                <w14:textFill>
                  <w14:solidFill>
                    <w14:srgbClr w14:val="000000">
                      <w14:alpha w14:val="100000"/>
                    </w14:srgbClr>
                  </w14:solidFill>
                </w14:textFill>
              </w:rPr>
              <w:t xml:space="preserve">　</w:t>
            </w:r>
            <w:r w:rsidR="008537BB" w:rsidRPr="00E173FC">
              <w:rPr>
                <w:color w:val="000000"/>
                <w:w w:val="15"/>
                <w:shd w:val="solid" w:color="000000" w:fill="000000"/>
                <w:fitText w:val="58" w:id="-1236598014"/>
                <w14:textFill>
                  <w14:solidFill>
                    <w14:srgbClr w14:val="000000">
                      <w14:alpha w14:val="100000"/>
                    </w14:srgbClr>
                  </w14:solidFill>
                </w14:textFill>
              </w:rPr>
              <w:t>|</w:t>
            </w:r>
            <w:r w:rsidR="008537BB" w:rsidRPr="00E173FC">
              <w:rPr>
                <w:rFonts w:hint="eastAsia"/>
                <w:color w:val="000000"/>
                <w:w w:val="15"/>
                <w:shd w:val="solid" w:color="000000" w:fill="000000"/>
                <w:fitText w:val="58" w:id="-1236598014"/>
                <w14:textFill>
                  <w14:solidFill>
                    <w14:srgbClr w14:val="000000">
                      <w14:alpha w14:val="100000"/>
                    </w14:srgbClr>
                  </w14:solidFill>
                </w14:textFill>
              </w:rPr>
              <w:t xml:space="preserve">　</w:t>
            </w:r>
          </w:p>
        </w:tc>
        <w:tc>
          <w:tcPr>
            <w:tcW w:w="835" w:type="pct"/>
          </w:tcPr>
          <w:p w14:paraId="50487158" w14:textId="77777777" w:rsidR="00273446" w:rsidRPr="00806B36" w:rsidRDefault="00273446" w:rsidP="0049704D">
            <w:pPr>
              <w:pStyle w:val="COMTabletext"/>
              <w:jc w:val="center"/>
              <w:rPr>
                <w:rFonts w:ascii="Times" w:hAnsi="Times"/>
              </w:rPr>
            </w:pPr>
            <w:r w:rsidRPr="00806B36">
              <w:t>$6,871</w:t>
            </w:r>
          </w:p>
        </w:tc>
        <w:tc>
          <w:tcPr>
            <w:tcW w:w="838" w:type="pct"/>
          </w:tcPr>
          <w:p w14:paraId="06312F3D" w14:textId="0131C542" w:rsidR="00273446" w:rsidRPr="00806B36" w:rsidRDefault="00273446" w:rsidP="0049704D">
            <w:pPr>
              <w:pStyle w:val="COMTabletext"/>
              <w:jc w:val="center"/>
              <w:rPr>
                <w:rFonts w:ascii="Times" w:hAnsi="Times"/>
              </w:rPr>
            </w:pPr>
            <w:r w:rsidRPr="00806B36">
              <w:t>$</w:t>
            </w:r>
            <w:r w:rsidR="008537BB" w:rsidRPr="00E173FC">
              <w:rPr>
                <w:color w:val="000000"/>
                <w:spacing w:val="97"/>
                <w:shd w:val="solid" w:color="000000" w:fill="000000"/>
                <w:fitText w:val="183" w:id="-1236598013"/>
                <w14:textFill>
                  <w14:solidFill>
                    <w14:srgbClr w14:val="000000">
                      <w14:alpha w14:val="100000"/>
                    </w14:srgbClr>
                  </w14:solidFill>
                </w14:textFill>
              </w:rPr>
              <w:t>|</w:t>
            </w:r>
            <w:r w:rsidR="008537BB" w:rsidRPr="00E173FC">
              <w:rPr>
                <w:color w:val="000000"/>
                <w:shd w:val="solid" w:color="000000" w:fill="000000"/>
                <w:fitText w:val="183" w:id="-1236598013"/>
                <w14:textFill>
                  <w14:solidFill>
                    <w14:srgbClr w14:val="000000">
                      <w14:alpha w14:val="100000"/>
                    </w14:srgbClr>
                  </w14:solidFill>
                </w14:textFill>
              </w:rPr>
              <w:t>|</w:t>
            </w:r>
          </w:p>
        </w:tc>
      </w:tr>
      <w:tr w:rsidR="00273446" w:rsidRPr="00806B36" w14:paraId="0FAB0F97" w14:textId="77777777" w:rsidTr="0049704D">
        <w:tc>
          <w:tcPr>
            <w:tcW w:w="2349" w:type="pct"/>
            <w:vAlign w:val="center"/>
          </w:tcPr>
          <w:p w14:paraId="6D5220C1" w14:textId="77777777" w:rsidR="00273446" w:rsidRPr="00806B36" w:rsidRDefault="00273446" w:rsidP="0049704D">
            <w:pPr>
              <w:pStyle w:val="COMTabletext"/>
              <w:rPr>
                <w:rFonts w:ascii="Times" w:hAnsi="Times"/>
              </w:rPr>
            </w:pPr>
            <w:r w:rsidRPr="00806B36">
              <w:t>QALYs</w:t>
            </w:r>
          </w:p>
        </w:tc>
        <w:tc>
          <w:tcPr>
            <w:tcW w:w="978" w:type="pct"/>
          </w:tcPr>
          <w:p w14:paraId="02BF87C0" w14:textId="77777777" w:rsidR="00273446" w:rsidRPr="00806B36" w:rsidRDefault="00273446" w:rsidP="0049704D">
            <w:pPr>
              <w:pStyle w:val="COMTabletext"/>
              <w:jc w:val="center"/>
              <w:rPr>
                <w:rFonts w:ascii="Times" w:hAnsi="Times"/>
              </w:rPr>
            </w:pPr>
            <w:r w:rsidRPr="00806B36">
              <w:t>2.0411</w:t>
            </w:r>
          </w:p>
        </w:tc>
        <w:tc>
          <w:tcPr>
            <w:tcW w:w="835" w:type="pct"/>
          </w:tcPr>
          <w:p w14:paraId="08C77924" w14:textId="77777777" w:rsidR="00273446" w:rsidRPr="00806B36" w:rsidRDefault="00273446" w:rsidP="0049704D">
            <w:pPr>
              <w:pStyle w:val="COMTabletext"/>
              <w:jc w:val="center"/>
              <w:rPr>
                <w:rFonts w:ascii="Times" w:hAnsi="Times"/>
              </w:rPr>
            </w:pPr>
            <w:r w:rsidRPr="00806B36">
              <w:t>1.8871</w:t>
            </w:r>
          </w:p>
        </w:tc>
        <w:tc>
          <w:tcPr>
            <w:tcW w:w="838" w:type="pct"/>
          </w:tcPr>
          <w:p w14:paraId="677F09E2" w14:textId="77777777" w:rsidR="00273446" w:rsidRPr="00806B36" w:rsidRDefault="00273446" w:rsidP="0049704D">
            <w:pPr>
              <w:pStyle w:val="COMTabletext"/>
              <w:jc w:val="center"/>
            </w:pPr>
            <w:r w:rsidRPr="00806B36">
              <w:t>0.1540</w:t>
            </w:r>
          </w:p>
        </w:tc>
      </w:tr>
      <w:tr w:rsidR="00273446" w:rsidRPr="00806B36" w14:paraId="3C398510" w14:textId="77777777" w:rsidTr="0049704D">
        <w:tc>
          <w:tcPr>
            <w:tcW w:w="4162" w:type="pct"/>
            <w:gridSpan w:val="3"/>
            <w:vAlign w:val="center"/>
          </w:tcPr>
          <w:p w14:paraId="3081DF03" w14:textId="77777777" w:rsidR="00273446" w:rsidRPr="00806B36" w:rsidRDefault="00273446" w:rsidP="0049704D">
            <w:pPr>
              <w:pStyle w:val="COMTabletext"/>
              <w:rPr>
                <w:rFonts w:ascii="Times" w:hAnsi="Times"/>
                <w:b/>
              </w:rPr>
            </w:pPr>
            <w:r w:rsidRPr="00806B36">
              <w:rPr>
                <w:b/>
              </w:rPr>
              <w:t>Incremental cost per QALY gained</w:t>
            </w:r>
          </w:p>
        </w:tc>
        <w:tc>
          <w:tcPr>
            <w:tcW w:w="838" w:type="pct"/>
            <w:vAlign w:val="center"/>
          </w:tcPr>
          <w:p w14:paraId="015530B0" w14:textId="53FED2B7" w:rsidR="00273446" w:rsidRPr="00806B36" w:rsidRDefault="00273446" w:rsidP="0049704D">
            <w:pPr>
              <w:pStyle w:val="COMTabletext"/>
              <w:jc w:val="center"/>
              <w:rPr>
                <w:rFonts w:ascii="Times" w:hAnsi="Times"/>
                <w:b/>
                <w:bCs w:val="0"/>
              </w:rPr>
            </w:pPr>
            <w:r w:rsidRPr="00806B36">
              <w:rPr>
                <w:b/>
                <w:bCs w:val="0"/>
              </w:rPr>
              <w:t>$</w:t>
            </w:r>
            <w:r w:rsidR="008537BB" w:rsidRPr="008537BB">
              <w:rPr>
                <w:b/>
                <w:bCs w:val="0"/>
                <w:color w:val="000000"/>
                <w:spacing w:val="199"/>
                <w:shd w:val="solid" w:color="000000" w:fill="000000"/>
                <w:fitText w:val="291" w:id="-1236598012"/>
                <w14:textFill>
                  <w14:solidFill>
                    <w14:srgbClr w14:val="000000">
                      <w14:alpha w14:val="100000"/>
                    </w14:srgbClr>
                  </w14:solidFill>
                </w14:textFill>
              </w:rPr>
              <w:t>|</w:t>
            </w:r>
            <w:r w:rsidR="008537BB" w:rsidRPr="008537BB">
              <w:rPr>
                <w:b/>
                <w:bCs w:val="0"/>
                <w:color w:val="000000"/>
                <w:shd w:val="solid" w:color="000000" w:fill="000000"/>
                <w:fitText w:val="291" w:id="-1236598012"/>
                <w14:textFill>
                  <w14:solidFill>
                    <w14:srgbClr w14:val="000000">
                      <w14:alpha w14:val="100000"/>
                    </w14:srgbClr>
                  </w14:solidFill>
                </w14:textFill>
              </w:rPr>
              <w:t>|</w:t>
            </w:r>
            <w:r w:rsidR="00B304E7" w:rsidRPr="00555C97">
              <w:rPr>
                <w:vertAlign w:val="superscript"/>
              </w:rPr>
              <w:t>4</w:t>
            </w:r>
          </w:p>
        </w:tc>
      </w:tr>
    </w:tbl>
    <w:p w14:paraId="05B28857" w14:textId="77777777" w:rsidR="00273446" w:rsidRPr="00806B36" w:rsidRDefault="00273446" w:rsidP="00273446">
      <w:pPr>
        <w:pStyle w:val="COMTablefooter"/>
      </w:pPr>
      <w:r w:rsidRPr="00806B36">
        <w:t>Source: Table 63, p188 of the submission and the difelikefalin economic model, Attachment 8 of the submission</w:t>
      </w:r>
    </w:p>
    <w:p w14:paraId="2D252229" w14:textId="77777777" w:rsidR="00273446" w:rsidRPr="00806B36" w:rsidRDefault="00273446" w:rsidP="00273446">
      <w:pPr>
        <w:pStyle w:val="COMTablefooter"/>
      </w:pPr>
      <w:r w:rsidRPr="00806B36">
        <w:t>Abbreviations: IPD, individual patient data; LY, life years; QALY, quality-adjusted life year</w:t>
      </w:r>
    </w:p>
    <w:p w14:paraId="3EDEA953" w14:textId="65B161BA" w:rsidR="00273446" w:rsidRDefault="009F521F" w:rsidP="00665FA1">
      <w:pPr>
        <w:pStyle w:val="COMTablefooter"/>
        <w:spacing w:after="0"/>
      </w:pPr>
      <w:r w:rsidRPr="00806B36">
        <w:t>*</w:t>
      </w:r>
      <w:r w:rsidR="00273446" w:rsidRPr="00806B36">
        <w:t>calculated during the evaluation</w:t>
      </w:r>
    </w:p>
    <w:p w14:paraId="35E00B06" w14:textId="77777777" w:rsidR="00B304E7" w:rsidRPr="009A6D58" w:rsidRDefault="00B304E7" w:rsidP="00B304E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F13C589" w14:textId="7B58072E" w:rsidR="00B304E7" w:rsidRPr="009A6D58" w:rsidRDefault="00B304E7" w:rsidP="00B304E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304E7">
        <w:rPr>
          <w:rFonts w:ascii="Arial Narrow" w:hAnsi="Arial Narrow"/>
          <w:i/>
          <w:sz w:val="18"/>
          <w:szCs w:val="18"/>
        </w:rPr>
        <w:t>$5,000 to &lt; $15,000</w:t>
      </w:r>
    </w:p>
    <w:p w14:paraId="648E093C" w14:textId="23F82EBA" w:rsidR="00B304E7" w:rsidRPr="009A6D58" w:rsidRDefault="00B304E7" w:rsidP="00B304E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B304E7">
        <w:rPr>
          <w:rFonts w:ascii="Arial Narrow" w:hAnsi="Arial Narrow"/>
          <w:i/>
          <w:sz w:val="18"/>
          <w:szCs w:val="18"/>
        </w:rPr>
        <w:t>$15,000 to &lt; $25,000</w:t>
      </w:r>
    </w:p>
    <w:p w14:paraId="3805355D" w14:textId="654F4482" w:rsidR="00B304E7" w:rsidRDefault="00B304E7" w:rsidP="00B304E7">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B304E7">
        <w:rPr>
          <w:rFonts w:ascii="Arial Narrow" w:hAnsi="Arial Narrow"/>
          <w:i/>
          <w:sz w:val="18"/>
          <w:szCs w:val="18"/>
        </w:rPr>
        <w:t>$55,000 to &lt; $75,000</w:t>
      </w:r>
    </w:p>
    <w:p w14:paraId="60FF1BF2" w14:textId="32635F67" w:rsidR="00B304E7" w:rsidRPr="00665FA1" w:rsidRDefault="00B304E7" w:rsidP="00665FA1">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B304E7">
        <w:rPr>
          <w:rFonts w:ascii="Arial Narrow" w:hAnsi="Arial Narrow"/>
          <w:i/>
          <w:sz w:val="18"/>
          <w:szCs w:val="18"/>
        </w:rPr>
        <w:t>$45,000 to &lt; $55,000</w:t>
      </w:r>
    </w:p>
    <w:p w14:paraId="74731D21" w14:textId="66FC02B2" w:rsidR="005A373D" w:rsidRPr="00806B36" w:rsidRDefault="0003772B" w:rsidP="00BB732D">
      <w:pPr>
        <w:pStyle w:val="COMexecsumnumberedpara"/>
      </w:pPr>
      <w:r w:rsidRPr="00806B36">
        <w:t xml:space="preserve">Based on the economic model, treatment with difelikefalin was associated with an incremental cost per QALY gained of </w:t>
      </w:r>
      <w:r w:rsidR="00B304E7" w:rsidRPr="00B304E7">
        <w:t>$45,000 to &lt;</w:t>
      </w:r>
      <w:r w:rsidR="00665FA1">
        <w:t> </w:t>
      </w:r>
      <w:r w:rsidR="00B304E7" w:rsidRPr="00B304E7">
        <w:t>$55,000</w:t>
      </w:r>
      <w:r w:rsidR="00665FA1">
        <w:t xml:space="preserve"> </w:t>
      </w:r>
      <w:r w:rsidRPr="00806B36">
        <w:t>compared to best supportive care. The extrapolation beyond the 12-week time horizon and utilities had the largest impacts on the stepped economic evaluation.</w:t>
      </w:r>
      <w:r w:rsidR="000F1E4C" w:rsidRPr="00806B36">
        <w:t xml:space="preserve"> </w:t>
      </w:r>
    </w:p>
    <w:p w14:paraId="7B4FA5A6" w14:textId="4188BA91" w:rsidR="00C623F4" w:rsidRPr="00806B36" w:rsidRDefault="00C623F4" w:rsidP="00BB732D">
      <w:pPr>
        <w:pStyle w:val="COMexecsumnumberedpara"/>
      </w:pPr>
      <w:r w:rsidRPr="00806B36">
        <w:t xml:space="preserve">The submission acknowledged </w:t>
      </w:r>
      <w:r w:rsidR="00AD3C1F" w:rsidRPr="00806B36">
        <w:t xml:space="preserve">that the </w:t>
      </w:r>
      <w:r w:rsidR="003F0958" w:rsidRPr="00806B36">
        <w:t xml:space="preserve">economic model may not be representative of the cost-effectiveness of the PBS population </w:t>
      </w:r>
      <w:r w:rsidR="00DE7227" w:rsidRPr="00806B36">
        <w:t xml:space="preserve">that may include patients with mild pruritus, but also </w:t>
      </w:r>
      <w:r w:rsidR="00AE1825" w:rsidRPr="00806B36">
        <w:t xml:space="preserve">patients who may continue treatment despite inadequate treatment response. </w:t>
      </w:r>
      <w:r w:rsidR="00BE37B6" w:rsidRPr="00806B36">
        <w:t>The submission claimed that an appropriate risk-shar</w:t>
      </w:r>
      <w:r w:rsidR="00C67C45" w:rsidRPr="00806B36">
        <w:t>ing</w:t>
      </w:r>
      <w:r w:rsidR="00BE37B6" w:rsidRPr="00806B36">
        <w:t xml:space="preserve"> arrangement and financial caps could address these uncertainties.</w:t>
      </w:r>
    </w:p>
    <w:p w14:paraId="1BAC1159" w14:textId="0E84AC71" w:rsidR="00A86E8B" w:rsidRPr="00806B36" w:rsidRDefault="00D23D11" w:rsidP="00BB732D">
      <w:pPr>
        <w:pStyle w:val="COMexecsumnumberedpara"/>
      </w:pPr>
      <w:r w:rsidRPr="00806B36">
        <w:t xml:space="preserve">The results of key </w:t>
      </w:r>
      <w:r w:rsidR="00930BA4" w:rsidRPr="00806B36">
        <w:t>s</w:t>
      </w:r>
      <w:r w:rsidRPr="00806B36">
        <w:t xml:space="preserve">ensitivity analyses are summarised </w:t>
      </w:r>
      <w:r w:rsidR="00E16AD8" w:rsidRPr="00806B36">
        <w:t>in</w:t>
      </w:r>
      <w:r w:rsidR="00C67C45" w:rsidRPr="00806B36">
        <w:t xml:space="preserve"> </w:t>
      </w:r>
      <w:r w:rsidR="0057042D" w:rsidRPr="00806B36">
        <w:fldChar w:fldCharType="begin"/>
      </w:r>
      <w:r w:rsidR="0057042D" w:rsidRPr="00806B36">
        <w:instrText xml:space="preserve"> REF _Ref121730455 \h </w:instrText>
      </w:r>
      <w:r w:rsidR="0057042D" w:rsidRPr="00806B36">
        <w:fldChar w:fldCharType="separate"/>
      </w:r>
      <w:r w:rsidR="00487C7F" w:rsidRPr="00806B36">
        <w:t xml:space="preserve">Table </w:t>
      </w:r>
      <w:r w:rsidR="00487C7F">
        <w:rPr>
          <w:noProof/>
        </w:rPr>
        <w:t>10</w:t>
      </w:r>
      <w:r w:rsidR="0057042D" w:rsidRPr="00806B36">
        <w:fldChar w:fldCharType="end"/>
      </w:r>
      <w:r w:rsidRPr="00806B36">
        <w:t>.</w:t>
      </w:r>
    </w:p>
    <w:p w14:paraId="2BD60FF0" w14:textId="732FA3EB" w:rsidR="00375047" w:rsidRPr="00806B36" w:rsidRDefault="00C67C45" w:rsidP="001B0371">
      <w:pPr>
        <w:pStyle w:val="COMtablefigcaption"/>
        <w:keepLines/>
        <w:rPr>
          <w:b w:val="0"/>
        </w:rPr>
      </w:pPr>
      <w:bookmarkStart w:id="57" w:name="_Ref121730455"/>
      <w:r w:rsidRPr="00806B36">
        <w:t xml:space="preserve">Table </w:t>
      </w:r>
      <w:r w:rsidR="00487C7F">
        <w:fldChar w:fldCharType="begin"/>
      </w:r>
      <w:r w:rsidR="00487C7F">
        <w:instrText xml:space="preserve"> SEQ Table \* ARABIC </w:instrText>
      </w:r>
      <w:r w:rsidR="00487C7F">
        <w:fldChar w:fldCharType="separate"/>
      </w:r>
      <w:r w:rsidR="00487C7F">
        <w:rPr>
          <w:noProof/>
        </w:rPr>
        <w:t>10</w:t>
      </w:r>
      <w:r w:rsidR="00487C7F">
        <w:rPr>
          <w:noProof/>
        </w:rPr>
        <w:fldChar w:fldCharType="end"/>
      </w:r>
      <w:bookmarkEnd w:id="57"/>
      <w:r w:rsidRPr="00806B36">
        <w:t>: Results of sensitivity analyses</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03"/>
        <w:gridCol w:w="1146"/>
        <w:gridCol w:w="1148"/>
        <w:gridCol w:w="1147"/>
        <w:gridCol w:w="952"/>
      </w:tblGrid>
      <w:tr w:rsidR="00375047" w:rsidRPr="00806B36" w14:paraId="0A230067" w14:textId="77777777" w:rsidTr="008537BB">
        <w:trPr>
          <w:tblHeader/>
        </w:trPr>
        <w:tc>
          <w:tcPr>
            <w:tcW w:w="4603" w:type="dxa"/>
            <w:vAlign w:val="center"/>
          </w:tcPr>
          <w:p w14:paraId="4E2E242E" w14:textId="77777777" w:rsidR="00375047" w:rsidRPr="00806B36" w:rsidRDefault="00375047" w:rsidP="001B0371">
            <w:pPr>
              <w:pStyle w:val="COMTableheadingrow"/>
              <w:keepLines/>
              <w:rPr>
                <w:lang w:val="en-AU"/>
              </w:rPr>
            </w:pPr>
            <w:r w:rsidRPr="00806B36">
              <w:rPr>
                <w:lang w:val="en-AU"/>
              </w:rPr>
              <w:t>Analyses</w:t>
            </w:r>
          </w:p>
        </w:tc>
        <w:tc>
          <w:tcPr>
            <w:tcW w:w="1146" w:type="dxa"/>
            <w:tcBorders>
              <w:bottom w:val="single" w:sz="4" w:space="0" w:color="auto"/>
            </w:tcBorders>
            <w:vAlign w:val="center"/>
          </w:tcPr>
          <w:p w14:paraId="5B2EE92D" w14:textId="67DFE5EE" w:rsidR="00375047" w:rsidRPr="00806B36" w:rsidRDefault="00375047" w:rsidP="001B0371">
            <w:pPr>
              <w:pStyle w:val="COMTableheadingrow"/>
              <w:keepLines/>
              <w:jc w:val="center"/>
              <w:rPr>
                <w:lang w:val="en-AU"/>
              </w:rPr>
            </w:pPr>
            <w:r w:rsidRPr="00806B36">
              <w:rPr>
                <w:lang w:val="en-AU"/>
              </w:rPr>
              <w:t>Incremental cost</w:t>
            </w:r>
            <w:r w:rsidR="00B304E7">
              <w:rPr>
                <w:lang w:val="en-AU"/>
              </w:rPr>
              <w:t xml:space="preserve"> ($)</w:t>
            </w:r>
          </w:p>
        </w:tc>
        <w:tc>
          <w:tcPr>
            <w:tcW w:w="1148" w:type="dxa"/>
            <w:vAlign w:val="center"/>
          </w:tcPr>
          <w:p w14:paraId="31B455D7" w14:textId="77777777" w:rsidR="00375047" w:rsidRPr="00806B36" w:rsidRDefault="00375047" w:rsidP="001B0371">
            <w:pPr>
              <w:pStyle w:val="COMTableheadingrow"/>
              <w:keepLines/>
              <w:jc w:val="center"/>
              <w:rPr>
                <w:lang w:val="en-AU"/>
              </w:rPr>
            </w:pPr>
            <w:r w:rsidRPr="00806B36">
              <w:rPr>
                <w:lang w:val="en-AU"/>
              </w:rPr>
              <w:t>Incremental QALY</w:t>
            </w:r>
          </w:p>
        </w:tc>
        <w:tc>
          <w:tcPr>
            <w:tcW w:w="1147" w:type="dxa"/>
            <w:vAlign w:val="center"/>
          </w:tcPr>
          <w:p w14:paraId="6E4DE18F" w14:textId="7260CDBC" w:rsidR="00375047" w:rsidRPr="00806B36" w:rsidRDefault="00375047" w:rsidP="001B0371">
            <w:pPr>
              <w:pStyle w:val="COMTableheadingrow"/>
              <w:keepLines/>
              <w:jc w:val="center"/>
              <w:rPr>
                <w:lang w:val="en-AU"/>
              </w:rPr>
            </w:pPr>
            <w:r w:rsidRPr="00806B36">
              <w:rPr>
                <w:lang w:val="en-AU"/>
              </w:rPr>
              <w:t>ICER</w:t>
            </w:r>
            <w:r w:rsidR="00B304E7">
              <w:rPr>
                <w:lang w:val="en-AU"/>
              </w:rPr>
              <w:t xml:space="preserve"> ($)</w:t>
            </w:r>
          </w:p>
        </w:tc>
        <w:tc>
          <w:tcPr>
            <w:tcW w:w="952" w:type="dxa"/>
            <w:vAlign w:val="center"/>
          </w:tcPr>
          <w:p w14:paraId="3CD31D97" w14:textId="77777777" w:rsidR="00375047" w:rsidRPr="00806B36" w:rsidRDefault="00375047" w:rsidP="001B0371">
            <w:pPr>
              <w:pStyle w:val="COMTableheadingrow"/>
              <w:keepLines/>
              <w:jc w:val="center"/>
              <w:rPr>
                <w:lang w:val="en-AU"/>
              </w:rPr>
            </w:pPr>
            <w:r w:rsidRPr="00806B36">
              <w:rPr>
                <w:lang w:val="en-AU"/>
              </w:rPr>
              <w:t>Change to ICER, %</w:t>
            </w:r>
          </w:p>
        </w:tc>
      </w:tr>
      <w:tr w:rsidR="00375047" w:rsidRPr="00806B36" w14:paraId="29BAB7ED" w14:textId="77777777" w:rsidTr="008537BB">
        <w:tc>
          <w:tcPr>
            <w:tcW w:w="4603" w:type="dxa"/>
          </w:tcPr>
          <w:p w14:paraId="7BD31B06" w14:textId="77777777" w:rsidR="00375047" w:rsidRPr="00806B36" w:rsidRDefault="00375047" w:rsidP="001B0371">
            <w:pPr>
              <w:pStyle w:val="COMTabletext"/>
              <w:keepLines/>
              <w:rPr>
                <w:b/>
              </w:rPr>
            </w:pPr>
            <w:r w:rsidRPr="00806B36">
              <w:rPr>
                <w:b/>
              </w:rPr>
              <w:t>Base case</w:t>
            </w:r>
          </w:p>
        </w:tc>
        <w:tc>
          <w:tcPr>
            <w:tcW w:w="1146" w:type="dxa"/>
            <w:shd w:val="solid" w:color="000000" w:fill="000000"/>
          </w:tcPr>
          <w:p w14:paraId="6CC0AA71" w14:textId="2B0C9B28" w:rsidR="00375047" w:rsidRPr="008537BB" w:rsidRDefault="008537BB" w:rsidP="001B0371">
            <w:pPr>
              <w:pStyle w:val="COMTabletext"/>
              <w:keepLines/>
              <w:jc w:val="center"/>
              <w:rPr>
                <w:b/>
              </w:rPr>
            </w:pPr>
            <w:r w:rsidRPr="00665FA1">
              <w:rPr>
                <w:b/>
                <w:color w:val="000000"/>
                <w:spacing w:val="31"/>
                <w:fitText w:val="433" w:id="-1236598011"/>
                <w14:textFill>
                  <w14:solidFill>
                    <w14:srgbClr w14:val="000000">
                      <w14:alpha w14:val="100000"/>
                    </w14:srgbClr>
                  </w14:solidFill>
                </w14:textFill>
              </w:rPr>
              <w:t>|||||</w:t>
            </w:r>
            <w:r w:rsidRPr="00665FA1">
              <w:rPr>
                <w:b/>
                <w:color w:val="000000"/>
                <w:spacing w:val="3"/>
                <w:fitText w:val="433" w:id="-1236598011"/>
                <w14:textFill>
                  <w14:solidFill>
                    <w14:srgbClr w14:val="000000">
                      <w14:alpha w14:val="100000"/>
                    </w14:srgbClr>
                  </w14:solidFill>
                </w14:textFill>
              </w:rPr>
              <w:t>|</w:t>
            </w:r>
          </w:p>
        </w:tc>
        <w:tc>
          <w:tcPr>
            <w:tcW w:w="1148" w:type="dxa"/>
          </w:tcPr>
          <w:p w14:paraId="3657953B" w14:textId="77777777" w:rsidR="00375047" w:rsidRPr="00806B36" w:rsidRDefault="00375047" w:rsidP="001B0371">
            <w:pPr>
              <w:pStyle w:val="COMTabletext"/>
              <w:keepLines/>
              <w:jc w:val="center"/>
              <w:rPr>
                <w:b/>
              </w:rPr>
            </w:pPr>
            <w:r w:rsidRPr="00806B36">
              <w:rPr>
                <w:b/>
              </w:rPr>
              <w:t>0.1540</w:t>
            </w:r>
          </w:p>
        </w:tc>
        <w:tc>
          <w:tcPr>
            <w:tcW w:w="1147" w:type="dxa"/>
          </w:tcPr>
          <w:p w14:paraId="5904CCBA" w14:textId="531FBF95" w:rsidR="00375047" w:rsidRPr="00806B36" w:rsidRDefault="008537BB" w:rsidP="001B0371">
            <w:pPr>
              <w:pStyle w:val="COMTabletext"/>
              <w:keepLines/>
              <w:jc w:val="center"/>
              <w:rPr>
                <w:b/>
              </w:rPr>
            </w:pPr>
            <w:r w:rsidRPr="008537BB">
              <w:rPr>
                <w:b/>
                <w:color w:val="000000"/>
                <w:spacing w:val="36"/>
                <w:shd w:val="solid" w:color="000000" w:fill="000000"/>
                <w:fitText w:val="458" w:id="-1236598010"/>
                <w14:textFill>
                  <w14:solidFill>
                    <w14:srgbClr w14:val="000000">
                      <w14:alpha w14:val="100000"/>
                    </w14:srgbClr>
                  </w14:solidFill>
                </w14:textFill>
              </w:rPr>
              <w:t>|||||</w:t>
            </w:r>
            <w:r w:rsidRPr="008537BB">
              <w:rPr>
                <w:b/>
                <w:color w:val="000000"/>
                <w:spacing w:val="2"/>
                <w:shd w:val="solid" w:color="000000" w:fill="000000"/>
                <w:fitText w:val="458" w:id="-1236598010"/>
                <w14:textFill>
                  <w14:solidFill>
                    <w14:srgbClr w14:val="000000">
                      <w14:alpha w14:val="100000"/>
                    </w14:srgbClr>
                  </w14:solidFill>
                </w14:textFill>
              </w:rPr>
              <w:t>|</w:t>
            </w:r>
            <w:r w:rsidR="00264B33" w:rsidRPr="00555C97">
              <w:rPr>
                <w:bCs w:val="0"/>
                <w:vertAlign w:val="superscript"/>
              </w:rPr>
              <w:t>1</w:t>
            </w:r>
          </w:p>
        </w:tc>
        <w:tc>
          <w:tcPr>
            <w:tcW w:w="952" w:type="dxa"/>
          </w:tcPr>
          <w:p w14:paraId="282EE2AC" w14:textId="77777777" w:rsidR="00375047" w:rsidRPr="00806B36" w:rsidRDefault="00375047" w:rsidP="001B0371">
            <w:pPr>
              <w:pStyle w:val="COMTabletext"/>
              <w:keepLines/>
              <w:jc w:val="center"/>
              <w:rPr>
                <w:b/>
              </w:rPr>
            </w:pPr>
            <w:r w:rsidRPr="00806B36">
              <w:rPr>
                <w:b/>
              </w:rPr>
              <w:t>-</w:t>
            </w:r>
          </w:p>
        </w:tc>
      </w:tr>
      <w:tr w:rsidR="00375047" w:rsidRPr="00806B36" w14:paraId="4F1FE28A" w14:textId="77777777" w:rsidTr="00130806">
        <w:tc>
          <w:tcPr>
            <w:tcW w:w="8996" w:type="dxa"/>
            <w:gridSpan w:val="5"/>
          </w:tcPr>
          <w:p w14:paraId="7B2ED7F6" w14:textId="77777777" w:rsidR="00375047" w:rsidRPr="00806B36" w:rsidRDefault="00375047" w:rsidP="001B0371">
            <w:pPr>
              <w:pStyle w:val="COMTableheadingrow"/>
              <w:keepLines/>
              <w:rPr>
                <w:lang w:val="en-AU"/>
              </w:rPr>
            </w:pPr>
            <w:r w:rsidRPr="00806B36">
              <w:rPr>
                <w:lang w:val="en-AU"/>
              </w:rPr>
              <w:t>Discount rate (base case 5%)</w:t>
            </w:r>
          </w:p>
        </w:tc>
      </w:tr>
      <w:tr w:rsidR="00375047" w:rsidRPr="00806B36" w14:paraId="4A548400" w14:textId="77777777" w:rsidTr="008537BB">
        <w:tc>
          <w:tcPr>
            <w:tcW w:w="4603" w:type="dxa"/>
          </w:tcPr>
          <w:p w14:paraId="1542B0D0" w14:textId="77777777" w:rsidR="00375047" w:rsidRPr="00806B36" w:rsidRDefault="00375047" w:rsidP="001B0371">
            <w:pPr>
              <w:pStyle w:val="COMTabletext"/>
              <w:keepLines/>
            </w:pPr>
            <w:r w:rsidRPr="00806B36">
              <w:t>0%</w:t>
            </w:r>
          </w:p>
        </w:tc>
        <w:tc>
          <w:tcPr>
            <w:tcW w:w="1146" w:type="dxa"/>
            <w:tcBorders>
              <w:bottom w:val="single" w:sz="4" w:space="0" w:color="auto"/>
            </w:tcBorders>
            <w:shd w:val="solid" w:color="000000" w:fill="000000"/>
          </w:tcPr>
          <w:p w14:paraId="3A85C586" w14:textId="04328FA2" w:rsidR="00375047" w:rsidRPr="008537BB" w:rsidRDefault="008537BB" w:rsidP="001B0371">
            <w:pPr>
              <w:pStyle w:val="COMTabletext"/>
              <w:keepLines/>
              <w:jc w:val="center"/>
            </w:pPr>
            <w:r w:rsidRPr="00665FA1">
              <w:rPr>
                <w:color w:val="000000"/>
                <w:spacing w:val="59"/>
                <w:fitText w:val="350" w:id="-1236598009"/>
                <w14:textFill>
                  <w14:solidFill>
                    <w14:srgbClr w14:val="000000">
                      <w14:alpha w14:val="100000"/>
                    </w14:srgbClr>
                  </w14:solidFill>
                </w14:textFill>
              </w:rPr>
              <w:t>|||</w:t>
            </w:r>
            <w:r w:rsidRPr="00665FA1">
              <w:rPr>
                <w:color w:val="000000"/>
                <w:spacing w:val="3"/>
                <w:fitText w:val="350" w:id="-1236598009"/>
                <w14:textFill>
                  <w14:solidFill>
                    <w14:srgbClr w14:val="000000">
                      <w14:alpha w14:val="100000"/>
                    </w14:srgbClr>
                  </w14:solidFill>
                </w14:textFill>
              </w:rPr>
              <w:t>|</w:t>
            </w:r>
          </w:p>
        </w:tc>
        <w:tc>
          <w:tcPr>
            <w:tcW w:w="1148" w:type="dxa"/>
          </w:tcPr>
          <w:p w14:paraId="38F774BB" w14:textId="77777777" w:rsidR="00375047" w:rsidRPr="00806B36" w:rsidRDefault="00375047" w:rsidP="001B0371">
            <w:pPr>
              <w:pStyle w:val="COMTabletext"/>
              <w:keepLines/>
              <w:jc w:val="center"/>
            </w:pPr>
            <w:r w:rsidRPr="00806B36">
              <w:t>0.1732</w:t>
            </w:r>
          </w:p>
        </w:tc>
        <w:tc>
          <w:tcPr>
            <w:tcW w:w="1147" w:type="dxa"/>
          </w:tcPr>
          <w:p w14:paraId="0845F59D" w14:textId="03513908"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8008"/>
                <w14:textFill>
                  <w14:solidFill>
                    <w14:srgbClr w14:val="000000">
                      <w14:alpha w14:val="100000"/>
                    </w14:srgbClr>
                  </w14:solidFill>
                </w14:textFill>
              </w:rPr>
              <w:t>|||</w:t>
            </w:r>
            <w:r w:rsidRPr="008537BB">
              <w:rPr>
                <w:color w:val="000000"/>
                <w:shd w:val="solid" w:color="000000" w:fill="000000"/>
                <w:fitText w:val="391" w:id="-1236598008"/>
                <w14:textFill>
                  <w14:solidFill>
                    <w14:srgbClr w14:val="000000">
                      <w14:alpha w14:val="100000"/>
                    </w14:srgbClr>
                  </w14:solidFill>
                </w14:textFill>
              </w:rPr>
              <w:t>|</w:t>
            </w:r>
            <w:r w:rsidR="00264B33" w:rsidRPr="006F69AD">
              <w:rPr>
                <w:bCs w:val="0"/>
                <w:vertAlign w:val="superscript"/>
              </w:rPr>
              <w:t>1</w:t>
            </w:r>
          </w:p>
        </w:tc>
        <w:tc>
          <w:tcPr>
            <w:tcW w:w="952" w:type="dxa"/>
          </w:tcPr>
          <w:p w14:paraId="7EEC4D0A" w14:textId="77777777" w:rsidR="00375047" w:rsidRPr="00806B36" w:rsidRDefault="00375047" w:rsidP="001B0371">
            <w:pPr>
              <w:pStyle w:val="COMTabletext"/>
              <w:keepLines/>
              <w:jc w:val="center"/>
            </w:pPr>
            <w:r w:rsidRPr="00806B36">
              <w:t>4%</w:t>
            </w:r>
          </w:p>
        </w:tc>
      </w:tr>
      <w:tr w:rsidR="00375047" w:rsidRPr="00806B36" w14:paraId="02828C2A" w14:textId="77777777" w:rsidTr="008537BB">
        <w:tc>
          <w:tcPr>
            <w:tcW w:w="4603" w:type="dxa"/>
          </w:tcPr>
          <w:p w14:paraId="2758C825" w14:textId="77777777" w:rsidR="00375047" w:rsidRPr="00806B36" w:rsidRDefault="00375047" w:rsidP="001B0371">
            <w:pPr>
              <w:pStyle w:val="COMTabletext"/>
              <w:keepLines/>
            </w:pPr>
            <w:r w:rsidRPr="00806B36">
              <w:t>3.5%</w:t>
            </w:r>
          </w:p>
        </w:tc>
        <w:tc>
          <w:tcPr>
            <w:tcW w:w="1146" w:type="dxa"/>
            <w:shd w:val="solid" w:color="000000" w:fill="000000"/>
          </w:tcPr>
          <w:p w14:paraId="14030C9C" w14:textId="337AF599" w:rsidR="00375047" w:rsidRPr="008537BB" w:rsidRDefault="008537BB" w:rsidP="001B0371">
            <w:pPr>
              <w:pStyle w:val="COMTabletext"/>
              <w:keepLines/>
              <w:jc w:val="center"/>
            </w:pPr>
            <w:r w:rsidRPr="00665FA1">
              <w:rPr>
                <w:color w:val="000000"/>
                <w:spacing w:val="59"/>
                <w:fitText w:val="350" w:id="-1236598007"/>
                <w14:textFill>
                  <w14:solidFill>
                    <w14:srgbClr w14:val="000000">
                      <w14:alpha w14:val="100000"/>
                    </w14:srgbClr>
                  </w14:solidFill>
                </w14:textFill>
              </w:rPr>
              <w:t>|||</w:t>
            </w:r>
            <w:r w:rsidRPr="00665FA1">
              <w:rPr>
                <w:color w:val="000000"/>
                <w:spacing w:val="3"/>
                <w:fitText w:val="350" w:id="-1236598007"/>
                <w14:textFill>
                  <w14:solidFill>
                    <w14:srgbClr w14:val="000000">
                      <w14:alpha w14:val="100000"/>
                    </w14:srgbClr>
                  </w14:solidFill>
                </w14:textFill>
              </w:rPr>
              <w:t>|</w:t>
            </w:r>
          </w:p>
        </w:tc>
        <w:tc>
          <w:tcPr>
            <w:tcW w:w="1148" w:type="dxa"/>
          </w:tcPr>
          <w:p w14:paraId="540775FE" w14:textId="77777777" w:rsidR="00375047" w:rsidRPr="00806B36" w:rsidRDefault="00375047" w:rsidP="001B0371">
            <w:pPr>
              <w:pStyle w:val="COMTabletext"/>
              <w:keepLines/>
              <w:jc w:val="center"/>
            </w:pPr>
            <w:r w:rsidRPr="00806B36">
              <w:t>0.1594</w:t>
            </w:r>
          </w:p>
        </w:tc>
        <w:tc>
          <w:tcPr>
            <w:tcW w:w="1147" w:type="dxa"/>
          </w:tcPr>
          <w:p w14:paraId="3D466964" w14:textId="5BAC3CEF"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8006"/>
                <w14:textFill>
                  <w14:solidFill>
                    <w14:srgbClr w14:val="000000">
                      <w14:alpha w14:val="100000"/>
                    </w14:srgbClr>
                  </w14:solidFill>
                </w14:textFill>
              </w:rPr>
              <w:t>|||</w:t>
            </w:r>
            <w:r w:rsidRPr="008537BB">
              <w:rPr>
                <w:color w:val="000000"/>
                <w:shd w:val="solid" w:color="000000" w:fill="000000"/>
                <w:fitText w:val="391" w:id="-1236598006"/>
                <w14:textFill>
                  <w14:solidFill>
                    <w14:srgbClr w14:val="000000">
                      <w14:alpha w14:val="100000"/>
                    </w14:srgbClr>
                  </w14:solidFill>
                </w14:textFill>
              </w:rPr>
              <w:t>|</w:t>
            </w:r>
            <w:r w:rsidR="00264B33" w:rsidRPr="006F69AD">
              <w:rPr>
                <w:bCs w:val="0"/>
                <w:vertAlign w:val="superscript"/>
              </w:rPr>
              <w:t>1</w:t>
            </w:r>
          </w:p>
        </w:tc>
        <w:tc>
          <w:tcPr>
            <w:tcW w:w="952" w:type="dxa"/>
          </w:tcPr>
          <w:p w14:paraId="5145EC2E" w14:textId="77777777" w:rsidR="00375047" w:rsidRPr="00806B36" w:rsidRDefault="00375047" w:rsidP="001B0371">
            <w:pPr>
              <w:pStyle w:val="COMTabletext"/>
              <w:keepLines/>
              <w:jc w:val="center"/>
            </w:pPr>
            <w:r w:rsidRPr="00806B36">
              <w:t>1%</w:t>
            </w:r>
          </w:p>
        </w:tc>
      </w:tr>
      <w:tr w:rsidR="00375047" w:rsidRPr="00806B36" w14:paraId="0D9712E4" w14:textId="77777777" w:rsidTr="00130806">
        <w:tc>
          <w:tcPr>
            <w:tcW w:w="8996" w:type="dxa"/>
            <w:gridSpan w:val="5"/>
          </w:tcPr>
          <w:p w14:paraId="6547C680" w14:textId="77777777" w:rsidR="00375047" w:rsidRPr="00806B36" w:rsidRDefault="00375047" w:rsidP="001B0371">
            <w:pPr>
              <w:pStyle w:val="COMTableheadingrow"/>
              <w:keepLines/>
              <w:rPr>
                <w:lang w:val="en-AU"/>
              </w:rPr>
            </w:pPr>
            <w:r w:rsidRPr="00806B36">
              <w:rPr>
                <w:lang w:val="en-AU"/>
              </w:rPr>
              <w:t>Time horizon (base case 5 years)</w:t>
            </w:r>
          </w:p>
        </w:tc>
      </w:tr>
      <w:tr w:rsidR="00375047" w:rsidRPr="00806B36" w14:paraId="7ABB4E11" w14:textId="77777777" w:rsidTr="008537BB">
        <w:tc>
          <w:tcPr>
            <w:tcW w:w="4603" w:type="dxa"/>
          </w:tcPr>
          <w:p w14:paraId="77BC7F01" w14:textId="77777777" w:rsidR="00375047" w:rsidRPr="00806B36" w:rsidRDefault="00375047" w:rsidP="001B0371">
            <w:pPr>
              <w:pStyle w:val="COMTabletext"/>
              <w:keepLines/>
            </w:pPr>
            <w:r w:rsidRPr="00806B36">
              <w:t>12 weeks</w:t>
            </w:r>
          </w:p>
        </w:tc>
        <w:tc>
          <w:tcPr>
            <w:tcW w:w="1146" w:type="dxa"/>
            <w:tcBorders>
              <w:bottom w:val="single" w:sz="4" w:space="0" w:color="auto"/>
            </w:tcBorders>
            <w:shd w:val="solid" w:color="000000" w:fill="000000"/>
          </w:tcPr>
          <w:p w14:paraId="156142D3" w14:textId="2C6DF50B" w:rsidR="00375047" w:rsidRPr="008537BB" w:rsidRDefault="008537BB" w:rsidP="001B0371">
            <w:pPr>
              <w:pStyle w:val="COMTabletext"/>
              <w:keepLines/>
              <w:jc w:val="center"/>
            </w:pPr>
            <w:r w:rsidRPr="00665FA1">
              <w:rPr>
                <w:color w:val="000000"/>
                <w:spacing w:val="59"/>
                <w:fitText w:val="350" w:id="-1236598005"/>
                <w14:textFill>
                  <w14:solidFill>
                    <w14:srgbClr w14:val="000000">
                      <w14:alpha w14:val="100000"/>
                    </w14:srgbClr>
                  </w14:solidFill>
                </w14:textFill>
              </w:rPr>
              <w:t>|||</w:t>
            </w:r>
            <w:r w:rsidRPr="00665FA1">
              <w:rPr>
                <w:color w:val="000000"/>
                <w:spacing w:val="3"/>
                <w:fitText w:val="350" w:id="-1236598005"/>
                <w14:textFill>
                  <w14:solidFill>
                    <w14:srgbClr w14:val="000000">
                      <w14:alpha w14:val="100000"/>
                    </w14:srgbClr>
                  </w14:solidFill>
                </w14:textFill>
              </w:rPr>
              <w:t>|</w:t>
            </w:r>
          </w:p>
        </w:tc>
        <w:tc>
          <w:tcPr>
            <w:tcW w:w="1148" w:type="dxa"/>
          </w:tcPr>
          <w:p w14:paraId="4F4D5D10" w14:textId="77777777" w:rsidR="00375047" w:rsidRPr="00806B36" w:rsidRDefault="00375047" w:rsidP="001B0371">
            <w:pPr>
              <w:pStyle w:val="COMTabletext"/>
              <w:keepLines/>
              <w:jc w:val="center"/>
            </w:pPr>
            <w:r w:rsidRPr="00806B36">
              <w:t>0.0038</w:t>
            </w:r>
          </w:p>
        </w:tc>
        <w:tc>
          <w:tcPr>
            <w:tcW w:w="1147" w:type="dxa"/>
          </w:tcPr>
          <w:p w14:paraId="65F8026E" w14:textId="516DFBBF"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8004"/>
                <w14:textFill>
                  <w14:solidFill>
                    <w14:srgbClr w14:val="000000">
                      <w14:alpha w14:val="100000"/>
                    </w14:srgbClr>
                  </w14:solidFill>
                </w14:textFill>
              </w:rPr>
              <w:t>|||</w:t>
            </w:r>
            <w:r w:rsidRPr="008537BB">
              <w:rPr>
                <w:color w:val="000000"/>
                <w:shd w:val="solid" w:color="000000" w:fill="000000"/>
                <w:fitText w:val="391" w:id="-1236598004"/>
                <w14:textFill>
                  <w14:solidFill>
                    <w14:srgbClr w14:val="000000">
                      <w14:alpha w14:val="100000"/>
                    </w14:srgbClr>
                  </w14:solidFill>
                </w14:textFill>
              </w:rPr>
              <w:t>|</w:t>
            </w:r>
            <w:r w:rsidR="00264B33">
              <w:rPr>
                <w:bCs w:val="0"/>
                <w:vertAlign w:val="superscript"/>
              </w:rPr>
              <w:t>2</w:t>
            </w:r>
          </w:p>
        </w:tc>
        <w:tc>
          <w:tcPr>
            <w:tcW w:w="952" w:type="dxa"/>
          </w:tcPr>
          <w:p w14:paraId="76822B12" w14:textId="77777777" w:rsidR="00375047" w:rsidRPr="00806B36" w:rsidRDefault="00375047" w:rsidP="001B0371">
            <w:pPr>
              <w:pStyle w:val="COMTabletext"/>
              <w:keepLines/>
              <w:jc w:val="center"/>
            </w:pPr>
            <w:r w:rsidRPr="00806B36">
              <w:t>716%</w:t>
            </w:r>
          </w:p>
        </w:tc>
      </w:tr>
      <w:tr w:rsidR="00375047" w:rsidRPr="00806B36" w14:paraId="45FF499E" w14:textId="77777777" w:rsidTr="008537BB">
        <w:tc>
          <w:tcPr>
            <w:tcW w:w="4603" w:type="dxa"/>
          </w:tcPr>
          <w:p w14:paraId="7EAEDE2E" w14:textId="77777777" w:rsidR="00375047" w:rsidRPr="00806B36" w:rsidRDefault="00375047" w:rsidP="001B0371">
            <w:pPr>
              <w:pStyle w:val="COMTabletext"/>
              <w:keepLines/>
            </w:pPr>
            <w:r w:rsidRPr="00806B36">
              <w:t>1 year</w:t>
            </w:r>
          </w:p>
        </w:tc>
        <w:tc>
          <w:tcPr>
            <w:tcW w:w="1146" w:type="dxa"/>
            <w:tcBorders>
              <w:bottom w:val="single" w:sz="4" w:space="0" w:color="auto"/>
            </w:tcBorders>
            <w:shd w:val="solid" w:color="000000" w:fill="000000"/>
          </w:tcPr>
          <w:p w14:paraId="158E7C3B" w14:textId="707DFB62" w:rsidR="00375047" w:rsidRPr="008537BB" w:rsidRDefault="008537BB" w:rsidP="001B0371">
            <w:pPr>
              <w:pStyle w:val="COMTabletext"/>
              <w:keepLines/>
              <w:jc w:val="center"/>
            </w:pPr>
            <w:r w:rsidRPr="00665FA1">
              <w:rPr>
                <w:color w:val="000000"/>
                <w:spacing w:val="59"/>
                <w:fitText w:val="350" w:id="-1236598003"/>
                <w14:textFill>
                  <w14:solidFill>
                    <w14:srgbClr w14:val="000000">
                      <w14:alpha w14:val="100000"/>
                    </w14:srgbClr>
                  </w14:solidFill>
                </w14:textFill>
              </w:rPr>
              <w:t>|||</w:t>
            </w:r>
            <w:r w:rsidRPr="00665FA1">
              <w:rPr>
                <w:color w:val="000000"/>
                <w:spacing w:val="3"/>
                <w:fitText w:val="350" w:id="-1236598003"/>
                <w14:textFill>
                  <w14:solidFill>
                    <w14:srgbClr w14:val="000000">
                      <w14:alpha w14:val="100000"/>
                    </w14:srgbClr>
                  </w14:solidFill>
                </w14:textFill>
              </w:rPr>
              <w:t>|</w:t>
            </w:r>
          </w:p>
        </w:tc>
        <w:tc>
          <w:tcPr>
            <w:tcW w:w="1148" w:type="dxa"/>
          </w:tcPr>
          <w:p w14:paraId="16409E1B" w14:textId="77777777" w:rsidR="00375047" w:rsidRPr="00806B36" w:rsidRDefault="00375047" w:rsidP="001B0371">
            <w:pPr>
              <w:pStyle w:val="COMTabletext"/>
              <w:keepLines/>
              <w:jc w:val="center"/>
            </w:pPr>
            <w:r w:rsidRPr="00806B36">
              <w:t>0.0278</w:t>
            </w:r>
          </w:p>
        </w:tc>
        <w:tc>
          <w:tcPr>
            <w:tcW w:w="1147" w:type="dxa"/>
          </w:tcPr>
          <w:p w14:paraId="47FE2DE7" w14:textId="551F6569"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8002"/>
                <w14:textFill>
                  <w14:solidFill>
                    <w14:srgbClr w14:val="000000">
                      <w14:alpha w14:val="100000"/>
                    </w14:srgbClr>
                  </w14:solidFill>
                </w14:textFill>
              </w:rPr>
              <w:t>|||</w:t>
            </w:r>
            <w:r w:rsidRPr="008537BB">
              <w:rPr>
                <w:color w:val="000000"/>
                <w:shd w:val="solid" w:color="000000" w:fill="000000"/>
                <w:fitText w:val="391" w:id="-1236598002"/>
                <w14:textFill>
                  <w14:solidFill>
                    <w14:srgbClr w14:val="000000">
                      <w14:alpha w14:val="100000"/>
                    </w14:srgbClr>
                  </w14:solidFill>
                </w14:textFill>
              </w:rPr>
              <w:t>|</w:t>
            </w:r>
            <w:r w:rsidR="00264B33">
              <w:rPr>
                <w:bCs w:val="0"/>
                <w:vertAlign w:val="superscript"/>
              </w:rPr>
              <w:t>3</w:t>
            </w:r>
          </w:p>
        </w:tc>
        <w:tc>
          <w:tcPr>
            <w:tcW w:w="952" w:type="dxa"/>
          </w:tcPr>
          <w:p w14:paraId="7D33C451" w14:textId="77777777" w:rsidR="00375047" w:rsidRPr="00806B36" w:rsidRDefault="00375047" w:rsidP="001B0371">
            <w:pPr>
              <w:pStyle w:val="COMTabletext"/>
              <w:keepLines/>
              <w:jc w:val="center"/>
            </w:pPr>
            <w:r w:rsidRPr="00806B36">
              <w:t>149%</w:t>
            </w:r>
          </w:p>
        </w:tc>
      </w:tr>
      <w:tr w:rsidR="00375047" w:rsidRPr="00806B36" w14:paraId="6A0AAA7D" w14:textId="77777777" w:rsidTr="008537BB">
        <w:tc>
          <w:tcPr>
            <w:tcW w:w="4603" w:type="dxa"/>
          </w:tcPr>
          <w:p w14:paraId="6DB80557" w14:textId="77777777" w:rsidR="00375047" w:rsidRPr="00806B36" w:rsidRDefault="00375047" w:rsidP="001B0371">
            <w:pPr>
              <w:pStyle w:val="COMTabletext"/>
              <w:keepLines/>
            </w:pPr>
            <w:r w:rsidRPr="00806B36">
              <w:t>2 years</w:t>
            </w:r>
          </w:p>
        </w:tc>
        <w:tc>
          <w:tcPr>
            <w:tcW w:w="1146" w:type="dxa"/>
            <w:shd w:val="solid" w:color="000000" w:fill="000000"/>
          </w:tcPr>
          <w:p w14:paraId="47B1DDBB" w14:textId="1B6433A5" w:rsidR="00375047" w:rsidRPr="008537BB" w:rsidRDefault="008537BB" w:rsidP="001B0371">
            <w:pPr>
              <w:pStyle w:val="COMTabletext"/>
              <w:keepLines/>
              <w:jc w:val="center"/>
            </w:pPr>
            <w:r w:rsidRPr="00665FA1">
              <w:rPr>
                <w:color w:val="000000"/>
                <w:spacing w:val="59"/>
                <w:fitText w:val="350" w:id="-1236598001"/>
                <w14:textFill>
                  <w14:solidFill>
                    <w14:srgbClr w14:val="000000">
                      <w14:alpha w14:val="100000"/>
                    </w14:srgbClr>
                  </w14:solidFill>
                </w14:textFill>
              </w:rPr>
              <w:t>|||</w:t>
            </w:r>
            <w:r w:rsidRPr="00665FA1">
              <w:rPr>
                <w:color w:val="000000"/>
                <w:spacing w:val="3"/>
                <w:fitText w:val="350" w:id="-1236598001"/>
                <w14:textFill>
                  <w14:solidFill>
                    <w14:srgbClr w14:val="000000">
                      <w14:alpha w14:val="100000"/>
                    </w14:srgbClr>
                  </w14:solidFill>
                </w14:textFill>
              </w:rPr>
              <w:t>|</w:t>
            </w:r>
          </w:p>
        </w:tc>
        <w:tc>
          <w:tcPr>
            <w:tcW w:w="1148" w:type="dxa"/>
          </w:tcPr>
          <w:p w14:paraId="0D9423FB" w14:textId="77777777" w:rsidR="00375047" w:rsidRPr="00806B36" w:rsidRDefault="00375047" w:rsidP="001B0371">
            <w:pPr>
              <w:pStyle w:val="COMTabletext"/>
              <w:keepLines/>
              <w:jc w:val="center"/>
            </w:pPr>
            <w:r w:rsidRPr="00806B36">
              <w:t>0.0678</w:t>
            </w:r>
          </w:p>
        </w:tc>
        <w:tc>
          <w:tcPr>
            <w:tcW w:w="1147" w:type="dxa"/>
          </w:tcPr>
          <w:p w14:paraId="07350DE2" w14:textId="031F1BC0"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8000"/>
                <w14:textFill>
                  <w14:solidFill>
                    <w14:srgbClr w14:val="000000">
                      <w14:alpha w14:val="100000"/>
                    </w14:srgbClr>
                  </w14:solidFill>
                </w14:textFill>
              </w:rPr>
              <w:t>|||</w:t>
            </w:r>
            <w:r w:rsidRPr="008537BB">
              <w:rPr>
                <w:color w:val="000000"/>
                <w:shd w:val="solid" w:color="000000" w:fill="000000"/>
                <w:fitText w:val="391" w:id="-1236598000"/>
                <w14:textFill>
                  <w14:solidFill>
                    <w14:srgbClr w14:val="000000">
                      <w14:alpha w14:val="100000"/>
                    </w14:srgbClr>
                  </w14:solidFill>
                </w14:textFill>
              </w:rPr>
              <w:t>|</w:t>
            </w:r>
            <w:r w:rsidR="00264B33">
              <w:rPr>
                <w:bCs w:val="0"/>
                <w:vertAlign w:val="superscript"/>
              </w:rPr>
              <w:t>4</w:t>
            </w:r>
          </w:p>
        </w:tc>
        <w:tc>
          <w:tcPr>
            <w:tcW w:w="952" w:type="dxa"/>
          </w:tcPr>
          <w:p w14:paraId="19624556" w14:textId="77777777" w:rsidR="00375047" w:rsidRPr="00806B36" w:rsidRDefault="00375047" w:rsidP="001B0371">
            <w:pPr>
              <w:pStyle w:val="COMTabletext"/>
              <w:keepLines/>
              <w:jc w:val="center"/>
            </w:pPr>
            <w:r w:rsidRPr="00806B36">
              <w:t>53%</w:t>
            </w:r>
          </w:p>
        </w:tc>
      </w:tr>
      <w:tr w:rsidR="0031785C" w:rsidRPr="00806B36" w14:paraId="35CBA7BC" w14:textId="77777777" w:rsidTr="00130806">
        <w:tc>
          <w:tcPr>
            <w:tcW w:w="8996" w:type="dxa"/>
            <w:gridSpan w:val="5"/>
          </w:tcPr>
          <w:p w14:paraId="1AAE8FB4" w14:textId="77777777" w:rsidR="0031785C" w:rsidRPr="00806B36" w:rsidRDefault="0031785C" w:rsidP="001B0371">
            <w:pPr>
              <w:pStyle w:val="COMTableheadingrow"/>
              <w:keepLines/>
              <w:rPr>
                <w:lang w:val="en-AU"/>
              </w:rPr>
            </w:pPr>
            <w:r w:rsidRPr="00806B36">
              <w:rPr>
                <w:lang w:val="en-AU"/>
              </w:rPr>
              <w:t>Background mortality (base case 8.2% per year in none to moderate health states, 15.6% per year in severe)</w:t>
            </w:r>
          </w:p>
        </w:tc>
      </w:tr>
      <w:tr w:rsidR="0031785C" w:rsidRPr="00806B36" w14:paraId="5072D538" w14:textId="77777777" w:rsidTr="008537BB">
        <w:tc>
          <w:tcPr>
            <w:tcW w:w="4603" w:type="dxa"/>
          </w:tcPr>
          <w:p w14:paraId="60EEABBD" w14:textId="77777777" w:rsidR="0031785C" w:rsidRPr="00806B36" w:rsidRDefault="0031785C" w:rsidP="001B0371">
            <w:pPr>
              <w:pStyle w:val="COMTabletext"/>
              <w:keepLines/>
            </w:pPr>
            <w:r w:rsidRPr="00806B36">
              <w:t>8.2% per year in all health states (no increased mortality with severe pruritus)</w:t>
            </w:r>
          </w:p>
        </w:tc>
        <w:tc>
          <w:tcPr>
            <w:tcW w:w="1146" w:type="dxa"/>
            <w:tcBorders>
              <w:bottom w:val="single" w:sz="4" w:space="0" w:color="auto"/>
            </w:tcBorders>
            <w:shd w:val="solid" w:color="000000" w:fill="000000"/>
            <w:vAlign w:val="center"/>
          </w:tcPr>
          <w:p w14:paraId="3F3F66B3" w14:textId="45025E5B" w:rsidR="0031785C" w:rsidRPr="008537BB" w:rsidRDefault="008537BB" w:rsidP="001B0371">
            <w:pPr>
              <w:pStyle w:val="COMTabletext"/>
              <w:keepLines/>
              <w:jc w:val="center"/>
            </w:pPr>
            <w:r w:rsidRPr="00665FA1">
              <w:rPr>
                <w:color w:val="000000"/>
                <w:spacing w:val="59"/>
                <w:fitText w:val="350" w:id="-1236598016"/>
                <w14:textFill>
                  <w14:solidFill>
                    <w14:srgbClr w14:val="000000">
                      <w14:alpha w14:val="100000"/>
                    </w14:srgbClr>
                  </w14:solidFill>
                </w14:textFill>
              </w:rPr>
              <w:t>|||</w:t>
            </w:r>
            <w:r w:rsidRPr="00665FA1">
              <w:rPr>
                <w:color w:val="000000"/>
                <w:spacing w:val="3"/>
                <w:fitText w:val="350" w:id="-1236598016"/>
                <w14:textFill>
                  <w14:solidFill>
                    <w14:srgbClr w14:val="000000">
                      <w14:alpha w14:val="100000"/>
                    </w14:srgbClr>
                  </w14:solidFill>
                </w14:textFill>
              </w:rPr>
              <w:t>|</w:t>
            </w:r>
          </w:p>
        </w:tc>
        <w:tc>
          <w:tcPr>
            <w:tcW w:w="1148" w:type="dxa"/>
            <w:vAlign w:val="center"/>
          </w:tcPr>
          <w:p w14:paraId="7E53B039" w14:textId="77777777" w:rsidR="0031785C" w:rsidRPr="00806B36" w:rsidRDefault="0031785C" w:rsidP="001B0371">
            <w:pPr>
              <w:pStyle w:val="COMTabletext"/>
              <w:keepLines/>
              <w:jc w:val="center"/>
            </w:pPr>
            <w:r w:rsidRPr="00806B36">
              <w:t>0.1456</w:t>
            </w:r>
          </w:p>
        </w:tc>
        <w:tc>
          <w:tcPr>
            <w:tcW w:w="1147" w:type="dxa"/>
            <w:vAlign w:val="center"/>
          </w:tcPr>
          <w:p w14:paraId="6B9C7AAF" w14:textId="693188F5" w:rsidR="0031785C" w:rsidRPr="00555C97" w:rsidRDefault="008537BB" w:rsidP="001B0371">
            <w:pPr>
              <w:pStyle w:val="COMTabletext"/>
              <w:keepLines/>
              <w:jc w:val="center"/>
              <w:rPr>
                <w:highlight w:val="darkGray"/>
              </w:rPr>
            </w:pPr>
            <w:r w:rsidRPr="008537BB">
              <w:rPr>
                <w:color w:val="000000"/>
                <w:spacing w:val="73"/>
                <w:shd w:val="solid" w:color="000000" w:fill="000000"/>
                <w:fitText w:val="391" w:id="-1236598015"/>
                <w14:textFill>
                  <w14:solidFill>
                    <w14:srgbClr w14:val="000000">
                      <w14:alpha w14:val="100000"/>
                    </w14:srgbClr>
                  </w14:solidFill>
                </w14:textFill>
              </w:rPr>
              <w:t>|||</w:t>
            </w:r>
            <w:r w:rsidRPr="008537BB">
              <w:rPr>
                <w:color w:val="000000"/>
                <w:shd w:val="solid" w:color="000000" w:fill="000000"/>
                <w:fitText w:val="391" w:id="-1236598015"/>
                <w14:textFill>
                  <w14:solidFill>
                    <w14:srgbClr w14:val="000000">
                      <w14:alpha w14:val="100000"/>
                    </w14:srgbClr>
                  </w14:solidFill>
                </w14:textFill>
              </w:rPr>
              <w:t>|</w:t>
            </w:r>
            <w:r w:rsidR="00264B33" w:rsidRPr="006F69AD">
              <w:rPr>
                <w:bCs w:val="0"/>
                <w:vertAlign w:val="superscript"/>
              </w:rPr>
              <w:t>1</w:t>
            </w:r>
          </w:p>
        </w:tc>
        <w:tc>
          <w:tcPr>
            <w:tcW w:w="952" w:type="dxa"/>
            <w:vAlign w:val="center"/>
          </w:tcPr>
          <w:p w14:paraId="6D1B6EB4" w14:textId="77777777" w:rsidR="0031785C" w:rsidRPr="00806B36" w:rsidRDefault="0031785C" w:rsidP="001B0371">
            <w:pPr>
              <w:pStyle w:val="COMTabletext"/>
              <w:keepLines/>
              <w:jc w:val="center"/>
            </w:pPr>
            <w:r w:rsidRPr="00806B36">
              <w:t>5%</w:t>
            </w:r>
          </w:p>
        </w:tc>
      </w:tr>
      <w:tr w:rsidR="0031785C" w:rsidRPr="00806B36" w14:paraId="7DD46484" w14:textId="77777777" w:rsidTr="008537BB">
        <w:tc>
          <w:tcPr>
            <w:tcW w:w="4603" w:type="dxa"/>
          </w:tcPr>
          <w:p w14:paraId="606A997D" w14:textId="2BFA596C" w:rsidR="0031785C" w:rsidRPr="00806B36" w:rsidRDefault="0031785C" w:rsidP="001B0371">
            <w:pPr>
              <w:pStyle w:val="COMTabletext"/>
              <w:keepLines/>
            </w:pPr>
            <w:r w:rsidRPr="00806B36">
              <w:t>12.6% per year in none to moderate health states, 10.1% per year in severe</w:t>
            </w:r>
            <w:r w:rsidR="009F521F" w:rsidRPr="00806B36">
              <w:t>*</w:t>
            </w:r>
          </w:p>
        </w:tc>
        <w:tc>
          <w:tcPr>
            <w:tcW w:w="1146" w:type="dxa"/>
            <w:tcBorders>
              <w:bottom w:val="single" w:sz="4" w:space="0" w:color="auto"/>
            </w:tcBorders>
            <w:shd w:val="solid" w:color="000000" w:fill="000000"/>
            <w:vAlign w:val="center"/>
          </w:tcPr>
          <w:p w14:paraId="748F2992" w14:textId="7F944CAA" w:rsidR="0031785C" w:rsidRPr="008537BB" w:rsidRDefault="008537BB" w:rsidP="001B0371">
            <w:pPr>
              <w:pStyle w:val="COMTabletext"/>
              <w:keepLines/>
              <w:jc w:val="center"/>
            </w:pPr>
            <w:r w:rsidRPr="00665FA1">
              <w:rPr>
                <w:color w:val="000000"/>
                <w:spacing w:val="59"/>
                <w:fitText w:val="350" w:id="-1236598014"/>
                <w14:textFill>
                  <w14:solidFill>
                    <w14:srgbClr w14:val="000000">
                      <w14:alpha w14:val="100000"/>
                    </w14:srgbClr>
                  </w14:solidFill>
                </w14:textFill>
              </w:rPr>
              <w:t>|||</w:t>
            </w:r>
            <w:r w:rsidRPr="00665FA1">
              <w:rPr>
                <w:color w:val="000000"/>
                <w:spacing w:val="3"/>
                <w:fitText w:val="350" w:id="-1236598014"/>
                <w14:textFill>
                  <w14:solidFill>
                    <w14:srgbClr w14:val="000000">
                      <w14:alpha w14:val="100000"/>
                    </w14:srgbClr>
                  </w14:solidFill>
                </w14:textFill>
              </w:rPr>
              <w:t>|</w:t>
            </w:r>
          </w:p>
        </w:tc>
        <w:tc>
          <w:tcPr>
            <w:tcW w:w="1148" w:type="dxa"/>
            <w:vAlign w:val="center"/>
          </w:tcPr>
          <w:p w14:paraId="333ACC16" w14:textId="77777777" w:rsidR="0031785C" w:rsidRPr="00806B36" w:rsidRDefault="0031785C" w:rsidP="001B0371">
            <w:pPr>
              <w:pStyle w:val="COMTabletext"/>
              <w:keepLines/>
              <w:jc w:val="center"/>
            </w:pPr>
            <w:r w:rsidRPr="00806B36">
              <w:t>0.1416</w:t>
            </w:r>
          </w:p>
        </w:tc>
        <w:tc>
          <w:tcPr>
            <w:tcW w:w="1147" w:type="dxa"/>
            <w:vAlign w:val="center"/>
          </w:tcPr>
          <w:p w14:paraId="71B4402E" w14:textId="42DCD63D" w:rsidR="0031785C" w:rsidRPr="00555C97" w:rsidRDefault="008537BB" w:rsidP="001B0371">
            <w:pPr>
              <w:pStyle w:val="COMTabletext"/>
              <w:keepLines/>
              <w:jc w:val="center"/>
              <w:rPr>
                <w:highlight w:val="darkGray"/>
              </w:rPr>
            </w:pPr>
            <w:r w:rsidRPr="008537BB">
              <w:rPr>
                <w:color w:val="000000"/>
                <w:spacing w:val="73"/>
                <w:shd w:val="solid" w:color="000000" w:fill="000000"/>
                <w:fitText w:val="391" w:id="-1236598013"/>
                <w14:textFill>
                  <w14:solidFill>
                    <w14:srgbClr w14:val="000000">
                      <w14:alpha w14:val="100000"/>
                    </w14:srgbClr>
                  </w14:solidFill>
                </w14:textFill>
              </w:rPr>
              <w:t>|||</w:t>
            </w:r>
            <w:r w:rsidRPr="008537BB">
              <w:rPr>
                <w:color w:val="000000"/>
                <w:shd w:val="solid" w:color="000000" w:fill="000000"/>
                <w:fitText w:val="391" w:id="-1236598013"/>
                <w14:textFill>
                  <w14:solidFill>
                    <w14:srgbClr w14:val="000000">
                      <w14:alpha w14:val="100000"/>
                    </w14:srgbClr>
                  </w14:solidFill>
                </w14:textFill>
              </w:rPr>
              <w:t>|</w:t>
            </w:r>
            <w:r w:rsidR="00264B33" w:rsidRPr="006F69AD">
              <w:rPr>
                <w:bCs w:val="0"/>
                <w:vertAlign w:val="superscript"/>
              </w:rPr>
              <w:t>1</w:t>
            </w:r>
          </w:p>
        </w:tc>
        <w:tc>
          <w:tcPr>
            <w:tcW w:w="952" w:type="dxa"/>
            <w:vAlign w:val="center"/>
          </w:tcPr>
          <w:p w14:paraId="2B0F1CE6" w14:textId="77777777" w:rsidR="0031785C" w:rsidRPr="00806B36" w:rsidRDefault="0031785C" w:rsidP="001B0371">
            <w:pPr>
              <w:pStyle w:val="COMTabletext"/>
              <w:keepLines/>
              <w:jc w:val="center"/>
            </w:pPr>
            <w:r w:rsidRPr="00806B36">
              <w:t>1%</w:t>
            </w:r>
          </w:p>
        </w:tc>
      </w:tr>
      <w:tr w:rsidR="0031785C" w:rsidRPr="00806B36" w14:paraId="2B46D292" w14:textId="77777777" w:rsidTr="008537BB">
        <w:tc>
          <w:tcPr>
            <w:tcW w:w="4603" w:type="dxa"/>
          </w:tcPr>
          <w:p w14:paraId="5821084C" w14:textId="3E454D24" w:rsidR="0031785C" w:rsidRPr="00806B36" w:rsidRDefault="0031785C" w:rsidP="001B0371">
            <w:pPr>
              <w:pStyle w:val="COMTabletext"/>
              <w:keepLines/>
            </w:pPr>
            <w:r w:rsidRPr="00806B36">
              <w:t>12.6% per year in all health states</w:t>
            </w:r>
            <w:r w:rsidR="009F521F" w:rsidRPr="00806B36">
              <w:t>*</w:t>
            </w:r>
          </w:p>
        </w:tc>
        <w:tc>
          <w:tcPr>
            <w:tcW w:w="1146" w:type="dxa"/>
            <w:shd w:val="solid" w:color="000000" w:fill="000000"/>
            <w:vAlign w:val="center"/>
          </w:tcPr>
          <w:p w14:paraId="06483EA1" w14:textId="1A073B96" w:rsidR="0031785C" w:rsidRPr="008537BB" w:rsidRDefault="008537BB" w:rsidP="001B0371">
            <w:pPr>
              <w:pStyle w:val="COMTabletext"/>
              <w:keepLines/>
              <w:jc w:val="center"/>
            </w:pPr>
            <w:r w:rsidRPr="00665FA1">
              <w:rPr>
                <w:color w:val="000000"/>
                <w:spacing w:val="59"/>
                <w:fitText w:val="350" w:id="-1236598012"/>
                <w14:textFill>
                  <w14:solidFill>
                    <w14:srgbClr w14:val="000000">
                      <w14:alpha w14:val="100000"/>
                    </w14:srgbClr>
                  </w14:solidFill>
                </w14:textFill>
              </w:rPr>
              <w:t>|||</w:t>
            </w:r>
            <w:r w:rsidRPr="00665FA1">
              <w:rPr>
                <w:color w:val="000000"/>
                <w:spacing w:val="3"/>
                <w:fitText w:val="350" w:id="-1236598012"/>
                <w14:textFill>
                  <w14:solidFill>
                    <w14:srgbClr w14:val="000000">
                      <w14:alpha w14:val="100000"/>
                    </w14:srgbClr>
                  </w14:solidFill>
                </w14:textFill>
              </w:rPr>
              <w:t>|</w:t>
            </w:r>
          </w:p>
        </w:tc>
        <w:tc>
          <w:tcPr>
            <w:tcW w:w="1148" w:type="dxa"/>
            <w:vAlign w:val="center"/>
          </w:tcPr>
          <w:p w14:paraId="1C975300" w14:textId="77777777" w:rsidR="0031785C" w:rsidRPr="00806B36" w:rsidRDefault="0031785C" w:rsidP="001B0371">
            <w:pPr>
              <w:pStyle w:val="COMTabletext"/>
              <w:keepLines/>
              <w:jc w:val="center"/>
            </w:pPr>
            <w:r w:rsidRPr="00806B36">
              <w:t>0.1302</w:t>
            </w:r>
          </w:p>
        </w:tc>
        <w:tc>
          <w:tcPr>
            <w:tcW w:w="1147" w:type="dxa"/>
            <w:vAlign w:val="center"/>
          </w:tcPr>
          <w:p w14:paraId="7457D66D" w14:textId="02DD369A" w:rsidR="0031785C" w:rsidRPr="00555C97" w:rsidRDefault="008537BB" w:rsidP="001B0371">
            <w:pPr>
              <w:pStyle w:val="COMTabletext"/>
              <w:keepLines/>
              <w:jc w:val="center"/>
              <w:rPr>
                <w:highlight w:val="darkGray"/>
              </w:rPr>
            </w:pPr>
            <w:r w:rsidRPr="008537BB">
              <w:rPr>
                <w:color w:val="000000"/>
                <w:spacing w:val="73"/>
                <w:shd w:val="solid" w:color="000000" w:fill="000000"/>
                <w:fitText w:val="391" w:id="-1236598011"/>
                <w14:textFill>
                  <w14:solidFill>
                    <w14:srgbClr w14:val="000000">
                      <w14:alpha w14:val="100000"/>
                    </w14:srgbClr>
                  </w14:solidFill>
                </w14:textFill>
              </w:rPr>
              <w:t>|||</w:t>
            </w:r>
            <w:r w:rsidRPr="008537BB">
              <w:rPr>
                <w:color w:val="000000"/>
                <w:shd w:val="solid" w:color="000000" w:fill="000000"/>
                <w:fitText w:val="391" w:id="-1236598011"/>
                <w14:textFill>
                  <w14:solidFill>
                    <w14:srgbClr w14:val="000000">
                      <w14:alpha w14:val="100000"/>
                    </w14:srgbClr>
                  </w14:solidFill>
                </w14:textFill>
              </w:rPr>
              <w:t>|</w:t>
            </w:r>
            <w:r w:rsidR="00264B33" w:rsidRPr="006F69AD">
              <w:rPr>
                <w:bCs w:val="0"/>
                <w:vertAlign w:val="superscript"/>
              </w:rPr>
              <w:t>1</w:t>
            </w:r>
          </w:p>
        </w:tc>
        <w:tc>
          <w:tcPr>
            <w:tcW w:w="952" w:type="dxa"/>
            <w:vAlign w:val="center"/>
          </w:tcPr>
          <w:p w14:paraId="68CA12F9" w14:textId="77777777" w:rsidR="0031785C" w:rsidRPr="00806B36" w:rsidRDefault="0031785C" w:rsidP="001B0371">
            <w:pPr>
              <w:pStyle w:val="COMTabletext"/>
              <w:keepLines/>
              <w:jc w:val="center"/>
            </w:pPr>
            <w:r w:rsidRPr="00806B36">
              <w:t>10%</w:t>
            </w:r>
          </w:p>
        </w:tc>
      </w:tr>
      <w:tr w:rsidR="00375047" w:rsidRPr="00806B36" w14:paraId="6D1AE406" w14:textId="77777777" w:rsidTr="00130806">
        <w:tc>
          <w:tcPr>
            <w:tcW w:w="8996" w:type="dxa"/>
            <w:gridSpan w:val="5"/>
          </w:tcPr>
          <w:p w14:paraId="3160E416" w14:textId="77777777" w:rsidR="00375047" w:rsidRPr="00806B36" w:rsidRDefault="00375047" w:rsidP="001B0371">
            <w:pPr>
              <w:pStyle w:val="COMTableheadingrow"/>
              <w:keepLines/>
              <w:rPr>
                <w:lang w:val="en-AU"/>
              </w:rPr>
            </w:pPr>
            <w:r w:rsidRPr="00806B36">
              <w:rPr>
                <w:lang w:val="en-AU"/>
              </w:rPr>
              <w:t>Treatment discontinuations (base case 4.6% per 4-week cycle in the first 12 weeks then 2.0% per 4-week cycle ongoing)</w:t>
            </w:r>
          </w:p>
        </w:tc>
      </w:tr>
      <w:tr w:rsidR="00930BA4" w:rsidRPr="00806B36" w14:paraId="35873669" w14:textId="77777777" w:rsidTr="008537BB">
        <w:tc>
          <w:tcPr>
            <w:tcW w:w="4603" w:type="dxa"/>
          </w:tcPr>
          <w:p w14:paraId="5322E0FA" w14:textId="77777777" w:rsidR="00930BA4" w:rsidRPr="00806B36" w:rsidRDefault="00930BA4" w:rsidP="001B0371">
            <w:pPr>
              <w:pStyle w:val="COMTabletext"/>
              <w:keepLines/>
              <w:widowControl w:val="0"/>
            </w:pPr>
            <w:r w:rsidRPr="00806B36">
              <w:t>Week 12+ discontinuation rates increased by 50%</w:t>
            </w:r>
          </w:p>
        </w:tc>
        <w:tc>
          <w:tcPr>
            <w:tcW w:w="1146" w:type="dxa"/>
            <w:tcBorders>
              <w:bottom w:val="single" w:sz="4" w:space="0" w:color="auto"/>
            </w:tcBorders>
            <w:shd w:val="solid" w:color="000000" w:fill="000000"/>
          </w:tcPr>
          <w:p w14:paraId="7C1DB0CE" w14:textId="4BC1B988" w:rsidR="00930BA4" w:rsidRPr="008537BB" w:rsidRDefault="008537BB" w:rsidP="001B0371">
            <w:pPr>
              <w:pStyle w:val="COMTabletext"/>
              <w:keepLines/>
              <w:widowControl w:val="0"/>
              <w:jc w:val="center"/>
            </w:pPr>
            <w:r w:rsidRPr="00665FA1">
              <w:rPr>
                <w:color w:val="000000"/>
                <w:spacing w:val="59"/>
                <w:fitText w:val="350" w:id="-1236598010"/>
                <w14:textFill>
                  <w14:solidFill>
                    <w14:srgbClr w14:val="000000">
                      <w14:alpha w14:val="100000"/>
                    </w14:srgbClr>
                  </w14:solidFill>
                </w14:textFill>
              </w:rPr>
              <w:t>|||</w:t>
            </w:r>
            <w:r w:rsidRPr="00665FA1">
              <w:rPr>
                <w:color w:val="000000"/>
                <w:spacing w:val="3"/>
                <w:fitText w:val="350" w:id="-1236598010"/>
                <w14:textFill>
                  <w14:solidFill>
                    <w14:srgbClr w14:val="000000">
                      <w14:alpha w14:val="100000"/>
                    </w14:srgbClr>
                  </w14:solidFill>
                </w14:textFill>
              </w:rPr>
              <w:t>|</w:t>
            </w:r>
          </w:p>
        </w:tc>
        <w:tc>
          <w:tcPr>
            <w:tcW w:w="1148" w:type="dxa"/>
          </w:tcPr>
          <w:p w14:paraId="1A14D4CF" w14:textId="77777777" w:rsidR="00930BA4" w:rsidRPr="00806B36" w:rsidRDefault="00930BA4" w:rsidP="001B0371">
            <w:pPr>
              <w:pStyle w:val="COMTabletext"/>
              <w:keepLines/>
              <w:widowControl w:val="0"/>
              <w:jc w:val="center"/>
            </w:pPr>
            <w:r w:rsidRPr="00806B36">
              <w:t>0.1379</w:t>
            </w:r>
          </w:p>
        </w:tc>
        <w:tc>
          <w:tcPr>
            <w:tcW w:w="1147" w:type="dxa"/>
          </w:tcPr>
          <w:p w14:paraId="2C34DA59" w14:textId="27C8182C" w:rsidR="00930BA4" w:rsidRPr="00555C97" w:rsidRDefault="008537BB" w:rsidP="001B0371">
            <w:pPr>
              <w:pStyle w:val="COMTabletext"/>
              <w:keepLines/>
              <w:widowControl w:val="0"/>
              <w:jc w:val="center"/>
              <w:rPr>
                <w:highlight w:val="darkGray"/>
              </w:rPr>
            </w:pPr>
            <w:r w:rsidRPr="008537BB">
              <w:rPr>
                <w:color w:val="000000"/>
                <w:spacing w:val="73"/>
                <w:shd w:val="solid" w:color="000000" w:fill="000000"/>
                <w:fitText w:val="391" w:id="-1236598009"/>
                <w14:textFill>
                  <w14:solidFill>
                    <w14:srgbClr w14:val="000000">
                      <w14:alpha w14:val="100000"/>
                    </w14:srgbClr>
                  </w14:solidFill>
                </w14:textFill>
              </w:rPr>
              <w:t>|||</w:t>
            </w:r>
            <w:r w:rsidRPr="008537BB">
              <w:rPr>
                <w:color w:val="000000"/>
                <w:shd w:val="solid" w:color="000000" w:fill="000000"/>
                <w:fitText w:val="391" w:id="-1236598009"/>
                <w14:textFill>
                  <w14:solidFill>
                    <w14:srgbClr w14:val="000000">
                      <w14:alpha w14:val="100000"/>
                    </w14:srgbClr>
                  </w14:solidFill>
                </w14:textFill>
              </w:rPr>
              <w:t>|</w:t>
            </w:r>
            <w:r w:rsidR="00264B33" w:rsidRPr="006F69AD">
              <w:rPr>
                <w:bCs w:val="0"/>
                <w:vertAlign w:val="superscript"/>
              </w:rPr>
              <w:t>1</w:t>
            </w:r>
          </w:p>
        </w:tc>
        <w:tc>
          <w:tcPr>
            <w:tcW w:w="952" w:type="dxa"/>
          </w:tcPr>
          <w:p w14:paraId="02A9574F" w14:textId="77777777" w:rsidR="00930BA4" w:rsidRPr="00806B36" w:rsidRDefault="00930BA4" w:rsidP="001B0371">
            <w:pPr>
              <w:pStyle w:val="COMTabletext"/>
              <w:keepLines/>
              <w:widowControl w:val="0"/>
              <w:jc w:val="center"/>
            </w:pPr>
            <w:r w:rsidRPr="00806B36">
              <w:t>-5%</w:t>
            </w:r>
          </w:p>
        </w:tc>
      </w:tr>
      <w:tr w:rsidR="00930BA4" w:rsidRPr="00806B36" w14:paraId="68222372" w14:textId="77777777" w:rsidTr="008537BB">
        <w:tc>
          <w:tcPr>
            <w:tcW w:w="4603" w:type="dxa"/>
          </w:tcPr>
          <w:p w14:paraId="1F3F2347" w14:textId="77777777" w:rsidR="00930BA4" w:rsidRPr="00806B36" w:rsidRDefault="00930BA4" w:rsidP="001B0371">
            <w:pPr>
              <w:pStyle w:val="COMTabletext"/>
              <w:keepLines/>
              <w:widowControl w:val="0"/>
            </w:pPr>
            <w:r w:rsidRPr="00806B36">
              <w:t>Week 12+ discontinuation rates decreased by 50%</w:t>
            </w:r>
          </w:p>
        </w:tc>
        <w:tc>
          <w:tcPr>
            <w:tcW w:w="1146" w:type="dxa"/>
            <w:shd w:val="solid" w:color="000000" w:fill="000000"/>
          </w:tcPr>
          <w:p w14:paraId="5439300F" w14:textId="68929C58" w:rsidR="00930BA4" w:rsidRPr="008537BB" w:rsidRDefault="008537BB" w:rsidP="001B0371">
            <w:pPr>
              <w:pStyle w:val="COMTabletext"/>
              <w:keepLines/>
              <w:widowControl w:val="0"/>
              <w:jc w:val="center"/>
            </w:pPr>
            <w:r w:rsidRPr="00665FA1">
              <w:rPr>
                <w:color w:val="000000"/>
                <w:spacing w:val="59"/>
                <w:fitText w:val="350" w:id="-1236598008"/>
                <w14:textFill>
                  <w14:solidFill>
                    <w14:srgbClr w14:val="000000">
                      <w14:alpha w14:val="100000"/>
                    </w14:srgbClr>
                  </w14:solidFill>
                </w14:textFill>
              </w:rPr>
              <w:t>|||</w:t>
            </w:r>
            <w:r w:rsidRPr="00665FA1">
              <w:rPr>
                <w:color w:val="000000"/>
                <w:spacing w:val="3"/>
                <w:fitText w:val="350" w:id="-1236598008"/>
                <w14:textFill>
                  <w14:solidFill>
                    <w14:srgbClr w14:val="000000">
                      <w14:alpha w14:val="100000"/>
                    </w14:srgbClr>
                  </w14:solidFill>
                </w14:textFill>
              </w:rPr>
              <w:t>|</w:t>
            </w:r>
          </w:p>
        </w:tc>
        <w:tc>
          <w:tcPr>
            <w:tcW w:w="1148" w:type="dxa"/>
          </w:tcPr>
          <w:p w14:paraId="30F5A46A" w14:textId="77777777" w:rsidR="00930BA4" w:rsidRPr="00806B36" w:rsidRDefault="00930BA4" w:rsidP="001B0371">
            <w:pPr>
              <w:pStyle w:val="COMTabletext"/>
              <w:keepLines/>
              <w:widowControl w:val="0"/>
              <w:jc w:val="center"/>
            </w:pPr>
            <w:r w:rsidRPr="00806B36">
              <w:t>0.1752</w:t>
            </w:r>
          </w:p>
        </w:tc>
        <w:tc>
          <w:tcPr>
            <w:tcW w:w="1147" w:type="dxa"/>
          </w:tcPr>
          <w:p w14:paraId="5AB13EBD" w14:textId="448A5F7E" w:rsidR="00930BA4" w:rsidRPr="00555C97" w:rsidRDefault="008537BB" w:rsidP="001B0371">
            <w:pPr>
              <w:pStyle w:val="COMTabletext"/>
              <w:keepLines/>
              <w:widowControl w:val="0"/>
              <w:jc w:val="center"/>
              <w:rPr>
                <w:highlight w:val="darkGray"/>
              </w:rPr>
            </w:pPr>
            <w:r w:rsidRPr="008537BB">
              <w:rPr>
                <w:color w:val="000000"/>
                <w:spacing w:val="73"/>
                <w:shd w:val="solid" w:color="000000" w:fill="000000"/>
                <w:fitText w:val="391" w:id="-1236598007"/>
                <w14:textFill>
                  <w14:solidFill>
                    <w14:srgbClr w14:val="000000">
                      <w14:alpha w14:val="100000"/>
                    </w14:srgbClr>
                  </w14:solidFill>
                </w14:textFill>
              </w:rPr>
              <w:t>|||</w:t>
            </w:r>
            <w:r w:rsidRPr="008537BB">
              <w:rPr>
                <w:color w:val="000000"/>
                <w:shd w:val="solid" w:color="000000" w:fill="000000"/>
                <w:fitText w:val="391" w:id="-1236598007"/>
                <w14:textFill>
                  <w14:solidFill>
                    <w14:srgbClr w14:val="000000">
                      <w14:alpha w14:val="100000"/>
                    </w14:srgbClr>
                  </w14:solidFill>
                </w14:textFill>
              </w:rPr>
              <w:t>|</w:t>
            </w:r>
            <w:r w:rsidR="00264B33" w:rsidRPr="006F69AD">
              <w:rPr>
                <w:bCs w:val="0"/>
                <w:vertAlign w:val="superscript"/>
              </w:rPr>
              <w:t>1</w:t>
            </w:r>
          </w:p>
        </w:tc>
        <w:tc>
          <w:tcPr>
            <w:tcW w:w="952" w:type="dxa"/>
          </w:tcPr>
          <w:p w14:paraId="5CC0B665" w14:textId="77777777" w:rsidR="00930BA4" w:rsidRPr="00806B36" w:rsidRDefault="00930BA4" w:rsidP="001B0371">
            <w:pPr>
              <w:pStyle w:val="COMTabletext"/>
              <w:keepLines/>
              <w:widowControl w:val="0"/>
              <w:jc w:val="center"/>
            </w:pPr>
            <w:r w:rsidRPr="00806B36">
              <w:t>6%</w:t>
            </w:r>
          </w:p>
        </w:tc>
      </w:tr>
      <w:tr w:rsidR="00375047" w:rsidRPr="00806B36" w14:paraId="7EEE57E4" w14:textId="77777777" w:rsidTr="00130806">
        <w:tc>
          <w:tcPr>
            <w:tcW w:w="8996" w:type="dxa"/>
            <w:gridSpan w:val="5"/>
          </w:tcPr>
          <w:p w14:paraId="38004F48" w14:textId="77777777" w:rsidR="00375047" w:rsidRPr="00806B36" w:rsidRDefault="00375047" w:rsidP="001B0371">
            <w:pPr>
              <w:pStyle w:val="COMTableheadingrow"/>
              <w:keepLines/>
              <w:rPr>
                <w:lang w:val="en-AU"/>
              </w:rPr>
            </w:pPr>
            <w:r w:rsidRPr="00806B36">
              <w:rPr>
                <w:lang w:val="en-AU"/>
              </w:rPr>
              <w:t>Treatment discontinuations at Week 12 due to inadequate response (base case discontinuations by health state: 7.7% none, 31.1% mild, 67.1% moderate, 89.3% severe)</w:t>
            </w:r>
          </w:p>
        </w:tc>
      </w:tr>
      <w:tr w:rsidR="00375047" w:rsidRPr="00806B36" w14:paraId="707E67BD" w14:textId="77777777" w:rsidTr="008537BB">
        <w:tc>
          <w:tcPr>
            <w:tcW w:w="4603" w:type="dxa"/>
          </w:tcPr>
          <w:p w14:paraId="18AEC4C2" w14:textId="77777777" w:rsidR="00375047" w:rsidRPr="00806B36" w:rsidRDefault="00375047" w:rsidP="001B0371">
            <w:pPr>
              <w:pStyle w:val="COMTabletext"/>
              <w:keepLines/>
            </w:pPr>
            <w:r w:rsidRPr="00806B36">
              <w:t xml:space="preserve">All patients continue difelikefalin treatment </w:t>
            </w:r>
            <w:r w:rsidRPr="00806B36">
              <w:rPr>
                <w:vertAlign w:val="superscript"/>
              </w:rPr>
              <w:t>a</w:t>
            </w:r>
          </w:p>
        </w:tc>
        <w:tc>
          <w:tcPr>
            <w:tcW w:w="1146" w:type="dxa"/>
            <w:tcBorders>
              <w:bottom w:val="single" w:sz="4" w:space="0" w:color="auto"/>
            </w:tcBorders>
            <w:shd w:val="solid" w:color="000000" w:fill="000000"/>
          </w:tcPr>
          <w:p w14:paraId="03BF14EE" w14:textId="1BA0C954" w:rsidR="00375047" w:rsidRPr="008537BB" w:rsidRDefault="008537BB" w:rsidP="001B0371">
            <w:pPr>
              <w:pStyle w:val="COMTabletext"/>
              <w:keepLines/>
              <w:jc w:val="center"/>
            </w:pPr>
            <w:r w:rsidRPr="00665FA1">
              <w:rPr>
                <w:color w:val="000000"/>
                <w:spacing w:val="59"/>
                <w:fitText w:val="350" w:id="-1236598006"/>
                <w14:textFill>
                  <w14:solidFill>
                    <w14:srgbClr w14:val="000000">
                      <w14:alpha w14:val="100000"/>
                    </w14:srgbClr>
                  </w14:solidFill>
                </w14:textFill>
              </w:rPr>
              <w:t>|||</w:t>
            </w:r>
            <w:r w:rsidRPr="00665FA1">
              <w:rPr>
                <w:color w:val="000000"/>
                <w:spacing w:val="3"/>
                <w:fitText w:val="350" w:id="-1236598006"/>
                <w14:textFill>
                  <w14:solidFill>
                    <w14:srgbClr w14:val="000000">
                      <w14:alpha w14:val="100000"/>
                    </w14:srgbClr>
                  </w14:solidFill>
                </w14:textFill>
              </w:rPr>
              <w:t>|</w:t>
            </w:r>
          </w:p>
        </w:tc>
        <w:tc>
          <w:tcPr>
            <w:tcW w:w="1148" w:type="dxa"/>
          </w:tcPr>
          <w:p w14:paraId="5492A8C1" w14:textId="77777777" w:rsidR="00375047" w:rsidRPr="00806B36" w:rsidRDefault="00375047" w:rsidP="001B0371">
            <w:pPr>
              <w:pStyle w:val="COMTabletext"/>
              <w:keepLines/>
              <w:jc w:val="center"/>
            </w:pPr>
            <w:r w:rsidRPr="00806B36">
              <w:t>0.2645</w:t>
            </w:r>
          </w:p>
        </w:tc>
        <w:tc>
          <w:tcPr>
            <w:tcW w:w="1147" w:type="dxa"/>
          </w:tcPr>
          <w:p w14:paraId="1960DA18" w14:textId="4B4B1120"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8005"/>
                <w14:textFill>
                  <w14:solidFill>
                    <w14:srgbClr w14:val="000000">
                      <w14:alpha w14:val="100000"/>
                    </w14:srgbClr>
                  </w14:solidFill>
                </w14:textFill>
              </w:rPr>
              <w:t>|||</w:t>
            </w:r>
            <w:r w:rsidRPr="008537BB">
              <w:rPr>
                <w:color w:val="000000"/>
                <w:shd w:val="solid" w:color="000000" w:fill="000000"/>
                <w:fitText w:val="391" w:id="-1236598005"/>
                <w14:textFill>
                  <w14:solidFill>
                    <w14:srgbClr w14:val="000000">
                      <w14:alpha w14:val="100000"/>
                    </w14:srgbClr>
                  </w14:solidFill>
                </w14:textFill>
              </w:rPr>
              <w:t>|</w:t>
            </w:r>
            <w:r w:rsidR="00264B33" w:rsidRPr="006F69AD">
              <w:rPr>
                <w:bCs w:val="0"/>
                <w:vertAlign w:val="superscript"/>
              </w:rPr>
              <w:t>1</w:t>
            </w:r>
          </w:p>
        </w:tc>
        <w:tc>
          <w:tcPr>
            <w:tcW w:w="952" w:type="dxa"/>
          </w:tcPr>
          <w:p w14:paraId="339B865D" w14:textId="77777777" w:rsidR="00375047" w:rsidRPr="00806B36" w:rsidRDefault="00375047" w:rsidP="001B0371">
            <w:pPr>
              <w:pStyle w:val="COMTabletext"/>
              <w:keepLines/>
              <w:jc w:val="center"/>
            </w:pPr>
            <w:r w:rsidRPr="00806B36">
              <w:t>7%</w:t>
            </w:r>
          </w:p>
        </w:tc>
      </w:tr>
      <w:tr w:rsidR="00375047" w:rsidRPr="00806B36" w14:paraId="2F9144DD" w14:textId="77777777" w:rsidTr="008537BB">
        <w:tc>
          <w:tcPr>
            <w:tcW w:w="4603" w:type="dxa"/>
          </w:tcPr>
          <w:p w14:paraId="3C5EA237" w14:textId="03AD2DCE" w:rsidR="00375047" w:rsidRPr="00806B36" w:rsidRDefault="00375047" w:rsidP="001B0371">
            <w:pPr>
              <w:pStyle w:val="COMTabletext"/>
              <w:keepLines/>
            </w:pPr>
            <w:r w:rsidRPr="00806B36">
              <w:t>No discontinuations from none or mild health states</w:t>
            </w:r>
            <w:r w:rsidR="009F521F" w:rsidRPr="00806B36">
              <w:t>*</w:t>
            </w:r>
          </w:p>
        </w:tc>
        <w:tc>
          <w:tcPr>
            <w:tcW w:w="1146" w:type="dxa"/>
            <w:shd w:val="solid" w:color="000000" w:fill="000000"/>
            <w:vAlign w:val="center"/>
          </w:tcPr>
          <w:p w14:paraId="1581E8D5" w14:textId="3793E542" w:rsidR="00375047" w:rsidRPr="008537BB" w:rsidRDefault="008537BB" w:rsidP="001B0371">
            <w:pPr>
              <w:pStyle w:val="COMTabletext"/>
              <w:keepLines/>
              <w:jc w:val="center"/>
            </w:pPr>
            <w:r w:rsidRPr="00665FA1">
              <w:rPr>
                <w:color w:val="000000"/>
                <w:spacing w:val="59"/>
                <w:fitText w:val="350" w:id="-1236598004"/>
                <w14:textFill>
                  <w14:solidFill>
                    <w14:srgbClr w14:val="000000">
                      <w14:alpha w14:val="100000"/>
                    </w14:srgbClr>
                  </w14:solidFill>
                </w14:textFill>
              </w:rPr>
              <w:t>|||</w:t>
            </w:r>
            <w:r w:rsidRPr="00665FA1">
              <w:rPr>
                <w:color w:val="000000"/>
                <w:spacing w:val="3"/>
                <w:fitText w:val="350" w:id="-1236598004"/>
                <w14:textFill>
                  <w14:solidFill>
                    <w14:srgbClr w14:val="000000">
                      <w14:alpha w14:val="100000"/>
                    </w14:srgbClr>
                  </w14:solidFill>
                </w14:textFill>
              </w:rPr>
              <w:t>|</w:t>
            </w:r>
          </w:p>
        </w:tc>
        <w:tc>
          <w:tcPr>
            <w:tcW w:w="1148" w:type="dxa"/>
            <w:vAlign w:val="center"/>
          </w:tcPr>
          <w:p w14:paraId="33CDE67B" w14:textId="77777777" w:rsidR="00375047" w:rsidRPr="00806B36" w:rsidRDefault="00375047" w:rsidP="001B0371">
            <w:pPr>
              <w:pStyle w:val="COMTabletext"/>
              <w:keepLines/>
              <w:jc w:val="center"/>
            </w:pPr>
            <w:r w:rsidRPr="00806B36">
              <w:t>0.1747</w:t>
            </w:r>
          </w:p>
        </w:tc>
        <w:tc>
          <w:tcPr>
            <w:tcW w:w="1147" w:type="dxa"/>
            <w:vAlign w:val="center"/>
          </w:tcPr>
          <w:p w14:paraId="7D0FD1E0" w14:textId="759F3911"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8003"/>
                <w14:textFill>
                  <w14:solidFill>
                    <w14:srgbClr w14:val="000000">
                      <w14:alpha w14:val="100000"/>
                    </w14:srgbClr>
                  </w14:solidFill>
                </w14:textFill>
              </w:rPr>
              <w:t>|||</w:t>
            </w:r>
            <w:r w:rsidRPr="008537BB">
              <w:rPr>
                <w:color w:val="000000"/>
                <w:shd w:val="solid" w:color="000000" w:fill="000000"/>
                <w:fitText w:val="391" w:id="-1236598003"/>
                <w14:textFill>
                  <w14:solidFill>
                    <w14:srgbClr w14:val="000000">
                      <w14:alpha w14:val="100000"/>
                    </w14:srgbClr>
                  </w14:solidFill>
                </w14:textFill>
              </w:rPr>
              <w:t>|</w:t>
            </w:r>
            <w:r w:rsidR="00264B33" w:rsidRPr="006F69AD">
              <w:rPr>
                <w:bCs w:val="0"/>
                <w:vertAlign w:val="superscript"/>
              </w:rPr>
              <w:t>1</w:t>
            </w:r>
          </w:p>
        </w:tc>
        <w:tc>
          <w:tcPr>
            <w:tcW w:w="952" w:type="dxa"/>
          </w:tcPr>
          <w:p w14:paraId="62F36C5E" w14:textId="77777777" w:rsidR="00375047" w:rsidRPr="00806B36" w:rsidRDefault="00375047" w:rsidP="001B0371">
            <w:pPr>
              <w:pStyle w:val="COMTabletext"/>
              <w:keepLines/>
              <w:jc w:val="center"/>
            </w:pPr>
            <w:r w:rsidRPr="00806B36">
              <w:t>3%</w:t>
            </w:r>
          </w:p>
        </w:tc>
      </w:tr>
      <w:tr w:rsidR="00375047" w:rsidRPr="00806B36" w14:paraId="089BA728" w14:textId="77777777" w:rsidTr="00130806">
        <w:tc>
          <w:tcPr>
            <w:tcW w:w="8996" w:type="dxa"/>
            <w:gridSpan w:val="5"/>
          </w:tcPr>
          <w:p w14:paraId="7FE17D95" w14:textId="77777777" w:rsidR="00375047" w:rsidRPr="00806B36" w:rsidRDefault="00375047" w:rsidP="001B0371">
            <w:pPr>
              <w:pStyle w:val="COMtablefigcaption"/>
              <w:keepLines/>
            </w:pPr>
            <w:r w:rsidRPr="00806B36">
              <w:t xml:space="preserve">Extrapolated transition probabilities Weeks 12+ (base case difelikefalin on-treatment using ‘Week 12-24-36-52-64’ followed by ‘All Week 12-64’ for weeks 64+; BSC based on ‘All Week 12-64 with no improvement’ set) </w:t>
            </w:r>
          </w:p>
        </w:tc>
      </w:tr>
      <w:tr w:rsidR="00375047" w:rsidRPr="00806B36" w14:paraId="0CB514A1" w14:textId="77777777" w:rsidTr="008537BB">
        <w:tc>
          <w:tcPr>
            <w:tcW w:w="4603" w:type="dxa"/>
          </w:tcPr>
          <w:p w14:paraId="56685DE8" w14:textId="77777777" w:rsidR="00375047" w:rsidRPr="00806B36" w:rsidRDefault="00375047" w:rsidP="001B0371">
            <w:pPr>
              <w:pStyle w:val="COMTabletext"/>
              <w:keepLines/>
            </w:pPr>
            <w:r w:rsidRPr="00806B36">
              <w:t>BSC based on ‘Week 0-12’ using 2 timepoints only</w:t>
            </w:r>
          </w:p>
        </w:tc>
        <w:tc>
          <w:tcPr>
            <w:tcW w:w="1146" w:type="dxa"/>
            <w:tcBorders>
              <w:bottom w:val="single" w:sz="4" w:space="0" w:color="auto"/>
            </w:tcBorders>
            <w:shd w:val="solid" w:color="000000" w:fill="000000"/>
            <w:vAlign w:val="center"/>
          </w:tcPr>
          <w:p w14:paraId="7CE765D8" w14:textId="258A7F3D" w:rsidR="00375047" w:rsidRPr="008537BB" w:rsidRDefault="008537BB" w:rsidP="001B0371">
            <w:pPr>
              <w:pStyle w:val="COMTabletext"/>
              <w:keepLines/>
              <w:jc w:val="center"/>
            </w:pPr>
            <w:r w:rsidRPr="00665FA1">
              <w:rPr>
                <w:color w:val="000000"/>
                <w:spacing w:val="59"/>
                <w:fitText w:val="350" w:id="-1236598002"/>
                <w14:textFill>
                  <w14:solidFill>
                    <w14:srgbClr w14:val="000000">
                      <w14:alpha w14:val="100000"/>
                    </w14:srgbClr>
                  </w14:solidFill>
                </w14:textFill>
              </w:rPr>
              <w:t>|||</w:t>
            </w:r>
            <w:r w:rsidRPr="00665FA1">
              <w:rPr>
                <w:color w:val="000000"/>
                <w:spacing w:val="3"/>
                <w:fitText w:val="350" w:id="-1236598002"/>
                <w14:textFill>
                  <w14:solidFill>
                    <w14:srgbClr w14:val="000000">
                      <w14:alpha w14:val="100000"/>
                    </w14:srgbClr>
                  </w14:solidFill>
                </w14:textFill>
              </w:rPr>
              <w:t>|</w:t>
            </w:r>
          </w:p>
        </w:tc>
        <w:tc>
          <w:tcPr>
            <w:tcW w:w="1148" w:type="dxa"/>
            <w:vAlign w:val="center"/>
          </w:tcPr>
          <w:p w14:paraId="543B0422" w14:textId="77777777" w:rsidR="00375047" w:rsidRPr="00806B36" w:rsidRDefault="00375047" w:rsidP="001B0371">
            <w:pPr>
              <w:pStyle w:val="COMTabletext"/>
              <w:keepLines/>
              <w:jc w:val="center"/>
            </w:pPr>
            <w:r w:rsidRPr="00806B36">
              <w:t>0.0737</w:t>
            </w:r>
          </w:p>
        </w:tc>
        <w:tc>
          <w:tcPr>
            <w:tcW w:w="1147" w:type="dxa"/>
            <w:vAlign w:val="center"/>
          </w:tcPr>
          <w:p w14:paraId="771A5F25" w14:textId="5FD2CC28"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8001"/>
                <w14:textFill>
                  <w14:solidFill>
                    <w14:srgbClr w14:val="000000">
                      <w14:alpha w14:val="100000"/>
                    </w14:srgbClr>
                  </w14:solidFill>
                </w14:textFill>
              </w:rPr>
              <w:t>|||</w:t>
            </w:r>
            <w:r w:rsidRPr="008537BB">
              <w:rPr>
                <w:color w:val="000000"/>
                <w:shd w:val="solid" w:color="000000" w:fill="000000"/>
                <w:fitText w:val="391" w:id="-1236598001"/>
                <w14:textFill>
                  <w14:solidFill>
                    <w14:srgbClr w14:val="000000">
                      <w14:alpha w14:val="100000"/>
                    </w14:srgbClr>
                  </w14:solidFill>
                </w14:textFill>
              </w:rPr>
              <w:t>|</w:t>
            </w:r>
            <w:r w:rsidR="00264B33">
              <w:rPr>
                <w:bCs w:val="0"/>
                <w:vertAlign w:val="superscript"/>
              </w:rPr>
              <w:t>5</w:t>
            </w:r>
          </w:p>
        </w:tc>
        <w:tc>
          <w:tcPr>
            <w:tcW w:w="952" w:type="dxa"/>
            <w:vAlign w:val="center"/>
          </w:tcPr>
          <w:p w14:paraId="49C103A1" w14:textId="77777777" w:rsidR="00375047" w:rsidRPr="00806B36" w:rsidRDefault="00375047" w:rsidP="001B0371">
            <w:pPr>
              <w:pStyle w:val="COMTabletext"/>
              <w:keepLines/>
              <w:jc w:val="center"/>
            </w:pPr>
            <w:r w:rsidRPr="00806B36">
              <w:t>110%</w:t>
            </w:r>
          </w:p>
        </w:tc>
      </w:tr>
      <w:tr w:rsidR="00375047" w:rsidRPr="00806B36" w14:paraId="1FCB003F" w14:textId="77777777" w:rsidTr="008537BB">
        <w:tc>
          <w:tcPr>
            <w:tcW w:w="4603" w:type="dxa"/>
          </w:tcPr>
          <w:p w14:paraId="19E50F80" w14:textId="77777777" w:rsidR="00375047" w:rsidRPr="00806B36" w:rsidRDefault="00375047" w:rsidP="001B0371">
            <w:pPr>
              <w:pStyle w:val="COMTabletext"/>
              <w:keepLines/>
            </w:pPr>
            <w:r w:rsidRPr="00806B36">
              <w:t>BSC based on ‘All Week 0-12’ using all available data</w:t>
            </w:r>
          </w:p>
        </w:tc>
        <w:tc>
          <w:tcPr>
            <w:tcW w:w="1146" w:type="dxa"/>
            <w:tcBorders>
              <w:bottom w:val="single" w:sz="4" w:space="0" w:color="auto"/>
            </w:tcBorders>
            <w:shd w:val="solid" w:color="000000" w:fill="000000"/>
            <w:vAlign w:val="center"/>
          </w:tcPr>
          <w:p w14:paraId="03905F05" w14:textId="55FE0F0D" w:rsidR="00375047" w:rsidRPr="008537BB" w:rsidRDefault="008537BB" w:rsidP="001B0371">
            <w:pPr>
              <w:pStyle w:val="COMTabletext"/>
              <w:keepLines/>
              <w:jc w:val="center"/>
            </w:pPr>
            <w:r w:rsidRPr="00665FA1">
              <w:rPr>
                <w:color w:val="000000"/>
                <w:spacing w:val="59"/>
                <w:fitText w:val="350" w:id="-1236597760"/>
                <w14:textFill>
                  <w14:solidFill>
                    <w14:srgbClr w14:val="000000">
                      <w14:alpha w14:val="100000"/>
                    </w14:srgbClr>
                  </w14:solidFill>
                </w14:textFill>
              </w:rPr>
              <w:t>|||</w:t>
            </w:r>
            <w:r w:rsidRPr="00665FA1">
              <w:rPr>
                <w:color w:val="000000"/>
                <w:spacing w:val="3"/>
                <w:fitText w:val="350" w:id="-1236597760"/>
                <w14:textFill>
                  <w14:solidFill>
                    <w14:srgbClr w14:val="000000">
                      <w14:alpha w14:val="100000"/>
                    </w14:srgbClr>
                  </w14:solidFill>
                </w14:textFill>
              </w:rPr>
              <w:t>|</w:t>
            </w:r>
          </w:p>
        </w:tc>
        <w:tc>
          <w:tcPr>
            <w:tcW w:w="1148" w:type="dxa"/>
            <w:vAlign w:val="center"/>
          </w:tcPr>
          <w:p w14:paraId="5499FB29" w14:textId="77777777" w:rsidR="00375047" w:rsidRPr="00806B36" w:rsidRDefault="00375047" w:rsidP="001B0371">
            <w:pPr>
              <w:pStyle w:val="COMTabletext"/>
              <w:keepLines/>
              <w:jc w:val="center"/>
            </w:pPr>
            <w:r w:rsidRPr="00806B36">
              <w:t>0.0569</w:t>
            </w:r>
          </w:p>
        </w:tc>
        <w:tc>
          <w:tcPr>
            <w:tcW w:w="1147" w:type="dxa"/>
            <w:vAlign w:val="center"/>
          </w:tcPr>
          <w:p w14:paraId="32454483" w14:textId="2C7087B7"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7759"/>
                <w14:textFill>
                  <w14:solidFill>
                    <w14:srgbClr w14:val="000000">
                      <w14:alpha w14:val="100000"/>
                    </w14:srgbClr>
                  </w14:solidFill>
                </w14:textFill>
              </w:rPr>
              <w:t>|||</w:t>
            </w:r>
            <w:r w:rsidRPr="008537BB">
              <w:rPr>
                <w:color w:val="000000"/>
                <w:shd w:val="solid" w:color="000000" w:fill="000000"/>
                <w:fitText w:val="391" w:id="-1236597759"/>
                <w14:textFill>
                  <w14:solidFill>
                    <w14:srgbClr w14:val="000000">
                      <w14:alpha w14:val="100000"/>
                    </w14:srgbClr>
                  </w14:solidFill>
                </w14:textFill>
              </w:rPr>
              <w:t>|</w:t>
            </w:r>
            <w:r w:rsidR="00264B33">
              <w:rPr>
                <w:bCs w:val="0"/>
                <w:vertAlign w:val="superscript"/>
              </w:rPr>
              <w:t>3</w:t>
            </w:r>
          </w:p>
        </w:tc>
        <w:tc>
          <w:tcPr>
            <w:tcW w:w="952" w:type="dxa"/>
            <w:vAlign w:val="center"/>
          </w:tcPr>
          <w:p w14:paraId="26622FA8" w14:textId="77777777" w:rsidR="00375047" w:rsidRPr="00806B36" w:rsidRDefault="00375047" w:rsidP="001B0371">
            <w:pPr>
              <w:pStyle w:val="COMTabletext"/>
              <w:keepLines/>
              <w:jc w:val="center"/>
            </w:pPr>
            <w:r w:rsidRPr="00806B36">
              <w:t>173%</w:t>
            </w:r>
          </w:p>
        </w:tc>
      </w:tr>
      <w:tr w:rsidR="00375047" w:rsidRPr="00806B36" w14:paraId="02D01893" w14:textId="77777777" w:rsidTr="008537BB">
        <w:tc>
          <w:tcPr>
            <w:tcW w:w="4603" w:type="dxa"/>
          </w:tcPr>
          <w:p w14:paraId="49D53DEA" w14:textId="25C2F581" w:rsidR="00375047" w:rsidRPr="00806B36" w:rsidRDefault="00375047" w:rsidP="001B0371">
            <w:pPr>
              <w:pStyle w:val="COMTabletext"/>
              <w:keepLines/>
            </w:pPr>
            <w:r w:rsidRPr="00806B36">
              <w:t>Difelikefalin on-treatment and BSC based on ‘Week 0-12’ using 2 timepoints only</w:t>
            </w:r>
            <w:r w:rsidR="009F521F" w:rsidRPr="00806B36">
              <w:t>*</w:t>
            </w:r>
          </w:p>
        </w:tc>
        <w:tc>
          <w:tcPr>
            <w:tcW w:w="1146" w:type="dxa"/>
            <w:tcBorders>
              <w:bottom w:val="single" w:sz="4" w:space="0" w:color="auto"/>
            </w:tcBorders>
            <w:shd w:val="solid" w:color="000000" w:fill="000000"/>
            <w:vAlign w:val="center"/>
          </w:tcPr>
          <w:p w14:paraId="14B5095C" w14:textId="634920BE" w:rsidR="00375047" w:rsidRPr="008537BB" w:rsidRDefault="008537BB" w:rsidP="001B0371">
            <w:pPr>
              <w:pStyle w:val="COMTabletext"/>
              <w:keepLines/>
              <w:jc w:val="center"/>
            </w:pPr>
            <w:r w:rsidRPr="00665FA1">
              <w:rPr>
                <w:color w:val="000000"/>
                <w:spacing w:val="59"/>
                <w:fitText w:val="350" w:id="-1236597758"/>
                <w14:textFill>
                  <w14:solidFill>
                    <w14:srgbClr w14:val="000000">
                      <w14:alpha w14:val="100000"/>
                    </w14:srgbClr>
                  </w14:solidFill>
                </w14:textFill>
              </w:rPr>
              <w:t>|||</w:t>
            </w:r>
            <w:r w:rsidRPr="00665FA1">
              <w:rPr>
                <w:color w:val="000000"/>
                <w:spacing w:val="3"/>
                <w:fitText w:val="350" w:id="-1236597758"/>
                <w14:textFill>
                  <w14:solidFill>
                    <w14:srgbClr w14:val="000000">
                      <w14:alpha w14:val="100000"/>
                    </w14:srgbClr>
                  </w14:solidFill>
                </w14:textFill>
              </w:rPr>
              <w:t>|</w:t>
            </w:r>
          </w:p>
        </w:tc>
        <w:tc>
          <w:tcPr>
            <w:tcW w:w="1148" w:type="dxa"/>
            <w:vAlign w:val="center"/>
          </w:tcPr>
          <w:p w14:paraId="0034CF9D" w14:textId="77777777" w:rsidR="00375047" w:rsidRPr="00806B36" w:rsidRDefault="00375047" w:rsidP="001B0371">
            <w:pPr>
              <w:pStyle w:val="COMTabletext"/>
              <w:keepLines/>
              <w:jc w:val="center"/>
            </w:pPr>
            <w:r w:rsidRPr="00806B36">
              <w:t>0.0326</w:t>
            </w:r>
          </w:p>
        </w:tc>
        <w:tc>
          <w:tcPr>
            <w:tcW w:w="1147" w:type="dxa"/>
            <w:vAlign w:val="center"/>
          </w:tcPr>
          <w:p w14:paraId="050D6E90" w14:textId="34D5F496"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7757"/>
                <w14:textFill>
                  <w14:solidFill>
                    <w14:srgbClr w14:val="000000">
                      <w14:alpha w14:val="100000"/>
                    </w14:srgbClr>
                  </w14:solidFill>
                </w14:textFill>
              </w:rPr>
              <w:t>|||</w:t>
            </w:r>
            <w:r w:rsidRPr="008537BB">
              <w:rPr>
                <w:color w:val="000000"/>
                <w:shd w:val="solid" w:color="000000" w:fill="000000"/>
                <w:fitText w:val="391" w:id="-1236597757"/>
                <w14:textFill>
                  <w14:solidFill>
                    <w14:srgbClr w14:val="000000">
                      <w14:alpha w14:val="100000"/>
                    </w14:srgbClr>
                  </w14:solidFill>
                </w14:textFill>
              </w:rPr>
              <w:t>|</w:t>
            </w:r>
            <w:r w:rsidR="00264B33">
              <w:rPr>
                <w:bCs w:val="0"/>
                <w:vertAlign w:val="superscript"/>
              </w:rPr>
              <w:t>6</w:t>
            </w:r>
          </w:p>
        </w:tc>
        <w:tc>
          <w:tcPr>
            <w:tcW w:w="952" w:type="dxa"/>
            <w:vAlign w:val="center"/>
          </w:tcPr>
          <w:p w14:paraId="6F574A73" w14:textId="77777777" w:rsidR="00375047" w:rsidRPr="00806B36" w:rsidRDefault="00375047" w:rsidP="001B0371">
            <w:pPr>
              <w:pStyle w:val="COMTabletext"/>
              <w:keepLines/>
              <w:jc w:val="center"/>
            </w:pPr>
            <w:r w:rsidRPr="00806B36">
              <w:t>322%</w:t>
            </w:r>
          </w:p>
        </w:tc>
      </w:tr>
      <w:tr w:rsidR="00375047" w:rsidRPr="00806B36" w14:paraId="576ED043" w14:textId="77777777" w:rsidTr="008537BB">
        <w:tc>
          <w:tcPr>
            <w:tcW w:w="4603" w:type="dxa"/>
          </w:tcPr>
          <w:p w14:paraId="044B773A" w14:textId="43511C25" w:rsidR="00375047" w:rsidRPr="00806B36" w:rsidRDefault="00375047" w:rsidP="001B0371">
            <w:pPr>
              <w:pStyle w:val="COMTabletext"/>
              <w:keepLines/>
            </w:pPr>
            <w:r w:rsidRPr="00806B36">
              <w:t>Difelikefalin on-treatment and BSC based on ‘All Week 0-12’ using all available data</w:t>
            </w:r>
            <w:r w:rsidR="009F521F" w:rsidRPr="00806B36">
              <w:t>*</w:t>
            </w:r>
          </w:p>
        </w:tc>
        <w:tc>
          <w:tcPr>
            <w:tcW w:w="1146" w:type="dxa"/>
            <w:tcBorders>
              <w:bottom w:val="single" w:sz="4" w:space="0" w:color="auto"/>
            </w:tcBorders>
            <w:shd w:val="solid" w:color="000000" w:fill="000000"/>
            <w:vAlign w:val="center"/>
          </w:tcPr>
          <w:p w14:paraId="5E29ABE9" w14:textId="256AE261" w:rsidR="00375047" w:rsidRPr="008537BB" w:rsidRDefault="008537BB" w:rsidP="001B0371">
            <w:pPr>
              <w:pStyle w:val="COMTabletext"/>
              <w:keepLines/>
              <w:jc w:val="center"/>
            </w:pPr>
            <w:r w:rsidRPr="00665FA1">
              <w:rPr>
                <w:color w:val="000000"/>
                <w:spacing w:val="59"/>
                <w:fitText w:val="350" w:id="-1236597756"/>
                <w14:textFill>
                  <w14:solidFill>
                    <w14:srgbClr w14:val="000000">
                      <w14:alpha w14:val="100000"/>
                    </w14:srgbClr>
                  </w14:solidFill>
                </w14:textFill>
              </w:rPr>
              <w:t>|||</w:t>
            </w:r>
            <w:r w:rsidRPr="00665FA1">
              <w:rPr>
                <w:color w:val="000000"/>
                <w:spacing w:val="3"/>
                <w:fitText w:val="350" w:id="-1236597756"/>
                <w14:textFill>
                  <w14:solidFill>
                    <w14:srgbClr w14:val="000000">
                      <w14:alpha w14:val="100000"/>
                    </w14:srgbClr>
                  </w14:solidFill>
                </w14:textFill>
              </w:rPr>
              <w:t>|</w:t>
            </w:r>
          </w:p>
        </w:tc>
        <w:tc>
          <w:tcPr>
            <w:tcW w:w="1148" w:type="dxa"/>
            <w:vAlign w:val="center"/>
          </w:tcPr>
          <w:p w14:paraId="7FB4F12F" w14:textId="77777777" w:rsidR="00375047" w:rsidRPr="00806B36" w:rsidRDefault="00375047" w:rsidP="001B0371">
            <w:pPr>
              <w:pStyle w:val="COMTabletext"/>
              <w:keepLines/>
              <w:jc w:val="center"/>
            </w:pPr>
            <w:r w:rsidRPr="00806B36">
              <w:t>0.0323</w:t>
            </w:r>
          </w:p>
        </w:tc>
        <w:tc>
          <w:tcPr>
            <w:tcW w:w="1147" w:type="dxa"/>
            <w:vAlign w:val="center"/>
          </w:tcPr>
          <w:p w14:paraId="5B958A0A" w14:textId="427E4174" w:rsidR="00375047" w:rsidRPr="00555C97" w:rsidRDefault="008537BB" w:rsidP="001B0371">
            <w:pPr>
              <w:pStyle w:val="COMTabletext"/>
              <w:keepLines/>
              <w:jc w:val="center"/>
              <w:rPr>
                <w:b/>
                <w:bCs w:val="0"/>
                <w:highlight w:val="darkGray"/>
              </w:rPr>
            </w:pPr>
            <w:r w:rsidRPr="008537BB">
              <w:rPr>
                <w:color w:val="000000"/>
                <w:spacing w:val="73"/>
                <w:shd w:val="solid" w:color="000000" w:fill="000000"/>
                <w:fitText w:val="391" w:id="-1236597755"/>
                <w14:textFill>
                  <w14:solidFill>
                    <w14:srgbClr w14:val="000000">
                      <w14:alpha w14:val="100000"/>
                    </w14:srgbClr>
                  </w14:solidFill>
                </w14:textFill>
              </w:rPr>
              <w:t>|||</w:t>
            </w:r>
            <w:r w:rsidRPr="008537BB">
              <w:rPr>
                <w:color w:val="000000"/>
                <w:shd w:val="solid" w:color="000000" w:fill="000000"/>
                <w:fitText w:val="391" w:id="-1236597755"/>
                <w14:textFill>
                  <w14:solidFill>
                    <w14:srgbClr w14:val="000000">
                      <w14:alpha w14:val="100000"/>
                    </w14:srgbClr>
                  </w14:solidFill>
                </w14:textFill>
              </w:rPr>
              <w:t>|</w:t>
            </w:r>
            <w:r w:rsidR="00264B33">
              <w:rPr>
                <w:bCs w:val="0"/>
                <w:vertAlign w:val="superscript"/>
              </w:rPr>
              <w:t>6</w:t>
            </w:r>
          </w:p>
        </w:tc>
        <w:tc>
          <w:tcPr>
            <w:tcW w:w="952" w:type="dxa"/>
            <w:vAlign w:val="center"/>
          </w:tcPr>
          <w:p w14:paraId="12DD861D" w14:textId="77777777" w:rsidR="00375047" w:rsidRPr="00806B36" w:rsidRDefault="00375047" w:rsidP="001B0371">
            <w:pPr>
              <w:pStyle w:val="COMTabletext"/>
              <w:keepLines/>
              <w:jc w:val="center"/>
            </w:pPr>
            <w:r w:rsidRPr="00806B36">
              <w:t>382%</w:t>
            </w:r>
          </w:p>
        </w:tc>
      </w:tr>
      <w:tr w:rsidR="00375047" w:rsidRPr="00806B36" w14:paraId="02DA08B7" w14:textId="77777777" w:rsidTr="008537BB">
        <w:tc>
          <w:tcPr>
            <w:tcW w:w="4603" w:type="dxa"/>
          </w:tcPr>
          <w:p w14:paraId="5138905A" w14:textId="77777777" w:rsidR="00375047" w:rsidRPr="00806B36" w:rsidRDefault="00375047" w:rsidP="001B0371">
            <w:pPr>
              <w:pStyle w:val="COMTabletext"/>
              <w:keepLines/>
            </w:pPr>
            <w:r w:rsidRPr="00806B36">
              <w:t>BSC fixed (no improvements or worsening)</w:t>
            </w:r>
          </w:p>
        </w:tc>
        <w:tc>
          <w:tcPr>
            <w:tcW w:w="1146" w:type="dxa"/>
            <w:shd w:val="solid" w:color="000000" w:fill="000000"/>
          </w:tcPr>
          <w:p w14:paraId="0206A9C3" w14:textId="049A29E4" w:rsidR="00375047" w:rsidRPr="008537BB" w:rsidRDefault="008537BB" w:rsidP="001B0371">
            <w:pPr>
              <w:pStyle w:val="COMTabletext"/>
              <w:keepLines/>
              <w:jc w:val="center"/>
            </w:pPr>
            <w:r w:rsidRPr="00665FA1">
              <w:rPr>
                <w:color w:val="000000"/>
                <w:spacing w:val="59"/>
                <w:fitText w:val="350" w:id="-1236597754"/>
                <w14:textFill>
                  <w14:solidFill>
                    <w14:srgbClr w14:val="000000">
                      <w14:alpha w14:val="100000"/>
                    </w14:srgbClr>
                  </w14:solidFill>
                </w14:textFill>
              </w:rPr>
              <w:t>|||</w:t>
            </w:r>
            <w:r w:rsidRPr="00665FA1">
              <w:rPr>
                <w:color w:val="000000"/>
                <w:spacing w:val="3"/>
                <w:fitText w:val="350" w:id="-1236597754"/>
                <w14:textFill>
                  <w14:solidFill>
                    <w14:srgbClr w14:val="000000">
                      <w14:alpha w14:val="100000"/>
                    </w14:srgbClr>
                  </w14:solidFill>
                </w14:textFill>
              </w:rPr>
              <w:t>|</w:t>
            </w:r>
          </w:p>
        </w:tc>
        <w:tc>
          <w:tcPr>
            <w:tcW w:w="1148" w:type="dxa"/>
          </w:tcPr>
          <w:p w14:paraId="54AB41E1" w14:textId="77777777" w:rsidR="00375047" w:rsidRPr="00806B36" w:rsidRDefault="00375047" w:rsidP="001B0371">
            <w:pPr>
              <w:pStyle w:val="COMTabletext"/>
              <w:keepLines/>
              <w:jc w:val="center"/>
            </w:pPr>
            <w:r w:rsidRPr="00806B36">
              <w:t>0.1259</w:t>
            </w:r>
          </w:p>
        </w:tc>
        <w:tc>
          <w:tcPr>
            <w:tcW w:w="1147" w:type="dxa"/>
          </w:tcPr>
          <w:p w14:paraId="490B3CBE" w14:textId="7DB32AA7"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7753"/>
                <w14:textFill>
                  <w14:solidFill>
                    <w14:srgbClr w14:val="000000">
                      <w14:alpha w14:val="100000"/>
                    </w14:srgbClr>
                  </w14:solidFill>
                </w14:textFill>
              </w:rPr>
              <w:t>|||</w:t>
            </w:r>
            <w:r w:rsidRPr="008537BB">
              <w:rPr>
                <w:color w:val="000000"/>
                <w:shd w:val="solid" w:color="000000" w:fill="000000"/>
                <w:fitText w:val="391" w:id="-1236597753"/>
                <w14:textFill>
                  <w14:solidFill>
                    <w14:srgbClr w14:val="000000">
                      <w14:alpha w14:val="100000"/>
                    </w14:srgbClr>
                  </w14:solidFill>
                </w14:textFill>
              </w:rPr>
              <w:t>|</w:t>
            </w:r>
            <w:r w:rsidR="00264B33">
              <w:rPr>
                <w:bCs w:val="0"/>
                <w:vertAlign w:val="superscript"/>
              </w:rPr>
              <w:t>4</w:t>
            </w:r>
          </w:p>
        </w:tc>
        <w:tc>
          <w:tcPr>
            <w:tcW w:w="952" w:type="dxa"/>
            <w:vAlign w:val="center"/>
          </w:tcPr>
          <w:p w14:paraId="4F2613FF" w14:textId="77777777" w:rsidR="00375047" w:rsidRPr="00806B36" w:rsidRDefault="00375047" w:rsidP="001B0371">
            <w:pPr>
              <w:pStyle w:val="COMTabletext"/>
              <w:keepLines/>
              <w:jc w:val="center"/>
            </w:pPr>
            <w:r w:rsidRPr="00806B36">
              <w:t>23%</w:t>
            </w:r>
          </w:p>
        </w:tc>
      </w:tr>
      <w:tr w:rsidR="00375047" w:rsidRPr="00806B36" w14:paraId="31D5011B" w14:textId="77777777" w:rsidTr="00130806">
        <w:tc>
          <w:tcPr>
            <w:tcW w:w="8996" w:type="dxa"/>
            <w:gridSpan w:val="5"/>
          </w:tcPr>
          <w:p w14:paraId="2398A3EA" w14:textId="77777777" w:rsidR="00375047" w:rsidRPr="00806B36" w:rsidRDefault="00375047" w:rsidP="001B0371">
            <w:pPr>
              <w:pStyle w:val="COMTableheadingrow"/>
              <w:keepLines/>
              <w:rPr>
                <w:lang w:val="en-AU"/>
              </w:rPr>
            </w:pPr>
            <w:r w:rsidRPr="00806B36">
              <w:rPr>
                <w:lang w:val="en-AU"/>
              </w:rPr>
              <w:t xml:space="preserve">Health state utilities (base case baseline utility 0.7024 with utility decrements for mild -0.0676, moderate -0.1544 and severe -0.2606) </w:t>
            </w:r>
          </w:p>
        </w:tc>
      </w:tr>
      <w:tr w:rsidR="00375047" w:rsidRPr="00806B36" w14:paraId="1C74A2F1" w14:textId="77777777" w:rsidTr="008537BB">
        <w:tc>
          <w:tcPr>
            <w:tcW w:w="4603" w:type="dxa"/>
          </w:tcPr>
          <w:p w14:paraId="53982C05" w14:textId="77777777" w:rsidR="00375047" w:rsidRPr="00806B36" w:rsidRDefault="00375047" w:rsidP="001B0371">
            <w:pPr>
              <w:pStyle w:val="COMTabletext"/>
              <w:keepLines/>
            </w:pPr>
            <w:r w:rsidRPr="00806B36">
              <w:t>Increase utility decrements by 50%</w:t>
            </w:r>
          </w:p>
        </w:tc>
        <w:tc>
          <w:tcPr>
            <w:tcW w:w="1146" w:type="dxa"/>
            <w:tcBorders>
              <w:bottom w:val="single" w:sz="4" w:space="0" w:color="auto"/>
            </w:tcBorders>
            <w:shd w:val="solid" w:color="000000" w:fill="000000"/>
          </w:tcPr>
          <w:p w14:paraId="0FDD9309" w14:textId="2AE43B7D" w:rsidR="00375047" w:rsidRPr="008537BB" w:rsidRDefault="008537BB" w:rsidP="001B0371">
            <w:pPr>
              <w:pStyle w:val="COMTabletext"/>
              <w:keepLines/>
              <w:jc w:val="center"/>
            </w:pPr>
            <w:r w:rsidRPr="00665FA1">
              <w:rPr>
                <w:color w:val="000000"/>
                <w:spacing w:val="59"/>
                <w:fitText w:val="350" w:id="-1236597752"/>
                <w14:textFill>
                  <w14:solidFill>
                    <w14:srgbClr w14:val="000000">
                      <w14:alpha w14:val="100000"/>
                    </w14:srgbClr>
                  </w14:solidFill>
                </w14:textFill>
              </w:rPr>
              <w:t>|||</w:t>
            </w:r>
            <w:r w:rsidRPr="00665FA1">
              <w:rPr>
                <w:color w:val="000000"/>
                <w:spacing w:val="3"/>
                <w:fitText w:val="350" w:id="-1236597752"/>
                <w14:textFill>
                  <w14:solidFill>
                    <w14:srgbClr w14:val="000000">
                      <w14:alpha w14:val="100000"/>
                    </w14:srgbClr>
                  </w14:solidFill>
                </w14:textFill>
              </w:rPr>
              <w:t>|</w:t>
            </w:r>
          </w:p>
        </w:tc>
        <w:tc>
          <w:tcPr>
            <w:tcW w:w="1148" w:type="dxa"/>
          </w:tcPr>
          <w:p w14:paraId="425E843B" w14:textId="77777777" w:rsidR="00375047" w:rsidRPr="00806B36" w:rsidRDefault="00375047" w:rsidP="001B0371">
            <w:pPr>
              <w:pStyle w:val="COMTabletext"/>
              <w:keepLines/>
              <w:jc w:val="center"/>
            </w:pPr>
            <w:r w:rsidRPr="00806B36">
              <w:t>0.2241</w:t>
            </w:r>
          </w:p>
        </w:tc>
        <w:tc>
          <w:tcPr>
            <w:tcW w:w="1147" w:type="dxa"/>
          </w:tcPr>
          <w:p w14:paraId="3F039B9B" w14:textId="3C517B4A"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7751"/>
                <w14:textFill>
                  <w14:solidFill>
                    <w14:srgbClr w14:val="000000">
                      <w14:alpha w14:val="100000"/>
                    </w14:srgbClr>
                  </w14:solidFill>
                </w14:textFill>
              </w:rPr>
              <w:t>|||</w:t>
            </w:r>
            <w:r w:rsidRPr="008537BB">
              <w:rPr>
                <w:color w:val="000000"/>
                <w:shd w:val="solid" w:color="000000" w:fill="000000"/>
                <w:fitText w:val="391" w:id="-1236597751"/>
                <w14:textFill>
                  <w14:solidFill>
                    <w14:srgbClr w14:val="000000">
                      <w14:alpha w14:val="100000"/>
                    </w14:srgbClr>
                  </w14:solidFill>
                </w14:textFill>
              </w:rPr>
              <w:t>|</w:t>
            </w:r>
            <w:r w:rsidR="00264B33">
              <w:rPr>
                <w:bCs w:val="0"/>
                <w:vertAlign w:val="superscript"/>
              </w:rPr>
              <w:t>7</w:t>
            </w:r>
          </w:p>
        </w:tc>
        <w:tc>
          <w:tcPr>
            <w:tcW w:w="952" w:type="dxa"/>
            <w:vAlign w:val="center"/>
          </w:tcPr>
          <w:p w14:paraId="087570CA" w14:textId="77777777" w:rsidR="00375047" w:rsidRPr="00806B36" w:rsidRDefault="00375047" w:rsidP="001B0371">
            <w:pPr>
              <w:pStyle w:val="COMTabletext"/>
              <w:keepLines/>
              <w:jc w:val="center"/>
            </w:pPr>
            <w:r w:rsidRPr="00806B36">
              <w:t>31%</w:t>
            </w:r>
          </w:p>
        </w:tc>
      </w:tr>
      <w:tr w:rsidR="00375047" w:rsidRPr="00806B36" w14:paraId="4B4F04FE" w14:textId="77777777" w:rsidTr="008537BB">
        <w:tc>
          <w:tcPr>
            <w:tcW w:w="4603" w:type="dxa"/>
          </w:tcPr>
          <w:p w14:paraId="419BBBD0" w14:textId="77777777" w:rsidR="00375047" w:rsidRPr="00806B36" w:rsidRDefault="00375047" w:rsidP="001B0371">
            <w:pPr>
              <w:pStyle w:val="COMTabletext"/>
              <w:keepLines/>
            </w:pPr>
            <w:r w:rsidRPr="00806B36">
              <w:t>Decrease utility decrements by 50%</w:t>
            </w:r>
          </w:p>
        </w:tc>
        <w:tc>
          <w:tcPr>
            <w:tcW w:w="1146" w:type="dxa"/>
            <w:tcBorders>
              <w:bottom w:val="single" w:sz="4" w:space="0" w:color="auto"/>
            </w:tcBorders>
            <w:shd w:val="solid" w:color="000000" w:fill="000000"/>
          </w:tcPr>
          <w:p w14:paraId="0E80E040" w14:textId="6CEB2388" w:rsidR="00375047" w:rsidRPr="008537BB" w:rsidRDefault="008537BB" w:rsidP="001B0371">
            <w:pPr>
              <w:pStyle w:val="COMTabletext"/>
              <w:keepLines/>
              <w:jc w:val="center"/>
            </w:pPr>
            <w:r w:rsidRPr="00665FA1">
              <w:rPr>
                <w:color w:val="000000"/>
                <w:spacing w:val="59"/>
                <w:fitText w:val="350" w:id="-1236597750"/>
                <w14:textFill>
                  <w14:solidFill>
                    <w14:srgbClr w14:val="000000">
                      <w14:alpha w14:val="100000"/>
                    </w14:srgbClr>
                  </w14:solidFill>
                </w14:textFill>
              </w:rPr>
              <w:t>|||</w:t>
            </w:r>
            <w:r w:rsidRPr="00665FA1">
              <w:rPr>
                <w:color w:val="000000"/>
                <w:spacing w:val="3"/>
                <w:fitText w:val="350" w:id="-1236597750"/>
                <w14:textFill>
                  <w14:solidFill>
                    <w14:srgbClr w14:val="000000">
                      <w14:alpha w14:val="100000"/>
                    </w14:srgbClr>
                  </w14:solidFill>
                </w14:textFill>
              </w:rPr>
              <w:t>|</w:t>
            </w:r>
          </w:p>
        </w:tc>
        <w:tc>
          <w:tcPr>
            <w:tcW w:w="1148" w:type="dxa"/>
          </w:tcPr>
          <w:p w14:paraId="0127A7E2" w14:textId="77777777" w:rsidR="00375047" w:rsidRPr="00806B36" w:rsidRDefault="00375047" w:rsidP="001B0371">
            <w:pPr>
              <w:pStyle w:val="COMTabletext"/>
              <w:keepLines/>
              <w:jc w:val="center"/>
            </w:pPr>
            <w:r w:rsidRPr="00806B36">
              <w:t>0.0838</w:t>
            </w:r>
          </w:p>
        </w:tc>
        <w:tc>
          <w:tcPr>
            <w:tcW w:w="1147" w:type="dxa"/>
          </w:tcPr>
          <w:p w14:paraId="69603828" w14:textId="683E25F6"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7749"/>
                <w14:textFill>
                  <w14:solidFill>
                    <w14:srgbClr w14:val="000000">
                      <w14:alpha w14:val="100000"/>
                    </w14:srgbClr>
                  </w14:solidFill>
                </w14:textFill>
              </w:rPr>
              <w:t>|||</w:t>
            </w:r>
            <w:r w:rsidRPr="008537BB">
              <w:rPr>
                <w:color w:val="000000"/>
                <w:shd w:val="solid" w:color="000000" w:fill="000000"/>
                <w:fitText w:val="391" w:id="-1236597749"/>
                <w14:textFill>
                  <w14:solidFill>
                    <w14:srgbClr w14:val="000000">
                      <w14:alpha w14:val="100000"/>
                    </w14:srgbClr>
                  </w14:solidFill>
                </w14:textFill>
              </w:rPr>
              <w:t>|</w:t>
            </w:r>
            <w:r w:rsidR="002E1F15">
              <w:rPr>
                <w:bCs w:val="0"/>
                <w:vertAlign w:val="superscript"/>
              </w:rPr>
              <w:t>8</w:t>
            </w:r>
          </w:p>
        </w:tc>
        <w:tc>
          <w:tcPr>
            <w:tcW w:w="952" w:type="dxa"/>
            <w:vAlign w:val="center"/>
          </w:tcPr>
          <w:p w14:paraId="2B573312" w14:textId="77777777" w:rsidR="00375047" w:rsidRPr="00806B36" w:rsidRDefault="00375047" w:rsidP="001B0371">
            <w:pPr>
              <w:pStyle w:val="COMTabletext"/>
              <w:keepLines/>
              <w:jc w:val="center"/>
            </w:pPr>
            <w:r w:rsidRPr="00806B36">
              <w:t>84%</w:t>
            </w:r>
          </w:p>
        </w:tc>
      </w:tr>
      <w:tr w:rsidR="00375047" w:rsidRPr="00806B36" w14:paraId="541F9F10" w14:textId="77777777" w:rsidTr="008537BB">
        <w:tc>
          <w:tcPr>
            <w:tcW w:w="4603" w:type="dxa"/>
          </w:tcPr>
          <w:p w14:paraId="317F5ABE" w14:textId="19B19FD2" w:rsidR="00375047" w:rsidRPr="00806B36" w:rsidRDefault="00375047" w:rsidP="001B0371">
            <w:pPr>
              <w:pStyle w:val="COMTabletext"/>
              <w:keepLines/>
            </w:pPr>
            <w:r w:rsidRPr="00806B36">
              <w:t>Mapped utilities using KALM trial data (0.6168 none with utility decrements for mild -0.0378, moderate -0.1025 and severe -0.1875)</w:t>
            </w:r>
            <w:r w:rsidR="009F521F" w:rsidRPr="00806B36">
              <w:t>*</w:t>
            </w:r>
          </w:p>
        </w:tc>
        <w:tc>
          <w:tcPr>
            <w:tcW w:w="1146" w:type="dxa"/>
            <w:shd w:val="solid" w:color="000000" w:fill="000000"/>
            <w:vAlign w:val="center"/>
          </w:tcPr>
          <w:p w14:paraId="7DC8F606" w14:textId="663FAB40" w:rsidR="00375047" w:rsidRPr="008537BB" w:rsidRDefault="008537BB" w:rsidP="001B0371">
            <w:pPr>
              <w:pStyle w:val="COMTabletext"/>
              <w:keepLines/>
              <w:jc w:val="center"/>
            </w:pPr>
            <w:r w:rsidRPr="00665FA1">
              <w:rPr>
                <w:color w:val="000000"/>
                <w:spacing w:val="59"/>
                <w:fitText w:val="350" w:id="-1236597748"/>
                <w14:textFill>
                  <w14:solidFill>
                    <w14:srgbClr w14:val="000000">
                      <w14:alpha w14:val="100000"/>
                    </w14:srgbClr>
                  </w14:solidFill>
                </w14:textFill>
              </w:rPr>
              <w:t>|||</w:t>
            </w:r>
            <w:r w:rsidRPr="00665FA1">
              <w:rPr>
                <w:color w:val="000000"/>
                <w:spacing w:val="3"/>
                <w:fitText w:val="350" w:id="-1236597748"/>
                <w14:textFill>
                  <w14:solidFill>
                    <w14:srgbClr w14:val="000000">
                      <w14:alpha w14:val="100000"/>
                    </w14:srgbClr>
                  </w14:solidFill>
                </w14:textFill>
              </w:rPr>
              <w:t>|</w:t>
            </w:r>
          </w:p>
        </w:tc>
        <w:tc>
          <w:tcPr>
            <w:tcW w:w="1148" w:type="dxa"/>
            <w:vAlign w:val="center"/>
          </w:tcPr>
          <w:p w14:paraId="21933D91" w14:textId="77777777" w:rsidR="00375047" w:rsidRPr="00806B36" w:rsidRDefault="00375047" w:rsidP="001B0371">
            <w:pPr>
              <w:pStyle w:val="COMTabletext"/>
              <w:keepLines/>
              <w:jc w:val="center"/>
            </w:pPr>
            <w:r w:rsidRPr="00806B36">
              <w:t>0.1133</w:t>
            </w:r>
          </w:p>
        </w:tc>
        <w:tc>
          <w:tcPr>
            <w:tcW w:w="1147" w:type="dxa"/>
            <w:vAlign w:val="center"/>
          </w:tcPr>
          <w:p w14:paraId="28ADA10B" w14:textId="267CCC6C" w:rsidR="00375047" w:rsidRPr="00555C97" w:rsidRDefault="008537BB" w:rsidP="001B0371">
            <w:pPr>
              <w:pStyle w:val="COMTabletext"/>
              <w:keepLines/>
              <w:jc w:val="center"/>
              <w:rPr>
                <w:highlight w:val="darkGray"/>
              </w:rPr>
            </w:pPr>
            <w:r w:rsidRPr="008537BB">
              <w:rPr>
                <w:color w:val="000000"/>
                <w:spacing w:val="73"/>
                <w:shd w:val="solid" w:color="000000" w:fill="000000"/>
                <w:fitText w:val="391" w:id="-1236597747"/>
                <w14:textFill>
                  <w14:solidFill>
                    <w14:srgbClr w14:val="000000">
                      <w14:alpha w14:val="100000"/>
                    </w14:srgbClr>
                  </w14:solidFill>
                </w14:textFill>
              </w:rPr>
              <w:t>|||</w:t>
            </w:r>
            <w:r w:rsidRPr="008537BB">
              <w:rPr>
                <w:color w:val="000000"/>
                <w:shd w:val="solid" w:color="000000" w:fill="000000"/>
                <w:fitText w:val="391" w:id="-1236597747"/>
                <w14:textFill>
                  <w14:solidFill>
                    <w14:srgbClr w14:val="000000">
                      <w14:alpha w14:val="100000"/>
                    </w14:srgbClr>
                  </w14:solidFill>
                </w14:textFill>
              </w:rPr>
              <w:t>|</w:t>
            </w:r>
            <w:r w:rsidR="002E1F15">
              <w:rPr>
                <w:bCs w:val="0"/>
                <w:vertAlign w:val="superscript"/>
              </w:rPr>
              <w:t>4</w:t>
            </w:r>
          </w:p>
        </w:tc>
        <w:tc>
          <w:tcPr>
            <w:tcW w:w="952" w:type="dxa"/>
            <w:vAlign w:val="center"/>
          </w:tcPr>
          <w:p w14:paraId="2807F3C5" w14:textId="77777777" w:rsidR="00375047" w:rsidRPr="00806B36" w:rsidRDefault="00375047" w:rsidP="001B0371">
            <w:pPr>
              <w:pStyle w:val="COMTabletext"/>
              <w:keepLines/>
              <w:jc w:val="center"/>
            </w:pPr>
            <w:r w:rsidRPr="00806B36">
              <w:t>36%</w:t>
            </w:r>
          </w:p>
        </w:tc>
      </w:tr>
    </w:tbl>
    <w:p w14:paraId="5C260220" w14:textId="77777777" w:rsidR="00375047" w:rsidRPr="00806B36" w:rsidRDefault="00375047" w:rsidP="00375047">
      <w:pPr>
        <w:pStyle w:val="COMTablefooter"/>
      </w:pPr>
      <w:r w:rsidRPr="00806B36">
        <w:t>Source: Table 67, p191 and the difelikefalin economic model of the submission</w:t>
      </w:r>
    </w:p>
    <w:p w14:paraId="392C733F" w14:textId="77777777" w:rsidR="00375047" w:rsidRPr="00806B36" w:rsidRDefault="00375047" w:rsidP="00375047">
      <w:pPr>
        <w:pStyle w:val="COMTablefooter"/>
      </w:pPr>
      <w:r w:rsidRPr="00806B36">
        <w:rPr>
          <w:vertAlign w:val="superscript"/>
        </w:rPr>
        <w:t>a</w:t>
      </w:r>
      <w:r w:rsidRPr="00806B36">
        <w:t xml:space="preserve"> There was an error in the economic model, as transition probabilities for the difelikefalin arm (and linked transitions for BSC) were based on the subgroup of responders only. This was corrected during the evaluation, with transition probabilities based on the ‘ALL’ patient set. </w:t>
      </w:r>
    </w:p>
    <w:p w14:paraId="794E07C2" w14:textId="7E795C5A" w:rsidR="00375047" w:rsidRDefault="009F521F" w:rsidP="00665FA1">
      <w:pPr>
        <w:pStyle w:val="COMTablefooter"/>
        <w:spacing w:after="0"/>
      </w:pPr>
      <w:r w:rsidRPr="003C46FD">
        <w:t>*C</w:t>
      </w:r>
      <w:r w:rsidR="00375047" w:rsidRPr="003C46FD">
        <w:t xml:space="preserve">alculated during the evaluation </w:t>
      </w:r>
    </w:p>
    <w:p w14:paraId="690D3819" w14:textId="77777777" w:rsidR="00264B33" w:rsidRPr="009A6D58" w:rsidRDefault="00264B33" w:rsidP="00264B3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B2E0022" w14:textId="579FF909" w:rsidR="00264B33" w:rsidRPr="009A6D58" w:rsidRDefault="00264B33" w:rsidP="00264B3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64B33">
        <w:rPr>
          <w:rFonts w:ascii="Arial Narrow" w:hAnsi="Arial Narrow"/>
          <w:i/>
          <w:sz w:val="18"/>
          <w:szCs w:val="18"/>
        </w:rPr>
        <w:t>$45,000 to &lt; $55,000</w:t>
      </w:r>
    </w:p>
    <w:p w14:paraId="6EC7E527" w14:textId="63DF29D2" w:rsidR="00264B33" w:rsidRPr="009A6D58" w:rsidRDefault="00264B33" w:rsidP="00264B3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264B33">
        <w:rPr>
          <w:rFonts w:ascii="Arial Narrow" w:hAnsi="Arial Narrow"/>
          <w:i/>
          <w:sz w:val="18"/>
          <w:szCs w:val="18"/>
        </w:rPr>
        <w:t>$255,000 to &lt; $355,000</w:t>
      </w:r>
    </w:p>
    <w:p w14:paraId="05AEE9FB" w14:textId="7E3AB1CE" w:rsidR="00264B33" w:rsidRDefault="00264B33" w:rsidP="00264B3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264B33">
        <w:rPr>
          <w:rFonts w:ascii="Arial Narrow" w:hAnsi="Arial Narrow"/>
          <w:i/>
          <w:sz w:val="18"/>
          <w:szCs w:val="18"/>
        </w:rPr>
        <w:t>$115,000 to &lt; $135,000</w:t>
      </w:r>
    </w:p>
    <w:p w14:paraId="2252E960" w14:textId="302A5C57" w:rsidR="00264B33" w:rsidRDefault="00264B33" w:rsidP="00264B3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264B33">
        <w:rPr>
          <w:rFonts w:ascii="Arial Narrow" w:hAnsi="Arial Narrow"/>
          <w:i/>
          <w:sz w:val="18"/>
          <w:szCs w:val="18"/>
        </w:rPr>
        <w:t>$55,000 to &lt; $75,000</w:t>
      </w:r>
    </w:p>
    <w:p w14:paraId="61CFBB46" w14:textId="7F1502AB" w:rsidR="00264B33" w:rsidRDefault="00264B33" w:rsidP="00264B3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264B33">
        <w:rPr>
          <w:rFonts w:ascii="Arial Narrow" w:hAnsi="Arial Narrow"/>
          <w:i/>
          <w:sz w:val="18"/>
          <w:szCs w:val="18"/>
        </w:rPr>
        <w:t>$95,000 to &lt; $115,000</w:t>
      </w:r>
    </w:p>
    <w:p w14:paraId="79505D7E" w14:textId="431FDBC8" w:rsidR="00264B33" w:rsidRDefault="00264B33" w:rsidP="00264B33">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264B33">
        <w:rPr>
          <w:rFonts w:ascii="Arial Narrow" w:hAnsi="Arial Narrow"/>
          <w:i/>
          <w:sz w:val="18"/>
          <w:szCs w:val="18"/>
        </w:rPr>
        <w:t>$155,000 to &lt; $255,000</w:t>
      </w:r>
    </w:p>
    <w:p w14:paraId="1B1FAEA6" w14:textId="6C046C8A" w:rsidR="00264B33" w:rsidRPr="009A6D58" w:rsidRDefault="00264B33" w:rsidP="00264B33">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264B33">
        <w:rPr>
          <w:rFonts w:ascii="Arial Narrow" w:hAnsi="Arial Narrow"/>
          <w:i/>
          <w:sz w:val="18"/>
          <w:szCs w:val="18"/>
        </w:rPr>
        <w:t>$25,000 to &lt; $35,000</w:t>
      </w:r>
    </w:p>
    <w:p w14:paraId="10D8D26C" w14:textId="47838D10" w:rsidR="00264B33" w:rsidRPr="00555C97" w:rsidRDefault="00264B33" w:rsidP="00665FA1">
      <w:pPr>
        <w:spacing w:after="120"/>
        <w:rPr>
          <w:i/>
          <w:szCs w:val="18"/>
        </w:rPr>
      </w:pPr>
      <w:r>
        <w:rPr>
          <w:rFonts w:ascii="Arial Narrow" w:hAnsi="Arial Narrow"/>
          <w:i/>
          <w:sz w:val="18"/>
          <w:szCs w:val="18"/>
          <w:vertAlign w:val="superscript"/>
        </w:rPr>
        <w:t>8</w:t>
      </w:r>
      <w:r>
        <w:rPr>
          <w:rFonts w:ascii="Arial Narrow" w:hAnsi="Arial Narrow"/>
          <w:i/>
          <w:sz w:val="18"/>
          <w:szCs w:val="18"/>
        </w:rPr>
        <w:t xml:space="preserve"> </w:t>
      </w:r>
      <w:r w:rsidR="002E1F15" w:rsidRPr="002E1F15">
        <w:rPr>
          <w:rFonts w:ascii="Arial Narrow" w:hAnsi="Arial Narrow"/>
          <w:i/>
          <w:sz w:val="18"/>
          <w:szCs w:val="18"/>
        </w:rPr>
        <w:t>$75,000 to &lt; $95,000</w:t>
      </w:r>
    </w:p>
    <w:p w14:paraId="78F37E61" w14:textId="302A5490" w:rsidR="00D00F6C" w:rsidRPr="00806B36" w:rsidRDefault="00D00F6C" w:rsidP="00D00F6C">
      <w:pPr>
        <w:pStyle w:val="COMexecsumnumberedpara"/>
      </w:pPr>
      <w:r w:rsidRPr="00806B36">
        <w:t>The model was most sensitive to the extrapolation beyond 12 weeks and health utility decrements associated with increasing pruritus severity.</w:t>
      </w:r>
    </w:p>
    <w:p w14:paraId="6107A2AA" w14:textId="4BB08750" w:rsidR="00402812" w:rsidRPr="00806B36" w:rsidRDefault="00D00F6C" w:rsidP="00D00F6C">
      <w:pPr>
        <w:pStyle w:val="COMexecsumnumberedpara"/>
      </w:pPr>
      <w:r w:rsidRPr="00806B36">
        <w:t>The submission tested alternative extrapolation methods for best supportive care after 12 weeks. The submission noted that the results were most sensitive to the use of ‘Week 0-12’ data (based on two assessment points only). The submission claimed that the cost-effectiveness results are likely to be a substantial overestimate as this approach does not account for placebo effects captured during the trial that should diminish over time. It may be reasonable to consider attenuating placebo effects over time, however, matching adjustments should also be applied to extrapolated transitions for difelikefalin treated patients.</w:t>
      </w:r>
    </w:p>
    <w:p w14:paraId="763AEC54" w14:textId="4D9D44E7" w:rsidR="00D00F6C" w:rsidRPr="00806B36" w:rsidRDefault="00D00F6C" w:rsidP="00D00F6C">
      <w:pPr>
        <w:pStyle w:val="COMexecsumnumberedpara"/>
      </w:pPr>
      <w:r w:rsidRPr="00806B36">
        <w:t xml:space="preserve">During the evaluation, additional sensitivity analyses were conducted using alternative transition probabilities based on the use of ‘All Week 0-12’ data from the individual patient analysis (uses all available timepoints) to inform the extrapolation of difelikefalin and best supportive care arms over time (see </w:t>
      </w:r>
      <w:r w:rsidR="00394D22" w:rsidRPr="00806B36">
        <w:fldChar w:fldCharType="begin"/>
      </w:r>
      <w:r w:rsidR="00394D22" w:rsidRPr="00806B36">
        <w:instrText xml:space="preserve"> REF _Ref121730455 \h </w:instrText>
      </w:r>
      <w:r w:rsidR="006831BF" w:rsidRPr="00806B36">
        <w:instrText xml:space="preserve"> \* MERGEFORMAT </w:instrText>
      </w:r>
      <w:r w:rsidR="00394D22" w:rsidRPr="00806B36">
        <w:fldChar w:fldCharType="separate"/>
      </w:r>
      <w:r w:rsidR="00487C7F" w:rsidRPr="00806B36">
        <w:t xml:space="preserve">Table </w:t>
      </w:r>
      <w:r w:rsidR="00487C7F">
        <w:t>10</w:t>
      </w:r>
      <w:r w:rsidR="00394D22" w:rsidRPr="00806B36">
        <w:fldChar w:fldCharType="end"/>
      </w:r>
      <w:r w:rsidR="00394D22" w:rsidRPr="00806B36">
        <w:t xml:space="preserve"> above)</w:t>
      </w:r>
      <w:r w:rsidRPr="00806B36">
        <w:t>.</w:t>
      </w:r>
      <w:r w:rsidR="00394D22" w:rsidRPr="00806B36">
        <w:t xml:space="preserve"> </w:t>
      </w:r>
      <w:r w:rsidR="00656F20" w:rsidRPr="00806B36">
        <w:t xml:space="preserve">A plot of mean change in 5-D Itch over time </w:t>
      </w:r>
      <w:r w:rsidR="006831BF" w:rsidRPr="00806B36">
        <w:t xml:space="preserve">is presented in </w:t>
      </w:r>
      <w:r w:rsidR="006831BF" w:rsidRPr="00806B36">
        <w:fldChar w:fldCharType="begin"/>
      </w:r>
      <w:r w:rsidR="006831BF" w:rsidRPr="00806B36">
        <w:instrText xml:space="preserve"> REF _Ref121730653 \h  \* MERGEFORMAT </w:instrText>
      </w:r>
      <w:r w:rsidR="006831BF" w:rsidRPr="00806B36">
        <w:fldChar w:fldCharType="separate"/>
      </w:r>
      <w:r w:rsidR="00487C7F" w:rsidRPr="00806B36">
        <w:t xml:space="preserve">Figure </w:t>
      </w:r>
      <w:r w:rsidR="00487C7F">
        <w:t>4</w:t>
      </w:r>
      <w:r w:rsidR="006831BF" w:rsidRPr="00806B36">
        <w:fldChar w:fldCharType="end"/>
      </w:r>
      <w:r w:rsidR="006831BF" w:rsidRPr="00806B36">
        <w:t>.</w:t>
      </w:r>
    </w:p>
    <w:p w14:paraId="3C2DECE3" w14:textId="293C7BD9" w:rsidR="006831BF" w:rsidRDefault="006831BF" w:rsidP="006831BF">
      <w:pPr>
        <w:pStyle w:val="Caption"/>
      </w:pPr>
      <w:bookmarkStart w:id="58" w:name="_Ref121730653"/>
      <w:r w:rsidRPr="00806B36">
        <w:t xml:space="preserve">Figure </w:t>
      </w:r>
      <w:r w:rsidR="00487C7F">
        <w:fldChar w:fldCharType="begin"/>
      </w:r>
      <w:r w:rsidR="00487C7F">
        <w:instrText xml:space="preserve"> SEQ Figure \* ARABIC </w:instrText>
      </w:r>
      <w:r w:rsidR="00487C7F">
        <w:fldChar w:fldCharType="separate"/>
      </w:r>
      <w:r w:rsidR="00487C7F">
        <w:rPr>
          <w:noProof/>
        </w:rPr>
        <w:t>4</w:t>
      </w:r>
      <w:r w:rsidR="00487C7F">
        <w:rPr>
          <w:noProof/>
        </w:rPr>
        <w:fldChar w:fldCharType="end"/>
      </w:r>
      <w:bookmarkEnd w:id="58"/>
      <w:r w:rsidRPr="00806B36">
        <w:t>: Modelled outcomes based on sensitivity analysis, with difelikefalin on-treatment and BSC transition probabilities based on ‘All Week 0-12’ set from Week 12 onwards</w:t>
      </w:r>
    </w:p>
    <w:p w14:paraId="24ABCBE1" w14:textId="6F0ABCEA" w:rsidR="00E2641F" w:rsidRPr="00E2641F" w:rsidRDefault="00E2641F" w:rsidP="00E2641F">
      <w:r w:rsidRPr="008537BB">
        <w:rPr>
          <w:noProof/>
        </w:rPr>
        <w:drawing>
          <wp:inline distT="0" distB="0" distL="0" distR="0" wp14:anchorId="09FE3DAB" wp14:editId="799088E2">
            <wp:extent cx="5712460" cy="3548380"/>
            <wp:effectExtent l="0" t="0" r="2540" b="0"/>
            <wp:docPr id="29" name="Picture 29" descr="Figure 4: Modelled outcomes based on sensitivity analysis, with difelikefalin on-treatment and BSC transition probabilities based on ‘All Week 0-12’ set from Week 12 o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4: Modelled outcomes based on sensitivity analysis, with difelikefalin on-treatment and BSC transition probabilities based on ‘All Week 0-12’ set from Week 12 onwar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3548380"/>
                    </a:xfrm>
                    <a:prstGeom prst="rect">
                      <a:avLst/>
                    </a:prstGeom>
                    <a:noFill/>
                  </pic:spPr>
                </pic:pic>
              </a:graphicData>
            </a:graphic>
          </wp:inline>
        </w:drawing>
      </w:r>
    </w:p>
    <w:p w14:paraId="6ED73342" w14:textId="77777777" w:rsidR="00D00F6C" w:rsidRPr="00806B36" w:rsidRDefault="00D00F6C" w:rsidP="00D00F6C">
      <w:pPr>
        <w:pStyle w:val="COMTablefooter"/>
      </w:pPr>
      <w:r w:rsidRPr="00806B36">
        <w:t>Source: constructed during the evaluation using the difelikefalin economic model of the submission</w:t>
      </w:r>
    </w:p>
    <w:p w14:paraId="50D6681B" w14:textId="77777777" w:rsidR="00D00F6C" w:rsidRPr="00806B36" w:rsidRDefault="00D00F6C" w:rsidP="00D00F6C">
      <w:pPr>
        <w:pStyle w:val="COMTablefooter"/>
      </w:pPr>
      <w:r w:rsidRPr="00806B36">
        <w:t>Abbreviations: BSC, best supportive care; DFK, difelikefalin</w:t>
      </w:r>
    </w:p>
    <w:p w14:paraId="001632AC" w14:textId="1BC2BDAA" w:rsidR="00D00F6C" w:rsidRPr="00806B36" w:rsidRDefault="00D00F6C" w:rsidP="00D00F6C">
      <w:pPr>
        <w:pStyle w:val="COMexecsumnumberedpara"/>
      </w:pPr>
      <w:r w:rsidRPr="00806B36">
        <w:t>The graphs illustrate the impact of removing placebo effect adjustments to the best supportive care arm and removing additional improvements to patients on difelikefalin treatment after 12 weeks. Removal of these assumptions resulted in decreased incremental benefits with convergence between mean change in scores over time. This may be more reflective of expected outcomes given the majority of patients had discontinued difelikefalin treatment after 12 weeks.</w:t>
      </w:r>
    </w:p>
    <w:p w14:paraId="6C9C5D7A" w14:textId="5BAB94F2" w:rsidR="00D00F6C" w:rsidRPr="00806B36" w:rsidRDefault="00D00F6C" w:rsidP="00D00F6C">
      <w:pPr>
        <w:pStyle w:val="COMexecsumnumberedpara"/>
      </w:pPr>
      <w:r w:rsidRPr="00806B36">
        <w:t>Modelled mortality benefits were inadequately justified in the submission. However, the impact of mortality was minimal given the time horizon of 5 years.</w:t>
      </w:r>
    </w:p>
    <w:p w14:paraId="607DE9B2" w14:textId="51CCF2B6" w:rsidR="00D00F6C" w:rsidRPr="00806B36" w:rsidRDefault="00D00F6C" w:rsidP="00D00F6C">
      <w:pPr>
        <w:pStyle w:val="COMexecsumnumberedpara"/>
      </w:pPr>
      <w:r w:rsidRPr="00806B36">
        <w:t>The use of alternative treatment discontinuation rates had minimal impact on the cost-effectiveness analysis. However, the use of lower discontinuation rates resulted in unexpectedly higher ICER per QALY estimates. This is likely due to the assumption that patients who discontinue difelikefalin would largely maintain treatment benefit without ongoing treatment costs.</w:t>
      </w:r>
    </w:p>
    <w:p w14:paraId="3E8815DF" w14:textId="4314A095" w:rsidR="00D00F6C" w:rsidRPr="00806B36" w:rsidRDefault="00D00F6C" w:rsidP="00D00F6C">
      <w:pPr>
        <w:pStyle w:val="COMexecsumnumberedpara"/>
      </w:pPr>
      <w:r w:rsidRPr="00806B36">
        <w:t>The exclusion of the stopping rule due to inadequate treatment response had minimal impact on cost-effectiveness results. The incremental cost increased as more patients continued on difelikefalin treatment, however, there were also corresponding gains in incremental benefit compared to best supportive care.</w:t>
      </w:r>
    </w:p>
    <w:p w14:paraId="03DA32B8" w14:textId="445A5F2E" w:rsidR="0087513E" w:rsidRPr="00806B36" w:rsidRDefault="0087513E" w:rsidP="00D00F6C">
      <w:pPr>
        <w:pStyle w:val="COMexecsumnumberedpara"/>
      </w:pPr>
      <w:bookmarkStart w:id="59" w:name="_Ref126766738"/>
      <w:bookmarkStart w:id="60" w:name="_Ref130817448"/>
      <w:r w:rsidRPr="00806B36">
        <w:t>The ESC considered</w:t>
      </w:r>
      <w:r w:rsidR="00E647C4" w:rsidRPr="00806B36">
        <w:t xml:space="preserve"> that, while the derivation of utilities remained a key source of uncertainty, if these </w:t>
      </w:r>
      <w:r w:rsidR="00A5088D" w:rsidRPr="00806B36">
        <w:t>we</w:t>
      </w:r>
      <w:r w:rsidR="00E647C4" w:rsidRPr="00806B36">
        <w:t xml:space="preserve">re accepted a revised base case model should remove the adjustments for placebo responses from the </w:t>
      </w:r>
      <w:r w:rsidR="00780598" w:rsidRPr="00806B36">
        <w:t>best supportive care</w:t>
      </w:r>
      <w:r w:rsidR="00E647C4" w:rsidRPr="00806B36">
        <w:t xml:space="preserve"> arm</w:t>
      </w:r>
      <w:r w:rsidR="00A5088D" w:rsidRPr="00806B36">
        <w:t xml:space="preserve">. </w:t>
      </w:r>
      <w:r w:rsidR="00780598" w:rsidRPr="00806B36">
        <w:t xml:space="preserve">The ESC noted that removing the adjustments for placebo responses </w:t>
      </w:r>
      <w:r w:rsidR="009F521F" w:rsidRPr="00806B36">
        <w:t>(</w:t>
      </w:r>
      <w:r w:rsidR="0068438A" w:rsidRPr="00806B36">
        <w:t xml:space="preserve">i.e. by </w:t>
      </w:r>
      <w:r w:rsidR="00780598" w:rsidRPr="00806B36">
        <w:t>basing extrapolated transition probabilities for best supportive care on ‘Week 0-12’ using 2 timepoints</w:t>
      </w:r>
      <w:r w:rsidR="009F521F" w:rsidRPr="00806B36">
        <w:t>)</w:t>
      </w:r>
      <w:r w:rsidR="00780598" w:rsidRPr="00806B36">
        <w:t xml:space="preserve"> increased the ICER from </w:t>
      </w:r>
      <w:r w:rsidR="002E1F15" w:rsidRPr="002E1F15">
        <w:t>$45,000 to &lt;</w:t>
      </w:r>
      <w:r w:rsidR="003B7199">
        <w:t> </w:t>
      </w:r>
      <w:r w:rsidR="002E1F15" w:rsidRPr="002E1F15">
        <w:t>$55,000</w:t>
      </w:r>
      <w:r w:rsidR="003B7199">
        <w:t xml:space="preserve"> </w:t>
      </w:r>
      <w:r w:rsidR="00780598" w:rsidRPr="00806B36">
        <w:t xml:space="preserve">per QALY gained to </w:t>
      </w:r>
      <w:r w:rsidR="002E1F15" w:rsidRPr="002E1F15">
        <w:t>$95,000 to &lt;</w:t>
      </w:r>
      <w:r w:rsidR="003B7199">
        <w:t> </w:t>
      </w:r>
      <w:r w:rsidR="002E1F15" w:rsidRPr="002E1F15">
        <w:t xml:space="preserve">$115,000 </w:t>
      </w:r>
      <w:r w:rsidR="00780598" w:rsidRPr="00806B36">
        <w:t>per QALY gained</w:t>
      </w:r>
      <w:r w:rsidR="00E647C4" w:rsidRPr="00806B36">
        <w:t xml:space="preserve">. In addition, the ESC </w:t>
      </w:r>
      <w:r w:rsidR="00494FC7" w:rsidRPr="00806B36">
        <w:t>considered that</w:t>
      </w:r>
      <w:r w:rsidR="00921514" w:rsidRPr="00806B36">
        <w:t xml:space="preserve"> </w:t>
      </w:r>
      <w:r w:rsidR="00E647C4" w:rsidRPr="00806B36">
        <w:t xml:space="preserve">costs and </w:t>
      </w:r>
      <w:r w:rsidR="009F521F" w:rsidRPr="00806B36">
        <w:t>disutilities</w:t>
      </w:r>
      <w:r w:rsidR="00E647C4" w:rsidRPr="00806B36">
        <w:t xml:space="preserve"> for adverse events</w:t>
      </w:r>
      <w:r w:rsidR="00921514" w:rsidRPr="00806B36">
        <w:t xml:space="preserve"> </w:t>
      </w:r>
      <w:r w:rsidR="00494FC7" w:rsidRPr="00806B36">
        <w:t xml:space="preserve">should be included </w:t>
      </w:r>
      <w:r w:rsidR="00921514" w:rsidRPr="00806B36">
        <w:t>in any revised model</w:t>
      </w:r>
      <w:r w:rsidR="00873E14" w:rsidRPr="00806B36">
        <w:t xml:space="preserve"> (see paragraph </w:t>
      </w:r>
      <w:r w:rsidR="00D61268" w:rsidRPr="00806B36">
        <w:fldChar w:fldCharType="begin"/>
      </w:r>
      <w:r w:rsidR="00D61268" w:rsidRPr="00806B36">
        <w:instrText xml:space="preserve"> REF _Ref127443309 \r \h </w:instrText>
      </w:r>
      <w:r w:rsidR="003C4315" w:rsidRPr="00806B36">
        <w:instrText xml:space="preserve"> \* MERGEFORMAT </w:instrText>
      </w:r>
      <w:r w:rsidR="00D61268" w:rsidRPr="00806B36">
        <w:fldChar w:fldCharType="separate"/>
      </w:r>
      <w:r w:rsidR="00487C7F">
        <w:t>6.85</w:t>
      </w:r>
      <w:r w:rsidR="00D61268" w:rsidRPr="00806B36">
        <w:fldChar w:fldCharType="end"/>
      </w:r>
      <w:r w:rsidR="00873E14" w:rsidRPr="00806B36">
        <w:t xml:space="preserve">) and </w:t>
      </w:r>
      <w:bookmarkEnd w:id="59"/>
      <w:r w:rsidR="00873E14" w:rsidRPr="00806B36">
        <w:t xml:space="preserve">patients needing additional vials </w:t>
      </w:r>
      <w:r w:rsidR="00D61268" w:rsidRPr="00806B36">
        <w:t xml:space="preserve">should be accounted for </w:t>
      </w:r>
      <w:r w:rsidR="00873E14" w:rsidRPr="00806B36">
        <w:t xml:space="preserve">given weight-based dosing and </w:t>
      </w:r>
      <w:r w:rsidR="00D61268" w:rsidRPr="00806B36">
        <w:t xml:space="preserve">the </w:t>
      </w:r>
      <w:r w:rsidR="00873E14" w:rsidRPr="00806B36">
        <w:t xml:space="preserve">potential for additional haemodialysis sessions (see paragraph </w:t>
      </w:r>
      <w:r w:rsidR="00D61268" w:rsidRPr="00806B36">
        <w:fldChar w:fldCharType="begin"/>
      </w:r>
      <w:r w:rsidR="00D61268" w:rsidRPr="00806B36">
        <w:instrText xml:space="preserve"> REF _Ref127443260 \r \h </w:instrText>
      </w:r>
      <w:r w:rsidR="003C4315" w:rsidRPr="00806B36">
        <w:instrText xml:space="preserve"> \* MERGEFORMAT </w:instrText>
      </w:r>
      <w:r w:rsidR="00D61268" w:rsidRPr="00806B36">
        <w:fldChar w:fldCharType="separate"/>
      </w:r>
      <w:r w:rsidR="00487C7F">
        <w:t>6.101</w:t>
      </w:r>
      <w:r w:rsidR="00D61268" w:rsidRPr="00806B36">
        <w:fldChar w:fldCharType="end"/>
      </w:r>
      <w:r w:rsidR="00D61268" w:rsidRPr="00806B36">
        <w:t>).</w:t>
      </w:r>
      <w:bookmarkEnd w:id="60"/>
    </w:p>
    <w:p w14:paraId="7334A361" w14:textId="6744FFA8" w:rsidR="007075C0" w:rsidRPr="00806B36" w:rsidRDefault="00812B4A" w:rsidP="00805412">
      <w:pPr>
        <w:pStyle w:val="COMexecsumnumberedpara"/>
        <w:numPr>
          <w:ilvl w:val="1"/>
          <w:numId w:val="5"/>
        </w:numPr>
      </w:pPr>
      <w:bookmarkStart w:id="61" w:name="_Ref131669395"/>
      <w:r w:rsidRPr="00806B36">
        <w:t xml:space="preserve">The </w:t>
      </w:r>
      <w:r w:rsidR="00904C82" w:rsidRPr="00806B36">
        <w:t>p</w:t>
      </w:r>
      <w:r w:rsidRPr="00806B36">
        <w:t xml:space="preserve">re-PBAC </w:t>
      </w:r>
      <w:r w:rsidR="00904C82" w:rsidRPr="00806B36">
        <w:t>r</w:t>
      </w:r>
      <w:r w:rsidRPr="00806B36">
        <w:t>esponse acknowledged the revised base case proposed by the ESC</w:t>
      </w:r>
      <w:r w:rsidR="00904C82" w:rsidRPr="00806B36">
        <w:t xml:space="preserve"> but</w:t>
      </w:r>
      <w:r w:rsidRPr="00806B36">
        <w:t xml:space="preserve"> disagreed with removing the adjustments for placebo responses from the </w:t>
      </w:r>
      <w:r w:rsidR="007C4E6F" w:rsidRPr="00806B36">
        <w:t>best supportive care</w:t>
      </w:r>
      <w:r w:rsidRPr="00806B36">
        <w:t xml:space="preserve"> arm in isolation</w:t>
      </w:r>
      <w:r w:rsidR="00904C82" w:rsidRPr="00806B36">
        <w:t xml:space="preserve">. </w:t>
      </w:r>
      <w:r w:rsidR="00805412" w:rsidRPr="00806B36">
        <w:t xml:space="preserve">While arguing </w:t>
      </w:r>
      <w:r w:rsidR="00904C82" w:rsidRPr="00806B36">
        <w:t xml:space="preserve">that </w:t>
      </w:r>
      <w:r w:rsidRPr="00806B36">
        <w:t xml:space="preserve">costs and disutilities for adverse events were not included in the model as they were </w:t>
      </w:r>
      <w:r w:rsidR="007075C0" w:rsidRPr="00806B36">
        <w:t xml:space="preserve">small in number and low in severity, </w:t>
      </w:r>
      <w:r w:rsidR="00805412" w:rsidRPr="00806B36">
        <w:t xml:space="preserve">the pre-PBAC response </w:t>
      </w:r>
      <w:r w:rsidR="007075C0" w:rsidRPr="00806B36">
        <w:t>accepted</w:t>
      </w:r>
      <w:r w:rsidR="00805412" w:rsidRPr="00806B36">
        <w:t xml:space="preserve"> that</w:t>
      </w:r>
      <w:r w:rsidR="007075C0" w:rsidRPr="00806B36">
        <w:t xml:space="preserve"> these could be included in some manner</w:t>
      </w:r>
      <w:r w:rsidR="00805412" w:rsidRPr="00806B36">
        <w:t>. In addition</w:t>
      </w:r>
      <w:r w:rsidR="007075C0" w:rsidRPr="00806B36">
        <w:t>,</w:t>
      </w:r>
      <w:r w:rsidR="00805412" w:rsidRPr="00806B36">
        <w:t xml:space="preserve"> the pre-PBAC response </w:t>
      </w:r>
      <w:r w:rsidR="007075C0" w:rsidRPr="00806B36">
        <w:t>accepted an adjustment for the need for additional vials due to the weight-based dosing regimen of difelikefalin.</w:t>
      </w:r>
      <w:bookmarkStart w:id="62" w:name="_Ref131080049"/>
      <w:r w:rsidR="00805412" w:rsidRPr="00806B36">
        <w:t xml:space="preserve"> </w:t>
      </w:r>
      <w:r w:rsidR="006A3692" w:rsidRPr="00806B36">
        <w:t>As such, t</w:t>
      </w:r>
      <w:r w:rsidR="007075C0" w:rsidRPr="00806B36">
        <w:t xml:space="preserve">he </w:t>
      </w:r>
      <w:r w:rsidR="00805412" w:rsidRPr="00806B36">
        <w:t>p</w:t>
      </w:r>
      <w:r w:rsidR="007075C0" w:rsidRPr="00806B36">
        <w:t xml:space="preserve">re-PBAC </w:t>
      </w:r>
      <w:r w:rsidR="00805412" w:rsidRPr="00806B36">
        <w:t>r</w:t>
      </w:r>
      <w:r w:rsidR="007075C0" w:rsidRPr="00806B36">
        <w:t xml:space="preserve">esponse </w:t>
      </w:r>
      <w:r w:rsidRPr="00806B36">
        <w:t>presented a revised base case which</w:t>
      </w:r>
      <w:r w:rsidR="003E40CB" w:rsidRPr="00806B36">
        <w:t xml:space="preserve"> included</w:t>
      </w:r>
      <w:r w:rsidR="007075C0" w:rsidRPr="00806B36">
        <w:t>:</w:t>
      </w:r>
      <w:bookmarkEnd w:id="61"/>
      <w:bookmarkEnd w:id="62"/>
    </w:p>
    <w:p w14:paraId="78F2134D" w14:textId="25FE249A" w:rsidR="00B44106" w:rsidRPr="00806B36" w:rsidRDefault="003E40CB" w:rsidP="003B7199">
      <w:pPr>
        <w:pStyle w:val="COMexecsumnumberedpara"/>
        <w:numPr>
          <w:ilvl w:val="0"/>
          <w:numId w:val="26"/>
        </w:numPr>
        <w:ind w:left="1134"/>
      </w:pPr>
      <w:r w:rsidRPr="00806B36">
        <w:t>N</w:t>
      </w:r>
      <w:r w:rsidR="00B44106" w:rsidRPr="00806B36">
        <w:t xml:space="preserve">o health state transitions in either arm of the model after the conclusion of the clinical trial evidence (i.e. </w:t>
      </w:r>
      <w:r w:rsidR="006A3692" w:rsidRPr="00806B36">
        <w:t>a placebo response is kept for the duration of the model, as is a difelikefalin response</w:t>
      </w:r>
      <w:r w:rsidR="00B44106" w:rsidRPr="00806B36">
        <w:t xml:space="preserve">). </w:t>
      </w:r>
    </w:p>
    <w:p w14:paraId="166E8342" w14:textId="69224EC6" w:rsidR="007075C0" w:rsidRPr="00806B36" w:rsidRDefault="003E40CB" w:rsidP="003B7199">
      <w:pPr>
        <w:pStyle w:val="COMexecsumnumberedpara"/>
        <w:numPr>
          <w:ilvl w:val="0"/>
          <w:numId w:val="26"/>
        </w:numPr>
        <w:ind w:left="1134"/>
      </w:pPr>
      <w:r w:rsidRPr="00806B36">
        <w:t>A</w:t>
      </w:r>
      <w:r w:rsidR="007075C0" w:rsidRPr="00806B36">
        <w:t>dverse event costs and disutilities for cardiorespiratory failure</w:t>
      </w:r>
      <w:r w:rsidRPr="00806B36">
        <w:t>.</w:t>
      </w:r>
    </w:p>
    <w:p w14:paraId="12450DC8" w14:textId="094F70F8" w:rsidR="00B44106" w:rsidRPr="00806B36" w:rsidRDefault="003E40CB" w:rsidP="003B7199">
      <w:pPr>
        <w:pStyle w:val="COMexecsumnumberedpara"/>
        <w:numPr>
          <w:ilvl w:val="0"/>
          <w:numId w:val="26"/>
        </w:numPr>
        <w:ind w:left="1134"/>
      </w:pPr>
      <w:r w:rsidRPr="00806B36">
        <w:t xml:space="preserve">An increased number of vials (1.00 to 1.06) to </w:t>
      </w:r>
      <w:r w:rsidR="00B44106" w:rsidRPr="00806B36">
        <w:t>address the issue of increased quantities for patients requiring more than one vial (due to weight based dosing)</w:t>
      </w:r>
      <w:r w:rsidR="002E4AE4" w:rsidRPr="00806B36">
        <w:t>.</w:t>
      </w:r>
    </w:p>
    <w:p w14:paraId="632BC45B" w14:textId="23E76D0D" w:rsidR="00B44106" w:rsidRPr="00806B36" w:rsidRDefault="00B44106" w:rsidP="002E4AE4">
      <w:pPr>
        <w:pStyle w:val="COMexecsumnumberedpara"/>
        <w:numPr>
          <w:ilvl w:val="0"/>
          <w:numId w:val="0"/>
        </w:numPr>
        <w:ind w:left="720"/>
      </w:pPr>
      <w:r w:rsidRPr="00806B36">
        <w:t xml:space="preserve">The </w:t>
      </w:r>
      <w:r w:rsidR="002E4AE4" w:rsidRPr="00806B36">
        <w:t>p</w:t>
      </w:r>
      <w:r w:rsidRPr="00806B36">
        <w:t xml:space="preserve">re-PBAC </w:t>
      </w:r>
      <w:r w:rsidR="002E4AE4" w:rsidRPr="00806B36">
        <w:t>r</w:t>
      </w:r>
      <w:r w:rsidRPr="00806B36">
        <w:t xml:space="preserve">esponse noted the revised base case ICER accounting for these three inputs was </w:t>
      </w:r>
      <w:r w:rsidR="008F7D41" w:rsidRPr="008F7D41">
        <w:t>$55,000 to &lt;</w:t>
      </w:r>
      <w:r w:rsidR="003B7199">
        <w:t> </w:t>
      </w:r>
      <w:r w:rsidR="008F7D41" w:rsidRPr="008F7D41">
        <w:t xml:space="preserve">$75,000 </w:t>
      </w:r>
      <w:r w:rsidRPr="00806B36">
        <w:t>per QALY</w:t>
      </w:r>
      <w:r w:rsidR="002E4AE4" w:rsidRPr="00806B36">
        <w:t xml:space="preserve">. The pre-PBAC response then offered a </w:t>
      </w:r>
      <w:r w:rsidR="008537BB" w:rsidRPr="003B7199">
        <w:rPr>
          <w:color w:val="000000"/>
          <w:w w:val="24"/>
          <w:shd w:val="solid" w:color="000000" w:fill="000000"/>
          <w:fitText w:val="80" w:id="-1236597746"/>
          <w14:textFill>
            <w14:solidFill>
              <w14:srgbClr w14:val="000000">
                <w14:alpha w14:val="100000"/>
              </w14:srgbClr>
            </w14:solidFill>
          </w14:textFill>
        </w:rPr>
        <w:t xml:space="preserve">|  </w:t>
      </w:r>
      <w:r w:rsidR="008537BB" w:rsidRPr="003B7199">
        <w:rPr>
          <w:color w:val="000000"/>
          <w:spacing w:val="1"/>
          <w:w w:val="24"/>
          <w:shd w:val="solid" w:color="000000" w:fill="000000"/>
          <w:fitText w:val="80" w:id="-1236597746"/>
          <w14:textFill>
            <w14:solidFill>
              <w14:srgbClr w14:val="000000">
                <w14:alpha w14:val="100000"/>
              </w14:srgbClr>
            </w14:solidFill>
          </w14:textFill>
        </w:rPr>
        <w:t>|</w:t>
      </w:r>
      <w:r w:rsidR="002E4AE4" w:rsidRPr="00555C97">
        <w:t>% price</w:t>
      </w:r>
      <w:r w:rsidR="002E4AE4" w:rsidRPr="00806B36">
        <w:t xml:space="preserve"> reduction (see paragraph </w:t>
      </w:r>
      <w:r w:rsidR="002E4AE4" w:rsidRPr="00806B36">
        <w:fldChar w:fldCharType="begin"/>
      </w:r>
      <w:r w:rsidR="002E4AE4" w:rsidRPr="00806B36">
        <w:instrText xml:space="preserve"> REF _Ref131591252 \r \h </w:instrText>
      </w:r>
      <w:r w:rsidR="002E4AE4" w:rsidRPr="00806B36">
        <w:fldChar w:fldCharType="separate"/>
      </w:r>
      <w:r w:rsidR="00487C7F">
        <w:t>3.2</w:t>
      </w:r>
      <w:r w:rsidR="002E4AE4" w:rsidRPr="00806B36">
        <w:fldChar w:fldCharType="end"/>
      </w:r>
      <w:r w:rsidR="002E4AE4" w:rsidRPr="00806B36">
        <w:t xml:space="preserve">) to </w:t>
      </w:r>
      <w:r w:rsidRPr="00806B36">
        <w:t xml:space="preserve">maintain the original base case ICER of </w:t>
      </w:r>
      <w:r w:rsidR="002E1F15" w:rsidRPr="002E1F15">
        <w:t>$45,000 to &lt;</w:t>
      </w:r>
      <w:r w:rsidR="003B7199">
        <w:t> </w:t>
      </w:r>
      <w:r w:rsidR="002E1F15" w:rsidRPr="002E1F15">
        <w:t>$55,000</w:t>
      </w:r>
      <w:r w:rsidR="003B7199">
        <w:t xml:space="preserve"> </w:t>
      </w:r>
      <w:r w:rsidRPr="00806B36">
        <w:t>per QALY.</w:t>
      </w:r>
    </w:p>
    <w:p w14:paraId="472842D7" w14:textId="28E13787" w:rsidR="00C25D9C" w:rsidRPr="00806B36" w:rsidRDefault="00C25D9C" w:rsidP="00BB732D">
      <w:pPr>
        <w:pStyle w:val="COMH2-non-numbered"/>
      </w:pPr>
      <w:bookmarkStart w:id="63" w:name="_Toc22897646"/>
      <w:bookmarkStart w:id="64" w:name="_Toc124836725"/>
      <w:r w:rsidRPr="00806B36">
        <w:t>Drug</w:t>
      </w:r>
      <w:r w:rsidR="00BB20E2" w:rsidRPr="00806B36">
        <w:t xml:space="preserve"> </w:t>
      </w:r>
      <w:r w:rsidRPr="00806B36">
        <w:t>cost</w:t>
      </w:r>
      <w:bookmarkEnd w:id="63"/>
      <w:bookmarkEnd w:id="64"/>
    </w:p>
    <w:p w14:paraId="51691BD3" w14:textId="04FB0904" w:rsidR="00494207" w:rsidRPr="00806B36" w:rsidRDefault="008E1F17" w:rsidP="00FD4ED6">
      <w:pPr>
        <w:pStyle w:val="COMtablefigcaption"/>
      </w:pPr>
      <w:bookmarkStart w:id="65" w:name="_Ref104805102"/>
      <w:r w:rsidRPr="00806B36">
        <w:t>Table</w:t>
      </w:r>
      <w:r w:rsidR="00E16AD8" w:rsidRPr="00806B36">
        <w:t xml:space="preserve"> </w:t>
      </w:r>
      <w:r w:rsidR="00487C7F">
        <w:fldChar w:fldCharType="begin"/>
      </w:r>
      <w:r w:rsidR="00487C7F">
        <w:instrText xml:space="preserve"> SEQ Table \* ARABIC </w:instrText>
      </w:r>
      <w:r w:rsidR="00487C7F">
        <w:fldChar w:fldCharType="separate"/>
      </w:r>
      <w:r w:rsidR="00487C7F">
        <w:rPr>
          <w:noProof/>
        </w:rPr>
        <w:t>11</w:t>
      </w:r>
      <w:r w:rsidR="00487C7F">
        <w:rPr>
          <w:noProof/>
        </w:rPr>
        <w:fldChar w:fldCharType="end"/>
      </w:r>
      <w:bookmarkEnd w:id="65"/>
      <w:r w:rsidR="00E16AD8" w:rsidRPr="00806B36">
        <w:t>:</w:t>
      </w:r>
      <w:r w:rsidR="00494207" w:rsidRPr="00806B36">
        <w:t xml:space="preserve"> Drug cost per patient for </w:t>
      </w:r>
      <w:r w:rsidR="0044142A" w:rsidRPr="00806B36">
        <w:t>difelikefalin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1"/>
        <w:gridCol w:w="2438"/>
        <w:gridCol w:w="2299"/>
        <w:gridCol w:w="2299"/>
      </w:tblGrid>
      <w:tr w:rsidR="00316F4B" w:rsidRPr="00806B36" w14:paraId="21AC90BD" w14:textId="77777777" w:rsidTr="00665FA1">
        <w:trPr>
          <w:cantSplit/>
          <w:tblHeader/>
          <w:jc w:val="center"/>
        </w:trPr>
        <w:tc>
          <w:tcPr>
            <w:tcW w:w="1098" w:type="pct"/>
            <w:shd w:val="clear" w:color="auto" w:fill="auto"/>
            <w:vAlign w:val="center"/>
          </w:tcPr>
          <w:p w14:paraId="485D48B1" w14:textId="77777777" w:rsidR="00BF5A9A" w:rsidRPr="00806B36" w:rsidRDefault="00BF5A9A" w:rsidP="00BB732D">
            <w:pPr>
              <w:pStyle w:val="COMTableheadingrow"/>
              <w:jc w:val="center"/>
              <w:rPr>
                <w:lang w:val="en-AU"/>
              </w:rPr>
            </w:pPr>
          </w:p>
        </w:tc>
        <w:tc>
          <w:tcPr>
            <w:tcW w:w="1352" w:type="pct"/>
            <w:shd w:val="clear" w:color="auto" w:fill="auto"/>
            <w:vAlign w:val="center"/>
          </w:tcPr>
          <w:p w14:paraId="3642530E" w14:textId="2254B4C9" w:rsidR="00BF5A9A" w:rsidRPr="00806B36" w:rsidRDefault="001D0345" w:rsidP="00BB732D">
            <w:pPr>
              <w:pStyle w:val="COMTableheadingrow"/>
              <w:jc w:val="center"/>
              <w:rPr>
                <w:lang w:val="en-AU"/>
              </w:rPr>
            </w:pPr>
            <w:r w:rsidRPr="00806B36">
              <w:rPr>
                <w:lang w:val="en-AU"/>
              </w:rPr>
              <w:t>KALM trials</w:t>
            </w:r>
            <w:r w:rsidR="00867637" w:rsidRPr="00806B36">
              <w:rPr>
                <w:lang w:val="en-AU"/>
              </w:rPr>
              <w:t xml:space="preserve"> (12 weeks)</w:t>
            </w:r>
          </w:p>
        </w:tc>
        <w:tc>
          <w:tcPr>
            <w:tcW w:w="1275" w:type="pct"/>
            <w:shd w:val="clear" w:color="auto" w:fill="auto"/>
            <w:vAlign w:val="center"/>
          </w:tcPr>
          <w:p w14:paraId="250CD479" w14:textId="1A26B346" w:rsidR="00BF5A9A" w:rsidRPr="00806B36" w:rsidRDefault="0044142A" w:rsidP="00BB732D">
            <w:pPr>
              <w:pStyle w:val="COMTableheadingrow"/>
              <w:jc w:val="center"/>
              <w:rPr>
                <w:lang w:val="en-AU"/>
              </w:rPr>
            </w:pPr>
            <w:r w:rsidRPr="00806B36">
              <w:rPr>
                <w:lang w:val="en-AU"/>
              </w:rPr>
              <w:t>Econ</w:t>
            </w:r>
            <w:r w:rsidR="00B0185A" w:rsidRPr="00806B36">
              <w:rPr>
                <w:lang w:val="en-AU"/>
              </w:rPr>
              <w:t>omic model</w:t>
            </w:r>
          </w:p>
        </w:tc>
        <w:tc>
          <w:tcPr>
            <w:tcW w:w="1275" w:type="pct"/>
            <w:shd w:val="clear" w:color="auto" w:fill="auto"/>
            <w:vAlign w:val="center"/>
          </w:tcPr>
          <w:p w14:paraId="44C76606" w14:textId="77777777" w:rsidR="00BF5A9A" w:rsidRPr="00806B36" w:rsidRDefault="00BF5A9A" w:rsidP="00BB732D">
            <w:pPr>
              <w:pStyle w:val="COMTableheadingrow"/>
              <w:jc w:val="center"/>
              <w:rPr>
                <w:lang w:val="en-AU"/>
              </w:rPr>
            </w:pPr>
            <w:r w:rsidRPr="00806B36">
              <w:rPr>
                <w:lang w:val="en-AU"/>
              </w:rPr>
              <w:t>Financial estimates</w:t>
            </w:r>
          </w:p>
        </w:tc>
      </w:tr>
      <w:tr w:rsidR="000D0140" w:rsidRPr="00806B36" w14:paraId="682F8192" w14:textId="77777777" w:rsidTr="00665FA1">
        <w:trPr>
          <w:cantSplit/>
          <w:jc w:val="center"/>
        </w:trPr>
        <w:tc>
          <w:tcPr>
            <w:tcW w:w="1098" w:type="pct"/>
            <w:shd w:val="clear" w:color="auto" w:fill="auto"/>
            <w:vAlign w:val="center"/>
          </w:tcPr>
          <w:p w14:paraId="361DC5D7" w14:textId="47E39D58" w:rsidR="000D0140" w:rsidRPr="00806B36" w:rsidRDefault="000D0140" w:rsidP="00D6763F">
            <w:pPr>
              <w:pStyle w:val="COMTabletext"/>
            </w:pPr>
            <w:r w:rsidRPr="00806B36">
              <w:t>Cost of scripts</w:t>
            </w:r>
          </w:p>
        </w:tc>
        <w:tc>
          <w:tcPr>
            <w:tcW w:w="1352" w:type="pct"/>
            <w:shd w:val="clear" w:color="auto" w:fill="auto"/>
            <w:vAlign w:val="center"/>
          </w:tcPr>
          <w:p w14:paraId="2F3B93E3" w14:textId="0218174F" w:rsidR="000D0140" w:rsidRPr="00806B36" w:rsidRDefault="000D0140" w:rsidP="00316F4B">
            <w:pPr>
              <w:pStyle w:val="COMTabletext"/>
              <w:jc w:val="center"/>
            </w:pPr>
            <w:r w:rsidRPr="00806B36">
              <w:t>-</w:t>
            </w:r>
          </w:p>
        </w:tc>
        <w:tc>
          <w:tcPr>
            <w:tcW w:w="1275" w:type="pct"/>
            <w:shd w:val="clear" w:color="auto" w:fill="auto"/>
            <w:vAlign w:val="center"/>
          </w:tcPr>
          <w:p w14:paraId="1BA52995" w14:textId="30DDC188" w:rsidR="000D0140" w:rsidRPr="00806B36" w:rsidRDefault="0036220F" w:rsidP="00316F4B">
            <w:pPr>
              <w:pStyle w:val="COMTabletext"/>
              <w:jc w:val="center"/>
              <w:rPr>
                <w:vertAlign w:val="superscript"/>
              </w:rPr>
            </w:pPr>
            <w:r w:rsidRPr="00806B36">
              <w:t>$</w:t>
            </w:r>
            <w:r w:rsidR="008537BB" w:rsidRPr="008537BB">
              <w:rPr>
                <w:color w:val="000000"/>
                <w:shd w:val="solid" w:color="000000" w:fill="000000"/>
                <w14:textFill>
                  <w14:solidFill>
                    <w14:srgbClr w14:val="000000">
                      <w14:alpha w14:val="100000"/>
                    </w14:srgbClr>
                  </w14:solidFill>
                </w14:textFill>
              </w:rPr>
              <w:t>|</w:t>
            </w:r>
          </w:p>
        </w:tc>
        <w:tc>
          <w:tcPr>
            <w:tcW w:w="1275" w:type="pct"/>
            <w:shd w:val="clear" w:color="auto" w:fill="auto"/>
            <w:vAlign w:val="center"/>
          </w:tcPr>
          <w:p w14:paraId="2A3902DC" w14:textId="08E9A95C" w:rsidR="000D0140" w:rsidRPr="00806B36" w:rsidRDefault="0036220F" w:rsidP="00316F4B">
            <w:pPr>
              <w:pStyle w:val="COMTabletext"/>
              <w:jc w:val="center"/>
              <w:rPr>
                <w:vertAlign w:val="superscript"/>
              </w:rPr>
            </w:pPr>
            <w:r w:rsidRPr="00806B36">
              <w:t>$</w:t>
            </w:r>
            <w:r w:rsidR="008537BB" w:rsidRPr="008537BB">
              <w:rPr>
                <w:color w:val="000000"/>
                <w:shd w:val="solid" w:color="000000" w:fill="000000"/>
                <w14:textFill>
                  <w14:solidFill>
                    <w14:srgbClr w14:val="000000">
                      <w14:alpha w14:val="100000"/>
                    </w14:srgbClr>
                  </w14:solidFill>
                </w14:textFill>
              </w:rPr>
              <w:t>|</w:t>
            </w:r>
          </w:p>
        </w:tc>
      </w:tr>
      <w:tr w:rsidR="00316F4B" w:rsidRPr="00806B36" w14:paraId="745DAF0B" w14:textId="77777777" w:rsidTr="00665FA1">
        <w:trPr>
          <w:cantSplit/>
          <w:jc w:val="center"/>
        </w:trPr>
        <w:tc>
          <w:tcPr>
            <w:tcW w:w="1098" w:type="pct"/>
            <w:shd w:val="clear" w:color="auto" w:fill="auto"/>
            <w:vAlign w:val="center"/>
          </w:tcPr>
          <w:p w14:paraId="743973CE" w14:textId="5F4E78E0" w:rsidR="00BF5A9A" w:rsidRPr="00806B36" w:rsidRDefault="00EE1567" w:rsidP="00D6763F">
            <w:pPr>
              <w:pStyle w:val="COMTabletext"/>
            </w:pPr>
            <w:r w:rsidRPr="00806B36">
              <w:t>Dose regimen</w:t>
            </w:r>
          </w:p>
        </w:tc>
        <w:tc>
          <w:tcPr>
            <w:tcW w:w="1352" w:type="pct"/>
            <w:shd w:val="clear" w:color="auto" w:fill="auto"/>
            <w:vAlign w:val="center"/>
          </w:tcPr>
          <w:p w14:paraId="5B1C9B2C" w14:textId="788BA1C4" w:rsidR="00BF5A9A" w:rsidRPr="00806B36" w:rsidRDefault="00D6763F" w:rsidP="00316F4B">
            <w:pPr>
              <w:pStyle w:val="COMTabletext"/>
              <w:jc w:val="center"/>
            </w:pPr>
            <w:r w:rsidRPr="00806B36">
              <w:t xml:space="preserve">Weight-based </w:t>
            </w:r>
            <w:r w:rsidR="009D1486" w:rsidRPr="00806B36">
              <w:t>dose (0.5</w:t>
            </w:r>
            <w:r w:rsidR="00316F4B" w:rsidRPr="00806B36">
              <w:t> </w:t>
            </w:r>
            <w:r w:rsidR="009D1486" w:rsidRPr="00806B36">
              <w:t>µg/kg</w:t>
            </w:r>
            <w:r w:rsidR="00316F4B" w:rsidRPr="00806B36">
              <w:t>), 3-4 times per week</w:t>
            </w:r>
          </w:p>
        </w:tc>
        <w:tc>
          <w:tcPr>
            <w:tcW w:w="1275" w:type="pct"/>
            <w:shd w:val="clear" w:color="auto" w:fill="auto"/>
            <w:vAlign w:val="center"/>
          </w:tcPr>
          <w:p w14:paraId="7379D234" w14:textId="3BA2D3A6" w:rsidR="00BF5A9A" w:rsidRPr="00806B36" w:rsidRDefault="00EB75D8" w:rsidP="00316F4B">
            <w:pPr>
              <w:pStyle w:val="COMTabletext"/>
              <w:jc w:val="center"/>
            </w:pPr>
            <w:r w:rsidRPr="00806B36">
              <w:t>1 vial (50 µg) 3 times per week</w:t>
            </w:r>
          </w:p>
        </w:tc>
        <w:tc>
          <w:tcPr>
            <w:tcW w:w="1275" w:type="pct"/>
            <w:shd w:val="clear" w:color="auto" w:fill="auto"/>
            <w:vAlign w:val="center"/>
          </w:tcPr>
          <w:p w14:paraId="23821253" w14:textId="5E2ACF21" w:rsidR="00BF5A9A" w:rsidRPr="00806B36" w:rsidRDefault="00EB75D8" w:rsidP="00316F4B">
            <w:pPr>
              <w:pStyle w:val="COMTabletext"/>
              <w:jc w:val="center"/>
            </w:pPr>
            <w:r w:rsidRPr="00806B36">
              <w:t>1 vial (50 µg) 3 times per week</w:t>
            </w:r>
          </w:p>
        </w:tc>
      </w:tr>
      <w:tr w:rsidR="00A246E8" w:rsidRPr="00806B36" w14:paraId="4D06BEF4" w14:textId="77777777" w:rsidTr="00665FA1">
        <w:trPr>
          <w:cantSplit/>
          <w:jc w:val="center"/>
        </w:trPr>
        <w:tc>
          <w:tcPr>
            <w:tcW w:w="1098" w:type="pct"/>
            <w:shd w:val="clear" w:color="auto" w:fill="auto"/>
            <w:vAlign w:val="center"/>
          </w:tcPr>
          <w:p w14:paraId="0121D527" w14:textId="7103CCCA" w:rsidR="00A246E8" w:rsidRPr="00806B36" w:rsidRDefault="00A246E8" w:rsidP="00D6763F">
            <w:pPr>
              <w:pStyle w:val="COMTabletext"/>
            </w:pPr>
            <w:r w:rsidRPr="00806B36">
              <w:t>Adherence</w:t>
            </w:r>
          </w:p>
        </w:tc>
        <w:tc>
          <w:tcPr>
            <w:tcW w:w="1352" w:type="pct"/>
            <w:shd w:val="clear" w:color="auto" w:fill="auto"/>
            <w:vAlign w:val="center"/>
          </w:tcPr>
          <w:p w14:paraId="40C8A381" w14:textId="5FAFD63F" w:rsidR="00A246E8" w:rsidRPr="00806B36" w:rsidRDefault="00B32CD6" w:rsidP="00316F4B">
            <w:pPr>
              <w:pStyle w:val="COMTabletext"/>
              <w:jc w:val="center"/>
            </w:pPr>
            <w:r w:rsidRPr="00806B36">
              <w:t>KALM-1: 94.3%</w:t>
            </w:r>
          </w:p>
          <w:p w14:paraId="09FADAE4" w14:textId="5BDCF381" w:rsidR="00B32CD6" w:rsidRPr="00806B36" w:rsidRDefault="00B32CD6" w:rsidP="00316F4B">
            <w:pPr>
              <w:pStyle w:val="COMTabletext"/>
              <w:jc w:val="center"/>
            </w:pPr>
            <w:r w:rsidRPr="00806B36">
              <w:t xml:space="preserve">KALM-2: </w:t>
            </w:r>
            <w:r w:rsidR="00867637" w:rsidRPr="00806B36">
              <w:t>95.4%</w:t>
            </w:r>
          </w:p>
        </w:tc>
        <w:tc>
          <w:tcPr>
            <w:tcW w:w="1275" w:type="pct"/>
            <w:shd w:val="clear" w:color="auto" w:fill="auto"/>
            <w:vAlign w:val="center"/>
          </w:tcPr>
          <w:p w14:paraId="77AC0643" w14:textId="10C5413E" w:rsidR="00A246E8" w:rsidRPr="00806B36" w:rsidRDefault="00B32CD6" w:rsidP="00316F4B">
            <w:pPr>
              <w:pStyle w:val="COMTabletext"/>
              <w:jc w:val="center"/>
              <w:rPr>
                <w:vertAlign w:val="superscript"/>
              </w:rPr>
            </w:pPr>
            <w:r w:rsidRPr="00806B36">
              <w:t>94.45%</w:t>
            </w:r>
            <w:r w:rsidR="00B13DA8" w:rsidRPr="00806B36">
              <w:t xml:space="preserve"> </w:t>
            </w:r>
            <w:r w:rsidR="00F8559F" w:rsidRPr="00806B36">
              <w:rPr>
                <w:vertAlign w:val="superscript"/>
              </w:rPr>
              <w:t>b</w:t>
            </w:r>
          </w:p>
        </w:tc>
        <w:tc>
          <w:tcPr>
            <w:tcW w:w="1275" w:type="pct"/>
            <w:shd w:val="clear" w:color="auto" w:fill="auto"/>
            <w:vAlign w:val="center"/>
          </w:tcPr>
          <w:p w14:paraId="1D792ED7" w14:textId="7A6495AD" w:rsidR="00A246E8" w:rsidRPr="00806B36" w:rsidRDefault="00B32CD6" w:rsidP="00316F4B">
            <w:pPr>
              <w:pStyle w:val="COMTabletext"/>
              <w:jc w:val="center"/>
              <w:rPr>
                <w:vertAlign w:val="superscript"/>
              </w:rPr>
            </w:pPr>
            <w:r w:rsidRPr="00806B36">
              <w:t>93.5%</w:t>
            </w:r>
            <w:r w:rsidR="00B13DA8" w:rsidRPr="00806B36">
              <w:t xml:space="preserve"> </w:t>
            </w:r>
            <w:r w:rsidR="00F8559F" w:rsidRPr="00806B36">
              <w:rPr>
                <w:vertAlign w:val="superscript"/>
              </w:rPr>
              <w:t>c</w:t>
            </w:r>
          </w:p>
        </w:tc>
      </w:tr>
      <w:tr w:rsidR="00316F4B" w:rsidRPr="00806B36" w14:paraId="0B84FE33" w14:textId="77777777" w:rsidTr="00665FA1">
        <w:trPr>
          <w:cantSplit/>
          <w:jc w:val="center"/>
        </w:trPr>
        <w:tc>
          <w:tcPr>
            <w:tcW w:w="1098" w:type="pct"/>
            <w:shd w:val="clear" w:color="auto" w:fill="auto"/>
            <w:vAlign w:val="center"/>
          </w:tcPr>
          <w:p w14:paraId="49111F6C" w14:textId="15A58D05" w:rsidR="00BF5A9A" w:rsidRPr="00806B36" w:rsidRDefault="00BF5A9A" w:rsidP="00D6763F">
            <w:pPr>
              <w:pStyle w:val="COMTabletext"/>
            </w:pPr>
            <w:r w:rsidRPr="00806B36">
              <w:t xml:space="preserve">Mean </w:t>
            </w:r>
            <w:r w:rsidR="00A246E8" w:rsidRPr="00806B36">
              <w:t>time on treatment</w:t>
            </w:r>
          </w:p>
        </w:tc>
        <w:tc>
          <w:tcPr>
            <w:tcW w:w="1352" w:type="pct"/>
            <w:shd w:val="clear" w:color="auto" w:fill="auto"/>
            <w:vAlign w:val="center"/>
          </w:tcPr>
          <w:p w14:paraId="30EF57C3" w14:textId="393AD7F8" w:rsidR="00BF5A9A" w:rsidRPr="00806B36" w:rsidRDefault="00661351" w:rsidP="00316F4B">
            <w:pPr>
              <w:pStyle w:val="COMTabletext"/>
              <w:jc w:val="center"/>
            </w:pPr>
            <w:r w:rsidRPr="00806B36">
              <w:t>-</w:t>
            </w:r>
          </w:p>
        </w:tc>
        <w:tc>
          <w:tcPr>
            <w:tcW w:w="1275" w:type="pct"/>
            <w:shd w:val="clear" w:color="auto" w:fill="auto"/>
            <w:vAlign w:val="center"/>
          </w:tcPr>
          <w:p w14:paraId="6906B266" w14:textId="7FCF09DA" w:rsidR="00BF5A9A" w:rsidRPr="00806B36" w:rsidRDefault="00661351" w:rsidP="00316F4B">
            <w:pPr>
              <w:pStyle w:val="COMTabletext"/>
              <w:jc w:val="center"/>
              <w:rPr>
                <w:vertAlign w:val="superscript"/>
              </w:rPr>
            </w:pPr>
            <w:r w:rsidRPr="00806B36">
              <w:t>1.16 years</w:t>
            </w:r>
            <w:r w:rsidR="003019A6" w:rsidRPr="00806B36">
              <w:t xml:space="preserve"> over 5-year time horizon</w:t>
            </w:r>
            <w:r w:rsidR="00671089" w:rsidRPr="00806B36">
              <w:t xml:space="preserve"> </w:t>
            </w:r>
            <w:r w:rsidR="00F8559F" w:rsidRPr="00806B36">
              <w:rPr>
                <w:vertAlign w:val="superscript"/>
              </w:rPr>
              <w:t>d</w:t>
            </w:r>
          </w:p>
        </w:tc>
        <w:tc>
          <w:tcPr>
            <w:tcW w:w="1275" w:type="pct"/>
            <w:shd w:val="clear" w:color="auto" w:fill="auto"/>
            <w:vAlign w:val="center"/>
          </w:tcPr>
          <w:p w14:paraId="40F6D5BC" w14:textId="44B9E1B6" w:rsidR="00BF5A9A" w:rsidRPr="00806B36" w:rsidRDefault="003233AB" w:rsidP="00316F4B">
            <w:pPr>
              <w:pStyle w:val="COMTabletext"/>
              <w:jc w:val="center"/>
              <w:rPr>
                <w:vertAlign w:val="superscript"/>
              </w:rPr>
            </w:pPr>
            <w:r w:rsidRPr="00806B36">
              <w:t>1.34</w:t>
            </w:r>
            <w:r w:rsidR="0044514D" w:rsidRPr="00806B36">
              <w:t xml:space="preserve"> </w:t>
            </w:r>
            <w:r w:rsidR="006A72BB" w:rsidRPr="00806B36">
              <w:t>years</w:t>
            </w:r>
            <w:r w:rsidR="002E3EB9" w:rsidRPr="00806B36">
              <w:t xml:space="preserve"> in the first 5 years of treatment</w:t>
            </w:r>
            <w:r w:rsidR="00884730" w:rsidRPr="00806B36">
              <w:t xml:space="preserve"> </w:t>
            </w:r>
            <w:r w:rsidR="00F8559F" w:rsidRPr="00806B36">
              <w:rPr>
                <w:vertAlign w:val="superscript"/>
              </w:rPr>
              <w:t>e</w:t>
            </w:r>
          </w:p>
        </w:tc>
      </w:tr>
    </w:tbl>
    <w:p w14:paraId="717CADAF" w14:textId="31ED6DD7" w:rsidR="00494207" w:rsidRPr="00806B36" w:rsidRDefault="00494207" w:rsidP="00C94053">
      <w:pPr>
        <w:pStyle w:val="COMTablefooter"/>
      </w:pPr>
      <w:r w:rsidRPr="00806B36">
        <w:t xml:space="preserve">Source: </w:t>
      </w:r>
      <w:r w:rsidR="00443636" w:rsidRPr="00806B36">
        <w:t>constructed during the evaluation</w:t>
      </w:r>
    </w:p>
    <w:p w14:paraId="7C9B9A28" w14:textId="16D4AB5D" w:rsidR="00F8559F" w:rsidRPr="00806B36" w:rsidRDefault="00F8559F" w:rsidP="00F8559F">
      <w:pPr>
        <w:pStyle w:val="COMTablefooter"/>
      </w:pPr>
      <w:r w:rsidRPr="00806B36">
        <w:rPr>
          <w:vertAlign w:val="superscript"/>
        </w:rPr>
        <w:t>a</w:t>
      </w:r>
      <w:r w:rsidRPr="00806B36">
        <w:t xml:space="preserve"> </w:t>
      </w:r>
      <w:r w:rsidR="00DC3B1D" w:rsidRPr="00806B36">
        <w:t xml:space="preserve">Based on proposed effective price including fees and mark-ups </w:t>
      </w:r>
    </w:p>
    <w:p w14:paraId="6FCBDFA0" w14:textId="7E816842" w:rsidR="00B13DA8" w:rsidRPr="00806B36" w:rsidRDefault="00F8559F" w:rsidP="00B13DA8">
      <w:pPr>
        <w:pStyle w:val="COMTablefooter"/>
      </w:pPr>
      <w:r w:rsidRPr="00806B36">
        <w:rPr>
          <w:vertAlign w:val="superscript"/>
        </w:rPr>
        <w:t>b</w:t>
      </w:r>
      <w:r w:rsidRPr="00806B36">
        <w:t xml:space="preserve"> </w:t>
      </w:r>
      <w:r w:rsidR="007D1BF4" w:rsidRPr="00806B36">
        <w:t>Calculated as (94.3% + 95.4%)/2</w:t>
      </w:r>
    </w:p>
    <w:p w14:paraId="1AFBDD11" w14:textId="4BC207ED" w:rsidR="007D1BF4" w:rsidRPr="00806B36" w:rsidRDefault="00F8559F" w:rsidP="007D1BF4">
      <w:pPr>
        <w:pStyle w:val="COMTablefooter"/>
      </w:pPr>
      <w:r w:rsidRPr="00806B36">
        <w:rPr>
          <w:vertAlign w:val="superscript"/>
        </w:rPr>
        <w:t>c</w:t>
      </w:r>
      <w:r w:rsidRPr="00806B36">
        <w:t xml:space="preserve"> </w:t>
      </w:r>
      <w:r w:rsidR="0064354A" w:rsidRPr="00806B36">
        <w:t xml:space="preserve">Weighted average based </w:t>
      </w:r>
      <w:r w:rsidR="00206D8C" w:rsidRPr="00806B36">
        <w:t>o</w:t>
      </w:r>
      <w:r w:rsidR="0064354A" w:rsidRPr="00806B36">
        <w:t>n reported adherence in each trial. Calculations not provided in the submission</w:t>
      </w:r>
      <w:r w:rsidR="00443636" w:rsidRPr="00806B36">
        <w:t>.</w:t>
      </w:r>
    </w:p>
    <w:p w14:paraId="037B5C4B" w14:textId="6FA4DD46" w:rsidR="00671089" w:rsidRPr="00806B36" w:rsidRDefault="00F8559F" w:rsidP="00671089">
      <w:pPr>
        <w:pStyle w:val="COMTablefooter"/>
      </w:pPr>
      <w:r w:rsidRPr="00806B36">
        <w:rPr>
          <w:vertAlign w:val="superscript"/>
        </w:rPr>
        <w:t>d</w:t>
      </w:r>
      <w:r w:rsidRPr="00806B36">
        <w:t xml:space="preserve"> </w:t>
      </w:r>
      <w:r w:rsidR="00671089" w:rsidRPr="00806B36">
        <w:t xml:space="preserve">Based on mean years in </w:t>
      </w:r>
      <w:r w:rsidR="00352350" w:rsidRPr="00806B36">
        <w:t>on-treatment health states</w:t>
      </w:r>
      <w:r w:rsidR="00884730" w:rsidRPr="00806B36">
        <w:t xml:space="preserve"> </w:t>
      </w:r>
    </w:p>
    <w:p w14:paraId="3CF156D4" w14:textId="45928ACD" w:rsidR="00884730" w:rsidRPr="00806B36" w:rsidRDefault="00F8559F" w:rsidP="00884730">
      <w:pPr>
        <w:pStyle w:val="COMTablefooter"/>
      </w:pPr>
      <w:r w:rsidRPr="00806B36">
        <w:rPr>
          <w:vertAlign w:val="superscript"/>
        </w:rPr>
        <w:t>e</w:t>
      </w:r>
      <w:r w:rsidRPr="00806B36">
        <w:t xml:space="preserve"> </w:t>
      </w:r>
      <w:r w:rsidR="00BD623A" w:rsidRPr="00806B36">
        <w:t xml:space="preserve">Based on </w:t>
      </w:r>
      <w:r w:rsidR="00C961FE" w:rsidRPr="00C961FE">
        <w:t>500 to &lt; 5,000</w:t>
      </w:r>
      <w:r w:rsidR="00C961FE">
        <w:t xml:space="preserve"> </w:t>
      </w:r>
      <w:r w:rsidR="00BD623A" w:rsidRPr="00806B36">
        <w:t xml:space="preserve">patients initiating treatment in Year 1 and receiving 3 scripts; </w:t>
      </w:r>
      <w:r w:rsidR="00C961FE" w:rsidRPr="00C961FE">
        <w:t>500 to &lt; 5,000</w:t>
      </w:r>
      <w:r w:rsidR="00C961FE">
        <w:t xml:space="preserve"> </w:t>
      </w:r>
      <w:r w:rsidR="00BD623A" w:rsidRPr="00806B36">
        <w:t xml:space="preserve">patients continuing treatment beyond Week 12 and receiving 9.1871 (8.5899 scripts adjusted to remove 93.5% adherence) continuing scripts in Year 1; and </w:t>
      </w:r>
      <w:r w:rsidR="00C961FE" w:rsidRPr="00C961FE">
        <w:t>500 to &lt; 5,000</w:t>
      </w:r>
      <w:r w:rsidR="00C961FE">
        <w:t xml:space="preserve"> and </w:t>
      </w:r>
      <w:r w:rsidR="00C961FE" w:rsidRPr="00C961FE">
        <w:t>&lt; 500</w:t>
      </w:r>
      <w:r w:rsidR="00C961FE">
        <w:t xml:space="preserve"> </w:t>
      </w:r>
      <w:r w:rsidR="00BD623A" w:rsidRPr="00806B36">
        <w:t xml:space="preserve">patients continuing treatment in Years 2-5, respectively, receiving 11.5473 scripts per year (10.7967 scripts adjusted to remove 93.5% adherence). Dividing the </w:t>
      </w:r>
      <w:r w:rsidR="001E4715" w:rsidRPr="001E4715">
        <w:t>50,000 to &lt; 60,000</w:t>
      </w:r>
      <w:r w:rsidR="001E4715">
        <w:t xml:space="preserve"> </w:t>
      </w:r>
      <w:r w:rsidR="00BD623A" w:rsidRPr="00806B36">
        <w:t>scripts by the number of initiating patients (</w:t>
      </w:r>
      <w:r w:rsidR="00C961FE" w:rsidRPr="00C961FE">
        <w:t>500 to &lt; 5,000</w:t>
      </w:r>
      <w:r w:rsidR="00BD623A" w:rsidRPr="00806B36">
        <w:t>), resulted in 17.52 scripts per initiating patient; which was multiplied by 28 days per script and divided by 365.25 days per year to produce an average of 1.34 years of treatment per initiating patient.</w:t>
      </w:r>
    </w:p>
    <w:p w14:paraId="0787A73F" w14:textId="6FB20998" w:rsidR="00AA043A" w:rsidRPr="00806B36" w:rsidRDefault="00AA043A" w:rsidP="002556C6">
      <w:pPr>
        <w:pStyle w:val="COMexecsumnumberedpara"/>
      </w:pPr>
      <w:bookmarkStart w:id="66" w:name="_Hlk107307804"/>
      <w:r w:rsidRPr="00806B36">
        <w:t xml:space="preserve">Drug costs in the economic model and financial estimates were based on </w:t>
      </w:r>
      <w:r w:rsidR="00F31B54" w:rsidRPr="00806B36">
        <w:t xml:space="preserve">effective </w:t>
      </w:r>
      <w:r w:rsidR="00E6142F" w:rsidRPr="00806B36">
        <w:t xml:space="preserve">prices including fees and mark-ups, which do not apply to scripts provided through public hospitals (i.e. based on </w:t>
      </w:r>
      <w:r w:rsidR="00F31B54" w:rsidRPr="00806B36">
        <w:t xml:space="preserve">effective </w:t>
      </w:r>
      <w:r w:rsidR="00E6142F" w:rsidRPr="00806B36">
        <w:t>AEMP only).</w:t>
      </w:r>
    </w:p>
    <w:p w14:paraId="3DBFE151" w14:textId="65FBCA2A" w:rsidR="00494207" w:rsidRPr="00806B36" w:rsidRDefault="00C21472" w:rsidP="002556C6">
      <w:pPr>
        <w:pStyle w:val="COMexecsumnumberedpara"/>
      </w:pPr>
      <w:bookmarkStart w:id="67" w:name="_Ref127443260"/>
      <w:r w:rsidRPr="00806B36">
        <w:t xml:space="preserve">The submission did not adequately justify the assumed dose regimen used to estimate the drug cost of difelikefalin </w:t>
      </w:r>
      <w:r w:rsidR="00B82412" w:rsidRPr="00806B36">
        <w:t xml:space="preserve">in the economic model and financial estimates. The cost is likely underestimated </w:t>
      </w:r>
      <w:r w:rsidR="006D5A48" w:rsidRPr="00806B36">
        <w:t>as it does not account for patients needing additional vials given weight-based dosing and potential for additional haemodialysis sessions</w:t>
      </w:r>
      <w:r w:rsidR="00F55B55" w:rsidRPr="00806B36">
        <w:t xml:space="preserve">. </w:t>
      </w:r>
      <w:bookmarkEnd w:id="67"/>
    </w:p>
    <w:p w14:paraId="58A0A62C" w14:textId="15EF6E6F" w:rsidR="00F55B55" w:rsidRPr="00806B36" w:rsidRDefault="00BC093F" w:rsidP="002556C6">
      <w:pPr>
        <w:pStyle w:val="COMexecsumnumberedpara"/>
      </w:pPr>
      <w:r w:rsidRPr="00806B36">
        <w:t>Estimated adherence rates differed between the economic model and financial estimates due to differences in calculation methods (</w:t>
      </w:r>
      <w:r w:rsidR="00251E17" w:rsidRPr="00806B36">
        <w:t>simple versus weighted average of trial estimates).</w:t>
      </w:r>
    </w:p>
    <w:p w14:paraId="1D6C51DF" w14:textId="62D30960" w:rsidR="00251E17" w:rsidRPr="00806B36" w:rsidRDefault="00251E17" w:rsidP="002556C6">
      <w:pPr>
        <w:pStyle w:val="COMexecsumnumberedpara"/>
      </w:pPr>
      <w:r w:rsidRPr="00806B36">
        <w:t xml:space="preserve">The mean duration of treatment </w:t>
      </w:r>
      <w:r w:rsidR="003019A6" w:rsidRPr="00806B36">
        <w:t>used</w:t>
      </w:r>
      <w:r w:rsidRPr="00806B36">
        <w:t xml:space="preserve"> in the financial estimates </w:t>
      </w:r>
      <w:r w:rsidR="003019A6" w:rsidRPr="00806B36">
        <w:t>was longer th</w:t>
      </w:r>
      <w:r w:rsidR="002E3EB9" w:rsidRPr="00806B36">
        <w:t xml:space="preserve">an estimated in the economic model. This was due to the assumption of perfect </w:t>
      </w:r>
      <w:r w:rsidR="00F2408F" w:rsidRPr="00806B36">
        <w:t xml:space="preserve">persistence </w:t>
      </w:r>
      <w:r w:rsidR="00D97020" w:rsidRPr="00806B36">
        <w:t xml:space="preserve">during the first 12 weeks of treatment in the financial estimates while 13.8% of patients discontinued from treatment after 12 weeks in the economic model. </w:t>
      </w:r>
    </w:p>
    <w:p w14:paraId="551B8922" w14:textId="125CAC74" w:rsidR="002E4AE4" w:rsidRPr="00806B36" w:rsidRDefault="002E4AE4" w:rsidP="002556C6">
      <w:pPr>
        <w:pStyle w:val="COMexecsumnumberedpara"/>
      </w:pPr>
      <w:r w:rsidRPr="00806B36">
        <w:t xml:space="preserve">The pre-PBAC response offered a </w:t>
      </w:r>
      <w:r w:rsidR="008537BB" w:rsidRPr="003B7199">
        <w:rPr>
          <w:color w:val="000000"/>
          <w:w w:val="56"/>
          <w:shd w:val="solid" w:color="000000" w:fill="000000"/>
          <w:fitText w:val="805" w:id="-1236597745"/>
          <w14:textFill>
            <w14:solidFill>
              <w14:srgbClr w14:val="000000">
                <w14:alpha w14:val="100000"/>
              </w14:srgbClr>
            </w14:solidFill>
          </w14:textFill>
        </w:rPr>
        <w:t>||||||  |||||</w:t>
      </w:r>
      <w:r w:rsidR="008537BB" w:rsidRPr="003B7199">
        <w:rPr>
          <w:color w:val="000000"/>
          <w:spacing w:val="1"/>
          <w:w w:val="56"/>
          <w:shd w:val="solid" w:color="000000" w:fill="000000"/>
          <w:fitText w:val="805" w:id="-1236597745"/>
          <w14:textFill>
            <w14:solidFill>
              <w14:srgbClr w14:val="000000">
                <w14:alpha w14:val="100000"/>
              </w14:srgbClr>
            </w14:solidFill>
          </w14:textFill>
        </w:rPr>
        <w:t>|</w:t>
      </w:r>
      <w:r w:rsidRPr="00555C97">
        <w:t>%</w:t>
      </w:r>
      <w:r w:rsidRPr="00806B36">
        <w:t xml:space="preserve"> price reduction (AEMP $</w:t>
      </w:r>
      <w:r w:rsidR="008537BB" w:rsidRPr="003B7199">
        <w:rPr>
          <w:color w:val="000000"/>
          <w:w w:val="56"/>
          <w:shd w:val="solid" w:color="000000" w:fill="000000"/>
          <w:fitText w:val="804" w:id="-1236597744"/>
          <w14:textFill>
            <w14:solidFill>
              <w14:srgbClr w14:val="000000">
                <w14:alpha w14:val="100000"/>
              </w14:srgbClr>
            </w14:solidFill>
          </w14:textFill>
        </w:rPr>
        <w:t>||||||  ||||||</w:t>
      </w:r>
      <w:r w:rsidRPr="00806B36">
        <w:t xml:space="preserve"> per vial ($</w:t>
      </w:r>
      <w:r w:rsidR="008537BB" w:rsidRPr="003B7199">
        <w:rPr>
          <w:color w:val="000000"/>
          <w:w w:val="21"/>
          <w:shd w:val="solid" w:color="000000" w:fill="000000"/>
          <w:fitText w:val="72" w:id="-1236597760"/>
          <w14:textFill>
            <w14:solidFill>
              <w14:srgbClr w14:val="000000">
                <w14:alpha w14:val="100000"/>
              </w14:srgbClr>
            </w14:solidFill>
          </w14:textFill>
        </w:rPr>
        <w:t>|  |</w:t>
      </w:r>
      <w:r w:rsidRPr="00806B36">
        <w:t xml:space="preserve"> per 12 vials) reduced to $</w:t>
      </w:r>
      <w:r w:rsidR="008537BB" w:rsidRPr="003B7199">
        <w:rPr>
          <w:color w:val="000000"/>
          <w:w w:val="21"/>
          <w:shd w:val="solid" w:color="000000" w:fill="000000"/>
          <w:fitText w:val="72" w:id="-1236597759"/>
          <w14:textFill>
            <w14:solidFill>
              <w14:srgbClr w14:val="000000">
                <w14:alpha w14:val="100000"/>
              </w14:srgbClr>
            </w14:solidFill>
          </w14:textFill>
        </w:rPr>
        <w:t xml:space="preserve">|  </w:t>
      </w:r>
      <w:r w:rsidR="008537BB" w:rsidRPr="003B7199">
        <w:rPr>
          <w:color w:val="000000"/>
          <w:spacing w:val="2"/>
          <w:w w:val="21"/>
          <w:shd w:val="solid" w:color="000000" w:fill="000000"/>
          <w:fitText w:val="72" w:id="-1236597759"/>
          <w14:textFill>
            <w14:solidFill>
              <w14:srgbClr w14:val="000000">
                <w14:alpha w14:val="100000"/>
              </w14:srgbClr>
            </w14:solidFill>
          </w14:textFill>
        </w:rPr>
        <w:t>|</w:t>
      </w:r>
      <w:r w:rsidRPr="00806B36">
        <w:t xml:space="preserve"> AEMP per vial ($</w:t>
      </w:r>
      <w:r w:rsidR="008537BB" w:rsidRPr="003B7199">
        <w:rPr>
          <w:color w:val="000000"/>
          <w:w w:val="21"/>
          <w:shd w:val="solid" w:color="000000" w:fill="000000"/>
          <w:fitText w:val="72" w:id="-1236597758"/>
          <w14:textFill>
            <w14:solidFill>
              <w14:srgbClr w14:val="000000">
                <w14:alpha w14:val="100000"/>
              </w14:srgbClr>
            </w14:solidFill>
          </w14:textFill>
        </w:rPr>
        <w:t xml:space="preserve">|  </w:t>
      </w:r>
      <w:r w:rsidR="008537BB" w:rsidRPr="003B7199">
        <w:rPr>
          <w:color w:val="000000"/>
          <w:spacing w:val="2"/>
          <w:w w:val="21"/>
          <w:shd w:val="solid" w:color="000000" w:fill="000000"/>
          <w:fitText w:val="72" w:id="-1236597758"/>
          <w14:textFill>
            <w14:solidFill>
              <w14:srgbClr w14:val="000000">
                <w14:alpha w14:val="100000"/>
              </w14:srgbClr>
            </w14:solidFill>
          </w14:textFill>
        </w:rPr>
        <w:t>|</w:t>
      </w:r>
      <w:r w:rsidRPr="00806B36">
        <w:t xml:space="preserve"> per 12 vials).</w:t>
      </w:r>
    </w:p>
    <w:p w14:paraId="268768EF" w14:textId="223D5E48" w:rsidR="00B60939" w:rsidRPr="00806B36" w:rsidRDefault="00B60939" w:rsidP="002B05A1">
      <w:pPr>
        <w:pStyle w:val="COMH2-non-numbered"/>
      </w:pPr>
      <w:bookmarkStart w:id="68" w:name="_Toc22897647"/>
      <w:bookmarkStart w:id="69" w:name="_Toc124836726"/>
      <w:bookmarkEnd w:id="66"/>
      <w:r w:rsidRPr="00806B36">
        <w:t>Estimated PBS usage &amp; financial implications</w:t>
      </w:r>
      <w:bookmarkEnd w:id="68"/>
      <w:bookmarkEnd w:id="69"/>
    </w:p>
    <w:p w14:paraId="2D91F0E9" w14:textId="45DF4CFE" w:rsidR="00062434" w:rsidRPr="00806B36" w:rsidRDefault="00062434" w:rsidP="00062434">
      <w:pPr>
        <w:pStyle w:val="COMexecsumnumberedpara"/>
        <w:rPr>
          <w:color w:val="0066FF"/>
        </w:rPr>
      </w:pPr>
      <w:bookmarkStart w:id="70" w:name="_Toc22897648"/>
      <w:bookmarkStart w:id="71" w:name="_Toc124836727"/>
      <w:r w:rsidRPr="00806B36">
        <w:t>This submission was considered by DUSC. The submission used an epidemiological approach to estimate the utilisation and financial impacts associated with the listing of difelikefalin.</w:t>
      </w:r>
    </w:p>
    <w:p w14:paraId="52D3E8F2" w14:textId="23A9270F" w:rsidR="00062434" w:rsidRPr="00806B36" w:rsidRDefault="00062434" w:rsidP="00062434">
      <w:pPr>
        <w:pStyle w:val="COMexecsumnumberedpara"/>
      </w:pPr>
      <w:r w:rsidRPr="00806B36">
        <w:t xml:space="preserve">Key inputs for the financial estimates are summarised in </w:t>
      </w:r>
      <w:r w:rsidRPr="00806B36">
        <w:fldChar w:fldCharType="begin"/>
      </w:r>
      <w:r w:rsidRPr="00806B36">
        <w:instrText xml:space="preserve"> REF _Ref104805262 \h  \* MERGEFORMAT </w:instrText>
      </w:r>
      <w:r w:rsidRPr="00806B36">
        <w:fldChar w:fldCharType="separate"/>
      </w:r>
      <w:r w:rsidR="00487C7F" w:rsidRPr="00806B36">
        <w:t xml:space="preserve">Table </w:t>
      </w:r>
      <w:r w:rsidR="00487C7F">
        <w:t>12</w:t>
      </w:r>
      <w:r w:rsidRPr="00806B36">
        <w:fldChar w:fldCharType="end"/>
      </w:r>
      <w:r w:rsidRPr="00806B36">
        <w:t>.</w:t>
      </w:r>
    </w:p>
    <w:p w14:paraId="269C5EA3" w14:textId="2493E935" w:rsidR="00062434" w:rsidRPr="00806B36" w:rsidRDefault="00062434" w:rsidP="00062434">
      <w:pPr>
        <w:pStyle w:val="COMtablefigcaption"/>
      </w:pPr>
      <w:bookmarkStart w:id="72" w:name="_Ref104805262"/>
      <w:r w:rsidRPr="00806B36">
        <w:t xml:space="preserve">Table </w:t>
      </w:r>
      <w:r w:rsidR="00487C7F">
        <w:fldChar w:fldCharType="begin"/>
      </w:r>
      <w:r w:rsidR="00487C7F">
        <w:instrText xml:space="preserve"> SEQ Table \* ARABIC </w:instrText>
      </w:r>
      <w:r w:rsidR="00487C7F">
        <w:fldChar w:fldCharType="separate"/>
      </w:r>
      <w:r w:rsidR="00487C7F">
        <w:rPr>
          <w:noProof/>
        </w:rPr>
        <w:t>12</w:t>
      </w:r>
      <w:r w:rsidR="00487C7F">
        <w:rPr>
          <w:noProof/>
        </w:rPr>
        <w:fldChar w:fldCharType="end"/>
      </w:r>
      <w:bookmarkEnd w:id="72"/>
      <w:r w:rsidRPr="00806B36">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9"/>
        <w:gridCol w:w="3304"/>
        <w:gridCol w:w="4164"/>
      </w:tblGrid>
      <w:tr w:rsidR="00062434" w:rsidRPr="00806B36" w14:paraId="4DE41C36" w14:textId="77777777" w:rsidTr="00BE6DC7">
        <w:trPr>
          <w:cantSplit/>
          <w:tblHeader/>
        </w:trPr>
        <w:tc>
          <w:tcPr>
            <w:tcW w:w="859" w:type="pct"/>
            <w:tcBorders>
              <w:bottom w:val="single" w:sz="4" w:space="0" w:color="auto"/>
            </w:tcBorders>
            <w:shd w:val="clear" w:color="auto" w:fill="auto"/>
            <w:vAlign w:val="center"/>
          </w:tcPr>
          <w:p w14:paraId="57E75B12" w14:textId="77777777" w:rsidR="00062434" w:rsidRPr="00806B36" w:rsidRDefault="00062434" w:rsidP="00BE6DC7">
            <w:pPr>
              <w:jc w:val="left"/>
              <w:rPr>
                <w:rFonts w:ascii="Arial Narrow" w:eastAsiaTheme="majorEastAsia" w:hAnsi="Arial Narrow" w:cs="Times New Roman"/>
                <w:b/>
                <w:sz w:val="20"/>
              </w:rPr>
            </w:pPr>
            <w:r w:rsidRPr="00806B36">
              <w:rPr>
                <w:rFonts w:ascii="Arial Narrow" w:eastAsiaTheme="majorEastAsia" w:hAnsi="Arial Narrow" w:cs="Times New Roman"/>
                <w:b/>
                <w:sz w:val="20"/>
              </w:rPr>
              <w:t>Parameter</w:t>
            </w:r>
          </w:p>
        </w:tc>
        <w:tc>
          <w:tcPr>
            <w:tcW w:w="1832" w:type="pct"/>
            <w:shd w:val="clear" w:color="auto" w:fill="auto"/>
            <w:vAlign w:val="center"/>
          </w:tcPr>
          <w:p w14:paraId="619DA2CB" w14:textId="77777777" w:rsidR="00062434" w:rsidRPr="00806B36" w:rsidRDefault="00062434" w:rsidP="00BE6DC7">
            <w:pPr>
              <w:jc w:val="center"/>
              <w:rPr>
                <w:rFonts w:ascii="Arial Narrow" w:eastAsiaTheme="majorEastAsia" w:hAnsi="Arial Narrow" w:cs="Times New Roman"/>
                <w:b/>
                <w:sz w:val="20"/>
              </w:rPr>
            </w:pPr>
            <w:r w:rsidRPr="00806B36">
              <w:rPr>
                <w:rFonts w:ascii="Arial Narrow" w:eastAsiaTheme="majorEastAsia" w:hAnsi="Arial Narrow" w:cs="Times New Roman"/>
                <w:b/>
                <w:sz w:val="20"/>
              </w:rPr>
              <w:t>Values and source</w:t>
            </w:r>
          </w:p>
        </w:tc>
        <w:tc>
          <w:tcPr>
            <w:tcW w:w="2309" w:type="pct"/>
            <w:tcBorders>
              <w:bottom w:val="single" w:sz="4" w:space="0" w:color="auto"/>
            </w:tcBorders>
            <w:shd w:val="clear" w:color="auto" w:fill="auto"/>
            <w:vAlign w:val="center"/>
          </w:tcPr>
          <w:p w14:paraId="777B3D1B" w14:textId="77777777" w:rsidR="00062434" w:rsidRPr="00806B36" w:rsidRDefault="00062434" w:rsidP="00BE6DC7">
            <w:pPr>
              <w:jc w:val="left"/>
              <w:rPr>
                <w:rFonts w:ascii="Arial Narrow" w:eastAsiaTheme="majorEastAsia" w:hAnsi="Arial Narrow" w:cs="Times New Roman"/>
                <w:b/>
                <w:sz w:val="20"/>
              </w:rPr>
            </w:pPr>
            <w:r w:rsidRPr="00806B36">
              <w:rPr>
                <w:rFonts w:ascii="Arial Narrow" w:eastAsiaTheme="majorEastAsia" w:hAnsi="Arial Narrow" w:cs="Times New Roman"/>
                <w:b/>
                <w:sz w:val="20"/>
              </w:rPr>
              <w:t>Comment</w:t>
            </w:r>
          </w:p>
        </w:tc>
      </w:tr>
      <w:tr w:rsidR="00062434" w:rsidRPr="00806B36" w14:paraId="3F60C923" w14:textId="77777777" w:rsidTr="00BE6DC7">
        <w:trPr>
          <w:cantSplit/>
        </w:trPr>
        <w:tc>
          <w:tcPr>
            <w:tcW w:w="859" w:type="pct"/>
            <w:tcBorders>
              <w:bottom w:val="nil"/>
            </w:tcBorders>
            <w:shd w:val="clear" w:color="auto" w:fill="auto"/>
            <w:vAlign w:val="center"/>
          </w:tcPr>
          <w:p w14:paraId="431B1092"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Prevalence of in</w:t>
            </w:r>
            <w:r w:rsidRPr="00806B36">
              <w:rPr>
                <w:rFonts w:ascii="Arial Narrow" w:eastAsiaTheme="majorEastAsia" w:hAnsi="Arial Narrow" w:cstheme="majorBidi"/>
                <w:bCs/>
                <w:sz w:val="20"/>
              </w:rPr>
              <w:noBreakHyphen/>
              <w:t xml:space="preserve">centre haemodialysis </w:t>
            </w:r>
          </w:p>
          <w:p w14:paraId="0057796D"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(2024-2029)</w:t>
            </w:r>
          </w:p>
        </w:tc>
        <w:tc>
          <w:tcPr>
            <w:tcW w:w="1832" w:type="pct"/>
            <w:shd w:val="clear" w:color="auto" w:fill="auto"/>
            <w:vAlign w:val="center"/>
          </w:tcPr>
          <w:p w14:paraId="36D9E98B"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The prevalence of in-centre haemodialysis patients was derived from the </w:t>
            </w:r>
            <w:r w:rsidRPr="00806B36">
              <w:rPr>
                <w:rFonts w:ascii="Arial Narrow" w:eastAsia="TimesNewRoman" w:hAnsi="Arial Narrow" w:cstheme="majorBidi"/>
                <w:bCs/>
                <w:sz w:val="20"/>
              </w:rPr>
              <w:t>ANZDATA 45th Annual Report (2017-2021), extrapolated over the first 6 years of listing (2024-2029) using a fixed annual increment of 434 per year.</w:t>
            </w:r>
          </w:p>
        </w:tc>
        <w:tc>
          <w:tcPr>
            <w:tcW w:w="2309" w:type="pct"/>
            <w:tcBorders>
              <w:bottom w:val="nil"/>
            </w:tcBorders>
            <w:shd w:val="clear" w:color="auto" w:fill="auto"/>
            <w:vAlign w:val="center"/>
          </w:tcPr>
          <w:p w14:paraId="0414A6B8" w14:textId="77777777" w:rsidR="00062434" w:rsidRPr="00806B36" w:rsidRDefault="00062434" w:rsidP="00BE6DC7">
            <w:pPr>
              <w:jc w:val="left"/>
              <w:rPr>
                <w:rFonts w:ascii="Arial Narrow" w:eastAsia="TimesNewRoman" w:hAnsi="Arial Narrow" w:cstheme="majorBidi"/>
                <w:bCs/>
                <w:sz w:val="20"/>
              </w:rPr>
            </w:pPr>
            <w:r w:rsidRPr="00806B36">
              <w:rPr>
                <w:rFonts w:ascii="Arial Narrow" w:eastAsia="TimesNewRoman" w:hAnsi="Arial Narrow" w:cstheme="majorBidi"/>
                <w:bCs/>
                <w:sz w:val="20"/>
              </w:rPr>
              <w:t xml:space="preserve">The use of a fixed increment rather than percentage growth does not account for overall population growth. The calculated increment also incorporated lower estimates reported in 2020 due to COVID-19. </w:t>
            </w:r>
          </w:p>
          <w:p w14:paraId="3F646527" w14:textId="77777777" w:rsidR="007832DC" w:rsidRPr="00806B36" w:rsidRDefault="007832DC" w:rsidP="00BE6DC7">
            <w:pPr>
              <w:jc w:val="left"/>
              <w:rPr>
                <w:rFonts w:ascii="Arial Narrow" w:eastAsia="TimesNewRoman" w:hAnsi="Arial Narrow" w:cstheme="majorBidi"/>
                <w:bCs/>
                <w:sz w:val="20"/>
              </w:rPr>
            </w:pPr>
          </w:p>
          <w:p w14:paraId="60E15402" w14:textId="55614561" w:rsidR="007832DC" w:rsidRPr="00806B36" w:rsidRDefault="007832DC" w:rsidP="00BE6DC7">
            <w:pPr>
              <w:jc w:val="left"/>
              <w:rPr>
                <w:rFonts w:ascii="Arial Narrow" w:eastAsia="TimesNewRoman" w:hAnsi="Arial Narrow" w:cstheme="majorBidi"/>
                <w:bCs/>
                <w:sz w:val="20"/>
              </w:rPr>
            </w:pPr>
            <w:r w:rsidRPr="00806B36">
              <w:rPr>
                <w:rFonts w:ascii="Arial Narrow" w:eastAsia="TimesNewRoman" w:hAnsi="Arial Narrow" w:cstheme="majorBidi"/>
                <w:bCs/>
                <w:sz w:val="20"/>
              </w:rPr>
              <w:t xml:space="preserve">DUSC agreed that the source is reasonable. However, since the at-home population was excluded in the submission, the DUSC considered this parameter was underestimated. </w:t>
            </w:r>
          </w:p>
        </w:tc>
      </w:tr>
      <w:tr w:rsidR="00062434" w:rsidRPr="00806B36" w14:paraId="17EB64F7" w14:textId="77777777" w:rsidTr="00BE6DC7">
        <w:trPr>
          <w:cantSplit/>
        </w:trPr>
        <w:tc>
          <w:tcPr>
            <w:tcW w:w="859" w:type="pct"/>
            <w:shd w:val="clear" w:color="auto" w:fill="auto"/>
            <w:vAlign w:val="center"/>
          </w:tcPr>
          <w:p w14:paraId="7F111994"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Proportion of patients with moderate to severe pruritus</w:t>
            </w:r>
          </w:p>
        </w:tc>
        <w:tc>
          <w:tcPr>
            <w:tcW w:w="1832" w:type="pct"/>
            <w:shd w:val="clear" w:color="auto" w:fill="auto"/>
            <w:vAlign w:val="center"/>
          </w:tcPr>
          <w:p w14:paraId="4E0F491D" w14:textId="77777777" w:rsidR="00062434" w:rsidRPr="00806B36" w:rsidRDefault="00062434" w:rsidP="00BE6DC7">
            <w:pPr>
              <w:jc w:val="left"/>
              <w:rPr>
                <w:rFonts w:ascii="Arial Narrow" w:eastAsia="TimesNewRoman" w:hAnsi="Arial Narrow" w:cstheme="majorBidi"/>
                <w:bCs/>
                <w:sz w:val="20"/>
              </w:rPr>
            </w:pPr>
            <w:r w:rsidRPr="00806B36">
              <w:rPr>
                <w:rFonts w:ascii="Arial Narrow" w:eastAsiaTheme="majorEastAsia" w:hAnsi="Arial Narrow" w:cstheme="majorBidi"/>
                <w:bCs/>
                <w:sz w:val="20"/>
              </w:rPr>
              <w:t>43%: b</w:t>
            </w:r>
            <w:r w:rsidRPr="00806B36">
              <w:rPr>
                <w:rFonts w:ascii="Arial Narrow" w:eastAsia="TimesNewRoman" w:hAnsi="Arial Narrow" w:cstheme="majorBidi"/>
                <w:bCs/>
                <w:sz w:val="20"/>
              </w:rPr>
              <w:t xml:space="preserve">ased on a sample of 700 Australian and New Zealand haemodialysis patients in the Dialysis Outcomes and Practice Patterns Study, with self-reported moderate-severe pruritus (Sukul 2020, DOPPS data 2009-2015). </w:t>
            </w:r>
          </w:p>
          <w:p w14:paraId="3B74AB3D" w14:textId="77777777" w:rsidR="00062434" w:rsidRPr="00806B36" w:rsidRDefault="00062434" w:rsidP="00BE6DC7">
            <w:pPr>
              <w:jc w:val="center"/>
              <w:rPr>
                <w:rFonts w:ascii="Arial Narrow" w:eastAsiaTheme="majorEastAsia" w:hAnsi="Arial Narrow" w:cstheme="majorBidi"/>
                <w:bCs/>
                <w:sz w:val="20"/>
              </w:rPr>
            </w:pPr>
          </w:p>
        </w:tc>
        <w:tc>
          <w:tcPr>
            <w:tcW w:w="2309" w:type="pct"/>
            <w:shd w:val="clear" w:color="auto" w:fill="auto"/>
            <w:vAlign w:val="center"/>
          </w:tcPr>
          <w:p w14:paraId="04C76BC7"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imesNewRoman" w:hAnsi="Arial Narrow" w:cstheme="majorBidi"/>
                <w:bCs/>
                <w:sz w:val="20"/>
              </w:rPr>
              <w:t xml:space="preserve">The prevalence of moderate-severe pruritus in the eligible population is highly uncertain given the subjective experience of pruritus and absence of validated instruments in clinical practice. </w:t>
            </w:r>
            <w:r w:rsidRPr="00806B36">
              <w:rPr>
                <w:rFonts w:ascii="Arial Narrow" w:eastAsiaTheme="majorEastAsia" w:hAnsi="Arial Narrow" w:cstheme="majorBidi"/>
                <w:bCs/>
                <w:sz w:val="20"/>
              </w:rPr>
              <w:t>The submission proposed that this uncertainty could be addressed using an appropriate risk-sharing arrangement.</w:t>
            </w:r>
          </w:p>
          <w:p w14:paraId="173A9EC5" w14:textId="77777777" w:rsidR="00F06530" w:rsidRPr="00806B36" w:rsidRDefault="00F06530" w:rsidP="00BE6DC7">
            <w:pPr>
              <w:jc w:val="left"/>
              <w:rPr>
                <w:rFonts w:ascii="Arial Narrow" w:eastAsiaTheme="majorEastAsia" w:hAnsi="Arial Narrow" w:cstheme="majorBidi"/>
                <w:bCs/>
                <w:sz w:val="20"/>
              </w:rPr>
            </w:pPr>
          </w:p>
          <w:p w14:paraId="05DA0480" w14:textId="1DAE3F3A" w:rsidR="00F06530" w:rsidRPr="00806B36" w:rsidRDefault="00F06530" w:rsidP="00BE6DC7">
            <w:pPr>
              <w:jc w:val="left"/>
              <w:rPr>
                <w:rFonts w:ascii="Arial Narrow" w:eastAsia="TimesNewRoman" w:hAnsi="Arial Narrow" w:cstheme="majorBidi"/>
                <w:bCs/>
                <w:sz w:val="20"/>
              </w:rPr>
            </w:pPr>
            <w:r w:rsidRPr="00806B36">
              <w:rPr>
                <w:rFonts w:ascii="Arial Narrow" w:eastAsiaTheme="majorEastAsia" w:hAnsi="Arial Narrow" w:cstheme="majorBidi"/>
                <w:bCs/>
                <w:sz w:val="20"/>
              </w:rPr>
              <w:t>DUSC considered that the estimated prevalence of moderate-severe pruritus may be reasonable, but noted there is no itch rating scale in the restriction, so there is high potential for less severe disease to be classified as moderate by the prescriber. Thus, the DUSC considered this parameter may effectively be underestimated in the submission.</w:t>
            </w:r>
          </w:p>
        </w:tc>
      </w:tr>
      <w:tr w:rsidR="00062434" w:rsidRPr="00806B36" w14:paraId="30F5579A" w14:textId="77777777" w:rsidTr="00BE6DC7">
        <w:trPr>
          <w:cantSplit/>
        </w:trPr>
        <w:tc>
          <w:tcPr>
            <w:tcW w:w="859" w:type="pct"/>
            <w:shd w:val="clear" w:color="auto" w:fill="auto"/>
            <w:vAlign w:val="center"/>
          </w:tcPr>
          <w:p w14:paraId="3C8D0FA1"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Rate of CKD-aP diagnosis</w:t>
            </w:r>
          </w:p>
        </w:tc>
        <w:tc>
          <w:tcPr>
            <w:tcW w:w="1832" w:type="pct"/>
            <w:shd w:val="clear" w:color="auto" w:fill="auto"/>
            <w:vAlign w:val="center"/>
          </w:tcPr>
          <w:p w14:paraId="0A9D5A4D"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83%:</w:t>
            </w:r>
            <w:r w:rsidRPr="00806B36">
              <w:rPr>
                <w:rFonts w:ascii="Arial Narrow" w:eastAsia="TimesNewRoman" w:hAnsi="Arial Narrow" w:cstheme="majorBidi"/>
                <w:bCs/>
                <w:sz w:val="20"/>
              </w:rPr>
              <w:t xml:space="preserve"> based on a survey of 8,621 patients enrolled at the start of DOPPS phase 5 (2012–2015), 17% of patients nearly always or always bothered by itchy skin had not reported their condition to any healthcare provider (</w:t>
            </w:r>
            <w:r w:rsidRPr="00806B36">
              <w:rPr>
                <w:rFonts w:ascii="Arial Narrow" w:eastAsiaTheme="majorEastAsia" w:hAnsi="Arial Narrow" w:cstheme="majorBidi"/>
                <w:bCs/>
                <w:sz w:val="20"/>
              </w:rPr>
              <w:t>Rayner 2017, DOPPS data 2012-2015).</w:t>
            </w:r>
          </w:p>
        </w:tc>
        <w:tc>
          <w:tcPr>
            <w:tcW w:w="2309" w:type="pct"/>
            <w:shd w:val="clear" w:color="auto" w:fill="auto"/>
            <w:vAlign w:val="center"/>
          </w:tcPr>
          <w:p w14:paraId="1FCA4A03"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The haemodialysis population surveyed in Rayner (2017) included patients with persistent mild-severe symptoms of pruritus, which may not be applicable to patients with moderate to severe symptoms. In addition, the listing of difelikefalin on the PBS may increase the proportion of eligible patients seeking treatment. </w:t>
            </w:r>
          </w:p>
          <w:p w14:paraId="6C0B3A68" w14:textId="77777777" w:rsidR="00DF7D0F" w:rsidRPr="00806B36" w:rsidRDefault="00DF7D0F" w:rsidP="00BE6DC7">
            <w:pPr>
              <w:jc w:val="left"/>
              <w:rPr>
                <w:rFonts w:ascii="Arial Narrow" w:eastAsia="TimesNewRoman" w:hAnsi="Arial Narrow" w:cstheme="majorBidi"/>
                <w:bCs/>
                <w:sz w:val="20"/>
              </w:rPr>
            </w:pPr>
          </w:p>
          <w:p w14:paraId="519DE209" w14:textId="6F6A19B0" w:rsidR="00DF7D0F" w:rsidRPr="00806B36" w:rsidRDefault="00DF7D0F" w:rsidP="00BE6DC7">
            <w:pPr>
              <w:jc w:val="left"/>
              <w:rPr>
                <w:rFonts w:ascii="Arial Narrow" w:eastAsia="TimesNewRoman" w:hAnsi="Arial Narrow" w:cstheme="majorBidi"/>
                <w:bCs/>
                <w:sz w:val="20"/>
              </w:rPr>
            </w:pPr>
            <w:r w:rsidRPr="00806B36">
              <w:rPr>
                <w:rFonts w:ascii="Arial Narrow" w:eastAsia="TimesNewRoman" w:hAnsi="Arial Narrow" w:cstheme="majorBidi"/>
                <w:bCs/>
                <w:sz w:val="20"/>
              </w:rPr>
              <w:t xml:space="preserve">DUSC agreed with the evaluation that this parameter was underestimated in the submission. </w:t>
            </w:r>
          </w:p>
        </w:tc>
      </w:tr>
      <w:tr w:rsidR="00062434" w:rsidRPr="00806B36" w14:paraId="3C144E38" w14:textId="77777777" w:rsidTr="00BE6DC7">
        <w:trPr>
          <w:cantSplit/>
        </w:trPr>
        <w:tc>
          <w:tcPr>
            <w:tcW w:w="859" w:type="pct"/>
            <w:shd w:val="clear" w:color="auto" w:fill="auto"/>
            <w:vAlign w:val="center"/>
          </w:tcPr>
          <w:p w14:paraId="4F2E6ABD"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Uptake of difelikefalin</w:t>
            </w:r>
          </w:p>
        </w:tc>
        <w:tc>
          <w:tcPr>
            <w:tcW w:w="1832" w:type="pct"/>
            <w:shd w:val="clear" w:color="auto" w:fill="auto"/>
            <w:vAlign w:val="center"/>
          </w:tcPr>
          <w:p w14:paraId="42C1AC8D"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The submission assumed uptake of difelikefalin of 70% in Year 1, increasing by 4% each year, to 90% in Year 6. </w:t>
            </w:r>
          </w:p>
        </w:tc>
        <w:tc>
          <w:tcPr>
            <w:tcW w:w="2309" w:type="pct"/>
            <w:shd w:val="clear" w:color="auto" w:fill="auto"/>
            <w:vAlign w:val="center"/>
          </w:tcPr>
          <w:p w14:paraId="15F65AB2" w14:textId="542D62C3"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Uptake rates appeared high given potential safety concerns with the use of difelikefalin, particularly in the older Australian population with a potentially greater number of specific conditions that may preclude the use </w:t>
            </w:r>
            <w:r w:rsidR="0058427F" w:rsidRPr="00806B36">
              <w:rPr>
                <w:rFonts w:ascii="Arial Narrow" w:eastAsiaTheme="majorEastAsia" w:hAnsi="Arial Narrow" w:cstheme="majorBidi"/>
                <w:bCs/>
                <w:sz w:val="20"/>
              </w:rPr>
              <w:t xml:space="preserve">of </w:t>
            </w:r>
            <w:r w:rsidRPr="00806B36">
              <w:rPr>
                <w:rFonts w:ascii="Arial Narrow" w:eastAsiaTheme="majorEastAsia" w:hAnsi="Arial Narrow" w:cstheme="majorBidi"/>
                <w:bCs/>
                <w:sz w:val="20"/>
              </w:rPr>
              <w:t>difelikefalin.</w:t>
            </w:r>
          </w:p>
          <w:p w14:paraId="18759E9C" w14:textId="77777777" w:rsidR="00DF7D0F" w:rsidRPr="00806B36" w:rsidRDefault="00DF7D0F" w:rsidP="00BE6DC7">
            <w:pPr>
              <w:jc w:val="left"/>
              <w:rPr>
                <w:rFonts w:ascii="Arial Narrow" w:eastAsiaTheme="majorEastAsia" w:hAnsi="Arial Narrow" w:cstheme="majorBidi"/>
                <w:bCs/>
                <w:sz w:val="20"/>
              </w:rPr>
            </w:pPr>
          </w:p>
          <w:p w14:paraId="1B057989" w14:textId="3C093EF6" w:rsidR="00DF7D0F" w:rsidRPr="00806B36" w:rsidRDefault="00DF7D0F"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DUSC considered the uptake rates to be reasonable. </w:t>
            </w:r>
          </w:p>
        </w:tc>
      </w:tr>
      <w:tr w:rsidR="00062434" w:rsidRPr="00806B36" w14:paraId="36EC6EAD" w14:textId="77777777" w:rsidTr="00BE6DC7">
        <w:trPr>
          <w:cantSplit/>
        </w:trPr>
        <w:tc>
          <w:tcPr>
            <w:tcW w:w="859" w:type="pct"/>
            <w:shd w:val="clear" w:color="auto" w:fill="auto"/>
            <w:vAlign w:val="center"/>
          </w:tcPr>
          <w:p w14:paraId="72097ED3"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Death rate per annum</w:t>
            </w:r>
          </w:p>
        </w:tc>
        <w:tc>
          <w:tcPr>
            <w:tcW w:w="1832" w:type="pct"/>
            <w:shd w:val="clear" w:color="auto" w:fill="auto"/>
            <w:vAlign w:val="center"/>
          </w:tcPr>
          <w:p w14:paraId="7153659A"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8.3%: based on the reported death rate of 8.3 deaths per 100 patient years for patients on dialysis aged 45-64 (midpoint 54.5 years) in the ANZDATA 44th Annual Report 2021. Assumed to be consistent with the pooled KALM-1 and KALM-2 population median age of 58.7 years. Applied to patients exposed to treatment only.</w:t>
            </w:r>
          </w:p>
        </w:tc>
        <w:tc>
          <w:tcPr>
            <w:tcW w:w="2309" w:type="pct"/>
            <w:shd w:val="clear" w:color="auto" w:fill="auto"/>
            <w:vAlign w:val="center"/>
          </w:tcPr>
          <w:p w14:paraId="40129792"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Background mortality may be underestimated, as Australian patients are likely to be older (mean age of 67 years in the Australian/New Zealand subgroup of the KALM-2 trial). Published literature also indicated potentially increased mortality in patients experiencing severe pruritus, which may be associated with other factors including co-morbidities and other complications related to end stage renal disease (Sukul 2020). </w:t>
            </w:r>
          </w:p>
          <w:p w14:paraId="4EEBF0E0" w14:textId="77777777" w:rsidR="00DF7D0F" w:rsidRPr="00806B36" w:rsidRDefault="00DF7D0F" w:rsidP="00BE6DC7">
            <w:pPr>
              <w:jc w:val="left"/>
              <w:rPr>
                <w:rFonts w:ascii="Arial Narrow" w:eastAsiaTheme="majorEastAsia" w:hAnsi="Arial Narrow" w:cstheme="majorBidi"/>
                <w:bCs/>
                <w:sz w:val="20"/>
              </w:rPr>
            </w:pPr>
          </w:p>
          <w:p w14:paraId="276DB604" w14:textId="74AD913D" w:rsidR="00DF7D0F" w:rsidRPr="00806B36" w:rsidRDefault="00DF7D0F"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DUSC agreed with the evaluation that this parameter may be underestimated. </w:t>
            </w:r>
          </w:p>
        </w:tc>
      </w:tr>
      <w:tr w:rsidR="00062434" w:rsidRPr="00806B36" w14:paraId="06876D9B" w14:textId="77777777" w:rsidTr="00BE6DC7">
        <w:trPr>
          <w:cantSplit/>
        </w:trPr>
        <w:tc>
          <w:tcPr>
            <w:tcW w:w="859" w:type="pct"/>
            <w:shd w:val="clear" w:color="auto" w:fill="auto"/>
            <w:vAlign w:val="center"/>
          </w:tcPr>
          <w:p w14:paraId="275EB7AB"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Proportion of patients with response (once-off)</w:t>
            </w:r>
          </w:p>
        </w:tc>
        <w:tc>
          <w:tcPr>
            <w:tcW w:w="1832" w:type="pct"/>
            <w:shd w:val="clear" w:color="auto" w:fill="auto"/>
            <w:vAlign w:val="center"/>
          </w:tcPr>
          <w:p w14:paraId="77B8E645" w14:textId="20CAC461"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51.3%: based on patients achieving ≥5-point improvement in 5-D Itch score at 12 weeks from baseline in the KALM trials, using an individual patient data analysis performed for the economic analysis of the submission.</w:t>
            </w:r>
          </w:p>
        </w:tc>
        <w:tc>
          <w:tcPr>
            <w:tcW w:w="2309" w:type="pct"/>
            <w:shd w:val="clear" w:color="auto" w:fill="auto"/>
            <w:vAlign w:val="center"/>
          </w:tcPr>
          <w:p w14:paraId="5BBC55F2"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The submission acknowledged that response rates in practice are highly uncertain due to the subjective nature of the condition. The submission proposed that this uncertainty could be addressed using an appropriate risk-sharing arrangement.</w:t>
            </w:r>
          </w:p>
          <w:p w14:paraId="79DE43E2" w14:textId="77777777" w:rsidR="00DF7D0F" w:rsidRPr="00806B36" w:rsidRDefault="00DF7D0F" w:rsidP="00BE6DC7">
            <w:pPr>
              <w:jc w:val="left"/>
              <w:rPr>
                <w:i/>
              </w:rPr>
            </w:pPr>
          </w:p>
          <w:p w14:paraId="0B66EC64" w14:textId="525A9D1D" w:rsidR="00DF7D0F" w:rsidRPr="00806B36" w:rsidRDefault="00DF7D0F"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DUSC noted the restriction for the continuing treatment phase states “the patient must have demonstrated or sustained an adequate response”, however this is not quantified using an improvement in an itch rating score. DUSC considered that PBS prescribers may more likely deem an adequate response than in the trial where an itch rating score was used. Thus, this parameter was underestimated in the submission.</w:t>
            </w:r>
          </w:p>
        </w:tc>
      </w:tr>
      <w:tr w:rsidR="00062434" w:rsidRPr="00806B36" w14:paraId="411764BC" w14:textId="77777777" w:rsidTr="00BE6DC7">
        <w:trPr>
          <w:cantSplit/>
        </w:trPr>
        <w:tc>
          <w:tcPr>
            <w:tcW w:w="859" w:type="pct"/>
            <w:shd w:val="clear" w:color="auto" w:fill="auto"/>
            <w:vAlign w:val="center"/>
          </w:tcPr>
          <w:p w14:paraId="14848C68"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Treatment discontinuation (reasons other than inadequate response)</w:t>
            </w:r>
          </w:p>
        </w:tc>
        <w:tc>
          <w:tcPr>
            <w:tcW w:w="1832" w:type="pct"/>
            <w:shd w:val="clear" w:color="auto" w:fill="auto"/>
            <w:vAlign w:val="center"/>
          </w:tcPr>
          <w:p w14:paraId="3C0B34FE"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No discontinuations assumed for patients during the first 12 weeks of treatment. 23.2% per annum estimated for patients on continuing treatment, based on data from the KALM open-label extension studies (23.2% over 52 weeks). Estimates in the first year were adjusted for perfect persistence during the initial 12 weeks (17.4% over remaining duration). </w:t>
            </w:r>
          </w:p>
        </w:tc>
        <w:tc>
          <w:tcPr>
            <w:tcW w:w="2309" w:type="pct"/>
            <w:shd w:val="clear" w:color="auto" w:fill="auto"/>
            <w:vAlign w:val="center"/>
          </w:tcPr>
          <w:p w14:paraId="33415C1B"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No justification was provided for the assumption of perfect persistence during the first 12 weeks of treatment. This was inconsistent with trial data and the economic model that estimated 13.8% discontinuations in the first 12 weeks. Treatment discontinuations based on the extension studies were uncertain as the studies were stopped prematurely. The KALM-1 trial had the longest follow-up with 25.2% discontinuations reported over median follow-up duration of 51.6 weeks.</w:t>
            </w:r>
          </w:p>
          <w:p w14:paraId="1111D231" w14:textId="77777777" w:rsidR="00DF7D0F" w:rsidRPr="00806B36" w:rsidRDefault="00DF7D0F" w:rsidP="00BE6DC7">
            <w:pPr>
              <w:jc w:val="left"/>
              <w:rPr>
                <w:rFonts w:ascii="Arial Narrow" w:eastAsiaTheme="majorEastAsia" w:hAnsi="Arial Narrow" w:cstheme="majorBidi"/>
                <w:bCs/>
                <w:sz w:val="20"/>
              </w:rPr>
            </w:pPr>
          </w:p>
          <w:p w14:paraId="14FCCB7E" w14:textId="5B5DF6A0" w:rsidR="00DF7D0F" w:rsidRPr="00806B36" w:rsidRDefault="00DF7D0F"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DUSC considered this parameter was underestimated in the submission, which would lead to an overestimation of utilisation. </w:t>
            </w:r>
          </w:p>
        </w:tc>
      </w:tr>
      <w:tr w:rsidR="00062434" w:rsidRPr="00806B36" w14:paraId="45527D5A" w14:textId="77777777" w:rsidTr="00BE6DC7">
        <w:trPr>
          <w:cantSplit/>
        </w:trPr>
        <w:tc>
          <w:tcPr>
            <w:tcW w:w="859" w:type="pct"/>
            <w:shd w:val="clear" w:color="auto" w:fill="auto"/>
            <w:vAlign w:val="center"/>
          </w:tcPr>
          <w:p w14:paraId="39805079"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Proportion of patients who are alive and naïve to prior difelikefalin treatment</w:t>
            </w:r>
          </w:p>
        </w:tc>
        <w:tc>
          <w:tcPr>
            <w:tcW w:w="1832" w:type="pct"/>
            <w:shd w:val="clear" w:color="auto" w:fill="auto"/>
            <w:vAlign w:val="center"/>
          </w:tcPr>
          <w:p w14:paraId="0A9BF313"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Year 1: 100%, Year 2: 38%, Year 3: 20%, Year 4: 15%, Year 5: 14%, Year 6: 13%. </w:t>
            </w:r>
          </w:p>
          <w:p w14:paraId="1BC8CD76"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These proportions were calculated based on the ratio of (patients exposed to treatment in the prior year excluding patients who died)/(total prevalent population diagnosed with moderate/severe pruritus).</w:t>
            </w:r>
          </w:p>
        </w:tc>
        <w:tc>
          <w:tcPr>
            <w:tcW w:w="2309" w:type="pct"/>
            <w:shd w:val="clear" w:color="auto" w:fill="auto"/>
            <w:vAlign w:val="center"/>
          </w:tcPr>
          <w:p w14:paraId="017EEC22" w14:textId="2DC5C3AE"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Mortality adjustments were applied to account for deaths in the treatment exposed population as deaths are also incorporated in the prevalence estimates used as the basis of the eligible population. The approach however, resulted in anomalous results as sensitivity analyses in the submission using higher death rates resulted in unexpectedly higher budget impact estimates.</w:t>
            </w:r>
          </w:p>
          <w:p w14:paraId="7D3573AB" w14:textId="77777777" w:rsidR="00062434" w:rsidRPr="00806B36" w:rsidRDefault="00062434" w:rsidP="00BE6DC7">
            <w:pPr>
              <w:jc w:val="left"/>
              <w:rPr>
                <w:rFonts w:ascii="Arial Narrow" w:eastAsiaTheme="majorEastAsia" w:hAnsi="Arial Narrow" w:cstheme="majorBidi"/>
                <w:bCs/>
                <w:sz w:val="20"/>
              </w:rPr>
            </w:pPr>
          </w:p>
          <w:p w14:paraId="06A3647B"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The submission assumed that any patient with prior exposure to difelikefalin would no longer be eligible for future treatment. This assumption was inappropriate as the PBS restriction allows for patients to recommence treatment. </w:t>
            </w:r>
          </w:p>
        </w:tc>
      </w:tr>
      <w:tr w:rsidR="00062434" w:rsidRPr="00806B36" w14:paraId="27F6F114" w14:textId="77777777" w:rsidTr="00BE6DC7">
        <w:trPr>
          <w:cantSplit/>
        </w:trPr>
        <w:tc>
          <w:tcPr>
            <w:tcW w:w="859" w:type="pct"/>
            <w:shd w:val="clear" w:color="auto" w:fill="auto"/>
            <w:vAlign w:val="center"/>
          </w:tcPr>
          <w:p w14:paraId="089FC828"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Initial scripts per patient</w:t>
            </w:r>
          </w:p>
        </w:tc>
        <w:tc>
          <w:tcPr>
            <w:tcW w:w="1832" w:type="pct"/>
            <w:shd w:val="clear" w:color="auto" w:fill="auto"/>
            <w:vAlign w:val="center"/>
          </w:tcPr>
          <w:p w14:paraId="74CE4D91"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3. Assuming perfect adherence and persistence.</w:t>
            </w:r>
          </w:p>
        </w:tc>
        <w:tc>
          <w:tcPr>
            <w:tcW w:w="2309" w:type="pct"/>
            <w:shd w:val="clear" w:color="auto" w:fill="auto"/>
            <w:vAlign w:val="center"/>
          </w:tcPr>
          <w:p w14:paraId="2982A5DE"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The assumption of perfect adherence and persistence was inconsistent with trial data and estimates used in the economic model and is likely to overestimate the number of initial scripts. </w:t>
            </w:r>
          </w:p>
          <w:p w14:paraId="14220899" w14:textId="77777777" w:rsidR="00062434" w:rsidRPr="00806B36" w:rsidRDefault="00062434" w:rsidP="00BE6DC7">
            <w:pPr>
              <w:jc w:val="left"/>
              <w:rPr>
                <w:rFonts w:ascii="Arial Narrow" w:eastAsiaTheme="majorEastAsia" w:hAnsi="Arial Narrow" w:cstheme="majorBidi"/>
                <w:bCs/>
                <w:sz w:val="20"/>
              </w:rPr>
            </w:pPr>
          </w:p>
          <w:p w14:paraId="165F4A5A" w14:textId="2984C79A"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Script estimates were calculated assuming patients only require 1 vial per dose with a fixed dosing frequency of 3 times per week. This assumption was inappropriate as it does not account for patients requiring more than 1 vial per dose (patients whose weight exceeds 104</w:t>
            </w:r>
            <w:r w:rsidR="003B7199">
              <w:rPr>
                <w:rFonts w:ascii="Arial Narrow" w:eastAsiaTheme="majorEastAsia" w:hAnsi="Arial Narrow" w:cstheme="majorBidi"/>
                <w:bCs/>
                <w:sz w:val="20"/>
              </w:rPr>
              <w:t> </w:t>
            </w:r>
            <w:r w:rsidRPr="00806B36">
              <w:rPr>
                <w:rFonts w:ascii="Arial Narrow" w:eastAsiaTheme="majorEastAsia" w:hAnsi="Arial Narrow" w:cstheme="majorBidi"/>
                <w:bCs/>
                <w:sz w:val="20"/>
              </w:rPr>
              <w:t>kg) and additional doses required with extra haemodialysis sessions.</w:t>
            </w:r>
          </w:p>
          <w:p w14:paraId="77357323" w14:textId="77777777" w:rsidR="00DF7D0F" w:rsidRPr="00806B36" w:rsidRDefault="00DF7D0F" w:rsidP="00BE6DC7">
            <w:pPr>
              <w:jc w:val="left"/>
              <w:rPr>
                <w:rFonts w:ascii="Arial Narrow" w:eastAsiaTheme="majorEastAsia" w:hAnsi="Arial Narrow" w:cstheme="majorBidi"/>
                <w:bCs/>
                <w:sz w:val="20"/>
              </w:rPr>
            </w:pPr>
          </w:p>
          <w:p w14:paraId="78B08BFA" w14:textId="65EA19FD" w:rsidR="00DF7D0F" w:rsidRPr="00806B36" w:rsidRDefault="00A72F30"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DUSC agreed with the evaluation that 100% adherence and persistence in the first 12 weeks would give an overestimate of utilisation. However, DUSC considered the assumption of 1 vial per dose (it could be 2 vials for a patient over 104</w:t>
            </w:r>
            <w:r w:rsidR="003B7199">
              <w:rPr>
                <w:rFonts w:ascii="Arial Narrow" w:eastAsiaTheme="majorEastAsia" w:hAnsi="Arial Narrow" w:cstheme="majorBidi"/>
                <w:bCs/>
                <w:sz w:val="20"/>
              </w:rPr>
              <w:t> </w:t>
            </w:r>
            <w:r w:rsidRPr="00806B36">
              <w:rPr>
                <w:rFonts w:ascii="Arial Narrow" w:eastAsiaTheme="majorEastAsia" w:hAnsi="Arial Narrow" w:cstheme="majorBidi"/>
                <w:bCs/>
                <w:sz w:val="20"/>
              </w:rPr>
              <w:t>kg) and 3 dialysis treatments per week to be underestimates for these parameters which would result in underestimation of utilisation. Combining these factors DUSC considered the initial scripts per patient to be underestimated.</w:t>
            </w:r>
          </w:p>
        </w:tc>
      </w:tr>
      <w:tr w:rsidR="00062434" w:rsidRPr="00806B36" w14:paraId="3F845D72" w14:textId="77777777" w:rsidTr="00BE6DC7">
        <w:trPr>
          <w:cantSplit/>
        </w:trPr>
        <w:tc>
          <w:tcPr>
            <w:tcW w:w="859" w:type="pct"/>
            <w:shd w:val="clear" w:color="auto" w:fill="auto"/>
            <w:vAlign w:val="center"/>
          </w:tcPr>
          <w:p w14:paraId="478B5E76"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Continuing scripts per patient per year</w:t>
            </w:r>
          </w:p>
        </w:tc>
        <w:tc>
          <w:tcPr>
            <w:tcW w:w="1832" w:type="pct"/>
            <w:shd w:val="clear" w:color="auto" w:fill="auto"/>
            <w:vAlign w:val="center"/>
          </w:tcPr>
          <w:p w14:paraId="48B3B8AC"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Initiating year: 8.58; subsequent years: 10.79. Initial year scripts were calculated as 10.06 scripts (52.25 weeks/4 minus 3 initial scripts), adjusted for adherence (93.5%) and assuming patients discontinue mid-way </w:t>
            </w:r>
            <w:r w:rsidRPr="00806B36">
              <w:rPr>
                <w:rFonts w:ascii="Arial Narrow" w:eastAsiaTheme="majorEastAsia" w:hAnsi="Arial Narrow" w:cstheme="majorBidi"/>
                <w:bCs/>
                <w:sz w:val="20"/>
              </w:rPr>
              <w:br/>
              <w:t xml:space="preserve">(1-17.4%/2). Subsequent year scripts were calculated assuming 13.06 scripts per year, adjusted for adherence (93.5%) and assuming patients discontinue mid-way through the year (1-23.2%/2). </w:t>
            </w:r>
          </w:p>
        </w:tc>
        <w:tc>
          <w:tcPr>
            <w:tcW w:w="2309" w:type="pct"/>
            <w:shd w:val="clear" w:color="auto" w:fill="auto"/>
            <w:vAlign w:val="center"/>
          </w:tcPr>
          <w:p w14:paraId="21D16AD6" w14:textId="77777777" w:rsidR="00062434" w:rsidRPr="00806B36" w:rsidRDefault="00062434"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These estimates were highly uncertain, due to uncertainties with treatment discontinuation rates and assumed dose regimen for difelikefalin (1 vial per dose, 3 times per week; as described in initial scripts per patient above). </w:t>
            </w:r>
          </w:p>
          <w:p w14:paraId="60F1223C" w14:textId="77777777" w:rsidR="00A72F30" w:rsidRPr="00806B36" w:rsidRDefault="00A72F30" w:rsidP="00BE6DC7">
            <w:pPr>
              <w:jc w:val="left"/>
              <w:rPr>
                <w:rFonts w:ascii="Arial Narrow" w:eastAsiaTheme="majorEastAsia" w:hAnsi="Arial Narrow" w:cstheme="majorBidi"/>
                <w:bCs/>
                <w:sz w:val="20"/>
              </w:rPr>
            </w:pPr>
          </w:p>
          <w:p w14:paraId="31C0763A" w14:textId="060C0FD7" w:rsidR="00A72F30" w:rsidRPr="00806B36" w:rsidRDefault="00A72F30" w:rsidP="00BE6DC7">
            <w:pPr>
              <w:jc w:val="left"/>
              <w:rPr>
                <w:rFonts w:ascii="Arial Narrow" w:eastAsiaTheme="majorEastAsia" w:hAnsi="Arial Narrow" w:cstheme="majorBidi"/>
                <w:bCs/>
                <w:sz w:val="20"/>
              </w:rPr>
            </w:pPr>
            <w:r w:rsidRPr="00806B36">
              <w:rPr>
                <w:rFonts w:ascii="Arial Narrow" w:eastAsiaTheme="majorEastAsia" w:hAnsi="Arial Narrow" w:cstheme="majorBidi"/>
                <w:bCs/>
                <w:sz w:val="20"/>
              </w:rPr>
              <w:t xml:space="preserve">DUSC considered these parameters were underestimated in the submission. </w:t>
            </w:r>
          </w:p>
        </w:tc>
      </w:tr>
    </w:tbl>
    <w:p w14:paraId="5401B81A" w14:textId="77777777" w:rsidR="00062434" w:rsidRPr="00806B36" w:rsidRDefault="00062434" w:rsidP="00062434">
      <w:pPr>
        <w:pStyle w:val="COMTablefooter"/>
      </w:pPr>
      <w:r w:rsidRPr="00806B36">
        <w:t>Source: Table 68, p194 of the submission.</w:t>
      </w:r>
    </w:p>
    <w:p w14:paraId="6100A78B" w14:textId="77777777" w:rsidR="00062434" w:rsidRPr="00806B36" w:rsidRDefault="00062434" w:rsidP="00062434">
      <w:pPr>
        <w:pStyle w:val="COMTablefooter"/>
      </w:pPr>
      <w:r w:rsidRPr="00806B36">
        <w:t xml:space="preserve">Abbreviations: ANZDATA, Australia and New Zealand Dialysis and Transplant Registry; DOPPS, </w:t>
      </w:r>
      <w:r w:rsidRPr="00806B36">
        <w:rPr>
          <w:rFonts w:eastAsia="TimesNewRoman"/>
        </w:rPr>
        <w:t>Dialysis Outcomes and Practice Patterns Study;</w:t>
      </w:r>
      <w:r w:rsidRPr="00806B36">
        <w:t xml:space="preserve"> PBS, Pharmaceutical Benefits Scheme</w:t>
      </w:r>
    </w:p>
    <w:p w14:paraId="71286120" w14:textId="77777777" w:rsidR="00062434" w:rsidRPr="00806B36" w:rsidRDefault="00062434" w:rsidP="00062434">
      <w:pPr>
        <w:pStyle w:val="COMexecsumnumberedpara"/>
      </w:pPr>
      <w:r w:rsidRPr="00806B36">
        <w:t xml:space="preserve">No discussion was provided in the submission with regards to grandfathered patients, although the epidemiological approach may capture the financial impact associated with this group of patients. </w:t>
      </w:r>
    </w:p>
    <w:p w14:paraId="3522FC77" w14:textId="7D091940" w:rsidR="00062434" w:rsidRPr="00806B36" w:rsidRDefault="00062434" w:rsidP="00062434">
      <w:pPr>
        <w:pStyle w:val="COMexecsumnumberedpara"/>
      </w:pPr>
      <w:r w:rsidRPr="00806B36">
        <w:t xml:space="preserve">The estimated use and financial impact of difelikefalin to the PBS/RPBS over the first 6 years of listing is summarised in </w:t>
      </w:r>
      <w:r w:rsidRPr="00806B36">
        <w:fldChar w:fldCharType="begin"/>
      </w:r>
      <w:r w:rsidRPr="00806B36">
        <w:instrText xml:space="preserve"> REF _Ref104805295 \h  \* MERGEFORMAT </w:instrText>
      </w:r>
      <w:r w:rsidRPr="00806B36">
        <w:fldChar w:fldCharType="separate"/>
      </w:r>
      <w:r w:rsidR="00487C7F" w:rsidRPr="00806B36">
        <w:t xml:space="preserve">Table </w:t>
      </w:r>
      <w:r w:rsidR="00487C7F">
        <w:t>13</w:t>
      </w:r>
      <w:r w:rsidRPr="00806B36">
        <w:fldChar w:fldCharType="end"/>
      </w:r>
      <w:r w:rsidRPr="00806B36">
        <w:t>.</w:t>
      </w:r>
    </w:p>
    <w:p w14:paraId="1A3C342E" w14:textId="3038E502" w:rsidR="00062434" w:rsidRPr="00806B36" w:rsidRDefault="00062434" w:rsidP="00062434">
      <w:pPr>
        <w:pStyle w:val="COMtablefigcaption"/>
      </w:pPr>
      <w:bookmarkStart w:id="73" w:name="_Ref104805295"/>
      <w:r w:rsidRPr="00806B36">
        <w:t xml:space="preserve">Table </w:t>
      </w:r>
      <w:r w:rsidR="00487C7F">
        <w:fldChar w:fldCharType="begin"/>
      </w:r>
      <w:r w:rsidR="00487C7F">
        <w:instrText xml:space="preserve"> SEQ Table \* ARABIC </w:instrText>
      </w:r>
      <w:r w:rsidR="00487C7F">
        <w:fldChar w:fldCharType="separate"/>
      </w:r>
      <w:r w:rsidR="00487C7F">
        <w:rPr>
          <w:noProof/>
        </w:rPr>
        <w:t>13</w:t>
      </w:r>
      <w:r w:rsidR="00487C7F">
        <w:rPr>
          <w:noProof/>
        </w:rPr>
        <w:fldChar w:fldCharType="end"/>
      </w:r>
      <w:bookmarkEnd w:id="73"/>
      <w:r w:rsidRPr="00806B36">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062434" w:rsidRPr="00806B36" w14:paraId="375BC188" w14:textId="77777777" w:rsidTr="00BE6DC7">
        <w:trPr>
          <w:tblHeader/>
        </w:trPr>
        <w:tc>
          <w:tcPr>
            <w:tcW w:w="1334" w:type="pct"/>
            <w:shd w:val="clear" w:color="auto" w:fill="auto"/>
            <w:vAlign w:val="center"/>
          </w:tcPr>
          <w:p w14:paraId="12AA7F1D" w14:textId="77777777" w:rsidR="00062434" w:rsidRPr="00806B36" w:rsidRDefault="00062434" w:rsidP="00BE6DC7">
            <w:pPr>
              <w:pStyle w:val="COMTableheadingrow"/>
              <w:jc w:val="center"/>
              <w:rPr>
                <w:lang w:val="en-AU"/>
              </w:rPr>
            </w:pPr>
          </w:p>
        </w:tc>
        <w:tc>
          <w:tcPr>
            <w:tcW w:w="611" w:type="pct"/>
            <w:shd w:val="clear" w:color="auto" w:fill="auto"/>
            <w:vAlign w:val="center"/>
          </w:tcPr>
          <w:p w14:paraId="31DB2A11" w14:textId="77777777" w:rsidR="00062434" w:rsidRPr="00806B36" w:rsidRDefault="00062434" w:rsidP="00BE6DC7">
            <w:pPr>
              <w:pStyle w:val="COMTableheadingrow"/>
              <w:jc w:val="center"/>
              <w:rPr>
                <w:lang w:val="en-AU"/>
              </w:rPr>
            </w:pPr>
            <w:r w:rsidRPr="00806B36">
              <w:rPr>
                <w:lang w:val="en-AU"/>
              </w:rPr>
              <w:t>Year 1</w:t>
            </w:r>
          </w:p>
        </w:tc>
        <w:tc>
          <w:tcPr>
            <w:tcW w:w="611" w:type="pct"/>
            <w:shd w:val="clear" w:color="auto" w:fill="auto"/>
            <w:vAlign w:val="center"/>
          </w:tcPr>
          <w:p w14:paraId="3FE9A04C" w14:textId="77777777" w:rsidR="00062434" w:rsidRPr="00806B36" w:rsidRDefault="00062434" w:rsidP="00BE6DC7">
            <w:pPr>
              <w:pStyle w:val="COMTableheadingrow"/>
              <w:jc w:val="center"/>
              <w:rPr>
                <w:lang w:val="en-AU"/>
              </w:rPr>
            </w:pPr>
            <w:r w:rsidRPr="00806B36">
              <w:rPr>
                <w:lang w:val="en-AU"/>
              </w:rPr>
              <w:t>Year 2</w:t>
            </w:r>
          </w:p>
        </w:tc>
        <w:tc>
          <w:tcPr>
            <w:tcW w:w="611" w:type="pct"/>
            <w:shd w:val="clear" w:color="auto" w:fill="auto"/>
            <w:vAlign w:val="center"/>
          </w:tcPr>
          <w:p w14:paraId="00B76073" w14:textId="77777777" w:rsidR="00062434" w:rsidRPr="00806B36" w:rsidRDefault="00062434" w:rsidP="00BE6DC7">
            <w:pPr>
              <w:pStyle w:val="COMTableheadingrow"/>
              <w:jc w:val="center"/>
              <w:rPr>
                <w:lang w:val="en-AU"/>
              </w:rPr>
            </w:pPr>
            <w:r w:rsidRPr="00806B36">
              <w:rPr>
                <w:lang w:val="en-AU"/>
              </w:rPr>
              <w:t>Year 3</w:t>
            </w:r>
          </w:p>
        </w:tc>
        <w:tc>
          <w:tcPr>
            <w:tcW w:w="611" w:type="pct"/>
            <w:shd w:val="clear" w:color="auto" w:fill="auto"/>
            <w:vAlign w:val="center"/>
          </w:tcPr>
          <w:p w14:paraId="15FBD147" w14:textId="77777777" w:rsidR="00062434" w:rsidRPr="00806B36" w:rsidRDefault="00062434" w:rsidP="00BE6DC7">
            <w:pPr>
              <w:pStyle w:val="COMTableheadingrow"/>
              <w:jc w:val="center"/>
              <w:rPr>
                <w:lang w:val="en-AU"/>
              </w:rPr>
            </w:pPr>
            <w:r w:rsidRPr="00806B36">
              <w:rPr>
                <w:lang w:val="en-AU"/>
              </w:rPr>
              <w:t>Year 4</w:t>
            </w:r>
          </w:p>
        </w:tc>
        <w:tc>
          <w:tcPr>
            <w:tcW w:w="611" w:type="pct"/>
            <w:shd w:val="clear" w:color="auto" w:fill="auto"/>
            <w:vAlign w:val="center"/>
          </w:tcPr>
          <w:p w14:paraId="78985ECB" w14:textId="77777777" w:rsidR="00062434" w:rsidRPr="00806B36" w:rsidRDefault="00062434" w:rsidP="00BE6DC7">
            <w:pPr>
              <w:pStyle w:val="COMTableheadingrow"/>
              <w:jc w:val="center"/>
              <w:rPr>
                <w:lang w:val="en-AU"/>
              </w:rPr>
            </w:pPr>
            <w:r w:rsidRPr="00806B36">
              <w:rPr>
                <w:lang w:val="en-AU"/>
              </w:rPr>
              <w:t>Year 5</w:t>
            </w:r>
          </w:p>
        </w:tc>
        <w:tc>
          <w:tcPr>
            <w:tcW w:w="611" w:type="pct"/>
          </w:tcPr>
          <w:p w14:paraId="08797A76" w14:textId="77777777" w:rsidR="00062434" w:rsidRPr="00806B36" w:rsidRDefault="00062434" w:rsidP="00BE6DC7">
            <w:pPr>
              <w:pStyle w:val="COMTableheadingrow"/>
              <w:jc w:val="center"/>
              <w:rPr>
                <w:lang w:val="en-AU"/>
              </w:rPr>
            </w:pPr>
            <w:r w:rsidRPr="00806B36">
              <w:rPr>
                <w:lang w:val="en-AU"/>
              </w:rPr>
              <w:t>Year 6</w:t>
            </w:r>
          </w:p>
        </w:tc>
      </w:tr>
      <w:tr w:rsidR="00062434" w:rsidRPr="00806B36" w14:paraId="170AEABA" w14:textId="77777777" w:rsidTr="00BE6DC7">
        <w:tc>
          <w:tcPr>
            <w:tcW w:w="5000" w:type="pct"/>
            <w:gridSpan w:val="7"/>
            <w:shd w:val="clear" w:color="auto" w:fill="auto"/>
            <w:vAlign w:val="center"/>
          </w:tcPr>
          <w:p w14:paraId="561C4EE1" w14:textId="77777777" w:rsidR="00062434" w:rsidRPr="00806B36" w:rsidRDefault="00062434" w:rsidP="00BE6DC7">
            <w:pPr>
              <w:pStyle w:val="COMTableheadingrow"/>
              <w:rPr>
                <w:bCs/>
                <w:color w:val="000000"/>
                <w:lang w:val="en-AU"/>
              </w:rPr>
            </w:pPr>
            <w:r w:rsidRPr="00806B36">
              <w:rPr>
                <w:bCs/>
                <w:color w:val="000000"/>
                <w:lang w:val="en-AU"/>
              </w:rPr>
              <w:t>Estimated extent of use</w:t>
            </w:r>
          </w:p>
        </w:tc>
      </w:tr>
      <w:tr w:rsidR="00062434" w:rsidRPr="00806B36" w14:paraId="0CFCFC04" w14:textId="77777777" w:rsidTr="00BE6DC7">
        <w:tc>
          <w:tcPr>
            <w:tcW w:w="1334" w:type="pct"/>
            <w:shd w:val="clear" w:color="auto" w:fill="auto"/>
            <w:vAlign w:val="center"/>
          </w:tcPr>
          <w:p w14:paraId="18DBA502" w14:textId="77777777" w:rsidR="00062434" w:rsidRPr="00806B36" w:rsidRDefault="00062434" w:rsidP="00BE6DC7">
            <w:pPr>
              <w:pStyle w:val="COMTabletext"/>
              <w:rPr>
                <w:rFonts w:ascii="Times" w:hAnsi="Times"/>
              </w:rPr>
            </w:pPr>
            <w:r w:rsidRPr="00806B36">
              <w:t>Patients initiating treatment</w:t>
            </w:r>
          </w:p>
        </w:tc>
        <w:tc>
          <w:tcPr>
            <w:tcW w:w="611" w:type="pct"/>
            <w:shd w:val="clear" w:color="auto" w:fill="auto"/>
          </w:tcPr>
          <w:p w14:paraId="3D56037C" w14:textId="7EB6ED33"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2" w:id="-1236597757"/>
                <w14:textFill>
                  <w14:solidFill>
                    <w14:srgbClr w14:val="000000">
                      <w14:alpha w14:val="100000"/>
                    </w14:srgbClr>
                  </w14:solidFill>
                </w14:textFill>
              </w:rPr>
              <w:t>|||</w:t>
            </w:r>
            <w:r w:rsidRPr="008537BB">
              <w:rPr>
                <w:color w:val="000000"/>
                <w:spacing w:val="2"/>
                <w:shd w:val="solid" w:color="000000" w:fill="000000"/>
                <w:fitText w:val="382" w:id="-1236597757"/>
                <w14:textFill>
                  <w14:solidFill>
                    <w14:srgbClr w14:val="000000">
                      <w14:alpha w14:val="100000"/>
                    </w14:srgbClr>
                  </w14:solidFill>
                </w14:textFill>
              </w:rPr>
              <w:t>|</w:t>
            </w:r>
            <w:r w:rsidR="00597715" w:rsidRPr="00555C97">
              <w:rPr>
                <w:vertAlign w:val="superscript"/>
              </w:rPr>
              <w:t>1</w:t>
            </w:r>
          </w:p>
        </w:tc>
        <w:tc>
          <w:tcPr>
            <w:tcW w:w="611" w:type="pct"/>
            <w:shd w:val="clear" w:color="auto" w:fill="auto"/>
          </w:tcPr>
          <w:p w14:paraId="27D08A02" w14:textId="41C22933" w:rsidR="00062434" w:rsidRPr="00555C97" w:rsidRDefault="008537BB" w:rsidP="00BE6DC7">
            <w:pPr>
              <w:pStyle w:val="COMTabletext"/>
              <w:jc w:val="center"/>
              <w:rPr>
                <w:b/>
                <w:bCs w:val="0"/>
                <w:color w:val="000000"/>
                <w:highlight w:val="darkGray"/>
              </w:rPr>
            </w:pPr>
            <w:r w:rsidRPr="008537BB">
              <w:rPr>
                <w:color w:val="000000"/>
                <w:spacing w:val="70"/>
                <w:shd w:val="solid" w:color="000000" w:fill="000000"/>
                <w:fitText w:val="383" w:id="-1236597756"/>
                <w14:textFill>
                  <w14:solidFill>
                    <w14:srgbClr w14:val="000000">
                      <w14:alpha w14:val="100000"/>
                    </w14:srgbClr>
                  </w14:solidFill>
                </w14:textFill>
              </w:rPr>
              <w:t>|||</w:t>
            </w:r>
            <w:r w:rsidRPr="008537BB">
              <w:rPr>
                <w:color w:val="000000"/>
                <w:spacing w:val="3"/>
                <w:shd w:val="solid" w:color="000000" w:fill="000000"/>
                <w:fitText w:val="383" w:id="-1236597756"/>
                <w14:textFill>
                  <w14:solidFill>
                    <w14:srgbClr w14:val="000000">
                      <w14:alpha w14:val="100000"/>
                    </w14:srgbClr>
                  </w14:solidFill>
                </w14:textFill>
              </w:rPr>
              <w:t>|</w:t>
            </w:r>
            <w:r w:rsidR="00597715" w:rsidRPr="006F69AD">
              <w:rPr>
                <w:vertAlign w:val="superscript"/>
              </w:rPr>
              <w:t>1</w:t>
            </w:r>
          </w:p>
        </w:tc>
        <w:tc>
          <w:tcPr>
            <w:tcW w:w="611" w:type="pct"/>
            <w:shd w:val="clear" w:color="auto" w:fill="auto"/>
          </w:tcPr>
          <w:p w14:paraId="064B4007" w14:textId="50DBF000"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55"/>
                <w14:textFill>
                  <w14:solidFill>
                    <w14:srgbClr w14:val="000000">
                      <w14:alpha w14:val="100000"/>
                    </w14:srgbClr>
                  </w14:solidFill>
                </w14:textFill>
              </w:rPr>
              <w:t>|||</w:t>
            </w:r>
            <w:r w:rsidRPr="008537BB">
              <w:rPr>
                <w:color w:val="000000"/>
                <w:spacing w:val="3"/>
                <w:shd w:val="solid" w:color="000000" w:fill="000000"/>
                <w:fitText w:val="383" w:id="-1236597755"/>
                <w14:textFill>
                  <w14:solidFill>
                    <w14:srgbClr w14:val="000000">
                      <w14:alpha w14:val="100000"/>
                    </w14:srgbClr>
                  </w14:solidFill>
                </w14:textFill>
              </w:rPr>
              <w:t>|</w:t>
            </w:r>
            <w:r w:rsidR="00597715" w:rsidRPr="006F69AD">
              <w:rPr>
                <w:vertAlign w:val="superscript"/>
              </w:rPr>
              <w:t>1</w:t>
            </w:r>
          </w:p>
        </w:tc>
        <w:tc>
          <w:tcPr>
            <w:tcW w:w="611" w:type="pct"/>
            <w:shd w:val="clear" w:color="auto" w:fill="auto"/>
          </w:tcPr>
          <w:p w14:paraId="0FE40318" w14:textId="64849757"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54"/>
                <w14:textFill>
                  <w14:solidFill>
                    <w14:srgbClr w14:val="000000">
                      <w14:alpha w14:val="100000"/>
                    </w14:srgbClr>
                  </w14:solidFill>
                </w14:textFill>
              </w:rPr>
              <w:t>|||</w:t>
            </w:r>
            <w:r w:rsidRPr="008537BB">
              <w:rPr>
                <w:color w:val="000000"/>
                <w:spacing w:val="3"/>
                <w:shd w:val="solid" w:color="000000" w:fill="000000"/>
                <w:fitText w:val="383" w:id="-1236597754"/>
                <w14:textFill>
                  <w14:solidFill>
                    <w14:srgbClr w14:val="000000">
                      <w14:alpha w14:val="100000"/>
                    </w14:srgbClr>
                  </w14:solidFill>
                </w14:textFill>
              </w:rPr>
              <w:t>|</w:t>
            </w:r>
            <w:r w:rsidR="00597715" w:rsidRPr="006F69AD">
              <w:rPr>
                <w:vertAlign w:val="superscript"/>
              </w:rPr>
              <w:t>1</w:t>
            </w:r>
          </w:p>
        </w:tc>
        <w:tc>
          <w:tcPr>
            <w:tcW w:w="611" w:type="pct"/>
            <w:shd w:val="clear" w:color="auto" w:fill="auto"/>
          </w:tcPr>
          <w:p w14:paraId="39576C30" w14:textId="18227609"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53"/>
                <w14:textFill>
                  <w14:solidFill>
                    <w14:srgbClr w14:val="000000">
                      <w14:alpha w14:val="100000"/>
                    </w14:srgbClr>
                  </w14:solidFill>
                </w14:textFill>
              </w:rPr>
              <w:t>|||</w:t>
            </w:r>
            <w:r w:rsidRPr="008537BB">
              <w:rPr>
                <w:color w:val="000000"/>
                <w:spacing w:val="3"/>
                <w:shd w:val="solid" w:color="000000" w:fill="000000"/>
                <w:fitText w:val="383" w:id="-1236597753"/>
                <w14:textFill>
                  <w14:solidFill>
                    <w14:srgbClr w14:val="000000">
                      <w14:alpha w14:val="100000"/>
                    </w14:srgbClr>
                  </w14:solidFill>
                </w14:textFill>
              </w:rPr>
              <w:t>|</w:t>
            </w:r>
            <w:r w:rsidR="00597715" w:rsidRPr="006F69AD">
              <w:rPr>
                <w:vertAlign w:val="superscript"/>
              </w:rPr>
              <w:t>1</w:t>
            </w:r>
          </w:p>
        </w:tc>
        <w:tc>
          <w:tcPr>
            <w:tcW w:w="611" w:type="pct"/>
          </w:tcPr>
          <w:p w14:paraId="69DE3751" w14:textId="1CDD7366"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52"/>
                <w14:textFill>
                  <w14:solidFill>
                    <w14:srgbClr w14:val="000000">
                      <w14:alpha w14:val="100000"/>
                    </w14:srgbClr>
                  </w14:solidFill>
                </w14:textFill>
              </w:rPr>
              <w:t>|||</w:t>
            </w:r>
            <w:r w:rsidRPr="008537BB">
              <w:rPr>
                <w:color w:val="000000"/>
                <w:spacing w:val="3"/>
                <w:shd w:val="solid" w:color="000000" w:fill="000000"/>
                <w:fitText w:val="383" w:id="-1236597752"/>
                <w14:textFill>
                  <w14:solidFill>
                    <w14:srgbClr w14:val="000000">
                      <w14:alpha w14:val="100000"/>
                    </w14:srgbClr>
                  </w14:solidFill>
                </w14:textFill>
              </w:rPr>
              <w:t>|</w:t>
            </w:r>
            <w:r w:rsidR="00597715" w:rsidRPr="006F69AD">
              <w:rPr>
                <w:vertAlign w:val="superscript"/>
              </w:rPr>
              <w:t>1</w:t>
            </w:r>
          </w:p>
        </w:tc>
      </w:tr>
      <w:tr w:rsidR="00062434" w:rsidRPr="00806B36" w14:paraId="58652915" w14:textId="77777777" w:rsidTr="00BE6DC7">
        <w:tc>
          <w:tcPr>
            <w:tcW w:w="1334" w:type="pct"/>
            <w:shd w:val="clear" w:color="auto" w:fill="auto"/>
          </w:tcPr>
          <w:p w14:paraId="605CD3E8" w14:textId="77777777" w:rsidR="00062434" w:rsidRPr="00806B36" w:rsidRDefault="00062434" w:rsidP="00BE6DC7">
            <w:pPr>
              <w:pStyle w:val="COMTabletext"/>
              <w:rPr>
                <w:rFonts w:ascii="Times" w:hAnsi="Times"/>
              </w:rPr>
            </w:pPr>
            <w:r w:rsidRPr="00806B36">
              <w:t xml:space="preserve">Initial year responders </w:t>
            </w:r>
          </w:p>
        </w:tc>
        <w:tc>
          <w:tcPr>
            <w:tcW w:w="611" w:type="pct"/>
            <w:shd w:val="clear" w:color="auto" w:fill="auto"/>
            <w:vAlign w:val="center"/>
          </w:tcPr>
          <w:p w14:paraId="643A5CCC" w14:textId="2A807D7C"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2" w:id="-1236597751"/>
                <w14:textFill>
                  <w14:solidFill>
                    <w14:srgbClr w14:val="000000">
                      <w14:alpha w14:val="100000"/>
                    </w14:srgbClr>
                  </w14:solidFill>
                </w14:textFill>
              </w:rPr>
              <w:t>|||</w:t>
            </w:r>
            <w:r w:rsidRPr="008537BB">
              <w:rPr>
                <w:color w:val="000000"/>
                <w:spacing w:val="2"/>
                <w:shd w:val="solid" w:color="000000" w:fill="000000"/>
                <w:fitText w:val="382" w:id="-1236597751"/>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2E06DF11" w14:textId="43B44067"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50"/>
                <w14:textFill>
                  <w14:solidFill>
                    <w14:srgbClr w14:val="000000">
                      <w14:alpha w14:val="100000"/>
                    </w14:srgbClr>
                  </w14:solidFill>
                </w14:textFill>
              </w:rPr>
              <w:t>|||</w:t>
            </w:r>
            <w:r w:rsidRPr="008537BB">
              <w:rPr>
                <w:color w:val="000000"/>
                <w:spacing w:val="3"/>
                <w:shd w:val="solid" w:color="000000" w:fill="000000"/>
                <w:fitText w:val="383" w:id="-1236597750"/>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58A86AA9" w14:textId="4C39D049"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49"/>
                <w14:textFill>
                  <w14:solidFill>
                    <w14:srgbClr w14:val="000000">
                      <w14:alpha w14:val="100000"/>
                    </w14:srgbClr>
                  </w14:solidFill>
                </w14:textFill>
              </w:rPr>
              <w:t>|||</w:t>
            </w:r>
            <w:r w:rsidRPr="008537BB">
              <w:rPr>
                <w:color w:val="000000"/>
                <w:spacing w:val="3"/>
                <w:shd w:val="solid" w:color="000000" w:fill="000000"/>
                <w:fitText w:val="383" w:id="-1236597749"/>
                <w14:textFill>
                  <w14:solidFill>
                    <w14:srgbClr w14:val="000000">
                      <w14:alpha w14:val="100000"/>
                    </w14:srgbClr>
                  </w14:solidFill>
                </w14:textFill>
              </w:rPr>
              <w:t>|</w:t>
            </w:r>
            <w:r w:rsidR="00597715">
              <w:rPr>
                <w:vertAlign w:val="superscript"/>
              </w:rPr>
              <w:t>2</w:t>
            </w:r>
          </w:p>
        </w:tc>
        <w:tc>
          <w:tcPr>
            <w:tcW w:w="611" w:type="pct"/>
            <w:shd w:val="clear" w:color="auto" w:fill="auto"/>
            <w:vAlign w:val="center"/>
          </w:tcPr>
          <w:p w14:paraId="5010CD47" w14:textId="31B231A4"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48"/>
                <w14:textFill>
                  <w14:solidFill>
                    <w14:srgbClr w14:val="000000">
                      <w14:alpha w14:val="100000"/>
                    </w14:srgbClr>
                  </w14:solidFill>
                </w14:textFill>
              </w:rPr>
              <w:t>|||</w:t>
            </w:r>
            <w:r w:rsidRPr="008537BB">
              <w:rPr>
                <w:color w:val="000000"/>
                <w:spacing w:val="3"/>
                <w:shd w:val="solid" w:color="000000" w:fill="000000"/>
                <w:fitText w:val="383" w:id="-1236597748"/>
                <w14:textFill>
                  <w14:solidFill>
                    <w14:srgbClr w14:val="000000">
                      <w14:alpha w14:val="100000"/>
                    </w14:srgbClr>
                  </w14:solidFill>
                </w14:textFill>
              </w:rPr>
              <w:t>|</w:t>
            </w:r>
            <w:r w:rsidR="00597715">
              <w:rPr>
                <w:vertAlign w:val="superscript"/>
              </w:rPr>
              <w:t>2</w:t>
            </w:r>
          </w:p>
        </w:tc>
        <w:tc>
          <w:tcPr>
            <w:tcW w:w="611" w:type="pct"/>
            <w:shd w:val="clear" w:color="auto" w:fill="auto"/>
            <w:vAlign w:val="center"/>
          </w:tcPr>
          <w:p w14:paraId="2FA00E9C" w14:textId="0461072A"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47"/>
                <w14:textFill>
                  <w14:solidFill>
                    <w14:srgbClr w14:val="000000">
                      <w14:alpha w14:val="100000"/>
                    </w14:srgbClr>
                  </w14:solidFill>
                </w14:textFill>
              </w:rPr>
              <w:t>|||</w:t>
            </w:r>
            <w:r w:rsidRPr="008537BB">
              <w:rPr>
                <w:color w:val="000000"/>
                <w:spacing w:val="3"/>
                <w:shd w:val="solid" w:color="000000" w:fill="000000"/>
                <w:fitText w:val="383" w:id="-1236597747"/>
                <w14:textFill>
                  <w14:solidFill>
                    <w14:srgbClr w14:val="000000">
                      <w14:alpha w14:val="100000"/>
                    </w14:srgbClr>
                  </w14:solidFill>
                </w14:textFill>
              </w:rPr>
              <w:t>|</w:t>
            </w:r>
            <w:r w:rsidR="00597715">
              <w:rPr>
                <w:vertAlign w:val="superscript"/>
              </w:rPr>
              <w:t>2</w:t>
            </w:r>
          </w:p>
        </w:tc>
        <w:tc>
          <w:tcPr>
            <w:tcW w:w="611" w:type="pct"/>
            <w:vAlign w:val="center"/>
          </w:tcPr>
          <w:p w14:paraId="2A5D4D24" w14:textId="7E100D65"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46"/>
                <w14:textFill>
                  <w14:solidFill>
                    <w14:srgbClr w14:val="000000">
                      <w14:alpha w14:val="100000"/>
                    </w14:srgbClr>
                  </w14:solidFill>
                </w14:textFill>
              </w:rPr>
              <w:t>|||</w:t>
            </w:r>
            <w:r w:rsidRPr="008537BB">
              <w:rPr>
                <w:color w:val="000000"/>
                <w:spacing w:val="3"/>
                <w:shd w:val="solid" w:color="000000" w:fill="000000"/>
                <w:fitText w:val="383" w:id="-1236597746"/>
                <w14:textFill>
                  <w14:solidFill>
                    <w14:srgbClr w14:val="000000">
                      <w14:alpha w14:val="100000"/>
                    </w14:srgbClr>
                  </w14:solidFill>
                </w14:textFill>
              </w:rPr>
              <w:t>|</w:t>
            </w:r>
            <w:r w:rsidR="00597715">
              <w:rPr>
                <w:vertAlign w:val="superscript"/>
              </w:rPr>
              <w:t>2</w:t>
            </w:r>
          </w:p>
        </w:tc>
      </w:tr>
      <w:tr w:rsidR="00062434" w:rsidRPr="00806B36" w14:paraId="07FC29FD" w14:textId="77777777" w:rsidTr="00BE6DC7">
        <w:tc>
          <w:tcPr>
            <w:tcW w:w="1334" w:type="pct"/>
            <w:shd w:val="clear" w:color="auto" w:fill="auto"/>
          </w:tcPr>
          <w:p w14:paraId="3BE5DDA6" w14:textId="77777777" w:rsidR="00062434" w:rsidRPr="00806B36" w:rsidRDefault="00062434" w:rsidP="00BE6DC7">
            <w:pPr>
              <w:pStyle w:val="COMTabletext"/>
              <w:rPr>
                <w:rFonts w:ascii="Times" w:hAnsi="Times"/>
              </w:rPr>
            </w:pPr>
            <w:r w:rsidRPr="00806B36">
              <w:t>Subsequent year patients who are alive and are persistent to treatment</w:t>
            </w:r>
          </w:p>
        </w:tc>
        <w:tc>
          <w:tcPr>
            <w:tcW w:w="611" w:type="pct"/>
            <w:shd w:val="clear" w:color="auto" w:fill="auto"/>
            <w:vAlign w:val="center"/>
          </w:tcPr>
          <w:p w14:paraId="7C750D08" w14:textId="77777777" w:rsidR="00062434" w:rsidRPr="00555C97" w:rsidRDefault="00062434" w:rsidP="00BE6DC7">
            <w:pPr>
              <w:pStyle w:val="COMTabletext"/>
              <w:jc w:val="center"/>
              <w:rPr>
                <w:color w:val="000000"/>
                <w:highlight w:val="darkGray"/>
              </w:rPr>
            </w:pPr>
            <w:r w:rsidRPr="00597715">
              <w:t>-</w:t>
            </w:r>
          </w:p>
        </w:tc>
        <w:tc>
          <w:tcPr>
            <w:tcW w:w="611" w:type="pct"/>
            <w:shd w:val="clear" w:color="auto" w:fill="auto"/>
            <w:vAlign w:val="center"/>
          </w:tcPr>
          <w:p w14:paraId="3181E30B" w14:textId="04DFD15F"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45"/>
                <w14:textFill>
                  <w14:solidFill>
                    <w14:srgbClr w14:val="000000">
                      <w14:alpha w14:val="100000"/>
                    </w14:srgbClr>
                  </w14:solidFill>
                </w14:textFill>
              </w:rPr>
              <w:t>|||</w:t>
            </w:r>
            <w:r w:rsidRPr="008537BB">
              <w:rPr>
                <w:color w:val="000000"/>
                <w:spacing w:val="3"/>
                <w:shd w:val="solid" w:color="000000" w:fill="000000"/>
                <w:fitText w:val="383" w:id="-1236597745"/>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5EEFEFA4" w14:textId="374D4F26"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44"/>
                <w14:textFill>
                  <w14:solidFill>
                    <w14:srgbClr w14:val="000000">
                      <w14:alpha w14:val="100000"/>
                    </w14:srgbClr>
                  </w14:solidFill>
                </w14:textFill>
              </w:rPr>
              <w:t>|||</w:t>
            </w:r>
            <w:r w:rsidRPr="008537BB">
              <w:rPr>
                <w:color w:val="000000"/>
                <w:spacing w:val="3"/>
                <w:shd w:val="solid" w:color="000000" w:fill="000000"/>
                <w:fitText w:val="383" w:id="-1236597744"/>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35C94DD5" w14:textId="121D880F"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60"/>
                <w14:textFill>
                  <w14:solidFill>
                    <w14:srgbClr w14:val="000000">
                      <w14:alpha w14:val="100000"/>
                    </w14:srgbClr>
                  </w14:solidFill>
                </w14:textFill>
              </w:rPr>
              <w:t>|||</w:t>
            </w:r>
            <w:r w:rsidRPr="008537BB">
              <w:rPr>
                <w:color w:val="000000"/>
                <w:spacing w:val="3"/>
                <w:shd w:val="solid" w:color="000000" w:fill="000000"/>
                <w:fitText w:val="383" w:id="-1236597760"/>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06BBA366" w14:textId="1380A20D"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59"/>
                <w14:textFill>
                  <w14:solidFill>
                    <w14:srgbClr w14:val="000000">
                      <w14:alpha w14:val="100000"/>
                    </w14:srgbClr>
                  </w14:solidFill>
                </w14:textFill>
              </w:rPr>
              <w:t>|||</w:t>
            </w:r>
            <w:r w:rsidRPr="008537BB">
              <w:rPr>
                <w:color w:val="000000"/>
                <w:spacing w:val="3"/>
                <w:shd w:val="solid" w:color="000000" w:fill="000000"/>
                <w:fitText w:val="383" w:id="-1236597759"/>
                <w14:textFill>
                  <w14:solidFill>
                    <w14:srgbClr w14:val="000000">
                      <w14:alpha w14:val="100000"/>
                    </w14:srgbClr>
                  </w14:solidFill>
                </w14:textFill>
              </w:rPr>
              <w:t>|</w:t>
            </w:r>
            <w:r w:rsidR="00597715" w:rsidRPr="006F69AD">
              <w:rPr>
                <w:vertAlign w:val="superscript"/>
              </w:rPr>
              <w:t>1</w:t>
            </w:r>
          </w:p>
        </w:tc>
        <w:tc>
          <w:tcPr>
            <w:tcW w:w="611" w:type="pct"/>
            <w:vAlign w:val="center"/>
          </w:tcPr>
          <w:p w14:paraId="67782A50" w14:textId="6D910F5B" w:rsidR="00062434" w:rsidRPr="00555C97" w:rsidRDefault="008537BB" w:rsidP="00BE6DC7">
            <w:pPr>
              <w:pStyle w:val="COMTabletext"/>
              <w:jc w:val="center"/>
              <w:rPr>
                <w:color w:val="000000"/>
                <w:highlight w:val="darkGray"/>
              </w:rPr>
            </w:pPr>
            <w:r w:rsidRPr="008537BB">
              <w:rPr>
                <w:color w:val="000000"/>
                <w:spacing w:val="70"/>
                <w:shd w:val="solid" w:color="000000" w:fill="000000"/>
                <w:fitText w:val="383" w:id="-1236597758"/>
                <w14:textFill>
                  <w14:solidFill>
                    <w14:srgbClr w14:val="000000">
                      <w14:alpha w14:val="100000"/>
                    </w14:srgbClr>
                  </w14:solidFill>
                </w14:textFill>
              </w:rPr>
              <w:t>|||</w:t>
            </w:r>
            <w:r w:rsidRPr="008537BB">
              <w:rPr>
                <w:color w:val="000000"/>
                <w:spacing w:val="3"/>
                <w:shd w:val="solid" w:color="000000" w:fill="000000"/>
                <w:fitText w:val="383" w:id="-1236597758"/>
                <w14:textFill>
                  <w14:solidFill>
                    <w14:srgbClr w14:val="000000">
                      <w14:alpha w14:val="100000"/>
                    </w14:srgbClr>
                  </w14:solidFill>
                </w14:textFill>
              </w:rPr>
              <w:t>|</w:t>
            </w:r>
            <w:r w:rsidR="00597715" w:rsidRPr="006F69AD">
              <w:rPr>
                <w:vertAlign w:val="superscript"/>
              </w:rPr>
              <w:t>1</w:t>
            </w:r>
          </w:p>
        </w:tc>
      </w:tr>
      <w:tr w:rsidR="00062434" w:rsidRPr="00806B36" w14:paraId="450B4297" w14:textId="77777777" w:rsidTr="00BE6DC7">
        <w:tc>
          <w:tcPr>
            <w:tcW w:w="1334" w:type="pct"/>
            <w:shd w:val="clear" w:color="auto" w:fill="auto"/>
          </w:tcPr>
          <w:p w14:paraId="6FE38A1A" w14:textId="77777777" w:rsidR="00062434" w:rsidRPr="00806B36" w:rsidRDefault="00062434" w:rsidP="00BE6DC7">
            <w:pPr>
              <w:pStyle w:val="COMTabletext"/>
            </w:pPr>
            <w:r w:rsidRPr="00806B36">
              <w:t>Initial scripts</w:t>
            </w:r>
          </w:p>
        </w:tc>
        <w:tc>
          <w:tcPr>
            <w:tcW w:w="611" w:type="pct"/>
            <w:shd w:val="clear" w:color="auto" w:fill="auto"/>
            <w:vAlign w:val="center"/>
          </w:tcPr>
          <w:p w14:paraId="0735F452" w14:textId="53A02FFE" w:rsidR="00062434" w:rsidRPr="00555C97" w:rsidRDefault="008537BB" w:rsidP="00BE6DC7">
            <w:pPr>
              <w:pStyle w:val="COMTabletext"/>
              <w:jc w:val="center"/>
              <w:rPr>
                <w:highlight w:val="darkGray"/>
              </w:rPr>
            </w:pPr>
            <w:r w:rsidRPr="008537BB">
              <w:rPr>
                <w:color w:val="000000"/>
                <w:spacing w:val="70"/>
                <w:shd w:val="solid" w:color="000000" w:fill="000000"/>
                <w:fitText w:val="382" w:id="-1236597757"/>
                <w14:textFill>
                  <w14:solidFill>
                    <w14:srgbClr w14:val="000000">
                      <w14:alpha w14:val="100000"/>
                    </w14:srgbClr>
                  </w14:solidFill>
                </w14:textFill>
              </w:rPr>
              <w:t>|||</w:t>
            </w:r>
            <w:r w:rsidRPr="008537BB">
              <w:rPr>
                <w:color w:val="000000"/>
                <w:spacing w:val="2"/>
                <w:shd w:val="solid" w:color="000000" w:fill="000000"/>
                <w:fitText w:val="382" w:id="-1236597757"/>
                <w14:textFill>
                  <w14:solidFill>
                    <w14:srgbClr w14:val="000000">
                      <w14:alpha w14:val="100000"/>
                    </w14:srgbClr>
                  </w14:solidFill>
                </w14:textFill>
              </w:rPr>
              <w:t>|</w:t>
            </w:r>
            <w:r w:rsidR="00597715">
              <w:rPr>
                <w:vertAlign w:val="superscript"/>
              </w:rPr>
              <w:t>3</w:t>
            </w:r>
          </w:p>
        </w:tc>
        <w:tc>
          <w:tcPr>
            <w:tcW w:w="611" w:type="pct"/>
            <w:shd w:val="clear" w:color="auto" w:fill="auto"/>
            <w:vAlign w:val="center"/>
          </w:tcPr>
          <w:p w14:paraId="3BEA9E6B" w14:textId="136DA88F" w:rsidR="00062434" w:rsidRPr="00555C97" w:rsidRDefault="008537BB" w:rsidP="00BE6DC7">
            <w:pPr>
              <w:pStyle w:val="COMTabletext"/>
              <w:jc w:val="center"/>
              <w:rPr>
                <w:b/>
                <w:bCs w:val="0"/>
                <w:highlight w:val="darkGray"/>
              </w:rPr>
            </w:pPr>
            <w:r w:rsidRPr="008537BB">
              <w:rPr>
                <w:color w:val="000000"/>
                <w:spacing w:val="70"/>
                <w:shd w:val="solid" w:color="000000" w:fill="000000"/>
                <w:fitText w:val="383" w:id="-1236597756"/>
                <w14:textFill>
                  <w14:solidFill>
                    <w14:srgbClr w14:val="000000">
                      <w14:alpha w14:val="100000"/>
                    </w14:srgbClr>
                  </w14:solidFill>
                </w14:textFill>
              </w:rPr>
              <w:t>|||</w:t>
            </w:r>
            <w:r w:rsidRPr="008537BB">
              <w:rPr>
                <w:color w:val="000000"/>
                <w:spacing w:val="3"/>
                <w:shd w:val="solid" w:color="000000" w:fill="000000"/>
                <w:fitText w:val="383" w:id="-1236597756"/>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32CC444A" w14:textId="390067D2"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5"/>
                <w14:textFill>
                  <w14:solidFill>
                    <w14:srgbClr w14:val="000000">
                      <w14:alpha w14:val="100000"/>
                    </w14:srgbClr>
                  </w14:solidFill>
                </w14:textFill>
              </w:rPr>
              <w:t>|||</w:t>
            </w:r>
            <w:r w:rsidRPr="008537BB">
              <w:rPr>
                <w:color w:val="000000"/>
                <w:spacing w:val="3"/>
                <w:shd w:val="solid" w:color="000000" w:fill="000000"/>
                <w:fitText w:val="383" w:id="-1236597755"/>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6164A76B" w14:textId="5FB5FA41"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4"/>
                <w14:textFill>
                  <w14:solidFill>
                    <w14:srgbClr w14:val="000000">
                      <w14:alpha w14:val="100000"/>
                    </w14:srgbClr>
                  </w14:solidFill>
                </w14:textFill>
              </w:rPr>
              <w:t>|||</w:t>
            </w:r>
            <w:r w:rsidRPr="008537BB">
              <w:rPr>
                <w:color w:val="000000"/>
                <w:spacing w:val="3"/>
                <w:shd w:val="solid" w:color="000000" w:fill="000000"/>
                <w:fitText w:val="383" w:id="-1236597754"/>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6D779A38" w14:textId="0EA8C19E"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3"/>
                <w14:textFill>
                  <w14:solidFill>
                    <w14:srgbClr w14:val="000000">
                      <w14:alpha w14:val="100000"/>
                    </w14:srgbClr>
                  </w14:solidFill>
                </w14:textFill>
              </w:rPr>
              <w:t>|||</w:t>
            </w:r>
            <w:r w:rsidRPr="008537BB">
              <w:rPr>
                <w:color w:val="000000"/>
                <w:spacing w:val="3"/>
                <w:shd w:val="solid" w:color="000000" w:fill="000000"/>
                <w:fitText w:val="383" w:id="-1236597753"/>
                <w14:textFill>
                  <w14:solidFill>
                    <w14:srgbClr w14:val="000000">
                      <w14:alpha w14:val="100000"/>
                    </w14:srgbClr>
                  </w14:solidFill>
                </w14:textFill>
              </w:rPr>
              <w:t>|</w:t>
            </w:r>
            <w:r w:rsidR="00597715" w:rsidRPr="006F69AD">
              <w:rPr>
                <w:vertAlign w:val="superscript"/>
              </w:rPr>
              <w:t>1</w:t>
            </w:r>
          </w:p>
        </w:tc>
        <w:tc>
          <w:tcPr>
            <w:tcW w:w="611" w:type="pct"/>
            <w:vAlign w:val="center"/>
          </w:tcPr>
          <w:p w14:paraId="20645B32" w14:textId="1A06E898"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2"/>
                <w14:textFill>
                  <w14:solidFill>
                    <w14:srgbClr w14:val="000000">
                      <w14:alpha w14:val="100000"/>
                    </w14:srgbClr>
                  </w14:solidFill>
                </w14:textFill>
              </w:rPr>
              <w:t>|||</w:t>
            </w:r>
            <w:r w:rsidRPr="008537BB">
              <w:rPr>
                <w:color w:val="000000"/>
                <w:spacing w:val="3"/>
                <w:shd w:val="solid" w:color="000000" w:fill="000000"/>
                <w:fitText w:val="383" w:id="-1236597752"/>
                <w14:textFill>
                  <w14:solidFill>
                    <w14:srgbClr w14:val="000000">
                      <w14:alpha w14:val="100000"/>
                    </w14:srgbClr>
                  </w14:solidFill>
                </w14:textFill>
              </w:rPr>
              <w:t>|</w:t>
            </w:r>
            <w:r w:rsidR="00597715" w:rsidRPr="006F69AD">
              <w:rPr>
                <w:vertAlign w:val="superscript"/>
              </w:rPr>
              <w:t>1</w:t>
            </w:r>
          </w:p>
        </w:tc>
      </w:tr>
      <w:tr w:rsidR="00062434" w:rsidRPr="00806B36" w14:paraId="10ED84B4" w14:textId="77777777" w:rsidTr="00BE6DC7">
        <w:tc>
          <w:tcPr>
            <w:tcW w:w="1334" w:type="pct"/>
            <w:shd w:val="clear" w:color="auto" w:fill="auto"/>
          </w:tcPr>
          <w:p w14:paraId="5C0661E3" w14:textId="77777777" w:rsidR="00062434" w:rsidRPr="00806B36" w:rsidRDefault="00062434" w:rsidP="00BE6DC7">
            <w:pPr>
              <w:pStyle w:val="COMTabletext"/>
            </w:pPr>
            <w:r w:rsidRPr="00806B36">
              <w:t>First year continuing scripts</w:t>
            </w:r>
          </w:p>
        </w:tc>
        <w:tc>
          <w:tcPr>
            <w:tcW w:w="611" w:type="pct"/>
            <w:shd w:val="clear" w:color="auto" w:fill="auto"/>
            <w:vAlign w:val="center"/>
          </w:tcPr>
          <w:p w14:paraId="7BE622CB" w14:textId="27626E4B" w:rsidR="00062434" w:rsidRPr="00555C97" w:rsidRDefault="008537BB" w:rsidP="00BE6DC7">
            <w:pPr>
              <w:pStyle w:val="COMTabletext"/>
              <w:jc w:val="center"/>
              <w:rPr>
                <w:highlight w:val="darkGray"/>
              </w:rPr>
            </w:pPr>
            <w:r w:rsidRPr="008537BB">
              <w:rPr>
                <w:color w:val="000000"/>
                <w:spacing w:val="70"/>
                <w:shd w:val="solid" w:color="000000" w:fill="000000"/>
                <w:fitText w:val="382" w:id="-1236597751"/>
                <w14:textFill>
                  <w14:solidFill>
                    <w14:srgbClr w14:val="000000">
                      <w14:alpha w14:val="100000"/>
                    </w14:srgbClr>
                  </w14:solidFill>
                </w14:textFill>
              </w:rPr>
              <w:t>|||</w:t>
            </w:r>
            <w:r w:rsidRPr="008537BB">
              <w:rPr>
                <w:color w:val="000000"/>
                <w:spacing w:val="2"/>
                <w:shd w:val="solid" w:color="000000" w:fill="000000"/>
                <w:fitText w:val="382" w:id="-1236597751"/>
                <w14:textFill>
                  <w14:solidFill>
                    <w14:srgbClr w14:val="000000">
                      <w14:alpha w14:val="100000"/>
                    </w14:srgbClr>
                  </w14:solidFill>
                </w14:textFill>
              </w:rPr>
              <w:t>|</w:t>
            </w:r>
            <w:r w:rsidR="00597715">
              <w:rPr>
                <w:vertAlign w:val="superscript"/>
              </w:rPr>
              <w:t>4</w:t>
            </w:r>
          </w:p>
        </w:tc>
        <w:tc>
          <w:tcPr>
            <w:tcW w:w="611" w:type="pct"/>
            <w:shd w:val="clear" w:color="auto" w:fill="auto"/>
            <w:vAlign w:val="center"/>
          </w:tcPr>
          <w:p w14:paraId="46D1C413" w14:textId="77D30940"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0"/>
                <w14:textFill>
                  <w14:solidFill>
                    <w14:srgbClr w14:val="000000">
                      <w14:alpha w14:val="100000"/>
                    </w14:srgbClr>
                  </w14:solidFill>
                </w14:textFill>
              </w:rPr>
              <w:t>|||</w:t>
            </w:r>
            <w:r w:rsidRPr="008537BB">
              <w:rPr>
                <w:color w:val="000000"/>
                <w:spacing w:val="3"/>
                <w:shd w:val="solid" w:color="000000" w:fill="000000"/>
                <w:fitText w:val="383" w:id="-1236597750"/>
                <w14:textFill>
                  <w14:solidFill>
                    <w14:srgbClr w14:val="000000">
                      <w14:alpha w14:val="100000"/>
                    </w14:srgbClr>
                  </w14:solidFill>
                </w14:textFill>
              </w:rPr>
              <w:t>|</w:t>
            </w:r>
            <w:r w:rsidR="00597715">
              <w:rPr>
                <w:vertAlign w:val="superscript"/>
              </w:rPr>
              <w:t>3</w:t>
            </w:r>
          </w:p>
        </w:tc>
        <w:tc>
          <w:tcPr>
            <w:tcW w:w="611" w:type="pct"/>
            <w:shd w:val="clear" w:color="auto" w:fill="auto"/>
            <w:vAlign w:val="center"/>
          </w:tcPr>
          <w:p w14:paraId="785BF054" w14:textId="4A38E12E"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9"/>
                <w14:textFill>
                  <w14:solidFill>
                    <w14:srgbClr w14:val="000000">
                      <w14:alpha w14:val="100000"/>
                    </w14:srgbClr>
                  </w14:solidFill>
                </w14:textFill>
              </w:rPr>
              <w:t>|||</w:t>
            </w:r>
            <w:r w:rsidRPr="008537BB">
              <w:rPr>
                <w:color w:val="000000"/>
                <w:spacing w:val="3"/>
                <w:shd w:val="solid" w:color="000000" w:fill="000000"/>
                <w:fitText w:val="383" w:id="-1236597749"/>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7A1FC823" w14:textId="3A52AE60"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8"/>
                <w14:textFill>
                  <w14:solidFill>
                    <w14:srgbClr w14:val="000000">
                      <w14:alpha w14:val="100000"/>
                    </w14:srgbClr>
                  </w14:solidFill>
                </w14:textFill>
              </w:rPr>
              <w:t>|||</w:t>
            </w:r>
            <w:r w:rsidRPr="008537BB">
              <w:rPr>
                <w:color w:val="000000"/>
                <w:spacing w:val="3"/>
                <w:shd w:val="solid" w:color="000000" w:fill="000000"/>
                <w:fitText w:val="383" w:id="-1236597748"/>
                <w14:textFill>
                  <w14:solidFill>
                    <w14:srgbClr w14:val="000000">
                      <w14:alpha w14:val="100000"/>
                    </w14:srgbClr>
                  </w14:solidFill>
                </w14:textFill>
              </w:rPr>
              <w:t>|</w:t>
            </w:r>
            <w:r w:rsidR="00597715" w:rsidRPr="006F69AD">
              <w:rPr>
                <w:vertAlign w:val="superscript"/>
              </w:rPr>
              <w:t>1</w:t>
            </w:r>
          </w:p>
        </w:tc>
        <w:tc>
          <w:tcPr>
            <w:tcW w:w="611" w:type="pct"/>
            <w:shd w:val="clear" w:color="auto" w:fill="auto"/>
            <w:vAlign w:val="center"/>
          </w:tcPr>
          <w:p w14:paraId="304DF036" w14:textId="6C96351C"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7"/>
                <w14:textFill>
                  <w14:solidFill>
                    <w14:srgbClr w14:val="000000">
                      <w14:alpha w14:val="100000"/>
                    </w14:srgbClr>
                  </w14:solidFill>
                </w14:textFill>
              </w:rPr>
              <w:t>|||</w:t>
            </w:r>
            <w:r w:rsidRPr="008537BB">
              <w:rPr>
                <w:color w:val="000000"/>
                <w:spacing w:val="3"/>
                <w:shd w:val="solid" w:color="000000" w:fill="000000"/>
                <w:fitText w:val="383" w:id="-1236597747"/>
                <w14:textFill>
                  <w14:solidFill>
                    <w14:srgbClr w14:val="000000">
                      <w14:alpha w14:val="100000"/>
                    </w14:srgbClr>
                  </w14:solidFill>
                </w14:textFill>
              </w:rPr>
              <w:t>|</w:t>
            </w:r>
            <w:r w:rsidR="00597715" w:rsidRPr="006F69AD">
              <w:rPr>
                <w:vertAlign w:val="superscript"/>
              </w:rPr>
              <w:t>1</w:t>
            </w:r>
          </w:p>
        </w:tc>
        <w:tc>
          <w:tcPr>
            <w:tcW w:w="611" w:type="pct"/>
            <w:vAlign w:val="center"/>
          </w:tcPr>
          <w:p w14:paraId="39050715" w14:textId="24B8569D"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6"/>
                <w14:textFill>
                  <w14:solidFill>
                    <w14:srgbClr w14:val="000000">
                      <w14:alpha w14:val="100000"/>
                    </w14:srgbClr>
                  </w14:solidFill>
                </w14:textFill>
              </w:rPr>
              <w:t>|||</w:t>
            </w:r>
            <w:r w:rsidRPr="008537BB">
              <w:rPr>
                <w:color w:val="000000"/>
                <w:spacing w:val="3"/>
                <w:shd w:val="solid" w:color="000000" w:fill="000000"/>
                <w:fitText w:val="383" w:id="-1236597746"/>
                <w14:textFill>
                  <w14:solidFill>
                    <w14:srgbClr w14:val="000000">
                      <w14:alpha w14:val="100000"/>
                    </w14:srgbClr>
                  </w14:solidFill>
                </w14:textFill>
              </w:rPr>
              <w:t>|</w:t>
            </w:r>
            <w:r w:rsidR="00597715" w:rsidRPr="006F69AD">
              <w:rPr>
                <w:vertAlign w:val="superscript"/>
              </w:rPr>
              <w:t>1</w:t>
            </w:r>
          </w:p>
        </w:tc>
      </w:tr>
      <w:tr w:rsidR="00062434" w:rsidRPr="00806B36" w14:paraId="095E3E2E" w14:textId="77777777" w:rsidTr="00BE6DC7">
        <w:tc>
          <w:tcPr>
            <w:tcW w:w="1334" w:type="pct"/>
            <w:shd w:val="clear" w:color="auto" w:fill="auto"/>
          </w:tcPr>
          <w:p w14:paraId="0308993A" w14:textId="77777777" w:rsidR="00062434" w:rsidRPr="00806B36" w:rsidRDefault="00062434" w:rsidP="00BE6DC7">
            <w:pPr>
              <w:pStyle w:val="COMTabletext"/>
            </w:pPr>
            <w:r w:rsidRPr="00806B36">
              <w:t>Subsequent year continuing scripts</w:t>
            </w:r>
          </w:p>
        </w:tc>
        <w:tc>
          <w:tcPr>
            <w:tcW w:w="611" w:type="pct"/>
            <w:shd w:val="clear" w:color="auto" w:fill="auto"/>
            <w:vAlign w:val="center"/>
          </w:tcPr>
          <w:p w14:paraId="7BEB0382" w14:textId="657E5FA8" w:rsidR="00062434" w:rsidRPr="00555C97" w:rsidRDefault="008537BB" w:rsidP="00BE6DC7">
            <w:pPr>
              <w:pStyle w:val="COMTabletext"/>
              <w:jc w:val="center"/>
              <w:rPr>
                <w:highlight w:val="darkGray"/>
              </w:rPr>
            </w:pPr>
            <w:r w:rsidRPr="008537BB">
              <w:rPr>
                <w:color w:val="000000"/>
                <w:spacing w:val="70"/>
                <w:shd w:val="solid" w:color="000000" w:fill="000000"/>
                <w:fitText w:val="382" w:id="-1236597745"/>
                <w14:textFill>
                  <w14:solidFill>
                    <w14:srgbClr w14:val="000000">
                      <w14:alpha w14:val="100000"/>
                    </w14:srgbClr>
                  </w14:solidFill>
                </w14:textFill>
              </w:rPr>
              <w:t>|||</w:t>
            </w:r>
            <w:r w:rsidRPr="008537BB">
              <w:rPr>
                <w:color w:val="000000"/>
                <w:spacing w:val="2"/>
                <w:shd w:val="solid" w:color="000000" w:fill="000000"/>
                <w:fitText w:val="382" w:id="-1236597745"/>
                <w14:textFill>
                  <w14:solidFill>
                    <w14:srgbClr w14:val="000000">
                      <w14:alpha w14:val="100000"/>
                    </w14:srgbClr>
                  </w14:solidFill>
                </w14:textFill>
              </w:rPr>
              <w:t>|</w:t>
            </w:r>
            <w:r w:rsidR="00597715">
              <w:rPr>
                <w:vertAlign w:val="superscript"/>
              </w:rPr>
              <w:t>2</w:t>
            </w:r>
          </w:p>
        </w:tc>
        <w:tc>
          <w:tcPr>
            <w:tcW w:w="611" w:type="pct"/>
            <w:shd w:val="clear" w:color="auto" w:fill="auto"/>
            <w:vAlign w:val="center"/>
          </w:tcPr>
          <w:p w14:paraId="01F29056" w14:textId="725D670C"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4"/>
                <w14:textFill>
                  <w14:solidFill>
                    <w14:srgbClr w14:val="000000">
                      <w14:alpha w14:val="100000"/>
                    </w14:srgbClr>
                  </w14:solidFill>
                </w14:textFill>
              </w:rPr>
              <w:t>|||</w:t>
            </w:r>
            <w:r w:rsidRPr="008537BB">
              <w:rPr>
                <w:color w:val="000000"/>
                <w:spacing w:val="3"/>
                <w:shd w:val="solid" w:color="000000" w:fill="000000"/>
                <w:fitText w:val="383" w:id="-1236597744"/>
                <w14:textFill>
                  <w14:solidFill>
                    <w14:srgbClr w14:val="000000">
                      <w14:alpha w14:val="100000"/>
                    </w14:srgbClr>
                  </w14:solidFill>
                </w14:textFill>
              </w:rPr>
              <w:t>|</w:t>
            </w:r>
            <w:r w:rsidR="00597715">
              <w:rPr>
                <w:vertAlign w:val="superscript"/>
              </w:rPr>
              <w:t>4</w:t>
            </w:r>
          </w:p>
        </w:tc>
        <w:tc>
          <w:tcPr>
            <w:tcW w:w="611" w:type="pct"/>
            <w:shd w:val="clear" w:color="auto" w:fill="auto"/>
            <w:vAlign w:val="center"/>
          </w:tcPr>
          <w:p w14:paraId="5197F242" w14:textId="5A6C9CC6"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60"/>
                <w14:textFill>
                  <w14:solidFill>
                    <w14:srgbClr w14:val="000000">
                      <w14:alpha w14:val="100000"/>
                    </w14:srgbClr>
                  </w14:solidFill>
                </w14:textFill>
              </w:rPr>
              <w:t>|||</w:t>
            </w:r>
            <w:r w:rsidRPr="008537BB">
              <w:rPr>
                <w:color w:val="000000"/>
                <w:spacing w:val="3"/>
                <w:shd w:val="solid" w:color="000000" w:fill="000000"/>
                <w:fitText w:val="383" w:id="-1236597760"/>
                <w14:textFill>
                  <w14:solidFill>
                    <w14:srgbClr w14:val="000000">
                      <w14:alpha w14:val="100000"/>
                    </w14:srgbClr>
                  </w14:solidFill>
                </w14:textFill>
              </w:rPr>
              <w:t>|</w:t>
            </w:r>
            <w:r w:rsidR="00597715">
              <w:rPr>
                <w:vertAlign w:val="superscript"/>
              </w:rPr>
              <w:t>4</w:t>
            </w:r>
          </w:p>
        </w:tc>
        <w:tc>
          <w:tcPr>
            <w:tcW w:w="611" w:type="pct"/>
            <w:shd w:val="clear" w:color="auto" w:fill="auto"/>
            <w:vAlign w:val="center"/>
          </w:tcPr>
          <w:p w14:paraId="4D359E9A" w14:textId="40926353"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9"/>
                <w14:textFill>
                  <w14:solidFill>
                    <w14:srgbClr w14:val="000000">
                      <w14:alpha w14:val="100000"/>
                    </w14:srgbClr>
                  </w14:solidFill>
                </w14:textFill>
              </w:rPr>
              <w:t>|||</w:t>
            </w:r>
            <w:r w:rsidRPr="008537BB">
              <w:rPr>
                <w:color w:val="000000"/>
                <w:spacing w:val="3"/>
                <w:shd w:val="solid" w:color="000000" w:fill="000000"/>
                <w:fitText w:val="383" w:id="-1236597759"/>
                <w14:textFill>
                  <w14:solidFill>
                    <w14:srgbClr w14:val="000000">
                      <w14:alpha w14:val="100000"/>
                    </w14:srgbClr>
                  </w14:solidFill>
                </w14:textFill>
              </w:rPr>
              <w:t>|</w:t>
            </w:r>
            <w:r w:rsidR="00597715">
              <w:rPr>
                <w:vertAlign w:val="superscript"/>
              </w:rPr>
              <w:t>4</w:t>
            </w:r>
          </w:p>
        </w:tc>
        <w:tc>
          <w:tcPr>
            <w:tcW w:w="611" w:type="pct"/>
            <w:shd w:val="clear" w:color="auto" w:fill="auto"/>
            <w:vAlign w:val="center"/>
          </w:tcPr>
          <w:p w14:paraId="1D125583" w14:textId="4095FFEE"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8"/>
                <w14:textFill>
                  <w14:solidFill>
                    <w14:srgbClr w14:val="000000">
                      <w14:alpha w14:val="100000"/>
                    </w14:srgbClr>
                  </w14:solidFill>
                </w14:textFill>
              </w:rPr>
              <w:t>|||</w:t>
            </w:r>
            <w:r w:rsidRPr="008537BB">
              <w:rPr>
                <w:color w:val="000000"/>
                <w:spacing w:val="3"/>
                <w:shd w:val="solid" w:color="000000" w:fill="000000"/>
                <w:fitText w:val="383" w:id="-1236597758"/>
                <w14:textFill>
                  <w14:solidFill>
                    <w14:srgbClr w14:val="000000">
                      <w14:alpha w14:val="100000"/>
                    </w14:srgbClr>
                  </w14:solidFill>
                </w14:textFill>
              </w:rPr>
              <w:t>|</w:t>
            </w:r>
            <w:r w:rsidR="00597715">
              <w:rPr>
                <w:vertAlign w:val="superscript"/>
              </w:rPr>
              <w:t>4</w:t>
            </w:r>
          </w:p>
        </w:tc>
        <w:tc>
          <w:tcPr>
            <w:tcW w:w="611" w:type="pct"/>
            <w:vAlign w:val="center"/>
          </w:tcPr>
          <w:p w14:paraId="636734B7" w14:textId="396E57C8"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7"/>
                <w14:textFill>
                  <w14:solidFill>
                    <w14:srgbClr w14:val="000000">
                      <w14:alpha w14:val="100000"/>
                    </w14:srgbClr>
                  </w14:solidFill>
                </w14:textFill>
              </w:rPr>
              <w:t>|||</w:t>
            </w:r>
            <w:r w:rsidRPr="008537BB">
              <w:rPr>
                <w:color w:val="000000"/>
                <w:spacing w:val="3"/>
                <w:shd w:val="solid" w:color="000000" w:fill="000000"/>
                <w:fitText w:val="383" w:id="-1236597757"/>
                <w14:textFill>
                  <w14:solidFill>
                    <w14:srgbClr w14:val="000000">
                      <w14:alpha w14:val="100000"/>
                    </w14:srgbClr>
                  </w14:solidFill>
                </w14:textFill>
              </w:rPr>
              <w:t>|</w:t>
            </w:r>
            <w:r w:rsidR="00597715">
              <w:rPr>
                <w:vertAlign w:val="superscript"/>
              </w:rPr>
              <w:t>4</w:t>
            </w:r>
          </w:p>
        </w:tc>
      </w:tr>
      <w:tr w:rsidR="00062434" w:rsidRPr="00806B36" w14:paraId="3370F83C" w14:textId="77777777" w:rsidTr="00BE6DC7">
        <w:tc>
          <w:tcPr>
            <w:tcW w:w="1334" w:type="pct"/>
            <w:shd w:val="clear" w:color="auto" w:fill="auto"/>
          </w:tcPr>
          <w:p w14:paraId="7F841B30" w14:textId="77777777" w:rsidR="00062434" w:rsidRPr="00806B36" w:rsidRDefault="00062434" w:rsidP="00BE6DC7">
            <w:pPr>
              <w:pStyle w:val="COMTabletext"/>
            </w:pPr>
            <w:r w:rsidRPr="00806B36">
              <w:t xml:space="preserve">Total scripts </w:t>
            </w:r>
          </w:p>
        </w:tc>
        <w:tc>
          <w:tcPr>
            <w:tcW w:w="611" w:type="pct"/>
            <w:shd w:val="clear" w:color="auto" w:fill="auto"/>
            <w:vAlign w:val="center"/>
          </w:tcPr>
          <w:p w14:paraId="0A13EE49" w14:textId="0C9D2941" w:rsidR="00062434" w:rsidRPr="00555C97" w:rsidRDefault="008537BB" w:rsidP="00BE6DC7">
            <w:pPr>
              <w:pStyle w:val="COMTabletext"/>
              <w:jc w:val="center"/>
              <w:rPr>
                <w:highlight w:val="darkGray"/>
              </w:rPr>
            </w:pPr>
            <w:r w:rsidRPr="008537BB">
              <w:rPr>
                <w:color w:val="000000"/>
                <w:spacing w:val="70"/>
                <w:shd w:val="solid" w:color="000000" w:fill="000000"/>
                <w:fitText w:val="382" w:id="-1236597756"/>
                <w14:textFill>
                  <w14:solidFill>
                    <w14:srgbClr w14:val="000000">
                      <w14:alpha w14:val="100000"/>
                    </w14:srgbClr>
                  </w14:solidFill>
                </w14:textFill>
              </w:rPr>
              <w:t>|||</w:t>
            </w:r>
            <w:r w:rsidRPr="008537BB">
              <w:rPr>
                <w:color w:val="000000"/>
                <w:spacing w:val="2"/>
                <w:shd w:val="solid" w:color="000000" w:fill="000000"/>
                <w:fitText w:val="382" w:id="-1236597756"/>
                <w14:textFill>
                  <w14:solidFill>
                    <w14:srgbClr w14:val="000000">
                      <w14:alpha w14:val="100000"/>
                    </w14:srgbClr>
                  </w14:solidFill>
                </w14:textFill>
              </w:rPr>
              <w:t>|</w:t>
            </w:r>
            <w:r w:rsidR="00597715">
              <w:rPr>
                <w:vertAlign w:val="superscript"/>
              </w:rPr>
              <w:t>5</w:t>
            </w:r>
          </w:p>
        </w:tc>
        <w:tc>
          <w:tcPr>
            <w:tcW w:w="611" w:type="pct"/>
            <w:shd w:val="clear" w:color="auto" w:fill="auto"/>
            <w:vAlign w:val="center"/>
          </w:tcPr>
          <w:p w14:paraId="39A92516" w14:textId="5F3A97B0"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5"/>
                <w14:textFill>
                  <w14:solidFill>
                    <w14:srgbClr w14:val="000000">
                      <w14:alpha w14:val="100000"/>
                    </w14:srgbClr>
                  </w14:solidFill>
                </w14:textFill>
              </w:rPr>
              <w:t>|||</w:t>
            </w:r>
            <w:r w:rsidRPr="008537BB">
              <w:rPr>
                <w:color w:val="000000"/>
                <w:spacing w:val="3"/>
                <w:shd w:val="solid" w:color="000000" w:fill="000000"/>
                <w:fitText w:val="383" w:id="-1236597755"/>
                <w14:textFill>
                  <w14:solidFill>
                    <w14:srgbClr w14:val="000000">
                      <w14:alpha w14:val="100000"/>
                    </w14:srgbClr>
                  </w14:solidFill>
                </w14:textFill>
              </w:rPr>
              <w:t>|</w:t>
            </w:r>
            <w:r w:rsidR="00597715">
              <w:rPr>
                <w:vertAlign w:val="superscript"/>
              </w:rPr>
              <w:t>5</w:t>
            </w:r>
          </w:p>
        </w:tc>
        <w:tc>
          <w:tcPr>
            <w:tcW w:w="611" w:type="pct"/>
            <w:shd w:val="clear" w:color="auto" w:fill="auto"/>
            <w:vAlign w:val="center"/>
          </w:tcPr>
          <w:p w14:paraId="29008A2C" w14:textId="4F0EB291"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4"/>
                <w14:textFill>
                  <w14:solidFill>
                    <w14:srgbClr w14:val="000000">
                      <w14:alpha w14:val="100000"/>
                    </w14:srgbClr>
                  </w14:solidFill>
                </w14:textFill>
              </w:rPr>
              <w:t>|||</w:t>
            </w:r>
            <w:r w:rsidRPr="008537BB">
              <w:rPr>
                <w:color w:val="000000"/>
                <w:spacing w:val="3"/>
                <w:shd w:val="solid" w:color="000000" w:fill="000000"/>
                <w:fitText w:val="383" w:id="-1236597754"/>
                <w14:textFill>
                  <w14:solidFill>
                    <w14:srgbClr w14:val="000000">
                      <w14:alpha w14:val="100000"/>
                    </w14:srgbClr>
                  </w14:solidFill>
                </w14:textFill>
              </w:rPr>
              <w:t>|</w:t>
            </w:r>
            <w:r w:rsidR="00597715">
              <w:rPr>
                <w:vertAlign w:val="superscript"/>
              </w:rPr>
              <w:t>4</w:t>
            </w:r>
          </w:p>
        </w:tc>
        <w:tc>
          <w:tcPr>
            <w:tcW w:w="611" w:type="pct"/>
            <w:shd w:val="clear" w:color="auto" w:fill="auto"/>
            <w:vAlign w:val="center"/>
          </w:tcPr>
          <w:p w14:paraId="14C170E9" w14:textId="169B95C2"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3"/>
                <w14:textFill>
                  <w14:solidFill>
                    <w14:srgbClr w14:val="000000">
                      <w14:alpha w14:val="100000"/>
                    </w14:srgbClr>
                  </w14:solidFill>
                </w14:textFill>
              </w:rPr>
              <w:t>|||</w:t>
            </w:r>
            <w:r w:rsidRPr="008537BB">
              <w:rPr>
                <w:color w:val="000000"/>
                <w:spacing w:val="3"/>
                <w:shd w:val="solid" w:color="000000" w:fill="000000"/>
                <w:fitText w:val="383" w:id="-1236597753"/>
                <w14:textFill>
                  <w14:solidFill>
                    <w14:srgbClr w14:val="000000">
                      <w14:alpha w14:val="100000"/>
                    </w14:srgbClr>
                  </w14:solidFill>
                </w14:textFill>
              </w:rPr>
              <w:t>|</w:t>
            </w:r>
            <w:r w:rsidR="00597715">
              <w:rPr>
                <w:vertAlign w:val="superscript"/>
              </w:rPr>
              <w:t>4</w:t>
            </w:r>
          </w:p>
        </w:tc>
        <w:tc>
          <w:tcPr>
            <w:tcW w:w="611" w:type="pct"/>
            <w:shd w:val="clear" w:color="auto" w:fill="auto"/>
            <w:vAlign w:val="center"/>
          </w:tcPr>
          <w:p w14:paraId="5C155397" w14:textId="21075365"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2"/>
                <w14:textFill>
                  <w14:solidFill>
                    <w14:srgbClr w14:val="000000">
                      <w14:alpha w14:val="100000"/>
                    </w14:srgbClr>
                  </w14:solidFill>
                </w14:textFill>
              </w:rPr>
              <w:t>|||</w:t>
            </w:r>
            <w:r w:rsidRPr="008537BB">
              <w:rPr>
                <w:color w:val="000000"/>
                <w:spacing w:val="3"/>
                <w:shd w:val="solid" w:color="000000" w:fill="000000"/>
                <w:fitText w:val="383" w:id="-1236597752"/>
                <w14:textFill>
                  <w14:solidFill>
                    <w14:srgbClr w14:val="000000">
                      <w14:alpha w14:val="100000"/>
                    </w14:srgbClr>
                  </w14:solidFill>
                </w14:textFill>
              </w:rPr>
              <w:t>|</w:t>
            </w:r>
            <w:r w:rsidR="00597715">
              <w:rPr>
                <w:vertAlign w:val="superscript"/>
              </w:rPr>
              <w:t>4</w:t>
            </w:r>
          </w:p>
        </w:tc>
        <w:tc>
          <w:tcPr>
            <w:tcW w:w="611" w:type="pct"/>
            <w:vAlign w:val="center"/>
          </w:tcPr>
          <w:p w14:paraId="3934A37E" w14:textId="3731BD3A"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51"/>
                <w14:textFill>
                  <w14:solidFill>
                    <w14:srgbClr w14:val="000000">
                      <w14:alpha w14:val="100000"/>
                    </w14:srgbClr>
                  </w14:solidFill>
                </w14:textFill>
              </w:rPr>
              <w:t>|||</w:t>
            </w:r>
            <w:r w:rsidRPr="008537BB">
              <w:rPr>
                <w:color w:val="000000"/>
                <w:spacing w:val="3"/>
                <w:shd w:val="solid" w:color="000000" w:fill="000000"/>
                <w:fitText w:val="383" w:id="-1236597751"/>
                <w14:textFill>
                  <w14:solidFill>
                    <w14:srgbClr w14:val="000000">
                      <w14:alpha w14:val="100000"/>
                    </w14:srgbClr>
                  </w14:solidFill>
                </w14:textFill>
              </w:rPr>
              <w:t>|</w:t>
            </w:r>
            <w:r w:rsidR="00597715">
              <w:rPr>
                <w:vertAlign w:val="superscript"/>
              </w:rPr>
              <w:t>4</w:t>
            </w:r>
          </w:p>
        </w:tc>
      </w:tr>
      <w:tr w:rsidR="00062434" w:rsidRPr="00806B36" w14:paraId="7F64F8F1" w14:textId="77777777" w:rsidTr="00BE6DC7">
        <w:tc>
          <w:tcPr>
            <w:tcW w:w="5000" w:type="pct"/>
            <w:gridSpan w:val="7"/>
            <w:shd w:val="clear" w:color="auto" w:fill="auto"/>
            <w:vAlign w:val="center"/>
          </w:tcPr>
          <w:p w14:paraId="0FEFD903" w14:textId="77777777" w:rsidR="00062434" w:rsidRPr="00806B36" w:rsidRDefault="00062434" w:rsidP="00BE6DC7">
            <w:pPr>
              <w:pStyle w:val="COMTableheadingrow"/>
              <w:rPr>
                <w:lang w:val="en-AU"/>
              </w:rPr>
            </w:pPr>
            <w:r w:rsidRPr="00806B36">
              <w:rPr>
                <w:lang w:val="en-AU"/>
              </w:rPr>
              <w:t>Estimated financial implications of difelikefalin</w:t>
            </w:r>
          </w:p>
        </w:tc>
      </w:tr>
      <w:tr w:rsidR="00062434" w:rsidRPr="00806B36" w14:paraId="6B99A7D8" w14:textId="77777777" w:rsidTr="00BE6DC7">
        <w:tc>
          <w:tcPr>
            <w:tcW w:w="1334" w:type="pct"/>
            <w:shd w:val="clear" w:color="auto" w:fill="auto"/>
            <w:vAlign w:val="center"/>
          </w:tcPr>
          <w:p w14:paraId="5FAF1FDF" w14:textId="0931B274" w:rsidR="00062434" w:rsidRPr="00806B36" w:rsidRDefault="00062434" w:rsidP="00BE6DC7">
            <w:pPr>
              <w:pStyle w:val="COMTabletext"/>
              <w:rPr>
                <w:sz w:val="19"/>
                <w:szCs w:val="19"/>
              </w:rPr>
            </w:pPr>
            <w:r w:rsidRPr="00806B36">
              <w:t>Cost to PBS/RPBS less copayments</w:t>
            </w:r>
            <w:r w:rsidR="00597715">
              <w:t xml:space="preserve"> ($)</w:t>
            </w:r>
          </w:p>
        </w:tc>
        <w:tc>
          <w:tcPr>
            <w:tcW w:w="611" w:type="pct"/>
            <w:shd w:val="clear" w:color="auto" w:fill="auto"/>
            <w:vAlign w:val="center"/>
          </w:tcPr>
          <w:p w14:paraId="5C66A49F" w14:textId="3443FABF" w:rsidR="00062434" w:rsidRPr="00555C97" w:rsidRDefault="008537BB" w:rsidP="00BE6DC7">
            <w:pPr>
              <w:pStyle w:val="COMTabletext"/>
              <w:jc w:val="center"/>
              <w:rPr>
                <w:highlight w:val="darkGray"/>
              </w:rPr>
            </w:pPr>
            <w:r w:rsidRPr="008537BB">
              <w:rPr>
                <w:color w:val="000000"/>
                <w:spacing w:val="70"/>
                <w:shd w:val="solid" w:color="000000" w:fill="000000"/>
                <w:fitText w:val="382" w:id="-1236597750"/>
                <w14:textFill>
                  <w14:solidFill>
                    <w14:srgbClr w14:val="000000">
                      <w14:alpha w14:val="100000"/>
                    </w14:srgbClr>
                  </w14:solidFill>
                </w14:textFill>
              </w:rPr>
              <w:t>|||</w:t>
            </w:r>
            <w:r w:rsidRPr="008537BB">
              <w:rPr>
                <w:color w:val="000000"/>
                <w:spacing w:val="2"/>
                <w:shd w:val="solid" w:color="000000" w:fill="000000"/>
                <w:fitText w:val="382" w:id="-1236597750"/>
                <w14:textFill>
                  <w14:solidFill>
                    <w14:srgbClr w14:val="000000">
                      <w14:alpha w14:val="100000"/>
                    </w14:srgbClr>
                  </w14:solidFill>
                </w14:textFill>
              </w:rPr>
              <w:t>|</w:t>
            </w:r>
            <w:r w:rsidR="00597715">
              <w:rPr>
                <w:vertAlign w:val="superscript"/>
              </w:rPr>
              <w:t>6</w:t>
            </w:r>
          </w:p>
        </w:tc>
        <w:tc>
          <w:tcPr>
            <w:tcW w:w="611" w:type="pct"/>
            <w:shd w:val="clear" w:color="auto" w:fill="auto"/>
            <w:vAlign w:val="center"/>
          </w:tcPr>
          <w:p w14:paraId="68C65634" w14:textId="36225A59"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9"/>
                <w14:textFill>
                  <w14:solidFill>
                    <w14:srgbClr w14:val="000000">
                      <w14:alpha w14:val="100000"/>
                    </w14:srgbClr>
                  </w14:solidFill>
                </w14:textFill>
              </w:rPr>
              <w:t>|||</w:t>
            </w:r>
            <w:r w:rsidRPr="008537BB">
              <w:rPr>
                <w:color w:val="000000"/>
                <w:spacing w:val="3"/>
                <w:shd w:val="solid" w:color="000000" w:fill="000000"/>
                <w:fitText w:val="383" w:id="-1236597749"/>
                <w14:textFill>
                  <w14:solidFill>
                    <w14:srgbClr w14:val="000000">
                      <w14:alpha w14:val="100000"/>
                    </w14:srgbClr>
                  </w14:solidFill>
                </w14:textFill>
              </w:rPr>
              <w:t>|</w:t>
            </w:r>
            <w:r w:rsidR="00597715">
              <w:rPr>
                <w:vertAlign w:val="superscript"/>
              </w:rPr>
              <w:t>6</w:t>
            </w:r>
          </w:p>
        </w:tc>
        <w:tc>
          <w:tcPr>
            <w:tcW w:w="611" w:type="pct"/>
            <w:shd w:val="clear" w:color="auto" w:fill="auto"/>
            <w:vAlign w:val="center"/>
          </w:tcPr>
          <w:p w14:paraId="1BE5FF0E" w14:textId="671C5032"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8"/>
                <w14:textFill>
                  <w14:solidFill>
                    <w14:srgbClr w14:val="000000">
                      <w14:alpha w14:val="100000"/>
                    </w14:srgbClr>
                  </w14:solidFill>
                </w14:textFill>
              </w:rPr>
              <w:t>|||</w:t>
            </w:r>
            <w:r w:rsidRPr="008537BB">
              <w:rPr>
                <w:color w:val="000000"/>
                <w:spacing w:val="3"/>
                <w:shd w:val="solid" w:color="000000" w:fill="000000"/>
                <w:fitText w:val="383" w:id="-1236597748"/>
                <w14:textFill>
                  <w14:solidFill>
                    <w14:srgbClr w14:val="000000">
                      <w14:alpha w14:val="100000"/>
                    </w14:srgbClr>
                  </w14:solidFill>
                </w14:textFill>
              </w:rPr>
              <w:t>|</w:t>
            </w:r>
            <w:r w:rsidR="00597715">
              <w:rPr>
                <w:vertAlign w:val="superscript"/>
              </w:rPr>
              <w:t>6</w:t>
            </w:r>
          </w:p>
        </w:tc>
        <w:tc>
          <w:tcPr>
            <w:tcW w:w="611" w:type="pct"/>
            <w:shd w:val="clear" w:color="auto" w:fill="auto"/>
            <w:vAlign w:val="center"/>
          </w:tcPr>
          <w:p w14:paraId="617680B8" w14:textId="55D1EE25"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7"/>
                <w14:textFill>
                  <w14:solidFill>
                    <w14:srgbClr w14:val="000000">
                      <w14:alpha w14:val="100000"/>
                    </w14:srgbClr>
                  </w14:solidFill>
                </w14:textFill>
              </w:rPr>
              <w:t>|||</w:t>
            </w:r>
            <w:r w:rsidRPr="008537BB">
              <w:rPr>
                <w:color w:val="000000"/>
                <w:spacing w:val="3"/>
                <w:shd w:val="solid" w:color="000000" w:fill="000000"/>
                <w:fitText w:val="383" w:id="-1236597747"/>
                <w14:textFill>
                  <w14:solidFill>
                    <w14:srgbClr w14:val="000000">
                      <w14:alpha w14:val="100000"/>
                    </w14:srgbClr>
                  </w14:solidFill>
                </w14:textFill>
              </w:rPr>
              <w:t>|</w:t>
            </w:r>
            <w:r w:rsidR="00597715">
              <w:rPr>
                <w:vertAlign w:val="superscript"/>
              </w:rPr>
              <w:t>7</w:t>
            </w:r>
          </w:p>
        </w:tc>
        <w:tc>
          <w:tcPr>
            <w:tcW w:w="611" w:type="pct"/>
            <w:shd w:val="clear" w:color="auto" w:fill="auto"/>
            <w:vAlign w:val="center"/>
          </w:tcPr>
          <w:p w14:paraId="1A34FB5F" w14:textId="42599D94"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6"/>
                <w14:textFill>
                  <w14:solidFill>
                    <w14:srgbClr w14:val="000000">
                      <w14:alpha w14:val="100000"/>
                    </w14:srgbClr>
                  </w14:solidFill>
                </w14:textFill>
              </w:rPr>
              <w:t>|||</w:t>
            </w:r>
            <w:r w:rsidRPr="008537BB">
              <w:rPr>
                <w:color w:val="000000"/>
                <w:spacing w:val="3"/>
                <w:shd w:val="solid" w:color="000000" w:fill="000000"/>
                <w:fitText w:val="383" w:id="-1236597746"/>
                <w14:textFill>
                  <w14:solidFill>
                    <w14:srgbClr w14:val="000000">
                      <w14:alpha w14:val="100000"/>
                    </w14:srgbClr>
                  </w14:solidFill>
                </w14:textFill>
              </w:rPr>
              <w:t>|</w:t>
            </w:r>
            <w:r w:rsidR="00597715">
              <w:rPr>
                <w:vertAlign w:val="superscript"/>
              </w:rPr>
              <w:t>7</w:t>
            </w:r>
          </w:p>
        </w:tc>
        <w:tc>
          <w:tcPr>
            <w:tcW w:w="611" w:type="pct"/>
            <w:vAlign w:val="center"/>
          </w:tcPr>
          <w:p w14:paraId="7D9C2DE5" w14:textId="22EB5064" w:rsidR="00062434" w:rsidRPr="00555C97" w:rsidRDefault="008537BB" w:rsidP="00BE6DC7">
            <w:pPr>
              <w:pStyle w:val="COMTabletext"/>
              <w:jc w:val="center"/>
              <w:rPr>
                <w:highlight w:val="darkGray"/>
              </w:rPr>
            </w:pPr>
            <w:r w:rsidRPr="008537BB">
              <w:rPr>
                <w:color w:val="000000"/>
                <w:spacing w:val="70"/>
                <w:shd w:val="solid" w:color="000000" w:fill="000000"/>
                <w:fitText w:val="383" w:id="-1236597745"/>
                <w14:textFill>
                  <w14:solidFill>
                    <w14:srgbClr w14:val="000000">
                      <w14:alpha w14:val="100000"/>
                    </w14:srgbClr>
                  </w14:solidFill>
                </w14:textFill>
              </w:rPr>
              <w:t>|||</w:t>
            </w:r>
            <w:r w:rsidRPr="008537BB">
              <w:rPr>
                <w:color w:val="000000"/>
                <w:spacing w:val="3"/>
                <w:shd w:val="solid" w:color="000000" w:fill="000000"/>
                <w:fitText w:val="383" w:id="-1236597745"/>
                <w14:textFill>
                  <w14:solidFill>
                    <w14:srgbClr w14:val="000000">
                      <w14:alpha w14:val="100000"/>
                    </w14:srgbClr>
                  </w14:solidFill>
                </w14:textFill>
              </w:rPr>
              <w:t>|</w:t>
            </w:r>
            <w:r w:rsidR="00597715">
              <w:rPr>
                <w:vertAlign w:val="superscript"/>
              </w:rPr>
              <w:t>7</w:t>
            </w:r>
          </w:p>
        </w:tc>
      </w:tr>
    </w:tbl>
    <w:p w14:paraId="00C8FAD7" w14:textId="17C856CB" w:rsidR="00062434" w:rsidRPr="00806B36" w:rsidRDefault="00062434" w:rsidP="00665FA1">
      <w:pPr>
        <w:pStyle w:val="COMTablefooter"/>
        <w:spacing w:after="0"/>
      </w:pPr>
      <w:r w:rsidRPr="00806B36">
        <w:t>Source: Section 4.2-4.4, pp198-205 of the submission; difelikefalin utilisation and cost model workbook.xlsx, Attachment 9 of the submission.</w:t>
      </w:r>
    </w:p>
    <w:p w14:paraId="749750D5" w14:textId="77777777" w:rsidR="00597715" w:rsidRPr="009A6D58" w:rsidRDefault="00597715" w:rsidP="0059771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C04FB21" w14:textId="75665CC3" w:rsidR="00597715" w:rsidRPr="009A6D58" w:rsidRDefault="00597715" w:rsidP="0059771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74" w:name="_Hlk135131826"/>
      <w:r w:rsidRPr="00597715">
        <w:rPr>
          <w:rFonts w:ascii="Arial Narrow" w:hAnsi="Arial Narrow"/>
          <w:i/>
          <w:sz w:val="18"/>
          <w:szCs w:val="18"/>
        </w:rPr>
        <w:t>500 to &lt; 5,000</w:t>
      </w:r>
      <w:bookmarkEnd w:id="74"/>
    </w:p>
    <w:p w14:paraId="162315A8" w14:textId="09C4E86B" w:rsidR="00597715" w:rsidRPr="009A6D58" w:rsidRDefault="00597715" w:rsidP="0059771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97715">
        <w:rPr>
          <w:rFonts w:ascii="Arial Narrow" w:hAnsi="Arial Narrow"/>
          <w:i/>
          <w:sz w:val="18"/>
          <w:szCs w:val="18"/>
        </w:rPr>
        <w:t>&lt; 500</w:t>
      </w:r>
    </w:p>
    <w:p w14:paraId="5B027A76" w14:textId="5E11AAC9" w:rsidR="00597715" w:rsidRDefault="00597715" w:rsidP="0059771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597715">
        <w:rPr>
          <w:rFonts w:ascii="Arial Narrow" w:hAnsi="Arial Narrow"/>
          <w:i/>
          <w:sz w:val="18"/>
          <w:szCs w:val="18"/>
        </w:rPr>
        <w:t>5,000 to &lt; 10,000</w:t>
      </w:r>
    </w:p>
    <w:p w14:paraId="0920F60F" w14:textId="5B4541FF" w:rsidR="00597715" w:rsidRDefault="00597715" w:rsidP="0059771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97715">
        <w:rPr>
          <w:rFonts w:ascii="Arial Narrow" w:hAnsi="Arial Narrow"/>
          <w:i/>
          <w:sz w:val="18"/>
          <w:szCs w:val="18"/>
        </w:rPr>
        <w:t>10,000 to &lt; 20,000</w:t>
      </w:r>
    </w:p>
    <w:p w14:paraId="508C5439" w14:textId="47F6B03C" w:rsidR="00597715" w:rsidRDefault="00597715" w:rsidP="00597715">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597715">
        <w:rPr>
          <w:rFonts w:ascii="Arial Narrow" w:hAnsi="Arial Narrow"/>
          <w:i/>
          <w:sz w:val="18"/>
          <w:szCs w:val="18"/>
        </w:rPr>
        <w:t>20,000 to &lt; 30,000</w:t>
      </w:r>
    </w:p>
    <w:p w14:paraId="3287E015" w14:textId="66033996" w:rsidR="00597715" w:rsidRDefault="00597715" w:rsidP="00597715">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597715">
        <w:rPr>
          <w:rFonts w:ascii="Arial Narrow" w:hAnsi="Arial Narrow"/>
          <w:i/>
          <w:sz w:val="18"/>
          <w:szCs w:val="18"/>
        </w:rPr>
        <w:t>$10 million to &lt; $20 million</w:t>
      </w:r>
    </w:p>
    <w:p w14:paraId="7BB6593F" w14:textId="59180818" w:rsidR="00A72F30" w:rsidRPr="00665FA1" w:rsidRDefault="00597715" w:rsidP="00665FA1">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597715">
        <w:rPr>
          <w:rFonts w:ascii="Arial Narrow" w:hAnsi="Arial Narrow"/>
          <w:i/>
          <w:sz w:val="18"/>
          <w:szCs w:val="18"/>
        </w:rPr>
        <w:t>$0 to &lt; $10 million</w:t>
      </w:r>
    </w:p>
    <w:p w14:paraId="394BB6D7" w14:textId="137C346F" w:rsidR="00062434" w:rsidRPr="00806B36" w:rsidRDefault="00062434" w:rsidP="00062434">
      <w:pPr>
        <w:pStyle w:val="COMexecsumnumberedpara"/>
      </w:pPr>
      <w:r w:rsidRPr="00806B36">
        <w:t xml:space="preserve">The estimated net cost to the PBS/RPBS for difelikefalin was </w:t>
      </w:r>
      <w:r w:rsidR="00597715" w:rsidRPr="00597715">
        <w:t>$10</w:t>
      </w:r>
      <w:r w:rsidR="00E2641F">
        <w:t> </w:t>
      </w:r>
      <w:r w:rsidR="00597715" w:rsidRPr="00597715">
        <w:t>million</w:t>
      </w:r>
      <w:r w:rsidR="00E2641F">
        <w:t> </w:t>
      </w:r>
      <w:r w:rsidR="00597715" w:rsidRPr="00597715">
        <w:t>to</w:t>
      </w:r>
      <w:r w:rsidR="00E2641F">
        <w:t> </w:t>
      </w:r>
      <w:r w:rsidR="00597715" w:rsidRPr="00597715">
        <w:t>&lt;</w:t>
      </w:r>
      <w:r w:rsidR="00E2641F">
        <w:t> </w:t>
      </w:r>
      <w:r w:rsidR="00597715" w:rsidRPr="00597715">
        <w:t>$20</w:t>
      </w:r>
      <w:r w:rsidR="00E2641F">
        <w:t> </w:t>
      </w:r>
      <w:r w:rsidR="00597715" w:rsidRPr="00597715">
        <w:t>million</w:t>
      </w:r>
      <w:r w:rsidR="00597715">
        <w:t xml:space="preserve"> </w:t>
      </w:r>
      <w:r w:rsidRPr="00806B36">
        <w:t xml:space="preserve">in Year 1, decreasing to </w:t>
      </w:r>
      <w:r w:rsidR="000B3D0F" w:rsidRPr="000B3D0F">
        <w:t>$10 million to &lt;</w:t>
      </w:r>
      <w:r w:rsidR="00665FA1">
        <w:t> </w:t>
      </w:r>
      <w:r w:rsidR="000B3D0F" w:rsidRPr="000B3D0F">
        <w:t>$20 million</w:t>
      </w:r>
      <w:r w:rsidR="00E2641F">
        <w:t xml:space="preserve"> </w:t>
      </w:r>
      <w:r w:rsidRPr="00806B36">
        <w:t>in Year</w:t>
      </w:r>
      <w:r w:rsidR="00E2641F">
        <w:t> </w:t>
      </w:r>
      <w:r w:rsidRPr="00806B36">
        <w:t xml:space="preserve">6, a total of </w:t>
      </w:r>
      <w:r w:rsidR="000B3D0F" w:rsidRPr="000B3D0F">
        <w:t>$60 million to &lt;</w:t>
      </w:r>
      <w:r w:rsidR="00665FA1">
        <w:t> </w:t>
      </w:r>
      <w:r w:rsidR="000B3D0F" w:rsidRPr="000B3D0F">
        <w:t>$70 million</w:t>
      </w:r>
      <w:r w:rsidR="000B3D0F">
        <w:t xml:space="preserve"> </w:t>
      </w:r>
      <w:r w:rsidRPr="00806B36">
        <w:t>over the first 6 years of listing.</w:t>
      </w:r>
    </w:p>
    <w:p w14:paraId="28B21A71" w14:textId="77777777" w:rsidR="00062434" w:rsidRPr="00806B36" w:rsidRDefault="00062434" w:rsidP="00062434">
      <w:pPr>
        <w:pStyle w:val="COMexecsumnumberedpara"/>
      </w:pPr>
      <w:r w:rsidRPr="00806B36">
        <w:t>The submission did not adequately justify the use of prevalence estimates as the basis of all eligible population estimates. The size of the prevalent pool of patients in the first year may be reasonable, however, eligible population estimates in subsequent years were highly uncertain due to the interaction between prevalence estimates that already capture mortality and additional mortality adjustments that were included to determine the proportion of patients who were alive and treatment naïve. The use of alternative mortality rates resulted in anomalous results, with higher mortality rates yielding a larger financial impact.</w:t>
      </w:r>
    </w:p>
    <w:p w14:paraId="53AD392A" w14:textId="77777777" w:rsidR="00062434" w:rsidRPr="00806B36" w:rsidRDefault="00062434" w:rsidP="00062434">
      <w:pPr>
        <w:pStyle w:val="COMexecsumnumberedpara"/>
      </w:pPr>
      <w:r w:rsidRPr="00806B36">
        <w:t>The submission acknowledged that the absence of objective criteria for pruritus severity in the proposed PBS restriction may lead to PBS-subsidised use of difelikefalin in patients with mild pruritus. The submission claimed that this uncertainty can be managed through an appropriate risk-sharing arrangement.</w:t>
      </w:r>
    </w:p>
    <w:p w14:paraId="3776F17A" w14:textId="77777777" w:rsidR="00062434" w:rsidRPr="00806B36" w:rsidRDefault="00062434" w:rsidP="00062434">
      <w:pPr>
        <w:pStyle w:val="COMexecsumnumberedpara"/>
      </w:pPr>
      <w:r w:rsidRPr="00806B36">
        <w:t>The submission claimed the treatment continuation rule applied in the budget impact model was consistent with the cost-effectiveness model such that only responders are able to continue to access difelikefalin treatment after 12 weeks. The submission also acknowledged that eligible population estimates were reliant on the assumption that patients will only have access to difelikefalin once per lifetime. The submission claimed that these assumptions were necessary to ensure that PBS/RPBS expenditure aligns with assumptions used to determine the cost-effectiveness of difelikefalin. The submission acknowledged that this may result in an underestimate of actual expenditure due to the absence of objective treatment response criteria and lifetime limit in the proposed PBS restriction. However, the submission claimed that the estimates could be used to form the basis of financial caps in the risk-sharing arrangement.</w:t>
      </w:r>
    </w:p>
    <w:p w14:paraId="691A9A67" w14:textId="77777777" w:rsidR="00062434" w:rsidRPr="00806B36" w:rsidRDefault="00062434" w:rsidP="00062434">
      <w:pPr>
        <w:pStyle w:val="COMexecsumnumberedpara"/>
      </w:pPr>
      <w:r w:rsidRPr="00806B36">
        <w:t>There was substantial patient attrition in the model, dependent on estimated mortality rates, treatment continuation criteria (based on response) and treatment discontinuations (for reasons other than inadequate response). These were applied as mutually exclusive estimates in the model assuming no relationship between treatment discontinuation rates derived from the trial with treatment response or death. This assumption was inadequately justified in the submission.</w:t>
      </w:r>
    </w:p>
    <w:p w14:paraId="3CA24D64" w14:textId="1D8ACC3C" w:rsidR="00062434" w:rsidRPr="00806B36" w:rsidRDefault="00062434" w:rsidP="00062434">
      <w:pPr>
        <w:pStyle w:val="COMexecsumnumberedpara"/>
      </w:pPr>
      <w:r w:rsidRPr="00806B36">
        <w:t>The submission did not consider the impact of patients receiving kidney transplants, which was not captured in trial-based discontinuation rates. In 2019, the estimated transplant rate in all adult Australian patients on dialysis was 11.6 per 100 dialysis-years, although the rate of transplant in patients aged 65-74 years was 4.8 per 100 dialysis-years (ANZDATA 43rd Annual Report 2020). Published estimates in 2020 suggest a decline in the rate of transplants; however the report noted that procedures were likely impacted by COVID-19 (ANZDATA 44th Annual Report 2021).</w:t>
      </w:r>
    </w:p>
    <w:p w14:paraId="70C9E77F" w14:textId="0D89A4D9" w:rsidR="00A72F30" w:rsidRPr="00806B36" w:rsidRDefault="00A72F30" w:rsidP="00A72F30">
      <w:pPr>
        <w:pStyle w:val="COMexecsumnumberedpara"/>
      </w:pPr>
      <w:bookmarkStart w:id="75" w:name="_Ref131671865"/>
      <w:r w:rsidRPr="00806B36">
        <w:t>DUSC considered the estimates presented in the submission to be significantly underestimated. The main issues were:</w:t>
      </w:r>
      <w:bookmarkEnd w:id="75"/>
    </w:p>
    <w:p w14:paraId="65945E5A" w14:textId="77777777" w:rsidR="00062434" w:rsidRPr="00806B36" w:rsidRDefault="00062434" w:rsidP="00A72F30">
      <w:pPr>
        <w:pStyle w:val="COMexecsumnumberedpara"/>
        <w:numPr>
          <w:ilvl w:val="0"/>
          <w:numId w:val="26"/>
        </w:numPr>
      </w:pPr>
      <w:r w:rsidRPr="00806B36">
        <w:t>Exclusion of at-home dialysis patients from the eligible population.</w:t>
      </w:r>
    </w:p>
    <w:p w14:paraId="07F48CB9" w14:textId="77777777" w:rsidR="00062434" w:rsidRPr="00806B36" w:rsidRDefault="00062434" w:rsidP="00A72F30">
      <w:pPr>
        <w:pStyle w:val="COMexecsumnumberedpara"/>
        <w:numPr>
          <w:ilvl w:val="0"/>
          <w:numId w:val="26"/>
        </w:numPr>
      </w:pPr>
      <w:r w:rsidRPr="00806B36">
        <w:t>Underestimation of the proportion of patients deemed to have moderate to severe pruritus (43%) due to the lack of an objective disease severity test in the restriction.</w:t>
      </w:r>
    </w:p>
    <w:p w14:paraId="4BC74982" w14:textId="77777777" w:rsidR="00062434" w:rsidRPr="00806B36" w:rsidRDefault="00062434" w:rsidP="00A72F30">
      <w:pPr>
        <w:pStyle w:val="COMexecsumnumberedpara"/>
        <w:numPr>
          <w:ilvl w:val="0"/>
          <w:numId w:val="26"/>
        </w:numPr>
      </w:pPr>
      <w:r w:rsidRPr="00806B36">
        <w:t>Underestimation of rate of CKD-aP diagnosis (83%). DUSC considered that the rate of patients reporting itchy skin may increase as the PBS listing of difelikefalin will increase awareness of the possibility of effective treatment.</w:t>
      </w:r>
    </w:p>
    <w:p w14:paraId="375BD1D3" w14:textId="77777777" w:rsidR="00062434" w:rsidRPr="00806B36" w:rsidRDefault="00062434" w:rsidP="00A72F30">
      <w:pPr>
        <w:pStyle w:val="COMexecsumnumberedpara"/>
        <w:numPr>
          <w:ilvl w:val="0"/>
          <w:numId w:val="26"/>
        </w:numPr>
      </w:pPr>
      <w:r w:rsidRPr="00806B36">
        <w:t xml:space="preserve">Underestimation of proportion of patients with response at 12 weeks (51.3%) due to lack of objective response test in the restriction. </w:t>
      </w:r>
    </w:p>
    <w:p w14:paraId="25CE633A" w14:textId="320FDCC3" w:rsidR="00062434" w:rsidRPr="00806B36" w:rsidRDefault="00062434" w:rsidP="00062434">
      <w:pPr>
        <w:pStyle w:val="COMexecsumnumberedpara"/>
        <w:numPr>
          <w:ilvl w:val="0"/>
          <w:numId w:val="26"/>
        </w:numPr>
      </w:pPr>
      <w:r w:rsidRPr="00806B36">
        <w:t>Underestimation of scripts per patient.</w:t>
      </w:r>
    </w:p>
    <w:p w14:paraId="5F199DD2" w14:textId="1B1ADB42" w:rsidR="009A17DE" w:rsidRPr="00806B36" w:rsidRDefault="000B76CF" w:rsidP="009A17DE">
      <w:pPr>
        <w:pStyle w:val="COMexecsumnumberedpara"/>
      </w:pPr>
      <w:r w:rsidRPr="00806B36">
        <w:t xml:space="preserve">The </w:t>
      </w:r>
      <w:r w:rsidR="001D580C" w:rsidRPr="00806B36">
        <w:t>p</w:t>
      </w:r>
      <w:r w:rsidRPr="00806B36">
        <w:t xml:space="preserve">re-PBAC </w:t>
      </w:r>
      <w:r w:rsidR="001D580C" w:rsidRPr="00806B36">
        <w:t>r</w:t>
      </w:r>
      <w:r w:rsidRPr="00806B36">
        <w:t>esponse</w:t>
      </w:r>
      <w:r w:rsidR="009A17DE" w:rsidRPr="00806B36">
        <w:t xml:space="preserve"> noted the advice of the DUSC and presented a revised set of utilisation and financial estimates based on a prevalence-only approach with the </w:t>
      </w:r>
      <w:r w:rsidR="0058427F" w:rsidRPr="00806B36">
        <w:t xml:space="preserve">changes outlined in </w:t>
      </w:r>
      <w:r w:rsidR="0058427F" w:rsidRPr="00806B36">
        <w:fldChar w:fldCharType="begin"/>
      </w:r>
      <w:r w:rsidR="0058427F" w:rsidRPr="00806B36">
        <w:instrText xml:space="preserve"> REF _Ref131080081 \h  \* MERGEFORMAT </w:instrText>
      </w:r>
      <w:r w:rsidR="0058427F" w:rsidRPr="00806B36">
        <w:fldChar w:fldCharType="separate"/>
      </w:r>
      <w:r w:rsidR="00487C7F" w:rsidRPr="00487C7F">
        <w:t>Table 14</w:t>
      </w:r>
      <w:r w:rsidR="0058427F" w:rsidRPr="00806B36">
        <w:fldChar w:fldCharType="end"/>
      </w:r>
    </w:p>
    <w:p w14:paraId="03F8259A" w14:textId="78DC55B3" w:rsidR="009A17DE" w:rsidRPr="00806B36" w:rsidRDefault="009A17DE" w:rsidP="001D580C">
      <w:pPr>
        <w:pStyle w:val="PBACESText"/>
        <w:keepNext/>
        <w:keepLines/>
        <w:spacing w:before="120" w:after="0"/>
        <w:rPr>
          <w:b/>
          <w:bCs/>
        </w:rPr>
      </w:pPr>
      <w:bookmarkStart w:id="76" w:name="_Ref131080081"/>
      <w:r w:rsidRPr="00806B36">
        <w:rPr>
          <w:b/>
          <w:bCs/>
        </w:rPr>
        <w:t xml:space="preserve">Table </w:t>
      </w:r>
      <w:r w:rsidRPr="00806B36">
        <w:rPr>
          <w:b/>
          <w:bCs/>
        </w:rPr>
        <w:fldChar w:fldCharType="begin"/>
      </w:r>
      <w:r w:rsidRPr="00806B36">
        <w:rPr>
          <w:b/>
          <w:bCs/>
        </w:rPr>
        <w:instrText xml:space="preserve"> SEQ Table \* ARABIC </w:instrText>
      </w:r>
      <w:r w:rsidRPr="00806B36">
        <w:rPr>
          <w:b/>
          <w:bCs/>
        </w:rPr>
        <w:fldChar w:fldCharType="separate"/>
      </w:r>
      <w:r w:rsidR="00487C7F">
        <w:rPr>
          <w:b/>
          <w:bCs/>
          <w:noProof/>
        </w:rPr>
        <w:t>14</w:t>
      </w:r>
      <w:r w:rsidRPr="00806B36">
        <w:rPr>
          <w:b/>
          <w:bCs/>
        </w:rPr>
        <w:fldChar w:fldCharType="end"/>
      </w:r>
      <w:bookmarkEnd w:id="76"/>
      <w:r w:rsidR="00806B36">
        <w:rPr>
          <w:b/>
          <w:bCs/>
        </w:rPr>
        <w:t xml:space="preserve"> </w:t>
      </w:r>
      <w:r w:rsidRPr="00806B36">
        <w:rPr>
          <w:b/>
          <w:bCs/>
        </w:rPr>
        <w:t>Summary table of changes to the utilisation and financial estimates (Pre-PBAC Response)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1235"/>
        <w:gridCol w:w="1258"/>
        <w:gridCol w:w="4110"/>
      </w:tblGrid>
      <w:tr w:rsidR="009A17DE" w:rsidRPr="00806B36" w14:paraId="061A80A0" w14:textId="77777777" w:rsidTr="009A17DE">
        <w:trPr>
          <w:trHeight w:val="242"/>
        </w:trPr>
        <w:tc>
          <w:tcPr>
            <w:tcW w:w="2464" w:type="dxa"/>
            <w:shd w:val="clear" w:color="auto" w:fill="auto"/>
            <w:noWrap/>
            <w:hideMark/>
          </w:tcPr>
          <w:p w14:paraId="61C725B0" w14:textId="77777777" w:rsidR="009A17DE" w:rsidRPr="00806B36" w:rsidRDefault="009A17DE" w:rsidP="001D580C">
            <w:pPr>
              <w:pStyle w:val="PBACTabletext"/>
              <w:rPr>
                <w:b/>
                <w:bCs/>
                <w:lang w:eastAsia="en-AU"/>
              </w:rPr>
            </w:pPr>
            <w:r w:rsidRPr="00806B36">
              <w:rPr>
                <w:b/>
                <w:bCs/>
                <w:lang w:eastAsia="en-AU"/>
              </w:rPr>
              <w:t>Parameter</w:t>
            </w:r>
          </w:p>
        </w:tc>
        <w:tc>
          <w:tcPr>
            <w:tcW w:w="1235" w:type="dxa"/>
            <w:shd w:val="clear" w:color="auto" w:fill="auto"/>
            <w:noWrap/>
            <w:hideMark/>
          </w:tcPr>
          <w:p w14:paraId="2FFDB93D" w14:textId="77777777" w:rsidR="009A17DE" w:rsidRPr="00806B36" w:rsidRDefault="009A17DE" w:rsidP="001D580C">
            <w:pPr>
              <w:pStyle w:val="PBACTabletext"/>
              <w:rPr>
                <w:b/>
                <w:bCs/>
                <w:lang w:eastAsia="en-AU"/>
              </w:rPr>
            </w:pPr>
            <w:r w:rsidRPr="00806B36">
              <w:rPr>
                <w:b/>
                <w:bCs/>
                <w:lang w:eastAsia="en-AU"/>
              </w:rPr>
              <w:t>2024</w:t>
            </w:r>
          </w:p>
        </w:tc>
        <w:tc>
          <w:tcPr>
            <w:tcW w:w="1258" w:type="dxa"/>
            <w:shd w:val="clear" w:color="auto" w:fill="auto"/>
            <w:noWrap/>
            <w:hideMark/>
          </w:tcPr>
          <w:p w14:paraId="33B82D02" w14:textId="77777777" w:rsidR="009A17DE" w:rsidRPr="00806B36" w:rsidRDefault="009A17DE" w:rsidP="001D580C">
            <w:pPr>
              <w:pStyle w:val="PBACTabletext"/>
              <w:rPr>
                <w:b/>
                <w:bCs/>
                <w:lang w:eastAsia="en-AU"/>
              </w:rPr>
            </w:pPr>
            <w:r w:rsidRPr="00806B36">
              <w:rPr>
                <w:b/>
                <w:bCs/>
                <w:lang w:eastAsia="en-AU"/>
              </w:rPr>
              <w:t>2029</w:t>
            </w:r>
          </w:p>
        </w:tc>
        <w:tc>
          <w:tcPr>
            <w:tcW w:w="4110" w:type="dxa"/>
            <w:shd w:val="clear" w:color="auto" w:fill="auto"/>
            <w:noWrap/>
            <w:hideMark/>
          </w:tcPr>
          <w:p w14:paraId="3BA36305" w14:textId="77777777" w:rsidR="009A17DE" w:rsidRPr="00806B36" w:rsidRDefault="009A17DE" w:rsidP="001D580C">
            <w:pPr>
              <w:pStyle w:val="PBACTabletext"/>
              <w:rPr>
                <w:b/>
                <w:bCs/>
                <w:lang w:eastAsia="en-AU"/>
              </w:rPr>
            </w:pPr>
            <w:r w:rsidRPr="00806B36">
              <w:rPr>
                <w:b/>
                <w:bCs/>
                <w:lang w:eastAsia="en-AU"/>
              </w:rPr>
              <w:t>Notes</w:t>
            </w:r>
          </w:p>
        </w:tc>
      </w:tr>
      <w:tr w:rsidR="009A17DE" w:rsidRPr="00806B36" w14:paraId="7AE3528E" w14:textId="77777777" w:rsidTr="009A17DE">
        <w:trPr>
          <w:trHeight w:val="242"/>
        </w:trPr>
        <w:tc>
          <w:tcPr>
            <w:tcW w:w="2464" w:type="dxa"/>
            <w:shd w:val="clear" w:color="auto" w:fill="auto"/>
            <w:noWrap/>
            <w:hideMark/>
          </w:tcPr>
          <w:p w14:paraId="41C52A61" w14:textId="77777777" w:rsidR="009A17DE" w:rsidRPr="00806B36" w:rsidRDefault="009A17DE" w:rsidP="001D580C">
            <w:pPr>
              <w:pStyle w:val="PBACTabletext"/>
              <w:rPr>
                <w:lang w:eastAsia="en-AU"/>
              </w:rPr>
            </w:pPr>
            <w:r w:rsidRPr="00806B36">
              <w:rPr>
                <w:lang w:eastAsia="en-AU"/>
              </w:rPr>
              <w:t>ANZDATA (prevalence of HD)</w:t>
            </w:r>
          </w:p>
        </w:tc>
        <w:tc>
          <w:tcPr>
            <w:tcW w:w="1235" w:type="dxa"/>
            <w:shd w:val="clear" w:color="auto" w:fill="auto"/>
            <w:noWrap/>
            <w:hideMark/>
          </w:tcPr>
          <w:p w14:paraId="43F7A42E" w14:textId="77777777" w:rsidR="009A17DE" w:rsidRPr="00806B36" w:rsidRDefault="009A17DE" w:rsidP="001D580C">
            <w:pPr>
              <w:pStyle w:val="PBACTabletext"/>
              <w:rPr>
                <w:lang w:eastAsia="en-AU"/>
              </w:rPr>
            </w:pPr>
            <w:r w:rsidRPr="00806B36">
              <w:rPr>
                <w:lang w:eastAsia="en-AU"/>
              </w:rPr>
              <w:t>13,700</w:t>
            </w:r>
          </w:p>
        </w:tc>
        <w:tc>
          <w:tcPr>
            <w:tcW w:w="1258" w:type="dxa"/>
            <w:shd w:val="clear" w:color="auto" w:fill="auto"/>
            <w:noWrap/>
            <w:hideMark/>
          </w:tcPr>
          <w:p w14:paraId="0E62437E" w14:textId="77777777" w:rsidR="009A17DE" w:rsidRPr="00806B36" w:rsidRDefault="009A17DE" w:rsidP="001D580C">
            <w:pPr>
              <w:pStyle w:val="PBACTabletext"/>
              <w:rPr>
                <w:lang w:eastAsia="en-AU"/>
              </w:rPr>
            </w:pPr>
            <w:r w:rsidRPr="00806B36">
              <w:rPr>
                <w:lang w:eastAsia="en-AU"/>
              </w:rPr>
              <w:t>17,141</w:t>
            </w:r>
          </w:p>
        </w:tc>
        <w:tc>
          <w:tcPr>
            <w:tcW w:w="4110" w:type="dxa"/>
            <w:shd w:val="clear" w:color="auto" w:fill="auto"/>
            <w:noWrap/>
            <w:hideMark/>
          </w:tcPr>
          <w:p w14:paraId="6AC3F6E3" w14:textId="77777777" w:rsidR="009A17DE" w:rsidRPr="00806B36" w:rsidRDefault="009A17DE" w:rsidP="001D580C">
            <w:pPr>
              <w:pStyle w:val="PBACTabletext"/>
              <w:rPr>
                <w:lang w:eastAsia="en-AU"/>
              </w:rPr>
            </w:pPr>
            <w:r w:rsidRPr="00806B36">
              <w:rPr>
                <w:lang w:eastAsia="en-AU"/>
              </w:rPr>
              <w:t>Included home dialysis patients, and increased and updated the growth rate as per DUSC advice.</w:t>
            </w:r>
          </w:p>
        </w:tc>
      </w:tr>
      <w:tr w:rsidR="009A17DE" w:rsidRPr="00806B36" w14:paraId="3D3E6AAC" w14:textId="77777777" w:rsidTr="009A17DE">
        <w:trPr>
          <w:trHeight w:val="242"/>
        </w:trPr>
        <w:tc>
          <w:tcPr>
            <w:tcW w:w="2464" w:type="dxa"/>
            <w:shd w:val="clear" w:color="auto" w:fill="auto"/>
            <w:noWrap/>
            <w:hideMark/>
          </w:tcPr>
          <w:p w14:paraId="7DE30798" w14:textId="582EC22C" w:rsidR="009A17DE" w:rsidRPr="00806B36" w:rsidRDefault="009A17DE" w:rsidP="001D580C">
            <w:pPr>
              <w:pStyle w:val="PBACTabletext"/>
              <w:rPr>
                <w:lang w:eastAsia="en-AU"/>
              </w:rPr>
            </w:pPr>
            <w:r w:rsidRPr="00806B36">
              <w:rPr>
                <w:lang w:eastAsia="en-AU"/>
              </w:rPr>
              <w:t>DOPPS (patients bothered by mod</w:t>
            </w:r>
            <w:r w:rsidR="00584019" w:rsidRPr="00806B36">
              <w:rPr>
                <w:lang w:eastAsia="en-AU"/>
              </w:rPr>
              <w:t>erate</w:t>
            </w:r>
            <w:r w:rsidRPr="00806B36">
              <w:rPr>
                <w:lang w:eastAsia="en-AU"/>
              </w:rPr>
              <w:t>/sev</w:t>
            </w:r>
            <w:r w:rsidR="00584019" w:rsidRPr="00806B36">
              <w:rPr>
                <w:lang w:eastAsia="en-AU"/>
              </w:rPr>
              <w:t>ere</w:t>
            </w:r>
            <w:r w:rsidRPr="00806B36">
              <w:rPr>
                <w:lang w:eastAsia="en-AU"/>
              </w:rPr>
              <w:t xml:space="preserve"> itch)</w:t>
            </w:r>
          </w:p>
        </w:tc>
        <w:tc>
          <w:tcPr>
            <w:tcW w:w="1235" w:type="dxa"/>
            <w:shd w:val="clear" w:color="auto" w:fill="auto"/>
            <w:noWrap/>
            <w:hideMark/>
          </w:tcPr>
          <w:p w14:paraId="09A755B9" w14:textId="77777777" w:rsidR="009A17DE" w:rsidRPr="00806B36" w:rsidRDefault="009A17DE" w:rsidP="001D580C">
            <w:pPr>
              <w:pStyle w:val="PBACTabletext"/>
              <w:rPr>
                <w:lang w:eastAsia="en-AU"/>
              </w:rPr>
            </w:pPr>
            <w:r w:rsidRPr="00806B36">
              <w:rPr>
                <w:lang w:eastAsia="en-AU"/>
              </w:rPr>
              <w:t>43%</w:t>
            </w:r>
          </w:p>
        </w:tc>
        <w:tc>
          <w:tcPr>
            <w:tcW w:w="1258" w:type="dxa"/>
            <w:shd w:val="clear" w:color="auto" w:fill="auto"/>
            <w:noWrap/>
            <w:hideMark/>
          </w:tcPr>
          <w:p w14:paraId="7390454A" w14:textId="77777777" w:rsidR="009A17DE" w:rsidRPr="00806B36" w:rsidRDefault="009A17DE" w:rsidP="001D580C">
            <w:pPr>
              <w:pStyle w:val="PBACTabletext"/>
              <w:rPr>
                <w:lang w:eastAsia="en-AU"/>
              </w:rPr>
            </w:pPr>
            <w:r w:rsidRPr="00806B36">
              <w:rPr>
                <w:lang w:eastAsia="en-AU"/>
              </w:rPr>
              <w:t>43%</w:t>
            </w:r>
          </w:p>
        </w:tc>
        <w:tc>
          <w:tcPr>
            <w:tcW w:w="4110" w:type="dxa"/>
            <w:shd w:val="clear" w:color="auto" w:fill="auto"/>
            <w:noWrap/>
            <w:hideMark/>
          </w:tcPr>
          <w:p w14:paraId="00BF12BC" w14:textId="77777777" w:rsidR="009A17DE" w:rsidRPr="00806B36" w:rsidRDefault="009A17DE" w:rsidP="001D580C">
            <w:pPr>
              <w:pStyle w:val="PBACTabletext"/>
              <w:rPr>
                <w:lang w:eastAsia="en-AU"/>
              </w:rPr>
            </w:pPr>
            <w:r w:rsidRPr="00806B36">
              <w:rPr>
                <w:lang w:eastAsia="en-AU"/>
              </w:rPr>
              <w:t>Not updated so that the financial estimates reflect the PBS restriction in case they are to form the basis of an RSA.</w:t>
            </w:r>
          </w:p>
        </w:tc>
      </w:tr>
      <w:tr w:rsidR="009A17DE" w:rsidRPr="00806B36" w14:paraId="6DCF3B14" w14:textId="77777777" w:rsidTr="009A17DE">
        <w:trPr>
          <w:trHeight w:val="242"/>
        </w:trPr>
        <w:tc>
          <w:tcPr>
            <w:tcW w:w="2464" w:type="dxa"/>
            <w:shd w:val="clear" w:color="auto" w:fill="auto"/>
            <w:noWrap/>
            <w:hideMark/>
          </w:tcPr>
          <w:p w14:paraId="1E8F210E" w14:textId="77777777" w:rsidR="009A17DE" w:rsidRPr="00806B36" w:rsidRDefault="009A17DE" w:rsidP="001D580C">
            <w:pPr>
              <w:pStyle w:val="PBACTabletext"/>
              <w:rPr>
                <w:lang w:eastAsia="en-AU"/>
              </w:rPr>
            </w:pPr>
            <w:r w:rsidRPr="00806B36">
              <w:rPr>
                <w:lang w:eastAsia="en-AU"/>
              </w:rPr>
              <w:t xml:space="preserve">Diagnosis rate of CKD-aP </w:t>
            </w:r>
          </w:p>
        </w:tc>
        <w:tc>
          <w:tcPr>
            <w:tcW w:w="1235" w:type="dxa"/>
            <w:shd w:val="clear" w:color="auto" w:fill="auto"/>
            <w:noWrap/>
            <w:hideMark/>
          </w:tcPr>
          <w:p w14:paraId="73F3C97C" w14:textId="77777777" w:rsidR="009A17DE" w:rsidRPr="00806B36" w:rsidRDefault="009A17DE" w:rsidP="001D580C">
            <w:pPr>
              <w:pStyle w:val="PBACTabletext"/>
              <w:rPr>
                <w:lang w:eastAsia="en-AU"/>
              </w:rPr>
            </w:pPr>
            <w:r w:rsidRPr="00806B36">
              <w:rPr>
                <w:lang w:eastAsia="en-AU"/>
              </w:rPr>
              <w:t>83%</w:t>
            </w:r>
          </w:p>
        </w:tc>
        <w:tc>
          <w:tcPr>
            <w:tcW w:w="1258" w:type="dxa"/>
            <w:shd w:val="clear" w:color="auto" w:fill="auto"/>
            <w:noWrap/>
            <w:hideMark/>
          </w:tcPr>
          <w:p w14:paraId="6A858B1D" w14:textId="77777777" w:rsidR="009A17DE" w:rsidRPr="00806B36" w:rsidRDefault="009A17DE" w:rsidP="001D580C">
            <w:pPr>
              <w:pStyle w:val="PBACTabletext"/>
              <w:rPr>
                <w:lang w:eastAsia="en-AU"/>
              </w:rPr>
            </w:pPr>
            <w:r w:rsidRPr="00806B36">
              <w:rPr>
                <w:lang w:eastAsia="en-AU"/>
              </w:rPr>
              <w:t>83%</w:t>
            </w:r>
          </w:p>
        </w:tc>
        <w:tc>
          <w:tcPr>
            <w:tcW w:w="4110" w:type="dxa"/>
            <w:shd w:val="clear" w:color="auto" w:fill="auto"/>
            <w:noWrap/>
            <w:hideMark/>
          </w:tcPr>
          <w:p w14:paraId="2036B51F" w14:textId="77777777" w:rsidR="009A17DE" w:rsidRPr="00806B36" w:rsidRDefault="009A17DE" w:rsidP="001D580C">
            <w:pPr>
              <w:pStyle w:val="PBACTabletext"/>
              <w:rPr>
                <w:lang w:eastAsia="en-AU"/>
              </w:rPr>
            </w:pPr>
            <w:r w:rsidRPr="00806B36">
              <w:rPr>
                <w:lang w:eastAsia="en-AU"/>
              </w:rPr>
              <w:t>DUSC stated this was an underestimate, however, if the population grows due to availability for DFK then this is conservative because this 17% of patients are eligible for treatment and are cost effective. Unchanged.</w:t>
            </w:r>
          </w:p>
        </w:tc>
      </w:tr>
      <w:tr w:rsidR="009A17DE" w:rsidRPr="00806B36" w14:paraId="7582328B" w14:textId="77777777" w:rsidTr="009A17DE">
        <w:trPr>
          <w:trHeight w:val="242"/>
        </w:trPr>
        <w:tc>
          <w:tcPr>
            <w:tcW w:w="2464" w:type="dxa"/>
            <w:shd w:val="clear" w:color="auto" w:fill="auto"/>
            <w:noWrap/>
            <w:hideMark/>
          </w:tcPr>
          <w:p w14:paraId="421A5FC8" w14:textId="77777777" w:rsidR="009A17DE" w:rsidRPr="00806B36" w:rsidRDefault="009A17DE" w:rsidP="005457B9">
            <w:pPr>
              <w:pStyle w:val="PBACTabletext"/>
              <w:rPr>
                <w:lang w:eastAsia="en-AU"/>
              </w:rPr>
            </w:pPr>
            <w:r w:rsidRPr="00806B36">
              <w:rPr>
                <w:lang w:eastAsia="en-AU"/>
              </w:rPr>
              <w:t>DFK uptake rate</w:t>
            </w:r>
          </w:p>
        </w:tc>
        <w:tc>
          <w:tcPr>
            <w:tcW w:w="1235" w:type="dxa"/>
            <w:shd w:val="clear" w:color="auto" w:fill="auto"/>
            <w:noWrap/>
            <w:hideMark/>
          </w:tcPr>
          <w:p w14:paraId="08D95CB1" w14:textId="77777777" w:rsidR="009A17DE" w:rsidRPr="00806B36" w:rsidRDefault="009A17DE" w:rsidP="005457B9">
            <w:pPr>
              <w:pStyle w:val="PBACTabletext"/>
              <w:rPr>
                <w:lang w:eastAsia="en-AU"/>
              </w:rPr>
            </w:pPr>
            <w:r w:rsidRPr="00806B36">
              <w:rPr>
                <w:lang w:eastAsia="en-AU"/>
              </w:rPr>
              <w:t>70%</w:t>
            </w:r>
          </w:p>
        </w:tc>
        <w:tc>
          <w:tcPr>
            <w:tcW w:w="1258" w:type="dxa"/>
            <w:shd w:val="clear" w:color="auto" w:fill="auto"/>
            <w:noWrap/>
            <w:hideMark/>
          </w:tcPr>
          <w:p w14:paraId="15C5AE65" w14:textId="77777777" w:rsidR="009A17DE" w:rsidRPr="00806B36" w:rsidRDefault="009A17DE" w:rsidP="005457B9">
            <w:pPr>
              <w:pStyle w:val="PBACTabletext"/>
              <w:rPr>
                <w:lang w:eastAsia="en-AU"/>
              </w:rPr>
            </w:pPr>
            <w:r w:rsidRPr="00806B36">
              <w:rPr>
                <w:lang w:eastAsia="en-AU"/>
              </w:rPr>
              <w:t>90%</w:t>
            </w:r>
          </w:p>
        </w:tc>
        <w:tc>
          <w:tcPr>
            <w:tcW w:w="4110" w:type="dxa"/>
            <w:shd w:val="clear" w:color="auto" w:fill="auto"/>
            <w:noWrap/>
            <w:hideMark/>
          </w:tcPr>
          <w:p w14:paraId="5BC02617" w14:textId="77777777" w:rsidR="009A17DE" w:rsidRPr="00806B36" w:rsidRDefault="009A17DE" w:rsidP="005457B9">
            <w:pPr>
              <w:pStyle w:val="PBACTabletext"/>
              <w:rPr>
                <w:lang w:eastAsia="en-AU"/>
              </w:rPr>
            </w:pPr>
            <w:r w:rsidRPr="00806B36">
              <w:rPr>
                <w:lang w:eastAsia="en-AU"/>
              </w:rPr>
              <w:t>Accepted by DUSC as reasonable.</w:t>
            </w:r>
          </w:p>
        </w:tc>
      </w:tr>
      <w:tr w:rsidR="009A17DE" w:rsidRPr="00806B36" w14:paraId="1F262E18" w14:textId="77777777" w:rsidTr="009A17DE">
        <w:trPr>
          <w:trHeight w:val="242"/>
        </w:trPr>
        <w:tc>
          <w:tcPr>
            <w:tcW w:w="2464" w:type="dxa"/>
            <w:shd w:val="clear" w:color="auto" w:fill="auto"/>
            <w:noWrap/>
            <w:hideMark/>
          </w:tcPr>
          <w:p w14:paraId="1ED9F7CF" w14:textId="77777777" w:rsidR="009A17DE" w:rsidRPr="00806B36" w:rsidRDefault="009A17DE" w:rsidP="005457B9">
            <w:pPr>
              <w:pStyle w:val="PBACTabletext"/>
              <w:rPr>
                <w:lang w:eastAsia="en-AU"/>
              </w:rPr>
            </w:pPr>
            <w:r w:rsidRPr="00806B36">
              <w:rPr>
                <w:lang w:eastAsia="en-AU"/>
              </w:rPr>
              <w:t>DFK response rate</w:t>
            </w:r>
          </w:p>
        </w:tc>
        <w:tc>
          <w:tcPr>
            <w:tcW w:w="1235" w:type="dxa"/>
            <w:shd w:val="clear" w:color="auto" w:fill="auto"/>
            <w:noWrap/>
            <w:hideMark/>
          </w:tcPr>
          <w:p w14:paraId="2B0476AC" w14:textId="77777777" w:rsidR="009A17DE" w:rsidRPr="00806B36" w:rsidRDefault="009A17DE" w:rsidP="005457B9">
            <w:pPr>
              <w:pStyle w:val="PBACTabletext"/>
              <w:rPr>
                <w:lang w:eastAsia="en-AU"/>
              </w:rPr>
            </w:pPr>
            <w:r w:rsidRPr="00806B36">
              <w:rPr>
                <w:lang w:eastAsia="en-AU"/>
              </w:rPr>
              <w:t>51.3%</w:t>
            </w:r>
          </w:p>
        </w:tc>
        <w:tc>
          <w:tcPr>
            <w:tcW w:w="1258" w:type="dxa"/>
            <w:shd w:val="clear" w:color="auto" w:fill="auto"/>
            <w:noWrap/>
            <w:hideMark/>
          </w:tcPr>
          <w:p w14:paraId="65498058" w14:textId="77777777" w:rsidR="009A17DE" w:rsidRPr="00806B36" w:rsidRDefault="009A17DE" w:rsidP="005457B9">
            <w:pPr>
              <w:pStyle w:val="PBACTabletext"/>
              <w:rPr>
                <w:lang w:eastAsia="en-AU"/>
              </w:rPr>
            </w:pPr>
            <w:r w:rsidRPr="00806B36">
              <w:rPr>
                <w:lang w:eastAsia="en-AU"/>
              </w:rPr>
              <w:t>51.3%</w:t>
            </w:r>
          </w:p>
        </w:tc>
        <w:tc>
          <w:tcPr>
            <w:tcW w:w="4110" w:type="dxa"/>
            <w:shd w:val="clear" w:color="auto" w:fill="auto"/>
            <w:noWrap/>
            <w:hideMark/>
          </w:tcPr>
          <w:p w14:paraId="4FCDA455" w14:textId="77777777" w:rsidR="009A17DE" w:rsidRPr="00806B36" w:rsidRDefault="009A17DE" w:rsidP="005457B9">
            <w:pPr>
              <w:pStyle w:val="PBACTabletext"/>
              <w:rPr>
                <w:lang w:eastAsia="en-AU"/>
              </w:rPr>
            </w:pPr>
            <w:r w:rsidRPr="00806B36">
              <w:rPr>
                <w:lang w:eastAsia="en-AU"/>
              </w:rPr>
              <w:t>Not updated so that the financial estimates reflect the PBS restriction in case they are to form the basis of an RSA.</w:t>
            </w:r>
          </w:p>
        </w:tc>
      </w:tr>
      <w:tr w:rsidR="009A17DE" w:rsidRPr="00806B36" w14:paraId="361A6424" w14:textId="77777777" w:rsidTr="009A17DE">
        <w:trPr>
          <w:trHeight w:val="242"/>
        </w:trPr>
        <w:tc>
          <w:tcPr>
            <w:tcW w:w="2464" w:type="dxa"/>
            <w:shd w:val="clear" w:color="auto" w:fill="auto"/>
            <w:noWrap/>
            <w:hideMark/>
          </w:tcPr>
          <w:p w14:paraId="16C300B3" w14:textId="77777777" w:rsidR="009A17DE" w:rsidRPr="00806B36" w:rsidRDefault="009A17DE" w:rsidP="005457B9">
            <w:pPr>
              <w:pStyle w:val="PBACTabletext"/>
              <w:rPr>
                <w:lang w:eastAsia="en-AU"/>
              </w:rPr>
            </w:pPr>
            <w:r w:rsidRPr="00806B36">
              <w:rPr>
                <w:lang w:eastAsia="en-AU"/>
              </w:rPr>
              <w:t>Total patients treated</w:t>
            </w:r>
          </w:p>
        </w:tc>
        <w:tc>
          <w:tcPr>
            <w:tcW w:w="1235" w:type="dxa"/>
            <w:shd w:val="clear" w:color="auto" w:fill="auto"/>
            <w:noWrap/>
            <w:hideMark/>
          </w:tcPr>
          <w:p w14:paraId="51FE8C6C" w14:textId="01BD8256" w:rsidR="009A17DE" w:rsidRPr="00555C97" w:rsidRDefault="008537BB" w:rsidP="005457B9">
            <w:pPr>
              <w:pStyle w:val="PBACTabletext"/>
              <w:rPr>
                <w:highlight w:val="darkGray"/>
                <w:lang w:eastAsia="en-AU"/>
              </w:rPr>
            </w:pPr>
            <w:r w:rsidRPr="008537BB">
              <w:rPr>
                <w:color w:val="000000"/>
                <w:spacing w:val="29"/>
                <w:shd w:val="solid" w:color="000000" w:fill="000000"/>
                <w:fitText w:val="549" w:id="-1236597744"/>
                <w:lang w:eastAsia="en-AU"/>
                <w14:textFill>
                  <w14:solidFill>
                    <w14:srgbClr w14:val="000000">
                      <w14:alpha w14:val="100000"/>
                    </w14:srgbClr>
                  </w14:solidFill>
                </w14:textFill>
              </w:rPr>
              <w:t>|||||||</w:t>
            </w:r>
            <w:r w:rsidRPr="008537BB">
              <w:rPr>
                <w:color w:val="000000"/>
                <w:spacing w:val="6"/>
                <w:shd w:val="solid" w:color="000000" w:fill="000000"/>
                <w:fitText w:val="549" w:id="-1236597744"/>
                <w:lang w:eastAsia="en-AU"/>
                <w14:textFill>
                  <w14:solidFill>
                    <w14:srgbClr w14:val="000000">
                      <w14:alpha w14:val="100000"/>
                    </w14:srgbClr>
                  </w14:solidFill>
                </w14:textFill>
              </w:rPr>
              <w:t>|</w:t>
            </w:r>
            <w:r w:rsidR="000B3D0F" w:rsidRPr="00555C97">
              <w:rPr>
                <w:vertAlign w:val="superscript"/>
                <w:lang w:eastAsia="en-AU"/>
              </w:rPr>
              <w:t>1</w:t>
            </w:r>
          </w:p>
        </w:tc>
        <w:tc>
          <w:tcPr>
            <w:tcW w:w="1258" w:type="dxa"/>
            <w:shd w:val="clear" w:color="auto" w:fill="auto"/>
            <w:noWrap/>
            <w:hideMark/>
          </w:tcPr>
          <w:p w14:paraId="2D5DEA52" w14:textId="41DE17B7" w:rsidR="009A17DE" w:rsidRPr="00555C97" w:rsidRDefault="008537BB" w:rsidP="005457B9">
            <w:pPr>
              <w:pStyle w:val="PBACTabletext"/>
              <w:rPr>
                <w:highlight w:val="darkGray"/>
                <w:lang w:eastAsia="en-AU"/>
              </w:rPr>
            </w:pPr>
            <w:r w:rsidRPr="008537BB">
              <w:rPr>
                <w:color w:val="000000"/>
                <w:spacing w:val="29"/>
                <w:shd w:val="solid" w:color="000000" w:fill="000000"/>
                <w:fitText w:val="550" w:id="-1236597760"/>
                <w:lang w:eastAsia="en-AU"/>
                <w14:textFill>
                  <w14:solidFill>
                    <w14:srgbClr w14:val="000000">
                      <w14:alpha w14:val="100000"/>
                    </w14:srgbClr>
                  </w14:solidFill>
                </w14:textFill>
              </w:rPr>
              <w:t>|||||||</w:t>
            </w:r>
            <w:r w:rsidRPr="008537BB">
              <w:rPr>
                <w:color w:val="000000"/>
                <w:spacing w:val="7"/>
                <w:shd w:val="solid" w:color="000000" w:fill="000000"/>
                <w:fitText w:val="550" w:id="-1236597760"/>
                <w:lang w:eastAsia="en-AU"/>
                <w14:textFill>
                  <w14:solidFill>
                    <w14:srgbClr w14:val="000000">
                      <w14:alpha w14:val="100000"/>
                    </w14:srgbClr>
                  </w14:solidFill>
                </w14:textFill>
              </w:rPr>
              <w:t>|</w:t>
            </w:r>
            <w:r w:rsidR="000B3D0F" w:rsidRPr="006F69AD">
              <w:rPr>
                <w:vertAlign w:val="superscript"/>
                <w:lang w:eastAsia="en-AU"/>
              </w:rPr>
              <w:t>1</w:t>
            </w:r>
          </w:p>
        </w:tc>
        <w:tc>
          <w:tcPr>
            <w:tcW w:w="4110" w:type="dxa"/>
            <w:shd w:val="clear" w:color="auto" w:fill="auto"/>
            <w:noWrap/>
            <w:hideMark/>
          </w:tcPr>
          <w:p w14:paraId="06F31286" w14:textId="77777777" w:rsidR="009A17DE" w:rsidRPr="00806B36" w:rsidRDefault="009A17DE" w:rsidP="005457B9">
            <w:pPr>
              <w:pStyle w:val="PBACTabletext"/>
              <w:rPr>
                <w:lang w:eastAsia="en-AU"/>
              </w:rPr>
            </w:pPr>
            <w:r w:rsidRPr="00806B36">
              <w:rPr>
                <w:lang w:eastAsia="en-AU"/>
              </w:rPr>
              <w:t xml:space="preserve">Product of all the above </w:t>
            </w:r>
          </w:p>
        </w:tc>
      </w:tr>
      <w:tr w:rsidR="009A17DE" w:rsidRPr="00806B36" w14:paraId="271E1D95" w14:textId="77777777" w:rsidTr="009A17DE">
        <w:trPr>
          <w:trHeight w:val="242"/>
        </w:trPr>
        <w:tc>
          <w:tcPr>
            <w:tcW w:w="2464" w:type="dxa"/>
            <w:shd w:val="clear" w:color="auto" w:fill="auto"/>
            <w:noWrap/>
            <w:hideMark/>
          </w:tcPr>
          <w:p w14:paraId="2D807B2B" w14:textId="77777777" w:rsidR="009A17DE" w:rsidRPr="00806B36" w:rsidRDefault="009A17DE" w:rsidP="005457B9">
            <w:pPr>
              <w:pStyle w:val="PBACTabletext"/>
              <w:rPr>
                <w:lang w:eastAsia="en-AU"/>
              </w:rPr>
            </w:pPr>
            <w:r w:rsidRPr="00806B36">
              <w:rPr>
                <w:lang w:eastAsia="en-AU"/>
              </w:rPr>
              <w:t>Scripts (initial and continuing)</w:t>
            </w:r>
          </w:p>
        </w:tc>
        <w:tc>
          <w:tcPr>
            <w:tcW w:w="1235" w:type="dxa"/>
            <w:shd w:val="clear" w:color="auto" w:fill="auto"/>
            <w:noWrap/>
            <w:hideMark/>
          </w:tcPr>
          <w:p w14:paraId="3501DC0A" w14:textId="137BD437" w:rsidR="009A17DE" w:rsidRPr="00555C97" w:rsidRDefault="008537BB" w:rsidP="005457B9">
            <w:pPr>
              <w:pStyle w:val="PBACTabletext"/>
              <w:rPr>
                <w:highlight w:val="darkGray"/>
                <w:lang w:eastAsia="en-AU"/>
              </w:rPr>
            </w:pPr>
            <w:r w:rsidRPr="008537BB">
              <w:rPr>
                <w:color w:val="000000"/>
                <w:spacing w:val="29"/>
                <w:shd w:val="solid" w:color="000000" w:fill="000000"/>
                <w:fitText w:val="549" w:id="-1236597759"/>
                <w:lang w:eastAsia="en-AU"/>
                <w14:textFill>
                  <w14:solidFill>
                    <w14:srgbClr w14:val="000000">
                      <w14:alpha w14:val="100000"/>
                    </w14:srgbClr>
                  </w14:solidFill>
                </w14:textFill>
              </w:rPr>
              <w:t>|||||||</w:t>
            </w:r>
            <w:r w:rsidRPr="008537BB">
              <w:rPr>
                <w:color w:val="000000"/>
                <w:spacing w:val="6"/>
                <w:shd w:val="solid" w:color="000000" w:fill="000000"/>
                <w:fitText w:val="549" w:id="-1236597759"/>
                <w:lang w:eastAsia="en-AU"/>
                <w14:textFill>
                  <w14:solidFill>
                    <w14:srgbClr w14:val="000000">
                      <w14:alpha w14:val="100000"/>
                    </w14:srgbClr>
                  </w14:solidFill>
                </w14:textFill>
              </w:rPr>
              <w:t>|</w:t>
            </w:r>
            <w:r w:rsidR="000B3D0F">
              <w:rPr>
                <w:vertAlign w:val="superscript"/>
                <w:lang w:eastAsia="en-AU"/>
              </w:rPr>
              <w:t>2</w:t>
            </w:r>
          </w:p>
        </w:tc>
        <w:tc>
          <w:tcPr>
            <w:tcW w:w="1258" w:type="dxa"/>
            <w:shd w:val="clear" w:color="auto" w:fill="auto"/>
            <w:noWrap/>
            <w:hideMark/>
          </w:tcPr>
          <w:p w14:paraId="2363470C" w14:textId="52C92218" w:rsidR="009A17DE" w:rsidRPr="00555C97" w:rsidRDefault="008537BB" w:rsidP="005457B9">
            <w:pPr>
              <w:pStyle w:val="PBACTabletext"/>
              <w:rPr>
                <w:highlight w:val="darkGray"/>
                <w:lang w:eastAsia="en-AU"/>
              </w:rPr>
            </w:pPr>
            <w:r w:rsidRPr="008537BB">
              <w:rPr>
                <w:color w:val="000000"/>
                <w:spacing w:val="29"/>
                <w:shd w:val="solid" w:color="000000" w:fill="000000"/>
                <w:fitText w:val="550" w:id="-1236597758"/>
                <w:lang w:eastAsia="en-AU"/>
                <w14:textFill>
                  <w14:solidFill>
                    <w14:srgbClr w14:val="000000">
                      <w14:alpha w14:val="100000"/>
                    </w14:srgbClr>
                  </w14:solidFill>
                </w14:textFill>
              </w:rPr>
              <w:t>|||||||</w:t>
            </w:r>
            <w:r w:rsidRPr="008537BB">
              <w:rPr>
                <w:color w:val="000000"/>
                <w:spacing w:val="7"/>
                <w:shd w:val="solid" w:color="000000" w:fill="000000"/>
                <w:fitText w:val="550" w:id="-1236597758"/>
                <w:lang w:eastAsia="en-AU"/>
                <w14:textFill>
                  <w14:solidFill>
                    <w14:srgbClr w14:val="000000">
                      <w14:alpha w14:val="100000"/>
                    </w14:srgbClr>
                  </w14:solidFill>
                </w14:textFill>
              </w:rPr>
              <w:t>|</w:t>
            </w:r>
            <w:r w:rsidR="000B3D0F">
              <w:rPr>
                <w:vertAlign w:val="superscript"/>
                <w:lang w:eastAsia="en-AU"/>
              </w:rPr>
              <w:t>3</w:t>
            </w:r>
          </w:p>
        </w:tc>
        <w:tc>
          <w:tcPr>
            <w:tcW w:w="4110" w:type="dxa"/>
            <w:shd w:val="clear" w:color="auto" w:fill="auto"/>
            <w:noWrap/>
            <w:hideMark/>
          </w:tcPr>
          <w:p w14:paraId="32A961EA" w14:textId="069286A2" w:rsidR="009A17DE" w:rsidRPr="00806B36" w:rsidRDefault="009A17DE" w:rsidP="005457B9">
            <w:pPr>
              <w:pStyle w:val="PBACTabletext"/>
              <w:rPr>
                <w:lang w:eastAsia="en-AU"/>
              </w:rPr>
            </w:pPr>
            <w:r w:rsidRPr="00806B36">
              <w:rPr>
                <w:lang w:eastAsia="en-AU"/>
              </w:rPr>
              <w:t>DUS</w:t>
            </w:r>
            <w:r w:rsidRPr="00806B36">
              <w:t>C noted underestimation of scripts per patient for those greater than 104</w:t>
            </w:r>
            <w:r w:rsidR="003B7199">
              <w:t> </w:t>
            </w:r>
            <w:r w:rsidRPr="00806B36">
              <w:t xml:space="preserve">kg, requiring 2 vials per dose. This has been updated in the model with Australia’s subgroup population in the KALM trials translating to 6% requiring a second dose. Adherence and persistence in the first 12 weeks of treatment was also updated in line with DUSC advice, resulting in </w:t>
            </w:r>
            <w:r w:rsidRPr="00806B36">
              <w:rPr>
                <w:lang w:eastAsia="en-AU"/>
              </w:rPr>
              <w:t>12.21 to 12.42 vials per patient per year (depending on initial or continuing).</w:t>
            </w:r>
          </w:p>
        </w:tc>
      </w:tr>
      <w:tr w:rsidR="009A17DE" w:rsidRPr="00806B36" w14:paraId="294E66B8" w14:textId="77777777" w:rsidTr="009A17DE">
        <w:trPr>
          <w:trHeight w:val="242"/>
        </w:trPr>
        <w:tc>
          <w:tcPr>
            <w:tcW w:w="2464" w:type="dxa"/>
            <w:shd w:val="clear" w:color="auto" w:fill="auto"/>
            <w:noWrap/>
            <w:hideMark/>
          </w:tcPr>
          <w:p w14:paraId="4961B339" w14:textId="6CA5FF43" w:rsidR="009A17DE" w:rsidRPr="00806B36" w:rsidRDefault="009A17DE" w:rsidP="005457B9">
            <w:pPr>
              <w:pStyle w:val="PBACTabletext"/>
              <w:rPr>
                <w:lang w:eastAsia="en-AU"/>
              </w:rPr>
            </w:pPr>
            <w:r w:rsidRPr="00806B36">
              <w:rPr>
                <w:lang w:eastAsia="en-AU"/>
              </w:rPr>
              <w:t>Total PBS/RPS expenditure*</w:t>
            </w:r>
            <w:r w:rsidR="000B3D0F">
              <w:rPr>
                <w:lang w:eastAsia="en-AU"/>
              </w:rPr>
              <w:t xml:space="preserve"> ($)</w:t>
            </w:r>
            <w:r w:rsidRPr="00806B36">
              <w:rPr>
                <w:lang w:eastAsia="en-AU"/>
              </w:rPr>
              <w:t xml:space="preserve"> </w:t>
            </w:r>
          </w:p>
        </w:tc>
        <w:tc>
          <w:tcPr>
            <w:tcW w:w="1235" w:type="dxa"/>
            <w:shd w:val="clear" w:color="auto" w:fill="auto"/>
            <w:noWrap/>
            <w:hideMark/>
          </w:tcPr>
          <w:p w14:paraId="4425603B" w14:textId="6251935C" w:rsidR="009A17DE" w:rsidRPr="00555C97" w:rsidRDefault="008537BB" w:rsidP="005457B9">
            <w:pPr>
              <w:pStyle w:val="PBACTabletext"/>
              <w:rPr>
                <w:highlight w:val="darkGray"/>
                <w:lang w:eastAsia="en-AU"/>
              </w:rPr>
            </w:pPr>
            <w:r w:rsidRPr="008537BB">
              <w:rPr>
                <w:color w:val="000000"/>
                <w:spacing w:val="29"/>
                <w:shd w:val="solid" w:color="000000" w:fill="000000"/>
                <w:fitText w:val="549" w:id="-1236597757"/>
                <w:lang w:eastAsia="en-AU"/>
                <w14:textFill>
                  <w14:solidFill>
                    <w14:srgbClr w14:val="000000">
                      <w14:alpha w14:val="100000"/>
                    </w14:srgbClr>
                  </w14:solidFill>
                </w14:textFill>
              </w:rPr>
              <w:t>|||||||</w:t>
            </w:r>
            <w:r w:rsidRPr="008537BB">
              <w:rPr>
                <w:color w:val="000000"/>
                <w:spacing w:val="6"/>
                <w:shd w:val="solid" w:color="000000" w:fill="000000"/>
                <w:fitText w:val="549" w:id="-1236597757"/>
                <w:lang w:eastAsia="en-AU"/>
                <w14:textFill>
                  <w14:solidFill>
                    <w14:srgbClr w14:val="000000">
                      <w14:alpha w14:val="100000"/>
                    </w14:srgbClr>
                  </w14:solidFill>
                </w14:textFill>
              </w:rPr>
              <w:t>|</w:t>
            </w:r>
            <w:r w:rsidR="000B3D0F">
              <w:rPr>
                <w:vertAlign w:val="superscript"/>
                <w:lang w:eastAsia="en-AU"/>
              </w:rPr>
              <w:t>4</w:t>
            </w:r>
          </w:p>
        </w:tc>
        <w:tc>
          <w:tcPr>
            <w:tcW w:w="1258" w:type="dxa"/>
            <w:shd w:val="clear" w:color="auto" w:fill="auto"/>
            <w:noWrap/>
            <w:hideMark/>
          </w:tcPr>
          <w:p w14:paraId="68E99F0F" w14:textId="3DC76FA4" w:rsidR="009A17DE" w:rsidRPr="00555C97" w:rsidRDefault="008537BB" w:rsidP="005457B9">
            <w:pPr>
              <w:pStyle w:val="PBACTabletext"/>
              <w:rPr>
                <w:highlight w:val="darkGray"/>
                <w:lang w:eastAsia="en-AU"/>
              </w:rPr>
            </w:pPr>
            <w:r w:rsidRPr="008537BB">
              <w:rPr>
                <w:color w:val="000000"/>
                <w:spacing w:val="29"/>
                <w:shd w:val="solid" w:color="000000" w:fill="000000"/>
                <w:fitText w:val="550" w:id="-1236597756"/>
                <w:lang w:eastAsia="en-AU"/>
                <w14:textFill>
                  <w14:solidFill>
                    <w14:srgbClr w14:val="000000">
                      <w14:alpha w14:val="100000"/>
                    </w14:srgbClr>
                  </w14:solidFill>
                </w14:textFill>
              </w:rPr>
              <w:t>|||||||</w:t>
            </w:r>
            <w:r w:rsidRPr="008537BB">
              <w:rPr>
                <w:color w:val="000000"/>
                <w:spacing w:val="7"/>
                <w:shd w:val="solid" w:color="000000" w:fill="000000"/>
                <w:fitText w:val="550" w:id="-1236597756"/>
                <w:lang w:eastAsia="en-AU"/>
                <w14:textFill>
                  <w14:solidFill>
                    <w14:srgbClr w14:val="000000">
                      <w14:alpha w14:val="100000"/>
                    </w14:srgbClr>
                  </w14:solidFill>
                </w14:textFill>
              </w:rPr>
              <w:t>|</w:t>
            </w:r>
            <w:r w:rsidR="000B3D0F">
              <w:rPr>
                <w:vertAlign w:val="superscript"/>
                <w:lang w:eastAsia="en-AU"/>
              </w:rPr>
              <w:t>4</w:t>
            </w:r>
          </w:p>
        </w:tc>
        <w:tc>
          <w:tcPr>
            <w:tcW w:w="4110" w:type="dxa"/>
            <w:shd w:val="clear" w:color="auto" w:fill="auto"/>
            <w:noWrap/>
            <w:hideMark/>
          </w:tcPr>
          <w:p w14:paraId="6587E44E" w14:textId="3EC24300" w:rsidR="009A17DE" w:rsidRPr="00806B36" w:rsidRDefault="009A17DE" w:rsidP="005457B9">
            <w:pPr>
              <w:pStyle w:val="PBACTabletext"/>
              <w:rPr>
                <w:lang w:eastAsia="en-AU"/>
              </w:rPr>
            </w:pPr>
            <w:r w:rsidRPr="00806B36">
              <w:rPr>
                <w:lang w:eastAsia="en-AU"/>
              </w:rPr>
              <w:t>Revised AEMP of $</w:t>
            </w:r>
            <w:r w:rsidR="008537BB" w:rsidRPr="008537BB">
              <w:rPr>
                <w:color w:val="000000"/>
                <w:spacing w:val="29"/>
                <w:shd w:val="solid" w:color="000000" w:fill="000000"/>
                <w:fitText w:val="549" w:id="-1236597755"/>
                <w:lang w:eastAsia="en-AU"/>
                <w14:textFill>
                  <w14:solidFill>
                    <w14:srgbClr w14:val="000000">
                      <w14:alpha w14:val="100000"/>
                    </w14:srgbClr>
                  </w14:solidFill>
                </w14:textFill>
              </w:rPr>
              <w:t>|||||||</w:t>
            </w:r>
            <w:r w:rsidR="008537BB" w:rsidRPr="008537BB">
              <w:rPr>
                <w:color w:val="000000"/>
                <w:spacing w:val="6"/>
                <w:shd w:val="solid" w:color="000000" w:fill="000000"/>
                <w:fitText w:val="549" w:id="-1236597755"/>
                <w:lang w:eastAsia="en-AU"/>
                <w14:textFill>
                  <w14:solidFill>
                    <w14:srgbClr w14:val="000000">
                      <w14:alpha w14:val="100000"/>
                    </w14:srgbClr>
                  </w14:solidFill>
                </w14:textFill>
              </w:rPr>
              <w:t>|</w:t>
            </w:r>
            <w:r w:rsidRPr="00806B36">
              <w:rPr>
                <w:lang w:eastAsia="en-AU"/>
              </w:rPr>
              <w:t xml:space="preserve"> per vial</w:t>
            </w:r>
          </w:p>
        </w:tc>
      </w:tr>
    </w:tbl>
    <w:p w14:paraId="53AE5A49" w14:textId="256A2C86" w:rsidR="001D580C" w:rsidRPr="00806B36" w:rsidRDefault="001D580C" w:rsidP="001D580C">
      <w:pPr>
        <w:pStyle w:val="COMexecsumnumberedpara"/>
        <w:numPr>
          <w:ilvl w:val="0"/>
          <w:numId w:val="0"/>
        </w:numPr>
        <w:spacing w:after="0"/>
        <w:rPr>
          <w:rFonts w:ascii="Arial Narrow" w:hAnsi="Arial Narrow"/>
          <w:sz w:val="18"/>
          <w:szCs w:val="22"/>
        </w:rPr>
      </w:pPr>
      <w:r w:rsidRPr="00806B36">
        <w:rPr>
          <w:rFonts w:ascii="Arial Narrow" w:hAnsi="Arial Narrow"/>
          <w:sz w:val="18"/>
          <w:szCs w:val="22"/>
        </w:rPr>
        <w:t xml:space="preserve">Source: Table 1 pre-PBAC response </w:t>
      </w:r>
    </w:p>
    <w:p w14:paraId="7067710F" w14:textId="74B64383" w:rsidR="001D580C" w:rsidRDefault="001D580C" w:rsidP="00665FA1">
      <w:pPr>
        <w:pStyle w:val="COMexecsumnumberedpara"/>
        <w:numPr>
          <w:ilvl w:val="0"/>
          <w:numId w:val="0"/>
        </w:numPr>
        <w:spacing w:after="0"/>
        <w:rPr>
          <w:rFonts w:ascii="Arial Narrow" w:hAnsi="Arial Narrow"/>
          <w:sz w:val="18"/>
          <w:szCs w:val="22"/>
        </w:rPr>
      </w:pPr>
      <w:r w:rsidRPr="00806B36">
        <w:rPr>
          <w:rFonts w:ascii="Arial Narrow" w:hAnsi="Arial Narrow"/>
          <w:sz w:val="18"/>
          <w:szCs w:val="22"/>
        </w:rPr>
        <w:t>*428.26 per script net of copayment</w:t>
      </w:r>
    </w:p>
    <w:p w14:paraId="7C89008F" w14:textId="77777777" w:rsidR="000B3D0F" w:rsidRPr="009A6D58" w:rsidRDefault="000B3D0F" w:rsidP="000B3D0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EE75A4C" w14:textId="77777777" w:rsidR="000B3D0F" w:rsidRPr="009A6D58" w:rsidRDefault="000B3D0F" w:rsidP="000B3D0F">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97715">
        <w:rPr>
          <w:rFonts w:ascii="Arial Narrow" w:hAnsi="Arial Narrow"/>
          <w:i/>
          <w:sz w:val="18"/>
          <w:szCs w:val="18"/>
        </w:rPr>
        <w:t>500 to &lt; 5,000</w:t>
      </w:r>
    </w:p>
    <w:p w14:paraId="33165CE7" w14:textId="5E38A3A8" w:rsidR="000B3D0F" w:rsidRDefault="000B3D0F" w:rsidP="000B3D0F">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597715">
        <w:rPr>
          <w:rFonts w:ascii="Arial Narrow" w:hAnsi="Arial Narrow"/>
          <w:i/>
          <w:sz w:val="18"/>
          <w:szCs w:val="18"/>
        </w:rPr>
        <w:t>20,000 to &lt; 30,000</w:t>
      </w:r>
    </w:p>
    <w:p w14:paraId="457D007A" w14:textId="0DFAEC4B" w:rsidR="000B3D0F" w:rsidRDefault="000B3D0F" w:rsidP="000B3D0F">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0B3D0F">
        <w:rPr>
          <w:rFonts w:ascii="Arial Narrow" w:hAnsi="Arial Narrow"/>
          <w:i/>
          <w:sz w:val="18"/>
          <w:szCs w:val="18"/>
        </w:rPr>
        <w:t>30,000 to &lt; 40,000</w:t>
      </w:r>
    </w:p>
    <w:p w14:paraId="0F48F26D" w14:textId="1EF441D2" w:rsidR="000B3D0F" w:rsidRPr="00665FA1" w:rsidRDefault="000B3D0F" w:rsidP="00665FA1">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97715">
        <w:rPr>
          <w:rFonts w:ascii="Arial Narrow" w:hAnsi="Arial Narrow"/>
          <w:i/>
          <w:sz w:val="18"/>
          <w:szCs w:val="18"/>
        </w:rPr>
        <w:t>$10 million to &lt; $20 million</w:t>
      </w:r>
    </w:p>
    <w:p w14:paraId="2238DEE9" w14:textId="2798FAEF" w:rsidR="00576972" w:rsidRPr="00806B36" w:rsidRDefault="00576972" w:rsidP="00606FBA">
      <w:pPr>
        <w:pStyle w:val="COMH2-non-numbered"/>
      </w:pPr>
      <w:r w:rsidRPr="00806B36">
        <w:t>Quality Use of Medicines</w:t>
      </w:r>
      <w:bookmarkEnd w:id="70"/>
      <w:bookmarkEnd w:id="71"/>
    </w:p>
    <w:p w14:paraId="38BD0AEF" w14:textId="421F3660" w:rsidR="00576972" w:rsidRPr="00806B36" w:rsidRDefault="00873677" w:rsidP="00873677">
      <w:pPr>
        <w:pStyle w:val="COMexecsumnumberedpara"/>
      </w:pPr>
      <w:r w:rsidRPr="00806B36">
        <w:t xml:space="preserve">Quality use of medicines was not addressed in the submission. The TGA ACM August 2022 meeting minutes noted that it may be beneficial for the sponsor to provide education regarding the use of difelikefalin in the hospital setting. The ACM advised that the </w:t>
      </w:r>
      <w:r w:rsidR="00E52520" w:rsidRPr="00806B36">
        <w:t>P</w:t>
      </w:r>
      <w:r w:rsidRPr="00806B36">
        <w:t xml:space="preserve">roduct </w:t>
      </w:r>
      <w:r w:rsidR="00E52520" w:rsidRPr="00806B36">
        <w:t>I</w:t>
      </w:r>
      <w:r w:rsidRPr="00806B36">
        <w:t>nformation should clearly state that difelikefalin is to be used only for the approved indicat</w:t>
      </w:r>
      <w:r w:rsidR="00206D8C" w:rsidRPr="00806B36">
        <w:t>ion</w:t>
      </w:r>
      <w:r w:rsidRPr="00806B36">
        <w:t xml:space="preserve"> as off-label use may be inappropriate given the complex nature of the drug. It may also be reasonable to emphasise that difelikefalin should not be used in patients on peritoneal dialysis.</w:t>
      </w:r>
    </w:p>
    <w:p w14:paraId="6015A395" w14:textId="5AEF5072" w:rsidR="00576972" w:rsidRPr="00806B36" w:rsidRDefault="00576972" w:rsidP="00606FBA">
      <w:pPr>
        <w:pStyle w:val="COMH2-non-numbered"/>
      </w:pPr>
      <w:bookmarkStart w:id="77" w:name="_Toc22897649"/>
      <w:bookmarkStart w:id="78" w:name="_Toc124836728"/>
      <w:r w:rsidRPr="00806B36">
        <w:t>Financial Management – Risk Sharing Arrangements</w:t>
      </w:r>
      <w:bookmarkEnd w:id="77"/>
      <w:bookmarkEnd w:id="78"/>
    </w:p>
    <w:p w14:paraId="25BA2464" w14:textId="53FF61AC" w:rsidR="00894CD6" w:rsidRPr="00806B36" w:rsidRDefault="00873677" w:rsidP="00873677">
      <w:pPr>
        <w:pStyle w:val="COMexecsumnumberedpara"/>
      </w:pPr>
      <w:r w:rsidRPr="00806B36">
        <w:t>The sponsor acknowledged that a risk-sharing arrangement would be required in order to ensure that PBS expenditure is limited to a level consistent with the trial data and cost-effectiveness estimates presented in the submission.</w:t>
      </w:r>
    </w:p>
    <w:p w14:paraId="0752EE69" w14:textId="49124473" w:rsidR="003F6D5A" w:rsidRPr="00806B36" w:rsidRDefault="003F6D5A" w:rsidP="00873677">
      <w:pPr>
        <w:pStyle w:val="COMexecsumnumberedpara"/>
      </w:pPr>
      <w:r w:rsidRPr="00806B36">
        <w:t>The sponsor acknowledged that the budget impact analysis presented may underestimate script numbers and expenditure. However, the sponsor claimed that these estimates were based on how difelikefalin should be used (i.e. consistent with the evidence) rather than how it may be used in practice with the potential for leakage. The sponsor claimed that these estimates would be an appropriate basis for a risk-sharing arrangement. The submission stated that the sponsor will work with the Department of Health to agree upon an appropriate rebate over agreed levels of expenditure.</w:t>
      </w:r>
      <w:r w:rsidR="00741369" w:rsidRPr="00806B36">
        <w:t xml:space="preserve"> </w:t>
      </w:r>
    </w:p>
    <w:p w14:paraId="5DBB735D" w14:textId="14DBF318" w:rsidR="009B44D4" w:rsidRPr="00806B36" w:rsidRDefault="00741369" w:rsidP="00584019">
      <w:pPr>
        <w:ind w:firstLine="709"/>
        <w:rPr>
          <w:rFonts w:asciiTheme="minorHAnsi" w:hAnsiTheme="minorHAnsi"/>
          <w:i/>
        </w:rPr>
      </w:pPr>
      <w:r w:rsidRPr="00806B36">
        <w:rPr>
          <w:rFonts w:asciiTheme="minorHAnsi" w:hAnsiTheme="minorHAnsi"/>
          <w:i/>
        </w:rPr>
        <w:t>For more detail on PBAC’s view, see section 7 PBAC outcome.</w:t>
      </w:r>
    </w:p>
    <w:p w14:paraId="226C78FD" w14:textId="77777777" w:rsidR="009770E4" w:rsidRPr="00806B36" w:rsidRDefault="009770E4" w:rsidP="00B854DE">
      <w:pPr>
        <w:pStyle w:val="COMH1numbered"/>
      </w:pPr>
      <w:bookmarkStart w:id="79" w:name="_Hlk76381249"/>
      <w:bookmarkStart w:id="80" w:name="_Hlk76377955"/>
      <w:r w:rsidRPr="00806B36">
        <w:t>PBAC Outcome</w:t>
      </w:r>
    </w:p>
    <w:p w14:paraId="67424970" w14:textId="78D19B91" w:rsidR="002D3C14" w:rsidRPr="00806B36" w:rsidRDefault="009770E4" w:rsidP="009770E4">
      <w:pPr>
        <w:widowControl w:val="0"/>
        <w:numPr>
          <w:ilvl w:val="1"/>
          <w:numId w:val="1"/>
        </w:numPr>
        <w:spacing w:after="120"/>
        <w:rPr>
          <w:rFonts w:asciiTheme="minorHAnsi" w:hAnsiTheme="minorHAnsi"/>
          <w:snapToGrid w:val="0"/>
        </w:rPr>
      </w:pPr>
      <w:r w:rsidRPr="00806B36">
        <w:rPr>
          <w:rFonts w:asciiTheme="minorHAnsi" w:hAnsiTheme="minorHAnsi"/>
          <w:snapToGrid w:val="0"/>
        </w:rPr>
        <w:t>The PBAC did not recommen</w:t>
      </w:r>
      <w:r w:rsidR="009E45C5" w:rsidRPr="00806B36">
        <w:rPr>
          <w:rFonts w:asciiTheme="minorHAnsi" w:hAnsiTheme="minorHAnsi"/>
          <w:snapToGrid w:val="0"/>
        </w:rPr>
        <w:t xml:space="preserve">d the listing of difelikefalin for the treatment of </w:t>
      </w:r>
      <w:r w:rsidR="002D3C14" w:rsidRPr="00806B36">
        <w:rPr>
          <w:rFonts w:asciiTheme="minorHAnsi" w:hAnsiTheme="minorHAnsi"/>
          <w:snapToGrid w:val="0"/>
        </w:rPr>
        <w:t xml:space="preserve">moderate to severe </w:t>
      </w:r>
      <w:r w:rsidR="009E45C5" w:rsidRPr="00806B36">
        <w:rPr>
          <w:rFonts w:asciiTheme="minorHAnsi" w:hAnsiTheme="minorHAnsi"/>
          <w:snapToGrid w:val="0"/>
        </w:rPr>
        <w:t>pruritus (itching) associated with chronic kidney disease</w:t>
      </w:r>
      <w:r w:rsidR="0041548C" w:rsidRPr="00806B36">
        <w:rPr>
          <w:rFonts w:asciiTheme="minorHAnsi" w:hAnsiTheme="minorHAnsi"/>
          <w:snapToGrid w:val="0"/>
        </w:rPr>
        <w:t xml:space="preserve"> (CKD)</w:t>
      </w:r>
      <w:r w:rsidR="009E45C5" w:rsidRPr="00806B36">
        <w:rPr>
          <w:rFonts w:asciiTheme="minorHAnsi" w:hAnsiTheme="minorHAnsi"/>
          <w:snapToGrid w:val="0"/>
        </w:rPr>
        <w:t xml:space="preserve"> in </w:t>
      </w:r>
      <w:r w:rsidR="002D3C14" w:rsidRPr="00806B36">
        <w:rPr>
          <w:rFonts w:asciiTheme="minorHAnsi" w:hAnsiTheme="minorHAnsi"/>
          <w:snapToGrid w:val="0"/>
        </w:rPr>
        <w:t xml:space="preserve">adult </w:t>
      </w:r>
      <w:r w:rsidR="009E45C5" w:rsidRPr="00806B36">
        <w:rPr>
          <w:rFonts w:asciiTheme="minorHAnsi" w:hAnsiTheme="minorHAnsi"/>
          <w:snapToGrid w:val="0"/>
        </w:rPr>
        <w:t>patients who are receiving haemodialysis.</w:t>
      </w:r>
      <w:r w:rsidR="002D3C14" w:rsidRPr="00806B36">
        <w:rPr>
          <w:rFonts w:asciiTheme="minorHAnsi" w:hAnsiTheme="minorHAnsi"/>
          <w:snapToGrid w:val="0"/>
        </w:rPr>
        <w:t xml:space="preserve"> The PBAC acknowledged there was a clinical need for effective treatment options as current alternatives were of limited effectiveness and/or prescribed off-label with limited evidence to support their use. The PBAC considered that based on the evidence presented, difelikefalin is likely to be effective for some patients, but noted limited long-term data were available. However, the PBAC considered the </w:t>
      </w:r>
      <w:r w:rsidR="00E632B9" w:rsidRPr="00806B36">
        <w:rPr>
          <w:rFonts w:asciiTheme="minorHAnsi" w:hAnsiTheme="minorHAnsi"/>
          <w:snapToGrid w:val="0"/>
        </w:rPr>
        <w:t xml:space="preserve">incremental </w:t>
      </w:r>
      <w:r w:rsidR="002D3C14" w:rsidRPr="00806B36">
        <w:rPr>
          <w:rFonts w:asciiTheme="minorHAnsi" w:hAnsiTheme="minorHAnsi"/>
          <w:snapToGrid w:val="0"/>
        </w:rPr>
        <w:t xml:space="preserve">cost-effectiveness </w:t>
      </w:r>
      <w:r w:rsidR="00E632B9" w:rsidRPr="00806B36">
        <w:rPr>
          <w:rFonts w:asciiTheme="minorHAnsi" w:hAnsiTheme="minorHAnsi"/>
          <w:snapToGrid w:val="0"/>
        </w:rPr>
        <w:t>ratio (ICER) for</w:t>
      </w:r>
      <w:r w:rsidR="002D3C14" w:rsidRPr="00806B36">
        <w:rPr>
          <w:rFonts w:asciiTheme="minorHAnsi" w:hAnsiTheme="minorHAnsi"/>
          <w:snapToGrid w:val="0"/>
        </w:rPr>
        <w:t xml:space="preserve"> difelikefalin was </w:t>
      </w:r>
      <w:r w:rsidR="00304046" w:rsidRPr="00806B36">
        <w:rPr>
          <w:rFonts w:asciiTheme="minorHAnsi" w:hAnsiTheme="minorHAnsi"/>
          <w:snapToGrid w:val="0"/>
        </w:rPr>
        <w:t xml:space="preserve">high and </w:t>
      </w:r>
      <w:r w:rsidR="00E632B9" w:rsidRPr="00806B36">
        <w:rPr>
          <w:rFonts w:asciiTheme="minorHAnsi" w:hAnsiTheme="minorHAnsi"/>
          <w:snapToGrid w:val="0"/>
        </w:rPr>
        <w:t xml:space="preserve">underestimated </w:t>
      </w:r>
      <w:r w:rsidR="002D3C14" w:rsidRPr="00806B36">
        <w:rPr>
          <w:rFonts w:asciiTheme="minorHAnsi" w:hAnsiTheme="minorHAnsi"/>
          <w:snapToGrid w:val="0"/>
        </w:rPr>
        <w:t>with the economic model incorporating optimistic assumptions, and that a price reduction would be required for difelikefalin to be considered cost-effective.</w:t>
      </w:r>
    </w:p>
    <w:p w14:paraId="4195EB9B" w14:textId="2AA38A22" w:rsidR="009770E4" w:rsidRPr="00806B36" w:rsidRDefault="0041548C" w:rsidP="009770E4">
      <w:pPr>
        <w:widowControl w:val="0"/>
        <w:numPr>
          <w:ilvl w:val="1"/>
          <w:numId w:val="1"/>
        </w:numPr>
        <w:spacing w:after="120"/>
        <w:rPr>
          <w:rFonts w:asciiTheme="minorHAnsi" w:hAnsiTheme="minorHAnsi"/>
          <w:snapToGrid w:val="0"/>
        </w:rPr>
      </w:pPr>
      <w:r w:rsidRPr="00806B36">
        <w:rPr>
          <w:rFonts w:asciiTheme="minorHAnsi" w:hAnsiTheme="minorHAnsi"/>
          <w:snapToGrid w:val="0"/>
        </w:rPr>
        <w:t xml:space="preserve">The PBAC noted the comments from health professionals and organisations </w:t>
      </w:r>
      <w:r w:rsidR="006F66C4" w:rsidRPr="00806B36">
        <w:rPr>
          <w:rFonts w:asciiTheme="minorHAnsi" w:hAnsiTheme="minorHAnsi"/>
          <w:snapToGrid w:val="0"/>
        </w:rPr>
        <w:t xml:space="preserve">which </w:t>
      </w:r>
      <w:r w:rsidRPr="00806B36">
        <w:rPr>
          <w:rFonts w:asciiTheme="minorHAnsi" w:hAnsiTheme="minorHAnsi"/>
          <w:snapToGrid w:val="0"/>
        </w:rPr>
        <w:t xml:space="preserve">highlighted the impact of moderate to severe </w:t>
      </w:r>
      <w:r w:rsidR="006F66C4" w:rsidRPr="00806B36">
        <w:rPr>
          <w:rFonts w:asciiTheme="minorHAnsi" w:hAnsiTheme="minorHAnsi"/>
          <w:snapToGrid w:val="0"/>
        </w:rPr>
        <w:t>pruritus</w:t>
      </w:r>
      <w:r w:rsidRPr="00806B36">
        <w:rPr>
          <w:rFonts w:asciiTheme="minorHAnsi" w:hAnsiTheme="minorHAnsi"/>
          <w:snapToGrid w:val="0"/>
        </w:rPr>
        <w:t xml:space="preserve"> on patients’ quality of life</w:t>
      </w:r>
      <w:r w:rsidR="00CB3903" w:rsidRPr="00806B36">
        <w:rPr>
          <w:rFonts w:asciiTheme="minorHAnsi" w:hAnsiTheme="minorHAnsi"/>
          <w:snapToGrid w:val="0"/>
        </w:rPr>
        <w:t>, and</w:t>
      </w:r>
      <w:r w:rsidRPr="00806B36">
        <w:rPr>
          <w:rFonts w:asciiTheme="minorHAnsi" w:hAnsiTheme="minorHAnsi"/>
          <w:snapToGrid w:val="0"/>
        </w:rPr>
        <w:t xml:space="preserve"> the generally poor effectiveness and supportive evidence for the range of treatments currently used in practice</w:t>
      </w:r>
      <w:r w:rsidR="00B2529C" w:rsidRPr="00806B36">
        <w:rPr>
          <w:rFonts w:asciiTheme="minorHAnsi" w:hAnsiTheme="minorHAnsi"/>
          <w:snapToGrid w:val="0"/>
        </w:rPr>
        <w:t>.</w:t>
      </w:r>
      <w:r w:rsidR="006F66C4" w:rsidRPr="00806B36">
        <w:rPr>
          <w:rFonts w:asciiTheme="minorHAnsi" w:hAnsiTheme="minorHAnsi"/>
          <w:snapToGrid w:val="0"/>
        </w:rPr>
        <w:t xml:space="preserve"> The PBAC acknowledged there was a clinical need for effective treatment options for moderate to severe pruritus.</w:t>
      </w:r>
    </w:p>
    <w:p w14:paraId="2F7C7147" w14:textId="02562F9E" w:rsidR="009770E4" w:rsidRPr="00806B36" w:rsidRDefault="006828B7" w:rsidP="006828B7">
      <w:pPr>
        <w:widowControl w:val="0"/>
        <w:numPr>
          <w:ilvl w:val="1"/>
          <w:numId w:val="1"/>
        </w:numPr>
        <w:spacing w:after="120"/>
        <w:rPr>
          <w:rFonts w:asciiTheme="minorHAnsi" w:hAnsiTheme="minorHAnsi"/>
          <w:snapToGrid w:val="0"/>
        </w:rPr>
      </w:pPr>
      <w:r w:rsidRPr="00806B36">
        <w:rPr>
          <w:rFonts w:asciiTheme="minorHAnsi" w:hAnsiTheme="minorHAnsi"/>
          <w:snapToGrid w:val="0"/>
        </w:rPr>
        <w:t>With respect to the proposed restriction, t</w:t>
      </w:r>
      <w:r w:rsidR="008930FE" w:rsidRPr="00806B36">
        <w:rPr>
          <w:rFonts w:asciiTheme="minorHAnsi" w:hAnsiTheme="minorHAnsi"/>
          <w:snapToGrid w:val="0"/>
        </w:rPr>
        <w:t>he PBAC considered the submission</w:t>
      </w:r>
      <w:r w:rsidR="00CB3903" w:rsidRPr="00806B36">
        <w:rPr>
          <w:rFonts w:asciiTheme="minorHAnsi" w:hAnsiTheme="minorHAnsi"/>
          <w:snapToGrid w:val="0"/>
        </w:rPr>
        <w:t>’</w:t>
      </w:r>
      <w:r w:rsidR="00B854DE" w:rsidRPr="00806B36">
        <w:rPr>
          <w:rFonts w:asciiTheme="minorHAnsi" w:hAnsiTheme="minorHAnsi"/>
          <w:snapToGrid w:val="0"/>
        </w:rPr>
        <w:t>s original</w:t>
      </w:r>
      <w:r w:rsidR="008930FE" w:rsidRPr="00806B36">
        <w:rPr>
          <w:rFonts w:asciiTheme="minorHAnsi" w:hAnsiTheme="minorHAnsi"/>
          <w:snapToGrid w:val="0"/>
        </w:rPr>
        <w:t xml:space="preserve"> proposal to limit treatment to patients receiving in-centre </w:t>
      </w:r>
      <w:r w:rsidR="00B854DE" w:rsidRPr="00806B36">
        <w:rPr>
          <w:rFonts w:asciiTheme="minorHAnsi" w:hAnsiTheme="minorHAnsi"/>
          <w:snapToGrid w:val="0"/>
        </w:rPr>
        <w:t>haemo</w:t>
      </w:r>
      <w:r w:rsidR="008930FE" w:rsidRPr="00806B36">
        <w:rPr>
          <w:rFonts w:asciiTheme="minorHAnsi" w:hAnsiTheme="minorHAnsi"/>
          <w:snapToGrid w:val="0"/>
        </w:rPr>
        <w:t xml:space="preserve">dialysis inappropriately excluded patients undergoing </w:t>
      </w:r>
      <w:r w:rsidR="00B854DE" w:rsidRPr="00806B36">
        <w:rPr>
          <w:rFonts w:asciiTheme="minorHAnsi" w:hAnsiTheme="minorHAnsi"/>
          <w:snapToGrid w:val="0"/>
        </w:rPr>
        <w:t>haemo</w:t>
      </w:r>
      <w:r w:rsidR="008930FE" w:rsidRPr="00806B36">
        <w:rPr>
          <w:rFonts w:asciiTheme="minorHAnsi" w:hAnsiTheme="minorHAnsi"/>
          <w:snapToGrid w:val="0"/>
        </w:rPr>
        <w:t xml:space="preserve">dialysis in the home. The Committee noted use in the </w:t>
      </w:r>
      <w:r w:rsidR="00CC440A" w:rsidRPr="00806B36">
        <w:rPr>
          <w:rFonts w:asciiTheme="minorHAnsi" w:hAnsiTheme="minorHAnsi"/>
          <w:snapToGrid w:val="0"/>
        </w:rPr>
        <w:t>at</w:t>
      </w:r>
      <w:r w:rsidR="008930FE" w:rsidRPr="00806B36">
        <w:rPr>
          <w:rFonts w:asciiTheme="minorHAnsi" w:hAnsiTheme="minorHAnsi"/>
          <w:snapToGrid w:val="0"/>
        </w:rPr>
        <w:t xml:space="preserve">-home </w:t>
      </w:r>
      <w:r w:rsidR="00B854DE" w:rsidRPr="00806B36">
        <w:rPr>
          <w:rFonts w:asciiTheme="minorHAnsi" w:hAnsiTheme="minorHAnsi"/>
          <w:snapToGrid w:val="0"/>
        </w:rPr>
        <w:t>haemo</w:t>
      </w:r>
      <w:r w:rsidR="008930FE" w:rsidRPr="00806B36">
        <w:rPr>
          <w:rFonts w:asciiTheme="minorHAnsi" w:hAnsiTheme="minorHAnsi"/>
          <w:snapToGrid w:val="0"/>
        </w:rPr>
        <w:t>dialysis setting was supported by the Advisory Committee for Medicines (ACM) and considered it w</w:t>
      </w:r>
      <w:r w:rsidR="000A2EA5" w:rsidRPr="00806B36">
        <w:rPr>
          <w:rFonts w:asciiTheme="minorHAnsi" w:hAnsiTheme="minorHAnsi"/>
          <w:snapToGrid w:val="0"/>
        </w:rPr>
        <w:t>ould be</w:t>
      </w:r>
      <w:r w:rsidR="008930FE" w:rsidRPr="00806B36">
        <w:rPr>
          <w:rFonts w:asciiTheme="minorHAnsi" w:hAnsiTheme="minorHAnsi"/>
          <w:snapToGrid w:val="0"/>
        </w:rPr>
        <w:t xml:space="preserve"> important </w:t>
      </w:r>
      <w:r w:rsidR="000A2EA5" w:rsidRPr="00806B36">
        <w:rPr>
          <w:rFonts w:asciiTheme="minorHAnsi" w:hAnsiTheme="minorHAnsi"/>
          <w:snapToGrid w:val="0"/>
        </w:rPr>
        <w:t xml:space="preserve">for </w:t>
      </w:r>
      <w:r w:rsidR="008930FE" w:rsidRPr="00806B36">
        <w:rPr>
          <w:rFonts w:asciiTheme="minorHAnsi" w:hAnsiTheme="minorHAnsi"/>
          <w:snapToGrid w:val="0"/>
        </w:rPr>
        <w:t xml:space="preserve">these patients </w:t>
      </w:r>
      <w:r w:rsidR="000A2EA5" w:rsidRPr="00806B36">
        <w:rPr>
          <w:rFonts w:asciiTheme="minorHAnsi" w:hAnsiTheme="minorHAnsi"/>
          <w:snapToGrid w:val="0"/>
        </w:rPr>
        <w:t xml:space="preserve">to also </w:t>
      </w:r>
      <w:r w:rsidR="008930FE" w:rsidRPr="00806B36">
        <w:rPr>
          <w:rFonts w:asciiTheme="minorHAnsi" w:hAnsiTheme="minorHAnsi"/>
          <w:snapToGrid w:val="0"/>
        </w:rPr>
        <w:t xml:space="preserve">have access to difelikefalin treatment if </w:t>
      </w:r>
      <w:r w:rsidR="00B854DE" w:rsidRPr="00806B36">
        <w:rPr>
          <w:rFonts w:asciiTheme="minorHAnsi" w:hAnsiTheme="minorHAnsi"/>
          <w:snapToGrid w:val="0"/>
        </w:rPr>
        <w:t xml:space="preserve">it was </w:t>
      </w:r>
      <w:r w:rsidR="008930FE" w:rsidRPr="00806B36">
        <w:rPr>
          <w:rFonts w:asciiTheme="minorHAnsi" w:hAnsiTheme="minorHAnsi"/>
          <w:snapToGrid w:val="0"/>
        </w:rPr>
        <w:t>listed on the PBS</w:t>
      </w:r>
      <w:r w:rsidR="00B854DE" w:rsidRPr="00806B36">
        <w:rPr>
          <w:rFonts w:asciiTheme="minorHAnsi" w:hAnsiTheme="minorHAnsi"/>
          <w:snapToGrid w:val="0"/>
        </w:rPr>
        <w:t>.</w:t>
      </w:r>
      <w:r w:rsidR="008930FE" w:rsidRPr="00806B36">
        <w:rPr>
          <w:rFonts w:asciiTheme="minorHAnsi" w:hAnsiTheme="minorHAnsi"/>
          <w:snapToGrid w:val="0"/>
        </w:rPr>
        <w:t xml:space="preserve"> </w:t>
      </w:r>
      <w:r w:rsidR="00B854DE" w:rsidRPr="00806B36">
        <w:rPr>
          <w:rFonts w:asciiTheme="minorHAnsi" w:hAnsiTheme="minorHAnsi"/>
          <w:snapToGrid w:val="0"/>
        </w:rPr>
        <w:t>The PBAC noted</w:t>
      </w:r>
      <w:r w:rsidR="008930FE" w:rsidRPr="00806B36">
        <w:rPr>
          <w:rFonts w:asciiTheme="minorHAnsi" w:hAnsiTheme="minorHAnsi"/>
          <w:snapToGrid w:val="0"/>
        </w:rPr>
        <w:t xml:space="preserve"> the </w:t>
      </w:r>
      <w:r w:rsidR="00946747" w:rsidRPr="00806B36">
        <w:rPr>
          <w:rFonts w:asciiTheme="minorHAnsi" w:hAnsiTheme="minorHAnsi"/>
          <w:snapToGrid w:val="0"/>
        </w:rPr>
        <w:t>s</w:t>
      </w:r>
      <w:r w:rsidR="008930FE" w:rsidRPr="00806B36">
        <w:rPr>
          <w:rFonts w:asciiTheme="minorHAnsi" w:hAnsiTheme="minorHAnsi"/>
          <w:snapToGrid w:val="0"/>
        </w:rPr>
        <w:t xml:space="preserve">ponsor had indicated its willingness to </w:t>
      </w:r>
      <w:r w:rsidRPr="00806B36">
        <w:rPr>
          <w:rFonts w:asciiTheme="minorHAnsi" w:hAnsiTheme="minorHAnsi"/>
          <w:snapToGrid w:val="0"/>
        </w:rPr>
        <w:t xml:space="preserve">amend the restriction to </w:t>
      </w:r>
      <w:r w:rsidR="008930FE" w:rsidRPr="00806B36">
        <w:rPr>
          <w:rFonts w:asciiTheme="minorHAnsi" w:hAnsiTheme="minorHAnsi"/>
          <w:snapToGrid w:val="0"/>
        </w:rPr>
        <w:t xml:space="preserve">include this population </w:t>
      </w:r>
      <w:r w:rsidR="00B854DE" w:rsidRPr="00806B36">
        <w:rPr>
          <w:rFonts w:asciiTheme="minorHAnsi" w:hAnsiTheme="minorHAnsi"/>
          <w:snapToGrid w:val="0"/>
        </w:rPr>
        <w:t xml:space="preserve">in its PSCR </w:t>
      </w:r>
      <w:r w:rsidR="008930FE" w:rsidRPr="00806B36">
        <w:rPr>
          <w:rFonts w:asciiTheme="minorHAnsi" w:hAnsiTheme="minorHAnsi"/>
          <w:snapToGrid w:val="0"/>
        </w:rPr>
        <w:t>(</w:t>
      </w:r>
      <w:r w:rsidR="006F66C4" w:rsidRPr="00806B36">
        <w:rPr>
          <w:rFonts w:asciiTheme="minorHAnsi" w:hAnsiTheme="minorHAnsi"/>
          <w:snapToGrid w:val="0"/>
        </w:rPr>
        <w:t xml:space="preserve">see </w:t>
      </w:r>
      <w:r w:rsidR="008930FE" w:rsidRPr="00806B36">
        <w:rPr>
          <w:rFonts w:asciiTheme="minorHAnsi" w:hAnsiTheme="minorHAnsi"/>
          <w:snapToGrid w:val="0"/>
        </w:rPr>
        <w:t xml:space="preserve">paragraph </w:t>
      </w:r>
      <w:r w:rsidR="008930FE" w:rsidRPr="00806B36">
        <w:rPr>
          <w:rFonts w:asciiTheme="minorHAnsi" w:hAnsiTheme="minorHAnsi"/>
          <w:snapToGrid w:val="0"/>
        </w:rPr>
        <w:fldChar w:fldCharType="begin"/>
      </w:r>
      <w:r w:rsidR="008930FE" w:rsidRPr="00806B36">
        <w:rPr>
          <w:rFonts w:asciiTheme="minorHAnsi" w:hAnsiTheme="minorHAnsi"/>
          <w:snapToGrid w:val="0"/>
        </w:rPr>
        <w:instrText xml:space="preserve"> REF _Ref130809013 \r \h </w:instrText>
      </w:r>
      <w:r w:rsidR="008930FE" w:rsidRPr="00806B36">
        <w:rPr>
          <w:rFonts w:asciiTheme="minorHAnsi" w:hAnsiTheme="minorHAnsi"/>
          <w:snapToGrid w:val="0"/>
        </w:rPr>
      </w:r>
      <w:r w:rsidR="008930FE" w:rsidRPr="00806B36">
        <w:rPr>
          <w:rFonts w:asciiTheme="minorHAnsi" w:hAnsiTheme="minorHAnsi"/>
          <w:snapToGrid w:val="0"/>
        </w:rPr>
        <w:fldChar w:fldCharType="separate"/>
      </w:r>
      <w:r w:rsidR="00487C7F">
        <w:rPr>
          <w:rFonts w:asciiTheme="minorHAnsi" w:hAnsiTheme="minorHAnsi"/>
          <w:snapToGrid w:val="0"/>
        </w:rPr>
        <w:t>3.7</w:t>
      </w:r>
      <w:r w:rsidR="008930FE" w:rsidRPr="00806B36">
        <w:rPr>
          <w:rFonts w:asciiTheme="minorHAnsi" w:hAnsiTheme="minorHAnsi"/>
          <w:snapToGrid w:val="0"/>
        </w:rPr>
        <w:fldChar w:fldCharType="end"/>
      </w:r>
      <w:r w:rsidR="008930FE" w:rsidRPr="00806B36">
        <w:rPr>
          <w:rFonts w:asciiTheme="minorHAnsi" w:hAnsiTheme="minorHAnsi"/>
          <w:snapToGrid w:val="0"/>
        </w:rPr>
        <w:t>).</w:t>
      </w:r>
      <w:r w:rsidRPr="00806B36">
        <w:rPr>
          <w:rFonts w:asciiTheme="minorHAnsi" w:hAnsiTheme="minorHAnsi"/>
          <w:snapToGrid w:val="0"/>
        </w:rPr>
        <w:t xml:space="preserve"> </w:t>
      </w:r>
      <w:r w:rsidR="008930FE" w:rsidRPr="00806B36">
        <w:rPr>
          <w:rFonts w:asciiTheme="minorHAnsi" w:hAnsiTheme="minorHAnsi"/>
          <w:snapToGrid w:val="0"/>
        </w:rPr>
        <w:t>In addition, t</w:t>
      </w:r>
      <w:r w:rsidR="00B2529C" w:rsidRPr="00806B36">
        <w:rPr>
          <w:rFonts w:asciiTheme="minorHAnsi" w:hAnsiTheme="minorHAnsi"/>
          <w:snapToGrid w:val="0"/>
        </w:rPr>
        <w:t xml:space="preserve">he PBAC noted the proposed restriction did not include formal criteria for assessing pruritus severity at baseline, nor did it define a response to treatment threshold for continuing therapy. The PBAC </w:t>
      </w:r>
      <w:r w:rsidR="000A2EA5" w:rsidRPr="00806B36">
        <w:rPr>
          <w:rFonts w:asciiTheme="minorHAnsi" w:hAnsiTheme="minorHAnsi"/>
          <w:snapToGrid w:val="0"/>
        </w:rPr>
        <w:t xml:space="preserve">agreed with the </w:t>
      </w:r>
      <w:r w:rsidR="00B2529C" w:rsidRPr="00806B36">
        <w:rPr>
          <w:rFonts w:asciiTheme="minorHAnsi" w:hAnsiTheme="minorHAnsi"/>
          <w:snapToGrid w:val="0"/>
        </w:rPr>
        <w:t xml:space="preserve">ESC </w:t>
      </w:r>
      <w:r w:rsidR="000A2EA5" w:rsidRPr="00806B36">
        <w:rPr>
          <w:rFonts w:asciiTheme="minorHAnsi" w:hAnsiTheme="minorHAnsi"/>
          <w:snapToGrid w:val="0"/>
        </w:rPr>
        <w:t>that use of the</w:t>
      </w:r>
      <w:r w:rsidR="00B2529C" w:rsidRPr="00806B36">
        <w:rPr>
          <w:rFonts w:asciiTheme="minorHAnsi" w:hAnsiTheme="minorHAnsi"/>
          <w:snapToGrid w:val="0"/>
        </w:rPr>
        <w:t xml:space="preserve"> Worst Itch Numeric Rating Scale (WI-NRS) </w:t>
      </w:r>
      <w:r w:rsidR="000A2EA5" w:rsidRPr="00806B36">
        <w:rPr>
          <w:rFonts w:asciiTheme="minorHAnsi" w:hAnsiTheme="minorHAnsi"/>
          <w:snapToGrid w:val="0"/>
        </w:rPr>
        <w:t xml:space="preserve">in the restriction would be feasible </w:t>
      </w:r>
      <w:r w:rsidR="00B2529C" w:rsidRPr="00806B36">
        <w:rPr>
          <w:rFonts w:asciiTheme="minorHAnsi" w:hAnsiTheme="minorHAnsi"/>
          <w:snapToGrid w:val="0"/>
        </w:rPr>
        <w:t>with baseline severity and response criteria based upon the thresholds used in the clinical trials</w:t>
      </w:r>
      <w:r w:rsidR="00F1029D" w:rsidRPr="00806B36">
        <w:rPr>
          <w:rFonts w:asciiTheme="minorHAnsi" w:hAnsiTheme="minorHAnsi"/>
          <w:snapToGrid w:val="0"/>
        </w:rPr>
        <w:t xml:space="preserve"> (i.e.: </w:t>
      </w:r>
      <w:r w:rsidR="005D12D5" w:rsidRPr="00806B36">
        <w:rPr>
          <w:rFonts w:asciiTheme="minorHAnsi" w:hAnsiTheme="minorHAnsi"/>
          <w:snapToGrid w:val="0"/>
        </w:rPr>
        <w:t xml:space="preserve">severity: a WI-NRS score &gt; 4; </w:t>
      </w:r>
      <w:r w:rsidR="00F1029D" w:rsidRPr="00806B36">
        <w:rPr>
          <w:rFonts w:asciiTheme="minorHAnsi" w:hAnsiTheme="minorHAnsi"/>
          <w:snapToGrid w:val="0"/>
        </w:rPr>
        <w:t>response criteria</w:t>
      </w:r>
      <w:r w:rsidR="005D12D5" w:rsidRPr="00806B36">
        <w:rPr>
          <w:rFonts w:asciiTheme="minorHAnsi" w:hAnsiTheme="minorHAnsi"/>
          <w:snapToGrid w:val="0"/>
        </w:rPr>
        <w:t>:</w:t>
      </w:r>
      <w:r w:rsidR="00F1029D" w:rsidRPr="00806B36">
        <w:rPr>
          <w:rFonts w:asciiTheme="minorHAnsi" w:hAnsiTheme="minorHAnsi"/>
          <w:snapToGrid w:val="0"/>
        </w:rPr>
        <w:t xml:space="preserve"> at least </w:t>
      </w:r>
      <w:r w:rsidR="005D12D5" w:rsidRPr="00806B36">
        <w:rPr>
          <w:rFonts w:asciiTheme="minorHAnsi" w:hAnsiTheme="minorHAnsi"/>
          <w:snapToGrid w:val="0"/>
        </w:rPr>
        <w:t xml:space="preserve">a </w:t>
      </w:r>
      <w:r w:rsidR="00F1029D" w:rsidRPr="00806B36">
        <w:t>3-point improvement in WI-NRS)</w:t>
      </w:r>
      <w:r w:rsidR="00B2529C" w:rsidRPr="00806B36">
        <w:rPr>
          <w:rFonts w:asciiTheme="minorHAnsi" w:hAnsiTheme="minorHAnsi"/>
          <w:snapToGrid w:val="0"/>
        </w:rPr>
        <w:t xml:space="preserve">. </w:t>
      </w:r>
      <w:r w:rsidR="00632462" w:rsidRPr="00806B36">
        <w:rPr>
          <w:rFonts w:asciiTheme="minorHAnsi" w:hAnsiTheme="minorHAnsi"/>
          <w:snapToGrid w:val="0"/>
        </w:rPr>
        <w:t xml:space="preserve">The Committee noted the pre-PBAC response argued that the ratings scales used in the clinical trials were subjective; however, considered </w:t>
      </w:r>
      <w:r w:rsidR="00A225D8" w:rsidRPr="00806B36">
        <w:rPr>
          <w:rFonts w:asciiTheme="minorHAnsi" w:hAnsiTheme="minorHAnsi"/>
          <w:snapToGrid w:val="0"/>
        </w:rPr>
        <w:t xml:space="preserve">that </w:t>
      </w:r>
      <w:r w:rsidR="00632462" w:rsidRPr="00806B36">
        <w:rPr>
          <w:rFonts w:asciiTheme="minorHAnsi" w:hAnsiTheme="minorHAnsi"/>
          <w:snapToGrid w:val="0"/>
        </w:rPr>
        <w:t xml:space="preserve">given there were limited effective treatment options for pruritus in this population, there was a high risk of leakage to patients with milder disease and therefore criteria for defining baseline pruritus severity and response to treatment were appropriate. The PBAC also considered the quantities and repeats needed to allow for variability in dosing regimens, as dosing of difelikefalin was weight based and some patients receive more dialysis sessions per week. </w:t>
      </w:r>
      <w:r w:rsidR="00A225D8" w:rsidRPr="00806B36">
        <w:rPr>
          <w:rFonts w:asciiTheme="minorHAnsi" w:hAnsiTheme="minorHAnsi"/>
          <w:snapToGrid w:val="0"/>
        </w:rPr>
        <w:t xml:space="preserve">Given changing haemodialysis </w:t>
      </w:r>
      <w:r w:rsidR="00422842" w:rsidRPr="00806B36">
        <w:rPr>
          <w:rFonts w:asciiTheme="minorHAnsi" w:hAnsiTheme="minorHAnsi"/>
          <w:snapToGrid w:val="0"/>
        </w:rPr>
        <w:t>regimens</w:t>
      </w:r>
      <w:r w:rsidR="00A225D8" w:rsidRPr="00806B36">
        <w:rPr>
          <w:rFonts w:asciiTheme="minorHAnsi" w:hAnsiTheme="minorHAnsi"/>
          <w:snapToGrid w:val="0"/>
        </w:rPr>
        <w:t>, the PBAC considered the restriction should be silent on the frequency of haemodialysis. The PBAC considered that a grandfathering restriction was appropriate</w:t>
      </w:r>
      <w:r w:rsidR="00D20038" w:rsidRPr="00806B36">
        <w:rPr>
          <w:rFonts w:asciiTheme="minorHAnsi" w:hAnsiTheme="minorHAnsi"/>
          <w:snapToGrid w:val="0"/>
        </w:rPr>
        <w:t xml:space="preserve"> with criteria as suggested by the secretariat</w:t>
      </w:r>
      <w:r w:rsidR="00A225D8" w:rsidRPr="00806B36">
        <w:rPr>
          <w:rFonts w:asciiTheme="minorHAnsi" w:hAnsiTheme="minorHAnsi"/>
          <w:snapToGrid w:val="0"/>
        </w:rPr>
        <w:t xml:space="preserve">. </w:t>
      </w:r>
    </w:p>
    <w:p w14:paraId="02406319" w14:textId="78883A0C" w:rsidR="009770E4" w:rsidRPr="00806B36" w:rsidRDefault="00632462" w:rsidP="009770E4">
      <w:pPr>
        <w:widowControl w:val="0"/>
        <w:numPr>
          <w:ilvl w:val="1"/>
          <w:numId w:val="1"/>
        </w:numPr>
        <w:spacing w:after="120"/>
        <w:rPr>
          <w:rFonts w:asciiTheme="minorHAnsi" w:hAnsiTheme="minorHAnsi"/>
          <w:snapToGrid w:val="0"/>
        </w:rPr>
      </w:pPr>
      <w:r w:rsidRPr="00806B36">
        <w:rPr>
          <w:rFonts w:asciiTheme="minorHAnsi" w:hAnsiTheme="minorHAnsi"/>
          <w:snapToGrid w:val="0"/>
        </w:rPr>
        <w:t>The PBAC considered</w:t>
      </w:r>
      <w:r w:rsidR="00A225D8" w:rsidRPr="00806B36">
        <w:rPr>
          <w:rFonts w:asciiTheme="minorHAnsi" w:hAnsiTheme="minorHAnsi"/>
          <w:snapToGrid w:val="0"/>
        </w:rPr>
        <w:t xml:space="preserve"> that</w:t>
      </w:r>
      <w:r w:rsidRPr="00806B36">
        <w:rPr>
          <w:rFonts w:asciiTheme="minorHAnsi" w:hAnsiTheme="minorHAnsi"/>
          <w:snapToGrid w:val="0"/>
        </w:rPr>
        <w:t xml:space="preserve"> the nominated comparator of best supportive care was reasonable. </w:t>
      </w:r>
    </w:p>
    <w:p w14:paraId="7B267671" w14:textId="65D7E07A" w:rsidR="009770E4" w:rsidRPr="00806B36" w:rsidRDefault="004E34D6" w:rsidP="009770E4">
      <w:pPr>
        <w:widowControl w:val="0"/>
        <w:numPr>
          <w:ilvl w:val="1"/>
          <w:numId w:val="1"/>
        </w:numPr>
        <w:spacing w:after="120"/>
        <w:rPr>
          <w:rFonts w:asciiTheme="minorHAnsi" w:hAnsiTheme="minorHAnsi"/>
          <w:snapToGrid w:val="0"/>
        </w:rPr>
      </w:pPr>
      <w:r w:rsidRPr="00806B36">
        <w:rPr>
          <w:rFonts w:asciiTheme="minorHAnsi" w:hAnsiTheme="minorHAnsi"/>
          <w:snapToGrid w:val="0"/>
        </w:rPr>
        <w:t xml:space="preserve">The </w:t>
      </w:r>
      <w:r w:rsidR="00A92677" w:rsidRPr="00806B36">
        <w:rPr>
          <w:rFonts w:asciiTheme="minorHAnsi" w:hAnsiTheme="minorHAnsi"/>
          <w:snapToGrid w:val="0"/>
        </w:rPr>
        <w:t xml:space="preserve">PBAC noted the </w:t>
      </w:r>
      <w:r w:rsidRPr="00806B36">
        <w:rPr>
          <w:rFonts w:asciiTheme="minorHAnsi" w:hAnsiTheme="minorHAnsi"/>
          <w:snapToGrid w:val="0"/>
        </w:rPr>
        <w:t>key clinical trials, KALM-1 and KALM-</w:t>
      </w:r>
      <w:r w:rsidR="00A92677" w:rsidRPr="00806B36">
        <w:rPr>
          <w:rFonts w:asciiTheme="minorHAnsi" w:hAnsiTheme="minorHAnsi"/>
          <w:snapToGrid w:val="0"/>
        </w:rPr>
        <w:t>2</w:t>
      </w:r>
      <w:r w:rsidRPr="00806B36">
        <w:rPr>
          <w:rFonts w:asciiTheme="minorHAnsi" w:hAnsiTheme="minorHAnsi"/>
          <w:snapToGrid w:val="0"/>
        </w:rPr>
        <w:t xml:space="preserve">, </w:t>
      </w:r>
      <w:r w:rsidR="00A92677" w:rsidRPr="00806B36">
        <w:rPr>
          <w:rFonts w:asciiTheme="minorHAnsi" w:hAnsiTheme="minorHAnsi"/>
          <w:snapToGrid w:val="0"/>
        </w:rPr>
        <w:t xml:space="preserve">were 12 week head-to-head trials of intravenous difelikefalin versus placebo. The PBAC considered the trials to be at moderate risk of bias due to high and differential missing data. </w:t>
      </w:r>
      <w:r w:rsidRPr="00806B36">
        <w:rPr>
          <w:rFonts w:asciiTheme="minorHAnsi" w:hAnsiTheme="minorHAnsi"/>
          <w:snapToGrid w:val="0"/>
        </w:rPr>
        <w:t xml:space="preserve">The PBAC noted the </w:t>
      </w:r>
      <w:r w:rsidR="00FB2ACD" w:rsidRPr="00806B36">
        <w:rPr>
          <w:rFonts w:asciiTheme="minorHAnsi" w:hAnsiTheme="minorHAnsi"/>
          <w:snapToGrid w:val="0"/>
        </w:rPr>
        <w:t>subsequent</w:t>
      </w:r>
      <w:r w:rsidR="003F0DD2" w:rsidRPr="00806B36">
        <w:rPr>
          <w:rFonts w:asciiTheme="minorHAnsi" w:hAnsiTheme="minorHAnsi"/>
          <w:snapToGrid w:val="0"/>
        </w:rPr>
        <w:t xml:space="preserve"> single-arm</w:t>
      </w:r>
      <w:r w:rsidR="00FB2ACD" w:rsidRPr="00806B36">
        <w:rPr>
          <w:rFonts w:asciiTheme="minorHAnsi" w:hAnsiTheme="minorHAnsi"/>
          <w:snapToGrid w:val="0"/>
        </w:rPr>
        <w:t xml:space="preserve"> </w:t>
      </w:r>
      <w:r w:rsidRPr="00806B36">
        <w:rPr>
          <w:rFonts w:asciiTheme="minorHAnsi" w:hAnsiTheme="minorHAnsi"/>
          <w:snapToGrid w:val="0"/>
        </w:rPr>
        <w:t xml:space="preserve">open label </w:t>
      </w:r>
      <w:r w:rsidR="00FB2ACD" w:rsidRPr="00806B36">
        <w:rPr>
          <w:rFonts w:asciiTheme="minorHAnsi" w:hAnsiTheme="minorHAnsi"/>
          <w:snapToGrid w:val="0"/>
        </w:rPr>
        <w:t xml:space="preserve">52 week </w:t>
      </w:r>
      <w:r w:rsidRPr="00806B36">
        <w:rPr>
          <w:rFonts w:asciiTheme="minorHAnsi" w:hAnsiTheme="minorHAnsi"/>
          <w:snapToGrid w:val="0"/>
        </w:rPr>
        <w:t>extension phases of both trials were ceased early by the sponsor for administrative reasons (</w:t>
      </w:r>
      <w:r w:rsidR="00A225D8" w:rsidRPr="00806B36">
        <w:rPr>
          <w:rFonts w:asciiTheme="minorHAnsi" w:hAnsiTheme="minorHAnsi"/>
          <w:snapToGrid w:val="0"/>
        </w:rPr>
        <w:t xml:space="preserve">see </w:t>
      </w:r>
      <w:r w:rsidRPr="00806B36">
        <w:rPr>
          <w:rFonts w:asciiTheme="minorHAnsi" w:hAnsiTheme="minorHAnsi"/>
          <w:snapToGrid w:val="0"/>
        </w:rPr>
        <w:t xml:space="preserve">paragraph </w:t>
      </w:r>
      <w:r w:rsidRPr="00806B36">
        <w:rPr>
          <w:rFonts w:asciiTheme="minorHAnsi" w:hAnsiTheme="minorHAnsi"/>
          <w:snapToGrid w:val="0"/>
        </w:rPr>
        <w:fldChar w:fldCharType="begin"/>
      </w:r>
      <w:r w:rsidRPr="00806B36">
        <w:rPr>
          <w:rFonts w:asciiTheme="minorHAnsi" w:hAnsiTheme="minorHAnsi"/>
          <w:snapToGrid w:val="0"/>
        </w:rPr>
        <w:instrText xml:space="preserve"> REF _Ref130806646 \r \h </w:instrText>
      </w:r>
      <w:r w:rsidRPr="00806B36">
        <w:rPr>
          <w:rFonts w:asciiTheme="minorHAnsi" w:hAnsiTheme="minorHAnsi"/>
          <w:snapToGrid w:val="0"/>
        </w:rPr>
      </w:r>
      <w:r w:rsidRPr="00806B36">
        <w:rPr>
          <w:rFonts w:asciiTheme="minorHAnsi" w:hAnsiTheme="minorHAnsi"/>
          <w:snapToGrid w:val="0"/>
        </w:rPr>
        <w:fldChar w:fldCharType="separate"/>
      </w:r>
      <w:r w:rsidR="00487C7F">
        <w:rPr>
          <w:rFonts w:asciiTheme="minorHAnsi" w:hAnsiTheme="minorHAnsi"/>
          <w:snapToGrid w:val="0"/>
        </w:rPr>
        <w:t>6.10</w:t>
      </w:r>
      <w:r w:rsidRPr="00806B36">
        <w:rPr>
          <w:rFonts w:asciiTheme="minorHAnsi" w:hAnsiTheme="minorHAnsi"/>
          <w:snapToGrid w:val="0"/>
        </w:rPr>
        <w:fldChar w:fldCharType="end"/>
      </w:r>
      <w:r w:rsidRPr="00806B36">
        <w:rPr>
          <w:rFonts w:asciiTheme="minorHAnsi" w:hAnsiTheme="minorHAnsi"/>
          <w:snapToGrid w:val="0"/>
        </w:rPr>
        <w:t>)</w:t>
      </w:r>
      <w:r w:rsidR="00FB2ACD" w:rsidRPr="00806B36">
        <w:rPr>
          <w:rFonts w:asciiTheme="minorHAnsi" w:hAnsiTheme="minorHAnsi"/>
          <w:snapToGrid w:val="0"/>
        </w:rPr>
        <w:t xml:space="preserve">. </w:t>
      </w:r>
    </w:p>
    <w:p w14:paraId="0D9ACE62" w14:textId="471713F0" w:rsidR="009770E4" w:rsidRPr="00806B36" w:rsidRDefault="008930FE" w:rsidP="002B3FB9">
      <w:pPr>
        <w:pStyle w:val="COMexecsumnumberedpara"/>
        <w:rPr>
          <w:szCs w:val="20"/>
        </w:rPr>
      </w:pPr>
      <w:r w:rsidRPr="00806B36">
        <w:t>The PBAC considered the results of the randomised phases of KALM</w:t>
      </w:r>
      <w:r w:rsidR="0033544B" w:rsidRPr="00806B36">
        <w:t xml:space="preserve">-1 and KALM-2 </w:t>
      </w:r>
      <w:r w:rsidRPr="00806B36">
        <w:t>demonstrated that difelikefalin appears to be effective for treating moderate to severe pruritus in the CKD population undergoing dialysis</w:t>
      </w:r>
      <w:r w:rsidR="0044439F" w:rsidRPr="00806B36">
        <w:t>, over 12 weeks of treatment</w:t>
      </w:r>
      <w:r w:rsidR="00CC440A" w:rsidRPr="00806B36">
        <w:t xml:space="preserve"> (pooled WI-NRS improvement of </w:t>
      </w:r>
      <w:r w:rsidR="00CC440A" w:rsidRPr="00806B36">
        <w:rPr>
          <w:rFonts w:cstheme="minorHAnsi"/>
        </w:rPr>
        <w:t>≥</w:t>
      </w:r>
      <w:r w:rsidR="00CC440A" w:rsidRPr="00806B36">
        <w:t>3 points, OR 1.93, 95% CI 1.44, 2.57)</w:t>
      </w:r>
      <w:r w:rsidR="0044439F" w:rsidRPr="00806B36">
        <w:t xml:space="preserve">. The PBAC noted the placebo response rate was high in the clinical trials. </w:t>
      </w:r>
      <w:r w:rsidR="00B361B5" w:rsidRPr="00806B36">
        <w:t>The Committee also considered that</w:t>
      </w:r>
      <w:r w:rsidR="002B3FB9" w:rsidRPr="00806B36">
        <w:t>,</w:t>
      </w:r>
      <w:r w:rsidR="00B361B5" w:rsidRPr="00806B36">
        <w:t xml:space="preserve"> while there was greater uncertainty with the longer-term effectiveness of difelikefalin</w:t>
      </w:r>
      <w:r w:rsidR="002B3FB9" w:rsidRPr="00806B36">
        <w:t xml:space="preserve"> due </w:t>
      </w:r>
      <w:r w:rsidR="00B361B5" w:rsidRPr="00806B36">
        <w:t xml:space="preserve">to the </w:t>
      </w:r>
      <w:r w:rsidR="00243FD7" w:rsidRPr="00806B36">
        <w:t>single-arm</w:t>
      </w:r>
      <w:r w:rsidR="00B361B5" w:rsidRPr="00806B36">
        <w:t xml:space="preserve"> nature of the extension studies and their early termination, that improvements experienced in early treatment </w:t>
      </w:r>
      <w:r w:rsidR="00315DBC" w:rsidRPr="00806B36">
        <w:t>may</w:t>
      </w:r>
      <w:r w:rsidR="00CC440A" w:rsidRPr="00806B36">
        <w:t xml:space="preserve"> be</w:t>
      </w:r>
      <w:r w:rsidR="00B361B5" w:rsidRPr="00806B36">
        <w:t xml:space="preserve"> maintained over time. </w:t>
      </w:r>
      <w:r w:rsidR="002B3FB9" w:rsidRPr="00806B36">
        <w:t xml:space="preserve">Overall, </w:t>
      </w:r>
      <w:r w:rsidR="002B3FB9" w:rsidRPr="00806B36">
        <w:rPr>
          <w:iCs/>
        </w:rPr>
        <w:t>the</w:t>
      </w:r>
      <w:r w:rsidR="002B3FB9" w:rsidRPr="00806B36">
        <w:rPr>
          <w:szCs w:val="20"/>
        </w:rPr>
        <w:t xml:space="preserve"> PBAC considered that the claim of superior comparative effectiveness was likely to be reasonable.</w:t>
      </w:r>
    </w:p>
    <w:p w14:paraId="06EC3D6D" w14:textId="0EF92648" w:rsidR="009770E4" w:rsidRPr="00806B36" w:rsidRDefault="002B3FB9" w:rsidP="009770E4">
      <w:pPr>
        <w:widowControl w:val="0"/>
        <w:numPr>
          <w:ilvl w:val="1"/>
          <w:numId w:val="1"/>
        </w:numPr>
        <w:spacing w:after="120"/>
        <w:rPr>
          <w:rFonts w:asciiTheme="minorHAnsi" w:hAnsiTheme="minorHAnsi"/>
          <w:snapToGrid w:val="0"/>
        </w:rPr>
      </w:pPr>
      <w:r w:rsidRPr="00806B36">
        <w:rPr>
          <w:rFonts w:asciiTheme="minorHAnsi" w:hAnsiTheme="minorHAnsi"/>
          <w:snapToGrid w:val="0"/>
        </w:rPr>
        <w:t>The PBAC noted the trial</w:t>
      </w:r>
      <w:r w:rsidR="00B361B5" w:rsidRPr="00806B36">
        <w:rPr>
          <w:rFonts w:asciiTheme="minorHAnsi" w:hAnsiTheme="minorHAnsi"/>
          <w:snapToGrid w:val="0"/>
        </w:rPr>
        <w:t xml:space="preserve"> evidence indicated treatment with difelikefalin was associated with increased occurrence of gastrointestinal adverse events, </w:t>
      </w:r>
      <w:r w:rsidR="00CA717F" w:rsidRPr="00806B36">
        <w:rPr>
          <w:rFonts w:asciiTheme="minorHAnsi" w:hAnsiTheme="minorHAnsi"/>
          <w:snapToGrid w:val="0"/>
        </w:rPr>
        <w:t xml:space="preserve">falls/gait disturbances, </w:t>
      </w:r>
      <w:r w:rsidR="00B361B5" w:rsidRPr="00806B36">
        <w:rPr>
          <w:rFonts w:asciiTheme="minorHAnsi" w:hAnsiTheme="minorHAnsi"/>
          <w:snapToGrid w:val="0"/>
        </w:rPr>
        <w:t>dizziness</w:t>
      </w:r>
      <w:r w:rsidR="00CA717F" w:rsidRPr="00806B36">
        <w:rPr>
          <w:rFonts w:asciiTheme="minorHAnsi" w:hAnsiTheme="minorHAnsi"/>
          <w:snapToGrid w:val="0"/>
        </w:rPr>
        <w:t xml:space="preserve"> and somnolence</w:t>
      </w:r>
      <w:r w:rsidR="00B361B5" w:rsidRPr="00806B36">
        <w:rPr>
          <w:rFonts w:asciiTheme="minorHAnsi" w:hAnsiTheme="minorHAnsi"/>
          <w:snapToGrid w:val="0"/>
        </w:rPr>
        <w:t xml:space="preserve">. </w:t>
      </w:r>
      <w:r w:rsidR="00CA717F" w:rsidRPr="00806B36">
        <w:rPr>
          <w:rFonts w:asciiTheme="minorHAnsi" w:hAnsiTheme="minorHAnsi"/>
          <w:snapToGrid w:val="0"/>
        </w:rPr>
        <w:t>While</w:t>
      </w:r>
      <w:r w:rsidRPr="00806B36">
        <w:rPr>
          <w:rFonts w:asciiTheme="minorHAnsi" w:hAnsiTheme="minorHAnsi"/>
          <w:snapToGrid w:val="0"/>
        </w:rPr>
        <w:t xml:space="preserve"> there are limited clinical data on difelikefalin use beyond 64 weeks in the key trials</w:t>
      </w:r>
      <w:r w:rsidR="00CA717F" w:rsidRPr="00806B36">
        <w:rPr>
          <w:rFonts w:asciiTheme="minorHAnsi" w:hAnsiTheme="minorHAnsi"/>
          <w:snapToGrid w:val="0"/>
        </w:rPr>
        <w:t xml:space="preserve">, a summary of serious unexpected adverse drug reactions </w:t>
      </w:r>
      <w:r w:rsidR="00F078E8" w:rsidRPr="00806B36">
        <w:rPr>
          <w:rFonts w:asciiTheme="minorHAnsi" w:hAnsiTheme="minorHAnsi"/>
          <w:snapToGrid w:val="0"/>
        </w:rPr>
        <w:t>was</w:t>
      </w:r>
      <w:r w:rsidR="00CA717F" w:rsidRPr="00806B36">
        <w:rPr>
          <w:rFonts w:asciiTheme="minorHAnsi" w:hAnsiTheme="minorHAnsi"/>
          <w:snapToGrid w:val="0"/>
        </w:rPr>
        <w:t xml:space="preserve"> considered by the ACM in their October 2022 meeting (see paragraph </w:t>
      </w:r>
      <w:r w:rsidR="00CA717F" w:rsidRPr="00806B36">
        <w:rPr>
          <w:rFonts w:asciiTheme="minorHAnsi" w:hAnsiTheme="minorHAnsi"/>
          <w:snapToGrid w:val="0"/>
        </w:rPr>
        <w:fldChar w:fldCharType="begin"/>
      </w:r>
      <w:r w:rsidR="00CA717F" w:rsidRPr="00806B36">
        <w:rPr>
          <w:rFonts w:asciiTheme="minorHAnsi" w:hAnsiTheme="minorHAnsi"/>
          <w:snapToGrid w:val="0"/>
        </w:rPr>
        <w:instrText xml:space="preserve"> REF _Ref126823181 \r \h </w:instrText>
      </w:r>
      <w:r w:rsidR="00CA717F" w:rsidRPr="00806B36">
        <w:rPr>
          <w:rFonts w:asciiTheme="minorHAnsi" w:hAnsiTheme="minorHAnsi"/>
          <w:snapToGrid w:val="0"/>
        </w:rPr>
      </w:r>
      <w:r w:rsidR="00CA717F" w:rsidRPr="00806B36">
        <w:rPr>
          <w:rFonts w:asciiTheme="minorHAnsi" w:hAnsiTheme="minorHAnsi"/>
          <w:snapToGrid w:val="0"/>
        </w:rPr>
        <w:fldChar w:fldCharType="separate"/>
      </w:r>
      <w:r w:rsidR="00487C7F">
        <w:rPr>
          <w:rFonts w:asciiTheme="minorHAnsi" w:hAnsiTheme="minorHAnsi"/>
          <w:snapToGrid w:val="0"/>
        </w:rPr>
        <w:t>6.53</w:t>
      </w:r>
      <w:r w:rsidR="00CA717F" w:rsidRPr="00806B36">
        <w:rPr>
          <w:rFonts w:asciiTheme="minorHAnsi" w:hAnsiTheme="minorHAnsi"/>
          <w:snapToGrid w:val="0"/>
        </w:rPr>
        <w:fldChar w:fldCharType="end"/>
      </w:r>
      <w:r w:rsidR="00CA717F" w:rsidRPr="00806B36">
        <w:rPr>
          <w:rFonts w:asciiTheme="minorHAnsi" w:hAnsiTheme="minorHAnsi"/>
          <w:snapToGrid w:val="0"/>
        </w:rPr>
        <w:t>).</w:t>
      </w:r>
      <w:r w:rsidR="00E60B5B" w:rsidRPr="00806B36">
        <w:rPr>
          <w:rFonts w:asciiTheme="minorHAnsi" w:hAnsiTheme="minorHAnsi"/>
          <w:snapToGrid w:val="0"/>
        </w:rPr>
        <w:t xml:space="preserve"> The PBAC noted that full TGA registration had subsequently been approved without any boxed warnings. Overall, the PBAC </w:t>
      </w:r>
      <w:r w:rsidR="00E60B5B" w:rsidRPr="00806B36">
        <w:rPr>
          <w:rFonts w:asciiTheme="minorHAnsi" w:hAnsiTheme="minorHAnsi"/>
          <w:snapToGrid w:val="0"/>
          <w:szCs w:val="20"/>
        </w:rPr>
        <w:t xml:space="preserve">considered that the claim of inferior comparative safety was reasonable. </w:t>
      </w:r>
    </w:p>
    <w:p w14:paraId="59377C86" w14:textId="23DF3768" w:rsidR="00730DB5" w:rsidRPr="00806B36" w:rsidRDefault="00A25010" w:rsidP="00DA3A72">
      <w:pPr>
        <w:widowControl w:val="0"/>
        <w:numPr>
          <w:ilvl w:val="1"/>
          <w:numId w:val="1"/>
        </w:numPr>
        <w:spacing w:after="120"/>
        <w:rPr>
          <w:rFonts w:asciiTheme="minorHAnsi" w:hAnsiTheme="minorHAnsi"/>
          <w:snapToGrid w:val="0"/>
        </w:rPr>
      </w:pPr>
      <w:bookmarkStart w:id="81" w:name="_Ref132198938"/>
      <w:bookmarkStart w:id="82" w:name="_Ref130820361"/>
      <w:r w:rsidRPr="00806B36">
        <w:rPr>
          <w:rFonts w:asciiTheme="minorHAnsi" w:hAnsiTheme="minorHAnsi"/>
          <w:snapToGrid w:val="0"/>
        </w:rPr>
        <w:t xml:space="preserve">The PBAC considered the structure of the economic model was overall likely to be reasonable, however agreed with the ESC that key inputs were </w:t>
      </w:r>
      <w:r w:rsidR="007E4999" w:rsidRPr="00806B36">
        <w:rPr>
          <w:rFonts w:asciiTheme="minorHAnsi" w:hAnsiTheme="minorHAnsi"/>
          <w:snapToGrid w:val="0"/>
        </w:rPr>
        <w:t>optimistic</w:t>
      </w:r>
      <w:r w:rsidR="00CC440A" w:rsidRPr="00806B36">
        <w:rPr>
          <w:rFonts w:asciiTheme="minorHAnsi" w:hAnsiTheme="minorHAnsi"/>
          <w:snapToGrid w:val="0"/>
        </w:rPr>
        <w:t xml:space="preserve"> </w:t>
      </w:r>
      <w:r w:rsidRPr="00806B36">
        <w:rPr>
          <w:rFonts w:asciiTheme="minorHAnsi" w:hAnsiTheme="minorHAnsi"/>
          <w:snapToGrid w:val="0"/>
        </w:rPr>
        <w:t xml:space="preserve">and favoured difelikefalin. The </w:t>
      </w:r>
      <w:r w:rsidR="007E4999" w:rsidRPr="00806B36">
        <w:rPr>
          <w:rFonts w:asciiTheme="minorHAnsi" w:hAnsiTheme="minorHAnsi"/>
          <w:snapToGrid w:val="0"/>
        </w:rPr>
        <w:t xml:space="preserve">PBAC </w:t>
      </w:r>
      <w:r w:rsidR="00304046" w:rsidRPr="00806B36">
        <w:rPr>
          <w:rFonts w:asciiTheme="minorHAnsi" w:hAnsiTheme="minorHAnsi"/>
          <w:snapToGrid w:val="0"/>
        </w:rPr>
        <w:t>noted</w:t>
      </w:r>
      <w:r w:rsidR="007E4999" w:rsidRPr="00806B36">
        <w:rPr>
          <w:rFonts w:asciiTheme="minorHAnsi" w:hAnsiTheme="minorHAnsi"/>
          <w:snapToGrid w:val="0"/>
        </w:rPr>
        <w:t xml:space="preserve"> that acceptance of the economic evaluation as reliable for decision making was contingent on the acceptance of the utility decrements applied in the model. </w:t>
      </w:r>
      <w:r w:rsidR="007C4E2D" w:rsidRPr="00806B36">
        <w:rPr>
          <w:rFonts w:asciiTheme="minorHAnsi" w:hAnsiTheme="minorHAnsi"/>
          <w:snapToGrid w:val="0"/>
        </w:rPr>
        <w:t xml:space="preserve">The PBAC noted the </w:t>
      </w:r>
      <w:r w:rsidR="00BB38BB" w:rsidRPr="00806B36">
        <w:rPr>
          <w:rFonts w:asciiTheme="minorHAnsi" w:hAnsiTheme="minorHAnsi"/>
          <w:snapToGrid w:val="0"/>
        </w:rPr>
        <w:t xml:space="preserve">concerns regarding the </w:t>
      </w:r>
      <w:r w:rsidR="007C4E2D" w:rsidRPr="00806B36">
        <w:rPr>
          <w:rFonts w:asciiTheme="minorHAnsi" w:hAnsiTheme="minorHAnsi"/>
          <w:snapToGrid w:val="0"/>
        </w:rPr>
        <w:t>reliability of the approach for mapping the 5D-Itch scores to utility values</w:t>
      </w:r>
      <w:r w:rsidR="00CD346F" w:rsidRPr="00806B36">
        <w:rPr>
          <w:rFonts w:asciiTheme="minorHAnsi" w:hAnsiTheme="minorHAnsi"/>
          <w:snapToGrid w:val="0"/>
        </w:rPr>
        <w:t xml:space="preserve"> (see paragraphs </w:t>
      </w:r>
      <w:r w:rsidR="00CD346F" w:rsidRPr="00806B36">
        <w:rPr>
          <w:rFonts w:asciiTheme="minorHAnsi" w:hAnsiTheme="minorHAnsi"/>
          <w:snapToGrid w:val="0"/>
        </w:rPr>
        <w:fldChar w:fldCharType="begin"/>
      </w:r>
      <w:r w:rsidR="00CD346F" w:rsidRPr="00806B36">
        <w:rPr>
          <w:rFonts w:asciiTheme="minorHAnsi" w:hAnsiTheme="minorHAnsi"/>
          <w:snapToGrid w:val="0"/>
        </w:rPr>
        <w:instrText xml:space="preserve"> REF _Ref132194558 \r \h </w:instrText>
      </w:r>
      <w:r w:rsidR="00CD346F" w:rsidRPr="00806B36">
        <w:rPr>
          <w:rFonts w:asciiTheme="minorHAnsi" w:hAnsiTheme="minorHAnsi"/>
          <w:snapToGrid w:val="0"/>
        </w:rPr>
      </w:r>
      <w:r w:rsidR="00CD346F" w:rsidRPr="00806B36">
        <w:rPr>
          <w:rFonts w:asciiTheme="minorHAnsi" w:hAnsiTheme="minorHAnsi"/>
          <w:snapToGrid w:val="0"/>
        </w:rPr>
        <w:fldChar w:fldCharType="separate"/>
      </w:r>
      <w:r w:rsidR="00487C7F">
        <w:rPr>
          <w:rFonts w:asciiTheme="minorHAnsi" w:hAnsiTheme="minorHAnsi"/>
          <w:snapToGrid w:val="0"/>
        </w:rPr>
        <w:t>6.65</w:t>
      </w:r>
      <w:r w:rsidR="00CD346F" w:rsidRPr="00806B36">
        <w:rPr>
          <w:rFonts w:asciiTheme="minorHAnsi" w:hAnsiTheme="minorHAnsi"/>
          <w:snapToGrid w:val="0"/>
        </w:rPr>
        <w:fldChar w:fldCharType="end"/>
      </w:r>
      <w:r w:rsidR="00CD346F" w:rsidRPr="00806B36">
        <w:rPr>
          <w:rFonts w:asciiTheme="minorHAnsi" w:hAnsiTheme="minorHAnsi"/>
          <w:snapToGrid w:val="0"/>
        </w:rPr>
        <w:t xml:space="preserve"> and </w:t>
      </w:r>
      <w:r w:rsidR="00CD346F" w:rsidRPr="00806B36">
        <w:rPr>
          <w:rFonts w:asciiTheme="minorHAnsi" w:hAnsiTheme="minorHAnsi"/>
          <w:snapToGrid w:val="0"/>
        </w:rPr>
        <w:fldChar w:fldCharType="begin"/>
      </w:r>
      <w:r w:rsidR="00CD346F" w:rsidRPr="00806B36">
        <w:rPr>
          <w:rFonts w:asciiTheme="minorHAnsi" w:hAnsiTheme="minorHAnsi"/>
          <w:snapToGrid w:val="0"/>
        </w:rPr>
        <w:instrText xml:space="preserve"> REF _Ref132194578 \r \h </w:instrText>
      </w:r>
      <w:r w:rsidR="00CD346F" w:rsidRPr="00806B36">
        <w:rPr>
          <w:rFonts w:asciiTheme="minorHAnsi" w:hAnsiTheme="minorHAnsi"/>
          <w:snapToGrid w:val="0"/>
        </w:rPr>
      </w:r>
      <w:r w:rsidR="00CD346F" w:rsidRPr="00806B36">
        <w:rPr>
          <w:rFonts w:asciiTheme="minorHAnsi" w:hAnsiTheme="minorHAnsi"/>
          <w:snapToGrid w:val="0"/>
        </w:rPr>
        <w:fldChar w:fldCharType="separate"/>
      </w:r>
      <w:r w:rsidR="00487C7F">
        <w:rPr>
          <w:rFonts w:asciiTheme="minorHAnsi" w:hAnsiTheme="minorHAnsi"/>
          <w:snapToGrid w:val="0"/>
        </w:rPr>
        <w:t>6.66</w:t>
      </w:r>
      <w:r w:rsidR="00CD346F" w:rsidRPr="00806B36">
        <w:rPr>
          <w:rFonts w:asciiTheme="minorHAnsi" w:hAnsiTheme="minorHAnsi"/>
          <w:snapToGrid w:val="0"/>
        </w:rPr>
        <w:fldChar w:fldCharType="end"/>
      </w:r>
      <w:r w:rsidR="00CD346F" w:rsidRPr="00806B36">
        <w:rPr>
          <w:rFonts w:asciiTheme="minorHAnsi" w:hAnsiTheme="minorHAnsi"/>
          <w:snapToGrid w:val="0"/>
        </w:rPr>
        <w:t>)</w:t>
      </w:r>
      <w:r w:rsidR="00304046" w:rsidRPr="00806B36">
        <w:rPr>
          <w:rFonts w:asciiTheme="minorHAnsi" w:hAnsiTheme="minorHAnsi"/>
          <w:snapToGrid w:val="0"/>
        </w:rPr>
        <w:t>,</w:t>
      </w:r>
      <w:r w:rsidR="00BB38BB" w:rsidRPr="00806B36">
        <w:rPr>
          <w:rFonts w:asciiTheme="minorHAnsi" w:hAnsiTheme="minorHAnsi"/>
          <w:snapToGrid w:val="0"/>
        </w:rPr>
        <w:t xml:space="preserve"> and</w:t>
      </w:r>
      <w:r w:rsidR="007C4E2D" w:rsidRPr="00806B36">
        <w:rPr>
          <w:rFonts w:asciiTheme="minorHAnsi" w:hAnsiTheme="minorHAnsi"/>
          <w:snapToGrid w:val="0"/>
        </w:rPr>
        <w:t xml:space="preserve"> considered the</w:t>
      </w:r>
      <w:r w:rsidR="00BB38BB" w:rsidRPr="00806B36">
        <w:rPr>
          <w:rFonts w:asciiTheme="minorHAnsi" w:hAnsiTheme="minorHAnsi"/>
          <w:snapToGrid w:val="0"/>
        </w:rPr>
        <w:t xml:space="preserve"> resulting</w:t>
      </w:r>
      <w:r w:rsidR="007C4E2D" w:rsidRPr="00806B36">
        <w:rPr>
          <w:rFonts w:asciiTheme="minorHAnsi" w:hAnsiTheme="minorHAnsi"/>
          <w:snapToGrid w:val="0"/>
        </w:rPr>
        <w:t xml:space="preserve"> </w:t>
      </w:r>
      <w:r w:rsidR="00E2342D" w:rsidRPr="00806B36">
        <w:rPr>
          <w:rFonts w:asciiTheme="minorHAnsi" w:hAnsiTheme="minorHAnsi"/>
          <w:snapToGrid w:val="0"/>
        </w:rPr>
        <w:t>utility decrements</w:t>
      </w:r>
      <w:r w:rsidR="007C4E2D" w:rsidRPr="00806B36">
        <w:rPr>
          <w:rFonts w:asciiTheme="minorHAnsi" w:hAnsiTheme="minorHAnsi"/>
          <w:snapToGrid w:val="0"/>
        </w:rPr>
        <w:t xml:space="preserve"> applied for pruritis </w:t>
      </w:r>
      <w:r w:rsidR="00DA3A72" w:rsidRPr="00806B36">
        <w:rPr>
          <w:rFonts w:asciiTheme="minorHAnsi" w:hAnsiTheme="minorHAnsi"/>
          <w:snapToGrid w:val="0"/>
        </w:rPr>
        <w:t>(</w:t>
      </w:r>
      <w:r w:rsidR="007C4E2D" w:rsidRPr="00806B36">
        <w:rPr>
          <w:rFonts w:asciiTheme="minorHAnsi" w:hAnsiTheme="minorHAnsi"/>
          <w:snapToGrid w:val="0"/>
        </w:rPr>
        <w:t xml:space="preserve">mild 0.0676, moderate 0.1544 and severe 0.2606) </w:t>
      </w:r>
      <w:r w:rsidR="00DA3A72" w:rsidRPr="00806B36">
        <w:rPr>
          <w:rFonts w:asciiTheme="minorHAnsi" w:hAnsiTheme="minorHAnsi"/>
          <w:snapToGrid w:val="0"/>
        </w:rPr>
        <w:t>to be implausibly large</w:t>
      </w:r>
      <w:r w:rsidR="007C4E2D" w:rsidRPr="00806B36">
        <w:rPr>
          <w:rFonts w:asciiTheme="minorHAnsi" w:hAnsiTheme="minorHAnsi"/>
          <w:snapToGrid w:val="0"/>
        </w:rPr>
        <w:t>.</w:t>
      </w:r>
      <w:r w:rsidR="00DA3A72" w:rsidRPr="00806B36">
        <w:rPr>
          <w:rFonts w:asciiTheme="minorHAnsi" w:hAnsiTheme="minorHAnsi"/>
          <w:snapToGrid w:val="0"/>
        </w:rPr>
        <w:t xml:space="preserve"> </w:t>
      </w:r>
      <w:r w:rsidR="009B5574" w:rsidRPr="00806B36">
        <w:rPr>
          <w:rFonts w:asciiTheme="minorHAnsi" w:hAnsiTheme="minorHAnsi"/>
          <w:snapToGrid w:val="0"/>
        </w:rPr>
        <w:t xml:space="preserve">The PBAC noted the </w:t>
      </w:r>
      <w:r w:rsidR="00DA3A72" w:rsidRPr="00806B36">
        <w:rPr>
          <w:rFonts w:asciiTheme="minorHAnsi" w:hAnsiTheme="minorHAnsi"/>
          <w:snapToGrid w:val="0"/>
        </w:rPr>
        <w:t xml:space="preserve">PSCR and pre-PBAC response </w:t>
      </w:r>
      <w:r w:rsidR="009B5574" w:rsidRPr="00806B36">
        <w:rPr>
          <w:rFonts w:asciiTheme="minorHAnsi" w:hAnsiTheme="minorHAnsi"/>
          <w:snapToGrid w:val="0"/>
        </w:rPr>
        <w:t>argu</w:t>
      </w:r>
      <w:r w:rsidR="00DA3A72" w:rsidRPr="00806B36">
        <w:rPr>
          <w:rFonts w:asciiTheme="minorHAnsi" w:hAnsiTheme="minorHAnsi"/>
          <w:snapToGrid w:val="0"/>
        </w:rPr>
        <w:t>ed</w:t>
      </w:r>
      <w:r w:rsidR="009B5574" w:rsidRPr="00806B36">
        <w:rPr>
          <w:rFonts w:asciiTheme="minorHAnsi" w:hAnsiTheme="minorHAnsi"/>
          <w:snapToGrid w:val="0"/>
        </w:rPr>
        <w:t xml:space="preserve"> that there was</w:t>
      </w:r>
      <w:r w:rsidR="007E4999" w:rsidRPr="00806B36">
        <w:rPr>
          <w:rFonts w:asciiTheme="minorHAnsi" w:hAnsiTheme="minorHAnsi"/>
          <w:snapToGrid w:val="0"/>
        </w:rPr>
        <w:t xml:space="preserve"> </w:t>
      </w:r>
      <w:r w:rsidR="009B5574" w:rsidRPr="00806B36">
        <w:t xml:space="preserve">precedent for comparable changes in utility for conditions such as severe chronic plaque psoriasis and severe atopic dermatitis </w:t>
      </w:r>
      <w:r w:rsidRPr="00806B36">
        <w:rPr>
          <w:rFonts w:asciiTheme="minorHAnsi" w:hAnsiTheme="minorHAnsi"/>
          <w:snapToGrid w:val="0"/>
        </w:rPr>
        <w:t>(</w:t>
      </w:r>
      <w:r w:rsidR="007E4999" w:rsidRPr="00806B36">
        <w:rPr>
          <w:rFonts w:asciiTheme="minorHAnsi" w:hAnsiTheme="minorHAnsi"/>
          <w:snapToGrid w:val="0"/>
        </w:rPr>
        <w:t xml:space="preserve">see </w:t>
      </w:r>
      <w:r w:rsidRPr="00806B36">
        <w:rPr>
          <w:rFonts w:asciiTheme="minorHAnsi" w:hAnsiTheme="minorHAnsi"/>
          <w:snapToGrid w:val="0"/>
        </w:rPr>
        <w:t xml:space="preserve">paragraph </w:t>
      </w:r>
      <w:r w:rsidRPr="00806B36">
        <w:rPr>
          <w:rFonts w:asciiTheme="minorHAnsi" w:hAnsiTheme="minorHAnsi"/>
          <w:snapToGrid w:val="0"/>
        </w:rPr>
        <w:fldChar w:fldCharType="begin"/>
      </w:r>
      <w:r w:rsidRPr="00806B36">
        <w:rPr>
          <w:rFonts w:asciiTheme="minorHAnsi" w:hAnsiTheme="minorHAnsi"/>
          <w:snapToGrid w:val="0"/>
        </w:rPr>
        <w:instrText xml:space="preserve"> REF _Ref127449394 \r \h </w:instrText>
      </w:r>
      <w:r w:rsidRPr="00806B36">
        <w:rPr>
          <w:rFonts w:asciiTheme="minorHAnsi" w:hAnsiTheme="minorHAnsi"/>
          <w:snapToGrid w:val="0"/>
        </w:rPr>
      </w:r>
      <w:r w:rsidRPr="00806B36">
        <w:rPr>
          <w:rFonts w:asciiTheme="minorHAnsi" w:hAnsiTheme="minorHAnsi"/>
          <w:snapToGrid w:val="0"/>
        </w:rPr>
        <w:fldChar w:fldCharType="separate"/>
      </w:r>
      <w:r w:rsidR="00487C7F">
        <w:rPr>
          <w:rFonts w:asciiTheme="minorHAnsi" w:hAnsiTheme="minorHAnsi"/>
          <w:snapToGrid w:val="0"/>
        </w:rPr>
        <w:t>6.73</w:t>
      </w:r>
      <w:r w:rsidRPr="00806B36">
        <w:rPr>
          <w:rFonts w:asciiTheme="minorHAnsi" w:hAnsiTheme="minorHAnsi"/>
          <w:snapToGrid w:val="0"/>
        </w:rPr>
        <w:fldChar w:fldCharType="end"/>
      </w:r>
      <w:r w:rsidRPr="00806B36">
        <w:rPr>
          <w:rFonts w:asciiTheme="minorHAnsi" w:hAnsiTheme="minorHAnsi"/>
          <w:snapToGrid w:val="0"/>
        </w:rPr>
        <w:t xml:space="preserve">). However, the PBAC considered that </w:t>
      </w:r>
      <w:r w:rsidR="00DA3A72" w:rsidRPr="00806B36">
        <w:rPr>
          <w:rFonts w:asciiTheme="minorHAnsi" w:hAnsiTheme="minorHAnsi"/>
          <w:snapToGrid w:val="0"/>
        </w:rPr>
        <w:t xml:space="preserve">these examples were not applicable to </w:t>
      </w:r>
      <w:r w:rsidR="009B5574" w:rsidRPr="00806B36">
        <w:rPr>
          <w:rFonts w:asciiTheme="minorHAnsi" w:hAnsiTheme="minorHAnsi"/>
          <w:snapToGrid w:val="0"/>
        </w:rPr>
        <w:t xml:space="preserve">patients with </w:t>
      </w:r>
      <w:r w:rsidRPr="00806B36">
        <w:rPr>
          <w:rFonts w:asciiTheme="minorHAnsi" w:hAnsiTheme="minorHAnsi"/>
          <w:snapToGrid w:val="0"/>
        </w:rPr>
        <w:t xml:space="preserve">CKD </w:t>
      </w:r>
      <w:r w:rsidR="009B5574" w:rsidRPr="00806B36">
        <w:rPr>
          <w:rFonts w:asciiTheme="minorHAnsi" w:hAnsiTheme="minorHAnsi"/>
          <w:snapToGrid w:val="0"/>
        </w:rPr>
        <w:t xml:space="preserve">requiring haemodialysis </w:t>
      </w:r>
      <w:r w:rsidR="00DA3A72" w:rsidRPr="00806B36">
        <w:rPr>
          <w:rFonts w:asciiTheme="minorHAnsi" w:hAnsiTheme="minorHAnsi"/>
          <w:snapToGrid w:val="0"/>
        </w:rPr>
        <w:t xml:space="preserve">who </w:t>
      </w:r>
      <w:r w:rsidR="0011610D" w:rsidRPr="00806B36">
        <w:rPr>
          <w:rFonts w:asciiTheme="minorHAnsi" w:hAnsiTheme="minorHAnsi"/>
          <w:snapToGrid w:val="0"/>
        </w:rPr>
        <w:t xml:space="preserve">would be expected to have lower baseline utility values due to </w:t>
      </w:r>
      <w:r w:rsidR="009B5574" w:rsidRPr="00806B36">
        <w:rPr>
          <w:rFonts w:asciiTheme="minorHAnsi" w:hAnsiTheme="minorHAnsi"/>
          <w:snapToGrid w:val="0"/>
        </w:rPr>
        <w:t>multiple sources of disutility</w:t>
      </w:r>
      <w:r w:rsidR="0011610D" w:rsidRPr="00806B36">
        <w:rPr>
          <w:rFonts w:asciiTheme="minorHAnsi" w:hAnsiTheme="minorHAnsi"/>
          <w:snapToGrid w:val="0"/>
        </w:rPr>
        <w:t xml:space="preserve"> in addition to pruritus</w:t>
      </w:r>
      <w:r w:rsidR="009B5574" w:rsidRPr="00806B36">
        <w:rPr>
          <w:rFonts w:asciiTheme="minorHAnsi" w:hAnsiTheme="minorHAnsi"/>
          <w:snapToGrid w:val="0"/>
        </w:rPr>
        <w:t xml:space="preserve"> </w:t>
      </w:r>
      <w:r w:rsidR="003A397F" w:rsidRPr="00806B36">
        <w:rPr>
          <w:rFonts w:asciiTheme="minorHAnsi" w:hAnsiTheme="minorHAnsi"/>
          <w:snapToGrid w:val="0"/>
        </w:rPr>
        <w:t xml:space="preserve">(e.g. fatigue, </w:t>
      </w:r>
      <w:r w:rsidR="00304046" w:rsidRPr="00806B36">
        <w:rPr>
          <w:rFonts w:asciiTheme="minorHAnsi" w:hAnsiTheme="minorHAnsi"/>
          <w:snapToGrid w:val="0"/>
        </w:rPr>
        <w:t>CKD</w:t>
      </w:r>
      <w:r w:rsidR="003661D5" w:rsidRPr="00806B36">
        <w:rPr>
          <w:rFonts w:asciiTheme="minorHAnsi" w:hAnsiTheme="minorHAnsi"/>
          <w:snapToGrid w:val="0"/>
        </w:rPr>
        <w:t>-related comorbidities</w:t>
      </w:r>
      <w:r w:rsidR="003A397F" w:rsidRPr="00806B36">
        <w:rPr>
          <w:rFonts w:asciiTheme="minorHAnsi" w:hAnsiTheme="minorHAnsi"/>
          <w:snapToGrid w:val="0"/>
        </w:rPr>
        <w:t>)</w:t>
      </w:r>
      <w:r w:rsidR="00730DB5" w:rsidRPr="00806B36">
        <w:rPr>
          <w:rFonts w:asciiTheme="minorHAnsi" w:hAnsiTheme="minorHAnsi"/>
          <w:snapToGrid w:val="0"/>
        </w:rPr>
        <w:t>.</w:t>
      </w:r>
      <w:bookmarkEnd w:id="81"/>
      <w:r w:rsidR="009B5574" w:rsidRPr="00806B36">
        <w:rPr>
          <w:rFonts w:asciiTheme="minorHAnsi" w:hAnsiTheme="minorHAnsi"/>
          <w:snapToGrid w:val="0"/>
        </w:rPr>
        <w:t xml:space="preserve"> </w:t>
      </w:r>
    </w:p>
    <w:p w14:paraId="6FB2B34E" w14:textId="5CDFCE53" w:rsidR="001A2763" w:rsidRPr="00806B36" w:rsidRDefault="00E2342D" w:rsidP="00E2342D">
      <w:pPr>
        <w:widowControl w:val="0"/>
        <w:numPr>
          <w:ilvl w:val="1"/>
          <w:numId w:val="1"/>
        </w:numPr>
        <w:spacing w:after="120"/>
      </w:pPr>
      <w:bookmarkStart w:id="83" w:name="_Ref132199085"/>
      <w:r w:rsidRPr="00806B36">
        <w:t xml:space="preserve">The PBAC noted the economic model assumed an attenuating placebo effect for patients on </w:t>
      </w:r>
      <w:r w:rsidR="007C4E6F" w:rsidRPr="00806B36">
        <w:t>best supportive care</w:t>
      </w:r>
      <w:r w:rsidRPr="00806B36">
        <w:t xml:space="preserve"> with no matching adjustments to difelikefalin treated patients who also continued to improve up to Week 64. </w:t>
      </w:r>
      <w:r w:rsidR="00730DB5" w:rsidRPr="00806B36">
        <w:rPr>
          <w:rFonts w:asciiTheme="minorHAnsi" w:hAnsiTheme="minorHAnsi"/>
          <w:snapToGrid w:val="0"/>
        </w:rPr>
        <w:t xml:space="preserve">The PBAC noted </w:t>
      </w:r>
      <w:r w:rsidRPr="00806B36">
        <w:rPr>
          <w:rFonts w:asciiTheme="minorHAnsi" w:hAnsiTheme="minorHAnsi"/>
          <w:snapToGrid w:val="0"/>
        </w:rPr>
        <w:t>this</w:t>
      </w:r>
      <w:r w:rsidR="00730DB5" w:rsidRPr="00806B36">
        <w:rPr>
          <w:rFonts w:asciiTheme="minorHAnsi" w:hAnsiTheme="minorHAnsi"/>
          <w:snapToGrid w:val="0"/>
        </w:rPr>
        <w:t xml:space="preserve"> differential approach to extrapolating the effects of difelike</w:t>
      </w:r>
      <w:r w:rsidR="005A4357" w:rsidRPr="00806B36">
        <w:rPr>
          <w:rFonts w:asciiTheme="minorHAnsi" w:hAnsiTheme="minorHAnsi"/>
          <w:snapToGrid w:val="0"/>
        </w:rPr>
        <w:t>fa</w:t>
      </w:r>
      <w:r w:rsidR="00730DB5" w:rsidRPr="00806B36">
        <w:rPr>
          <w:rFonts w:asciiTheme="minorHAnsi" w:hAnsiTheme="minorHAnsi"/>
          <w:snapToGrid w:val="0"/>
        </w:rPr>
        <w:t xml:space="preserve">lin and placebo led to </w:t>
      </w:r>
      <w:r w:rsidR="00730DB5" w:rsidRPr="00806B36">
        <w:t>an increase in</w:t>
      </w:r>
      <w:r w:rsidR="00304046" w:rsidRPr="00806B36">
        <w:t xml:space="preserve"> the incremental</w:t>
      </w:r>
      <w:r w:rsidR="00730DB5" w:rsidRPr="00806B36">
        <w:t xml:space="preserve"> treatment benefit between Weeks 12 and 64 of the model. The </w:t>
      </w:r>
      <w:r w:rsidR="001A2763" w:rsidRPr="00806B36">
        <w:t>PBAC considered the approach favoured difelikefalin and was inadequately justified.</w:t>
      </w:r>
      <w:bookmarkEnd w:id="83"/>
      <w:r w:rsidR="00315DBC" w:rsidRPr="00806B36">
        <w:t xml:space="preserve"> In addition, the PBAC noted the economic model assumed a cause-effect relationship between high itch scores and death and considered this was inappropriate and should be removed.</w:t>
      </w:r>
    </w:p>
    <w:p w14:paraId="259928DF" w14:textId="441B3D55" w:rsidR="009F4FFA" w:rsidRPr="00806B36" w:rsidRDefault="003B7096" w:rsidP="00684454">
      <w:pPr>
        <w:widowControl w:val="0"/>
        <w:numPr>
          <w:ilvl w:val="1"/>
          <w:numId w:val="1"/>
        </w:numPr>
        <w:spacing w:after="120"/>
        <w:rPr>
          <w:rFonts w:asciiTheme="minorHAnsi" w:hAnsiTheme="minorHAnsi"/>
          <w:snapToGrid w:val="0"/>
        </w:rPr>
      </w:pPr>
      <w:bookmarkStart w:id="84" w:name="_Ref132199096"/>
      <w:r w:rsidRPr="00806B36">
        <w:rPr>
          <w:rFonts w:asciiTheme="minorHAnsi" w:hAnsiTheme="minorHAnsi"/>
          <w:snapToGrid w:val="0"/>
        </w:rPr>
        <w:t>The PBAC noted the pre-PBAC response presented a revised base case</w:t>
      </w:r>
      <w:r w:rsidR="00E2342D" w:rsidRPr="00806B36">
        <w:rPr>
          <w:rFonts w:asciiTheme="minorHAnsi" w:hAnsiTheme="minorHAnsi"/>
          <w:snapToGrid w:val="0"/>
        </w:rPr>
        <w:t xml:space="preserve"> model</w:t>
      </w:r>
      <w:r w:rsidRPr="00806B36">
        <w:rPr>
          <w:rFonts w:asciiTheme="minorHAnsi" w:hAnsiTheme="minorHAnsi"/>
          <w:snapToGrid w:val="0"/>
        </w:rPr>
        <w:t xml:space="preserve"> that attempted to address</w:t>
      </w:r>
      <w:r w:rsidR="00F80499" w:rsidRPr="00806B36">
        <w:rPr>
          <w:rFonts w:asciiTheme="minorHAnsi" w:hAnsiTheme="minorHAnsi"/>
          <w:snapToGrid w:val="0"/>
        </w:rPr>
        <w:t xml:space="preserve"> </w:t>
      </w:r>
      <w:r w:rsidR="007A5491" w:rsidRPr="00806B36">
        <w:rPr>
          <w:rFonts w:asciiTheme="minorHAnsi" w:hAnsiTheme="minorHAnsi"/>
          <w:snapToGrid w:val="0"/>
        </w:rPr>
        <w:t>ESC</w:t>
      </w:r>
      <w:r w:rsidRPr="00806B36">
        <w:rPr>
          <w:rFonts w:asciiTheme="minorHAnsi" w:hAnsiTheme="minorHAnsi"/>
          <w:snapToGrid w:val="0"/>
        </w:rPr>
        <w:t xml:space="preserve">’s concerns regarding </w:t>
      </w:r>
      <w:r w:rsidR="005814C0" w:rsidRPr="00806B36">
        <w:rPr>
          <w:rFonts w:asciiTheme="minorHAnsi" w:hAnsiTheme="minorHAnsi"/>
          <w:snapToGrid w:val="0"/>
        </w:rPr>
        <w:t>the</w:t>
      </w:r>
      <w:r w:rsidR="00F80499" w:rsidRPr="00806B36">
        <w:t xml:space="preserve"> </w:t>
      </w:r>
      <w:r w:rsidR="00B82164" w:rsidRPr="00806B36">
        <w:rPr>
          <w:rFonts w:asciiTheme="minorHAnsi" w:hAnsiTheme="minorHAnsi"/>
          <w:snapToGrid w:val="0"/>
        </w:rPr>
        <w:t xml:space="preserve">adjustments for placebo responses </w:t>
      </w:r>
      <w:r w:rsidR="000A76D7" w:rsidRPr="00806B36">
        <w:rPr>
          <w:rFonts w:asciiTheme="minorHAnsi" w:hAnsiTheme="minorHAnsi"/>
          <w:snapToGrid w:val="0"/>
        </w:rPr>
        <w:t>in</w:t>
      </w:r>
      <w:r w:rsidR="00B82164" w:rsidRPr="00806B36">
        <w:rPr>
          <w:rFonts w:asciiTheme="minorHAnsi" w:hAnsiTheme="minorHAnsi"/>
          <w:snapToGrid w:val="0"/>
        </w:rPr>
        <w:t xml:space="preserve"> the</w:t>
      </w:r>
      <w:r w:rsidR="007C4E6F" w:rsidRPr="00806B36">
        <w:rPr>
          <w:rFonts w:asciiTheme="minorHAnsi" w:hAnsiTheme="minorHAnsi"/>
          <w:snapToGrid w:val="0"/>
        </w:rPr>
        <w:t xml:space="preserve"> best supportive care</w:t>
      </w:r>
      <w:r w:rsidR="00B82164" w:rsidRPr="00806B36">
        <w:rPr>
          <w:rFonts w:asciiTheme="minorHAnsi" w:hAnsiTheme="minorHAnsi"/>
          <w:snapToGrid w:val="0"/>
        </w:rPr>
        <w:t xml:space="preserve"> arm, </w:t>
      </w:r>
      <w:r w:rsidRPr="00806B36">
        <w:rPr>
          <w:rFonts w:asciiTheme="minorHAnsi" w:hAnsiTheme="minorHAnsi"/>
          <w:snapToGrid w:val="0"/>
        </w:rPr>
        <w:t xml:space="preserve">not </w:t>
      </w:r>
      <w:r w:rsidR="005814C0" w:rsidRPr="00806B36">
        <w:rPr>
          <w:rFonts w:asciiTheme="minorHAnsi" w:hAnsiTheme="minorHAnsi"/>
          <w:snapToGrid w:val="0"/>
        </w:rPr>
        <w:t>includ</w:t>
      </w:r>
      <w:r w:rsidRPr="00806B36">
        <w:rPr>
          <w:rFonts w:asciiTheme="minorHAnsi" w:hAnsiTheme="minorHAnsi"/>
          <w:snapToGrid w:val="0"/>
        </w:rPr>
        <w:t>ing</w:t>
      </w:r>
      <w:r w:rsidR="000A76D7" w:rsidRPr="00806B36">
        <w:rPr>
          <w:rFonts w:asciiTheme="minorHAnsi" w:hAnsiTheme="minorHAnsi"/>
          <w:snapToGrid w:val="0"/>
        </w:rPr>
        <w:t xml:space="preserve"> costs and disutilities for adverse events and</w:t>
      </w:r>
      <w:r w:rsidR="00B82164" w:rsidRPr="00806B36">
        <w:rPr>
          <w:rFonts w:asciiTheme="minorHAnsi" w:hAnsiTheme="minorHAnsi"/>
          <w:snapToGrid w:val="0"/>
        </w:rPr>
        <w:t xml:space="preserve"> </w:t>
      </w:r>
      <w:r w:rsidRPr="00806B36">
        <w:rPr>
          <w:rFonts w:asciiTheme="minorHAnsi" w:hAnsiTheme="minorHAnsi"/>
          <w:snapToGrid w:val="0"/>
        </w:rPr>
        <w:t xml:space="preserve">not </w:t>
      </w:r>
      <w:r w:rsidR="005814C0" w:rsidRPr="00806B36">
        <w:rPr>
          <w:rFonts w:asciiTheme="minorHAnsi" w:hAnsiTheme="minorHAnsi"/>
          <w:snapToGrid w:val="0"/>
        </w:rPr>
        <w:t>account</w:t>
      </w:r>
      <w:r w:rsidRPr="00806B36">
        <w:rPr>
          <w:rFonts w:asciiTheme="minorHAnsi" w:hAnsiTheme="minorHAnsi"/>
          <w:snapToGrid w:val="0"/>
        </w:rPr>
        <w:t>ing</w:t>
      </w:r>
      <w:r w:rsidR="005814C0" w:rsidRPr="00806B36">
        <w:rPr>
          <w:rFonts w:asciiTheme="minorHAnsi" w:hAnsiTheme="minorHAnsi"/>
          <w:snapToGrid w:val="0"/>
        </w:rPr>
        <w:t xml:space="preserve"> for patients needing </w:t>
      </w:r>
      <w:r w:rsidR="00684454" w:rsidRPr="00806B36">
        <w:rPr>
          <w:rFonts w:asciiTheme="minorHAnsi" w:hAnsiTheme="minorHAnsi"/>
          <w:snapToGrid w:val="0"/>
        </w:rPr>
        <w:t xml:space="preserve">more than one </w:t>
      </w:r>
      <w:r w:rsidR="005814C0" w:rsidRPr="00806B36">
        <w:rPr>
          <w:rFonts w:asciiTheme="minorHAnsi" w:hAnsiTheme="minorHAnsi"/>
          <w:snapToGrid w:val="0"/>
        </w:rPr>
        <w:t>vial</w:t>
      </w:r>
      <w:r w:rsidR="00AB61B2" w:rsidRPr="00806B36">
        <w:rPr>
          <w:rFonts w:asciiTheme="minorHAnsi" w:hAnsiTheme="minorHAnsi"/>
          <w:snapToGrid w:val="0"/>
        </w:rPr>
        <w:t xml:space="preserve"> of difelikefalin </w:t>
      </w:r>
      <w:r w:rsidR="00684454" w:rsidRPr="00806B36">
        <w:rPr>
          <w:rFonts w:asciiTheme="minorHAnsi" w:hAnsiTheme="minorHAnsi"/>
          <w:snapToGrid w:val="0"/>
        </w:rPr>
        <w:t xml:space="preserve">(see paragraph </w:t>
      </w:r>
      <w:r w:rsidR="00684454" w:rsidRPr="00806B36">
        <w:rPr>
          <w:rFonts w:asciiTheme="minorHAnsi" w:hAnsiTheme="minorHAnsi"/>
          <w:snapToGrid w:val="0"/>
        </w:rPr>
        <w:fldChar w:fldCharType="begin"/>
      </w:r>
      <w:r w:rsidR="00684454" w:rsidRPr="00806B36">
        <w:rPr>
          <w:rFonts w:asciiTheme="minorHAnsi" w:hAnsiTheme="minorHAnsi"/>
          <w:snapToGrid w:val="0"/>
        </w:rPr>
        <w:instrText xml:space="preserve"> REF _Ref131669395 \r \h </w:instrText>
      </w:r>
      <w:r w:rsidR="00684454" w:rsidRPr="00806B36">
        <w:rPr>
          <w:rFonts w:asciiTheme="minorHAnsi" w:hAnsiTheme="minorHAnsi"/>
          <w:snapToGrid w:val="0"/>
        </w:rPr>
      </w:r>
      <w:r w:rsidR="00684454" w:rsidRPr="00806B36">
        <w:rPr>
          <w:rFonts w:asciiTheme="minorHAnsi" w:hAnsiTheme="minorHAnsi"/>
          <w:snapToGrid w:val="0"/>
        </w:rPr>
        <w:fldChar w:fldCharType="separate"/>
      </w:r>
      <w:r w:rsidR="00487C7F">
        <w:rPr>
          <w:rFonts w:asciiTheme="minorHAnsi" w:hAnsiTheme="minorHAnsi"/>
          <w:snapToGrid w:val="0"/>
        </w:rPr>
        <w:t>6.99</w:t>
      </w:r>
      <w:r w:rsidR="00684454" w:rsidRPr="00806B36">
        <w:rPr>
          <w:rFonts w:asciiTheme="minorHAnsi" w:hAnsiTheme="minorHAnsi"/>
          <w:snapToGrid w:val="0"/>
        </w:rPr>
        <w:fldChar w:fldCharType="end"/>
      </w:r>
      <w:r w:rsidR="00684454" w:rsidRPr="00806B36">
        <w:rPr>
          <w:rFonts w:asciiTheme="minorHAnsi" w:hAnsiTheme="minorHAnsi"/>
          <w:snapToGrid w:val="0"/>
        </w:rPr>
        <w:t>)</w:t>
      </w:r>
      <w:r w:rsidR="005814C0" w:rsidRPr="00806B36">
        <w:rPr>
          <w:rFonts w:asciiTheme="minorHAnsi" w:hAnsiTheme="minorHAnsi"/>
          <w:snapToGrid w:val="0"/>
        </w:rPr>
        <w:t>.</w:t>
      </w:r>
      <w:r w:rsidR="009F4FFA" w:rsidRPr="00806B36">
        <w:rPr>
          <w:rFonts w:asciiTheme="minorHAnsi" w:hAnsiTheme="minorHAnsi"/>
          <w:snapToGrid w:val="0"/>
        </w:rPr>
        <w:t xml:space="preserve"> </w:t>
      </w:r>
      <w:r w:rsidR="00684454" w:rsidRPr="00806B36">
        <w:rPr>
          <w:rFonts w:asciiTheme="minorHAnsi" w:hAnsiTheme="minorHAnsi"/>
          <w:snapToGrid w:val="0"/>
        </w:rPr>
        <w:t xml:space="preserve">The PBAC considered that the revised model required evaluation however, noted it </w:t>
      </w:r>
      <w:r w:rsidR="00983807" w:rsidRPr="00806B36">
        <w:rPr>
          <w:rFonts w:asciiTheme="minorHAnsi" w:hAnsiTheme="minorHAnsi"/>
          <w:snapToGrid w:val="0"/>
        </w:rPr>
        <w:t xml:space="preserve">retained the same utility decrements </w:t>
      </w:r>
      <w:r w:rsidR="00684454" w:rsidRPr="00806B36">
        <w:rPr>
          <w:rFonts w:asciiTheme="minorHAnsi" w:hAnsiTheme="minorHAnsi"/>
          <w:snapToGrid w:val="0"/>
        </w:rPr>
        <w:t xml:space="preserve">which as noted in paragraph </w:t>
      </w:r>
      <w:r w:rsidR="008A7D10" w:rsidRPr="00806B36">
        <w:rPr>
          <w:rFonts w:asciiTheme="minorHAnsi" w:hAnsiTheme="minorHAnsi"/>
          <w:snapToGrid w:val="0"/>
        </w:rPr>
        <w:fldChar w:fldCharType="begin"/>
      </w:r>
      <w:r w:rsidR="008A7D10" w:rsidRPr="00806B36">
        <w:rPr>
          <w:rFonts w:asciiTheme="minorHAnsi" w:hAnsiTheme="minorHAnsi"/>
          <w:snapToGrid w:val="0"/>
        </w:rPr>
        <w:instrText xml:space="preserve"> REF _Ref132198938 \r \h </w:instrText>
      </w:r>
      <w:r w:rsidR="008A7D10" w:rsidRPr="00806B36">
        <w:rPr>
          <w:rFonts w:asciiTheme="minorHAnsi" w:hAnsiTheme="minorHAnsi"/>
          <w:snapToGrid w:val="0"/>
        </w:rPr>
      </w:r>
      <w:r w:rsidR="008A7D10" w:rsidRPr="00806B36">
        <w:rPr>
          <w:rFonts w:asciiTheme="minorHAnsi" w:hAnsiTheme="minorHAnsi"/>
          <w:snapToGrid w:val="0"/>
        </w:rPr>
        <w:fldChar w:fldCharType="separate"/>
      </w:r>
      <w:r w:rsidR="00487C7F">
        <w:rPr>
          <w:rFonts w:asciiTheme="minorHAnsi" w:hAnsiTheme="minorHAnsi"/>
          <w:snapToGrid w:val="0"/>
        </w:rPr>
        <w:t>7.8</w:t>
      </w:r>
      <w:r w:rsidR="008A7D10" w:rsidRPr="00806B36">
        <w:rPr>
          <w:rFonts w:asciiTheme="minorHAnsi" w:hAnsiTheme="minorHAnsi"/>
          <w:snapToGrid w:val="0"/>
        </w:rPr>
        <w:fldChar w:fldCharType="end"/>
      </w:r>
      <w:r w:rsidR="00684454" w:rsidRPr="00806B36">
        <w:rPr>
          <w:rFonts w:asciiTheme="minorHAnsi" w:hAnsiTheme="minorHAnsi"/>
          <w:snapToGrid w:val="0"/>
        </w:rPr>
        <w:t xml:space="preserve"> were considered implausibly large. On this basis the PBAC considered the base case ICER presented in the pre-PBAC response </w:t>
      </w:r>
      <w:r w:rsidR="00684454" w:rsidRPr="00806B36">
        <w:t xml:space="preserve">of </w:t>
      </w:r>
      <w:r w:rsidR="00324629" w:rsidRPr="00324629">
        <w:t>$45,000 to &lt; $55,000</w:t>
      </w:r>
      <w:r w:rsidR="00324629">
        <w:t xml:space="preserve"> </w:t>
      </w:r>
      <w:r w:rsidR="00684454" w:rsidRPr="00806B36">
        <w:t>per QALY</w:t>
      </w:r>
      <w:r w:rsidR="00AB61B2" w:rsidRPr="00806B36">
        <w:t xml:space="preserve"> gained</w:t>
      </w:r>
      <w:r w:rsidR="005776F7" w:rsidRPr="00806B36">
        <w:t xml:space="preserve"> (which included a price reduction of 20%)</w:t>
      </w:r>
      <w:r w:rsidR="00684454" w:rsidRPr="00806B36">
        <w:t xml:space="preserve"> to be underestimated, and given the inherent uncertainty to be too high. </w:t>
      </w:r>
      <w:r w:rsidR="008F03D7" w:rsidRPr="00806B36">
        <w:rPr>
          <w:rFonts w:asciiTheme="minorHAnsi" w:hAnsiTheme="minorHAnsi"/>
          <w:snapToGrid w:val="0"/>
        </w:rPr>
        <w:t xml:space="preserve">The </w:t>
      </w:r>
      <w:r w:rsidR="00086973" w:rsidRPr="00806B36">
        <w:rPr>
          <w:rFonts w:asciiTheme="minorHAnsi" w:hAnsiTheme="minorHAnsi"/>
          <w:snapToGrid w:val="0"/>
        </w:rPr>
        <w:t>PBAC considered a further price reduction would be required for difelikefalin to be considered cost effective.</w:t>
      </w:r>
      <w:bookmarkEnd w:id="84"/>
      <w:r w:rsidR="00086973" w:rsidRPr="00806B36">
        <w:rPr>
          <w:rFonts w:asciiTheme="minorHAnsi" w:hAnsiTheme="minorHAnsi"/>
          <w:snapToGrid w:val="0"/>
        </w:rPr>
        <w:t xml:space="preserve"> </w:t>
      </w:r>
    </w:p>
    <w:bookmarkEnd w:id="82"/>
    <w:p w14:paraId="21511F3D" w14:textId="477D0339" w:rsidR="009770E4" w:rsidRPr="00806B36" w:rsidRDefault="009C2C75" w:rsidP="009770E4">
      <w:pPr>
        <w:widowControl w:val="0"/>
        <w:numPr>
          <w:ilvl w:val="1"/>
          <w:numId w:val="1"/>
        </w:numPr>
        <w:spacing w:after="120"/>
      </w:pPr>
      <w:r w:rsidRPr="00806B36">
        <w:rPr>
          <w:rFonts w:asciiTheme="minorHAnsi" w:hAnsiTheme="minorHAnsi"/>
          <w:snapToGrid w:val="0"/>
        </w:rPr>
        <w:t>The PBAC</w:t>
      </w:r>
      <w:r w:rsidR="00A8509B" w:rsidRPr="00806B36">
        <w:rPr>
          <w:rFonts w:asciiTheme="minorHAnsi" w:hAnsiTheme="minorHAnsi"/>
          <w:snapToGrid w:val="0"/>
        </w:rPr>
        <w:t xml:space="preserve"> agreed with the DUSC that the estimates presented in the submission were significantly underestimated and with the concerns raised by the Committee in paragraph </w:t>
      </w:r>
      <w:r w:rsidR="00A8509B" w:rsidRPr="00806B36">
        <w:rPr>
          <w:rFonts w:asciiTheme="minorHAnsi" w:hAnsiTheme="minorHAnsi"/>
          <w:snapToGrid w:val="0"/>
        </w:rPr>
        <w:fldChar w:fldCharType="begin"/>
      </w:r>
      <w:r w:rsidR="00A8509B" w:rsidRPr="00806B36">
        <w:rPr>
          <w:rFonts w:asciiTheme="minorHAnsi" w:hAnsiTheme="minorHAnsi"/>
          <w:snapToGrid w:val="0"/>
        </w:rPr>
        <w:instrText xml:space="preserve"> REF _Ref131671865 \r \h </w:instrText>
      </w:r>
      <w:r w:rsidR="00A8509B" w:rsidRPr="00806B36">
        <w:rPr>
          <w:rFonts w:asciiTheme="minorHAnsi" w:hAnsiTheme="minorHAnsi"/>
          <w:snapToGrid w:val="0"/>
        </w:rPr>
      </w:r>
      <w:r w:rsidR="00A8509B" w:rsidRPr="00806B36">
        <w:rPr>
          <w:rFonts w:asciiTheme="minorHAnsi" w:hAnsiTheme="minorHAnsi"/>
          <w:snapToGrid w:val="0"/>
        </w:rPr>
        <w:fldChar w:fldCharType="separate"/>
      </w:r>
      <w:r w:rsidR="00487C7F">
        <w:rPr>
          <w:rFonts w:asciiTheme="minorHAnsi" w:hAnsiTheme="minorHAnsi"/>
          <w:snapToGrid w:val="0"/>
        </w:rPr>
        <w:t>6.115</w:t>
      </w:r>
      <w:r w:rsidR="00A8509B" w:rsidRPr="00806B36">
        <w:rPr>
          <w:rFonts w:asciiTheme="minorHAnsi" w:hAnsiTheme="minorHAnsi"/>
          <w:snapToGrid w:val="0"/>
        </w:rPr>
        <w:fldChar w:fldCharType="end"/>
      </w:r>
      <w:r w:rsidR="00A8509B" w:rsidRPr="00806B36">
        <w:rPr>
          <w:rFonts w:asciiTheme="minorHAnsi" w:hAnsiTheme="minorHAnsi"/>
          <w:snapToGrid w:val="0"/>
        </w:rPr>
        <w:t xml:space="preserve">. The PBAC noted </w:t>
      </w:r>
      <w:r w:rsidR="00151328" w:rsidRPr="00806B36">
        <w:rPr>
          <w:rFonts w:asciiTheme="minorHAnsi" w:hAnsiTheme="minorHAnsi"/>
          <w:snapToGrid w:val="0"/>
        </w:rPr>
        <w:t xml:space="preserve">the </w:t>
      </w:r>
      <w:r w:rsidR="00A8509B" w:rsidRPr="00806B36">
        <w:rPr>
          <w:rFonts w:asciiTheme="minorHAnsi" w:hAnsiTheme="minorHAnsi"/>
          <w:snapToGrid w:val="0"/>
        </w:rPr>
        <w:t>p</w:t>
      </w:r>
      <w:r w:rsidR="00151328" w:rsidRPr="00806B36">
        <w:rPr>
          <w:rFonts w:asciiTheme="minorHAnsi" w:hAnsiTheme="minorHAnsi"/>
          <w:snapToGrid w:val="0"/>
        </w:rPr>
        <w:t xml:space="preserve">re-PBAC </w:t>
      </w:r>
      <w:r w:rsidR="00A8509B" w:rsidRPr="00806B36">
        <w:rPr>
          <w:rFonts w:asciiTheme="minorHAnsi" w:hAnsiTheme="minorHAnsi"/>
          <w:snapToGrid w:val="0"/>
        </w:rPr>
        <w:t>r</w:t>
      </w:r>
      <w:r w:rsidR="00151328" w:rsidRPr="00806B36">
        <w:rPr>
          <w:rFonts w:asciiTheme="minorHAnsi" w:hAnsiTheme="minorHAnsi"/>
          <w:snapToGrid w:val="0"/>
        </w:rPr>
        <w:t xml:space="preserve">esponse presented revised estimates </w:t>
      </w:r>
      <w:r w:rsidR="00A8509B" w:rsidRPr="00806B36">
        <w:rPr>
          <w:rFonts w:asciiTheme="minorHAnsi" w:hAnsiTheme="minorHAnsi"/>
          <w:snapToGrid w:val="0"/>
        </w:rPr>
        <w:t xml:space="preserve">that addressed some but not all of the concerns raised by DUSC (see </w:t>
      </w:r>
      <w:r w:rsidR="00A8509B" w:rsidRPr="00806B36">
        <w:rPr>
          <w:rFonts w:asciiTheme="minorHAnsi" w:hAnsiTheme="minorHAnsi"/>
          <w:snapToGrid w:val="0"/>
        </w:rPr>
        <w:fldChar w:fldCharType="begin"/>
      </w:r>
      <w:r w:rsidR="00A8509B" w:rsidRPr="00806B36">
        <w:rPr>
          <w:rFonts w:asciiTheme="minorHAnsi" w:hAnsiTheme="minorHAnsi"/>
          <w:snapToGrid w:val="0"/>
        </w:rPr>
        <w:instrText xml:space="preserve"> REF _Ref131080081 \h  \* MERGEFORMAT </w:instrText>
      </w:r>
      <w:r w:rsidR="00A8509B" w:rsidRPr="00806B36">
        <w:rPr>
          <w:rFonts w:asciiTheme="minorHAnsi" w:hAnsiTheme="minorHAnsi"/>
          <w:snapToGrid w:val="0"/>
        </w:rPr>
      </w:r>
      <w:r w:rsidR="00A8509B" w:rsidRPr="00806B36">
        <w:rPr>
          <w:rFonts w:asciiTheme="minorHAnsi" w:hAnsiTheme="minorHAnsi"/>
          <w:snapToGrid w:val="0"/>
        </w:rPr>
        <w:fldChar w:fldCharType="separate"/>
      </w:r>
      <w:r w:rsidR="00487C7F" w:rsidRPr="00487C7F">
        <w:t>Table 14</w:t>
      </w:r>
      <w:r w:rsidR="00A8509B" w:rsidRPr="00806B36">
        <w:rPr>
          <w:rFonts w:asciiTheme="minorHAnsi" w:hAnsiTheme="minorHAnsi"/>
          <w:snapToGrid w:val="0"/>
        </w:rPr>
        <w:fldChar w:fldCharType="end"/>
      </w:r>
      <w:r w:rsidR="00A8509B" w:rsidRPr="00806B36">
        <w:rPr>
          <w:rFonts w:asciiTheme="minorHAnsi" w:hAnsiTheme="minorHAnsi"/>
          <w:snapToGrid w:val="0"/>
        </w:rPr>
        <w:t>)</w:t>
      </w:r>
      <w:r w:rsidR="00151328" w:rsidRPr="00806B36">
        <w:rPr>
          <w:rFonts w:asciiTheme="minorHAnsi" w:hAnsiTheme="minorHAnsi"/>
          <w:snapToGrid w:val="0"/>
        </w:rPr>
        <w:t>. The PBAC considered this revised approach may be reasonable, however also noted it had not been independently evaluated.</w:t>
      </w:r>
      <w:r w:rsidR="00367FF7" w:rsidRPr="00806B36">
        <w:rPr>
          <w:rFonts w:asciiTheme="minorHAnsi" w:hAnsiTheme="minorHAnsi"/>
          <w:snapToGrid w:val="0"/>
        </w:rPr>
        <w:t xml:space="preserve"> The PBAC considered that a risk sharing arrangement</w:t>
      </w:r>
      <w:r w:rsidR="00FC3336" w:rsidRPr="00806B36">
        <w:rPr>
          <w:rFonts w:asciiTheme="minorHAnsi" w:hAnsiTheme="minorHAnsi"/>
          <w:snapToGrid w:val="0"/>
        </w:rPr>
        <w:t xml:space="preserve"> (RSA)</w:t>
      </w:r>
      <w:r w:rsidR="00367FF7" w:rsidRPr="00806B36">
        <w:rPr>
          <w:rFonts w:asciiTheme="minorHAnsi" w:hAnsiTheme="minorHAnsi"/>
          <w:snapToGrid w:val="0"/>
        </w:rPr>
        <w:t xml:space="preserve"> would be required to address any residual uncertainty with </w:t>
      </w:r>
      <w:r w:rsidR="00FC3336" w:rsidRPr="00806B36">
        <w:rPr>
          <w:rFonts w:asciiTheme="minorHAnsi" w:hAnsiTheme="minorHAnsi"/>
          <w:snapToGrid w:val="0"/>
        </w:rPr>
        <w:t xml:space="preserve">the </w:t>
      </w:r>
      <w:r w:rsidR="00B34192" w:rsidRPr="00806B36">
        <w:rPr>
          <w:rFonts w:asciiTheme="minorHAnsi" w:hAnsiTheme="minorHAnsi"/>
          <w:snapToGrid w:val="0"/>
        </w:rPr>
        <w:t>potential for use outside of the proposed restriction</w:t>
      </w:r>
      <w:r w:rsidR="005776F7" w:rsidRPr="00806B36">
        <w:rPr>
          <w:rFonts w:asciiTheme="minorHAnsi" w:hAnsiTheme="minorHAnsi"/>
          <w:snapToGrid w:val="0"/>
        </w:rPr>
        <w:t>, including</w:t>
      </w:r>
      <w:r w:rsidR="00B34192" w:rsidRPr="00806B36">
        <w:rPr>
          <w:rFonts w:asciiTheme="minorHAnsi" w:hAnsiTheme="minorHAnsi"/>
          <w:snapToGrid w:val="0"/>
        </w:rPr>
        <w:t xml:space="preserve"> in patients with mild pruritis</w:t>
      </w:r>
      <w:r w:rsidR="00FC3336" w:rsidRPr="00806B36">
        <w:rPr>
          <w:rFonts w:asciiTheme="minorHAnsi" w:hAnsiTheme="minorHAnsi"/>
          <w:snapToGrid w:val="0"/>
        </w:rPr>
        <w:t xml:space="preserve">. </w:t>
      </w:r>
    </w:p>
    <w:p w14:paraId="2C4F76B1" w14:textId="6C673B8A" w:rsidR="009770E4" w:rsidRPr="00806B36" w:rsidRDefault="009770E4" w:rsidP="00151328">
      <w:pPr>
        <w:widowControl w:val="0"/>
        <w:numPr>
          <w:ilvl w:val="1"/>
          <w:numId w:val="1"/>
        </w:numPr>
        <w:spacing w:after="120"/>
        <w:rPr>
          <w:rFonts w:asciiTheme="minorHAnsi" w:hAnsiTheme="minorHAnsi"/>
          <w:snapToGrid w:val="0"/>
        </w:rPr>
      </w:pPr>
      <w:r w:rsidRPr="00806B36">
        <w:rPr>
          <w:rFonts w:asciiTheme="minorHAnsi" w:hAnsiTheme="minorHAnsi"/>
          <w:snapToGrid w:val="0"/>
        </w:rPr>
        <w:t xml:space="preserve">The PBAC considered a resubmission for </w:t>
      </w:r>
      <w:r w:rsidR="001C4A42" w:rsidRPr="00806B36">
        <w:rPr>
          <w:rFonts w:asciiTheme="minorHAnsi" w:hAnsiTheme="minorHAnsi"/>
          <w:snapToGrid w:val="0"/>
        </w:rPr>
        <w:t>difelikefalin</w:t>
      </w:r>
      <w:r w:rsidRPr="00806B36">
        <w:rPr>
          <w:rFonts w:asciiTheme="minorHAnsi" w:hAnsiTheme="minorHAnsi"/>
          <w:snapToGrid w:val="0"/>
        </w:rPr>
        <w:t xml:space="preserve"> should address the following issues:</w:t>
      </w:r>
    </w:p>
    <w:p w14:paraId="3C586420" w14:textId="0421E07C" w:rsidR="00151328" w:rsidRPr="00806B36" w:rsidRDefault="00151328" w:rsidP="00151328">
      <w:pPr>
        <w:pStyle w:val="ListParagraph"/>
        <w:widowControl w:val="0"/>
        <w:numPr>
          <w:ilvl w:val="0"/>
          <w:numId w:val="23"/>
        </w:numPr>
        <w:rPr>
          <w:bCs/>
        </w:rPr>
      </w:pPr>
      <w:r w:rsidRPr="00806B36">
        <w:rPr>
          <w:bCs/>
        </w:rPr>
        <w:t>Present a revised restriction with initial and continuing criteria</w:t>
      </w:r>
      <w:r w:rsidR="00E006A5" w:rsidRPr="00806B36">
        <w:rPr>
          <w:bCs/>
        </w:rPr>
        <w:t xml:space="preserve"> identifying moderate to severe</w:t>
      </w:r>
      <w:r w:rsidRPr="00806B36">
        <w:rPr>
          <w:bCs/>
        </w:rPr>
        <w:t xml:space="preserve"> pruritus and response </w:t>
      </w:r>
      <w:r w:rsidR="00E006A5" w:rsidRPr="00806B36">
        <w:rPr>
          <w:bCs/>
        </w:rPr>
        <w:t xml:space="preserve">scale </w:t>
      </w:r>
      <w:r w:rsidRPr="00806B36">
        <w:rPr>
          <w:bCs/>
        </w:rPr>
        <w:t xml:space="preserve">based on the clinical trials; </w:t>
      </w:r>
    </w:p>
    <w:p w14:paraId="7F891FA4" w14:textId="6041C868" w:rsidR="009770E4" w:rsidRPr="00806B36" w:rsidRDefault="00151328" w:rsidP="00151328">
      <w:pPr>
        <w:pStyle w:val="ListParagraph"/>
        <w:widowControl w:val="0"/>
        <w:numPr>
          <w:ilvl w:val="0"/>
          <w:numId w:val="23"/>
        </w:numPr>
        <w:rPr>
          <w:bCs/>
        </w:rPr>
      </w:pPr>
      <w:r w:rsidRPr="00806B36">
        <w:rPr>
          <w:bCs/>
        </w:rPr>
        <w:t>Present a revised economic</w:t>
      </w:r>
      <w:r w:rsidR="00367FF7" w:rsidRPr="00806B36">
        <w:rPr>
          <w:bCs/>
        </w:rPr>
        <w:t xml:space="preserve"> evaluation which addresses concerns regarding optimistic inputs </w:t>
      </w:r>
      <w:r w:rsidR="008A7D10" w:rsidRPr="00806B36">
        <w:rPr>
          <w:bCs/>
        </w:rPr>
        <w:t xml:space="preserve">and additional concerns raised by ESC </w:t>
      </w:r>
      <w:r w:rsidR="00367FF7" w:rsidRPr="00806B36">
        <w:rPr>
          <w:bCs/>
        </w:rPr>
        <w:t xml:space="preserve">as outlined in </w:t>
      </w:r>
      <w:r w:rsidR="001C4A42" w:rsidRPr="00806B36">
        <w:rPr>
          <w:bCs/>
        </w:rPr>
        <w:t>paragraph</w:t>
      </w:r>
      <w:r w:rsidR="008A7D10" w:rsidRPr="00806B36">
        <w:rPr>
          <w:bCs/>
        </w:rPr>
        <w:t>s</w:t>
      </w:r>
      <w:r w:rsidR="009770E4" w:rsidRPr="00806B36">
        <w:rPr>
          <w:bCs/>
        </w:rPr>
        <w:t xml:space="preserve"> </w:t>
      </w:r>
      <w:r w:rsidR="001C4A42" w:rsidRPr="00806B36">
        <w:rPr>
          <w:bCs/>
        </w:rPr>
        <w:fldChar w:fldCharType="begin"/>
      </w:r>
      <w:r w:rsidR="001C4A42" w:rsidRPr="00806B36">
        <w:rPr>
          <w:bCs/>
        </w:rPr>
        <w:instrText xml:space="preserve"> REF _Ref130820361 \r \h </w:instrText>
      </w:r>
      <w:r w:rsidR="001C4A42" w:rsidRPr="00806B36">
        <w:rPr>
          <w:bCs/>
        </w:rPr>
      </w:r>
      <w:r w:rsidR="001C4A42" w:rsidRPr="00806B36">
        <w:rPr>
          <w:bCs/>
        </w:rPr>
        <w:fldChar w:fldCharType="separate"/>
      </w:r>
      <w:r w:rsidR="00487C7F">
        <w:rPr>
          <w:bCs/>
        </w:rPr>
        <w:t>7.8</w:t>
      </w:r>
      <w:r w:rsidR="001C4A42" w:rsidRPr="00806B36">
        <w:rPr>
          <w:bCs/>
        </w:rPr>
        <w:fldChar w:fldCharType="end"/>
      </w:r>
      <w:r w:rsidR="008A7D10" w:rsidRPr="00806B36">
        <w:rPr>
          <w:bCs/>
        </w:rPr>
        <w:t xml:space="preserve">, </w:t>
      </w:r>
      <w:r w:rsidR="008A7D10" w:rsidRPr="00806B36">
        <w:rPr>
          <w:bCs/>
        </w:rPr>
        <w:fldChar w:fldCharType="begin"/>
      </w:r>
      <w:r w:rsidR="008A7D10" w:rsidRPr="00806B36">
        <w:rPr>
          <w:bCs/>
        </w:rPr>
        <w:instrText xml:space="preserve"> REF _Ref132199085 \r \h </w:instrText>
      </w:r>
      <w:r w:rsidR="008A7D10" w:rsidRPr="00806B36">
        <w:rPr>
          <w:bCs/>
        </w:rPr>
      </w:r>
      <w:r w:rsidR="008A7D10" w:rsidRPr="00806B36">
        <w:rPr>
          <w:bCs/>
        </w:rPr>
        <w:fldChar w:fldCharType="separate"/>
      </w:r>
      <w:r w:rsidR="00487C7F">
        <w:rPr>
          <w:bCs/>
        </w:rPr>
        <w:t>7.9</w:t>
      </w:r>
      <w:r w:rsidR="008A7D10" w:rsidRPr="00806B36">
        <w:rPr>
          <w:bCs/>
        </w:rPr>
        <w:fldChar w:fldCharType="end"/>
      </w:r>
      <w:r w:rsidR="008A7D10" w:rsidRPr="00806B36">
        <w:rPr>
          <w:bCs/>
        </w:rPr>
        <w:t xml:space="preserve"> and </w:t>
      </w:r>
      <w:r w:rsidR="008A7D10" w:rsidRPr="00806B36">
        <w:rPr>
          <w:bCs/>
        </w:rPr>
        <w:fldChar w:fldCharType="begin"/>
      </w:r>
      <w:r w:rsidR="008A7D10" w:rsidRPr="00806B36">
        <w:rPr>
          <w:bCs/>
        </w:rPr>
        <w:instrText xml:space="preserve"> REF _Ref132199096 \r \h </w:instrText>
      </w:r>
      <w:r w:rsidR="008A7D10" w:rsidRPr="00806B36">
        <w:rPr>
          <w:bCs/>
        </w:rPr>
      </w:r>
      <w:r w:rsidR="008A7D10" w:rsidRPr="00806B36">
        <w:rPr>
          <w:bCs/>
        </w:rPr>
        <w:fldChar w:fldCharType="separate"/>
      </w:r>
      <w:r w:rsidR="00487C7F">
        <w:rPr>
          <w:bCs/>
        </w:rPr>
        <w:t>7.10</w:t>
      </w:r>
      <w:r w:rsidR="008A7D10" w:rsidRPr="00806B36">
        <w:rPr>
          <w:bCs/>
        </w:rPr>
        <w:fldChar w:fldCharType="end"/>
      </w:r>
      <w:r w:rsidR="001C4A42" w:rsidRPr="00806B36">
        <w:rPr>
          <w:bCs/>
        </w:rPr>
        <w:t xml:space="preserve">; </w:t>
      </w:r>
    </w:p>
    <w:p w14:paraId="1DB53979" w14:textId="2E101BB1" w:rsidR="001C4A42" w:rsidRPr="00806B36" w:rsidRDefault="00FC3336" w:rsidP="001C4A42">
      <w:pPr>
        <w:pStyle w:val="ListParagraph"/>
        <w:widowControl w:val="0"/>
        <w:numPr>
          <w:ilvl w:val="0"/>
          <w:numId w:val="23"/>
        </w:numPr>
        <w:rPr>
          <w:bCs/>
        </w:rPr>
      </w:pPr>
      <w:r w:rsidRPr="00806B36">
        <w:rPr>
          <w:bCs/>
        </w:rPr>
        <w:t xml:space="preserve">Present revised financial estimates </w:t>
      </w:r>
      <w:r w:rsidR="00367FF7" w:rsidRPr="00806B36">
        <w:rPr>
          <w:bCs/>
        </w:rPr>
        <w:t>updated with any price reduction</w:t>
      </w:r>
      <w:r w:rsidR="00946747" w:rsidRPr="00806B36">
        <w:rPr>
          <w:bCs/>
        </w:rPr>
        <w:t>; and</w:t>
      </w:r>
    </w:p>
    <w:p w14:paraId="324E9F7A" w14:textId="14B259E0" w:rsidR="00367FF7" w:rsidRPr="00806B36" w:rsidRDefault="00FC3336" w:rsidP="00367FF7">
      <w:pPr>
        <w:pStyle w:val="ListParagraph"/>
        <w:widowControl w:val="0"/>
        <w:numPr>
          <w:ilvl w:val="0"/>
          <w:numId w:val="23"/>
        </w:numPr>
      </w:pPr>
      <w:r w:rsidRPr="00806B36">
        <w:t xml:space="preserve">Present an RSA to address any residual uncertainty with </w:t>
      </w:r>
      <w:r w:rsidR="00B34192" w:rsidRPr="00806B36">
        <w:t xml:space="preserve">the potential for use outside of the proposed restriction </w:t>
      </w:r>
      <w:r w:rsidR="008A7D10" w:rsidRPr="00806B36">
        <w:t xml:space="preserve">(e.g. </w:t>
      </w:r>
      <w:r w:rsidR="00B34192" w:rsidRPr="00806B36">
        <w:t>in patients with mild pruritis</w:t>
      </w:r>
      <w:r w:rsidR="008A7D10" w:rsidRPr="00806B36">
        <w:t xml:space="preserve"> or continued use in those without an adequate response to treatment)</w:t>
      </w:r>
      <w:r w:rsidRPr="00806B36">
        <w:t xml:space="preserve">. </w:t>
      </w:r>
    </w:p>
    <w:p w14:paraId="4BA020E8" w14:textId="74C0AB19" w:rsidR="009770E4" w:rsidRPr="00806B36" w:rsidRDefault="009770E4" w:rsidP="001C4A42">
      <w:pPr>
        <w:widowControl w:val="0"/>
        <w:spacing w:after="160"/>
        <w:ind w:left="720"/>
        <w:rPr>
          <w:rFonts w:asciiTheme="minorHAnsi" w:hAnsiTheme="minorHAnsi"/>
          <w:bCs/>
          <w:snapToGrid w:val="0"/>
        </w:rPr>
      </w:pPr>
      <w:r w:rsidRPr="00806B36">
        <w:rPr>
          <w:rFonts w:asciiTheme="minorHAnsi" w:hAnsiTheme="minorHAnsi"/>
          <w:bCs/>
          <w:snapToGrid w:val="0"/>
        </w:rPr>
        <w:t>The resubmission may be lodged at any future standard due date for PBAC submissions using the standard re-entry pathway.</w:t>
      </w:r>
    </w:p>
    <w:p w14:paraId="28AAD30D" w14:textId="25EA9ACA" w:rsidR="005C1527" w:rsidRPr="00806B36" w:rsidRDefault="009770E4" w:rsidP="00086973">
      <w:pPr>
        <w:widowControl w:val="0"/>
        <w:numPr>
          <w:ilvl w:val="1"/>
          <w:numId w:val="1"/>
        </w:numPr>
        <w:spacing w:after="120"/>
        <w:rPr>
          <w:rFonts w:asciiTheme="minorHAnsi" w:hAnsiTheme="minorHAnsi"/>
          <w:bCs/>
          <w:snapToGrid w:val="0"/>
        </w:rPr>
      </w:pPr>
      <w:r w:rsidRPr="00806B36">
        <w:rPr>
          <w:rFonts w:asciiTheme="minorHAnsi" w:hAnsiTheme="minorHAnsi"/>
          <w:bCs/>
          <w:snapToGrid w:val="0"/>
        </w:rPr>
        <w:t xml:space="preserve">The PBAC noted that this submission is eligible for an Independent Review. </w:t>
      </w:r>
    </w:p>
    <w:p w14:paraId="19A95A7E" w14:textId="77777777" w:rsidR="009770E4" w:rsidRPr="00806B36" w:rsidRDefault="009770E4" w:rsidP="009770E4">
      <w:pPr>
        <w:spacing w:before="240"/>
        <w:rPr>
          <w:rFonts w:asciiTheme="minorHAnsi" w:hAnsiTheme="minorHAnsi"/>
          <w:b/>
          <w:bCs/>
          <w:snapToGrid w:val="0"/>
        </w:rPr>
      </w:pPr>
      <w:r w:rsidRPr="00806B36">
        <w:rPr>
          <w:rFonts w:asciiTheme="minorHAnsi" w:hAnsiTheme="minorHAnsi"/>
          <w:b/>
          <w:bCs/>
          <w:snapToGrid w:val="0"/>
        </w:rPr>
        <w:t>Outcome:</w:t>
      </w:r>
    </w:p>
    <w:p w14:paraId="11016214" w14:textId="3AD77691" w:rsidR="009770E4" w:rsidRPr="00806B36" w:rsidRDefault="009770E4" w:rsidP="009770E4">
      <w:pPr>
        <w:rPr>
          <w:rFonts w:asciiTheme="minorHAnsi" w:hAnsiTheme="minorHAnsi"/>
          <w:bCs/>
          <w:snapToGrid w:val="0"/>
        </w:rPr>
      </w:pPr>
      <w:r w:rsidRPr="00806B36">
        <w:rPr>
          <w:rFonts w:asciiTheme="minorHAnsi" w:hAnsiTheme="minorHAnsi"/>
          <w:bCs/>
          <w:snapToGrid w:val="0"/>
        </w:rPr>
        <w:t>Not recommended</w:t>
      </w:r>
    </w:p>
    <w:p w14:paraId="7D1C459F" w14:textId="7338C1E0" w:rsidR="009770E4" w:rsidRDefault="009770E4" w:rsidP="009770E4">
      <w:pPr>
        <w:widowControl w:val="0"/>
        <w:rPr>
          <w:rFonts w:asciiTheme="minorHAnsi" w:hAnsiTheme="minorHAnsi"/>
          <w:b/>
          <w:bCs/>
          <w:snapToGrid w:val="0"/>
        </w:rPr>
      </w:pPr>
    </w:p>
    <w:p w14:paraId="0530A432" w14:textId="187BF341" w:rsidR="00DA0BD2" w:rsidRPr="00DA0BD2" w:rsidRDefault="00DA0BD2" w:rsidP="00DA0BD2">
      <w:pPr>
        <w:pStyle w:val="COMH1numbered"/>
      </w:pPr>
      <w:r w:rsidRPr="00C07617">
        <w:t>Context for Decision</w:t>
      </w:r>
    </w:p>
    <w:p w14:paraId="3617B2E9" w14:textId="77777777" w:rsidR="00DA0BD2" w:rsidRPr="007129F2" w:rsidRDefault="00DA0BD2" w:rsidP="00E2641F">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6375695" w14:textId="65764B50" w:rsidR="00DA0BD2" w:rsidRPr="00DA0BD2" w:rsidRDefault="00DA0BD2" w:rsidP="00DA0BD2">
      <w:pPr>
        <w:pStyle w:val="COMH1numbered"/>
      </w:pPr>
      <w:r>
        <w:t>Sponsor’s Comment</w:t>
      </w:r>
    </w:p>
    <w:p w14:paraId="73C803D2" w14:textId="77777777" w:rsidR="00987ADE" w:rsidRPr="001179AC" w:rsidRDefault="00987ADE" w:rsidP="00E2641F">
      <w:pPr>
        <w:spacing w:after="120"/>
        <w:ind w:left="426" w:firstLine="294"/>
        <w:rPr>
          <w:rFonts w:asciiTheme="minorHAnsi" w:hAnsiTheme="minorHAnsi"/>
          <w:bCs/>
        </w:rPr>
      </w:pPr>
      <w:r w:rsidRPr="00C07617">
        <w:rPr>
          <w:rFonts w:asciiTheme="minorHAnsi" w:hAnsiTheme="minorHAnsi"/>
          <w:bCs/>
        </w:rPr>
        <w:t>The sponsor had no comment.</w:t>
      </w:r>
    </w:p>
    <w:bookmarkEnd w:id="79"/>
    <w:bookmarkEnd w:id="80"/>
    <w:p w14:paraId="6372B5C5" w14:textId="77777777" w:rsidR="00DA0BD2" w:rsidRPr="00806B36" w:rsidRDefault="00DA0BD2" w:rsidP="00987ADE">
      <w:pPr>
        <w:widowControl w:val="0"/>
        <w:rPr>
          <w:rFonts w:asciiTheme="minorHAnsi" w:hAnsiTheme="minorHAnsi"/>
          <w:b/>
          <w:bCs/>
          <w:snapToGrid w:val="0"/>
        </w:rPr>
      </w:pPr>
    </w:p>
    <w:sectPr w:rsidR="00DA0BD2" w:rsidRPr="00806B36" w:rsidSect="0088611A">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DDEC" w14:textId="77777777" w:rsidR="009F6BA1" w:rsidRDefault="009F6BA1" w:rsidP="00124A51">
      <w:r>
        <w:separator/>
      </w:r>
    </w:p>
    <w:p w14:paraId="3714987A" w14:textId="77777777" w:rsidR="009F6BA1" w:rsidRDefault="009F6BA1"/>
    <w:p w14:paraId="2C2A4FF8" w14:textId="77777777" w:rsidR="009F6BA1" w:rsidRDefault="009F6BA1"/>
  </w:endnote>
  <w:endnote w:type="continuationSeparator" w:id="0">
    <w:p w14:paraId="43D45AEF" w14:textId="77777777" w:rsidR="009F6BA1" w:rsidRDefault="009F6BA1" w:rsidP="00124A51">
      <w:r>
        <w:continuationSeparator/>
      </w:r>
    </w:p>
    <w:p w14:paraId="44B16AE6" w14:textId="77777777" w:rsidR="009F6BA1" w:rsidRDefault="009F6BA1"/>
    <w:p w14:paraId="655EDEDB" w14:textId="77777777" w:rsidR="009F6BA1" w:rsidRDefault="009F6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9070000" w:usb2="00000010" w:usb3="00000000" w:csb0="000A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C43C" w14:textId="77777777" w:rsidR="008537BB" w:rsidRDefault="00853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bookmarkStart w:id="86" w:name="_Hlk76375156"/>
  <w:p w14:paraId="0555A53A" w14:textId="77777777" w:rsidR="003C4315" w:rsidRPr="00F90A91" w:rsidRDefault="003C4315" w:rsidP="003C4315">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8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54E0" w14:textId="77777777" w:rsidR="008537BB" w:rsidRDefault="0085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90E6" w14:textId="77777777" w:rsidR="009F6BA1" w:rsidRDefault="009F6BA1" w:rsidP="00124A51">
      <w:r>
        <w:separator/>
      </w:r>
    </w:p>
    <w:p w14:paraId="21F6A032" w14:textId="77777777" w:rsidR="009F6BA1" w:rsidRDefault="009F6BA1"/>
    <w:p w14:paraId="0D6C7370" w14:textId="77777777" w:rsidR="009F6BA1" w:rsidRDefault="009F6BA1"/>
  </w:footnote>
  <w:footnote w:type="continuationSeparator" w:id="0">
    <w:p w14:paraId="3B8F4754" w14:textId="77777777" w:rsidR="009F6BA1" w:rsidRDefault="009F6BA1" w:rsidP="00124A51">
      <w:r>
        <w:continuationSeparator/>
      </w:r>
    </w:p>
    <w:p w14:paraId="02B03F41" w14:textId="77777777" w:rsidR="009F6BA1" w:rsidRDefault="009F6BA1"/>
    <w:p w14:paraId="3E775D02" w14:textId="77777777" w:rsidR="009F6BA1" w:rsidRDefault="009F6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3395" w14:textId="77777777" w:rsidR="008537BB" w:rsidRDefault="00853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6438" w14:textId="295EAFA6" w:rsidR="003C4315" w:rsidRPr="00056684" w:rsidRDefault="00DA0BD2" w:rsidP="003C4315">
    <w:pPr>
      <w:pStyle w:val="Header"/>
      <w:keepNext/>
      <w:ind w:left="360"/>
      <w:jc w:val="center"/>
      <w:rPr>
        <w:rFonts w:asciiTheme="minorHAnsi" w:hAnsiTheme="minorHAnsi"/>
        <w:i/>
        <w:color w:val="808080"/>
      </w:rPr>
    </w:pPr>
    <w:bookmarkStart w:id="85" w:name="_Hlk76375146"/>
    <w:r>
      <w:rPr>
        <w:rFonts w:asciiTheme="minorHAnsi" w:hAnsiTheme="minorHAnsi"/>
        <w:i/>
        <w:color w:val="808080"/>
      </w:rPr>
      <w:t>Public Summary Document</w:t>
    </w:r>
    <w:r w:rsidR="003C4315" w:rsidRPr="00056684">
      <w:rPr>
        <w:rFonts w:asciiTheme="minorHAnsi" w:hAnsiTheme="minorHAnsi"/>
        <w:i/>
        <w:color w:val="808080"/>
      </w:rPr>
      <w:t xml:space="preserve"> – </w:t>
    </w:r>
    <w:r w:rsidR="003C4315">
      <w:rPr>
        <w:rFonts w:asciiTheme="minorHAnsi" w:hAnsiTheme="minorHAnsi"/>
        <w:i/>
        <w:color w:val="808080"/>
      </w:rPr>
      <w:t>March 2023</w:t>
    </w:r>
    <w:r w:rsidR="003C4315" w:rsidRPr="00056684">
      <w:rPr>
        <w:rFonts w:asciiTheme="minorHAnsi" w:hAnsiTheme="minorHAnsi"/>
        <w:i/>
        <w:color w:val="808080"/>
      </w:rPr>
      <w:t xml:space="preserve"> PBAC Meeting</w:t>
    </w:r>
  </w:p>
  <w:bookmarkEnd w:id="85"/>
  <w:p w14:paraId="03AF943B" w14:textId="77777777" w:rsidR="00D843F2" w:rsidRPr="008C7ECB" w:rsidRDefault="00D84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2B57" w14:textId="77777777" w:rsidR="008537BB" w:rsidRDefault="008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EC6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064F9"/>
    <w:multiLevelType w:val="hybridMultilevel"/>
    <w:tmpl w:val="E72AF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583605"/>
    <w:multiLevelType w:val="hybridMultilevel"/>
    <w:tmpl w:val="446EBF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8162E"/>
    <w:multiLevelType w:val="hybridMultilevel"/>
    <w:tmpl w:val="0E285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72A6F"/>
    <w:multiLevelType w:val="hybridMultilevel"/>
    <w:tmpl w:val="F9E8E3D2"/>
    <w:lvl w:ilvl="0" w:tplc="FFFFFFFF">
      <w:start w:val="1"/>
      <w:numFmt w:val="bullet"/>
      <w:lvlText w:val=""/>
      <w:lvlJc w:val="left"/>
      <w:pPr>
        <w:ind w:left="720" w:hanging="360"/>
      </w:pPr>
      <w:rPr>
        <w:rFonts w:ascii="Symbol" w:hAnsi="Symbol" w:hint="default"/>
      </w:rPr>
    </w:lvl>
    <w:lvl w:ilvl="1" w:tplc="3B8838D6">
      <w:start w:val="49"/>
      <w:numFmt w:val="bullet"/>
      <w:lvlText w:val="-"/>
      <w:lvlJc w:val="left"/>
      <w:pPr>
        <w:ind w:left="1440" w:hanging="360"/>
      </w:pPr>
      <w:rPr>
        <w:rFonts w:ascii="Arial Narrow" w:eastAsiaTheme="majorEastAsia" w:hAnsi="Arial Narrow" w:cstheme="maj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C7749"/>
    <w:multiLevelType w:val="hybridMultilevel"/>
    <w:tmpl w:val="168415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75E16"/>
    <w:multiLevelType w:val="hybridMultilevel"/>
    <w:tmpl w:val="5A584230"/>
    <w:lvl w:ilvl="0" w:tplc="ACA238D8">
      <w:start w:val="1"/>
      <w:numFmt w:val="bullet"/>
      <w:lvlText w:val="•"/>
      <w:lvlJc w:val="left"/>
      <w:pPr>
        <w:tabs>
          <w:tab w:val="num" w:pos="720"/>
        </w:tabs>
        <w:ind w:left="720" w:hanging="360"/>
      </w:pPr>
      <w:rPr>
        <w:rFonts w:ascii="Arial" w:hAnsi="Arial" w:hint="default"/>
      </w:rPr>
    </w:lvl>
    <w:lvl w:ilvl="1" w:tplc="0254A7E2" w:tentative="1">
      <w:start w:val="1"/>
      <w:numFmt w:val="bullet"/>
      <w:lvlText w:val="•"/>
      <w:lvlJc w:val="left"/>
      <w:pPr>
        <w:tabs>
          <w:tab w:val="num" w:pos="1440"/>
        </w:tabs>
        <w:ind w:left="1440" w:hanging="360"/>
      </w:pPr>
      <w:rPr>
        <w:rFonts w:ascii="Arial" w:hAnsi="Arial" w:hint="default"/>
      </w:rPr>
    </w:lvl>
    <w:lvl w:ilvl="2" w:tplc="1304EB6E" w:tentative="1">
      <w:start w:val="1"/>
      <w:numFmt w:val="bullet"/>
      <w:lvlText w:val="•"/>
      <w:lvlJc w:val="left"/>
      <w:pPr>
        <w:tabs>
          <w:tab w:val="num" w:pos="2160"/>
        </w:tabs>
        <w:ind w:left="2160" w:hanging="360"/>
      </w:pPr>
      <w:rPr>
        <w:rFonts w:ascii="Arial" w:hAnsi="Arial" w:hint="default"/>
      </w:rPr>
    </w:lvl>
    <w:lvl w:ilvl="3" w:tplc="A02AD98A" w:tentative="1">
      <w:start w:val="1"/>
      <w:numFmt w:val="bullet"/>
      <w:lvlText w:val="•"/>
      <w:lvlJc w:val="left"/>
      <w:pPr>
        <w:tabs>
          <w:tab w:val="num" w:pos="2880"/>
        </w:tabs>
        <w:ind w:left="2880" w:hanging="360"/>
      </w:pPr>
      <w:rPr>
        <w:rFonts w:ascii="Arial" w:hAnsi="Arial" w:hint="default"/>
      </w:rPr>
    </w:lvl>
    <w:lvl w:ilvl="4" w:tplc="1C703DE2" w:tentative="1">
      <w:start w:val="1"/>
      <w:numFmt w:val="bullet"/>
      <w:lvlText w:val="•"/>
      <w:lvlJc w:val="left"/>
      <w:pPr>
        <w:tabs>
          <w:tab w:val="num" w:pos="3600"/>
        </w:tabs>
        <w:ind w:left="3600" w:hanging="360"/>
      </w:pPr>
      <w:rPr>
        <w:rFonts w:ascii="Arial" w:hAnsi="Arial" w:hint="default"/>
      </w:rPr>
    </w:lvl>
    <w:lvl w:ilvl="5" w:tplc="6CCA144C" w:tentative="1">
      <w:start w:val="1"/>
      <w:numFmt w:val="bullet"/>
      <w:lvlText w:val="•"/>
      <w:lvlJc w:val="left"/>
      <w:pPr>
        <w:tabs>
          <w:tab w:val="num" w:pos="4320"/>
        </w:tabs>
        <w:ind w:left="4320" w:hanging="360"/>
      </w:pPr>
      <w:rPr>
        <w:rFonts w:ascii="Arial" w:hAnsi="Arial" w:hint="default"/>
      </w:rPr>
    </w:lvl>
    <w:lvl w:ilvl="6" w:tplc="E6560E7C" w:tentative="1">
      <w:start w:val="1"/>
      <w:numFmt w:val="bullet"/>
      <w:lvlText w:val="•"/>
      <w:lvlJc w:val="left"/>
      <w:pPr>
        <w:tabs>
          <w:tab w:val="num" w:pos="5040"/>
        </w:tabs>
        <w:ind w:left="5040" w:hanging="360"/>
      </w:pPr>
      <w:rPr>
        <w:rFonts w:ascii="Arial" w:hAnsi="Arial" w:hint="default"/>
      </w:rPr>
    </w:lvl>
    <w:lvl w:ilvl="7" w:tplc="EE18A34E" w:tentative="1">
      <w:start w:val="1"/>
      <w:numFmt w:val="bullet"/>
      <w:lvlText w:val="•"/>
      <w:lvlJc w:val="left"/>
      <w:pPr>
        <w:tabs>
          <w:tab w:val="num" w:pos="5760"/>
        </w:tabs>
        <w:ind w:left="5760" w:hanging="360"/>
      </w:pPr>
      <w:rPr>
        <w:rFonts w:ascii="Arial" w:hAnsi="Arial" w:hint="default"/>
      </w:rPr>
    </w:lvl>
    <w:lvl w:ilvl="8" w:tplc="9182CC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921151"/>
    <w:multiLevelType w:val="hybridMultilevel"/>
    <w:tmpl w:val="E18EC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4D033C"/>
    <w:multiLevelType w:val="multilevel"/>
    <w:tmpl w:val="85AED71A"/>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num w:numId="1">
    <w:abstractNumId w:val="22"/>
  </w:num>
  <w:num w:numId="2">
    <w:abstractNumId w:val="12"/>
  </w:num>
  <w:num w:numId="3">
    <w:abstractNumId w:val="14"/>
  </w:num>
  <w:num w:numId="4">
    <w:abstractNumId w:val="0"/>
  </w:num>
  <w:num w:numId="5">
    <w:abstractNumId w:val="22"/>
  </w:num>
  <w:num w:numId="6">
    <w:abstractNumId w:val="5"/>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18"/>
  </w:num>
  <w:num w:numId="13">
    <w:abstractNumId w:val="2"/>
  </w:num>
  <w:num w:numId="14">
    <w:abstractNumId w:val="1"/>
  </w:num>
  <w:num w:numId="15">
    <w:abstractNumId w:val="8"/>
  </w:num>
  <w:num w:numId="16">
    <w:abstractNumId w:val="9"/>
  </w:num>
  <w:num w:numId="17">
    <w:abstractNumId w:val="6"/>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16"/>
  </w:num>
  <w:num w:numId="22">
    <w:abstractNumId w:val="7"/>
  </w:num>
  <w:num w:numId="23">
    <w:abstractNumId w:val="3"/>
  </w:num>
  <w:num w:numId="24">
    <w:abstractNumId w:val="14"/>
  </w:num>
  <w:num w:numId="25">
    <w:abstractNumId w:val="15"/>
  </w:num>
  <w:num w:numId="26">
    <w:abstractNumId w:val="13"/>
  </w:num>
  <w:num w:numId="27">
    <w:abstractNumId w:val="22"/>
  </w:num>
  <w:num w:numId="28">
    <w:abstractNumId w:val="22"/>
  </w:num>
  <w:num w:numId="29">
    <w:abstractNumId w:val="22"/>
  </w:num>
  <w:num w:numId="30">
    <w:abstractNumId w:val="22"/>
  </w:num>
  <w:num w:numId="31">
    <w:abstractNumId w:val="14"/>
  </w:num>
  <w:num w:numId="32">
    <w:abstractNumId w:val="22"/>
  </w:num>
  <w:num w:numId="33">
    <w:abstractNumId w:val="22"/>
  </w:num>
  <w:num w:numId="34">
    <w:abstractNumId w:val="22"/>
  </w:num>
  <w:num w:numId="3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489"/>
    <w:rsid w:val="00000790"/>
    <w:rsid w:val="00000798"/>
    <w:rsid w:val="00000A3B"/>
    <w:rsid w:val="00000F5A"/>
    <w:rsid w:val="0000110B"/>
    <w:rsid w:val="0000124C"/>
    <w:rsid w:val="00001298"/>
    <w:rsid w:val="00001310"/>
    <w:rsid w:val="00001465"/>
    <w:rsid w:val="000016A2"/>
    <w:rsid w:val="00001B1D"/>
    <w:rsid w:val="00001C05"/>
    <w:rsid w:val="00002394"/>
    <w:rsid w:val="00002687"/>
    <w:rsid w:val="000027DB"/>
    <w:rsid w:val="000032B8"/>
    <w:rsid w:val="000032DF"/>
    <w:rsid w:val="00003499"/>
    <w:rsid w:val="00003669"/>
    <w:rsid w:val="00003903"/>
    <w:rsid w:val="000039B7"/>
    <w:rsid w:val="00004235"/>
    <w:rsid w:val="0000423E"/>
    <w:rsid w:val="0000434A"/>
    <w:rsid w:val="000043B8"/>
    <w:rsid w:val="000048F1"/>
    <w:rsid w:val="00004BB5"/>
    <w:rsid w:val="00004D34"/>
    <w:rsid w:val="000055AC"/>
    <w:rsid w:val="0000567F"/>
    <w:rsid w:val="000056B9"/>
    <w:rsid w:val="00005941"/>
    <w:rsid w:val="00005DEE"/>
    <w:rsid w:val="00006271"/>
    <w:rsid w:val="0000639A"/>
    <w:rsid w:val="00006764"/>
    <w:rsid w:val="000068B4"/>
    <w:rsid w:val="00006A0B"/>
    <w:rsid w:val="00006AE4"/>
    <w:rsid w:val="00006D92"/>
    <w:rsid w:val="00007060"/>
    <w:rsid w:val="000079A0"/>
    <w:rsid w:val="00007AEC"/>
    <w:rsid w:val="00007E6E"/>
    <w:rsid w:val="00010075"/>
    <w:rsid w:val="0001017B"/>
    <w:rsid w:val="00010B02"/>
    <w:rsid w:val="00010EAB"/>
    <w:rsid w:val="000111CC"/>
    <w:rsid w:val="0001185A"/>
    <w:rsid w:val="00011D6A"/>
    <w:rsid w:val="00011EAB"/>
    <w:rsid w:val="00012574"/>
    <w:rsid w:val="00012BB6"/>
    <w:rsid w:val="00012D72"/>
    <w:rsid w:val="0001300A"/>
    <w:rsid w:val="00013247"/>
    <w:rsid w:val="00013459"/>
    <w:rsid w:val="00013700"/>
    <w:rsid w:val="000139AD"/>
    <w:rsid w:val="00013F29"/>
    <w:rsid w:val="0001404B"/>
    <w:rsid w:val="00014065"/>
    <w:rsid w:val="000140B5"/>
    <w:rsid w:val="000146BF"/>
    <w:rsid w:val="00014BBD"/>
    <w:rsid w:val="00014C52"/>
    <w:rsid w:val="000154E3"/>
    <w:rsid w:val="00015672"/>
    <w:rsid w:val="00015886"/>
    <w:rsid w:val="000158D1"/>
    <w:rsid w:val="000162EF"/>
    <w:rsid w:val="000162F6"/>
    <w:rsid w:val="00016BD4"/>
    <w:rsid w:val="00016F3F"/>
    <w:rsid w:val="0001727A"/>
    <w:rsid w:val="0001765A"/>
    <w:rsid w:val="000179F8"/>
    <w:rsid w:val="00017D05"/>
    <w:rsid w:val="00017FAD"/>
    <w:rsid w:val="000202D5"/>
    <w:rsid w:val="00020526"/>
    <w:rsid w:val="00020551"/>
    <w:rsid w:val="000205F7"/>
    <w:rsid w:val="0002073E"/>
    <w:rsid w:val="000207C9"/>
    <w:rsid w:val="000210E6"/>
    <w:rsid w:val="000215D4"/>
    <w:rsid w:val="000219B0"/>
    <w:rsid w:val="0002225F"/>
    <w:rsid w:val="000226C6"/>
    <w:rsid w:val="00022898"/>
    <w:rsid w:val="0002305B"/>
    <w:rsid w:val="00023273"/>
    <w:rsid w:val="00023763"/>
    <w:rsid w:val="00023780"/>
    <w:rsid w:val="00023AB6"/>
    <w:rsid w:val="00023C7C"/>
    <w:rsid w:val="00023CDC"/>
    <w:rsid w:val="00023DA5"/>
    <w:rsid w:val="00024464"/>
    <w:rsid w:val="000246E6"/>
    <w:rsid w:val="00024999"/>
    <w:rsid w:val="00024D9C"/>
    <w:rsid w:val="00024E87"/>
    <w:rsid w:val="00024EB5"/>
    <w:rsid w:val="00025722"/>
    <w:rsid w:val="00025C72"/>
    <w:rsid w:val="00025DDD"/>
    <w:rsid w:val="000263B2"/>
    <w:rsid w:val="00026582"/>
    <w:rsid w:val="00026748"/>
    <w:rsid w:val="00026D1D"/>
    <w:rsid w:val="00027064"/>
    <w:rsid w:val="00027178"/>
    <w:rsid w:val="000273A6"/>
    <w:rsid w:val="00027488"/>
    <w:rsid w:val="000274B8"/>
    <w:rsid w:val="0002757D"/>
    <w:rsid w:val="00027E99"/>
    <w:rsid w:val="000303FF"/>
    <w:rsid w:val="0003051C"/>
    <w:rsid w:val="00030699"/>
    <w:rsid w:val="00030CC9"/>
    <w:rsid w:val="00031F20"/>
    <w:rsid w:val="0003203B"/>
    <w:rsid w:val="00032102"/>
    <w:rsid w:val="000327FC"/>
    <w:rsid w:val="00032BA9"/>
    <w:rsid w:val="00032D1F"/>
    <w:rsid w:val="00032FEC"/>
    <w:rsid w:val="000331BF"/>
    <w:rsid w:val="00033427"/>
    <w:rsid w:val="00033863"/>
    <w:rsid w:val="00033911"/>
    <w:rsid w:val="00033DF0"/>
    <w:rsid w:val="000340C1"/>
    <w:rsid w:val="000340C6"/>
    <w:rsid w:val="000340F9"/>
    <w:rsid w:val="0003432D"/>
    <w:rsid w:val="00034403"/>
    <w:rsid w:val="00034537"/>
    <w:rsid w:val="00034D6B"/>
    <w:rsid w:val="00034E77"/>
    <w:rsid w:val="0003536A"/>
    <w:rsid w:val="0003567D"/>
    <w:rsid w:val="00035694"/>
    <w:rsid w:val="000356DD"/>
    <w:rsid w:val="0003590F"/>
    <w:rsid w:val="00035A33"/>
    <w:rsid w:val="00035DC0"/>
    <w:rsid w:val="00035E59"/>
    <w:rsid w:val="00035F65"/>
    <w:rsid w:val="00036135"/>
    <w:rsid w:val="00036829"/>
    <w:rsid w:val="00036F61"/>
    <w:rsid w:val="00037120"/>
    <w:rsid w:val="000373BF"/>
    <w:rsid w:val="00037505"/>
    <w:rsid w:val="0003772B"/>
    <w:rsid w:val="000377AA"/>
    <w:rsid w:val="00037D2C"/>
    <w:rsid w:val="00037EC0"/>
    <w:rsid w:val="00037F8E"/>
    <w:rsid w:val="00040114"/>
    <w:rsid w:val="000403A4"/>
    <w:rsid w:val="0004069E"/>
    <w:rsid w:val="000406AF"/>
    <w:rsid w:val="000406C2"/>
    <w:rsid w:val="00040895"/>
    <w:rsid w:val="000408B7"/>
    <w:rsid w:val="000408BE"/>
    <w:rsid w:val="00040CD4"/>
    <w:rsid w:val="00040D09"/>
    <w:rsid w:val="000410A0"/>
    <w:rsid w:val="000410D4"/>
    <w:rsid w:val="000416AD"/>
    <w:rsid w:val="00041BC8"/>
    <w:rsid w:val="00041DE0"/>
    <w:rsid w:val="00041E57"/>
    <w:rsid w:val="00042353"/>
    <w:rsid w:val="000425FD"/>
    <w:rsid w:val="0004279E"/>
    <w:rsid w:val="00042EB5"/>
    <w:rsid w:val="00043101"/>
    <w:rsid w:val="00043541"/>
    <w:rsid w:val="000435EE"/>
    <w:rsid w:val="00043A41"/>
    <w:rsid w:val="00043C0F"/>
    <w:rsid w:val="00043C37"/>
    <w:rsid w:val="00043EDE"/>
    <w:rsid w:val="000441A0"/>
    <w:rsid w:val="00044383"/>
    <w:rsid w:val="00044673"/>
    <w:rsid w:val="000446E6"/>
    <w:rsid w:val="00044D3E"/>
    <w:rsid w:val="00045017"/>
    <w:rsid w:val="000450AD"/>
    <w:rsid w:val="0004538A"/>
    <w:rsid w:val="000453D8"/>
    <w:rsid w:val="00045A2B"/>
    <w:rsid w:val="00045A82"/>
    <w:rsid w:val="00045B29"/>
    <w:rsid w:val="00045BA9"/>
    <w:rsid w:val="00045CB5"/>
    <w:rsid w:val="00045E98"/>
    <w:rsid w:val="00045F0A"/>
    <w:rsid w:val="0004660A"/>
    <w:rsid w:val="00046839"/>
    <w:rsid w:val="0004698F"/>
    <w:rsid w:val="000469BE"/>
    <w:rsid w:val="00046D64"/>
    <w:rsid w:val="000472F4"/>
    <w:rsid w:val="0004754E"/>
    <w:rsid w:val="00047554"/>
    <w:rsid w:val="00047605"/>
    <w:rsid w:val="0004782C"/>
    <w:rsid w:val="000479BE"/>
    <w:rsid w:val="00047D40"/>
    <w:rsid w:val="00050147"/>
    <w:rsid w:val="00050353"/>
    <w:rsid w:val="000508C2"/>
    <w:rsid w:val="00050FA6"/>
    <w:rsid w:val="00051BB0"/>
    <w:rsid w:val="00051D87"/>
    <w:rsid w:val="00051D98"/>
    <w:rsid w:val="000520F2"/>
    <w:rsid w:val="000521C7"/>
    <w:rsid w:val="0005248A"/>
    <w:rsid w:val="00053044"/>
    <w:rsid w:val="00053491"/>
    <w:rsid w:val="00053722"/>
    <w:rsid w:val="0005383F"/>
    <w:rsid w:val="000539D0"/>
    <w:rsid w:val="00054621"/>
    <w:rsid w:val="00054656"/>
    <w:rsid w:val="000546D7"/>
    <w:rsid w:val="000547D4"/>
    <w:rsid w:val="00054A8D"/>
    <w:rsid w:val="00054D63"/>
    <w:rsid w:val="000550A2"/>
    <w:rsid w:val="00055257"/>
    <w:rsid w:val="00055DCC"/>
    <w:rsid w:val="00055EF1"/>
    <w:rsid w:val="00055F42"/>
    <w:rsid w:val="0005600B"/>
    <w:rsid w:val="000567DC"/>
    <w:rsid w:val="00056ECF"/>
    <w:rsid w:val="00057504"/>
    <w:rsid w:val="000576F6"/>
    <w:rsid w:val="000579DA"/>
    <w:rsid w:val="00057D9A"/>
    <w:rsid w:val="00057EC9"/>
    <w:rsid w:val="000604DF"/>
    <w:rsid w:val="000606CD"/>
    <w:rsid w:val="0006074A"/>
    <w:rsid w:val="00060BC0"/>
    <w:rsid w:val="00061016"/>
    <w:rsid w:val="000613C7"/>
    <w:rsid w:val="00061478"/>
    <w:rsid w:val="00061FFD"/>
    <w:rsid w:val="0006204B"/>
    <w:rsid w:val="0006207C"/>
    <w:rsid w:val="00062324"/>
    <w:rsid w:val="00062434"/>
    <w:rsid w:val="00062C2E"/>
    <w:rsid w:val="00062E15"/>
    <w:rsid w:val="00062EC2"/>
    <w:rsid w:val="00062EEF"/>
    <w:rsid w:val="00062F0A"/>
    <w:rsid w:val="00062F50"/>
    <w:rsid w:val="000639E3"/>
    <w:rsid w:val="00064307"/>
    <w:rsid w:val="000643DC"/>
    <w:rsid w:val="00064B85"/>
    <w:rsid w:val="00064E46"/>
    <w:rsid w:val="000650B7"/>
    <w:rsid w:val="000652DD"/>
    <w:rsid w:val="000653B5"/>
    <w:rsid w:val="00065A77"/>
    <w:rsid w:val="00065D65"/>
    <w:rsid w:val="00066357"/>
    <w:rsid w:val="00066360"/>
    <w:rsid w:val="0006657E"/>
    <w:rsid w:val="00066AF8"/>
    <w:rsid w:val="00066B4A"/>
    <w:rsid w:val="00066F30"/>
    <w:rsid w:val="000670FC"/>
    <w:rsid w:val="00067166"/>
    <w:rsid w:val="00067673"/>
    <w:rsid w:val="0006769F"/>
    <w:rsid w:val="000677A4"/>
    <w:rsid w:val="00067928"/>
    <w:rsid w:val="00067B13"/>
    <w:rsid w:val="00067DD7"/>
    <w:rsid w:val="00067F3A"/>
    <w:rsid w:val="00070F57"/>
    <w:rsid w:val="00071114"/>
    <w:rsid w:val="00071248"/>
    <w:rsid w:val="000713D1"/>
    <w:rsid w:val="000717EC"/>
    <w:rsid w:val="000720B9"/>
    <w:rsid w:val="0007242F"/>
    <w:rsid w:val="000727F5"/>
    <w:rsid w:val="00072A6E"/>
    <w:rsid w:val="000737F5"/>
    <w:rsid w:val="000737F7"/>
    <w:rsid w:val="00073AEE"/>
    <w:rsid w:val="00073D09"/>
    <w:rsid w:val="00073EAF"/>
    <w:rsid w:val="00074029"/>
    <w:rsid w:val="000742D8"/>
    <w:rsid w:val="00074A69"/>
    <w:rsid w:val="00074CFE"/>
    <w:rsid w:val="00074E22"/>
    <w:rsid w:val="00074EB2"/>
    <w:rsid w:val="00074FCE"/>
    <w:rsid w:val="00075C8F"/>
    <w:rsid w:val="000760CA"/>
    <w:rsid w:val="00076183"/>
    <w:rsid w:val="0007618E"/>
    <w:rsid w:val="0007628B"/>
    <w:rsid w:val="000764F6"/>
    <w:rsid w:val="0007672F"/>
    <w:rsid w:val="00076887"/>
    <w:rsid w:val="0007693B"/>
    <w:rsid w:val="00076B4F"/>
    <w:rsid w:val="00076B54"/>
    <w:rsid w:val="000774F0"/>
    <w:rsid w:val="0007784E"/>
    <w:rsid w:val="00077F07"/>
    <w:rsid w:val="00080038"/>
    <w:rsid w:val="00080048"/>
    <w:rsid w:val="000806E9"/>
    <w:rsid w:val="00080909"/>
    <w:rsid w:val="00080A0E"/>
    <w:rsid w:val="00080EF5"/>
    <w:rsid w:val="000812CA"/>
    <w:rsid w:val="00081E63"/>
    <w:rsid w:val="0008258D"/>
    <w:rsid w:val="00082838"/>
    <w:rsid w:val="00082ED7"/>
    <w:rsid w:val="00083E99"/>
    <w:rsid w:val="00084019"/>
    <w:rsid w:val="00084419"/>
    <w:rsid w:val="000844D8"/>
    <w:rsid w:val="00084596"/>
    <w:rsid w:val="0008463C"/>
    <w:rsid w:val="00084B2E"/>
    <w:rsid w:val="00084BDA"/>
    <w:rsid w:val="00084C4B"/>
    <w:rsid w:val="00084C5A"/>
    <w:rsid w:val="00084D20"/>
    <w:rsid w:val="00084D37"/>
    <w:rsid w:val="00084DA8"/>
    <w:rsid w:val="00084FA8"/>
    <w:rsid w:val="000851AE"/>
    <w:rsid w:val="0008535B"/>
    <w:rsid w:val="00085440"/>
    <w:rsid w:val="000856C5"/>
    <w:rsid w:val="000859A8"/>
    <w:rsid w:val="00085C0C"/>
    <w:rsid w:val="00085C31"/>
    <w:rsid w:val="00085C7C"/>
    <w:rsid w:val="00085DEF"/>
    <w:rsid w:val="00086413"/>
    <w:rsid w:val="000865FE"/>
    <w:rsid w:val="00086970"/>
    <w:rsid w:val="00086973"/>
    <w:rsid w:val="00086AE2"/>
    <w:rsid w:val="00086AF0"/>
    <w:rsid w:val="00086B47"/>
    <w:rsid w:val="00086E37"/>
    <w:rsid w:val="00086E88"/>
    <w:rsid w:val="00087495"/>
    <w:rsid w:val="00087551"/>
    <w:rsid w:val="00087DB8"/>
    <w:rsid w:val="000902D9"/>
    <w:rsid w:val="00090B83"/>
    <w:rsid w:val="00090C7E"/>
    <w:rsid w:val="00090ED5"/>
    <w:rsid w:val="00091055"/>
    <w:rsid w:val="000911AC"/>
    <w:rsid w:val="00091844"/>
    <w:rsid w:val="00091BD1"/>
    <w:rsid w:val="00091DCE"/>
    <w:rsid w:val="00091FCD"/>
    <w:rsid w:val="00091FFF"/>
    <w:rsid w:val="00092097"/>
    <w:rsid w:val="00092600"/>
    <w:rsid w:val="0009262B"/>
    <w:rsid w:val="00092654"/>
    <w:rsid w:val="00092916"/>
    <w:rsid w:val="00092AE0"/>
    <w:rsid w:val="00092D8D"/>
    <w:rsid w:val="0009302B"/>
    <w:rsid w:val="00093310"/>
    <w:rsid w:val="00093A79"/>
    <w:rsid w:val="00093BAA"/>
    <w:rsid w:val="000943AB"/>
    <w:rsid w:val="0009445C"/>
    <w:rsid w:val="00094BF8"/>
    <w:rsid w:val="00095200"/>
    <w:rsid w:val="00095618"/>
    <w:rsid w:val="000956B2"/>
    <w:rsid w:val="00095866"/>
    <w:rsid w:val="00095950"/>
    <w:rsid w:val="00095C14"/>
    <w:rsid w:val="00095FE5"/>
    <w:rsid w:val="00096219"/>
    <w:rsid w:val="00096284"/>
    <w:rsid w:val="00096504"/>
    <w:rsid w:val="0009653D"/>
    <w:rsid w:val="00096AE6"/>
    <w:rsid w:val="00096BC8"/>
    <w:rsid w:val="00096F0C"/>
    <w:rsid w:val="000976D9"/>
    <w:rsid w:val="00097AE6"/>
    <w:rsid w:val="00097CA4"/>
    <w:rsid w:val="00097D6C"/>
    <w:rsid w:val="00097DAA"/>
    <w:rsid w:val="00097E4D"/>
    <w:rsid w:val="000A02FE"/>
    <w:rsid w:val="000A11F6"/>
    <w:rsid w:val="000A1A01"/>
    <w:rsid w:val="000A1BC0"/>
    <w:rsid w:val="000A1D36"/>
    <w:rsid w:val="000A1D61"/>
    <w:rsid w:val="000A227D"/>
    <w:rsid w:val="000A2C6A"/>
    <w:rsid w:val="000A2EA5"/>
    <w:rsid w:val="000A2F9E"/>
    <w:rsid w:val="000A3156"/>
    <w:rsid w:val="000A3652"/>
    <w:rsid w:val="000A3AC5"/>
    <w:rsid w:val="000A3E47"/>
    <w:rsid w:val="000A3E86"/>
    <w:rsid w:val="000A3EF7"/>
    <w:rsid w:val="000A418A"/>
    <w:rsid w:val="000A4FF8"/>
    <w:rsid w:val="000A522B"/>
    <w:rsid w:val="000A5543"/>
    <w:rsid w:val="000A5644"/>
    <w:rsid w:val="000A56BF"/>
    <w:rsid w:val="000A5D99"/>
    <w:rsid w:val="000A5E33"/>
    <w:rsid w:val="000A6039"/>
    <w:rsid w:val="000A651D"/>
    <w:rsid w:val="000A654E"/>
    <w:rsid w:val="000A6577"/>
    <w:rsid w:val="000A6C9A"/>
    <w:rsid w:val="000A7388"/>
    <w:rsid w:val="000A7453"/>
    <w:rsid w:val="000A745D"/>
    <w:rsid w:val="000A76D7"/>
    <w:rsid w:val="000A7A36"/>
    <w:rsid w:val="000A7D08"/>
    <w:rsid w:val="000A7D56"/>
    <w:rsid w:val="000B000C"/>
    <w:rsid w:val="000B00F5"/>
    <w:rsid w:val="000B0121"/>
    <w:rsid w:val="000B0670"/>
    <w:rsid w:val="000B0E75"/>
    <w:rsid w:val="000B0F10"/>
    <w:rsid w:val="000B1957"/>
    <w:rsid w:val="000B1CCB"/>
    <w:rsid w:val="000B2417"/>
    <w:rsid w:val="000B262C"/>
    <w:rsid w:val="000B263E"/>
    <w:rsid w:val="000B2DCB"/>
    <w:rsid w:val="000B2DF5"/>
    <w:rsid w:val="000B32CB"/>
    <w:rsid w:val="000B3AB6"/>
    <w:rsid w:val="000B3BE8"/>
    <w:rsid w:val="000B3D0F"/>
    <w:rsid w:val="000B43D7"/>
    <w:rsid w:val="000B4732"/>
    <w:rsid w:val="000B47FD"/>
    <w:rsid w:val="000B4E59"/>
    <w:rsid w:val="000B5403"/>
    <w:rsid w:val="000B59AD"/>
    <w:rsid w:val="000B5A06"/>
    <w:rsid w:val="000B5CE0"/>
    <w:rsid w:val="000B5F93"/>
    <w:rsid w:val="000B6825"/>
    <w:rsid w:val="000B6903"/>
    <w:rsid w:val="000B6CAC"/>
    <w:rsid w:val="000B6DC5"/>
    <w:rsid w:val="000B6EFD"/>
    <w:rsid w:val="000B7155"/>
    <w:rsid w:val="000B74C6"/>
    <w:rsid w:val="000B7612"/>
    <w:rsid w:val="000B76CF"/>
    <w:rsid w:val="000B78AE"/>
    <w:rsid w:val="000C0B30"/>
    <w:rsid w:val="000C0CFC"/>
    <w:rsid w:val="000C1947"/>
    <w:rsid w:val="000C1CCE"/>
    <w:rsid w:val="000C1DFB"/>
    <w:rsid w:val="000C1EC3"/>
    <w:rsid w:val="000C22E7"/>
    <w:rsid w:val="000C23FA"/>
    <w:rsid w:val="000C26C7"/>
    <w:rsid w:val="000C2A1D"/>
    <w:rsid w:val="000C2C9E"/>
    <w:rsid w:val="000C2CF8"/>
    <w:rsid w:val="000C305E"/>
    <w:rsid w:val="000C38FC"/>
    <w:rsid w:val="000C397A"/>
    <w:rsid w:val="000C3C01"/>
    <w:rsid w:val="000C3DF9"/>
    <w:rsid w:val="000C3F29"/>
    <w:rsid w:val="000C419D"/>
    <w:rsid w:val="000C4AF8"/>
    <w:rsid w:val="000C4CF2"/>
    <w:rsid w:val="000C4D68"/>
    <w:rsid w:val="000C4D8E"/>
    <w:rsid w:val="000C570E"/>
    <w:rsid w:val="000C5839"/>
    <w:rsid w:val="000C5848"/>
    <w:rsid w:val="000C595F"/>
    <w:rsid w:val="000C5A8E"/>
    <w:rsid w:val="000C5D7E"/>
    <w:rsid w:val="000C5E35"/>
    <w:rsid w:val="000C6279"/>
    <w:rsid w:val="000C652F"/>
    <w:rsid w:val="000C6594"/>
    <w:rsid w:val="000C6713"/>
    <w:rsid w:val="000C685E"/>
    <w:rsid w:val="000C6BAD"/>
    <w:rsid w:val="000C756D"/>
    <w:rsid w:val="000C75D3"/>
    <w:rsid w:val="000C76C4"/>
    <w:rsid w:val="000C7715"/>
    <w:rsid w:val="000C782C"/>
    <w:rsid w:val="000C78A9"/>
    <w:rsid w:val="000C7D04"/>
    <w:rsid w:val="000D0036"/>
    <w:rsid w:val="000D0140"/>
    <w:rsid w:val="000D02BA"/>
    <w:rsid w:val="000D12D3"/>
    <w:rsid w:val="000D13B7"/>
    <w:rsid w:val="000D1BFC"/>
    <w:rsid w:val="000D1D5D"/>
    <w:rsid w:val="000D2168"/>
    <w:rsid w:val="000D2184"/>
    <w:rsid w:val="000D21B4"/>
    <w:rsid w:val="000D2537"/>
    <w:rsid w:val="000D281A"/>
    <w:rsid w:val="000D2848"/>
    <w:rsid w:val="000D326A"/>
    <w:rsid w:val="000D3ABF"/>
    <w:rsid w:val="000D3BFE"/>
    <w:rsid w:val="000D3C6C"/>
    <w:rsid w:val="000D3D00"/>
    <w:rsid w:val="000D4746"/>
    <w:rsid w:val="000D48DB"/>
    <w:rsid w:val="000D51FB"/>
    <w:rsid w:val="000D5437"/>
    <w:rsid w:val="000D6130"/>
    <w:rsid w:val="000D6AC3"/>
    <w:rsid w:val="000D762C"/>
    <w:rsid w:val="000D7BF3"/>
    <w:rsid w:val="000E0640"/>
    <w:rsid w:val="000E06A9"/>
    <w:rsid w:val="000E0790"/>
    <w:rsid w:val="000E132F"/>
    <w:rsid w:val="000E135D"/>
    <w:rsid w:val="000E1C1C"/>
    <w:rsid w:val="000E1C77"/>
    <w:rsid w:val="000E1F23"/>
    <w:rsid w:val="000E1FB2"/>
    <w:rsid w:val="000E21F4"/>
    <w:rsid w:val="000E260C"/>
    <w:rsid w:val="000E2874"/>
    <w:rsid w:val="000E345A"/>
    <w:rsid w:val="000E3790"/>
    <w:rsid w:val="000E4443"/>
    <w:rsid w:val="000E4662"/>
    <w:rsid w:val="000E477D"/>
    <w:rsid w:val="000E52E1"/>
    <w:rsid w:val="000E5561"/>
    <w:rsid w:val="000E56FF"/>
    <w:rsid w:val="000E5914"/>
    <w:rsid w:val="000E5DA7"/>
    <w:rsid w:val="000E5E90"/>
    <w:rsid w:val="000E6057"/>
    <w:rsid w:val="000E61A2"/>
    <w:rsid w:val="000E666F"/>
    <w:rsid w:val="000E6A4D"/>
    <w:rsid w:val="000E6C56"/>
    <w:rsid w:val="000E7028"/>
    <w:rsid w:val="000E70E5"/>
    <w:rsid w:val="000E7513"/>
    <w:rsid w:val="000E7E07"/>
    <w:rsid w:val="000E7F5D"/>
    <w:rsid w:val="000F00BA"/>
    <w:rsid w:val="000F0507"/>
    <w:rsid w:val="000F08EA"/>
    <w:rsid w:val="000F0CE0"/>
    <w:rsid w:val="000F0E3F"/>
    <w:rsid w:val="000F0F32"/>
    <w:rsid w:val="000F12F6"/>
    <w:rsid w:val="000F187D"/>
    <w:rsid w:val="000F1ACB"/>
    <w:rsid w:val="000F1BE7"/>
    <w:rsid w:val="000F1E17"/>
    <w:rsid w:val="000F1E4C"/>
    <w:rsid w:val="000F277B"/>
    <w:rsid w:val="000F28FF"/>
    <w:rsid w:val="000F2C79"/>
    <w:rsid w:val="000F2E55"/>
    <w:rsid w:val="000F30F4"/>
    <w:rsid w:val="000F316A"/>
    <w:rsid w:val="000F32C5"/>
    <w:rsid w:val="000F3C74"/>
    <w:rsid w:val="000F4BB8"/>
    <w:rsid w:val="000F4FA9"/>
    <w:rsid w:val="000F4FB8"/>
    <w:rsid w:val="000F5157"/>
    <w:rsid w:val="000F52A1"/>
    <w:rsid w:val="000F53FB"/>
    <w:rsid w:val="000F5465"/>
    <w:rsid w:val="000F601B"/>
    <w:rsid w:val="000F64E3"/>
    <w:rsid w:val="000F68EC"/>
    <w:rsid w:val="000F6E67"/>
    <w:rsid w:val="000F7127"/>
    <w:rsid w:val="000F7379"/>
    <w:rsid w:val="000F73E0"/>
    <w:rsid w:val="000F795A"/>
    <w:rsid w:val="000F7B54"/>
    <w:rsid w:val="001000B3"/>
    <w:rsid w:val="001003FC"/>
    <w:rsid w:val="001006F0"/>
    <w:rsid w:val="001009C6"/>
    <w:rsid w:val="00100BC3"/>
    <w:rsid w:val="00100F8A"/>
    <w:rsid w:val="00101CC1"/>
    <w:rsid w:val="00101EE8"/>
    <w:rsid w:val="001024A1"/>
    <w:rsid w:val="001024D6"/>
    <w:rsid w:val="0010262A"/>
    <w:rsid w:val="00102826"/>
    <w:rsid w:val="00102847"/>
    <w:rsid w:val="00102A06"/>
    <w:rsid w:val="00102B8F"/>
    <w:rsid w:val="00103033"/>
    <w:rsid w:val="00103D01"/>
    <w:rsid w:val="00103D0C"/>
    <w:rsid w:val="00103F6D"/>
    <w:rsid w:val="00104341"/>
    <w:rsid w:val="0010452E"/>
    <w:rsid w:val="00104915"/>
    <w:rsid w:val="001049BA"/>
    <w:rsid w:val="00104C13"/>
    <w:rsid w:val="00105512"/>
    <w:rsid w:val="00105AE2"/>
    <w:rsid w:val="00105DC2"/>
    <w:rsid w:val="00105FE0"/>
    <w:rsid w:val="001060C6"/>
    <w:rsid w:val="00106164"/>
    <w:rsid w:val="00106311"/>
    <w:rsid w:val="0010697B"/>
    <w:rsid w:val="001069BD"/>
    <w:rsid w:val="00106B80"/>
    <w:rsid w:val="00106D1F"/>
    <w:rsid w:val="00106F33"/>
    <w:rsid w:val="00107421"/>
    <w:rsid w:val="001075F0"/>
    <w:rsid w:val="00107AF1"/>
    <w:rsid w:val="0011032E"/>
    <w:rsid w:val="001103DA"/>
    <w:rsid w:val="0011081A"/>
    <w:rsid w:val="00110A42"/>
    <w:rsid w:val="00110FB8"/>
    <w:rsid w:val="001110E0"/>
    <w:rsid w:val="001113A4"/>
    <w:rsid w:val="001116AC"/>
    <w:rsid w:val="00111C34"/>
    <w:rsid w:val="00111D14"/>
    <w:rsid w:val="0011246B"/>
    <w:rsid w:val="00112604"/>
    <w:rsid w:val="00112686"/>
    <w:rsid w:val="001127D4"/>
    <w:rsid w:val="00112808"/>
    <w:rsid w:val="0011280C"/>
    <w:rsid w:val="00112DCD"/>
    <w:rsid w:val="0011348B"/>
    <w:rsid w:val="001135B8"/>
    <w:rsid w:val="00113B7F"/>
    <w:rsid w:val="00113C0C"/>
    <w:rsid w:val="00113DF1"/>
    <w:rsid w:val="00113E90"/>
    <w:rsid w:val="001140FF"/>
    <w:rsid w:val="0011433B"/>
    <w:rsid w:val="0011476F"/>
    <w:rsid w:val="00114A9B"/>
    <w:rsid w:val="00114DE4"/>
    <w:rsid w:val="00114E03"/>
    <w:rsid w:val="00114E9A"/>
    <w:rsid w:val="00115029"/>
    <w:rsid w:val="0011539F"/>
    <w:rsid w:val="001156B6"/>
    <w:rsid w:val="0011571F"/>
    <w:rsid w:val="0011592D"/>
    <w:rsid w:val="00115982"/>
    <w:rsid w:val="001159E5"/>
    <w:rsid w:val="001159F9"/>
    <w:rsid w:val="0011610D"/>
    <w:rsid w:val="0011629A"/>
    <w:rsid w:val="00116458"/>
    <w:rsid w:val="00116935"/>
    <w:rsid w:val="00116A2A"/>
    <w:rsid w:val="00116C53"/>
    <w:rsid w:val="00116D90"/>
    <w:rsid w:val="001175FF"/>
    <w:rsid w:val="00117CB4"/>
    <w:rsid w:val="00120180"/>
    <w:rsid w:val="00120659"/>
    <w:rsid w:val="0012098E"/>
    <w:rsid w:val="0012163B"/>
    <w:rsid w:val="001216C8"/>
    <w:rsid w:val="00121799"/>
    <w:rsid w:val="00121907"/>
    <w:rsid w:val="00121DD0"/>
    <w:rsid w:val="00121F1F"/>
    <w:rsid w:val="001222FC"/>
    <w:rsid w:val="001224DA"/>
    <w:rsid w:val="00122CED"/>
    <w:rsid w:val="00122D1B"/>
    <w:rsid w:val="00123498"/>
    <w:rsid w:val="00123902"/>
    <w:rsid w:val="00124A51"/>
    <w:rsid w:val="00124A55"/>
    <w:rsid w:val="00124AB0"/>
    <w:rsid w:val="00124AD8"/>
    <w:rsid w:val="00124BF0"/>
    <w:rsid w:val="00124CDD"/>
    <w:rsid w:val="001255CD"/>
    <w:rsid w:val="0012580F"/>
    <w:rsid w:val="001259B6"/>
    <w:rsid w:val="00125B5E"/>
    <w:rsid w:val="00125BB7"/>
    <w:rsid w:val="00126621"/>
    <w:rsid w:val="001268EC"/>
    <w:rsid w:val="00126A3C"/>
    <w:rsid w:val="00126B1D"/>
    <w:rsid w:val="00126E72"/>
    <w:rsid w:val="00126F47"/>
    <w:rsid w:val="00127524"/>
    <w:rsid w:val="00127CCF"/>
    <w:rsid w:val="00127E67"/>
    <w:rsid w:val="00127EE1"/>
    <w:rsid w:val="00127EF3"/>
    <w:rsid w:val="00127F48"/>
    <w:rsid w:val="001301E9"/>
    <w:rsid w:val="0013073E"/>
    <w:rsid w:val="0013080A"/>
    <w:rsid w:val="00130A60"/>
    <w:rsid w:val="00131348"/>
    <w:rsid w:val="00131516"/>
    <w:rsid w:val="0013167D"/>
    <w:rsid w:val="00131B7E"/>
    <w:rsid w:val="00131D82"/>
    <w:rsid w:val="00131F91"/>
    <w:rsid w:val="00131FD9"/>
    <w:rsid w:val="00132468"/>
    <w:rsid w:val="00132521"/>
    <w:rsid w:val="00132547"/>
    <w:rsid w:val="00132663"/>
    <w:rsid w:val="001326AB"/>
    <w:rsid w:val="00132722"/>
    <w:rsid w:val="00132762"/>
    <w:rsid w:val="001329BE"/>
    <w:rsid w:val="00132AD0"/>
    <w:rsid w:val="00132B22"/>
    <w:rsid w:val="00132DA4"/>
    <w:rsid w:val="001339FD"/>
    <w:rsid w:val="00133CA8"/>
    <w:rsid w:val="00133D36"/>
    <w:rsid w:val="00133FFD"/>
    <w:rsid w:val="001346DB"/>
    <w:rsid w:val="00134757"/>
    <w:rsid w:val="001353CF"/>
    <w:rsid w:val="00135CAC"/>
    <w:rsid w:val="00135F6A"/>
    <w:rsid w:val="001362D3"/>
    <w:rsid w:val="00136744"/>
    <w:rsid w:val="00136753"/>
    <w:rsid w:val="001368A0"/>
    <w:rsid w:val="00136B55"/>
    <w:rsid w:val="00136B64"/>
    <w:rsid w:val="00136E73"/>
    <w:rsid w:val="0013761B"/>
    <w:rsid w:val="00137645"/>
    <w:rsid w:val="00137AE3"/>
    <w:rsid w:val="00137D00"/>
    <w:rsid w:val="0014015A"/>
    <w:rsid w:val="001405D7"/>
    <w:rsid w:val="001406C8"/>
    <w:rsid w:val="00140E99"/>
    <w:rsid w:val="00141061"/>
    <w:rsid w:val="001412F3"/>
    <w:rsid w:val="001418E4"/>
    <w:rsid w:val="00141E7E"/>
    <w:rsid w:val="00142623"/>
    <w:rsid w:val="00142D3D"/>
    <w:rsid w:val="001436A3"/>
    <w:rsid w:val="001439FB"/>
    <w:rsid w:val="00143E0E"/>
    <w:rsid w:val="00143F67"/>
    <w:rsid w:val="001440BB"/>
    <w:rsid w:val="0014411A"/>
    <w:rsid w:val="001441D0"/>
    <w:rsid w:val="00144562"/>
    <w:rsid w:val="0014495C"/>
    <w:rsid w:val="00145148"/>
    <w:rsid w:val="00145234"/>
    <w:rsid w:val="00145540"/>
    <w:rsid w:val="001456B0"/>
    <w:rsid w:val="0014585E"/>
    <w:rsid w:val="0014628D"/>
    <w:rsid w:val="0014630D"/>
    <w:rsid w:val="00146EBF"/>
    <w:rsid w:val="00146F31"/>
    <w:rsid w:val="0014702B"/>
    <w:rsid w:val="00147174"/>
    <w:rsid w:val="001472B1"/>
    <w:rsid w:val="0014749D"/>
    <w:rsid w:val="00147516"/>
    <w:rsid w:val="00147519"/>
    <w:rsid w:val="00150220"/>
    <w:rsid w:val="00150598"/>
    <w:rsid w:val="001507C0"/>
    <w:rsid w:val="00150F09"/>
    <w:rsid w:val="00151326"/>
    <w:rsid w:val="00151328"/>
    <w:rsid w:val="001524E5"/>
    <w:rsid w:val="0015258E"/>
    <w:rsid w:val="0015278B"/>
    <w:rsid w:val="00152B47"/>
    <w:rsid w:val="00153140"/>
    <w:rsid w:val="00153565"/>
    <w:rsid w:val="0015376D"/>
    <w:rsid w:val="00153846"/>
    <w:rsid w:val="00153A66"/>
    <w:rsid w:val="00153A70"/>
    <w:rsid w:val="00153C3B"/>
    <w:rsid w:val="00153C9A"/>
    <w:rsid w:val="00154277"/>
    <w:rsid w:val="001545FC"/>
    <w:rsid w:val="001547AB"/>
    <w:rsid w:val="00154814"/>
    <w:rsid w:val="00155184"/>
    <w:rsid w:val="0015566F"/>
    <w:rsid w:val="0015571A"/>
    <w:rsid w:val="00155902"/>
    <w:rsid w:val="00155A24"/>
    <w:rsid w:val="00155B00"/>
    <w:rsid w:val="00155D6A"/>
    <w:rsid w:val="00156329"/>
    <w:rsid w:val="00156744"/>
    <w:rsid w:val="00156ACF"/>
    <w:rsid w:val="00156CA8"/>
    <w:rsid w:val="00156F8F"/>
    <w:rsid w:val="00157130"/>
    <w:rsid w:val="00157552"/>
    <w:rsid w:val="001575EF"/>
    <w:rsid w:val="001576B1"/>
    <w:rsid w:val="001578BF"/>
    <w:rsid w:val="00157E05"/>
    <w:rsid w:val="0016047B"/>
    <w:rsid w:val="00160561"/>
    <w:rsid w:val="00160779"/>
    <w:rsid w:val="00160A4C"/>
    <w:rsid w:val="00160C3C"/>
    <w:rsid w:val="00160D92"/>
    <w:rsid w:val="001613B6"/>
    <w:rsid w:val="00161ADE"/>
    <w:rsid w:val="00161CE2"/>
    <w:rsid w:val="00162209"/>
    <w:rsid w:val="00162913"/>
    <w:rsid w:val="00162AED"/>
    <w:rsid w:val="00162B08"/>
    <w:rsid w:val="00162B14"/>
    <w:rsid w:val="00163884"/>
    <w:rsid w:val="00163A28"/>
    <w:rsid w:val="00163E81"/>
    <w:rsid w:val="00163EFF"/>
    <w:rsid w:val="00163F66"/>
    <w:rsid w:val="0016409B"/>
    <w:rsid w:val="001643F0"/>
    <w:rsid w:val="0016478E"/>
    <w:rsid w:val="00164D9E"/>
    <w:rsid w:val="0016546F"/>
    <w:rsid w:val="001654CA"/>
    <w:rsid w:val="00165BCC"/>
    <w:rsid w:val="00165E82"/>
    <w:rsid w:val="00165EC4"/>
    <w:rsid w:val="00165EEE"/>
    <w:rsid w:val="001661FB"/>
    <w:rsid w:val="00166E18"/>
    <w:rsid w:val="00166E1A"/>
    <w:rsid w:val="00166F54"/>
    <w:rsid w:val="001671A0"/>
    <w:rsid w:val="0016747A"/>
    <w:rsid w:val="0016763F"/>
    <w:rsid w:val="0016767F"/>
    <w:rsid w:val="001679BD"/>
    <w:rsid w:val="00167EEE"/>
    <w:rsid w:val="0017000D"/>
    <w:rsid w:val="00170216"/>
    <w:rsid w:val="0017041F"/>
    <w:rsid w:val="001707A1"/>
    <w:rsid w:val="001708AC"/>
    <w:rsid w:val="00170D56"/>
    <w:rsid w:val="0017106F"/>
    <w:rsid w:val="001712AB"/>
    <w:rsid w:val="001712E3"/>
    <w:rsid w:val="001714DE"/>
    <w:rsid w:val="00171A28"/>
    <w:rsid w:val="00172618"/>
    <w:rsid w:val="00172742"/>
    <w:rsid w:val="001727B1"/>
    <w:rsid w:val="00172A5D"/>
    <w:rsid w:val="00172B76"/>
    <w:rsid w:val="00172CA4"/>
    <w:rsid w:val="00173061"/>
    <w:rsid w:val="00173093"/>
    <w:rsid w:val="00173565"/>
    <w:rsid w:val="00173B07"/>
    <w:rsid w:val="001747D8"/>
    <w:rsid w:val="001747F0"/>
    <w:rsid w:val="001747F7"/>
    <w:rsid w:val="0017489F"/>
    <w:rsid w:val="00174920"/>
    <w:rsid w:val="00174BB1"/>
    <w:rsid w:val="00174D16"/>
    <w:rsid w:val="00174E80"/>
    <w:rsid w:val="00174E9F"/>
    <w:rsid w:val="001751FA"/>
    <w:rsid w:val="0017595D"/>
    <w:rsid w:val="00176848"/>
    <w:rsid w:val="00176CD5"/>
    <w:rsid w:val="00176EE1"/>
    <w:rsid w:val="00177703"/>
    <w:rsid w:val="00177E80"/>
    <w:rsid w:val="00177F05"/>
    <w:rsid w:val="00177F4C"/>
    <w:rsid w:val="00180178"/>
    <w:rsid w:val="001802BD"/>
    <w:rsid w:val="00180533"/>
    <w:rsid w:val="00180925"/>
    <w:rsid w:val="00180B5D"/>
    <w:rsid w:val="00181C10"/>
    <w:rsid w:val="00181D9C"/>
    <w:rsid w:val="00181DB3"/>
    <w:rsid w:val="001820C2"/>
    <w:rsid w:val="00182251"/>
    <w:rsid w:val="0018225C"/>
    <w:rsid w:val="00182888"/>
    <w:rsid w:val="00182967"/>
    <w:rsid w:val="00182AC4"/>
    <w:rsid w:val="00182C0B"/>
    <w:rsid w:val="0018347A"/>
    <w:rsid w:val="00183581"/>
    <w:rsid w:val="00183758"/>
    <w:rsid w:val="001837D5"/>
    <w:rsid w:val="001837FF"/>
    <w:rsid w:val="0018386F"/>
    <w:rsid w:val="0018456B"/>
    <w:rsid w:val="0018484B"/>
    <w:rsid w:val="001849CC"/>
    <w:rsid w:val="00184AEC"/>
    <w:rsid w:val="00184B0E"/>
    <w:rsid w:val="00185BE0"/>
    <w:rsid w:val="00185F82"/>
    <w:rsid w:val="001860B6"/>
    <w:rsid w:val="0018642B"/>
    <w:rsid w:val="0018652F"/>
    <w:rsid w:val="00186FEC"/>
    <w:rsid w:val="0018714F"/>
    <w:rsid w:val="0018735D"/>
    <w:rsid w:val="0018752F"/>
    <w:rsid w:val="00187B61"/>
    <w:rsid w:val="00187F70"/>
    <w:rsid w:val="001900F4"/>
    <w:rsid w:val="00191743"/>
    <w:rsid w:val="001926B2"/>
    <w:rsid w:val="0019295F"/>
    <w:rsid w:val="001930BC"/>
    <w:rsid w:val="00193703"/>
    <w:rsid w:val="00193838"/>
    <w:rsid w:val="00193879"/>
    <w:rsid w:val="00193FB9"/>
    <w:rsid w:val="00194AD8"/>
    <w:rsid w:val="00194B53"/>
    <w:rsid w:val="00195222"/>
    <w:rsid w:val="0019522B"/>
    <w:rsid w:val="00195452"/>
    <w:rsid w:val="0019557F"/>
    <w:rsid w:val="00195B1D"/>
    <w:rsid w:val="001965BD"/>
    <w:rsid w:val="00196AAC"/>
    <w:rsid w:val="00196ADD"/>
    <w:rsid w:val="00197305"/>
    <w:rsid w:val="00197496"/>
    <w:rsid w:val="001975D8"/>
    <w:rsid w:val="001976E9"/>
    <w:rsid w:val="001A051D"/>
    <w:rsid w:val="001A0CB4"/>
    <w:rsid w:val="001A0F05"/>
    <w:rsid w:val="001A14C7"/>
    <w:rsid w:val="001A178E"/>
    <w:rsid w:val="001A1CFA"/>
    <w:rsid w:val="001A1EE0"/>
    <w:rsid w:val="001A23A4"/>
    <w:rsid w:val="001A266B"/>
    <w:rsid w:val="001A2703"/>
    <w:rsid w:val="001A2731"/>
    <w:rsid w:val="001A2763"/>
    <w:rsid w:val="001A28E1"/>
    <w:rsid w:val="001A2C1A"/>
    <w:rsid w:val="001A2E23"/>
    <w:rsid w:val="001A35A9"/>
    <w:rsid w:val="001A36BA"/>
    <w:rsid w:val="001A3930"/>
    <w:rsid w:val="001A3A6B"/>
    <w:rsid w:val="001A3E9A"/>
    <w:rsid w:val="001A4079"/>
    <w:rsid w:val="001A43A8"/>
    <w:rsid w:val="001A43FA"/>
    <w:rsid w:val="001A44BE"/>
    <w:rsid w:val="001A47C5"/>
    <w:rsid w:val="001A4871"/>
    <w:rsid w:val="001A4C82"/>
    <w:rsid w:val="001A5074"/>
    <w:rsid w:val="001A57FB"/>
    <w:rsid w:val="001A59FB"/>
    <w:rsid w:val="001A5E9E"/>
    <w:rsid w:val="001A6289"/>
    <w:rsid w:val="001A6343"/>
    <w:rsid w:val="001A6354"/>
    <w:rsid w:val="001A6366"/>
    <w:rsid w:val="001A6F11"/>
    <w:rsid w:val="001A7AE8"/>
    <w:rsid w:val="001B0094"/>
    <w:rsid w:val="001B0266"/>
    <w:rsid w:val="001B0331"/>
    <w:rsid w:val="001B0371"/>
    <w:rsid w:val="001B0641"/>
    <w:rsid w:val="001B0BCD"/>
    <w:rsid w:val="001B0D51"/>
    <w:rsid w:val="001B0DEF"/>
    <w:rsid w:val="001B12F4"/>
    <w:rsid w:val="001B134B"/>
    <w:rsid w:val="001B1447"/>
    <w:rsid w:val="001B18D6"/>
    <w:rsid w:val="001B1ED4"/>
    <w:rsid w:val="001B1F0A"/>
    <w:rsid w:val="001B204E"/>
    <w:rsid w:val="001B20C3"/>
    <w:rsid w:val="001B217E"/>
    <w:rsid w:val="001B2372"/>
    <w:rsid w:val="001B315B"/>
    <w:rsid w:val="001B3443"/>
    <w:rsid w:val="001B39B2"/>
    <w:rsid w:val="001B3E09"/>
    <w:rsid w:val="001B3FD2"/>
    <w:rsid w:val="001B46E4"/>
    <w:rsid w:val="001B4D20"/>
    <w:rsid w:val="001B4E9A"/>
    <w:rsid w:val="001B5246"/>
    <w:rsid w:val="001B5515"/>
    <w:rsid w:val="001B5833"/>
    <w:rsid w:val="001B617B"/>
    <w:rsid w:val="001B6250"/>
    <w:rsid w:val="001B6734"/>
    <w:rsid w:val="001B6DE9"/>
    <w:rsid w:val="001B7071"/>
    <w:rsid w:val="001B70FA"/>
    <w:rsid w:val="001B71E2"/>
    <w:rsid w:val="001B7426"/>
    <w:rsid w:val="001B77B5"/>
    <w:rsid w:val="001B7ADE"/>
    <w:rsid w:val="001B7F69"/>
    <w:rsid w:val="001B7F84"/>
    <w:rsid w:val="001C04CA"/>
    <w:rsid w:val="001C0A57"/>
    <w:rsid w:val="001C0B81"/>
    <w:rsid w:val="001C1114"/>
    <w:rsid w:val="001C1122"/>
    <w:rsid w:val="001C16A9"/>
    <w:rsid w:val="001C1B90"/>
    <w:rsid w:val="001C1FB8"/>
    <w:rsid w:val="001C1FE5"/>
    <w:rsid w:val="001C20A1"/>
    <w:rsid w:val="001C2775"/>
    <w:rsid w:val="001C2A9B"/>
    <w:rsid w:val="001C3275"/>
    <w:rsid w:val="001C3851"/>
    <w:rsid w:val="001C388E"/>
    <w:rsid w:val="001C3DD6"/>
    <w:rsid w:val="001C3DFB"/>
    <w:rsid w:val="001C3E23"/>
    <w:rsid w:val="001C3E6C"/>
    <w:rsid w:val="001C4299"/>
    <w:rsid w:val="001C4874"/>
    <w:rsid w:val="001C4A42"/>
    <w:rsid w:val="001C4D30"/>
    <w:rsid w:val="001C5062"/>
    <w:rsid w:val="001C5361"/>
    <w:rsid w:val="001C5B37"/>
    <w:rsid w:val="001C5D6C"/>
    <w:rsid w:val="001C5F94"/>
    <w:rsid w:val="001C60D5"/>
    <w:rsid w:val="001C63CB"/>
    <w:rsid w:val="001C63DF"/>
    <w:rsid w:val="001C67B0"/>
    <w:rsid w:val="001C6897"/>
    <w:rsid w:val="001C68F5"/>
    <w:rsid w:val="001C6E17"/>
    <w:rsid w:val="001C6E66"/>
    <w:rsid w:val="001C70D0"/>
    <w:rsid w:val="001C7165"/>
    <w:rsid w:val="001C7718"/>
    <w:rsid w:val="001C7D95"/>
    <w:rsid w:val="001D0345"/>
    <w:rsid w:val="001D063E"/>
    <w:rsid w:val="001D0C09"/>
    <w:rsid w:val="001D10A3"/>
    <w:rsid w:val="001D1100"/>
    <w:rsid w:val="001D1136"/>
    <w:rsid w:val="001D12A3"/>
    <w:rsid w:val="001D1391"/>
    <w:rsid w:val="001D143F"/>
    <w:rsid w:val="001D1B7F"/>
    <w:rsid w:val="001D1D34"/>
    <w:rsid w:val="001D1D6F"/>
    <w:rsid w:val="001D1E2D"/>
    <w:rsid w:val="001D1E75"/>
    <w:rsid w:val="001D1FC3"/>
    <w:rsid w:val="001D225D"/>
    <w:rsid w:val="001D25D7"/>
    <w:rsid w:val="001D278F"/>
    <w:rsid w:val="001D2882"/>
    <w:rsid w:val="001D2CB1"/>
    <w:rsid w:val="001D2DED"/>
    <w:rsid w:val="001D383A"/>
    <w:rsid w:val="001D3BD7"/>
    <w:rsid w:val="001D3C0B"/>
    <w:rsid w:val="001D3C2E"/>
    <w:rsid w:val="001D4C2B"/>
    <w:rsid w:val="001D50B2"/>
    <w:rsid w:val="001D5378"/>
    <w:rsid w:val="001D53E7"/>
    <w:rsid w:val="001D558E"/>
    <w:rsid w:val="001D5697"/>
    <w:rsid w:val="001D56E5"/>
    <w:rsid w:val="001D580C"/>
    <w:rsid w:val="001D5B68"/>
    <w:rsid w:val="001D5C0F"/>
    <w:rsid w:val="001D64E1"/>
    <w:rsid w:val="001D6B16"/>
    <w:rsid w:val="001D71F4"/>
    <w:rsid w:val="001D73F4"/>
    <w:rsid w:val="001D7645"/>
    <w:rsid w:val="001D77D5"/>
    <w:rsid w:val="001D7831"/>
    <w:rsid w:val="001E0307"/>
    <w:rsid w:val="001E04CF"/>
    <w:rsid w:val="001E05E9"/>
    <w:rsid w:val="001E0986"/>
    <w:rsid w:val="001E0BE7"/>
    <w:rsid w:val="001E0DD2"/>
    <w:rsid w:val="001E1287"/>
    <w:rsid w:val="001E17E1"/>
    <w:rsid w:val="001E1A74"/>
    <w:rsid w:val="001E1E86"/>
    <w:rsid w:val="001E2243"/>
    <w:rsid w:val="001E238E"/>
    <w:rsid w:val="001E2483"/>
    <w:rsid w:val="001E2561"/>
    <w:rsid w:val="001E2A4A"/>
    <w:rsid w:val="001E2B1E"/>
    <w:rsid w:val="001E2CFF"/>
    <w:rsid w:val="001E2F24"/>
    <w:rsid w:val="001E3042"/>
    <w:rsid w:val="001E30D4"/>
    <w:rsid w:val="001E34DF"/>
    <w:rsid w:val="001E396F"/>
    <w:rsid w:val="001E3D71"/>
    <w:rsid w:val="001E3F79"/>
    <w:rsid w:val="001E4194"/>
    <w:rsid w:val="001E4708"/>
    <w:rsid w:val="001E4715"/>
    <w:rsid w:val="001E52EB"/>
    <w:rsid w:val="001E53A5"/>
    <w:rsid w:val="001E5688"/>
    <w:rsid w:val="001E61D2"/>
    <w:rsid w:val="001E664B"/>
    <w:rsid w:val="001E66A4"/>
    <w:rsid w:val="001E66C7"/>
    <w:rsid w:val="001E69C9"/>
    <w:rsid w:val="001E6CA2"/>
    <w:rsid w:val="001E727F"/>
    <w:rsid w:val="001E740C"/>
    <w:rsid w:val="001E749A"/>
    <w:rsid w:val="001E7CFB"/>
    <w:rsid w:val="001E7DD9"/>
    <w:rsid w:val="001F04E0"/>
    <w:rsid w:val="001F09F2"/>
    <w:rsid w:val="001F0A9B"/>
    <w:rsid w:val="001F0BD2"/>
    <w:rsid w:val="001F0F33"/>
    <w:rsid w:val="001F1235"/>
    <w:rsid w:val="001F139B"/>
    <w:rsid w:val="001F146F"/>
    <w:rsid w:val="001F1488"/>
    <w:rsid w:val="001F15E3"/>
    <w:rsid w:val="001F188D"/>
    <w:rsid w:val="001F1CB3"/>
    <w:rsid w:val="001F2026"/>
    <w:rsid w:val="001F20B2"/>
    <w:rsid w:val="001F2E11"/>
    <w:rsid w:val="001F352F"/>
    <w:rsid w:val="001F38B5"/>
    <w:rsid w:val="001F4081"/>
    <w:rsid w:val="001F4820"/>
    <w:rsid w:val="001F4983"/>
    <w:rsid w:val="001F4A93"/>
    <w:rsid w:val="001F505C"/>
    <w:rsid w:val="001F508E"/>
    <w:rsid w:val="001F5593"/>
    <w:rsid w:val="001F5901"/>
    <w:rsid w:val="001F60B4"/>
    <w:rsid w:val="001F61B3"/>
    <w:rsid w:val="001F6336"/>
    <w:rsid w:val="001F66A0"/>
    <w:rsid w:val="001F68F8"/>
    <w:rsid w:val="001F6B6C"/>
    <w:rsid w:val="001F7025"/>
    <w:rsid w:val="001F7259"/>
    <w:rsid w:val="001F7361"/>
    <w:rsid w:val="001F7BAE"/>
    <w:rsid w:val="001F7F5F"/>
    <w:rsid w:val="00200103"/>
    <w:rsid w:val="002001D2"/>
    <w:rsid w:val="002007C3"/>
    <w:rsid w:val="0020095A"/>
    <w:rsid w:val="00200BA8"/>
    <w:rsid w:val="002011B0"/>
    <w:rsid w:val="00201359"/>
    <w:rsid w:val="0020175D"/>
    <w:rsid w:val="00202327"/>
    <w:rsid w:val="00202768"/>
    <w:rsid w:val="002028B1"/>
    <w:rsid w:val="00202B19"/>
    <w:rsid w:val="00203181"/>
    <w:rsid w:val="002033A9"/>
    <w:rsid w:val="002034C9"/>
    <w:rsid w:val="00203783"/>
    <w:rsid w:val="0020385F"/>
    <w:rsid w:val="0020388F"/>
    <w:rsid w:val="002044A7"/>
    <w:rsid w:val="002046BF"/>
    <w:rsid w:val="002050D0"/>
    <w:rsid w:val="0020554A"/>
    <w:rsid w:val="00205B34"/>
    <w:rsid w:val="00205CD9"/>
    <w:rsid w:val="00205D56"/>
    <w:rsid w:val="00206320"/>
    <w:rsid w:val="002068A0"/>
    <w:rsid w:val="002069D7"/>
    <w:rsid w:val="00206D8C"/>
    <w:rsid w:val="00207021"/>
    <w:rsid w:val="0020732F"/>
    <w:rsid w:val="0020756A"/>
    <w:rsid w:val="002077C7"/>
    <w:rsid w:val="002077E4"/>
    <w:rsid w:val="00207A43"/>
    <w:rsid w:val="00207C66"/>
    <w:rsid w:val="00207CEE"/>
    <w:rsid w:val="00207D00"/>
    <w:rsid w:val="00207F4C"/>
    <w:rsid w:val="002105C1"/>
    <w:rsid w:val="00210A0A"/>
    <w:rsid w:val="002113ED"/>
    <w:rsid w:val="002116FD"/>
    <w:rsid w:val="00211D7D"/>
    <w:rsid w:val="00212180"/>
    <w:rsid w:val="00212C22"/>
    <w:rsid w:val="0021308A"/>
    <w:rsid w:val="00213E69"/>
    <w:rsid w:val="00213EF5"/>
    <w:rsid w:val="002142A9"/>
    <w:rsid w:val="002142BC"/>
    <w:rsid w:val="00214C16"/>
    <w:rsid w:val="00215A5D"/>
    <w:rsid w:val="00215B84"/>
    <w:rsid w:val="00216920"/>
    <w:rsid w:val="00216BF5"/>
    <w:rsid w:val="00216CC4"/>
    <w:rsid w:val="0021730F"/>
    <w:rsid w:val="002174D3"/>
    <w:rsid w:val="00217D73"/>
    <w:rsid w:val="00217F4E"/>
    <w:rsid w:val="00220108"/>
    <w:rsid w:val="0022021B"/>
    <w:rsid w:val="00220242"/>
    <w:rsid w:val="002203AA"/>
    <w:rsid w:val="00220C6A"/>
    <w:rsid w:val="00221883"/>
    <w:rsid w:val="00221C0C"/>
    <w:rsid w:val="00221DCD"/>
    <w:rsid w:val="00222205"/>
    <w:rsid w:val="002222F8"/>
    <w:rsid w:val="00222655"/>
    <w:rsid w:val="00222658"/>
    <w:rsid w:val="002227BB"/>
    <w:rsid w:val="002229F0"/>
    <w:rsid w:val="00222F91"/>
    <w:rsid w:val="0022322F"/>
    <w:rsid w:val="00223765"/>
    <w:rsid w:val="0022399F"/>
    <w:rsid w:val="00223B49"/>
    <w:rsid w:val="00223D5A"/>
    <w:rsid w:val="00224455"/>
    <w:rsid w:val="00224B96"/>
    <w:rsid w:val="00224DD4"/>
    <w:rsid w:val="00224F59"/>
    <w:rsid w:val="00225539"/>
    <w:rsid w:val="00225884"/>
    <w:rsid w:val="0022602F"/>
    <w:rsid w:val="002262C0"/>
    <w:rsid w:val="00226305"/>
    <w:rsid w:val="0022677C"/>
    <w:rsid w:val="002269D2"/>
    <w:rsid w:val="00226F6B"/>
    <w:rsid w:val="0022732E"/>
    <w:rsid w:val="002278A0"/>
    <w:rsid w:val="00227B44"/>
    <w:rsid w:val="00227CE0"/>
    <w:rsid w:val="00230685"/>
    <w:rsid w:val="002309CC"/>
    <w:rsid w:val="00230C3D"/>
    <w:rsid w:val="00230E03"/>
    <w:rsid w:val="00230F2F"/>
    <w:rsid w:val="0023189A"/>
    <w:rsid w:val="00231BA9"/>
    <w:rsid w:val="0023209F"/>
    <w:rsid w:val="002325C6"/>
    <w:rsid w:val="00232EC9"/>
    <w:rsid w:val="00233232"/>
    <w:rsid w:val="0023346A"/>
    <w:rsid w:val="00233B34"/>
    <w:rsid w:val="00233C01"/>
    <w:rsid w:val="0023413C"/>
    <w:rsid w:val="002346F0"/>
    <w:rsid w:val="0023475D"/>
    <w:rsid w:val="00234BDB"/>
    <w:rsid w:val="00234F09"/>
    <w:rsid w:val="00235478"/>
    <w:rsid w:val="002354A4"/>
    <w:rsid w:val="00235528"/>
    <w:rsid w:val="00235BBA"/>
    <w:rsid w:val="00235FD0"/>
    <w:rsid w:val="00236029"/>
    <w:rsid w:val="0023629D"/>
    <w:rsid w:val="00236CBD"/>
    <w:rsid w:val="00237255"/>
    <w:rsid w:val="00237368"/>
    <w:rsid w:val="002373B7"/>
    <w:rsid w:val="0023749F"/>
    <w:rsid w:val="002374EC"/>
    <w:rsid w:val="00237561"/>
    <w:rsid w:val="002376C6"/>
    <w:rsid w:val="002376CA"/>
    <w:rsid w:val="00240073"/>
    <w:rsid w:val="0024044E"/>
    <w:rsid w:val="00240CD6"/>
    <w:rsid w:val="0024125A"/>
    <w:rsid w:val="002412D4"/>
    <w:rsid w:val="00241305"/>
    <w:rsid w:val="00241927"/>
    <w:rsid w:val="00241A5C"/>
    <w:rsid w:val="00241AB4"/>
    <w:rsid w:val="00241BEF"/>
    <w:rsid w:val="00241F8C"/>
    <w:rsid w:val="002424AF"/>
    <w:rsid w:val="002425BE"/>
    <w:rsid w:val="002426D7"/>
    <w:rsid w:val="0024273A"/>
    <w:rsid w:val="00242AC3"/>
    <w:rsid w:val="00242BCA"/>
    <w:rsid w:val="00242D4F"/>
    <w:rsid w:val="0024357A"/>
    <w:rsid w:val="002437CC"/>
    <w:rsid w:val="0024397F"/>
    <w:rsid w:val="002439B3"/>
    <w:rsid w:val="002439DC"/>
    <w:rsid w:val="00243B5C"/>
    <w:rsid w:val="00243BF3"/>
    <w:rsid w:val="00243FD7"/>
    <w:rsid w:val="002441D2"/>
    <w:rsid w:val="0024494A"/>
    <w:rsid w:val="00244A58"/>
    <w:rsid w:val="00244DC8"/>
    <w:rsid w:val="00244DF4"/>
    <w:rsid w:val="00245808"/>
    <w:rsid w:val="002458BA"/>
    <w:rsid w:val="00245CE9"/>
    <w:rsid w:val="00245D1B"/>
    <w:rsid w:val="00245EA9"/>
    <w:rsid w:val="0024636C"/>
    <w:rsid w:val="002466A1"/>
    <w:rsid w:val="002467D3"/>
    <w:rsid w:val="002476E2"/>
    <w:rsid w:val="002477D6"/>
    <w:rsid w:val="00247925"/>
    <w:rsid w:val="00247F88"/>
    <w:rsid w:val="002504B0"/>
    <w:rsid w:val="00250555"/>
    <w:rsid w:val="0025058E"/>
    <w:rsid w:val="00250879"/>
    <w:rsid w:val="00250C1A"/>
    <w:rsid w:val="00251006"/>
    <w:rsid w:val="0025133B"/>
    <w:rsid w:val="002514F3"/>
    <w:rsid w:val="00251517"/>
    <w:rsid w:val="00251E17"/>
    <w:rsid w:val="00251F67"/>
    <w:rsid w:val="0025218A"/>
    <w:rsid w:val="0025219A"/>
    <w:rsid w:val="002524D5"/>
    <w:rsid w:val="00252D17"/>
    <w:rsid w:val="0025300B"/>
    <w:rsid w:val="002530D8"/>
    <w:rsid w:val="002532FC"/>
    <w:rsid w:val="00253B1D"/>
    <w:rsid w:val="00253F55"/>
    <w:rsid w:val="00254069"/>
    <w:rsid w:val="00254363"/>
    <w:rsid w:val="00254652"/>
    <w:rsid w:val="00254CF9"/>
    <w:rsid w:val="00254DCF"/>
    <w:rsid w:val="00254E2E"/>
    <w:rsid w:val="00255161"/>
    <w:rsid w:val="0025534B"/>
    <w:rsid w:val="00255507"/>
    <w:rsid w:val="002556C6"/>
    <w:rsid w:val="00255826"/>
    <w:rsid w:val="002558C3"/>
    <w:rsid w:val="00255955"/>
    <w:rsid w:val="00255BB7"/>
    <w:rsid w:val="002560A4"/>
    <w:rsid w:val="002565C1"/>
    <w:rsid w:val="002568A9"/>
    <w:rsid w:val="00257541"/>
    <w:rsid w:val="00257A39"/>
    <w:rsid w:val="00257AC4"/>
    <w:rsid w:val="00257BBE"/>
    <w:rsid w:val="00257CC7"/>
    <w:rsid w:val="00257E46"/>
    <w:rsid w:val="00257F15"/>
    <w:rsid w:val="00261316"/>
    <w:rsid w:val="00261473"/>
    <w:rsid w:val="00261DD8"/>
    <w:rsid w:val="00261EEF"/>
    <w:rsid w:val="002622FC"/>
    <w:rsid w:val="002625EA"/>
    <w:rsid w:val="00262A1A"/>
    <w:rsid w:val="00262A4B"/>
    <w:rsid w:val="00262A87"/>
    <w:rsid w:val="002632CB"/>
    <w:rsid w:val="0026350A"/>
    <w:rsid w:val="002635D2"/>
    <w:rsid w:val="00263977"/>
    <w:rsid w:val="002639AE"/>
    <w:rsid w:val="002643DD"/>
    <w:rsid w:val="00264702"/>
    <w:rsid w:val="00264B33"/>
    <w:rsid w:val="00264D26"/>
    <w:rsid w:val="002655DA"/>
    <w:rsid w:val="002655F1"/>
    <w:rsid w:val="002656AA"/>
    <w:rsid w:val="00265845"/>
    <w:rsid w:val="002658BA"/>
    <w:rsid w:val="00265BED"/>
    <w:rsid w:val="00265C69"/>
    <w:rsid w:val="00265CA1"/>
    <w:rsid w:val="00266194"/>
    <w:rsid w:val="002665E5"/>
    <w:rsid w:val="0026660E"/>
    <w:rsid w:val="00266CA9"/>
    <w:rsid w:val="00266E63"/>
    <w:rsid w:val="00266FFC"/>
    <w:rsid w:val="002672F9"/>
    <w:rsid w:val="00267642"/>
    <w:rsid w:val="00267AEA"/>
    <w:rsid w:val="00270055"/>
    <w:rsid w:val="002700E6"/>
    <w:rsid w:val="00270E4B"/>
    <w:rsid w:val="00270EDD"/>
    <w:rsid w:val="00271022"/>
    <w:rsid w:val="0027107F"/>
    <w:rsid w:val="002719D8"/>
    <w:rsid w:val="00272279"/>
    <w:rsid w:val="002725FA"/>
    <w:rsid w:val="0027294B"/>
    <w:rsid w:val="00272C13"/>
    <w:rsid w:val="002732CB"/>
    <w:rsid w:val="00273446"/>
    <w:rsid w:val="002734A2"/>
    <w:rsid w:val="00273EB4"/>
    <w:rsid w:val="00273ECF"/>
    <w:rsid w:val="00273F78"/>
    <w:rsid w:val="00274682"/>
    <w:rsid w:val="00275158"/>
    <w:rsid w:val="002758D1"/>
    <w:rsid w:val="00275A1B"/>
    <w:rsid w:val="00275C5A"/>
    <w:rsid w:val="00277035"/>
    <w:rsid w:val="002773E7"/>
    <w:rsid w:val="002775A1"/>
    <w:rsid w:val="002775D8"/>
    <w:rsid w:val="00277B1D"/>
    <w:rsid w:val="00277D6C"/>
    <w:rsid w:val="00277DD1"/>
    <w:rsid w:val="002804DD"/>
    <w:rsid w:val="002804E3"/>
    <w:rsid w:val="00280829"/>
    <w:rsid w:val="00281014"/>
    <w:rsid w:val="0028126D"/>
    <w:rsid w:val="00281515"/>
    <w:rsid w:val="00281BD6"/>
    <w:rsid w:val="00281CC2"/>
    <w:rsid w:val="0028234B"/>
    <w:rsid w:val="00282396"/>
    <w:rsid w:val="00282A90"/>
    <w:rsid w:val="00282AFD"/>
    <w:rsid w:val="00282BA8"/>
    <w:rsid w:val="00282CB0"/>
    <w:rsid w:val="00283034"/>
    <w:rsid w:val="002837B5"/>
    <w:rsid w:val="00283B6C"/>
    <w:rsid w:val="00284040"/>
    <w:rsid w:val="00284155"/>
    <w:rsid w:val="00284412"/>
    <w:rsid w:val="002846CD"/>
    <w:rsid w:val="00284E13"/>
    <w:rsid w:val="00284F55"/>
    <w:rsid w:val="00284F87"/>
    <w:rsid w:val="0028517A"/>
    <w:rsid w:val="0028554A"/>
    <w:rsid w:val="00285785"/>
    <w:rsid w:val="00285BCE"/>
    <w:rsid w:val="0028665D"/>
    <w:rsid w:val="002869C1"/>
    <w:rsid w:val="002869E6"/>
    <w:rsid w:val="00286EBF"/>
    <w:rsid w:val="002871A4"/>
    <w:rsid w:val="0028748D"/>
    <w:rsid w:val="0028788C"/>
    <w:rsid w:val="002879D1"/>
    <w:rsid w:val="00290112"/>
    <w:rsid w:val="0029020C"/>
    <w:rsid w:val="00290E95"/>
    <w:rsid w:val="00291DF6"/>
    <w:rsid w:val="00292647"/>
    <w:rsid w:val="00292748"/>
    <w:rsid w:val="002928D1"/>
    <w:rsid w:val="0029315B"/>
    <w:rsid w:val="002933CA"/>
    <w:rsid w:val="002938FD"/>
    <w:rsid w:val="00293903"/>
    <w:rsid w:val="00293A8D"/>
    <w:rsid w:val="00294A22"/>
    <w:rsid w:val="00295274"/>
    <w:rsid w:val="00295616"/>
    <w:rsid w:val="0029568F"/>
    <w:rsid w:val="00295B4C"/>
    <w:rsid w:val="00295CF5"/>
    <w:rsid w:val="002965BC"/>
    <w:rsid w:val="00296DCE"/>
    <w:rsid w:val="00296E05"/>
    <w:rsid w:val="002973A1"/>
    <w:rsid w:val="00297721"/>
    <w:rsid w:val="002977AF"/>
    <w:rsid w:val="00297DA1"/>
    <w:rsid w:val="00297ED0"/>
    <w:rsid w:val="002A0629"/>
    <w:rsid w:val="002A092B"/>
    <w:rsid w:val="002A09C4"/>
    <w:rsid w:val="002A11F3"/>
    <w:rsid w:val="002A1319"/>
    <w:rsid w:val="002A1367"/>
    <w:rsid w:val="002A147C"/>
    <w:rsid w:val="002A14AB"/>
    <w:rsid w:val="002A14FE"/>
    <w:rsid w:val="002A1544"/>
    <w:rsid w:val="002A1838"/>
    <w:rsid w:val="002A1FB1"/>
    <w:rsid w:val="002A21F1"/>
    <w:rsid w:val="002A27AD"/>
    <w:rsid w:val="002A27C7"/>
    <w:rsid w:val="002A2ADE"/>
    <w:rsid w:val="002A2C2F"/>
    <w:rsid w:val="002A2C65"/>
    <w:rsid w:val="002A2F50"/>
    <w:rsid w:val="002A321B"/>
    <w:rsid w:val="002A38DF"/>
    <w:rsid w:val="002A3A3D"/>
    <w:rsid w:val="002A439F"/>
    <w:rsid w:val="002A462C"/>
    <w:rsid w:val="002A477C"/>
    <w:rsid w:val="002A4A89"/>
    <w:rsid w:val="002A4B4E"/>
    <w:rsid w:val="002A4C15"/>
    <w:rsid w:val="002A555D"/>
    <w:rsid w:val="002A59F8"/>
    <w:rsid w:val="002A5C52"/>
    <w:rsid w:val="002A5CD2"/>
    <w:rsid w:val="002A646A"/>
    <w:rsid w:val="002A673A"/>
    <w:rsid w:val="002A6994"/>
    <w:rsid w:val="002A71D1"/>
    <w:rsid w:val="002A7943"/>
    <w:rsid w:val="002A7EA9"/>
    <w:rsid w:val="002B008A"/>
    <w:rsid w:val="002B05A1"/>
    <w:rsid w:val="002B05E0"/>
    <w:rsid w:val="002B09A4"/>
    <w:rsid w:val="002B116C"/>
    <w:rsid w:val="002B1350"/>
    <w:rsid w:val="002B135E"/>
    <w:rsid w:val="002B1912"/>
    <w:rsid w:val="002B1B8F"/>
    <w:rsid w:val="002B1C1F"/>
    <w:rsid w:val="002B2555"/>
    <w:rsid w:val="002B2AF4"/>
    <w:rsid w:val="002B2EFF"/>
    <w:rsid w:val="002B2F05"/>
    <w:rsid w:val="002B3FB9"/>
    <w:rsid w:val="002B4275"/>
    <w:rsid w:val="002B432F"/>
    <w:rsid w:val="002B457C"/>
    <w:rsid w:val="002B4898"/>
    <w:rsid w:val="002B4AE5"/>
    <w:rsid w:val="002B4FC7"/>
    <w:rsid w:val="002B52FB"/>
    <w:rsid w:val="002B54A7"/>
    <w:rsid w:val="002B5C4A"/>
    <w:rsid w:val="002B5E2A"/>
    <w:rsid w:val="002B62B3"/>
    <w:rsid w:val="002B6388"/>
    <w:rsid w:val="002B64FF"/>
    <w:rsid w:val="002B6546"/>
    <w:rsid w:val="002B6754"/>
    <w:rsid w:val="002B6CCE"/>
    <w:rsid w:val="002B6D8D"/>
    <w:rsid w:val="002B6E4C"/>
    <w:rsid w:val="002B6F48"/>
    <w:rsid w:val="002B7252"/>
    <w:rsid w:val="002B7B5E"/>
    <w:rsid w:val="002B7DB0"/>
    <w:rsid w:val="002C009F"/>
    <w:rsid w:val="002C00EC"/>
    <w:rsid w:val="002C02D2"/>
    <w:rsid w:val="002C04B5"/>
    <w:rsid w:val="002C07D5"/>
    <w:rsid w:val="002C0939"/>
    <w:rsid w:val="002C0ED7"/>
    <w:rsid w:val="002C13C6"/>
    <w:rsid w:val="002C1563"/>
    <w:rsid w:val="002C1DD4"/>
    <w:rsid w:val="002C2510"/>
    <w:rsid w:val="002C2775"/>
    <w:rsid w:val="002C27C1"/>
    <w:rsid w:val="002C284C"/>
    <w:rsid w:val="002C28CA"/>
    <w:rsid w:val="002C2A5D"/>
    <w:rsid w:val="002C35BB"/>
    <w:rsid w:val="002C36E3"/>
    <w:rsid w:val="002C38DF"/>
    <w:rsid w:val="002C392B"/>
    <w:rsid w:val="002C3EFA"/>
    <w:rsid w:val="002C3FB1"/>
    <w:rsid w:val="002C4028"/>
    <w:rsid w:val="002C404A"/>
    <w:rsid w:val="002C4AE9"/>
    <w:rsid w:val="002C4FDE"/>
    <w:rsid w:val="002C5099"/>
    <w:rsid w:val="002C56EF"/>
    <w:rsid w:val="002C5889"/>
    <w:rsid w:val="002C638D"/>
    <w:rsid w:val="002C67E0"/>
    <w:rsid w:val="002C6EC9"/>
    <w:rsid w:val="002C6FEB"/>
    <w:rsid w:val="002C71CE"/>
    <w:rsid w:val="002C7678"/>
    <w:rsid w:val="002C7B79"/>
    <w:rsid w:val="002C7BE3"/>
    <w:rsid w:val="002D0200"/>
    <w:rsid w:val="002D08F8"/>
    <w:rsid w:val="002D0B71"/>
    <w:rsid w:val="002D1952"/>
    <w:rsid w:val="002D2548"/>
    <w:rsid w:val="002D2ACE"/>
    <w:rsid w:val="002D2D33"/>
    <w:rsid w:val="002D2E17"/>
    <w:rsid w:val="002D320B"/>
    <w:rsid w:val="002D37A7"/>
    <w:rsid w:val="002D3996"/>
    <w:rsid w:val="002D3C14"/>
    <w:rsid w:val="002D4249"/>
    <w:rsid w:val="002D4337"/>
    <w:rsid w:val="002D53D4"/>
    <w:rsid w:val="002D5538"/>
    <w:rsid w:val="002D577C"/>
    <w:rsid w:val="002D5953"/>
    <w:rsid w:val="002D5BDB"/>
    <w:rsid w:val="002D5BE7"/>
    <w:rsid w:val="002D61D0"/>
    <w:rsid w:val="002D63C8"/>
    <w:rsid w:val="002D6445"/>
    <w:rsid w:val="002D68E7"/>
    <w:rsid w:val="002D6D00"/>
    <w:rsid w:val="002D6D1F"/>
    <w:rsid w:val="002D6E85"/>
    <w:rsid w:val="002D76C9"/>
    <w:rsid w:val="002D7832"/>
    <w:rsid w:val="002E00CA"/>
    <w:rsid w:val="002E03FC"/>
    <w:rsid w:val="002E076D"/>
    <w:rsid w:val="002E0B7F"/>
    <w:rsid w:val="002E0F31"/>
    <w:rsid w:val="002E1071"/>
    <w:rsid w:val="002E1575"/>
    <w:rsid w:val="002E15B9"/>
    <w:rsid w:val="002E19C9"/>
    <w:rsid w:val="002E1A60"/>
    <w:rsid w:val="002E1F15"/>
    <w:rsid w:val="002E2158"/>
    <w:rsid w:val="002E222D"/>
    <w:rsid w:val="002E23B5"/>
    <w:rsid w:val="002E3EB9"/>
    <w:rsid w:val="002E44E9"/>
    <w:rsid w:val="002E457F"/>
    <w:rsid w:val="002E4AC8"/>
    <w:rsid w:val="002E4AE4"/>
    <w:rsid w:val="002E4F02"/>
    <w:rsid w:val="002E5168"/>
    <w:rsid w:val="002E5190"/>
    <w:rsid w:val="002E57B1"/>
    <w:rsid w:val="002E5AF2"/>
    <w:rsid w:val="002E605B"/>
    <w:rsid w:val="002E61A7"/>
    <w:rsid w:val="002E6256"/>
    <w:rsid w:val="002E63EF"/>
    <w:rsid w:val="002E6D39"/>
    <w:rsid w:val="002E6E25"/>
    <w:rsid w:val="002E7722"/>
    <w:rsid w:val="002F0286"/>
    <w:rsid w:val="002F04C9"/>
    <w:rsid w:val="002F075E"/>
    <w:rsid w:val="002F07BA"/>
    <w:rsid w:val="002F0DA9"/>
    <w:rsid w:val="002F0EDF"/>
    <w:rsid w:val="002F1014"/>
    <w:rsid w:val="002F130F"/>
    <w:rsid w:val="002F1B79"/>
    <w:rsid w:val="002F1B8E"/>
    <w:rsid w:val="002F1C16"/>
    <w:rsid w:val="002F1E3B"/>
    <w:rsid w:val="002F2167"/>
    <w:rsid w:val="002F24ED"/>
    <w:rsid w:val="002F272F"/>
    <w:rsid w:val="002F292E"/>
    <w:rsid w:val="002F2CF1"/>
    <w:rsid w:val="002F30CD"/>
    <w:rsid w:val="002F3283"/>
    <w:rsid w:val="002F487A"/>
    <w:rsid w:val="002F4E2D"/>
    <w:rsid w:val="002F5381"/>
    <w:rsid w:val="002F570A"/>
    <w:rsid w:val="002F57FD"/>
    <w:rsid w:val="002F5895"/>
    <w:rsid w:val="002F5BA5"/>
    <w:rsid w:val="002F5D4E"/>
    <w:rsid w:val="002F61EB"/>
    <w:rsid w:val="002F643C"/>
    <w:rsid w:val="002F65ED"/>
    <w:rsid w:val="002F6633"/>
    <w:rsid w:val="002F6D24"/>
    <w:rsid w:val="002F71C0"/>
    <w:rsid w:val="002F7486"/>
    <w:rsid w:val="002F74F1"/>
    <w:rsid w:val="002F7990"/>
    <w:rsid w:val="0030054E"/>
    <w:rsid w:val="00300AB9"/>
    <w:rsid w:val="00300C4F"/>
    <w:rsid w:val="00301017"/>
    <w:rsid w:val="0030155F"/>
    <w:rsid w:val="003019A6"/>
    <w:rsid w:val="00301C50"/>
    <w:rsid w:val="00301F4A"/>
    <w:rsid w:val="003020A8"/>
    <w:rsid w:val="0030220E"/>
    <w:rsid w:val="003023D3"/>
    <w:rsid w:val="0030286A"/>
    <w:rsid w:val="00302A11"/>
    <w:rsid w:val="00302C22"/>
    <w:rsid w:val="00303018"/>
    <w:rsid w:val="00303294"/>
    <w:rsid w:val="00303858"/>
    <w:rsid w:val="00303B36"/>
    <w:rsid w:val="00304046"/>
    <w:rsid w:val="00304379"/>
    <w:rsid w:val="003043DD"/>
    <w:rsid w:val="0030587B"/>
    <w:rsid w:val="00305E92"/>
    <w:rsid w:val="00306489"/>
    <w:rsid w:val="0030650D"/>
    <w:rsid w:val="0030692A"/>
    <w:rsid w:val="00306AE1"/>
    <w:rsid w:val="00306D92"/>
    <w:rsid w:val="00306D98"/>
    <w:rsid w:val="00306E71"/>
    <w:rsid w:val="00306F29"/>
    <w:rsid w:val="003070D1"/>
    <w:rsid w:val="00307446"/>
    <w:rsid w:val="0030751A"/>
    <w:rsid w:val="003076D9"/>
    <w:rsid w:val="003077BC"/>
    <w:rsid w:val="0030786C"/>
    <w:rsid w:val="00307C43"/>
    <w:rsid w:val="00307D08"/>
    <w:rsid w:val="0031031A"/>
    <w:rsid w:val="0031038D"/>
    <w:rsid w:val="00310825"/>
    <w:rsid w:val="00310981"/>
    <w:rsid w:val="00310C11"/>
    <w:rsid w:val="0031149F"/>
    <w:rsid w:val="003114C1"/>
    <w:rsid w:val="00311A6B"/>
    <w:rsid w:val="00311A81"/>
    <w:rsid w:val="00311D9B"/>
    <w:rsid w:val="003124D9"/>
    <w:rsid w:val="003124FE"/>
    <w:rsid w:val="00312594"/>
    <w:rsid w:val="00312697"/>
    <w:rsid w:val="003128B6"/>
    <w:rsid w:val="00312F39"/>
    <w:rsid w:val="0031367A"/>
    <w:rsid w:val="00313BA4"/>
    <w:rsid w:val="00313D0D"/>
    <w:rsid w:val="00313DC1"/>
    <w:rsid w:val="0031476C"/>
    <w:rsid w:val="003152AA"/>
    <w:rsid w:val="0031544B"/>
    <w:rsid w:val="00315498"/>
    <w:rsid w:val="00315501"/>
    <w:rsid w:val="00315A1D"/>
    <w:rsid w:val="00315BA5"/>
    <w:rsid w:val="00315DBC"/>
    <w:rsid w:val="00315FAD"/>
    <w:rsid w:val="00316474"/>
    <w:rsid w:val="00316EEF"/>
    <w:rsid w:val="00316F4B"/>
    <w:rsid w:val="00317372"/>
    <w:rsid w:val="003175A6"/>
    <w:rsid w:val="00317655"/>
    <w:rsid w:val="0031785C"/>
    <w:rsid w:val="003202F0"/>
    <w:rsid w:val="00320734"/>
    <w:rsid w:val="003208C3"/>
    <w:rsid w:val="00320F56"/>
    <w:rsid w:val="00321330"/>
    <w:rsid w:val="003218BA"/>
    <w:rsid w:val="00321924"/>
    <w:rsid w:val="00321C22"/>
    <w:rsid w:val="00321F09"/>
    <w:rsid w:val="00322107"/>
    <w:rsid w:val="00322355"/>
    <w:rsid w:val="003227AE"/>
    <w:rsid w:val="00322846"/>
    <w:rsid w:val="00322872"/>
    <w:rsid w:val="003231A7"/>
    <w:rsid w:val="003233AB"/>
    <w:rsid w:val="003236CA"/>
    <w:rsid w:val="00323831"/>
    <w:rsid w:val="003239FA"/>
    <w:rsid w:val="003242B0"/>
    <w:rsid w:val="0032451B"/>
    <w:rsid w:val="00324629"/>
    <w:rsid w:val="003247A1"/>
    <w:rsid w:val="00324837"/>
    <w:rsid w:val="00324E02"/>
    <w:rsid w:val="003251E6"/>
    <w:rsid w:val="0032523C"/>
    <w:rsid w:val="00325272"/>
    <w:rsid w:val="003253F6"/>
    <w:rsid w:val="003256A4"/>
    <w:rsid w:val="0032588B"/>
    <w:rsid w:val="0032590E"/>
    <w:rsid w:val="00325D7E"/>
    <w:rsid w:val="00325EC7"/>
    <w:rsid w:val="00325ED6"/>
    <w:rsid w:val="003260DC"/>
    <w:rsid w:val="003261B8"/>
    <w:rsid w:val="00326254"/>
    <w:rsid w:val="00326526"/>
    <w:rsid w:val="00326C11"/>
    <w:rsid w:val="00326DA7"/>
    <w:rsid w:val="003270E4"/>
    <w:rsid w:val="00327276"/>
    <w:rsid w:val="0032788A"/>
    <w:rsid w:val="0033004F"/>
    <w:rsid w:val="00330309"/>
    <w:rsid w:val="00330719"/>
    <w:rsid w:val="00330DAA"/>
    <w:rsid w:val="00330F5C"/>
    <w:rsid w:val="00331695"/>
    <w:rsid w:val="0033212D"/>
    <w:rsid w:val="00332858"/>
    <w:rsid w:val="00332940"/>
    <w:rsid w:val="00332A27"/>
    <w:rsid w:val="00332AFB"/>
    <w:rsid w:val="0033339A"/>
    <w:rsid w:val="00333583"/>
    <w:rsid w:val="003335C6"/>
    <w:rsid w:val="00333786"/>
    <w:rsid w:val="00333A91"/>
    <w:rsid w:val="00333F67"/>
    <w:rsid w:val="00333FC9"/>
    <w:rsid w:val="00334717"/>
    <w:rsid w:val="0033474C"/>
    <w:rsid w:val="00334932"/>
    <w:rsid w:val="0033544B"/>
    <w:rsid w:val="003355EC"/>
    <w:rsid w:val="003358A1"/>
    <w:rsid w:val="00335BBA"/>
    <w:rsid w:val="00335EA6"/>
    <w:rsid w:val="00335F3F"/>
    <w:rsid w:val="0033609A"/>
    <w:rsid w:val="003363D6"/>
    <w:rsid w:val="00336647"/>
    <w:rsid w:val="003366C9"/>
    <w:rsid w:val="00336D5D"/>
    <w:rsid w:val="00337012"/>
    <w:rsid w:val="003371B0"/>
    <w:rsid w:val="003376D3"/>
    <w:rsid w:val="003378EB"/>
    <w:rsid w:val="00337D1B"/>
    <w:rsid w:val="00337F01"/>
    <w:rsid w:val="0034024E"/>
    <w:rsid w:val="00340771"/>
    <w:rsid w:val="00340D4E"/>
    <w:rsid w:val="00340DF1"/>
    <w:rsid w:val="003414CA"/>
    <w:rsid w:val="00341733"/>
    <w:rsid w:val="00341E8A"/>
    <w:rsid w:val="00341EBC"/>
    <w:rsid w:val="00342060"/>
    <w:rsid w:val="00342462"/>
    <w:rsid w:val="0034266A"/>
    <w:rsid w:val="00342B25"/>
    <w:rsid w:val="00342FAB"/>
    <w:rsid w:val="0034377B"/>
    <w:rsid w:val="00343ABA"/>
    <w:rsid w:val="00344519"/>
    <w:rsid w:val="003447CA"/>
    <w:rsid w:val="00345766"/>
    <w:rsid w:val="00345B6E"/>
    <w:rsid w:val="00345D17"/>
    <w:rsid w:val="00345F33"/>
    <w:rsid w:val="00347076"/>
    <w:rsid w:val="00347129"/>
    <w:rsid w:val="00347A0E"/>
    <w:rsid w:val="00347E3A"/>
    <w:rsid w:val="00350580"/>
    <w:rsid w:val="003505F7"/>
    <w:rsid w:val="00350EB1"/>
    <w:rsid w:val="0035108A"/>
    <w:rsid w:val="00351734"/>
    <w:rsid w:val="003517F9"/>
    <w:rsid w:val="0035185D"/>
    <w:rsid w:val="00351BA9"/>
    <w:rsid w:val="00351C97"/>
    <w:rsid w:val="00352350"/>
    <w:rsid w:val="0035248E"/>
    <w:rsid w:val="00352A59"/>
    <w:rsid w:val="00352C9B"/>
    <w:rsid w:val="00352EFD"/>
    <w:rsid w:val="0035355C"/>
    <w:rsid w:val="00353F22"/>
    <w:rsid w:val="00353FF6"/>
    <w:rsid w:val="003549C5"/>
    <w:rsid w:val="00354DFC"/>
    <w:rsid w:val="00354F64"/>
    <w:rsid w:val="00355358"/>
    <w:rsid w:val="00355B15"/>
    <w:rsid w:val="003560F4"/>
    <w:rsid w:val="0035620E"/>
    <w:rsid w:val="0035673B"/>
    <w:rsid w:val="00356B80"/>
    <w:rsid w:val="00356FB0"/>
    <w:rsid w:val="00357585"/>
    <w:rsid w:val="003575BE"/>
    <w:rsid w:val="00357BD5"/>
    <w:rsid w:val="00357C27"/>
    <w:rsid w:val="003602BC"/>
    <w:rsid w:val="00360345"/>
    <w:rsid w:val="00360357"/>
    <w:rsid w:val="00360B93"/>
    <w:rsid w:val="00360F3D"/>
    <w:rsid w:val="00361A05"/>
    <w:rsid w:val="00361B06"/>
    <w:rsid w:val="00361E8A"/>
    <w:rsid w:val="00361F74"/>
    <w:rsid w:val="0036220F"/>
    <w:rsid w:val="00362383"/>
    <w:rsid w:val="003624C4"/>
    <w:rsid w:val="0036342B"/>
    <w:rsid w:val="00363906"/>
    <w:rsid w:val="00363B00"/>
    <w:rsid w:val="00364243"/>
    <w:rsid w:val="0036440A"/>
    <w:rsid w:val="003648CC"/>
    <w:rsid w:val="00364C6B"/>
    <w:rsid w:val="00364FC3"/>
    <w:rsid w:val="0036524B"/>
    <w:rsid w:val="003654AC"/>
    <w:rsid w:val="00365B28"/>
    <w:rsid w:val="003661D5"/>
    <w:rsid w:val="003662C9"/>
    <w:rsid w:val="00366D58"/>
    <w:rsid w:val="00367079"/>
    <w:rsid w:val="003674E5"/>
    <w:rsid w:val="00367CB6"/>
    <w:rsid w:val="00367E1A"/>
    <w:rsid w:val="00367FF7"/>
    <w:rsid w:val="003708E0"/>
    <w:rsid w:val="003710CF"/>
    <w:rsid w:val="00371649"/>
    <w:rsid w:val="00371CA0"/>
    <w:rsid w:val="00371D63"/>
    <w:rsid w:val="00372B45"/>
    <w:rsid w:val="0037358A"/>
    <w:rsid w:val="00373807"/>
    <w:rsid w:val="0037389B"/>
    <w:rsid w:val="00373B5D"/>
    <w:rsid w:val="00373DA9"/>
    <w:rsid w:val="00373E7E"/>
    <w:rsid w:val="00373ED1"/>
    <w:rsid w:val="00374505"/>
    <w:rsid w:val="0037457A"/>
    <w:rsid w:val="003747B1"/>
    <w:rsid w:val="00375047"/>
    <w:rsid w:val="003750F6"/>
    <w:rsid w:val="003754E0"/>
    <w:rsid w:val="003756C4"/>
    <w:rsid w:val="003760FC"/>
    <w:rsid w:val="00376131"/>
    <w:rsid w:val="00376275"/>
    <w:rsid w:val="0037638B"/>
    <w:rsid w:val="00376447"/>
    <w:rsid w:val="00376A45"/>
    <w:rsid w:val="00376A98"/>
    <w:rsid w:val="00376BDB"/>
    <w:rsid w:val="00376D4E"/>
    <w:rsid w:val="0037722F"/>
    <w:rsid w:val="00377268"/>
    <w:rsid w:val="003775FE"/>
    <w:rsid w:val="003805BD"/>
    <w:rsid w:val="00380A15"/>
    <w:rsid w:val="00380ACE"/>
    <w:rsid w:val="00380BA5"/>
    <w:rsid w:val="00380EC8"/>
    <w:rsid w:val="00380F00"/>
    <w:rsid w:val="003818F6"/>
    <w:rsid w:val="00381F83"/>
    <w:rsid w:val="003821E2"/>
    <w:rsid w:val="003822D2"/>
    <w:rsid w:val="0038246B"/>
    <w:rsid w:val="003824A7"/>
    <w:rsid w:val="00382531"/>
    <w:rsid w:val="003828B0"/>
    <w:rsid w:val="00382AF2"/>
    <w:rsid w:val="00382AF6"/>
    <w:rsid w:val="00382BEC"/>
    <w:rsid w:val="00382DA5"/>
    <w:rsid w:val="003830D8"/>
    <w:rsid w:val="00383123"/>
    <w:rsid w:val="0038365C"/>
    <w:rsid w:val="0038369B"/>
    <w:rsid w:val="003838BA"/>
    <w:rsid w:val="00383B78"/>
    <w:rsid w:val="00383DCF"/>
    <w:rsid w:val="00383E5F"/>
    <w:rsid w:val="003845CF"/>
    <w:rsid w:val="00384B5D"/>
    <w:rsid w:val="00384F5B"/>
    <w:rsid w:val="00385178"/>
    <w:rsid w:val="003852C7"/>
    <w:rsid w:val="003858E7"/>
    <w:rsid w:val="00385A9D"/>
    <w:rsid w:val="00385C12"/>
    <w:rsid w:val="00385CB3"/>
    <w:rsid w:val="00385D1D"/>
    <w:rsid w:val="00385FC1"/>
    <w:rsid w:val="003861FA"/>
    <w:rsid w:val="00386B76"/>
    <w:rsid w:val="00386DB6"/>
    <w:rsid w:val="00387121"/>
    <w:rsid w:val="00387890"/>
    <w:rsid w:val="00387F3B"/>
    <w:rsid w:val="003901A6"/>
    <w:rsid w:val="003902B1"/>
    <w:rsid w:val="00390374"/>
    <w:rsid w:val="00390552"/>
    <w:rsid w:val="00390C2E"/>
    <w:rsid w:val="0039163C"/>
    <w:rsid w:val="0039179C"/>
    <w:rsid w:val="00392030"/>
    <w:rsid w:val="00392050"/>
    <w:rsid w:val="00392272"/>
    <w:rsid w:val="003926C2"/>
    <w:rsid w:val="00392797"/>
    <w:rsid w:val="00392CE0"/>
    <w:rsid w:val="00392ECE"/>
    <w:rsid w:val="00392F9A"/>
    <w:rsid w:val="003934D0"/>
    <w:rsid w:val="00393AA6"/>
    <w:rsid w:val="00393AE9"/>
    <w:rsid w:val="00393BEA"/>
    <w:rsid w:val="00393E5B"/>
    <w:rsid w:val="003941C7"/>
    <w:rsid w:val="0039437F"/>
    <w:rsid w:val="00394D22"/>
    <w:rsid w:val="00394FFB"/>
    <w:rsid w:val="003957EC"/>
    <w:rsid w:val="00396381"/>
    <w:rsid w:val="003965BA"/>
    <w:rsid w:val="00396896"/>
    <w:rsid w:val="00396ABC"/>
    <w:rsid w:val="00396FD0"/>
    <w:rsid w:val="00397490"/>
    <w:rsid w:val="00397EF2"/>
    <w:rsid w:val="00397FD6"/>
    <w:rsid w:val="003A0156"/>
    <w:rsid w:val="003A0464"/>
    <w:rsid w:val="003A1889"/>
    <w:rsid w:val="003A1A7A"/>
    <w:rsid w:val="003A1D48"/>
    <w:rsid w:val="003A1E1B"/>
    <w:rsid w:val="003A1F2E"/>
    <w:rsid w:val="003A2392"/>
    <w:rsid w:val="003A255A"/>
    <w:rsid w:val="003A2831"/>
    <w:rsid w:val="003A2E11"/>
    <w:rsid w:val="003A2FC1"/>
    <w:rsid w:val="003A2FC6"/>
    <w:rsid w:val="003A36F2"/>
    <w:rsid w:val="003A397F"/>
    <w:rsid w:val="003A3B24"/>
    <w:rsid w:val="003A3CB6"/>
    <w:rsid w:val="003A3ED1"/>
    <w:rsid w:val="003A43A3"/>
    <w:rsid w:val="003A44A8"/>
    <w:rsid w:val="003A44DB"/>
    <w:rsid w:val="003A49B9"/>
    <w:rsid w:val="003A4A6F"/>
    <w:rsid w:val="003A4C14"/>
    <w:rsid w:val="003A4EB0"/>
    <w:rsid w:val="003A52C7"/>
    <w:rsid w:val="003A55B0"/>
    <w:rsid w:val="003A5B3B"/>
    <w:rsid w:val="003A5DDF"/>
    <w:rsid w:val="003A5EE1"/>
    <w:rsid w:val="003A5F9A"/>
    <w:rsid w:val="003A6549"/>
    <w:rsid w:val="003A694D"/>
    <w:rsid w:val="003A6C1A"/>
    <w:rsid w:val="003A6C6A"/>
    <w:rsid w:val="003A6EC7"/>
    <w:rsid w:val="003A74BA"/>
    <w:rsid w:val="003A74EB"/>
    <w:rsid w:val="003A77E0"/>
    <w:rsid w:val="003A7AE5"/>
    <w:rsid w:val="003A7C3B"/>
    <w:rsid w:val="003A7CE7"/>
    <w:rsid w:val="003B04C3"/>
    <w:rsid w:val="003B11E6"/>
    <w:rsid w:val="003B1260"/>
    <w:rsid w:val="003B14CE"/>
    <w:rsid w:val="003B1BC1"/>
    <w:rsid w:val="003B1D9D"/>
    <w:rsid w:val="003B1EA8"/>
    <w:rsid w:val="003B1F23"/>
    <w:rsid w:val="003B269B"/>
    <w:rsid w:val="003B27BF"/>
    <w:rsid w:val="003B27F9"/>
    <w:rsid w:val="003B2B4F"/>
    <w:rsid w:val="003B3034"/>
    <w:rsid w:val="003B310E"/>
    <w:rsid w:val="003B3971"/>
    <w:rsid w:val="003B3CB0"/>
    <w:rsid w:val="003B3E87"/>
    <w:rsid w:val="003B4458"/>
    <w:rsid w:val="003B44F3"/>
    <w:rsid w:val="003B47EF"/>
    <w:rsid w:val="003B4A98"/>
    <w:rsid w:val="003B4D83"/>
    <w:rsid w:val="003B55D1"/>
    <w:rsid w:val="003B5B61"/>
    <w:rsid w:val="003B5C02"/>
    <w:rsid w:val="003B5C1C"/>
    <w:rsid w:val="003B6F39"/>
    <w:rsid w:val="003B7096"/>
    <w:rsid w:val="003B7199"/>
    <w:rsid w:val="003B7418"/>
    <w:rsid w:val="003C0713"/>
    <w:rsid w:val="003C0BCE"/>
    <w:rsid w:val="003C0BE0"/>
    <w:rsid w:val="003C0E3A"/>
    <w:rsid w:val="003C0ED4"/>
    <w:rsid w:val="003C12E4"/>
    <w:rsid w:val="003C1654"/>
    <w:rsid w:val="003C17A2"/>
    <w:rsid w:val="003C1CE9"/>
    <w:rsid w:val="003C1D9A"/>
    <w:rsid w:val="003C1E0F"/>
    <w:rsid w:val="003C1FAF"/>
    <w:rsid w:val="003C2AFA"/>
    <w:rsid w:val="003C2BB7"/>
    <w:rsid w:val="003C2CE3"/>
    <w:rsid w:val="003C2DE2"/>
    <w:rsid w:val="003C3017"/>
    <w:rsid w:val="003C3391"/>
    <w:rsid w:val="003C36EA"/>
    <w:rsid w:val="003C391C"/>
    <w:rsid w:val="003C4315"/>
    <w:rsid w:val="003C46FD"/>
    <w:rsid w:val="003C47AB"/>
    <w:rsid w:val="003C4BCD"/>
    <w:rsid w:val="003C50EB"/>
    <w:rsid w:val="003C5542"/>
    <w:rsid w:val="003C5663"/>
    <w:rsid w:val="003C59C2"/>
    <w:rsid w:val="003C5A3C"/>
    <w:rsid w:val="003C5E21"/>
    <w:rsid w:val="003C5E2E"/>
    <w:rsid w:val="003C6086"/>
    <w:rsid w:val="003C6351"/>
    <w:rsid w:val="003C64D2"/>
    <w:rsid w:val="003C7583"/>
    <w:rsid w:val="003C78FC"/>
    <w:rsid w:val="003C7C15"/>
    <w:rsid w:val="003C7C2D"/>
    <w:rsid w:val="003C7C4F"/>
    <w:rsid w:val="003C7D19"/>
    <w:rsid w:val="003C7D2F"/>
    <w:rsid w:val="003D03AC"/>
    <w:rsid w:val="003D0635"/>
    <w:rsid w:val="003D073D"/>
    <w:rsid w:val="003D0759"/>
    <w:rsid w:val="003D0A59"/>
    <w:rsid w:val="003D0C5A"/>
    <w:rsid w:val="003D11AE"/>
    <w:rsid w:val="003D12D2"/>
    <w:rsid w:val="003D1828"/>
    <w:rsid w:val="003D1B84"/>
    <w:rsid w:val="003D1DE4"/>
    <w:rsid w:val="003D1E9A"/>
    <w:rsid w:val="003D1EF5"/>
    <w:rsid w:val="003D2422"/>
    <w:rsid w:val="003D314E"/>
    <w:rsid w:val="003D31C1"/>
    <w:rsid w:val="003D39A1"/>
    <w:rsid w:val="003D3F9A"/>
    <w:rsid w:val="003D3FBF"/>
    <w:rsid w:val="003D401E"/>
    <w:rsid w:val="003D4512"/>
    <w:rsid w:val="003D47E2"/>
    <w:rsid w:val="003D4A30"/>
    <w:rsid w:val="003D4E6E"/>
    <w:rsid w:val="003D5B8D"/>
    <w:rsid w:val="003D5D87"/>
    <w:rsid w:val="003D5E5C"/>
    <w:rsid w:val="003D640E"/>
    <w:rsid w:val="003D6768"/>
    <w:rsid w:val="003D6EE9"/>
    <w:rsid w:val="003D6FC9"/>
    <w:rsid w:val="003D7152"/>
    <w:rsid w:val="003D7452"/>
    <w:rsid w:val="003D74D0"/>
    <w:rsid w:val="003D7570"/>
    <w:rsid w:val="003D79BB"/>
    <w:rsid w:val="003D7C98"/>
    <w:rsid w:val="003D7D9D"/>
    <w:rsid w:val="003E003D"/>
    <w:rsid w:val="003E01E3"/>
    <w:rsid w:val="003E0263"/>
    <w:rsid w:val="003E0543"/>
    <w:rsid w:val="003E0784"/>
    <w:rsid w:val="003E113E"/>
    <w:rsid w:val="003E1378"/>
    <w:rsid w:val="003E15CF"/>
    <w:rsid w:val="003E16C8"/>
    <w:rsid w:val="003E1EA2"/>
    <w:rsid w:val="003E1EED"/>
    <w:rsid w:val="003E23F1"/>
    <w:rsid w:val="003E2409"/>
    <w:rsid w:val="003E242E"/>
    <w:rsid w:val="003E27BE"/>
    <w:rsid w:val="003E2D46"/>
    <w:rsid w:val="003E3031"/>
    <w:rsid w:val="003E304A"/>
    <w:rsid w:val="003E3144"/>
    <w:rsid w:val="003E4020"/>
    <w:rsid w:val="003E40CB"/>
    <w:rsid w:val="003E44D5"/>
    <w:rsid w:val="003E48D6"/>
    <w:rsid w:val="003E4C01"/>
    <w:rsid w:val="003E51B7"/>
    <w:rsid w:val="003E5603"/>
    <w:rsid w:val="003E56FD"/>
    <w:rsid w:val="003E69C6"/>
    <w:rsid w:val="003E69F3"/>
    <w:rsid w:val="003E6C8B"/>
    <w:rsid w:val="003E749E"/>
    <w:rsid w:val="003E7702"/>
    <w:rsid w:val="003E775B"/>
    <w:rsid w:val="003E7B33"/>
    <w:rsid w:val="003E7FEA"/>
    <w:rsid w:val="003F0107"/>
    <w:rsid w:val="003F04EF"/>
    <w:rsid w:val="003F07DB"/>
    <w:rsid w:val="003F0958"/>
    <w:rsid w:val="003F0D9C"/>
    <w:rsid w:val="003F0DD2"/>
    <w:rsid w:val="003F127A"/>
    <w:rsid w:val="003F1624"/>
    <w:rsid w:val="003F1BBC"/>
    <w:rsid w:val="003F1DE5"/>
    <w:rsid w:val="003F22A0"/>
    <w:rsid w:val="003F2680"/>
    <w:rsid w:val="003F2F70"/>
    <w:rsid w:val="003F31AD"/>
    <w:rsid w:val="003F3A0C"/>
    <w:rsid w:val="003F3B72"/>
    <w:rsid w:val="003F4156"/>
    <w:rsid w:val="003F4616"/>
    <w:rsid w:val="003F476C"/>
    <w:rsid w:val="003F484B"/>
    <w:rsid w:val="003F4BA0"/>
    <w:rsid w:val="003F5218"/>
    <w:rsid w:val="003F52D3"/>
    <w:rsid w:val="003F5369"/>
    <w:rsid w:val="003F55F5"/>
    <w:rsid w:val="003F5ADF"/>
    <w:rsid w:val="003F5C36"/>
    <w:rsid w:val="003F64E7"/>
    <w:rsid w:val="003F6B73"/>
    <w:rsid w:val="003F6D5A"/>
    <w:rsid w:val="003F6EA7"/>
    <w:rsid w:val="003F7001"/>
    <w:rsid w:val="003F7086"/>
    <w:rsid w:val="003F736F"/>
    <w:rsid w:val="003F7663"/>
    <w:rsid w:val="003F7A25"/>
    <w:rsid w:val="003F7F82"/>
    <w:rsid w:val="00400246"/>
    <w:rsid w:val="00400274"/>
    <w:rsid w:val="004004D0"/>
    <w:rsid w:val="00400811"/>
    <w:rsid w:val="00400B29"/>
    <w:rsid w:val="00400E15"/>
    <w:rsid w:val="00401536"/>
    <w:rsid w:val="00401A17"/>
    <w:rsid w:val="00401A2E"/>
    <w:rsid w:val="0040226D"/>
    <w:rsid w:val="0040241A"/>
    <w:rsid w:val="00402812"/>
    <w:rsid w:val="004030F5"/>
    <w:rsid w:val="0040345C"/>
    <w:rsid w:val="00403822"/>
    <w:rsid w:val="0040491C"/>
    <w:rsid w:val="00404C3B"/>
    <w:rsid w:val="00404D4C"/>
    <w:rsid w:val="0040504B"/>
    <w:rsid w:val="004050D7"/>
    <w:rsid w:val="004055C2"/>
    <w:rsid w:val="004056AA"/>
    <w:rsid w:val="0040578E"/>
    <w:rsid w:val="004059F4"/>
    <w:rsid w:val="00405C3B"/>
    <w:rsid w:val="004063DF"/>
    <w:rsid w:val="004066C2"/>
    <w:rsid w:val="00406ED8"/>
    <w:rsid w:val="0040773E"/>
    <w:rsid w:val="00407AD6"/>
    <w:rsid w:val="00407C8B"/>
    <w:rsid w:val="00407CA8"/>
    <w:rsid w:val="00407F2F"/>
    <w:rsid w:val="00407FE5"/>
    <w:rsid w:val="004101B0"/>
    <w:rsid w:val="00410326"/>
    <w:rsid w:val="00410708"/>
    <w:rsid w:val="00410EC7"/>
    <w:rsid w:val="00411331"/>
    <w:rsid w:val="00411B39"/>
    <w:rsid w:val="004127A7"/>
    <w:rsid w:val="00412BCD"/>
    <w:rsid w:val="00412D2D"/>
    <w:rsid w:val="00412E6F"/>
    <w:rsid w:val="0041305D"/>
    <w:rsid w:val="004131E3"/>
    <w:rsid w:val="00413371"/>
    <w:rsid w:val="004133FB"/>
    <w:rsid w:val="00413A1E"/>
    <w:rsid w:val="00413DA8"/>
    <w:rsid w:val="00413DC8"/>
    <w:rsid w:val="004143E9"/>
    <w:rsid w:val="00414476"/>
    <w:rsid w:val="00414506"/>
    <w:rsid w:val="00414C2E"/>
    <w:rsid w:val="0041507A"/>
    <w:rsid w:val="004151CF"/>
    <w:rsid w:val="004153A5"/>
    <w:rsid w:val="0041548C"/>
    <w:rsid w:val="004155FA"/>
    <w:rsid w:val="00415E60"/>
    <w:rsid w:val="00416364"/>
    <w:rsid w:val="00416854"/>
    <w:rsid w:val="00416D69"/>
    <w:rsid w:val="00416F03"/>
    <w:rsid w:val="00416F97"/>
    <w:rsid w:val="00417116"/>
    <w:rsid w:val="00417313"/>
    <w:rsid w:val="0041738B"/>
    <w:rsid w:val="00417689"/>
    <w:rsid w:val="00417C0E"/>
    <w:rsid w:val="00417FA3"/>
    <w:rsid w:val="0042006B"/>
    <w:rsid w:val="0042047F"/>
    <w:rsid w:val="00420AA6"/>
    <w:rsid w:val="00420B9F"/>
    <w:rsid w:val="00420BD7"/>
    <w:rsid w:val="00420FD2"/>
    <w:rsid w:val="004211F9"/>
    <w:rsid w:val="00421567"/>
    <w:rsid w:val="0042192C"/>
    <w:rsid w:val="00421A8F"/>
    <w:rsid w:val="00421B07"/>
    <w:rsid w:val="00421BD5"/>
    <w:rsid w:val="00422260"/>
    <w:rsid w:val="00422842"/>
    <w:rsid w:val="00422A51"/>
    <w:rsid w:val="00422E16"/>
    <w:rsid w:val="0042326E"/>
    <w:rsid w:val="00423AA2"/>
    <w:rsid w:val="00423CAC"/>
    <w:rsid w:val="0042413F"/>
    <w:rsid w:val="00424209"/>
    <w:rsid w:val="00424AD2"/>
    <w:rsid w:val="00425279"/>
    <w:rsid w:val="00425560"/>
    <w:rsid w:val="00425AE9"/>
    <w:rsid w:val="00425CD2"/>
    <w:rsid w:val="00425D8D"/>
    <w:rsid w:val="004260BD"/>
    <w:rsid w:val="00426499"/>
    <w:rsid w:val="0042674A"/>
    <w:rsid w:val="00426950"/>
    <w:rsid w:val="004269A9"/>
    <w:rsid w:val="004275D0"/>
    <w:rsid w:val="00427E20"/>
    <w:rsid w:val="00427EB3"/>
    <w:rsid w:val="00430723"/>
    <w:rsid w:val="0043084F"/>
    <w:rsid w:val="0043096A"/>
    <w:rsid w:val="00430A73"/>
    <w:rsid w:val="00431895"/>
    <w:rsid w:val="004318BE"/>
    <w:rsid w:val="004319F8"/>
    <w:rsid w:val="00431E55"/>
    <w:rsid w:val="004321F6"/>
    <w:rsid w:val="00432857"/>
    <w:rsid w:val="00432BCA"/>
    <w:rsid w:val="00432EAB"/>
    <w:rsid w:val="00432F77"/>
    <w:rsid w:val="00432FC8"/>
    <w:rsid w:val="00433044"/>
    <w:rsid w:val="00433344"/>
    <w:rsid w:val="00433CA5"/>
    <w:rsid w:val="00433CFE"/>
    <w:rsid w:val="00433EA4"/>
    <w:rsid w:val="00434088"/>
    <w:rsid w:val="00434A81"/>
    <w:rsid w:val="004352A7"/>
    <w:rsid w:val="004352E0"/>
    <w:rsid w:val="004353E2"/>
    <w:rsid w:val="00435457"/>
    <w:rsid w:val="00435610"/>
    <w:rsid w:val="004358A9"/>
    <w:rsid w:val="00435D29"/>
    <w:rsid w:val="00435D44"/>
    <w:rsid w:val="00435FC9"/>
    <w:rsid w:val="0043652D"/>
    <w:rsid w:val="00436869"/>
    <w:rsid w:val="00436E51"/>
    <w:rsid w:val="00436F01"/>
    <w:rsid w:val="00437325"/>
    <w:rsid w:val="0043733F"/>
    <w:rsid w:val="004375B9"/>
    <w:rsid w:val="004376AA"/>
    <w:rsid w:val="0043798B"/>
    <w:rsid w:val="00437A79"/>
    <w:rsid w:val="00437F26"/>
    <w:rsid w:val="004400D2"/>
    <w:rsid w:val="00440954"/>
    <w:rsid w:val="0044142A"/>
    <w:rsid w:val="004418B2"/>
    <w:rsid w:val="00441DF5"/>
    <w:rsid w:val="00442068"/>
    <w:rsid w:val="00442501"/>
    <w:rsid w:val="00442626"/>
    <w:rsid w:val="00442683"/>
    <w:rsid w:val="004428D0"/>
    <w:rsid w:val="00443636"/>
    <w:rsid w:val="00443842"/>
    <w:rsid w:val="00443900"/>
    <w:rsid w:val="00444185"/>
    <w:rsid w:val="0044439F"/>
    <w:rsid w:val="004443A7"/>
    <w:rsid w:val="0044442B"/>
    <w:rsid w:val="0044442C"/>
    <w:rsid w:val="004444A2"/>
    <w:rsid w:val="0044477C"/>
    <w:rsid w:val="00444B08"/>
    <w:rsid w:val="0044514D"/>
    <w:rsid w:val="00445479"/>
    <w:rsid w:val="00445493"/>
    <w:rsid w:val="00445941"/>
    <w:rsid w:val="004459D1"/>
    <w:rsid w:val="00445BE3"/>
    <w:rsid w:val="00445F26"/>
    <w:rsid w:val="00446209"/>
    <w:rsid w:val="00446245"/>
    <w:rsid w:val="004464EB"/>
    <w:rsid w:val="004475D3"/>
    <w:rsid w:val="00447D26"/>
    <w:rsid w:val="00447DFC"/>
    <w:rsid w:val="00450316"/>
    <w:rsid w:val="004507DC"/>
    <w:rsid w:val="00450E9A"/>
    <w:rsid w:val="0045126B"/>
    <w:rsid w:val="0045148E"/>
    <w:rsid w:val="0045244F"/>
    <w:rsid w:val="00452535"/>
    <w:rsid w:val="004527F1"/>
    <w:rsid w:val="00452920"/>
    <w:rsid w:val="00452AEC"/>
    <w:rsid w:val="00453D41"/>
    <w:rsid w:val="00453D79"/>
    <w:rsid w:val="00453F73"/>
    <w:rsid w:val="0045422E"/>
    <w:rsid w:val="00454B1F"/>
    <w:rsid w:val="00454F92"/>
    <w:rsid w:val="00455054"/>
    <w:rsid w:val="00455AEE"/>
    <w:rsid w:val="00455CBC"/>
    <w:rsid w:val="00455D45"/>
    <w:rsid w:val="00455DD2"/>
    <w:rsid w:val="0045686D"/>
    <w:rsid w:val="00456DA7"/>
    <w:rsid w:val="00456FE7"/>
    <w:rsid w:val="0045707B"/>
    <w:rsid w:val="0045721F"/>
    <w:rsid w:val="00457327"/>
    <w:rsid w:val="00457F05"/>
    <w:rsid w:val="00460F1F"/>
    <w:rsid w:val="00461043"/>
    <w:rsid w:val="004610F4"/>
    <w:rsid w:val="00461455"/>
    <w:rsid w:val="00461750"/>
    <w:rsid w:val="004617DE"/>
    <w:rsid w:val="004624C9"/>
    <w:rsid w:val="004624E1"/>
    <w:rsid w:val="00462876"/>
    <w:rsid w:val="004632C7"/>
    <w:rsid w:val="004635DB"/>
    <w:rsid w:val="00463633"/>
    <w:rsid w:val="00464151"/>
    <w:rsid w:val="00464493"/>
    <w:rsid w:val="00464595"/>
    <w:rsid w:val="00464A7C"/>
    <w:rsid w:val="00464F6E"/>
    <w:rsid w:val="00465257"/>
    <w:rsid w:val="004658B5"/>
    <w:rsid w:val="00465C25"/>
    <w:rsid w:val="00466287"/>
    <w:rsid w:val="00466486"/>
    <w:rsid w:val="0046650B"/>
    <w:rsid w:val="0046664A"/>
    <w:rsid w:val="00466DD6"/>
    <w:rsid w:val="004675B5"/>
    <w:rsid w:val="00467B46"/>
    <w:rsid w:val="00467D6E"/>
    <w:rsid w:val="00467F15"/>
    <w:rsid w:val="0047022A"/>
    <w:rsid w:val="00470331"/>
    <w:rsid w:val="004708D7"/>
    <w:rsid w:val="00470FCB"/>
    <w:rsid w:val="004711BC"/>
    <w:rsid w:val="00471258"/>
    <w:rsid w:val="004713A1"/>
    <w:rsid w:val="00471EA5"/>
    <w:rsid w:val="00472069"/>
    <w:rsid w:val="00472221"/>
    <w:rsid w:val="0047244D"/>
    <w:rsid w:val="00472565"/>
    <w:rsid w:val="0047256A"/>
    <w:rsid w:val="00472A79"/>
    <w:rsid w:val="00472D99"/>
    <w:rsid w:val="00472D9A"/>
    <w:rsid w:val="00473475"/>
    <w:rsid w:val="00473F19"/>
    <w:rsid w:val="00474A83"/>
    <w:rsid w:val="00474C84"/>
    <w:rsid w:val="00474D78"/>
    <w:rsid w:val="00474EDF"/>
    <w:rsid w:val="00474FE1"/>
    <w:rsid w:val="00475D1F"/>
    <w:rsid w:val="00475E22"/>
    <w:rsid w:val="00475FBE"/>
    <w:rsid w:val="004772D0"/>
    <w:rsid w:val="00477C4A"/>
    <w:rsid w:val="00477F82"/>
    <w:rsid w:val="004806A4"/>
    <w:rsid w:val="0048088E"/>
    <w:rsid w:val="00480F2B"/>
    <w:rsid w:val="00481575"/>
    <w:rsid w:val="00481E2C"/>
    <w:rsid w:val="004820C4"/>
    <w:rsid w:val="004823D7"/>
    <w:rsid w:val="00482720"/>
    <w:rsid w:val="00482829"/>
    <w:rsid w:val="00482C9B"/>
    <w:rsid w:val="004835E7"/>
    <w:rsid w:val="004835EC"/>
    <w:rsid w:val="00483B24"/>
    <w:rsid w:val="00483E46"/>
    <w:rsid w:val="00484567"/>
    <w:rsid w:val="00484752"/>
    <w:rsid w:val="0048490C"/>
    <w:rsid w:val="00484958"/>
    <w:rsid w:val="00484C1D"/>
    <w:rsid w:val="00484E86"/>
    <w:rsid w:val="00484F55"/>
    <w:rsid w:val="00484F5D"/>
    <w:rsid w:val="004854CD"/>
    <w:rsid w:val="0048592F"/>
    <w:rsid w:val="004859E1"/>
    <w:rsid w:val="00485A68"/>
    <w:rsid w:val="00485AC0"/>
    <w:rsid w:val="00485F94"/>
    <w:rsid w:val="004861F6"/>
    <w:rsid w:val="004867E2"/>
    <w:rsid w:val="00486FAC"/>
    <w:rsid w:val="004875B6"/>
    <w:rsid w:val="0048767D"/>
    <w:rsid w:val="00487C7F"/>
    <w:rsid w:val="00487E82"/>
    <w:rsid w:val="0049007B"/>
    <w:rsid w:val="0049045D"/>
    <w:rsid w:val="0049064B"/>
    <w:rsid w:val="004907A2"/>
    <w:rsid w:val="0049087F"/>
    <w:rsid w:val="00490B17"/>
    <w:rsid w:val="00491A37"/>
    <w:rsid w:val="00491B3A"/>
    <w:rsid w:val="00492067"/>
    <w:rsid w:val="00492260"/>
    <w:rsid w:val="00492680"/>
    <w:rsid w:val="00492B02"/>
    <w:rsid w:val="00492CFD"/>
    <w:rsid w:val="00492F6E"/>
    <w:rsid w:val="00493598"/>
    <w:rsid w:val="0049360B"/>
    <w:rsid w:val="0049394F"/>
    <w:rsid w:val="00493EFF"/>
    <w:rsid w:val="00493F1B"/>
    <w:rsid w:val="0049414E"/>
    <w:rsid w:val="00494207"/>
    <w:rsid w:val="0049482A"/>
    <w:rsid w:val="0049485C"/>
    <w:rsid w:val="00494DD5"/>
    <w:rsid w:val="00494FC7"/>
    <w:rsid w:val="00495F9D"/>
    <w:rsid w:val="004962D2"/>
    <w:rsid w:val="004968A9"/>
    <w:rsid w:val="00496915"/>
    <w:rsid w:val="00496B75"/>
    <w:rsid w:val="00497362"/>
    <w:rsid w:val="0049744E"/>
    <w:rsid w:val="004978CF"/>
    <w:rsid w:val="00497982"/>
    <w:rsid w:val="00497BB8"/>
    <w:rsid w:val="00497C2A"/>
    <w:rsid w:val="00497C96"/>
    <w:rsid w:val="00497CDE"/>
    <w:rsid w:val="004A005E"/>
    <w:rsid w:val="004A0DA1"/>
    <w:rsid w:val="004A13D6"/>
    <w:rsid w:val="004A1736"/>
    <w:rsid w:val="004A17E2"/>
    <w:rsid w:val="004A1892"/>
    <w:rsid w:val="004A1C04"/>
    <w:rsid w:val="004A1E1F"/>
    <w:rsid w:val="004A1E42"/>
    <w:rsid w:val="004A20F5"/>
    <w:rsid w:val="004A249B"/>
    <w:rsid w:val="004A28CC"/>
    <w:rsid w:val="004A30AF"/>
    <w:rsid w:val="004A3C3D"/>
    <w:rsid w:val="004A3FE9"/>
    <w:rsid w:val="004A4267"/>
    <w:rsid w:val="004A5164"/>
    <w:rsid w:val="004A52E9"/>
    <w:rsid w:val="004A5A07"/>
    <w:rsid w:val="004A5A15"/>
    <w:rsid w:val="004A5B6D"/>
    <w:rsid w:val="004A5CA4"/>
    <w:rsid w:val="004A5EEA"/>
    <w:rsid w:val="004A6040"/>
    <w:rsid w:val="004A6597"/>
    <w:rsid w:val="004A6A5F"/>
    <w:rsid w:val="004A7848"/>
    <w:rsid w:val="004A793B"/>
    <w:rsid w:val="004A7ED7"/>
    <w:rsid w:val="004A7EE0"/>
    <w:rsid w:val="004B03D0"/>
    <w:rsid w:val="004B06D6"/>
    <w:rsid w:val="004B0B8E"/>
    <w:rsid w:val="004B1247"/>
    <w:rsid w:val="004B1577"/>
    <w:rsid w:val="004B17C0"/>
    <w:rsid w:val="004B1A87"/>
    <w:rsid w:val="004B1CB4"/>
    <w:rsid w:val="004B1E85"/>
    <w:rsid w:val="004B2046"/>
    <w:rsid w:val="004B27FA"/>
    <w:rsid w:val="004B2849"/>
    <w:rsid w:val="004B2CDF"/>
    <w:rsid w:val="004B2D81"/>
    <w:rsid w:val="004B2E72"/>
    <w:rsid w:val="004B2F18"/>
    <w:rsid w:val="004B3024"/>
    <w:rsid w:val="004B3311"/>
    <w:rsid w:val="004B37E5"/>
    <w:rsid w:val="004B3DDB"/>
    <w:rsid w:val="004B4146"/>
    <w:rsid w:val="004B44FD"/>
    <w:rsid w:val="004B4621"/>
    <w:rsid w:val="004B467C"/>
    <w:rsid w:val="004B4A67"/>
    <w:rsid w:val="004B509C"/>
    <w:rsid w:val="004B522D"/>
    <w:rsid w:val="004B52D3"/>
    <w:rsid w:val="004B558D"/>
    <w:rsid w:val="004B55D6"/>
    <w:rsid w:val="004B5CFC"/>
    <w:rsid w:val="004B6035"/>
    <w:rsid w:val="004B6090"/>
    <w:rsid w:val="004B6A43"/>
    <w:rsid w:val="004B6C8E"/>
    <w:rsid w:val="004B6CDD"/>
    <w:rsid w:val="004B6F79"/>
    <w:rsid w:val="004B6F95"/>
    <w:rsid w:val="004B72C3"/>
    <w:rsid w:val="004B774D"/>
    <w:rsid w:val="004B7EB5"/>
    <w:rsid w:val="004B7F96"/>
    <w:rsid w:val="004C0AE2"/>
    <w:rsid w:val="004C0EE4"/>
    <w:rsid w:val="004C1B29"/>
    <w:rsid w:val="004C1CF6"/>
    <w:rsid w:val="004C20F7"/>
    <w:rsid w:val="004C2202"/>
    <w:rsid w:val="004C2692"/>
    <w:rsid w:val="004C29B7"/>
    <w:rsid w:val="004C2AC2"/>
    <w:rsid w:val="004C313C"/>
    <w:rsid w:val="004C35DE"/>
    <w:rsid w:val="004C3746"/>
    <w:rsid w:val="004C3820"/>
    <w:rsid w:val="004C3BDB"/>
    <w:rsid w:val="004C4268"/>
    <w:rsid w:val="004C44AE"/>
    <w:rsid w:val="004C4709"/>
    <w:rsid w:val="004C48D0"/>
    <w:rsid w:val="004C4AED"/>
    <w:rsid w:val="004C51F3"/>
    <w:rsid w:val="004C520F"/>
    <w:rsid w:val="004C5448"/>
    <w:rsid w:val="004C55DB"/>
    <w:rsid w:val="004C66A5"/>
    <w:rsid w:val="004C66A6"/>
    <w:rsid w:val="004C69E8"/>
    <w:rsid w:val="004C7B59"/>
    <w:rsid w:val="004C7D06"/>
    <w:rsid w:val="004C7F4B"/>
    <w:rsid w:val="004D001E"/>
    <w:rsid w:val="004D052A"/>
    <w:rsid w:val="004D05B7"/>
    <w:rsid w:val="004D0813"/>
    <w:rsid w:val="004D1087"/>
    <w:rsid w:val="004D18E6"/>
    <w:rsid w:val="004D1CD3"/>
    <w:rsid w:val="004D1DF5"/>
    <w:rsid w:val="004D1ECC"/>
    <w:rsid w:val="004D2412"/>
    <w:rsid w:val="004D2939"/>
    <w:rsid w:val="004D2B1B"/>
    <w:rsid w:val="004D2B27"/>
    <w:rsid w:val="004D2C2D"/>
    <w:rsid w:val="004D2D32"/>
    <w:rsid w:val="004D2D40"/>
    <w:rsid w:val="004D32A6"/>
    <w:rsid w:val="004D3DE7"/>
    <w:rsid w:val="004D3E84"/>
    <w:rsid w:val="004D4288"/>
    <w:rsid w:val="004D457A"/>
    <w:rsid w:val="004D49C2"/>
    <w:rsid w:val="004D4B45"/>
    <w:rsid w:val="004D5045"/>
    <w:rsid w:val="004D52EE"/>
    <w:rsid w:val="004D5AC2"/>
    <w:rsid w:val="004D5DD4"/>
    <w:rsid w:val="004D611E"/>
    <w:rsid w:val="004D613E"/>
    <w:rsid w:val="004D6339"/>
    <w:rsid w:val="004D63C2"/>
    <w:rsid w:val="004D6528"/>
    <w:rsid w:val="004D671C"/>
    <w:rsid w:val="004D677B"/>
    <w:rsid w:val="004D69B5"/>
    <w:rsid w:val="004D6DC8"/>
    <w:rsid w:val="004D7227"/>
    <w:rsid w:val="004D7383"/>
    <w:rsid w:val="004D7653"/>
    <w:rsid w:val="004D7B5E"/>
    <w:rsid w:val="004D7E2A"/>
    <w:rsid w:val="004D7E4F"/>
    <w:rsid w:val="004E01E7"/>
    <w:rsid w:val="004E03FA"/>
    <w:rsid w:val="004E0BC9"/>
    <w:rsid w:val="004E0C1D"/>
    <w:rsid w:val="004E0D06"/>
    <w:rsid w:val="004E0E7F"/>
    <w:rsid w:val="004E0EB8"/>
    <w:rsid w:val="004E13EC"/>
    <w:rsid w:val="004E1887"/>
    <w:rsid w:val="004E18C0"/>
    <w:rsid w:val="004E18E9"/>
    <w:rsid w:val="004E244D"/>
    <w:rsid w:val="004E2882"/>
    <w:rsid w:val="004E2A4E"/>
    <w:rsid w:val="004E2ADC"/>
    <w:rsid w:val="004E2AF9"/>
    <w:rsid w:val="004E2D49"/>
    <w:rsid w:val="004E2EE3"/>
    <w:rsid w:val="004E2F3D"/>
    <w:rsid w:val="004E332A"/>
    <w:rsid w:val="004E34D6"/>
    <w:rsid w:val="004E35EA"/>
    <w:rsid w:val="004E3634"/>
    <w:rsid w:val="004E3664"/>
    <w:rsid w:val="004E3811"/>
    <w:rsid w:val="004E3B08"/>
    <w:rsid w:val="004E3C14"/>
    <w:rsid w:val="004E4180"/>
    <w:rsid w:val="004E424C"/>
    <w:rsid w:val="004E43B2"/>
    <w:rsid w:val="004E45BE"/>
    <w:rsid w:val="004E4D8B"/>
    <w:rsid w:val="004E4D95"/>
    <w:rsid w:val="004E4E83"/>
    <w:rsid w:val="004E5039"/>
    <w:rsid w:val="004E50D0"/>
    <w:rsid w:val="004E5606"/>
    <w:rsid w:val="004E5662"/>
    <w:rsid w:val="004E602A"/>
    <w:rsid w:val="004E7191"/>
    <w:rsid w:val="004E7639"/>
    <w:rsid w:val="004E78DA"/>
    <w:rsid w:val="004E7A1E"/>
    <w:rsid w:val="004E7FE0"/>
    <w:rsid w:val="004F0300"/>
    <w:rsid w:val="004F058E"/>
    <w:rsid w:val="004F066F"/>
    <w:rsid w:val="004F0B33"/>
    <w:rsid w:val="004F0BB6"/>
    <w:rsid w:val="004F0EA7"/>
    <w:rsid w:val="004F1B4D"/>
    <w:rsid w:val="004F1D02"/>
    <w:rsid w:val="004F1E92"/>
    <w:rsid w:val="004F22CF"/>
    <w:rsid w:val="004F2679"/>
    <w:rsid w:val="004F27F8"/>
    <w:rsid w:val="004F2F21"/>
    <w:rsid w:val="004F3186"/>
    <w:rsid w:val="004F3BDA"/>
    <w:rsid w:val="004F3DE5"/>
    <w:rsid w:val="004F4537"/>
    <w:rsid w:val="004F47A1"/>
    <w:rsid w:val="004F4D7C"/>
    <w:rsid w:val="004F532A"/>
    <w:rsid w:val="004F5784"/>
    <w:rsid w:val="004F581A"/>
    <w:rsid w:val="004F5893"/>
    <w:rsid w:val="004F594B"/>
    <w:rsid w:val="004F5AF8"/>
    <w:rsid w:val="004F5D88"/>
    <w:rsid w:val="004F61A5"/>
    <w:rsid w:val="004F622A"/>
    <w:rsid w:val="004F637B"/>
    <w:rsid w:val="004F644F"/>
    <w:rsid w:val="004F68B1"/>
    <w:rsid w:val="004F6913"/>
    <w:rsid w:val="004F6AD8"/>
    <w:rsid w:val="004F6DF0"/>
    <w:rsid w:val="004F7865"/>
    <w:rsid w:val="004F7BFA"/>
    <w:rsid w:val="004F7E37"/>
    <w:rsid w:val="0050002E"/>
    <w:rsid w:val="00500768"/>
    <w:rsid w:val="005009C7"/>
    <w:rsid w:val="005011AB"/>
    <w:rsid w:val="005011E0"/>
    <w:rsid w:val="00501359"/>
    <w:rsid w:val="0050174E"/>
    <w:rsid w:val="00501854"/>
    <w:rsid w:val="00501D79"/>
    <w:rsid w:val="00501DEC"/>
    <w:rsid w:val="00501F54"/>
    <w:rsid w:val="00502096"/>
    <w:rsid w:val="0050219B"/>
    <w:rsid w:val="005021ED"/>
    <w:rsid w:val="00502E6D"/>
    <w:rsid w:val="005038DB"/>
    <w:rsid w:val="00503DD8"/>
    <w:rsid w:val="00503F17"/>
    <w:rsid w:val="00503F3A"/>
    <w:rsid w:val="0050419B"/>
    <w:rsid w:val="005043AC"/>
    <w:rsid w:val="005047A2"/>
    <w:rsid w:val="0050480C"/>
    <w:rsid w:val="005064A2"/>
    <w:rsid w:val="00506757"/>
    <w:rsid w:val="00506928"/>
    <w:rsid w:val="00506A38"/>
    <w:rsid w:val="005073F4"/>
    <w:rsid w:val="00507653"/>
    <w:rsid w:val="005077EF"/>
    <w:rsid w:val="00507A19"/>
    <w:rsid w:val="00507C2B"/>
    <w:rsid w:val="0051017B"/>
    <w:rsid w:val="00510190"/>
    <w:rsid w:val="005101C8"/>
    <w:rsid w:val="0051085F"/>
    <w:rsid w:val="005109C5"/>
    <w:rsid w:val="0051102F"/>
    <w:rsid w:val="005110C3"/>
    <w:rsid w:val="005110F7"/>
    <w:rsid w:val="00511193"/>
    <w:rsid w:val="00511AD5"/>
    <w:rsid w:val="00511C5D"/>
    <w:rsid w:val="00511DC7"/>
    <w:rsid w:val="00512074"/>
    <w:rsid w:val="005130AE"/>
    <w:rsid w:val="00513104"/>
    <w:rsid w:val="00513122"/>
    <w:rsid w:val="005132E3"/>
    <w:rsid w:val="0051365A"/>
    <w:rsid w:val="005142C5"/>
    <w:rsid w:val="00514329"/>
    <w:rsid w:val="00514C24"/>
    <w:rsid w:val="0051501B"/>
    <w:rsid w:val="00515118"/>
    <w:rsid w:val="005152B5"/>
    <w:rsid w:val="00515818"/>
    <w:rsid w:val="00515886"/>
    <w:rsid w:val="005161D1"/>
    <w:rsid w:val="00516256"/>
    <w:rsid w:val="00516E92"/>
    <w:rsid w:val="005179B1"/>
    <w:rsid w:val="00517F23"/>
    <w:rsid w:val="00520377"/>
    <w:rsid w:val="00520462"/>
    <w:rsid w:val="00520654"/>
    <w:rsid w:val="005206CD"/>
    <w:rsid w:val="00520726"/>
    <w:rsid w:val="0052123C"/>
    <w:rsid w:val="005212E3"/>
    <w:rsid w:val="00521319"/>
    <w:rsid w:val="005213BD"/>
    <w:rsid w:val="005217BF"/>
    <w:rsid w:val="00521813"/>
    <w:rsid w:val="00521DE4"/>
    <w:rsid w:val="0052228D"/>
    <w:rsid w:val="00522706"/>
    <w:rsid w:val="00522BC8"/>
    <w:rsid w:val="0052324B"/>
    <w:rsid w:val="0052330D"/>
    <w:rsid w:val="005237A4"/>
    <w:rsid w:val="00523C28"/>
    <w:rsid w:val="005245AC"/>
    <w:rsid w:val="00524C8D"/>
    <w:rsid w:val="0052505D"/>
    <w:rsid w:val="005250C7"/>
    <w:rsid w:val="0052549E"/>
    <w:rsid w:val="00525C47"/>
    <w:rsid w:val="0052655B"/>
    <w:rsid w:val="00526B99"/>
    <w:rsid w:val="00526C80"/>
    <w:rsid w:val="00526FAE"/>
    <w:rsid w:val="00527177"/>
    <w:rsid w:val="005273FE"/>
    <w:rsid w:val="005278CD"/>
    <w:rsid w:val="005304B9"/>
    <w:rsid w:val="005309C0"/>
    <w:rsid w:val="00530F7E"/>
    <w:rsid w:val="005311BF"/>
    <w:rsid w:val="005312AA"/>
    <w:rsid w:val="0053172A"/>
    <w:rsid w:val="0053176B"/>
    <w:rsid w:val="00531C74"/>
    <w:rsid w:val="00531CB7"/>
    <w:rsid w:val="005323CF"/>
    <w:rsid w:val="005324FC"/>
    <w:rsid w:val="00532AE9"/>
    <w:rsid w:val="00532C20"/>
    <w:rsid w:val="00532E8F"/>
    <w:rsid w:val="00532F2B"/>
    <w:rsid w:val="00533364"/>
    <w:rsid w:val="00533713"/>
    <w:rsid w:val="005339A5"/>
    <w:rsid w:val="005340EE"/>
    <w:rsid w:val="005341B3"/>
    <w:rsid w:val="00534303"/>
    <w:rsid w:val="0053434E"/>
    <w:rsid w:val="005343CC"/>
    <w:rsid w:val="005346D9"/>
    <w:rsid w:val="005347A3"/>
    <w:rsid w:val="00534C3C"/>
    <w:rsid w:val="0053513B"/>
    <w:rsid w:val="0053563B"/>
    <w:rsid w:val="00535838"/>
    <w:rsid w:val="00535B7B"/>
    <w:rsid w:val="00535C11"/>
    <w:rsid w:val="005360D1"/>
    <w:rsid w:val="005363FC"/>
    <w:rsid w:val="00536492"/>
    <w:rsid w:val="00536972"/>
    <w:rsid w:val="005369DB"/>
    <w:rsid w:val="00536B91"/>
    <w:rsid w:val="00536F42"/>
    <w:rsid w:val="00537182"/>
    <w:rsid w:val="005374FC"/>
    <w:rsid w:val="00537777"/>
    <w:rsid w:val="0053784B"/>
    <w:rsid w:val="00537D8D"/>
    <w:rsid w:val="00537E49"/>
    <w:rsid w:val="00537EB5"/>
    <w:rsid w:val="00540052"/>
    <w:rsid w:val="0054023D"/>
    <w:rsid w:val="005413D6"/>
    <w:rsid w:val="005419AB"/>
    <w:rsid w:val="00541EDD"/>
    <w:rsid w:val="00541EDE"/>
    <w:rsid w:val="00542083"/>
    <w:rsid w:val="005420AC"/>
    <w:rsid w:val="00542743"/>
    <w:rsid w:val="00542B36"/>
    <w:rsid w:val="00542BFA"/>
    <w:rsid w:val="00542C2D"/>
    <w:rsid w:val="00543203"/>
    <w:rsid w:val="0054352B"/>
    <w:rsid w:val="00543569"/>
    <w:rsid w:val="00543B11"/>
    <w:rsid w:val="00543CDE"/>
    <w:rsid w:val="0054480C"/>
    <w:rsid w:val="00544852"/>
    <w:rsid w:val="005453C6"/>
    <w:rsid w:val="005455F3"/>
    <w:rsid w:val="00545C23"/>
    <w:rsid w:val="005463E5"/>
    <w:rsid w:val="00546406"/>
    <w:rsid w:val="00546D26"/>
    <w:rsid w:val="005478BD"/>
    <w:rsid w:val="005479E3"/>
    <w:rsid w:val="00547AFF"/>
    <w:rsid w:val="00547FBF"/>
    <w:rsid w:val="00550305"/>
    <w:rsid w:val="005505FD"/>
    <w:rsid w:val="00550799"/>
    <w:rsid w:val="0055096E"/>
    <w:rsid w:val="0055097B"/>
    <w:rsid w:val="00550C87"/>
    <w:rsid w:val="00550DCD"/>
    <w:rsid w:val="00551479"/>
    <w:rsid w:val="00551985"/>
    <w:rsid w:val="005520F3"/>
    <w:rsid w:val="0055226D"/>
    <w:rsid w:val="00552BD3"/>
    <w:rsid w:val="00552C85"/>
    <w:rsid w:val="00552F6F"/>
    <w:rsid w:val="005532A0"/>
    <w:rsid w:val="00553EAE"/>
    <w:rsid w:val="00553EE3"/>
    <w:rsid w:val="005541AA"/>
    <w:rsid w:val="00554274"/>
    <w:rsid w:val="005543FD"/>
    <w:rsid w:val="00554986"/>
    <w:rsid w:val="00554A89"/>
    <w:rsid w:val="00554E03"/>
    <w:rsid w:val="00555109"/>
    <w:rsid w:val="00555307"/>
    <w:rsid w:val="005557C3"/>
    <w:rsid w:val="00555951"/>
    <w:rsid w:val="005559B0"/>
    <w:rsid w:val="00555BC8"/>
    <w:rsid w:val="00555C97"/>
    <w:rsid w:val="00555EB4"/>
    <w:rsid w:val="00556084"/>
    <w:rsid w:val="00556372"/>
    <w:rsid w:val="00556B35"/>
    <w:rsid w:val="00556CBC"/>
    <w:rsid w:val="0055717D"/>
    <w:rsid w:val="0055741A"/>
    <w:rsid w:val="00557AF4"/>
    <w:rsid w:val="005604DE"/>
    <w:rsid w:val="00560548"/>
    <w:rsid w:val="00560EA9"/>
    <w:rsid w:val="0056114D"/>
    <w:rsid w:val="005611B7"/>
    <w:rsid w:val="005618D4"/>
    <w:rsid w:val="005619D9"/>
    <w:rsid w:val="00561EB8"/>
    <w:rsid w:val="00562542"/>
    <w:rsid w:val="005628EC"/>
    <w:rsid w:val="00563A30"/>
    <w:rsid w:val="00563A49"/>
    <w:rsid w:val="00563ABD"/>
    <w:rsid w:val="00563D96"/>
    <w:rsid w:val="00563F47"/>
    <w:rsid w:val="00564727"/>
    <w:rsid w:val="00564867"/>
    <w:rsid w:val="0056534E"/>
    <w:rsid w:val="00565898"/>
    <w:rsid w:val="00565C79"/>
    <w:rsid w:val="00565DF0"/>
    <w:rsid w:val="00565FA3"/>
    <w:rsid w:val="00566104"/>
    <w:rsid w:val="005662C2"/>
    <w:rsid w:val="0056639A"/>
    <w:rsid w:val="005663E2"/>
    <w:rsid w:val="0056696F"/>
    <w:rsid w:val="00566A51"/>
    <w:rsid w:val="00566A52"/>
    <w:rsid w:val="00566A6E"/>
    <w:rsid w:val="00566B4D"/>
    <w:rsid w:val="00566B88"/>
    <w:rsid w:val="00566C87"/>
    <w:rsid w:val="00567858"/>
    <w:rsid w:val="00567927"/>
    <w:rsid w:val="00567AEB"/>
    <w:rsid w:val="00570134"/>
    <w:rsid w:val="0057042D"/>
    <w:rsid w:val="005715F3"/>
    <w:rsid w:val="00571932"/>
    <w:rsid w:val="00571A30"/>
    <w:rsid w:val="00571A90"/>
    <w:rsid w:val="00571D70"/>
    <w:rsid w:val="00571FC4"/>
    <w:rsid w:val="00572269"/>
    <w:rsid w:val="005722CC"/>
    <w:rsid w:val="0057244A"/>
    <w:rsid w:val="0057253E"/>
    <w:rsid w:val="0057265F"/>
    <w:rsid w:val="00572F26"/>
    <w:rsid w:val="005732FC"/>
    <w:rsid w:val="0057377F"/>
    <w:rsid w:val="00574240"/>
    <w:rsid w:val="0057452A"/>
    <w:rsid w:val="00574B74"/>
    <w:rsid w:val="00574D65"/>
    <w:rsid w:val="00575042"/>
    <w:rsid w:val="005750C5"/>
    <w:rsid w:val="005752DE"/>
    <w:rsid w:val="00575499"/>
    <w:rsid w:val="00575D60"/>
    <w:rsid w:val="00575D8D"/>
    <w:rsid w:val="00575FE1"/>
    <w:rsid w:val="005768FF"/>
    <w:rsid w:val="00576972"/>
    <w:rsid w:val="00576BCD"/>
    <w:rsid w:val="00577248"/>
    <w:rsid w:val="00577310"/>
    <w:rsid w:val="00577513"/>
    <w:rsid w:val="00577534"/>
    <w:rsid w:val="005776E0"/>
    <w:rsid w:val="005776F7"/>
    <w:rsid w:val="00577709"/>
    <w:rsid w:val="00580110"/>
    <w:rsid w:val="00580705"/>
    <w:rsid w:val="00580F67"/>
    <w:rsid w:val="005814C0"/>
    <w:rsid w:val="00582018"/>
    <w:rsid w:val="00582504"/>
    <w:rsid w:val="005825B9"/>
    <w:rsid w:val="00582795"/>
    <w:rsid w:val="00582D4B"/>
    <w:rsid w:val="00582F06"/>
    <w:rsid w:val="00582FA7"/>
    <w:rsid w:val="00583699"/>
    <w:rsid w:val="005838F9"/>
    <w:rsid w:val="00584019"/>
    <w:rsid w:val="0058427F"/>
    <w:rsid w:val="00584881"/>
    <w:rsid w:val="00584995"/>
    <w:rsid w:val="00584B8A"/>
    <w:rsid w:val="00584D46"/>
    <w:rsid w:val="00585159"/>
    <w:rsid w:val="00585A7E"/>
    <w:rsid w:val="00585CDD"/>
    <w:rsid w:val="005862AC"/>
    <w:rsid w:val="0058634B"/>
    <w:rsid w:val="0058663D"/>
    <w:rsid w:val="00586960"/>
    <w:rsid w:val="00586B32"/>
    <w:rsid w:val="00586B62"/>
    <w:rsid w:val="00587058"/>
    <w:rsid w:val="005870AE"/>
    <w:rsid w:val="0058734F"/>
    <w:rsid w:val="005874EA"/>
    <w:rsid w:val="0058752F"/>
    <w:rsid w:val="00587565"/>
    <w:rsid w:val="005904A9"/>
    <w:rsid w:val="00590C17"/>
    <w:rsid w:val="0059193D"/>
    <w:rsid w:val="00591957"/>
    <w:rsid w:val="005921D1"/>
    <w:rsid w:val="00592341"/>
    <w:rsid w:val="00592DF8"/>
    <w:rsid w:val="005932EB"/>
    <w:rsid w:val="00593A17"/>
    <w:rsid w:val="00593BA3"/>
    <w:rsid w:val="00594036"/>
    <w:rsid w:val="005940AC"/>
    <w:rsid w:val="005942B2"/>
    <w:rsid w:val="00594902"/>
    <w:rsid w:val="005952C3"/>
    <w:rsid w:val="0059537E"/>
    <w:rsid w:val="0059538A"/>
    <w:rsid w:val="005959EE"/>
    <w:rsid w:val="0059608E"/>
    <w:rsid w:val="005961FA"/>
    <w:rsid w:val="00596274"/>
    <w:rsid w:val="0059659F"/>
    <w:rsid w:val="005965C5"/>
    <w:rsid w:val="005967E2"/>
    <w:rsid w:val="0059765B"/>
    <w:rsid w:val="00597715"/>
    <w:rsid w:val="00597BF9"/>
    <w:rsid w:val="00597CBC"/>
    <w:rsid w:val="005A0191"/>
    <w:rsid w:val="005A0247"/>
    <w:rsid w:val="005A045A"/>
    <w:rsid w:val="005A05C7"/>
    <w:rsid w:val="005A0C11"/>
    <w:rsid w:val="005A0FDC"/>
    <w:rsid w:val="005A1168"/>
    <w:rsid w:val="005A12C8"/>
    <w:rsid w:val="005A1C0A"/>
    <w:rsid w:val="005A1C91"/>
    <w:rsid w:val="005A23C9"/>
    <w:rsid w:val="005A23D7"/>
    <w:rsid w:val="005A253A"/>
    <w:rsid w:val="005A2B6F"/>
    <w:rsid w:val="005A2BB2"/>
    <w:rsid w:val="005A309A"/>
    <w:rsid w:val="005A31D6"/>
    <w:rsid w:val="005A34D1"/>
    <w:rsid w:val="005A35F7"/>
    <w:rsid w:val="005A3602"/>
    <w:rsid w:val="005A373D"/>
    <w:rsid w:val="005A393E"/>
    <w:rsid w:val="005A3CB4"/>
    <w:rsid w:val="005A4097"/>
    <w:rsid w:val="005A4357"/>
    <w:rsid w:val="005A459D"/>
    <w:rsid w:val="005A46ED"/>
    <w:rsid w:val="005A4A33"/>
    <w:rsid w:val="005A4B18"/>
    <w:rsid w:val="005A4B7F"/>
    <w:rsid w:val="005A4CFF"/>
    <w:rsid w:val="005A50FD"/>
    <w:rsid w:val="005A58E2"/>
    <w:rsid w:val="005A5D0E"/>
    <w:rsid w:val="005A5E0A"/>
    <w:rsid w:val="005A5F99"/>
    <w:rsid w:val="005A688F"/>
    <w:rsid w:val="005A72D6"/>
    <w:rsid w:val="005A7589"/>
    <w:rsid w:val="005B0140"/>
    <w:rsid w:val="005B018A"/>
    <w:rsid w:val="005B0644"/>
    <w:rsid w:val="005B0B58"/>
    <w:rsid w:val="005B12DA"/>
    <w:rsid w:val="005B179F"/>
    <w:rsid w:val="005B1882"/>
    <w:rsid w:val="005B18A0"/>
    <w:rsid w:val="005B19E4"/>
    <w:rsid w:val="005B1F68"/>
    <w:rsid w:val="005B2566"/>
    <w:rsid w:val="005B2D60"/>
    <w:rsid w:val="005B2E0B"/>
    <w:rsid w:val="005B31B9"/>
    <w:rsid w:val="005B3723"/>
    <w:rsid w:val="005B3A48"/>
    <w:rsid w:val="005B3D2A"/>
    <w:rsid w:val="005B3F94"/>
    <w:rsid w:val="005B43FD"/>
    <w:rsid w:val="005B4439"/>
    <w:rsid w:val="005B4684"/>
    <w:rsid w:val="005B470D"/>
    <w:rsid w:val="005B4E53"/>
    <w:rsid w:val="005B5309"/>
    <w:rsid w:val="005B5857"/>
    <w:rsid w:val="005B586A"/>
    <w:rsid w:val="005B6336"/>
    <w:rsid w:val="005B6B7D"/>
    <w:rsid w:val="005B6FB8"/>
    <w:rsid w:val="005B75ED"/>
    <w:rsid w:val="005B7774"/>
    <w:rsid w:val="005C020D"/>
    <w:rsid w:val="005C0651"/>
    <w:rsid w:val="005C07AB"/>
    <w:rsid w:val="005C091A"/>
    <w:rsid w:val="005C095D"/>
    <w:rsid w:val="005C116E"/>
    <w:rsid w:val="005C1199"/>
    <w:rsid w:val="005C1527"/>
    <w:rsid w:val="005C15FD"/>
    <w:rsid w:val="005C1795"/>
    <w:rsid w:val="005C1858"/>
    <w:rsid w:val="005C19C4"/>
    <w:rsid w:val="005C1B83"/>
    <w:rsid w:val="005C1CCE"/>
    <w:rsid w:val="005C1DA3"/>
    <w:rsid w:val="005C2015"/>
    <w:rsid w:val="005C21AD"/>
    <w:rsid w:val="005C25FF"/>
    <w:rsid w:val="005C2D55"/>
    <w:rsid w:val="005C346B"/>
    <w:rsid w:val="005C36D4"/>
    <w:rsid w:val="005C3892"/>
    <w:rsid w:val="005C394B"/>
    <w:rsid w:val="005C3BDA"/>
    <w:rsid w:val="005C3F38"/>
    <w:rsid w:val="005C4853"/>
    <w:rsid w:val="005C4931"/>
    <w:rsid w:val="005C4EA8"/>
    <w:rsid w:val="005C5402"/>
    <w:rsid w:val="005C5ABC"/>
    <w:rsid w:val="005C5BD2"/>
    <w:rsid w:val="005C6102"/>
    <w:rsid w:val="005C6202"/>
    <w:rsid w:val="005C6A1F"/>
    <w:rsid w:val="005C6B74"/>
    <w:rsid w:val="005C6CDE"/>
    <w:rsid w:val="005C6F73"/>
    <w:rsid w:val="005C7816"/>
    <w:rsid w:val="005C78F8"/>
    <w:rsid w:val="005C7AD2"/>
    <w:rsid w:val="005C7D3D"/>
    <w:rsid w:val="005D044D"/>
    <w:rsid w:val="005D0526"/>
    <w:rsid w:val="005D0839"/>
    <w:rsid w:val="005D0ABD"/>
    <w:rsid w:val="005D0DCC"/>
    <w:rsid w:val="005D0FCF"/>
    <w:rsid w:val="005D12D5"/>
    <w:rsid w:val="005D18AD"/>
    <w:rsid w:val="005D1CDF"/>
    <w:rsid w:val="005D1E26"/>
    <w:rsid w:val="005D235B"/>
    <w:rsid w:val="005D26B4"/>
    <w:rsid w:val="005D27E0"/>
    <w:rsid w:val="005D2A59"/>
    <w:rsid w:val="005D2DFF"/>
    <w:rsid w:val="005D32B2"/>
    <w:rsid w:val="005D374E"/>
    <w:rsid w:val="005D3DAB"/>
    <w:rsid w:val="005D3F38"/>
    <w:rsid w:val="005D4125"/>
    <w:rsid w:val="005D41DC"/>
    <w:rsid w:val="005D435C"/>
    <w:rsid w:val="005D4642"/>
    <w:rsid w:val="005D46F3"/>
    <w:rsid w:val="005D4B1C"/>
    <w:rsid w:val="005D4C42"/>
    <w:rsid w:val="005D4F07"/>
    <w:rsid w:val="005D5182"/>
    <w:rsid w:val="005D5314"/>
    <w:rsid w:val="005D5572"/>
    <w:rsid w:val="005D5859"/>
    <w:rsid w:val="005D5B0E"/>
    <w:rsid w:val="005D5E54"/>
    <w:rsid w:val="005D606D"/>
    <w:rsid w:val="005D61B7"/>
    <w:rsid w:val="005D63F2"/>
    <w:rsid w:val="005D6A5A"/>
    <w:rsid w:val="005D6D2B"/>
    <w:rsid w:val="005D709C"/>
    <w:rsid w:val="005D736D"/>
    <w:rsid w:val="005D73C6"/>
    <w:rsid w:val="005D7540"/>
    <w:rsid w:val="005D7BF0"/>
    <w:rsid w:val="005D7E82"/>
    <w:rsid w:val="005E0053"/>
    <w:rsid w:val="005E03D0"/>
    <w:rsid w:val="005E10BC"/>
    <w:rsid w:val="005E155E"/>
    <w:rsid w:val="005E16A4"/>
    <w:rsid w:val="005E170E"/>
    <w:rsid w:val="005E1995"/>
    <w:rsid w:val="005E19C5"/>
    <w:rsid w:val="005E1C26"/>
    <w:rsid w:val="005E2874"/>
    <w:rsid w:val="005E2C55"/>
    <w:rsid w:val="005E31B4"/>
    <w:rsid w:val="005E32E9"/>
    <w:rsid w:val="005E3946"/>
    <w:rsid w:val="005E3C8E"/>
    <w:rsid w:val="005E5257"/>
    <w:rsid w:val="005E52EC"/>
    <w:rsid w:val="005E55D8"/>
    <w:rsid w:val="005E5CB1"/>
    <w:rsid w:val="005E5D4A"/>
    <w:rsid w:val="005E5EA8"/>
    <w:rsid w:val="005E626C"/>
    <w:rsid w:val="005E69BA"/>
    <w:rsid w:val="005E6AA5"/>
    <w:rsid w:val="005E6CBC"/>
    <w:rsid w:val="005E70AA"/>
    <w:rsid w:val="005E71C7"/>
    <w:rsid w:val="005E72FF"/>
    <w:rsid w:val="005E73A6"/>
    <w:rsid w:val="005E73C0"/>
    <w:rsid w:val="005E750C"/>
    <w:rsid w:val="005E75C9"/>
    <w:rsid w:val="005E796B"/>
    <w:rsid w:val="005E7B1D"/>
    <w:rsid w:val="005E7C59"/>
    <w:rsid w:val="005F00B8"/>
    <w:rsid w:val="005F07ED"/>
    <w:rsid w:val="005F0F3D"/>
    <w:rsid w:val="005F119F"/>
    <w:rsid w:val="005F11F8"/>
    <w:rsid w:val="005F144F"/>
    <w:rsid w:val="005F15D7"/>
    <w:rsid w:val="005F1AD4"/>
    <w:rsid w:val="005F1E0C"/>
    <w:rsid w:val="005F1E15"/>
    <w:rsid w:val="005F2572"/>
    <w:rsid w:val="005F2582"/>
    <w:rsid w:val="005F2706"/>
    <w:rsid w:val="005F31E1"/>
    <w:rsid w:val="005F335E"/>
    <w:rsid w:val="005F4412"/>
    <w:rsid w:val="005F444B"/>
    <w:rsid w:val="005F44D1"/>
    <w:rsid w:val="005F4BD6"/>
    <w:rsid w:val="005F4C5A"/>
    <w:rsid w:val="005F4EF9"/>
    <w:rsid w:val="005F5886"/>
    <w:rsid w:val="005F5FE2"/>
    <w:rsid w:val="005F6350"/>
    <w:rsid w:val="005F6433"/>
    <w:rsid w:val="005F69DE"/>
    <w:rsid w:val="005F6A8F"/>
    <w:rsid w:val="005F6BB7"/>
    <w:rsid w:val="005F6DA4"/>
    <w:rsid w:val="005F7588"/>
    <w:rsid w:val="005F7D49"/>
    <w:rsid w:val="005F7E8A"/>
    <w:rsid w:val="005F7EBF"/>
    <w:rsid w:val="005F7F7A"/>
    <w:rsid w:val="00600491"/>
    <w:rsid w:val="006008C9"/>
    <w:rsid w:val="00600B3B"/>
    <w:rsid w:val="00600E84"/>
    <w:rsid w:val="00600E9B"/>
    <w:rsid w:val="00601D8C"/>
    <w:rsid w:val="00601F3F"/>
    <w:rsid w:val="006022F9"/>
    <w:rsid w:val="006025DB"/>
    <w:rsid w:val="00602696"/>
    <w:rsid w:val="00602C27"/>
    <w:rsid w:val="00602E54"/>
    <w:rsid w:val="00602FA4"/>
    <w:rsid w:val="00603248"/>
    <w:rsid w:val="00603264"/>
    <w:rsid w:val="006038B6"/>
    <w:rsid w:val="00603BD9"/>
    <w:rsid w:val="00603CC1"/>
    <w:rsid w:val="00603DB9"/>
    <w:rsid w:val="006042D7"/>
    <w:rsid w:val="0060473B"/>
    <w:rsid w:val="00604AC2"/>
    <w:rsid w:val="00605164"/>
    <w:rsid w:val="00605180"/>
    <w:rsid w:val="006058F7"/>
    <w:rsid w:val="00605CFD"/>
    <w:rsid w:val="0060605F"/>
    <w:rsid w:val="00606497"/>
    <w:rsid w:val="00606A9A"/>
    <w:rsid w:val="00606FBA"/>
    <w:rsid w:val="006075DC"/>
    <w:rsid w:val="00607669"/>
    <w:rsid w:val="006076F4"/>
    <w:rsid w:val="00607AFD"/>
    <w:rsid w:val="00607BEF"/>
    <w:rsid w:val="00607FF8"/>
    <w:rsid w:val="0061003E"/>
    <w:rsid w:val="00610DA7"/>
    <w:rsid w:val="00610FB3"/>
    <w:rsid w:val="0061138D"/>
    <w:rsid w:val="00611854"/>
    <w:rsid w:val="00611B12"/>
    <w:rsid w:val="00611EC7"/>
    <w:rsid w:val="00612E89"/>
    <w:rsid w:val="00612F97"/>
    <w:rsid w:val="006131E6"/>
    <w:rsid w:val="0061339F"/>
    <w:rsid w:val="0061345D"/>
    <w:rsid w:val="0061346A"/>
    <w:rsid w:val="006134F8"/>
    <w:rsid w:val="00613963"/>
    <w:rsid w:val="00614099"/>
    <w:rsid w:val="00614283"/>
    <w:rsid w:val="00614359"/>
    <w:rsid w:val="00614772"/>
    <w:rsid w:val="00614F26"/>
    <w:rsid w:val="0061549B"/>
    <w:rsid w:val="00615991"/>
    <w:rsid w:val="00615E7F"/>
    <w:rsid w:val="00616304"/>
    <w:rsid w:val="00616432"/>
    <w:rsid w:val="00616802"/>
    <w:rsid w:val="00616CF7"/>
    <w:rsid w:val="00616F60"/>
    <w:rsid w:val="00617D87"/>
    <w:rsid w:val="00617E12"/>
    <w:rsid w:val="0062017F"/>
    <w:rsid w:val="0062026B"/>
    <w:rsid w:val="0062027A"/>
    <w:rsid w:val="006202AC"/>
    <w:rsid w:val="00620C25"/>
    <w:rsid w:val="00621477"/>
    <w:rsid w:val="006215C0"/>
    <w:rsid w:val="00621844"/>
    <w:rsid w:val="0062187A"/>
    <w:rsid w:val="00621A44"/>
    <w:rsid w:val="00621ADA"/>
    <w:rsid w:val="00622137"/>
    <w:rsid w:val="00622303"/>
    <w:rsid w:val="00622C6E"/>
    <w:rsid w:val="00622DFC"/>
    <w:rsid w:val="00623060"/>
    <w:rsid w:val="00623EB6"/>
    <w:rsid w:val="00623F7B"/>
    <w:rsid w:val="006241F6"/>
    <w:rsid w:val="006243C5"/>
    <w:rsid w:val="006249E2"/>
    <w:rsid w:val="00624A20"/>
    <w:rsid w:val="00624BD4"/>
    <w:rsid w:val="00625072"/>
    <w:rsid w:val="006251CB"/>
    <w:rsid w:val="006253D2"/>
    <w:rsid w:val="00625E96"/>
    <w:rsid w:val="00625F07"/>
    <w:rsid w:val="00626BEB"/>
    <w:rsid w:val="0062758E"/>
    <w:rsid w:val="00627E0B"/>
    <w:rsid w:val="006300D1"/>
    <w:rsid w:val="006303D9"/>
    <w:rsid w:val="00630C2E"/>
    <w:rsid w:val="0063158F"/>
    <w:rsid w:val="00631779"/>
    <w:rsid w:val="00631A03"/>
    <w:rsid w:val="00631D6B"/>
    <w:rsid w:val="00632183"/>
    <w:rsid w:val="00632462"/>
    <w:rsid w:val="0063297A"/>
    <w:rsid w:val="00632F21"/>
    <w:rsid w:val="00632F66"/>
    <w:rsid w:val="006330A1"/>
    <w:rsid w:val="00633152"/>
    <w:rsid w:val="00633254"/>
    <w:rsid w:val="006332F1"/>
    <w:rsid w:val="00633522"/>
    <w:rsid w:val="00633E1E"/>
    <w:rsid w:val="00633FFE"/>
    <w:rsid w:val="00634000"/>
    <w:rsid w:val="006342C7"/>
    <w:rsid w:val="00634523"/>
    <w:rsid w:val="0063454A"/>
    <w:rsid w:val="00634789"/>
    <w:rsid w:val="0063479F"/>
    <w:rsid w:val="006350C1"/>
    <w:rsid w:val="00635342"/>
    <w:rsid w:val="006353F0"/>
    <w:rsid w:val="006357B5"/>
    <w:rsid w:val="00635A46"/>
    <w:rsid w:val="00635BE7"/>
    <w:rsid w:val="00636287"/>
    <w:rsid w:val="006364A1"/>
    <w:rsid w:val="0063678E"/>
    <w:rsid w:val="006367A6"/>
    <w:rsid w:val="00636AE2"/>
    <w:rsid w:val="00636C5F"/>
    <w:rsid w:val="0063709D"/>
    <w:rsid w:val="006374C3"/>
    <w:rsid w:val="00637BFD"/>
    <w:rsid w:val="00637C5C"/>
    <w:rsid w:val="00637DB8"/>
    <w:rsid w:val="0064011B"/>
    <w:rsid w:val="006404C8"/>
    <w:rsid w:val="0064054F"/>
    <w:rsid w:val="006408F4"/>
    <w:rsid w:val="0064132D"/>
    <w:rsid w:val="0064177D"/>
    <w:rsid w:val="006417BE"/>
    <w:rsid w:val="00641845"/>
    <w:rsid w:val="00641C10"/>
    <w:rsid w:val="00641C4E"/>
    <w:rsid w:val="00641EFA"/>
    <w:rsid w:val="00641FB3"/>
    <w:rsid w:val="00642442"/>
    <w:rsid w:val="006431B8"/>
    <w:rsid w:val="006434EB"/>
    <w:rsid w:val="0064354A"/>
    <w:rsid w:val="006435A0"/>
    <w:rsid w:val="00643859"/>
    <w:rsid w:val="00643E83"/>
    <w:rsid w:val="0064434C"/>
    <w:rsid w:val="00644E29"/>
    <w:rsid w:val="006451D7"/>
    <w:rsid w:val="006452E4"/>
    <w:rsid w:val="00645317"/>
    <w:rsid w:val="0064561D"/>
    <w:rsid w:val="00645CCD"/>
    <w:rsid w:val="0064607F"/>
    <w:rsid w:val="00646119"/>
    <w:rsid w:val="0064660A"/>
    <w:rsid w:val="00646665"/>
    <w:rsid w:val="00646E3A"/>
    <w:rsid w:val="00647084"/>
    <w:rsid w:val="006471CC"/>
    <w:rsid w:val="006472FE"/>
    <w:rsid w:val="00647A29"/>
    <w:rsid w:val="00647AD0"/>
    <w:rsid w:val="00647B0E"/>
    <w:rsid w:val="00647B41"/>
    <w:rsid w:val="006501E1"/>
    <w:rsid w:val="00650205"/>
    <w:rsid w:val="00650277"/>
    <w:rsid w:val="0065079F"/>
    <w:rsid w:val="00650D12"/>
    <w:rsid w:val="00650DB2"/>
    <w:rsid w:val="006510CD"/>
    <w:rsid w:val="006513B0"/>
    <w:rsid w:val="00652147"/>
    <w:rsid w:val="0065216F"/>
    <w:rsid w:val="006522DC"/>
    <w:rsid w:val="00652A09"/>
    <w:rsid w:val="00652A28"/>
    <w:rsid w:val="00652BBA"/>
    <w:rsid w:val="00652C77"/>
    <w:rsid w:val="00652D88"/>
    <w:rsid w:val="00653025"/>
    <w:rsid w:val="00653380"/>
    <w:rsid w:val="00653483"/>
    <w:rsid w:val="00653648"/>
    <w:rsid w:val="0065379F"/>
    <w:rsid w:val="00653849"/>
    <w:rsid w:val="006541DA"/>
    <w:rsid w:val="00654672"/>
    <w:rsid w:val="006549EB"/>
    <w:rsid w:val="00654B32"/>
    <w:rsid w:val="00655146"/>
    <w:rsid w:val="006557AB"/>
    <w:rsid w:val="00655D07"/>
    <w:rsid w:val="00656188"/>
    <w:rsid w:val="00656526"/>
    <w:rsid w:val="00656E80"/>
    <w:rsid w:val="00656EB2"/>
    <w:rsid w:val="00656F20"/>
    <w:rsid w:val="006570E8"/>
    <w:rsid w:val="0065715A"/>
    <w:rsid w:val="006571E1"/>
    <w:rsid w:val="006573B6"/>
    <w:rsid w:val="006577DF"/>
    <w:rsid w:val="00657AB3"/>
    <w:rsid w:val="00657AD9"/>
    <w:rsid w:val="00660390"/>
    <w:rsid w:val="00660531"/>
    <w:rsid w:val="0066060E"/>
    <w:rsid w:val="006607D1"/>
    <w:rsid w:val="00660B53"/>
    <w:rsid w:val="006610F1"/>
    <w:rsid w:val="00661351"/>
    <w:rsid w:val="006614A8"/>
    <w:rsid w:val="006618C4"/>
    <w:rsid w:val="00661A7B"/>
    <w:rsid w:val="00661C6B"/>
    <w:rsid w:val="00661C79"/>
    <w:rsid w:val="00661F69"/>
    <w:rsid w:val="00662367"/>
    <w:rsid w:val="00662A6B"/>
    <w:rsid w:val="00662D3E"/>
    <w:rsid w:val="006637C2"/>
    <w:rsid w:val="0066387B"/>
    <w:rsid w:val="00663B1B"/>
    <w:rsid w:val="0066420C"/>
    <w:rsid w:val="006642A1"/>
    <w:rsid w:val="00664372"/>
    <w:rsid w:val="00664379"/>
    <w:rsid w:val="00664B0A"/>
    <w:rsid w:val="00664E41"/>
    <w:rsid w:val="00664EA0"/>
    <w:rsid w:val="0066535A"/>
    <w:rsid w:val="006658CC"/>
    <w:rsid w:val="00665FA1"/>
    <w:rsid w:val="006667D0"/>
    <w:rsid w:val="006676B6"/>
    <w:rsid w:val="0066772C"/>
    <w:rsid w:val="00667BE3"/>
    <w:rsid w:val="00670468"/>
    <w:rsid w:val="00671004"/>
    <w:rsid w:val="00671089"/>
    <w:rsid w:val="006711BB"/>
    <w:rsid w:val="006715BB"/>
    <w:rsid w:val="00671A1C"/>
    <w:rsid w:val="00671CA3"/>
    <w:rsid w:val="00672553"/>
    <w:rsid w:val="00672646"/>
    <w:rsid w:val="006728DE"/>
    <w:rsid w:val="0067311F"/>
    <w:rsid w:val="00673875"/>
    <w:rsid w:val="00673B3F"/>
    <w:rsid w:val="00673C02"/>
    <w:rsid w:val="006746B4"/>
    <w:rsid w:val="00674E42"/>
    <w:rsid w:val="00675126"/>
    <w:rsid w:val="0067569B"/>
    <w:rsid w:val="0067569D"/>
    <w:rsid w:val="00676563"/>
    <w:rsid w:val="0067696B"/>
    <w:rsid w:val="00676A18"/>
    <w:rsid w:val="00676C32"/>
    <w:rsid w:val="006771AD"/>
    <w:rsid w:val="0067738F"/>
    <w:rsid w:val="006775DD"/>
    <w:rsid w:val="00680734"/>
    <w:rsid w:val="006813F8"/>
    <w:rsid w:val="00681DF2"/>
    <w:rsid w:val="00681FE0"/>
    <w:rsid w:val="00682112"/>
    <w:rsid w:val="0068216E"/>
    <w:rsid w:val="00682773"/>
    <w:rsid w:val="006828B7"/>
    <w:rsid w:val="006828FD"/>
    <w:rsid w:val="00682A29"/>
    <w:rsid w:val="00682BA6"/>
    <w:rsid w:val="0068308F"/>
    <w:rsid w:val="006830AE"/>
    <w:rsid w:val="006831BF"/>
    <w:rsid w:val="0068327D"/>
    <w:rsid w:val="0068351E"/>
    <w:rsid w:val="006835C4"/>
    <w:rsid w:val="006836EE"/>
    <w:rsid w:val="00683946"/>
    <w:rsid w:val="0068438A"/>
    <w:rsid w:val="00684454"/>
    <w:rsid w:val="0068487C"/>
    <w:rsid w:val="006850FE"/>
    <w:rsid w:val="00685195"/>
    <w:rsid w:val="006852AC"/>
    <w:rsid w:val="00685690"/>
    <w:rsid w:val="00685B7C"/>
    <w:rsid w:val="006861D8"/>
    <w:rsid w:val="006864AE"/>
    <w:rsid w:val="006866B9"/>
    <w:rsid w:val="00686957"/>
    <w:rsid w:val="00687061"/>
    <w:rsid w:val="006872BA"/>
    <w:rsid w:val="006874A8"/>
    <w:rsid w:val="00687533"/>
    <w:rsid w:val="00687A47"/>
    <w:rsid w:val="00687D20"/>
    <w:rsid w:val="006904D1"/>
    <w:rsid w:val="006905D0"/>
    <w:rsid w:val="00690795"/>
    <w:rsid w:val="00690799"/>
    <w:rsid w:val="0069106F"/>
    <w:rsid w:val="0069122D"/>
    <w:rsid w:val="00691648"/>
    <w:rsid w:val="006917D7"/>
    <w:rsid w:val="006923AD"/>
    <w:rsid w:val="00692A76"/>
    <w:rsid w:val="00692E2F"/>
    <w:rsid w:val="006930D3"/>
    <w:rsid w:val="0069349A"/>
    <w:rsid w:val="00693745"/>
    <w:rsid w:val="00694234"/>
    <w:rsid w:val="0069434C"/>
    <w:rsid w:val="00694F17"/>
    <w:rsid w:val="00694F44"/>
    <w:rsid w:val="00695198"/>
    <w:rsid w:val="00695774"/>
    <w:rsid w:val="00695809"/>
    <w:rsid w:val="00695819"/>
    <w:rsid w:val="00695905"/>
    <w:rsid w:val="00695BDB"/>
    <w:rsid w:val="00695D3D"/>
    <w:rsid w:val="006960BC"/>
    <w:rsid w:val="006963EA"/>
    <w:rsid w:val="00696541"/>
    <w:rsid w:val="006965BB"/>
    <w:rsid w:val="00696D8E"/>
    <w:rsid w:val="00696EF8"/>
    <w:rsid w:val="00696EF9"/>
    <w:rsid w:val="00696F51"/>
    <w:rsid w:val="00696F54"/>
    <w:rsid w:val="006972FF"/>
    <w:rsid w:val="006973CD"/>
    <w:rsid w:val="00697574"/>
    <w:rsid w:val="006979A5"/>
    <w:rsid w:val="00697B20"/>
    <w:rsid w:val="00697B62"/>
    <w:rsid w:val="00697CEA"/>
    <w:rsid w:val="006A016F"/>
    <w:rsid w:val="006A0A08"/>
    <w:rsid w:val="006A0DF7"/>
    <w:rsid w:val="006A19D8"/>
    <w:rsid w:val="006A23F9"/>
    <w:rsid w:val="006A24F6"/>
    <w:rsid w:val="006A251F"/>
    <w:rsid w:val="006A2C97"/>
    <w:rsid w:val="006A2E85"/>
    <w:rsid w:val="006A337C"/>
    <w:rsid w:val="006A3524"/>
    <w:rsid w:val="006A35ED"/>
    <w:rsid w:val="006A3692"/>
    <w:rsid w:val="006A36D5"/>
    <w:rsid w:val="006A3799"/>
    <w:rsid w:val="006A38AB"/>
    <w:rsid w:val="006A39AC"/>
    <w:rsid w:val="006A4125"/>
    <w:rsid w:val="006A4321"/>
    <w:rsid w:val="006A4392"/>
    <w:rsid w:val="006A43C6"/>
    <w:rsid w:val="006A43D9"/>
    <w:rsid w:val="006A4561"/>
    <w:rsid w:val="006A4C81"/>
    <w:rsid w:val="006A5215"/>
    <w:rsid w:val="006A55FF"/>
    <w:rsid w:val="006A595E"/>
    <w:rsid w:val="006A5F14"/>
    <w:rsid w:val="006A6910"/>
    <w:rsid w:val="006A6B90"/>
    <w:rsid w:val="006A6B99"/>
    <w:rsid w:val="006A72BB"/>
    <w:rsid w:val="006A74CB"/>
    <w:rsid w:val="006A77BE"/>
    <w:rsid w:val="006A7A35"/>
    <w:rsid w:val="006A7E5F"/>
    <w:rsid w:val="006A7F0D"/>
    <w:rsid w:val="006B03BE"/>
    <w:rsid w:val="006B06BD"/>
    <w:rsid w:val="006B087B"/>
    <w:rsid w:val="006B0983"/>
    <w:rsid w:val="006B0EBD"/>
    <w:rsid w:val="006B1162"/>
    <w:rsid w:val="006B11D0"/>
    <w:rsid w:val="006B12CE"/>
    <w:rsid w:val="006B1E4E"/>
    <w:rsid w:val="006B1F1B"/>
    <w:rsid w:val="006B23B5"/>
    <w:rsid w:val="006B261B"/>
    <w:rsid w:val="006B2697"/>
    <w:rsid w:val="006B2C90"/>
    <w:rsid w:val="006B2DAC"/>
    <w:rsid w:val="006B30DA"/>
    <w:rsid w:val="006B31CF"/>
    <w:rsid w:val="006B3202"/>
    <w:rsid w:val="006B33EE"/>
    <w:rsid w:val="006B35E6"/>
    <w:rsid w:val="006B37A1"/>
    <w:rsid w:val="006B3E96"/>
    <w:rsid w:val="006B40F3"/>
    <w:rsid w:val="006B41BD"/>
    <w:rsid w:val="006B43CA"/>
    <w:rsid w:val="006B465A"/>
    <w:rsid w:val="006B4A2E"/>
    <w:rsid w:val="006B5160"/>
    <w:rsid w:val="006B548A"/>
    <w:rsid w:val="006B572E"/>
    <w:rsid w:val="006B5AB1"/>
    <w:rsid w:val="006B617B"/>
    <w:rsid w:val="006B6790"/>
    <w:rsid w:val="006B6C05"/>
    <w:rsid w:val="006B6DD0"/>
    <w:rsid w:val="006B712E"/>
    <w:rsid w:val="006B79E6"/>
    <w:rsid w:val="006B7B9E"/>
    <w:rsid w:val="006C001A"/>
    <w:rsid w:val="006C0399"/>
    <w:rsid w:val="006C0D93"/>
    <w:rsid w:val="006C16F3"/>
    <w:rsid w:val="006C1D1D"/>
    <w:rsid w:val="006C2083"/>
    <w:rsid w:val="006C2517"/>
    <w:rsid w:val="006C2671"/>
    <w:rsid w:val="006C2A56"/>
    <w:rsid w:val="006C2A8E"/>
    <w:rsid w:val="006C3255"/>
    <w:rsid w:val="006C32BE"/>
    <w:rsid w:val="006C35EB"/>
    <w:rsid w:val="006C3669"/>
    <w:rsid w:val="006C36E8"/>
    <w:rsid w:val="006C3730"/>
    <w:rsid w:val="006C3F26"/>
    <w:rsid w:val="006C428D"/>
    <w:rsid w:val="006C46BC"/>
    <w:rsid w:val="006C4897"/>
    <w:rsid w:val="006C5887"/>
    <w:rsid w:val="006C5F11"/>
    <w:rsid w:val="006C649E"/>
    <w:rsid w:val="006C64C9"/>
    <w:rsid w:val="006C7458"/>
    <w:rsid w:val="006C7CAD"/>
    <w:rsid w:val="006D01B7"/>
    <w:rsid w:val="006D02CD"/>
    <w:rsid w:val="006D0A4D"/>
    <w:rsid w:val="006D0B17"/>
    <w:rsid w:val="006D0D17"/>
    <w:rsid w:val="006D14D2"/>
    <w:rsid w:val="006D1626"/>
    <w:rsid w:val="006D1F07"/>
    <w:rsid w:val="006D2147"/>
    <w:rsid w:val="006D226B"/>
    <w:rsid w:val="006D2490"/>
    <w:rsid w:val="006D2966"/>
    <w:rsid w:val="006D2BC2"/>
    <w:rsid w:val="006D2C88"/>
    <w:rsid w:val="006D2E4D"/>
    <w:rsid w:val="006D2F2E"/>
    <w:rsid w:val="006D316F"/>
    <w:rsid w:val="006D38F8"/>
    <w:rsid w:val="006D3C39"/>
    <w:rsid w:val="006D3C7D"/>
    <w:rsid w:val="006D42CE"/>
    <w:rsid w:val="006D4659"/>
    <w:rsid w:val="006D4686"/>
    <w:rsid w:val="006D577E"/>
    <w:rsid w:val="006D5A48"/>
    <w:rsid w:val="006D5BC1"/>
    <w:rsid w:val="006D5D2C"/>
    <w:rsid w:val="006D5D5F"/>
    <w:rsid w:val="006D6339"/>
    <w:rsid w:val="006D65BB"/>
    <w:rsid w:val="006D67FC"/>
    <w:rsid w:val="006D68FB"/>
    <w:rsid w:val="006D6936"/>
    <w:rsid w:val="006D6F79"/>
    <w:rsid w:val="006D7389"/>
    <w:rsid w:val="006D7D85"/>
    <w:rsid w:val="006D7E8F"/>
    <w:rsid w:val="006E04EE"/>
    <w:rsid w:val="006E08F0"/>
    <w:rsid w:val="006E0F78"/>
    <w:rsid w:val="006E1488"/>
    <w:rsid w:val="006E1F8A"/>
    <w:rsid w:val="006E22CA"/>
    <w:rsid w:val="006E2491"/>
    <w:rsid w:val="006E2868"/>
    <w:rsid w:val="006E2918"/>
    <w:rsid w:val="006E3656"/>
    <w:rsid w:val="006E3A1A"/>
    <w:rsid w:val="006E3C33"/>
    <w:rsid w:val="006E3CE7"/>
    <w:rsid w:val="006E4634"/>
    <w:rsid w:val="006E4653"/>
    <w:rsid w:val="006E4A07"/>
    <w:rsid w:val="006E4D91"/>
    <w:rsid w:val="006E5052"/>
    <w:rsid w:val="006E5266"/>
    <w:rsid w:val="006E62DE"/>
    <w:rsid w:val="006E6429"/>
    <w:rsid w:val="006E652E"/>
    <w:rsid w:val="006E6753"/>
    <w:rsid w:val="006E69DC"/>
    <w:rsid w:val="006E6D41"/>
    <w:rsid w:val="006E6F54"/>
    <w:rsid w:val="006E7494"/>
    <w:rsid w:val="006E78CB"/>
    <w:rsid w:val="006E7A35"/>
    <w:rsid w:val="006E7F32"/>
    <w:rsid w:val="006F00DA"/>
    <w:rsid w:val="006F090C"/>
    <w:rsid w:val="006F0AE3"/>
    <w:rsid w:val="006F0C95"/>
    <w:rsid w:val="006F0FF5"/>
    <w:rsid w:val="006F1025"/>
    <w:rsid w:val="006F1322"/>
    <w:rsid w:val="006F132E"/>
    <w:rsid w:val="006F2083"/>
    <w:rsid w:val="006F2185"/>
    <w:rsid w:val="006F232E"/>
    <w:rsid w:val="006F2468"/>
    <w:rsid w:val="006F2999"/>
    <w:rsid w:val="006F2D5C"/>
    <w:rsid w:val="006F2D8B"/>
    <w:rsid w:val="006F306C"/>
    <w:rsid w:val="006F334A"/>
    <w:rsid w:val="006F33D1"/>
    <w:rsid w:val="006F3770"/>
    <w:rsid w:val="006F4054"/>
    <w:rsid w:val="006F4189"/>
    <w:rsid w:val="006F423E"/>
    <w:rsid w:val="006F4351"/>
    <w:rsid w:val="006F449E"/>
    <w:rsid w:val="006F4AC6"/>
    <w:rsid w:val="006F4FDE"/>
    <w:rsid w:val="006F53B4"/>
    <w:rsid w:val="006F5754"/>
    <w:rsid w:val="006F59EA"/>
    <w:rsid w:val="006F5DE4"/>
    <w:rsid w:val="006F5F22"/>
    <w:rsid w:val="006F6062"/>
    <w:rsid w:val="006F63A5"/>
    <w:rsid w:val="006F66C4"/>
    <w:rsid w:val="006F682C"/>
    <w:rsid w:val="006F6945"/>
    <w:rsid w:val="006F6CAC"/>
    <w:rsid w:val="006F76F1"/>
    <w:rsid w:val="006F7858"/>
    <w:rsid w:val="006F7B65"/>
    <w:rsid w:val="00700616"/>
    <w:rsid w:val="00700B18"/>
    <w:rsid w:val="00700BB7"/>
    <w:rsid w:val="007011A4"/>
    <w:rsid w:val="0070142B"/>
    <w:rsid w:val="00701465"/>
    <w:rsid w:val="00701B35"/>
    <w:rsid w:val="00701FDF"/>
    <w:rsid w:val="0070276E"/>
    <w:rsid w:val="0070279E"/>
    <w:rsid w:val="007029FF"/>
    <w:rsid w:val="00702F8F"/>
    <w:rsid w:val="00703304"/>
    <w:rsid w:val="0070332B"/>
    <w:rsid w:val="00703A9B"/>
    <w:rsid w:val="00703B74"/>
    <w:rsid w:val="00703E4A"/>
    <w:rsid w:val="00704403"/>
    <w:rsid w:val="0070452B"/>
    <w:rsid w:val="00704601"/>
    <w:rsid w:val="0070480C"/>
    <w:rsid w:val="00704B27"/>
    <w:rsid w:val="00704C43"/>
    <w:rsid w:val="00705676"/>
    <w:rsid w:val="00705B20"/>
    <w:rsid w:val="00705D63"/>
    <w:rsid w:val="00705E12"/>
    <w:rsid w:val="00706020"/>
    <w:rsid w:val="00706030"/>
    <w:rsid w:val="00706831"/>
    <w:rsid w:val="00706B51"/>
    <w:rsid w:val="00706CB4"/>
    <w:rsid w:val="00706D1F"/>
    <w:rsid w:val="00706F35"/>
    <w:rsid w:val="007073F0"/>
    <w:rsid w:val="007074AC"/>
    <w:rsid w:val="007075C0"/>
    <w:rsid w:val="0070779F"/>
    <w:rsid w:val="007079FC"/>
    <w:rsid w:val="00707BCF"/>
    <w:rsid w:val="007100FE"/>
    <w:rsid w:val="00711A36"/>
    <w:rsid w:val="00711E0A"/>
    <w:rsid w:val="0071217D"/>
    <w:rsid w:val="007125D3"/>
    <w:rsid w:val="0071270A"/>
    <w:rsid w:val="00712784"/>
    <w:rsid w:val="007127DC"/>
    <w:rsid w:val="00712A6A"/>
    <w:rsid w:val="00713205"/>
    <w:rsid w:val="0071334F"/>
    <w:rsid w:val="00713FFD"/>
    <w:rsid w:val="00714706"/>
    <w:rsid w:val="00714853"/>
    <w:rsid w:val="00714C26"/>
    <w:rsid w:val="00714C7C"/>
    <w:rsid w:val="00714C85"/>
    <w:rsid w:val="0071529C"/>
    <w:rsid w:val="00715406"/>
    <w:rsid w:val="007156E8"/>
    <w:rsid w:val="00715A9F"/>
    <w:rsid w:val="00715AEB"/>
    <w:rsid w:val="007166B5"/>
    <w:rsid w:val="00716F38"/>
    <w:rsid w:val="007170DA"/>
    <w:rsid w:val="007171A1"/>
    <w:rsid w:val="007172AD"/>
    <w:rsid w:val="00717546"/>
    <w:rsid w:val="00717FE0"/>
    <w:rsid w:val="00720286"/>
    <w:rsid w:val="007206DB"/>
    <w:rsid w:val="00720801"/>
    <w:rsid w:val="0072142A"/>
    <w:rsid w:val="0072150A"/>
    <w:rsid w:val="00721EA3"/>
    <w:rsid w:val="00722B1B"/>
    <w:rsid w:val="00722B72"/>
    <w:rsid w:val="0072416F"/>
    <w:rsid w:val="00724294"/>
    <w:rsid w:val="00724CDF"/>
    <w:rsid w:val="00724CEF"/>
    <w:rsid w:val="00724FC3"/>
    <w:rsid w:val="00725810"/>
    <w:rsid w:val="0072592D"/>
    <w:rsid w:val="00725A9E"/>
    <w:rsid w:val="007266B2"/>
    <w:rsid w:val="007266EE"/>
    <w:rsid w:val="00726A93"/>
    <w:rsid w:val="00726DB5"/>
    <w:rsid w:val="007270CF"/>
    <w:rsid w:val="007270D1"/>
    <w:rsid w:val="007271C2"/>
    <w:rsid w:val="0072738D"/>
    <w:rsid w:val="00727607"/>
    <w:rsid w:val="007278AD"/>
    <w:rsid w:val="00727C94"/>
    <w:rsid w:val="00727CE7"/>
    <w:rsid w:val="00730244"/>
    <w:rsid w:val="0073073A"/>
    <w:rsid w:val="00730805"/>
    <w:rsid w:val="0073089B"/>
    <w:rsid w:val="00730DB5"/>
    <w:rsid w:val="00731107"/>
    <w:rsid w:val="00731340"/>
    <w:rsid w:val="007314B5"/>
    <w:rsid w:val="00731B0A"/>
    <w:rsid w:val="00731B3C"/>
    <w:rsid w:val="00731EAE"/>
    <w:rsid w:val="00731FEA"/>
    <w:rsid w:val="007322C3"/>
    <w:rsid w:val="0073275C"/>
    <w:rsid w:val="00732859"/>
    <w:rsid w:val="00732C88"/>
    <w:rsid w:val="00732F52"/>
    <w:rsid w:val="00733073"/>
    <w:rsid w:val="007333AA"/>
    <w:rsid w:val="0073345B"/>
    <w:rsid w:val="00733ABE"/>
    <w:rsid w:val="00733E6F"/>
    <w:rsid w:val="0073433D"/>
    <w:rsid w:val="007345CE"/>
    <w:rsid w:val="00734C22"/>
    <w:rsid w:val="00734CE1"/>
    <w:rsid w:val="00734F18"/>
    <w:rsid w:val="00735033"/>
    <w:rsid w:val="00735328"/>
    <w:rsid w:val="00735B63"/>
    <w:rsid w:val="0073642C"/>
    <w:rsid w:val="0073685B"/>
    <w:rsid w:val="00736986"/>
    <w:rsid w:val="0073750A"/>
    <w:rsid w:val="007375AC"/>
    <w:rsid w:val="007376B4"/>
    <w:rsid w:val="00737FF3"/>
    <w:rsid w:val="0074015A"/>
    <w:rsid w:val="0074029C"/>
    <w:rsid w:val="00740FC1"/>
    <w:rsid w:val="00741369"/>
    <w:rsid w:val="00741634"/>
    <w:rsid w:val="00741A69"/>
    <w:rsid w:val="00741B4A"/>
    <w:rsid w:val="00741DFE"/>
    <w:rsid w:val="00741F74"/>
    <w:rsid w:val="00742105"/>
    <w:rsid w:val="00742167"/>
    <w:rsid w:val="00742318"/>
    <w:rsid w:val="00743227"/>
    <w:rsid w:val="007433F3"/>
    <w:rsid w:val="00743924"/>
    <w:rsid w:val="00744907"/>
    <w:rsid w:val="0074496C"/>
    <w:rsid w:val="007449BF"/>
    <w:rsid w:val="00744B60"/>
    <w:rsid w:val="00744CAF"/>
    <w:rsid w:val="00744F32"/>
    <w:rsid w:val="007455AD"/>
    <w:rsid w:val="007457F7"/>
    <w:rsid w:val="00745951"/>
    <w:rsid w:val="00745C0F"/>
    <w:rsid w:val="00745DBA"/>
    <w:rsid w:val="00745DF6"/>
    <w:rsid w:val="007463FE"/>
    <w:rsid w:val="00746480"/>
    <w:rsid w:val="00746875"/>
    <w:rsid w:val="00746BC0"/>
    <w:rsid w:val="00746EB6"/>
    <w:rsid w:val="00747781"/>
    <w:rsid w:val="00747986"/>
    <w:rsid w:val="00747A4E"/>
    <w:rsid w:val="00747E0A"/>
    <w:rsid w:val="00750469"/>
    <w:rsid w:val="0075092D"/>
    <w:rsid w:val="00750AB6"/>
    <w:rsid w:val="007510B4"/>
    <w:rsid w:val="00751731"/>
    <w:rsid w:val="0075185C"/>
    <w:rsid w:val="00751C9E"/>
    <w:rsid w:val="00751FC5"/>
    <w:rsid w:val="007520CF"/>
    <w:rsid w:val="00752142"/>
    <w:rsid w:val="007523F9"/>
    <w:rsid w:val="00752AA3"/>
    <w:rsid w:val="007532A9"/>
    <w:rsid w:val="0075333F"/>
    <w:rsid w:val="007533EA"/>
    <w:rsid w:val="00753534"/>
    <w:rsid w:val="0075357E"/>
    <w:rsid w:val="00753B29"/>
    <w:rsid w:val="00754466"/>
    <w:rsid w:val="0075518C"/>
    <w:rsid w:val="007551B8"/>
    <w:rsid w:val="0075526A"/>
    <w:rsid w:val="007554CB"/>
    <w:rsid w:val="0075559C"/>
    <w:rsid w:val="00755BD8"/>
    <w:rsid w:val="00755E65"/>
    <w:rsid w:val="007565A8"/>
    <w:rsid w:val="007573E8"/>
    <w:rsid w:val="00757555"/>
    <w:rsid w:val="00757895"/>
    <w:rsid w:val="0076066B"/>
    <w:rsid w:val="00760C4E"/>
    <w:rsid w:val="00760D6B"/>
    <w:rsid w:val="00760F9E"/>
    <w:rsid w:val="007610C6"/>
    <w:rsid w:val="007611A5"/>
    <w:rsid w:val="007616E6"/>
    <w:rsid w:val="00761BD5"/>
    <w:rsid w:val="00761E8F"/>
    <w:rsid w:val="00761F6B"/>
    <w:rsid w:val="00762179"/>
    <w:rsid w:val="00762324"/>
    <w:rsid w:val="007625B4"/>
    <w:rsid w:val="007626DC"/>
    <w:rsid w:val="007627BE"/>
    <w:rsid w:val="00762BFF"/>
    <w:rsid w:val="007630F4"/>
    <w:rsid w:val="00763259"/>
    <w:rsid w:val="007633B1"/>
    <w:rsid w:val="00763504"/>
    <w:rsid w:val="00763629"/>
    <w:rsid w:val="00763797"/>
    <w:rsid w:val="00763DCC"/>
    <w:rsid w:val="00763EFB"/>
    <w:rsid w:val="0076416C"/>
    <w:rsid w:val="007649B1"/>
    <w:rsid w:val="00764AE5"/>
    <w:rsid w:val="00764B4C"/>
    <w:rsid w:val="00764BF9"/>
    <w:rsid w:val="00764CEB"/>
    <w:rsid w:val="00764D7C"/>
    <w:rsid w:val="00764EC9"/>
    <w:rsid w:val="00764F03"/>
    <w:rsid w:val="00765389"/>
    <w:rsid w:val="00765529"/>
    <w:rsid w:val="00765928"/>
    <w:rsid w:val="0076594D"/>
    <w:rsid w:val="00765B1A"/>
    <w:rsid w:val="00765C05"/>
    <w:rsid w:val="00765DC1"/>
    <w:rsid w:val="00766013"/>
    <w:rsid w:val="00766112"/>
    <w:rsid w:val="00766A69"/>
    <w:rsid w:val="00766B63"/>
    <w:rsid w:val="00766BF3"/>
    <w:rsid w:val="0076709E"/>
    <w:rsid w:val="007673B8"/>
    <w:rsid w:val="00767A31"/>
    <w:rsid w:val="00770866"/>
    <w:rsid w:val="00770B2B"/>
    <w:rsid w:val="007710ED"/>
    <w:rsid w:val="00771569"/>
    <w:rsid w:val="007718BB"/>
    <w:rsid w:val="00771D96"/>
    <w:rsid w:val="00771F84"/>
    <w:rsid w:val="0077233B"/>
    <w:rsid w:val="007724DB"/>
    <w:rsid w:val="00772B40"/>
    <w:rsid w:val="00773804"/>
    <w:rsid w:val="00773D4B"/>
    <w:rsid w:val="00774141"/>
    <w:rsid w:val="0077429B"/>
    <w:rsid w:val="00774607"/>
    <w:rsid w:val="007749C8"/>
    <w:rsid w:val="00774F2F"/>
    <w:rsid w:val="0077502A"/>
    <w:rsid w:val="00775366"/>
    <w:rsid w:val="007756D9"/>
    <w:rsid w:val="007756F6"/>
    <w:rsid w:val="007760F3"/>
    <w:rsid w:val="0077653E"/>
    <w:rsid w:val="00776CC5"/>
    <w:rsid w:val="00777221"/>
    <w:rsid w:val="00777335"/>
    <w:rsid w:val="00777D4F"/>
    <w:rsid w:val="00777F80"/>
    <w:rsid w:val="00780598"/>
    <w:rsid w:val="00780633"/>
    <w:rsid w:val="00780781"/>
    <w:rsid w:val="00780931"/>
    <w:rsid w:val="00780940"/>
    <w:rsid w:val="00780C6B"/>
    <w:rsid w:val="00780F50"/>
    <w:rsid w:val="00781251"/>
    <w:rsid w:val="0078141A"/>
    <w:rsid w:val="007815E8"/>
    <w:rsid w:val="0078184E"/>
    <w:rsid w:val="00781AFD"/>
    <w:rsid w:val="00781C89"/>
    <w:rsid w:val="00782AC8"/>
    <w:rsid w:val="0078322F"/>
    <w:rsid w:val="007832DC"/>
    <w:rsid w:val="007833DB"/>
    <w:rsid w:val="0078373E"/>
    <w:rsid w:val="00783900"/>
    <w:rsid w:val="00783C2E"/>
    <w:rsid w:val="007843EF"/>
    <w:rsid w:val="007843F2"/>
    <w:rsid w:val="00784640"/>
    <w:rsid w:val="007846FA"/>
    <w:rsid w:val="00784E1E"/>
    <w:rsid w:val="00785202"/>
    <w:rsid w:val="00785242"/>
    <w:rsid w:val="00785A9F"/>
    <w:rsid w:val="00785B99"/>
    <w:rsid w:val="00786200"/>
    <w:rsid w:val="00786417"/>
    <w:rsid w:val="007866C7"/>
    <w:rsid w:val="00786AE8"/>
    <w:rsid w:val="0078725B"/>
    <w:rsid w:val="007874F9"/>
    <w:rsid w:val="0078759E"/>
    <w:rsid w:val="0079031F"/>
    <w:rsid w:val="0079048B"/>
    <w:rsid w:val="00790AAD"/>
    <w:rsid w:val="00790F8A"/>
    <w:rsid w:val="007910B7"/>
    <w:rsid w:val="00791543"/>
    <w:rsid w:val="00791A70"/>
    <w:rsid w:val="007925DF"/>
    <w:rsid w:val="00792A4A"/>
    <w:rsid w:val="00792B2B"/>
    <w:rsid w:val="00792B3B"/>
    <w:rsid w:val="00792C4F"/>
    <w:rsid w:val="00792C57"/>
    <w:rsid w:val="00792E2A"/>
    <w:rsid w:val="00793166"/>
    <w:rsid w:val="007935B6"/>
    <w:rsid w:val="0079366F"/>
    <w:rsid w:val="00793807"/>
    <w:rsid w:val="00793A6E"/>
    <w:rsid w:val="0079456D"/>
    <w:rsid w:val="00794A6E"/>
    <w:rsid w:val="00794C34"/>
    <w:rsid w:val="00795110"/>
    <w:rsid w:val="0079607F"/>
    <w:rsid w:val="0079630F"/>
    <w:rsid w:val="00796452"/>
    <w:rsid w:val="00796C29"/>
    <w:rsid w:val="00797046"/>
    <w:rsid w:val="007972B0"/>
    <w:rsid w:val="00797340"/>
    <w:rsid w:val="00797358"/>
    <w:rsid w:val="0079781B"/>
    <w:rsid w:val="007A02F2"/>
    <w:rsid w:val="007A04BB"/>
    <w:rsid w:val="007A05CE"/>
    <w:rsid w:val="007A08AA"/>
    <w:rsid w:val="007A08D2"/>
    <w:rsid w:val="007A09C4"/>
    <w:rsid w:val="007A0A12"/>
    <w:rsid w:val="007A0AF3"/>
    <w:rsid w:val="007A10BF"/>
    <w:rsid w:val="007A132D"/>
    <w:rsid w:val="007A1345"/>
    <w:rsid w:val="007A1BFD"/>
    <w:rsid w:val="007A208D"/>
    <w:rsid w:val="007A25F7"/>
    <w:rsid w:val="007A2604"/>
    <w:rsid w:val="007A266F"/>
    <w:rsid w:val="007A27F3"/>
    <w:rsid w:val="007A28B1"/>
    <w:rsid w:val="007A2BC6"/>
    <w:rsid w:val="007A2D06"/>
    <w:rsid w:val="007A2DDB"/>
    <w:rsid w:val="007A2E83"/>
    <w:rsid w:val="007A363E"/>
    <w:rsid w:val="007A4225"/>
    <w:rsid w:val="007A43BE"/>
    <w:rsid w:val="007A44C2"/>
    <w:rsid w:val="007A477D"/>
    <w:rsid w:val="007A47A3"/>
    <w:rsid w:val="007A4B0C"/>
    <w:rsid w:val="007A5248"/>
    <w:rsid w:val="007A538D"/>
    <w:rsid w:val="007A5491"/>
    <w:rsid w:val="007A56C5"/>
    <w:rsid w:val="007A57F2"/>
    <w:rsid w:val="007A5D46"/>
    <w:rsid w:val="007A66E1"/>
    <w:rsid w:val="007A686A"/>
    <w:rsid w:val="007A6E33"/>
    <w:rsid w:val="007A70BA"/>
    <w:rsid w:val="007A755E"/>
    <w:rsid w:val="007A7622"/>
    <w:rsid w:val="007A7D6A"/>
    <w:rsid w:val="007A7E92"/>
    <w:rsid w:val="007B0068"/>
    <w:rsid w:val="007B019C"/>
    <w:rsid w:val="007B034F"/>
    <w:rsid w:val="007B0B36"/>
    <w:rsid w:val="007B0D68"/>
    <w:rsid w:val="007B1D18"/>
    <w:rsid w:val="007B1FF6"/>
    <w:rsid w:val="007B251D"/>
    <w:rsid w:val="007B31E7"/>
    <w:rsid w:val="007B33A7"/>
    <w:rsid w:val="007B3533"/>
    <w:rsid w:val="007B35A3"/>
    <w:rsid w:val="007B3A0F"/>
    <w:rsid w:val="007B4353"/>
    <w:rsid w:val="007B45E8"/>
    <w:rsid w:val="007B48CD"/>
    <w:rsid w:val="007B4A19"/>
    <w:rsid w:val="007B4E7C"/>
    <w:rsid w:val="007B4F58"/>
    <w:rsid w:val="007B4FCB"/>
    <w:rsid w:val="007B528D"/>
    <w:rsid w:val="007B63CA"/>
    <w:rsid w:val="007B64A3"/>
    <w:rsid w:val="007B694C"/>
    <w:rsid w:val="007B6A63"/>
    <w:rsid w:val="007B77D1"/>
    <w:rsid w:val="007B7AAF"/>
    <w:rsid w:val="007B7B44"/>
    <w:rsid w:val="007B7BD8"/>
    <w:rsid w:val="007B7E26"/>
    <w:rsid w:val="007C0063"/>
    <w:rsid w:val="007C00A5"/>
    <w:rsid w:val="007C0247"/>
    <w:rsid w:val="007C04C2"/>
    <w:rsid w:val="007C075B"/>
    <w:rsid w:val="007C07C7"/>
    <w:rsid w:val="007C08B0"/>
    <w:rsid w:val="007C0BC1"/>
    <w:rsid w:val="007C0D03"/>
    <w:rsid w:val="007C192A"/>
    <w:rsid w:val="007C1CD9"/>
    <w:rsid w:val="007C2262"/>
    <w:rsid w:val="007C2342"/>
    <w:rsid w:val="007C2AC6"/>
    <w:rsid w:val="007C3089"/>
    <w:rsid w:val="007C32EF"/>
    <w:rsid w:val="007C361D"/>
    <w:rsid w:val="007C3713"/>
    <w:rsid w:val="007C397F"/>
    <w:rsid w:val="007C3CE0"/>
    <w:rsid w:val="007C417A"/>
    <w:rsid w:val="007C46F1"/>
    <w:rsid w:val="007C4869"/>
    <w:rsid w:val="007C4921"/>
    <w:rsid w:val="007C4A1B"/>
    <w:rsid w:val="007C4B33"/>
    <w:rsid w:val="007C4B84"/>
    <w:rsid w:val="007C4E2D"/>
    <w:rsid w:val="007C4E6F"/>
    <w:rsid w:val="007C4EE4"/>
    <w:rsid w:val="007C5064"/>
    <w:rsid w:val="007C5630"/>
    <w:rsid w:val="007C5765"/>
    <w:rsid w:val="007C5A03"/>
    <w:rsid w:val="007C5A08"/>
    <w:rsid w:val="007C5B4C"/>
    <w:rsid w:val="007C635D"/>
    <w:rsid w:val="007C65D7"/>
    <w:rsid w:val="007C6802"/>
    <w:rsid w:val="007C6DA0"/>
    <w:rsid w:val="007C70FF"/>
    <w:rsid w:val="007C7195"/>
    <w:rsid w:val="007C722A"/>
    <w:rsid w:val="007C7509"/>
    <w:rsid w:val="007C755A"/>
    <w:rsid w:val="007C7952"/>
    <w:rsid w:val="007C7A59"/>
    <w:rsid w:val="007C7A9A"/>
    <w:rsid w:val="007C7BDD"/>
    <w:rsid w:val="007C7C25"/>
    <w:rsid w:val="007D004F"/>
    <w:rsid w:val="007D035F"/>
    <w:rsid w:val="007D06B2"/>
    <w:rsid w:val="007D06B8"/>
    <w:rsid w:val="007D0756"/>
    <w:rsid w:val="007D0A1B"/>
    <w:rsid w:val="007D0B38"/>
    <w:rsid w:val="007D0F07"/>
    <w:rsid w:val="007D119B"/>
    <w:rsid w:val="007D19CD"/>
    <w:rsid w:val="007D1BF4"/>
    <w:rsid w:val="007D2532"/>
    <w:rsid w:val="007D2C64"/>
    <w:rsid w:val="007D2E3C"/>
    <w:rsid w:val="007D34F0"/>
    <w:rsid w:val="007D3B60"/>
    <w:rsid w:val="007D3BA6"/>
    <w:rsid w:val="007D3C52"/>
    <w:rsid w:val="007D3F8D"/>
    <w:rsid w:val="007D3F9F"/>
    <w:rsid w:val="007D411E"/>
    <w:rsid w:val="007D485C"/>
    <w:rsid w:val="007D4B92"/>
    <w:rsid w:val="007D5130"/>
    <w:rsid w:val="007D5440"/>
    <w:rsid w:val="007D565D"/>
    <w:rsid w:val="007D586E"/>
    <w:rsid w:val="007D608E"/>
    <w:rsid w:val="007D6181"/>
    <w:rsid w:val="007D63EC"/>
    <w:rsid w:val="007D69EB"/>
    <w:rsid w:val="007D6B5A"/>
    <w:rsid w:val="007D6F14"/>
    <w:rsid w:val="007D7018"/>
    <w:rsid w:val="007D75B4"/>
    <w:rsid w:val="007D77EB"/>
    <w:rsid w:val="007D7F02"/>
    <w:rsid w:val="007D7F9E"/>
    <w:rsid w:val="007E0087"/>
    <w:rsid w:val="007E01C4"/>
    <w:rsid w:val="007E02F5"/>
    <w:rsid w:val="007E07DE"/>
    <w:rsid w:val="007E093E"/>
    <w:rsid w:val="007E0CF3"/>
    <w:rsid w:val="007E0D43"/>
    <w:rsid w:val="007E104A"/>
    <w:rsid w:val="007E11E4"/>
    <w:rsid w:val="007E1286"/>
    <w:rsid w:val="007E128F"/>
    <w:rsid w:val="007E1525"/>
    <w:rsid w:val="007E1A54"/>
    <w:rsid w:val="007E227E"/>
    <w:rsid w:val="007E2626"/>
    <w:rsid w:val="007E2731"/>
    <w:rsid w:val="007E294A"/>
    <w:rsid w:val="007E2B2F"/>
    <w:rsid w:val="007E2EDF"/>
    <w:rsid w:val="007E3471"/>
    <w:rsid w:val="007E38E1"/>
    <w:rsid w:val="007E3BF3"/>
    <w:rsid w:val="007E4667"/>
    <w:rsid w:val="007E46EF"/>
    <w:rsid w:val="007E486B"/>
    <w:rsid w:val="007E4999"/>
    <w:rsid w:val="007E4F3E"/>
    <w:rsid w:val="007E5503"/>
    <w:rsid w:val="007E5662"/>
    <w:rsid w:val="007E5830"/>
    <w:rsid w:val="007E5B28"/>
    <w:rsid w:val="007E5FA5"/>
    <w:rsid w:val="007E6077"/>
    <w:rsid w:val="007E631A"/>
    <w:rsid w:val="007E643C"/>
    <w:rsid w:val="007E6658"/>
    <w:rsid w:val="007E6860"/>
    <w:rsid w:val="007E6F5A"/>
    <w:rsid w:val="007E7C60"/>
    <w:rsid w:val="007E7FEA"/>
    <w:rsid w:val="007F03ED"/>
    <w:rsid w:val="007F0439"/>
    <w:rsid w:val="007F0CED"/>
    <w:rsid w:val="007F0F61"/>
    <w:rsid w:val="007F1017"/>
    <w:rsid w:val="007F191C"/>
    <w:rsid w:val="007F202F"/>
    <w:rsid w:val="007F239D"/>
    <w:rsid w:val="007F28F1"/>
    <w:rsid w:val="007F2C8D"/>
    <w:rsid w:val="007F3B3B"/>
    <w:rsid w:val="007F3CC8"/>
    <w:rsid w:val="007F41E4"/>
    <w:rsid w:val="007F45CA"/>
    <w:rsid w:val="007F46D3"/>
    <w:rsid w:val="007F484F"/>
    <w:rsid w:val="007F4A3F"/>
    <w:rsid w:val="007F4A61"/>
    <w:rsid w:val="007F4AD6"/>
    <w:rsid w:val="007F4B81"/>
    <w:rsid w:val="007F4C19"/>
    <w:rsid w:val="007F5121"/>
    <w:rsid w:val="007F5177"/>
    <w:rsid w:val="007F5255"/>
    <w:rsid w:val="007F56CC"/>
    <w:rsid w:val="007F574C"/>
    <w:rsid w:val="007F5761"/>
    <w:rsid w:val="007F5EDF"/>
    <w:rsid w:val="007F61C2"/>
    <w:rsid w:val="007F6EB0"/>
    <w:rsid w:val="007F7917"/>
    <w:rsid w:val="007F7E24"/>
    <w:rsid w:val="00800151"/>
    <w:rsid w:val="00800BF7"/>
    <w:rsid w:val="00800C47"/>
    <w:rsid w:val="00800CBB"/>
    <w:rsid w:val="00801178"/>
    <w:rsid w:val="0080144A"/>
    <w:rsid w:val="00801734"/>
    <w:rsid w:val="00801A8D"/>
    <w:rsid w:val="00801D04"/>
    <w:rsid w:val="00801E08"/>
    <w:rsid w:val="00801F6E"/>
    <w:rsid w:val="00801FDB"/>
    <w:rsid w:val="008027D8"/>
    <w:rsid w:val="0080306E"/>
    <w:rsid w:val="00803234"/>
    <w:rsid w:val="00803C6A"/>
    <w:rsid w:val="00803D34"/>
    <w:rsid w:val="00804A08"/>
    <w:rsid w:val="00804A75"/>
    <w:rsid w:val="00804A77"/>
    <w:rsid w:val="00804C25"/>
    <w:rsid w:val="00805142"/>
    <w:rsid w:val="00805412"/>
    <w:rsid w:val="00805CDD"/>
    <w:rsid w:val="00805F15"/>
    <w:rsid w:val="00805FCE"/>
    <w:rsid w:val="00806B36"/>
    <w:rsid w:val="008070F3"/>
    <w:rsid w:val="008073AC"/>
    <w:rsid w:val="008073E8"/>
    <w:rsid w:val="00807962"/>
    <w:rsid w:val="00807A8B"/>
    <w:rsid w:val="00810215"/>
    <w:rsid w:val="0081031B"/>
    <w:rsid w:val="00810A47"/>
    <w:rsid w:val="00810A66"/>
    <w:rsid w:val="00811383"/>
    <w:rsid w:val="00811745"/>
    <w:rsid w:val="0081180B"/>
    <w:rsid w:val="00812149"/>
    <w:rsid w:val="008122FF"/>
    <w:rsid w:val="0081265F"/>
    <w:rsid w:val="00812B4A"/>
    <w:rsid w:val="00812CAC"/>
    <w:rsid w:val="0081350C"/>
    <w:rsid w:val="0081357F"/>
    <w:rsid w:val="008138A1"/>
    <w:rsid w:val="00813D86"/>
    <w:rsid w:val="00813FFE"/>
    <w:rsid w:val="00814193"/>
    <w:rsid w:val="0081478D"/>
    <w:rsid w:val="00814A7D"/>
    <w:rsid w:val="00814B8F"/>
    <w:rsid w:val="00814FAF"/>
    <w:rsid w:val="00814FDC"/>
    <w:rsid w:val="008150AF"/>
    <w:rsid w:val="00815732"/>
    <w:rsid w:val="00815A04"/>
    <w:rsid w:val="00815D6D"/>
    <w:rsid w:val="00815FBF"/>
    <w:rsid w:val="00815FC9"/>
    <w:rsid w:val="00816057"/>
    <w:rsid w:val="00816123"/>
    <w:rsid w:val="00816213"/>
    <w:rsid w:val="00816361"/>
    <w:rsid w:val="008163AC"/>
    <w:rsid w:val="008166EF"/>
    <w:rsid w:val="00816DFF"/>
    <w:rsid w:val="00816FEF"/>
    <w:rsid w:val="0081733E"/>
    <w:rsid w:val="00817722"/>
    <w:rsid w:val="00817977"/>
    <w:rsid w:val="008179A6"/>
    <w:rsid w:val="008207A5"/>
    <w:rsid w:val="008207BF"/>
    <w:rsid w:val="00820A8C"/>
    <w:rsid w:val="0082117B"/>
    <w:rsid w:val="008212BD"/>
    <w:rsid w:val="008212D3"/>
    <w:rsid w:val="008215FB"/>
    <w:rsid w:val="008220CC"/>
    <w:rsid w:val="00822746"/>
    <w:rsid w:val="00822953"/>
    <w:rsid w:val="00822A7B"/>
    <w:rsid w:val="00823174"/>
    <w:rsid w:val="00823599"/>
    <w:rsid w:val="00823A9A"/>
    <w:rsid w:val="00823D75"/>
    <w:rsid w:val="00823E3C"/>
    <w:rsid w:val="0082480D"/>
    <w:rsid w:val="00824C4C"/>
    <w:rsid w:val="008250AD"/>
    <w:rsid w:val="0082531D"/>
    <w:rsid w:val="008255DE"/>
    <w:rsid w:val="00825751"/>
    <w:rsid w:val="00825940"/>
    <w:rsid w:val="008259DE"/>
    <w:rsid w:val="00825BD7"/>
    <w:rsid w:val="00826108"/>
    <w:rsid w:val="008264EB"/>
    <w:rsid w:val="008268CE"/>
    <w:rsid w:val="00826990"/>
    <w:rsid w:val="00827249"/>
    <w:rsid w:val="00827558"/>
    <w:rsid w:val="00827C23"/>
    <w:rsid w:val="0083009E"/>
    <w:rsid w:val="0083016C"/>
    <w:rsid w:val="0083068C"/>
    <w:rsid w:val="008313D4"/>
    <w:rsid w:val="008318C1"/>
    <w:rsid w:val="00831ED6"/>
    <w:rsid w:val="0083236E"/>
    <w:rsid w:val="008323BF"/>
    <w:rsid w:val="00832A88"/>
    <w:rsid w:val="00832AC9"/>
    <w:rsid w:val="00833075"/>
    <w:rsid w:val="00833361"/>
    <w:rsid w:val="008339D0"/>
    <w:rsid w:val="00833B05"/>
    <w:rsid w:val="00833F6F"/>
    <w:rsid w:val="008349DF"/>
    <w:rsid w:val="00834DF9"/>
    <w:rsid w:val="00835351"/>
    <w:rsid w:val="00835658"/>
    <w:rsid w:val="00835AB0"/>
    <w:rsid w:val="00835C59"/>
    <w:rsid w:val="00835CC0"/>
    <w:rsid w:val="00835E04"/>
    <w:rsid w:val="008360D3"/>
    <w:rsid w:val="008362B4"/>
    <w:rsid w:val="00836679"/>
    <w:rsid w:val="00836C72"/>
    <w:rsid w:val="008372B3"/>
    <w:rsid w:val="00837422"/>
    <w:rsid w:val="00837481"/>
    <w:rsid w:val="00837B1B"/>
    <w:rsid w:val="00837D96"/>
    <w:rsid w:val="008405F0"/>
    <w:rsid w:val="0084090C"/>
    <w:rsid w:val="0084092A"/>
    <w:rsid w:val="00840B15"/>
    <w:rsid w:val="00840CA2"/>
    <w:rsid w:val="00840F29"/>
    <w:rsid w:val="00841129"/>
    <w:rsid w:val="00841EE4"/>
    <w:rsid w:val="008434DA"/>
    <w:rsid w:val="0084374F"/>
    <w:rsid w:val="00843B0F"/>
    <w:rsid w:val="00843FA7"/>
    <w:rsid w:val="008441EF"/>
    <w:rsid w:val="008442C3"/>
    <w:rsid w:val="008445F4"/>
    <w:rsid w:val="00844623"/>
    <w:rsid w:val="0084477E"/>
    <w:rsid w:val="00844A01"/>
    <w:rsid w:val="00844A22"/>
    <w:rsid w:val="00845962"/>
    <w:rsid w:val="00845EB7"/>
    <w:rsid w:val="00845F8E"/>
    <w:rsid w:val="00846AD5"/>
    <w:rsid w:val="00846D5B"/>
    <w:rsid w:val="00846D95"/>
    <w:rsid w:val="00847470"/>
    <w:rsid w:val="00847703"/>
    <w:rsid w:val="00847851"/>
    <w:rsid w:val="00847A9B"/>
    <w:rsid w:val="00847AD5"/>
    <w:rsid w:val="00847B42"/>
    <w:rsid w:val="00847DD4"/>
    <w:rsid w:val="00847DF5"/>
    <w:rsid w:val="0085009E"/>
    <w:rsid w:val="008504F3"/>
    <w:rsid w:val="008505CE"/>
    <w:rsid w:val="008508FA"/>
    <w:rsid w:val="00850A42"/>
    <w:rsid w:val="008512CE"/>
    <w:rsid w:val="008514E5"/>
    <w:rsid w:val="00852396"/>
    <w:rsid w:val="00852894"/>
    <w:rsid w:val="00852A7B"/>
    <w:rsid w:val="00852AB9"/>
    <w:rsid w:val="0085309D"/>
    <w:rsid w:val="008531BE"/>
    <w:rsid w:val="008535C6"/>
    <w:rsid w:val="00853781"/>
    <w:rsid w:val="00853786"/>
    <w:rsid w:val="008537BB"/>
    <w:rsid w:val="00853AE2"/>
    <w:rsid w:val="00854737"/>
    <w:rsid w:val="008547BB"/>
    <w:rsid w:val="0085496B"/>
    <w:rsid w:val="00854C63"/>
    <w:rsid w:val="00855BDF"/>
    <w:rsid w:val="00855D8B"/>
    <w:rsid w:val="00855E52"/>
    <w:rsid w:val="00855E6F"/>
    <w:rsid w:val="008561CB"/>
    <w:rsid w:val="00856897"/>
    <w:rsid w:val="00856A20"/>
    <w:rsid w:val="00856D16"/>
    <w:rsid w:val="00856E9A"/>
    <w:rsid w:val="008572E8"/>
    <w:rsid w:val="008601ED"/>
    <w:rsid w:val="0086075D"/>
    <w:rsid w:val="00860A75"/>
    <w:rsid w:val="00860B41"/>
    <w:rsid w:val="00860C70"/>
    <w:rsid w:val="00860FE2"/>
    <w:rsid w:val="00860FE4"/>
    <w:rsid w:val="00861B0F"/>
    <w:rsid w:val="00861CCA"/>
    <w:rsid w:val="00862313"/>
    <w:rsid w:val="00862502"/>
    <w:rsid w:val="00862563"/>
    <w:rsid w:val="008625B4"/>
    <w:rsid w:val="00862CC1"/>
    <w:rsid w:val="00862DC0"/>
    <w:rsid w:val="00862FBA"/>
    <w:rsid w:val="008631A2"/>
    <w:rsid w:val="00863321"/>
    <w:rsid w:val="008636B5"/>
    <w:rsid w:val="00864216"/>
    <w:rsid w:val="008642A7"/>
    <w:rsid w:val="00864B61"/>
    <w:rsid w:val="008657E4"/>
    <w:rsid w:val="008660D4"/>
    <w:rsid w:val="008663B6"/>
    <w:rsid w:val="008665A5"/>
    <w:rsid w:val="00866707"/>
    <w:rsid w:val="008669E6"/>
    <w:rsid w:val="00867389"/>
    <w:rsid w:val="008673B5"/>
    <w:rsid w:val="008675BC"/>
    <w:rsid w:val="00867637"/>
    <w:rsid w:val="008676DA"/>
    <w:rsid w:val="00867EFD"/>
    <w:rsid w:val="008703EE"/>
    <w:rsid w:val="0087080D"/>
    <w:rsid w:val="008708E7"/>
    <w:rsid w:val="008716CA"/>
    <w:rsid w:val="00871C7A"/>
    <w:rsid w:val="00871DFA"/>
    <w:rsid w:val="00871FA9"/>
    <w:rsid w:val="0087240D"/>
    <w:rsid w:val="008728E9"/>
    <w:rsid w:val="00873677"/>
    <w:rsid w:val="008738E7"/>
    <w:rsid w:val="00873E14"/>
    <w:rsid w:val="0087422B"/>
    <w:rsid w:val="008746DB"/>
    <w:rsid w:val="008748F8"/>
    <w:rsid w:val="00874917"/>
    <w:rsid w:val="00874AC4"/>
    <w:rsid w:val="00874BE7"/>
    <w:rsid w:val="00874D5B"/>
    <w:rsid w:val="00874F45"/>
    <w:rsid w:val="0087513E"/>
    <w:rsid w:val="008753AC"/>
    <w:rsid w:val="00875D38"/>
    <w:rsid w:val="00876085"/>
    <w:rsid w:val="00876269"/>
    <w:rsid w:val="008765A3"/>
    <w:rsid w:val="00876F5C"/>
    <w:rsid w:val="00877134"/>
    <w:rsid w:val="008779DD"/>
    <w:rsid w:val="008800BF"/>
    <w:rsid w:val="008804E2"/>
    <w:rsid w:val="008805E3"/>
    <w:rsid w:val="008805F1"/>
    <w:rsid w:val="0088081D"/>
    <w:rsid w:val="008812D1"/>
    <w:rsid w:val="0088154B"/>
    <w:rsid w:val="00881753"/>
    <w:rsid w:val="008823D8"/>
    <w:rsid w:val="00882874"/>
    <w:rsid w:val="00882AC7"/>
    <w:rsid w:val="00882B42"/>
    <w:rsid w:val="00882E3C"/>
    <w:rsid w:val="00882E5A"/>
    <w:rsid w:val="00882E83"/>
    <w:rsid w:val="00883075"/>
    <w:rsid w:val="0088308A"/>
    <w:rsid w:val="00883787"/>
    <w:rsid w:val="0088389D"/>
    <w:rsid w:val="0088417E"/>
    <w:rsid w:val="00884274"/>
    <w:rsid w:val="008843E9"/>
    <w:rsid w:val="00884730"/>
    <w:rsid w:val="00884E89"/>
    <w:rsid w:val="00884E9A"/>
    <w:rsid w:val="0088512E"/>
    <w:rsid w:val="00885487"/>
    <w:rsid w:val="008855E4"/>
    <w:rsid w:val="00885920"/>
    <w:rsid w:val="00885EA1"/>
    <w:rsid w:val="0088611A"/>
    <w:rsid w:val="008867D8"/>
    <w:rsid w:val="0088690D"/>
    <w:rsid w:val="00886CD2"/>
    <w:rsid w:val="0088738A"/>
    <w:rsid w:val="00887733"/>
    <w:rsid w:val="00887AC1"/>
    <w:rsid w:val="00887B5F"/>
    <w:rsid w:val="008902A9"/>
    <w:rsid w:val="008904D7"/>
    <w:rsid w:val="00890776"/>
    <w:rsid w:val="0089087A"/>
    <w:rsid w:val="00891E6F"/>
    <w:rsid w:val="00892753"/>
    <w:rsid w:val="0089275D"/>
    <w:rsid w:val="00892A36"/>
    <w:rsid w:val="00892A6D"/>
    <w:rsid w:val="008930FE"/>
    <w:rsid w:val="00893239"/>
    <w:rsid w:val="008933B3"/>
    <w:rsid w:val="0089360A"/>
    <w:rsid w:val="0089403A"/>
    <w:rsid w:val="0089405B"/>
    <w:rsid w:val="00894489"/>
    <w:rsid w:val="008949F4"/>
    <w:rsid w:val="00894CD6"/>
    <w:rsid w:val="00894E2A"/>
    <w:rsid w:val="00894E87"/>
    <w:rsid w:val="0089526D"/>
    <w:rsid w:val="008961B5"/>
    <w:rsid w:val="008963A5"/>
    <w:rsid w:val="008967C2"/>
    <w:rsid w:val="00896948"/>
    <w:rsid w:val="00896D33"/>
    <w:rsid w:val="00896D5D"/>
    <w:rsid w:val="008A024A"/>
    <w:rsid w:val="008A0377"/>
    <w:rsid w:val="008A060E"/>
    <w:rsid w:val="008A0811"/>
    <w:rsid w:val="008A0879"/>
    <w:rsid w:val="008A09C2"/>
    <w:rsid w:val="008A0D4C"/>
    <w:rsid w:val="008A0E92"/>
    <w:rsid w:val="008A117D"/>
    <w:rsid w:val="008A12FD"/>
    <w:rsid w:val="008A13A2"/>
    <w:rsid w:val="008A144F"/>
    <w:rsid w:val="008A1455"/>
    <w:rsid w:val="008A15C6"/>
    <w:rsid w:val="008A1E3A"/>
    <w:rsid w:val="008A1EE0"/>
    <w:rsid w:val="008A22D3"/>
    <w:rsid w:val="008A237E"/>
    <w:rsid w:val="008A2414"/>
    <w:rsid w:val="008A280C"/>
    <w:rsid w:val="008A29C9"/>
    <w:rsid w:val="008A2C17"/>
    <w:rsid w:val="008A2C98"/>
    <w:rsid w:val="008A2ED5"/>
    <w:rsid w:val="008A3158"/>
    <w:rsid w:val="008A3363"/>
    <w:rsid w:val="008A3371"/>
    <w:rsid w:val="008A3C25"/>
    <w:rsid w:val="008A3C3E"/>
    <w:rsid w:val="008A3E03"/>
    <w:rsid w:val="008A3EC9"/>
    <w:rsid w:val="008A48F7"/>
    <w:rsid w:val="008A4928"/>
    <w:rsid w:val="008A4E56"/>
    <w:rsid w:val="008A5315"/>
    <w:rsid w:val="008A564A"/>
    <w:rsid w:val="008A58E5"/>
    <w:rsid w:val="008A5BC5"/>
    <w:rsid w:val="008A603F"/>
    <w:rsid w:val="008A60D6"/>
    <w:rsid w:val="008A6AC8"/>
    <w:rsid w:val="008A7907"/>
    <w:rsid w:val="008A79DE"/>
    <w:rsid w:val="008A7D10"/>
    <w:rsid w:val="008A7D89"/>
    <w:rsid w:val="008B0378"/>
    <w:rsid w:val="008B05DD"/>
    <w:rsid w:val="008B06D5"/>
    <w:rsid w:val="008B06D8"/>
    <w:rsid w:val="008B114E"/>
    <w:rsid w:val="008B12BC"/>
    <w:rsid w:val="008B13CD"/>
    <w:rsid w:val="008B1519"/>
    <w:rsid w:val="008B1757"/>
    <w:rsid w:val="008B1C33"/>
    <w:rsid w:val="008B1C40"/>
    <w:rsid w:val="008B21EF"/>
    <w:rsid w:val="008B27B4"/>
    <w:rsid w:val="008B3571"/>
    <w:rsid w:val="008B379B"/>
    <w:rsid w:val="008B3A05"/>
    <w:rsid w:val="008B46C9"/>
    <w:rsid w:val="008B4B6F"/>
    <w:rsid w:val="008B4C72"/>
    <w:rsid w:val="008B4CF5"/>
    <w:rsid w:val="008B4F91"/>
    <w:rsid w:val="008B59EE"/>
    <w:rsid w:val="008B5B5E"/>
    <w:rsid w:val="008B66F2"/>
    <w:rsid w:val="008B6F57"/>
    <w:rsid w:val="008B7085"/>
    <w:rsid w:val="008B71F3"/>
    <w:rsid w:val="008B768E"/>
    <w:rsid w:val="008B7761"/>
    <w:rsid w:val="008B78C6"/>
    <w:rsid w:val="008B794E"/>
    <w:rsid w:val="008B7992"/>
    <w:rsid w:val="008B7B1C"/>
    <w:rsid w:val="008B7BF2"/>
    <w:rsid w:val="008B7C70"/>
    <w:rsid w:val="008B7D7E"/>
    <w:rsid w:val="008C0073"/>
    <w:rsid w:val="008C04DE"/>
    <w:rsid w:val="008C08F6"/>
    <w:rsid w:val="008C0C06"/>
    <w:rsid w:val="008C1043"/>
    <w:rsid w:val="008C10BF"/>
    <w:rsid w:val="008C1179"/>
    <w:rsid w:val="008C2438"/>
    <w:rsid w:val="008C29EE"/>
    <w:rsid w:val="008C2C1C"/>
    <w:rsid w:val="008C3209"/>
    <w:rsid w:val="008C3545"/>
    <w:rsid w:val="008C35DC"/>
    <w:rsid w:val="008C3CB0"/>
    <w:rsid w:val="008C3D41"/>
    <w:rsid w:val="008C3E6F"/>
    <w:rsid w:val="008C4005"/>
    <w:rsid w:val="008C4343"/>
    <w:rsid w:val="008C43A8"/>
    <w:rsid w:val="008C4796"/>
    <w:rsid w:val="008C4A84"/>
    <w:rsid w:val="008C50BB"/>
    <w:rsid w:val="008C522A"/>
    <w:rsid w:val="008C5610"/>
    <w:rsid w:val="008C5692"/>
    <w:rsid w:val="008C5739"/>
    <w:rsid w:val="008C5C15"/>
    <w:rsid w:val="008C6404"/>
    <w:rsid w:val="008C642E"/>
    <w:rsid w:val="008C64A5"/>
    <w:rsid w:val="008C6CFF"/>
    <w:rsid w:val="008C7282"/>
    <w:rsid w:val="008C734F"/>
    <w:rsid w:val="008C7BCE"/>
    <w:rsid w:val="008C7E9F"/>
    <w:rsid w:val="008C7ECB"/>
    <w:rsid w:val="008D0173"/>
    <w:rsid w:val="008D05DF"/>
    <w:rsid w:val="008D063A"/>
    <w:rsid w:val="008D06D5"/>
    <w:rsid w:val="008D0D6D"/>
    <w:rsid w:val="008D0DCE"/>
    <w:rsid w:val="008D0E3F"/>
    <w:rsid w:val="008D1102"/>
    <w:rsid w:val="008D1B0E"/>
    <w:rsid w:val="008D2243"/>
    <w:rsid w:val="008D2327"/>
    <w:rsid w:val="008D2483"/>
    <w:rsid w:val="008D2B1D"/>
    <w:rsid w:val="008D2EB2"/>
    <w:rsid w:val="008D3415"/>
    <w:rsid w:val="008D3B86"/>
    <w:rsid w:val="008D3E51"/>
    <w:rsid w:val="008D43FD"/>
    <w:rsid w:val="008D45E7"/>
    <w:rsid w:val="008D4755"/>
    <w:rsid w:val="008D4B2A"/>
    <w:rsid w:val="008D4B75"/>
    <w:rsid w:val="008D4C3D"/>
    <w:rsid w:val="008D4F76"/>
    <w:rsid w:val="008D4FAE"/>
    <w:rsid w:val="008D5222"/>
    <w:rsid w:val="008D54A6"/>
    <w:rsid w:val="008D5610"/>
    <w:rsid w:val="008D5BE8"/>
    <w:rsid w:val="008D5F07"/>
    <w:rsid w:val="008D62A8"/>
    <w:rsid w:val="008D656F"/>
    <w:rsid w:val="008D65AC"/>
    <w:rsid w:val="008D65DE"/>
    <w:rsid w:val="008D6675"/>
    <w:rsid w:val="008D67DF"/>
    <w:rsid w:val="008D6A1B"/>
    <w:rsid w:val="008D6BAE"/>
    <w:rsid w:val="008D6FD4"/>
    <w:rsid w:val="008D73A2"/>
    <w:rsid w:val="008D743C"/>
    <w:rsid w:val="008D7543"/>
    <w:rsid w:val="008D76CC"/>
    <w:rsid w:val="008D7943"/>
    <w:rsid w:val="008D798E"/>
    <w:rsid w:val="008E0409"/>
    <w:rsid w:val="008E0425"/>
    <w:rsid w:val="008E0719"/>
    <w:rsid w:val="008E0D3C"/>
    <w:rsid w:val="008E0E83"/>
    <w:rsid w:val="008E0F2B"/>
    <w:rsid w:val="008E127F"/>
    <w:rsid w:val="008E157E"/>
    <w:rsid w:val="008E1B06"/>
    <w:rsid w:val="008E1B9E"/>
    <w:rsid w:val="008E1F17"/>
    <w:rsid w:val="008E21B3"/>
    <w:rsid w:val="008E28EA"/>
    <w:rsid w:val="008E2D6C"/>
    <w:rsid w:val="008E2E2C"/>
    <w:rsid w:val="008E2EA3"/>
    <w:rsid w:val="008E30E8"/>
    <w:rsid w:val="008E41AB"/>
    <w:rsid w:val="008E4336"/>
    <w:rsid w:val="008E4338"/>
    <w:rsid w:val="008E474F"/>
    <w:rsid w:val="008E4A54"/>
    <w:rsid w:val="008E4CBE"/>
    <w:rsid w:val="008E5104"/>
    <w:rsid w:val="008E55AB"/>
    <w:rsid w:val="008E55C8"/>
    <w:rsid w:val="008E58E5"/>
    <w:rsid w:val="008E595A"/>
    <w:rsid w:val="008E5AC9"/>
    <w:rsid w:val="008E5D8D"/>
    <w:rsid w:val="008E5EEF"/>
    <w:rsid w:val="008E62D5"/>
    <w:rsid w:val="008E6740"/>
    <w:rsid w:val="008E70A4"/>
    <w:rsid w:val="008E773B"/>
    <w:rsid w:val="008E79F1"/>
    <w:rsid w:val="008E7B55"/>
    <w:rsid w:val="008E7C25"/>
    <w:rsid w:val="008E7C58"/>
    <w:rsid w:val="008F00BF"/>
    <w:rsid w:val="008F0133"/>
    <w:rsid w:val="008F02F1"/>
    <w:rsid w:val="008F03D7"/>
    <w:rsid w:val="008F0423"/>
    <w:rsid w:val="008F06BF"/>
    <w:rsid w:val="008F07E3"/>
    <w:rsid w:val="008F0879"/>
    <w:rsid w:val="008F0ECD"/>
    <w:rsid w:val="008F120A"/>
    <w:rsid w:val="008F2252"/>
    <w:rsid w:val="008F22F6"/>
    <w:rsid w:val="008F2461"/>
    <w:rsid w:val="008F2613"/>
    <w:rsid w:val="008F27E0"/>
    <w:rsid w:val="008F283F"/>
    <w:rsid w:val="008F3033"/>
    <w:rsid w:val="008F3212"/>
    <w:rsid w:val="008F32C8"/>
    <w:rsid w:val="008F3874"/>
    <w:rsid w:val="008F3B6C"/>
    <w:rsid w:val="008F3E02"/>
    <w:rsid w:val="008F48EB"/>
    <w:rsid w:val="008F4DD1"/>
    <w:rsid w:val="008F4F0B"/>
    <w:rsid w:val="008F4FAE"/>
    <w:rsid w:val="008F5324"/>
    <w:rsid w:val="008F54B9"/>
    <w:rsid w:val="008F584F"/>
    <w:rsid w:val="008F6B5C"/>
    <w:rsid w:val="008F6BBA"/>
    <w:rsid w:val="008F76AA"/>
    <w:rsid w:val="008F7D41"/>
    <w:rsid w:val="00900138"/>
    <w:rsid w:val="00900642"/>
    <w:rsid w:val="0090083A"/>
    <w:rsid w:val="0090094A"/>
    <w:rsid w:val="00900B2E"/>
    <w:rsid w:val="009014F8"/>
    <w:rsid w:val="0090160C"/>
    <w:rsid w:val="00901DC0"/>
    <w:rsid w:val="00901F8F"/>
    <w:rsid w:val="009020E0"/>
    <w:rsid w:val="0090297C"/>
    <w:rsid w:val="00902A9B"/>
    <w:rsid w:val="00902F68"/>
    <w:rsid w:val="009031CA"/>
    <w:rsid w:val="0090335D"/>
    <w:rsid w:val="0090375E"/>
    <w:rsid w:val="009046C4"/>
    <w:rsid w:val="0090495F"/>
    <w:rsid w:val="00904BC1"/>
    <w:rsid w:val="00904C6F"/>
    <w:rsid w:val="00904C82"/>
    <w:rsid w:val="00905149"/>
    <w:rsid w:val="009056E6"/>
    <w:rsid w:val="00906032"/>
    <w:rsid w:val="00906040"/>
    <w:rsid w:val="009062A5"/>
    <w:rsid w:val="0090635C"/>
    <w:rsid w:val="0090655C"/>
    <w:rsid w:val="00906656"/>
    <w:rsid w:val="009068C3"/>
    <w:rsid w:val="00906B92"/>
    <w:rsid w:val="00906C0E"/>
    <w:rsid w:val="00906F6E"/>
    <w:rsid w:val="00907699"/>
    <w:rsid w:val="00907A92"/>
    <w:rsid w:val="00907B44"/>
    <w:rsid w:val="00907B4D"/>
    <w:rsid w:val="0091059B"/>
    <w:rsid w:val="00910CFD"/>
    <w:rsid w:val="00910FA7"/>
    <w:rsid w:val="009111D5"/>
    <w:rsid w:val="00911272"/>
    <w:rsid w:val="0091129B"/>
    <w:rsid w:val="00911339"/>
    <w:rsid w:val="00912CE3"/>
    <w:rsid w:val="0091317B"/>
    <w:rsid w:val="00913245"/>
    <w:rsid w:val="009135D6"/>
    <w:rsid w:val="009138D3"/>
    <w:rsid w:val="00913B11"/>
    <w:rsid w:val="00913D0A"/>
    <w:rsid w:val="00913E0A"/>
    <w:rsid w:val="009140E2"/>
    <w:rsid w:val="009142F1"/>
    <w:rsid w:val="00914366"/>
    <w:rsid w:val="00914675"/>
    <w:rsid w:val="009149CC"/>
    <w:rsid w:val="00914B21"/>
    <w:rsid w:val="00914B4B"/>
    <w:rsid w:val="00914C77"/>
    <w:rsid w:val="00914DDA"/>
    <w:rsid w:val="00914FC3"/>
    <w:rsid w:val="009150BA"/>
    <w:rsid w:val="009158BB"/>
    <w:rsid w:val="00915BF4"/>
    <w:rsid w:val="00915C91"/>
    <w:rsid w:val="009160AC"/>
    <w:rsid w:val="00916502"/>
    <w:rsid w:val="0091691F"/>
    <w:rsid w:val="009176D5"/>
    <w:rsid w:val="009177FA"/>
    <w:rsid w:val="00917D53"/>
    <w:rsid w:val="009200C9"/>
    <w:rsid w:val="009200DF"/>
    <w:rsid w:val="00920471"/>
    <w:rsid w:val="0092085B"/>
    <w:rsid w:val="00920987"/>
    <w:rsid w:val="00921514"/>
    <w:rsid w:val="00921714"/>
    <w:rsid w:val="00921ACB"/>
    <w:rsid w:val="00921FF3"/>
    <w:rsid w:val="00922491"/>
    <w:rsid w:val="0092292E"/>
    <w:rsid w:val="009230CE"/>
    <w:rsid w:val="0092364E"/>
    <w:rsid w:val="0092369B"/>
    <w:rsid w:val="00923719"/>
    <w:rsid w:val="00924705"/>
    <w:rsid w:val="00924C0A"/>
    <w:rsid w:val="00925055"/>
    <w:rsid w:val="0092598B"/>
    <w:rsid w:val="009262A3"/>
    <w:rsid w:val="0092652A"/>
    <w:rsid w:val="00927293"/>
    <w:rsid w:val="00927C19"/>
    <w:rsid w:val="00927C51"/>
    <w:rsid w:val="00930606"/>
    <w:rsid w:val="009306BE"/>
    <w:rsid w:val="00930BA4"/>
    <w:rsid w:val="0093115E"/>
    <w:rsid w:val="00931986"/>
    <w:rsid w:val="00931C06"/>
    <w:rsid w:val="00931D28"/>
    <w:rsid w:val="009328AE"/>
    <w:rsid w:val="009329B6"/>
    <w:rsid w:val="00932D9E"/>
    <w:rsid w:val="0093311F"/>
    <w:rsid w:val="0093328F"/>
    <w:rsid w:val="009334FE"/>
    <w:rsid w:val="00933593"/>
    <w:rsid w:val="00933F58"/>
    <w:rsid w:val="009346CB"/>
    <w:rsid w:val="00934988"/>
    <w:rsid w:val="00934F56"/>
    <w:rsid w:val="0093522E"/>
    <w:rsid w:val="0093563F"/>
    <w:rsid w:val="00935C74"/>
    <w:rsid w:val="00935FDB"/>
    <w:rsid w:val="00936096"/>
    <w:rsid w:val="0093610C"/>
    <w:rsid w:val="0093612E"/>
    <w:rsid w:val="00936190"/>
    <w:rsid w:val="009365DC"/>
    <w:rsid w:val="00936969"/>
    <w:rsid w:val="009369D7"/>
    <w:rsid w:val="00936B3B"/>
    <w:rsid w:val="00937089"/>
    <w:rsid w:val="009371CF"/>
    <w:rsid w:val="00937CDB"/>
    <w:rsid w:val="009404F6"/>
    <w:rsid w:val="00940CC0"/>
    <w:rsid w:val="0094129E"/>
    <w:rsid w:val="0094185E"/>
    <w:rsid w:val="00941C5B"/>
    <w:rsid w:val="00942105"/>
    <w:rsid w:val="0094255A"/>
    <w:rsid w:val="00942B6E"/>
    <w:rsid w:val="00942B87"/>
    <w:rsid w:val="00942D86"/>
    <w:rsid w:val="00943500"/>
    <w:rsid w:val="00943580"/>
    <w:rsid w:val="009435CD"/>
    <w:rsid w:val="009439B4"/>
    <w:rsid w:val="00943B36"/>
    <w:rsid w:val="00943C60"/>
    <w:rsid w:val="00943F8B"/>
    <w:rsid w:val="00944149"/>
    <w:rsid w:val="00944317"/>
    <w:rsid w:val="0094440F"/>
    <w:rsid w:val="00944533"/>
    <w:rsid w:val="00944773"/>
    <w:rsid w:val="00944C89"/>
    <w:rsid w:val="00944C9C"/>
    <w:rsid w:val="00944F8A"/>
    <w:rsid w:val="009451E1"/>
    <w:rsid w:val="0094531A"/>
    <w:rsid w:val="0094556F"/>
    <w:rsid w:val="0094581C"/>
    <w:rsid w:val="0094591B"/>
    <w:rsid w:val="00945C95"/>
    <w:rsid w:val="00945DED"/>
    <w:rsid w:val="00946128"/>
    <w:rsid w:val="0094664D"/>
    <w:rsid w:val="00946747"/>
    <w:rsid w:val="0094710B"/>
    <w:rsid w:val="009471DE"/>
    <w:rsid w:val="0094726F"/>
    <w:rsid w:val="00947C39"/>
    <w:rsid w:val="0095002D"/>
    <w:rsid w:val="009504EF"/>
    <w:rsid w:val="00950551"/>
    <w:rsid w:val="00950BFC"/>
    <w:rsid w:val="00950C1C"/>
    <w:rsid w:val="00950C8A"/>
    <w:rsid w:val="009510A2"/>
    <w:rsid w:val="009510C5"/>
    <w:rsid w:val="0095166B"/>
    <w:rsid w:val="00951A9B"/>
    <w:rsid w:val="00951EE4"/>
    <w:rsid w:val="009524F3"/>
    <w:rsid w:val="00952FE8"/>
    <w:rsid w:val="00952FEC"/>
    <w:rsid w:val="00953257"/>
    <w:rsid w:val="00953304"/>
    <w:rsid w:val="00953DF1"/>
    <w:rsid w:val="0095474C"/>
    <w:rsid w:val="00954914"/>
    <w:rsid w:val="009549FE"/>
    <w:rsid w:val="00954D2F"/>
    <w:rsid w:val="009553A4"/>
    <w:rsid w:val="009554A3"/>
    <w:rsid w:val="009555B2"/>
    <w:rsid w:val="00955755"/>
    <w:rsid w:val="00955DBE"/>
    <w:rsid w:val="00955F30"/>
    <w:rsid w:val="009561AC"/>
    <w:rsid w:val="00956C2B"/>
    <w:rsid w:val="0095742B"/>
    <w:rsid w:val="009574AD"/>
    <w:rsid w:val="0095766E"/>
    <w:rsid w:val="009576BE"/>
    <w:rsid w:val="00957772"/>
    <w:rsid w:val="009577F6"/>
    <w:rsid w:val="00957D92"/>
    <w:rsid w:val="00957F71"/>
    <w:rsid w:val="0096022F"/>
    <w:rsid w:val="00960499"/>
    <w:rsid w:val="00960CF6"/>
    <w:rsid w:val="00960E9B"/>
    <w:rsid w:val="00961658"/>
    <w:rsid w:val="009619C6"/>
    <w:rsid w:val="00961E8D"/>
    <w:rsid w:val="009620DE"/>
    <w:rsid w:val="00962A30"/>
    <w:rsid w:val="00962CB9"/>
    <w:rsid w:val="00962D8B"/>
    <w:rsid w:val="00962F66"/>
    <w:rsid w:val="009634B3"/>
    <w:rsid w:val="00963CAE"/>
    <w:rsid w:val="00963CCA"/>
    <w:rsid w:val="00963E04"/>
    <w:rsid w:val="00964055"/>
    <w:rsid w:val="0096427A"/>
    <w:rsid w:val="00964312"/>
    <w:rsid w:val="0096440E"/>
    <w:rsid w:val="00964D64"/>
    <w:rsid w:val="00964F10"/>
    <w:rsid w:val="00964F4B"/>
    <w:rsid w:val="00964FEA"/>
    <w:rsid w:val="00965687"/>
    <w:rsid w:val="00965771"/>
    <w:rsid w:val="009657D6"/>
    <w:rsid w:val="00965B8A"/>
    <w:rsid w:val="00965CE0"/>
    <w:rsid w:val="009661E6"/>
    <w:rsid w:val="00967172"/>
    <w:rsid w:val="00967279"/>
    <w:rsid w:val="009678B9"/>
    <w:rsid w:val="00967CE7"/>
    <w:rsid w:val="00967EDD"/>
    <w:rsid w:val="009703B6"/>
    <w:rsid w:val="0097071F"/>
    <w:rsid w:val="00970953"/>
    <w:rsid w:val="00970FF0"/>
    <w:rsid w:val="009717AC"/>
    <w:rsid w:val="00971BA3"/>
    <w:rsid w:val="00972AFD"/>
    <w:rsid w:val="00972BAF"/>
    <w:rsid w:val="00972DC8"/>
    <w:rsid w:val="00972E6C"/>
    <w:rsid w:val="00973098"/>
    <w:rsid w:val="0097384D"/>
    <w:rsid w:val="009739E1"/>
    <w:rsid w:val="00973FAD"/>
    <w:rsid w:val="00974480"/>
    <w:rsid w:val="009747BE"/>
    <w:rsid w:val="0097490D"/>
    <w:rsid w:val="00974A22"/>
    <w:rsid w:val="00974A68"/>
    <w:rsid w:val="00974A80"/>
    <w:rsid w:val="009751C1"/>
    <w:rsid w:val="00975311"/>
    <w:rsid w:val="00975442"/>
    <w:rsid w:val="0097544D"/>
    <w:rsid w:val="00975993"/>
    <w:rsid w:val="009759FD"/>
    <w:rsid w:val="00975C65"/>
    <w:rsid w:val="009764B8"/>
    <w:rsid w:val="00976956"/>
    <w:rsid w:val="00976C23"/>
    <w:rsid w:val="009770E4"/>
    <w:rsid w:val="0097746A"/>
    <w:rsid w:val="0097774E"/>
    <w:rsid w:val="00977764"/>
    <w:rsid w:val="00977961"/>
    <w:rsid w:val="00980309"/>
    <w:rsid w:val="0098097F"/>
    <w:rsid w:val="009811F1"/>
    <w:rsid w:val="00981567"/>
    <w:rsid w:val="009816F6"/>
    <w:rsid w:val="009824F7"/>
    <w:rsid w:val="00982DFA"/>
    <w:rsid w:val="00983416"/>
    <w:rsid w:val="00983807"/>
    <w:rsid w:val="00983E57"/>
    <w:rsid w:val="00984941"/>
    <w:rsid w:val="00984AA6"/>
    <w:rsid w:val="00984EBE"/>
    <w:rsid w:val="00984F4E"/>
    <w:rsid w:val="00985158"/>
    <w:rsid w:val="009852E9"/>
    <w:rsid w:val="0098580E"/>
    <w:rsid w:val="00985DE2"/>
    <w:rsid w:val="00985F0C"/>
    <w:rsid w:val="00986459"/>
    <w:rsid w:val="00986478"/>
    <w:rsid w:val="0098675D"/>
    <w:rsid w:val="00986DFE"/>
    <w:rsid w:val="00987029"/>
    <w:rsid w:val="00987ADE"/>
    <w:rsid w:val="00987BA4"/>
    <w:rsid w:val="00987F98"/>
    <w:rsid w:val="00990422"/>
    <w:rsid w:val="00990471"/>
    <w:rsid w:val="00990F14"/>
    <w:rsid w:val="00990F91"/>
    <w:rsid w:val="00991057"/>
    <w:rsid w:val="00992153"/>
    <w:rsid w:val="009921C6"/>
    <w:rsid w:val="0099222C"/>
    <w:rsid w:val="009926E0"/>
    <w:rsid w:val="00993409"/>
    <w:rsid w:val="00993E40"/>
    <w:rsid w:val="00994087"/>
    <w:rsid w:val="0099451E"/>
    <w:rsid w:val="00994687"/>
    <w:rsid w:val="009948F3"/>
    <w:rsid w:val="00994C3C"/>
    <w:rsid w:val="00994DFA"/>
    <w:rsid w:val="00995621"/>
    <w:rsid w:val="00995F9E"/>
    <w:rsid w:val="00995FF7"/>
    <w:rsid w:val="009960D0"/>
    <w:rsid w:val="00996142"/>
    <w:rsid w:val="00996298"/>
    <w:rsid w:val="0099648D"/>
    <w:rsid w:val="00996B1A"/>
    <w:rsid w:val="00996E94"/>
    <w:rsid w:val="00996EAA"/>
    <w:rsid w:val="00996F57"/>
    <w:rsid w:val="0099792A"/>
    <w:rsid w:val="00997A59"/>
    <w:rsid w:val="009A05DE"/>
    <w:rsid w:val="009A140C"/>
    <w:rsid w:val="009A141B"/>
    <w:rsid w:val="009A17DE"/>
    <w:rsid w:val="009A18F6"/>
    <w:rsid w:val="009A2882"/>
    <w:rsid w:val="009A2A07"/>
    <w:rsid w:val="009A2CF5"/>
    <w:rsid w:val="009A2DCC"/>
    <w:rsid w:val="009A34FA"/>
    <w:rsid w:val="009A372D"/>
    <w:rsid w:val="009A3F9D"/>
    <w:rsid w:val="009A4457"/>
    <w:rsid w:val="009A452C"/>
    <w:rsid w:val="009A4637"/>
    <w:rsid w:val="009A50E1"/>
    <w:rsid w:val="009A52BA"/>
    <w:rsid w:val="009A55EA"/>
    <w:rsid w:val="009A56DD"/>
    <w:rsid w:val="009A5ABC"/>
    <w:rsid w:val="009A5FF5"/>
    <w:rsid w:val="009A60DB"/>
    <w:rsid w:val="009A6A71"/>
    <w:rsid w:val="009A6AC5"/>
    <w:rsid w:val="009A6BB0"/>
    <w:rsid w:val="009A6CF1"/>
    <w:rsid w:val="009A6E58"/>
    <w:rsid w:val="009A7348"/>
    <w:rsid w:val="009A73F1"/>
    <w:rsid w:val="009A744B"/>
    <w:rsid w:val="009A7BBC"/>
    <w:rsid w:val="009A7BE6"/>
    <w:rsid w:val="009A7CB3"/>
    <w:rsid w:val="009A7F10"/>
    <w:rsid w:val="009B0072"/>
    <w:rsid w:val="009B04A9"/>
    <w:rsid w:val="009B052B"/>
    <w:rsid w:val="009B0B3D"/>
    <w:rsid w:val="009B0BD7"/>
    <w:rsid w:val="009B0C8A"/>
    <w:rsid w:val="009B100B"/>
    <w:rsid w:val="009B1457"/>
    <w:rsid w:val="009B164F"/>
    <w:rsid w:val="009B18AD"/>
    <w:rsid w:val="009B1990"/>
    <w:rsid w:val="009B2266"/>
    <w:rsid w:val="009B2981"/>
    <w:rsid w:val="009B2AC5"/>
    <w:rsid w:val="009B2B1B"/>
    <w:rsid w:val="009B2DBC"/>
    <w:rsid w:val="009B300A"/>
    <w:rsid w:val="009B377C"/>
    <w:rsid w:val="009B39AE"/>
    <w:rsid w:val="009B3A5B"/>
    <w:rsid w:val="009B3A6E"/>
    <w:rsid w:val="009B3B14"/>
    <w:rsid w:val="009B3E26"/>
    <w:rsid w:val="009B3F5C"/>
    <w:rsid w:val="009B3F76"/>
    <w:rsid w:val="009B4111"/>
    <w:rsid w:val="009B4156"/>
    <w:rsid w:val="009B44D4"/>
    <w:rsid w:val="009B4823"/>
    <w:rsid w:val="009B4C16"/>
    <w:rsid w:val="009B4E19"/>
    <w:rsid w:val="009B5574"/>
    <w:rsid w:val="009B579F"/>
    <w:rsid w:val="009B5944"/>
    <w:rsid w:val="009B644D"/>
    <w:rsid w:val="009B670C"/>
    <w:rsid w:val="009B6929"/>
    <w:rsid w:val="009B7158"/>
    <w:rsid w:val="009B7330"/>
    <w:rsid w:val="009B767F"/>
    <w:rsid w:val="009B769B"/>
    <w:rsid w:val="009B7774"/>
    <w:rsid w:val="009B7885"/>
    <w:rsid w:val="009B7A77"/>
    <w:rsid w:val="009B7A95"/>
    <w:rsid w:val="009C020A"/>
    <w:rsid w:val="009C059B"/>
    <w:rsid w:val="009C0816"/>
    <w:rsid w:val="009C0FAE"/>
    <w:rsid w:val="009C1271"/>
    <w:rsid w:val="009C1293"/>
    <w:rsid w:val="009C14A8"/>
    <w:rsid w:val="009C158D"/>
    <w:rsid w:val="009C1727"/>
    <w:rsid w:val="009C1F69"/>
    <w:rsid w:val="009C2016"/>
    <w:rsid w:val="009C2A78"/>
    <w:rsid w:val="009C2ADE"/>
    <w:rsid w:val="009C2B52"/>
    <w:rsid w:val="009C2BB8"/>
    <w:rsid w:val="009C2C75"/>
    <w:rsid w:val="009C33E4"/>
    <w:rsid w:val="009C3706"/>
    <w:rsid w:val="009C3A3A"/>
    <w:rsid w:val="009C3D7D"/>
    <w:rsid w:val="009C402D"/>
    <w:rsid w:val="009C42EB"/>
    <w:rsid w:val="009C42EF"/>
    <w:rsid w:val="009C4571"/>
    <w:rsid w:val="009C4EC5"/>
    <w:rsid w:val="009C536B"/>
    <w:rsid w:val="009C5F3A"/>
    <w:rsid w:val="009C62C6"/>
    <w:rsid w:val="009C6368"/>
    <w:rsid w:val="009C6582"/>
    <w:rsid w:val="009C6CEA"/>
    <w:rsid w:val="009C719E"/>
    <w:rsid w:val="009C77F3"/>
    <w:rsid w:val="009C7975"/>
    <w:rsid w:val="009C7A52"/>
    <w:rsid w:val="009C7B85"/>
    <w:rsid w:val="009C7EF0"/>
    <w:rsid w:val="009D00DD"/>
    <w:rsid w:val="009D0254"/>
    <w:rsid w:val="009D0726"/>
    <w:rsid w:val="009D079C"/>
    <w:rsid w:val="009D0B7C"/>
    <w:rsid w:val="009D0CE5"/>
    <w:rsid w:val="009D0FE2"/>
    <w:rsid w:val="009D120C"/>
    <w:rsid w:val="009D1486"/>
    <w:rsid w:val="009D1953"/>
    <w:rsid w:val="009D1A64"/>
    <w:rsid w:val="009D1D85"/>
    <w:rsid w:val="009D2154"/>
    <w:rsid w:val="009D2260"/>
    <w:rsid w:val="009D293E"/>
    <w:rsid w:val="009D3075"/>
    <w:rsid w:val="009D4177"/>
    <w:rsid w:val="009D48EB"/>
    <w:rsid w:val="009D4C45"/>
    <w:rsid w:val="009D4E5D"/>
    <w:rsid w:val="009D5025"/>
    <w:rsid w:val="009D5250"/>
    <w:rsid w:val="009D540B"/>
    <w:rsid w:val="009D5B91"/>
    <w:rsid w:val="009D5C30"/>
    <w:rsid w:val="009D652F"/>
    <w:rsid w:val="009D6A94"/>
    <w:rsid w:val="009D6FCD"/>
    <w:rsid w:val="009D7166"/>
    <w:rsid w:val="009D71A5"/>
    <w:rsid w:val="009D72CC"/>
    <w:rsid w:val="009D74D9"/>
    <w:rsid w:val="009D792E"/>
    <w:rsid w:val="009D7B38"/>
    <w:rsid w:val="009D7D9A"/>
    <w:rsid w:val="009D7E01"/>
    <w:rsid w:val="009E022F"/>
    <w:rsid w:val="009E046C"/>
    <w:rsid w:val="009E0844"/>
    <w:rsid w:val="009E0DFE"/>
    <w:rsid w:val="009E1569"/>
    <w:rsid w:val="009E166D"/>
    <w:rsid w:val="009E1A23"/>
    <w:rsid w:val="009E1EFC"/>
    <w:rsid w:val="009E2317"/>
    <w:rsid w:val="009E2318"/>
    <w:rsid w:val="009E248A"/>
    <w:rsid w:val="009E2692"/>
    <w:rsid w:val="009E2E89"/>
    <w:rsid w:val="009E31F6"/>
    <w:rsid w:val="009E3EE2"/>
    <w:rsid w:val="009E3EE4"/>
    <w:rsid w:val="009E4081"/>
    <w:rsid w:val="009E40A5"/>
    <w:rsid w:val="009E45C5"/>
    <w:rsid w:val="009E4C07"/>
    <w:rsid w:val="009E4DD1"/>
    <w:rsid w:val="009E5461"/>
    <w:rsid w:val="009E60C2"/>
    <w:rsid w:val="009E6154"/>
    <w:rsid w:val="009E6359"/>
    <w:rsid w:val="009E66B5"/>
    <w:rsid w:val="009E6C92"/>
    <w:rsid w:val="009E777F"/>
    <w:rsid w:val="009E7BEB"/>
    <w:rsid w:val="009E7DDF"/>
    <w:rsid w:val="009E7ED7"/>
    <w:rsid w:val="009F03E7"/>
    <w:rsid w:val="009F0513"/>
    <w:rsid w:val="009F0C36"/>
    <w:rsid w:val="009F0C7E"/>
    <w:rsid w:val="009F0F95"/>
    <w:rsid w:val="009F1011"/>
    <w:rsid w:val="009F14CA"/>
    <w:rsid w:val="009F15E4"/>
    <w:rsid w:val="009F2209"/>
    <w:rsid w:val="009F2508"/>
    <w:rsid w:val="009F29FF"/>
    <w:rsid w:val="009F3631"/>
    <w:rsid w:val="009F36C7"/>
    <w:rsid w:val="009F395D"/>
    <w:rsid w:val="009F3A1A"/>
    <w:rsid w:val="009F3B4F"/>
    <w:rsid w:val="009F3BEC"/>
    <w:rsid w:val="009F3E2C"/>
    <w:rsid w:val="009F4227"/>
    <w:rsid w:val="009F42E3"/>
    <w:rsid w:val="009F4685"/>
    <w:rsid w:val="009F4776"/>
    <w:rsid w:val="009F47D6"/>
    <w:rsid w:val="009F49BC"/>
    <w:rsid w:val="009F4A7C"/>
    <w:rsid w:val="009F4B1C"/>
    <w:rsid w:val="009F4C3A"/>
    <w:rsid w:val="009F4FFA"/>
    <w:rsid w:val="009F5014"/>
    <w:rsid w:val="009F521F"/>
    <w:rsid w:val="009F5419"/>
    <w:rsid w:val="009F5436"/>
    <w:rsid w:val="009F54AF"/>
    <w:rsid w:val="009F56ED"/>
    <w:rsid w:val="009F5B2B"/>
    <w:rsid w:val="009F5BFF"/>
    <w:rsid w:val="009F5E54"/>
    <w:rsid w:val="009F6120"/>
    <w:rsid w:val="009F6251"/>
    <w:rsid w:val="009F63F1"/>
    <w:rsid w:val="009F6437"/>
    <w:rsid w:val="009F646E"/>
    <w:rsid w:val="009F6499"/>
    <w:rsid w:val="009F68C3"/>
    <w:rsid w:val="009F6BA1"/>
    <w:rsid w:val="009F6C11"/>
    <w:rsid w:val="009F7F40"/>
    <w:rsid w:val="00A002BD"/>
    <w:rsid w:val="00A00429"/>
    <w:rsid w:val="00A00ABE"/>
    <w:rsid w:val="00A00C88"/>
    <w:rsid w:val="00A00D76"/>
    <w:rsid w:val="00A01184"/>
    <w:rsid w:val="00A01449"/>
    <w:rsid w:val="00A014FA"/>
    <w:rsid w:val="00A016BC"/>
    <w:rsid w:val="00A018FA"/>
    <w:rsid w:val="00A01B6F"/>
    <w:rsid w:val="00A01DD3"/>
    <w:rsid w:val="00A01F03"/>
    <w:rsid w:val="00A022EE"/>
    <w:rsid w:val="00A02B1D"/>
    <w:rsid w:val="00A02ECA"/>
    <w:rsid w:val="00A02FB2"/>
    <w:rsid w:val="00A03293"/>
    <w:rsid w:val="00A0338D"/>
    <w:rsid w:val="00A03684"/>
    <w:rsid w:val="00A037C2"/>
    <w:rsid w:val="00A03BFC"/>
    <w:rsid w:val="00A03C73"/>
    <w:rsid w:val="00A03D43"/>
    <w:rsid w:val="00A03D7E"/>
    <w:rsid w:val="00A03F41"/>
    <w:rsid w:val="00A0404E"/>
    <w:rsid w:val="00A0409D"/>
    <w:rsid w:val="00A04380"/>
    <w:rsid w:val="00A0476D"/>
    <w:rsid w:val="00A04786"/>
    <w:rsid w:val="00A0486E"/>
    <w:rsid w:val="00A052EC"/>
    <w:rsid w:val="00A05443"/>
    <w:rsid w:val="00A05472"/>
    <w:rsid w:val="00A057AB"/>
    <w:rsid w:val="00A05B47"/>
    <w:rsid w:val="00A05C32"/>
    <w:rsid w:val="00A06467"/>
    <w:rsid w:val="00A0653F"/>
    <w:rsid w:val="00A06896"/>
    <w:rsid w:val="00A070C1"/>
    <w:rsid w:val="00A07260"/>
    <w:rsid w:val="00A079F9"/>
    <w:rsid w:val="00A07AA9"/>
    <w:rsid w:val="00A07D2B"/>
    <w:rsid w:val="00A10384"/>
    <w:rsid w:val="00A10442"/>
    <w:rsid w:val="00A10560"/>
    <w:rsid w:val="00A10F86"/>
    <w:rsid w:val="00A1118E"/>
    <w:rsid w:val="00A1137E"/>
    <w:rsid w:val="00A11781"/>
    <w:rsid w:val="00A117FB"/>
    <w:rsid w:val="00A11A44"/>
    <w:rsid w:val="00A11CD0"/>
    <w:rsid w:val="00A120B2"/>
    <w:rsid w:val="00A129F8"/>
    <w:rsid w:val="00A129FA"/>
    <w:rsid w:val="00A12E37"/>
    <w:rsid w:val="00A12EA9"/>
    <w:rsid w:val="00A132A6"/>
    <w:rsid w:val="00A133A8"/>
    <w:rsid w:val="00A13638"/>
    <w:rsid w:val="00A13948"/>
    <w:rsid w:val="00A13B09"/>
    <w:rsid w:val="00A13CC7"/>
    <w:rsid w:val="00A1436F"/>
    <w:rsid w:val="00A14823"/>
    <w:rsid w:val="00A1483D"/>
    <w:rsid w:val="00A149BF"/>
    <w:rsid w:val="00A14AF4"/>
    <w:rsid w:val="00A14CEA"/>
    <w:rsid w:val="00A14D40"/>
    <w:rsid w:val="00A1543C"/>
    <w:rsid w:val="00A1555B"/>
    <w:rsid w:val="00A155C5"/>
    <w:rsid w:val="00A157F9"/>
    <w:rsid w:val="00A15A35"/>
    <w:rsid w:val="00A15EEE"/>
    <w:rsid w:val="00A15F3F"/>
    <w:rsid w:val="00A16424"/>
    <w:rsid w:val="00A16641"/>
    <w:rsid w:val="00A16AD8"/>
    <w:rsid w:val="00A16BBE"/>
    <w:rsid w:val="00A16ED2"/>
    <w:rsid w:val="00A17372"/>
    <w:rsid w:val="00A177E7"/>
    <w:rsid w:val="00A177F0"/>
    <w:rsid w:val="00A17C29"/>
    <w:rsid w:val="00A17ED7"/>
    <w:rsid w:val="00A2021E"/>
    <w:rsid w:val="00A2184C"/>
    <w:rsid w:val="00A21C95"/>
    <w:rsid w:val="00A21CF3"/>
    <w:rsid w:val="00A21E8D"/>
    <w:rsid w:val="00A22264"/>
    <w:rsid w:val="00A225D8"/>
    <w:rsid w:val="00A22A0A"/>
    <w:rsid w:val="00A23380"/>
    <w:rsid w:val="00A235FB"/>
    <w:rsid w:val="00A238E5"/>
    <w:rsid w:val="00A23991"/>
    <w:rsid w:val="00A239A8"/>
    <w:rsid w:val="00A23DCC"/>
    <w:rsid w:val="00A23E0C"/>
    <w:rsid w:val="00A23EA2"/>
    <w:rsid w:val="00A24277"/>
    <w:rsid w:val="00A24328"/>
    <w:rsid w:val="00A244C4"/>
    <w:rsid w:val="00A246E8"/>
    <w:rsid w:val="00A24813"/>
    <w:rsid w:val="00A24D04"/>
    <w:rsid w:val="00A24D81"/>
    <w:rsid w:val="00A24F76"/>
    <w:rsid w:val="00A25010"/>
    <w:rsid w:val="00A25E62"/>
    <w:rsid w:val="00A262E7"/>
    <w:rsid w:val="00A268F3"/>
    <w:rsid w:val="00A26B0F"/>
    <w:rsid w:val="00A27AEC"/>
    <w:rsid w:val="00A27C0B"/>
    <w:rsid w:val="00A27E4B"/>
    <w:rsid w:val="00A30BE1"/>
    <w:rsid w:val="00A30F7A"/>
    <w:rsid w:val="00A311EB"/>
    <w:rsid w:val="00A31668"/>
    <w:rsid w:val="00A320DB"/>
    <w:rsid w:val="00A32108"/>
    <w:rsid w:val="00A3305B"/>
    <w:rsid w:val="00A34459"/>
    <w:rsid w:val="00A345D6"/>
    <w:rsid w:val="00A34D22"/>
    <w:rsid w:val="00A34E4C"/>
    <w:rsid w:val="00A353F6"/>
    <w:rsid w:val="00A35860"/>
    <w:rsid w:val="00A35A52"/>
    <w:rsid w:val="00A35B78"/>
    <w:rsid w:val="00A35D16"/>
    <w:rsid w:val="00A36600"/>
    <w:rsid w:val="00A36722"/>
    <w:rsid w:val="00A36C7E"/>
    <w:rsid w:val="00A370D3"/>
    <w:rsid w:val="00A37AA8"/>
    <w:rsid w:val="00A37B05"/>
    <w:rsid w:val="00A37BCD"/>
    <w:rsid w:val="00A37E36"/>
    <w:rsid w:val="00A4028F"/>
    <w:rsid w:val="00A40DDD"/>
    <w:rsid w:val="00A411DA"/>
    <w:rsid w:val="00A41689"/>
    <w:rsid w:val="00A4180E"/>
    <w:rsid w:val="00A41CCB"/>
    <w:rsid w:val="00A42592"/>
    <w:rsid w:val="00A428BF"/>
    <w:rsid w:val="00A42950"/>
    <w:rsid w:val="00A43094"/>
    <w:rsid w:val="00A430F9"/>
    <w:rsid w:val="00A4372B"/>
    <w:rsid w:val="00A43A81"/>
    <w:rsid w:val="00A43C03"/>
    <w:rsid w:val="00A43C59"/>
    <w:rsid w:val="00A44587"/>
    <w:rsid w:val="00A44802"/>
    <w:rsid w:val="00A450A8"/>
    <w:rsid w:val="00A452E9"/>
    <w:rsid w:val="00A45363"/>
    <w:rsid w:val="00A4576B"/>
    <w:rsid w:val="00A45920"/>
    <w:rsid w:val="00A461DE"/>
    <w:rsid w:val="00A4678A"/>
    <w:rsid w:val="00A4680C"/>
    <w:rsid w:val="00A46BD5"/>
    <w:rsid w:val="00A46E85"/>
    <w:rsid w:val="00A46FD0"/>
    <w:rsid w:val="00A475F9"/>
    <w:rsid w:val="00A47A76"/>
    <w:rsid w:val="00A47BB1"/>
    <w:rsid w:val="00A47BFA"/>
    <w:rsid w:val="00A47C4F"/>
    <w:rsid w:val="00A47F96"/>
    <w:rsid w:val="00A50127"/>
    <w:rsid w:val="00A5088D"/>
    <w:rsid w:val="00A509E8"/>
    <w:rsid w:val="00A50B2C"/>
    <w:rsid w:val="00A50CC2"/>
    <w:rsid w:val="00A50CF0"/>
    <w:rsid w:val="00A50DD3"/>
    <w:rsid w:val="00A50ECD"/>
    <w:rsid w:val="00A50FD9"/>
    <w:rsid w:val="00A511D6"/>
    <w:rsid w:val="00A51224"/>
    <w:rsid w:val="00A5184A"/>
    <w:rsid w:val="00A518F3"/>
    <w:rsid w:val="00A51C02"/>
    <w:rsid w:val="00A52130"/>
    <w:rsid w:val="00A52462"/>
    <w:rsid w:val="00A52605"/>
    <w:rsid w:val="00A52718"/>
    <w:rsid w:val="00A52729"/>
    <w:rsid w:val="00A52CA6"/>
    <w:rsid w:val="00A5310B"/>
    <w:rsid w:val="00A53675"/>
    <w:rsid w:val="00A5371C"/>
    <w:rsid w:val="00A538AB"/>
    <w:rsid w:val="00A5442C"/>
    <w:rsid w:val="00A5464D"/>
    <w:rsid w:val="00A54BF5"/>
    <w:rsid w:val="00A54E14"/>
    <w:rsid w:val="00A5554D"/>
    <w:rsid w:val="00A557D0"/>
    <w:rsid w:val="00A55ADB"/>
    <w:rsid w:val="00A55C65"/>
    <w:rsid w:val="00A55CBD"/>
    <w:rsid w:val="00A55E49"/>
    <w:rsid w:val="00A564D7"/>
    <w:rsid w:val="00A56B6A"/>
    <w:rsid w:val="00A56C9F"/>
    <w:rsid w:val="00A57698"/>
    <w:rsid w:val="00A578DC"/>
    <w:rsid w:val="00A60378"/>
    <w:rsid w:val="00A60F7F"/>
    <w:rsid w:val="00A61138"/>
    <w:rsid w:val="00A61334"/>
    <w:rsid w:val="00A6171A"/>
    <w:rsid w:val="00A61E93"/>
    <w:rsid w:val="00A621DC"/>
    <w:rsid w:val="00A6235D"/>
    <w:rsid w:val="00A62429"/>
    <w:rsid w:val="00A62742"/>
    <w:rsid w:val="00A629C0"/>
    <w:rsid w:val="00A6334D"/>
    <w:rsid w:val="00A63F39"/>
    <w:rsid w:val="00A64078"/>
    <w:rsid w:val="00A640E2"/>
    <w:rsid w:val="00A64254"/>
    <w:rsid w:val="00A64264"/>
    <w:rsid w:val="00A6457B"/>
    <w:rsid w:val="00A64D65"/>
    <w:rsid w:val="00A64EF6"/>
    <w:rsid w:val="00A654C9"/>
    <w:rsid w:val="00A6593C"/>
    <w:rsid w:val="00A65BC5"/>
    <w:rsid w:val="00A65EBF"/>
    <w:rsid w:val="00A66283"/>
    <w:rsid w:val="00A667E3"/>
    <w:rsid w:val="00A66A7D"/>
    <w:rsid w:val="00A66DAE"/>
    <w:rsid w:val="00A66DF2"/>
    <w:rsid w:val="00A6725B"/>
    <w:rsid w:val="00A6738B"/>
    <w:rsid w:val="00A67DE3"/>
    <w:rsid w:val="00A7015D"/>
    <w:rsid w:val="00A703D9"/>
    <w:rsid w:val="00A70605"/>
    <w:rsid w:val="00A70782"/>
    <w:rsid w:val="00A70BEA"/>
    <w:rsid w:val="00A71A1C"/>
    <w:rsid w:val="00A71A5D"/>
    <w:rsid w:val="00A71D9E"/>
    <w:rsid w:val="00A720FC"/>
    <w:rsid w:val="00A729C6"/>
    <w:rsid w:val="00A72B36"/>
    <w:rsid w:val="00A72EAE"/>
    <w:rsid w:val="00A72F30"/>
    <w:rsid w:val="00A7304C"/>
    <w:rsid w:val="00A73134"/>
    <w:rsid w:val="00A735E7"/>
    <w:rsid w:val="00A7365A"/>
    <w:rsid w:val="00A7388D"/>
    <w:rsid w:val="00A74A77"/>
    <w:rsid w:val="00A74DE9"/>
    <w:rsid w:val="00A74E53"/>
    <w:rsid w:val="00A75027"/>
    <w:rsid w:val="00A758A1"/>
    <w:rsid w:val="00A75B1A"/>
    <w:rsid w:val="00A75C73"/>
    <w:rsid w:val="00A75FA2"/>
    <w:rsid w:val="00A76001"/>
    <w:rsid w:val="00A7611E"/>
    <w:rsid w:val="00A7649F"/>
    <w:rsid w:val="00A767B1"/>
    <w:rsid w:val="00A76845"/>
    <w:rsid w:val="00A7703A"/>
    <w:rsid w:val="00A7716E"/>
    <w:rsid w:val="00A777B2"/>
    <w:rsid w:val="00A77AEA"/>
    <w:rsid w:val="00A77B08"/>
    <w:rsid w:val="00A77D56"/>
    <w:rsid w:val="00A77E8A"/>
    <w:rsid w:val="00A80533"/>
    <w:rsid w:val="00A808E7"/>
    <w:rsid w:val="00A80B7A"/>
    <w:rsid w:val="00A81076"/>
    <w:rsid w:val="00A8109E"/>
    <w:rsid w:val="00A812FF"/>
    <w:rsid w:val="00A815BA"/>
    <w:rsid w:val="00A81CC1"/>
    <w:rsid w:val="00A81E31"/>
    <w:rsid w:val="00A825D4"/>
    <w:rsid w:val="00A828F6"/>
    <w:rsid w:val="00A82A77"/>
    <w:rsid w:val="00A82B33"/>
    <w:rsid w:val="00A82B73"/>
    <w:rsid w:val="00A8313A"/>
    <w:rsid w:val="00A83644"/>
    <w:rsid w:val="00A83794"/>
    <w:rsid w:val="00A83C35"/>
    <w:rsid w:val="00A83CC9"/>
    <w:rsid w:val="00A83D14"/>
    <w:rsid w:val="00A83D8B"/>
    <w:rsid w:val="00A83EC6"/>
    <w:rsid w:val="00A83FE8"/>
    <w:rsid w:val="00A84071"/>
    <w:rsid w:val="00A8448E"/>
    <w:rsid w:val="00A8462F"/>
    <w:rsid w:val="00A84B91"/>
    <w:rsid w:val="00A8509B"/>
    <w:rsid w:val="00A850FD"/>
    <w:rsid w:val="00A853FE"/>
    <w:rsid w:val="00A856DF"/>
    <w:rsid w:val="00A860BC"/>
    <w:rsid w:val="00A8635D"/>
    <w:rsid w:val="00A86665"/>
    <w:rsid w:val="00A86E8B"/>
    <w:rsid w:val="00A86E8E"/>
    <w:rsid w:val="00A86E96"/>
    <w:rsid w:val="00A86F05"/>
    <w:rsid w:val="00A87164"/>
    <w:rsid w:val="00A871A9"/>
    <w:rsid w:val="00A872BF"/>
    <w:rsid w:val="00A87395"/>
    <w:rsid w:val="00A8766C"/>
    <w:rsid w:val="00A8768B"/>
    <w:rsid w:val="00A87B3F"/>
    <w:rsid w:val="00A900CE"/>
    <w:rsid w:val="00A90430"/>
    <w:rsid w:val="00A909F2"/>
    <w:rsid w:val="00A90B65"/>
    <w:rsid w:val="00A90D9A"/>
    <w:rsid w:val="00A91208"/>
    <w:rsid w:val="00A91697"/>
    <w:rsid w:val="00A9224C"/>
    <w:rsid w:val="00A925B3"/>
    <w:rsid w:val="00A925B6"/>
    <w:rsid w:val="00A92677"/>
    <w:rsid w:val="00A92D2A"/>
    <w:rsid w:val="00A9300C"/>
    <w:rsid w:val="00A93072"/>
    <w:rsid w:val="00A938BD"/>
    <w:rsid w:val="00A9393F"/>
    <w:rsid w:val="00A93953"/>
    <w:rsid w:val="00A93958"/>
    <w:rsid w:val="00A939AA"/>
    <w:rsid w:val="00A93F00"/>
    <w:rsid w:val="00A93F51"/>
    <w:rsid w:val="00A94760"/>
    <w:rsid w:val="00A94967"/>
    <w:rsid w:val="00A94972"/>
    <w:rsid w:val="00A94AB2"/>
    <w:rsid w:val="00A94CE7"/>
    <w:rsid w:val="00A952BE"/>
    <w:rsid w:val="00A952DA"/>
    <w:rsid w:val="00A9554B"/>
    <w:rsid w:val="00A957D9"/>
    <w:rsid w:val="00A9581E"/>
    <w:rsid w:val="00A959D8"/>
    <w:rsid w:val="00A95A8D"/>
    <w:rsid w:val="00A95E7E"/>
    <w:rsid w:val="00A96217"/>
    <w:rsid w:val="00A964D9"/>
    <w:rsid w:val="00A9693F"/>
    <w:rsid w:val="00A96AD0"/>
    <w:rsid w:val="00A9712B"/>
    <w:rsid w:val="00A972F2"/>
    <w:rsid w:val="00A9760A"/>
    <w:rsid w:val="00AA043A"/>
    <w:rsid w:val="00AA0C2C"/>
    <w:rsid w:val="00AA10F1"/>
    <w:rsid w:val="00AA113D"/>
    <w:rsid w:val="00AA12CB"/>
    <w:rsid w:val="00AA1571"/>
    <w:rsid w:val="00AA1877"/>
    <w:rsid w:val="00AA1BD7"/>
    <w:rsid w:val="00AA1E16"/>
    <w:rsid w:val="00AA2091"/>
    <w:rsid w:val="00AA22DA"/>
    <w:rsid w:val="00AA2733"/>
    <w:rsid w:val="00AA2BD9"/>
    <w:rsid w:val="00AA2E2C"/>
    <w:rsid w:val="00AA2E93"/>
    <w:rsid w:val="00AA2F55"/>
    <w:rsid w:val="00AA36C6"/>
    <w:rsid w:val="00AA384E"/>
    <w:rsid w:val="00AA3914"/>
    <w:rsid w:val="00AA39A6"/>
    <w:rsid w:val="00AA4035"/>
    <w:rsid w:val="00AA40C5"/>
    <w:rsid w:val="00AA45E0"/>
    <w:rsid w:val="00AA472F"/>
    <w:rsid w:val="00AA4BFF"/>
    <w:rsid w:val="00AA50D5"/>
    <w:rsid w:val="00AA53FE"/>
    <w:rsid w:val="00AA54E9"/>
    <w:rsid w:val="00AA5B05"/>
    <w:rsid w:val="00AA5F68"/>
    <w:rsid w:val="00AA67D4"/>
    <w:rsid w:val="00AA6BD5"/>
    <w:rsid w:val="00AA6BD8"/>
    <w:rsid w:val="00AA6C7D"/>
    <w:rsid w:val="00AA7250"/>
    <w:rsid w:val="00AA7FD6"/>
    <w:rsid w:val="00AB00DC"/>
    <w:rsid w:val="00AB0191"/>
    <w:rsid w:val="00AB0199"/>
    <w:rsid w:val="00AB042A"/>
    <w:rsid w:val="00AB0F5C"/>
    <w:rsid w:val="00AB11AD"/>
    <w:rsid w:val="00AB11EF"/>
    <w:rsid w:val="00AB1296"/>
    <w:rsid w:val="00AB15A8"/>
    <w:rsid w:val="00AB17C1"/>
    <w:rsid w:val="00AB18D1"/>
    <w:rsid w:val="00AB19D5"/>
    <w:rsid w:val="00AB19EF"/>
    <w:rsid w:val="00AB1AD4"/>
    <w:rsid w:val="00AB1E94"/>
    <w:rsid w:val="00AB1E95"/>
    <w:rsid w:val="00AB1F14"/>
    <w:rsid w:val="00AB2319"/>
    <w:rsid w:val="00AB2495"/>
    <w:rsid w:val="00AB2A24"/>
    <w:rsid w:val="00AB2D34"/>
    <w:rsid w:val="00AB310F"/>
    <w:rsid w:val="00AB3285"/>
    <w:rsid w:val="00AB3430"/>
    <w:rsid w:val="00AB36F0"/>
    <w:rsid w:val="00AB37B9"/>
    <w:rsid w:val="00AB3A86"/>
    <w:rsid w:val="00AB4538"/>
    <w:rsid w:val="00AB470C"/>
    <w:rsid w:val="00AB48EF"/>
    <w:rsid w:val="00AB4AD1"/>
    <w:rsid w:val="00AB4F09"/>
    <w:rsid w:val="00AB5168"/>
    <w:rsid w:val="00AB520A"/>
    <w:rsid w:val="00AB56DD"/>
    <w:rsid w:val="00AB5984"/>
    <w:rsid w:val="00AB5B6C"/>
    <w:rsid w:val="00AB5B71"/>
    <w:rsid w:val="00AB5E07"/>
    <w:rsid w:val="00AB6000"/>
    <w:rsid w:val="00AB61B2"/>
    <w:rsid w:val="00AB64C0"/>
    <w:rsid w:val="00AB6860"/>
    <w:rsid w:val="00AB7012"/>
    <w:rsid w:val="00AB71A2"/>
    <w:rsid w:val="00AB76CA"/>
    <w:rsid w:val="00AB79AB"/>
    <w:rsid w:val="00AB7CFA"/>
    <w:rsid w:val="00AC05E6"/>
    <w:rsid w:val="00AC0D82"/>
    <w:rsid w:val="00AC1719"/>
    <w:rsid w:val="00AC1BE4"/>
    <w:rsid w:val="00AC25F4"/>
    <w:rsid w:val="00AC2728"/>
    <w:rsid w:val="00AC2A31"/>
    <w:rsid w:val="00AC2B02"/>
    <w:rsid w:val="00AC34D0"/>
    <w:rsid w:val="00AC3523"/>
    <w:rsid w:val="00AC3589"/>
    <w:rsid w:val="00AC3C57"/>
    <w:rsid w:val="00AC3D2E"/>
    <w:rsid w:val="00AC4CFD"/>
    <w:rsid w:val="00AC4E42"/>
    <w:rsid w:val="00AC4E8B"/>
    <w:rsid w:val="00AC4F07"/>
    <w:rsid w:val="00AC4F3B"/>
    <w:rsid w:val="00AC4FD2"/>
    <w:rsid w:val="00AC50B6"/>
    <w:rsid w:val="00AC5274"/>
    <w:rsid w:val="00AC5B42"/>
    <w:rsid w:val="00AC5B48"/>
    <w:rsid w:val="00AC5B9A"/>
    <w:rsid w:val="00AC6123"/>
    <w:rsid w:val="00AC61B9"/>
    <w:rsid w:val="00AC624A"/>
    <w:rsid w:val="00AC62CF"/>
    <w:rsid w:val="00AC6B11"/>
    <w:rsid w:val="00AC6F4A"/>
    <w:rsid w:val="00AC72A4"/>
    <w:rsid w:val="00AC75E5"/>
    <w:rsid w:val="00AC78AB"/>
    <w:rsid w:val="00AD056F"/>
    <w:rsid w:val="00AD0A71"/>
    <w:rsid w:val="00AD0D86"/>
    <w:rsid w:val="00AD1450"/>
    <w:rsid w:val="00AD1451"/>
    <w:rsid w:val="00AD15E8"/>
    <w:rsid w:val="00AD2108"/>
    <w:rsid w:val="00AD226D"/>
    <w:rsid w:val="00AD24FE"/>
    <w:rsid w:val="00AD2527"/>
    <w:rsid w:val="00AD27F2"/>
    <w:rsid w:val="00AD2ACC"/>
    <w:rsid w:val="00AD30B7"/>
    <w:rsid w:val="00AD356D"/>
    <w:rsid w:val="00AD3639"/>
    <w:rsid w:val="00AD3B5C"/>
    <w:rsid w:val="00AD3B5D"/>
    <w:rsid w:val="00AD3C1F"/>
    <w:rsid w:val="00AD3FAC"/>
    <w:rsid w:val="00AD3FE4"/>
    <w:rsid w:val="00AD4505"/>
    <w:rsid w:val="00AD49A1"/>
    <w:rsid w:val="00AD4BC9"/>
    <w:rsid w:val="00AD4E0A"/>
    <w:rsid w:val="00AD53BC"/>
    <w:rsid w:val="00AD5715"/>
    <w:rsid w:val="00AD60AC"/>
    <w:rsid w:val="00AD60C2"/>
    <w:rsid w:val="00AD6159"/>
    <w:rsid w:val="00AD6296"/>
    <w:rsid w:val="00AD6502"/>
    <w:rsid w:val="00AD65A6"/>
    <w:rsid w:val="00AD69FD"/>
    <w:rsid w:val="00AD6E42"/>
    <w:rsid w:val="00AD7148"/>
    <w:rsid w:val="00AD7417"/>
    <w:rsid w:val="00AD7426"/>
    <w:rsid w:val="00AD7728"/>
    <w:rsid w:val="00AD7A31"/>
    <w:rsid w:val="00AD7DAB"/>
    <w:rsid w:val="00AD7E6F"/>
    <w:rsid w:val="00AD7F07"/>
    <w:rsid w:val="00AE002C"/>
    <w:rsid w:val="00AE0364"/>
    <w:rsid w:val="00AE04D6"/>
    <w:rsid w:val="00AE0634"/>
    <w:rsid w:val="00AE0695"/>
    <w:rsid w:val="00AE096B"/>
    <w:rsid w:val="00AE0D29"/>
    <w:rsid w:val="00AE0E69"/>
    <w:rsid w:val="00AE11B5"/>
    <w:rsid w:val="00AE1597"/>
    <w:rsid w:val="00AE1825"/>
    <w:rsid w:val="00AE1B80"/>
    <w:rsid w:val="00AE1FF0"/>
    <w:rsid w:val="00AE20B4"/>
    <w:rsid w:val="00AE22EF"/>
    <w:rsid w:val="00AE2507"/>
    <w:rsid w:val="00AE2517"/>
    <w:rsid w:val="00AE2560"/>
    <w:rsid w:val="00AE29B6"/>
    <w:rsid w:val="00AE2B6B"/>
    <w:rsid w:val="00AE3471"/>
    <w:rsid w:val="00AE34C0"/>
    <w:rsid w:val="00AE3560"/>
    <w:rsid w:val="00AE39FF"/>
    <w:rsid w:val="00AE3A39"/>
    <w:rsid w:val="00AE3E7E"/>
    <w:rsid w:val="00AE4391"/>
    <w:rsid w:val="00AE4815"/>
    <w:rsid w:val="00AE4911"/>
    <w:rsid w:val="00AE4B0C"/>
    <w:rsid w:val="00AE4BA3"/>
    <w:rsid w:val="00AE4CE5"/>
    <w:rsid w:val="00AE5523"/>
    <w:rsid w:val="00AE56C8"/>
    <w:rsid w:val="00AE5FA6"/>
    <w:rsid w:val="00AE61E0"/>
    <w:rsid w:val="00AE7735"/>
    <w:rsid w:val="00AE78EB"/>
    <w:rsid w:val="00AE7A6D"/>
    <w:rsid w:val="00AE7B2C"/>
    <w:rsid w:val="00AE7B50"/>
    <w:rsid w:val="00AE7E53"/>
    <w:rsid w:val="00AF0375"/>
    <w:rsid w:val="00AF043A"/>
    <w:rsid w:val="00AF06DB"/>
    <w:rsid w:val="00AF0D9B"/>
    <w:rsid w:val="00AF1315"/>
    <w:rsid w:val="00AF1365"/>
    <w:rsid w:val="00AF161D"/>
    <w:rsid w:val="00AF19BF"/>
    <w:rsid w:val="00AF1C32"/>
    <w:rsid w:val="00AF1C99"/>
    <w:rsid w:val="00AF241B"/>
    <w:rsid w:val="00AF27B3"/>
    <w:rsid w:val="00AF2C37"/>
    <w:rsid w:val="00AF2DA2"/>
    <w:rsid w:val="00AF2DC3"/>
    <w:rsid w:val="00AF2FA2"/>
    <w:rsid w:val="00AF3291"/>
    <w:rsid w:val="00AF32CF"/>
    <w:rsid w:val="00AF3432"/>
    <w:rsid w:val="00AF348B"/>
    <w:rsid w:val="00AF3C01"/>
    <w:rsid w:val="00AF40D1"/>
    <w:rsid w:val="00AF4E9E"/>
    <w:rsid w:val="00AF4EC5"/>
    <w:rsid w:val="00AF535F"/>
    <w:rsid w:val="00AF54AD"/>
    <w:rsid w:val="00AF559C"/>
    <w:rsid w:val="00AF5A9E"/>
    <w:rsid w:val="00AF5AA7"/>
    <w:rsid w:val="00AF5C78"/>
    <w:rsid w:val="00AF5D11"/>
    <w:rsid w:val="00AF603C"/>
    <w:rsid w:val="00AF618E"/>
    <w:rsid w:val="00AF63FD"/>
    <w:rsid w:val="00AF66FE"/>
    <w:rsid w:val="00AF68C7"/>
    <w:rsid w:val="00AF6A80"/>
    <w:rsid w:val="00AF707A"/>
    <w:rsid w:val="00AF7401"/>
    <w:rsid w:val="00AF7882"/>
    <w:rsid w:val="00AF7D58"/>
    <w:rsid w:val="00AF7DAC"/>
    <w:rsid w:val="00B00265"/>
    <w:rsid w:val="00B003F4"/>
    <w:rsid w:val="00B007D2"/>
    <w:rsid w:val="00B0165A"/>
    <w:rsid w:val="00B0185A"/>
    <w:rsid w:val="00B01961"/>
    <w:rsid w:val="00B01A24"/>
    <w:rsid w:val="00B01B85"/>
    <w:rsid w:val="00B01DEE"/>
    <w:rsid w:val="00B026A0"/>
    <w:rsid w:val="00B02E88"/>
    <w:rsid w:val="00B02F08"/>
    <w:rsid w:val="00B033E5"/>
    <w:rsid w:val="00B03A63"/>
    <w:rsid w:val="00B03BF7"/>
    <w:rsid w:val="00B0405E"/>
    <w:rsid w:val="00B04580"/>
    <w:rsid w:val="00B0467B"/>
    <w:rsid w:val="00B04790"/>
    <w:rsid w:val="00B04997"/>
    <w:rsid w:val="00B04A3C"/>
    <w:rsid w:val="00B04C71"/>
    <w:rsid w:val="00B04CB2"/>
    <w:rsid w:val="00B04CE0"/>
    <w:rsid w:val="00B0506B"/>
    <w:rsid w:val="00B056D1"/>
    <w:rsid w:val="00B06256"/>
    <w:rsid w:val="00B06561"/>
    <w:rsid w:val="00B06AEB"/>
    <w:rsid w:val="00B06E75"/>
    <w:rsid w:val="00B06EB7"/>
    <w:rsid w:val="00B071F3"/>
    <w:rsid w:val="00B07744"/>
    <w:rsid w:val="00B07C4F"/>
    <w:rsid w:val="00B07DEA"/>
    <w:rsid w:val="00B10AD7"/>
    <w:rsid w:val="00B10DF2"/>
    <w:rsid w:val="00B10E37"/>
    <w:rsid w:val="00B113CF"/>
    <w:rsid w:val="00B114BD"/>
    <w:rsid w:val="00B11A6E"/>
    <w:rsid w:val="00B11F39"/>
    <w:rsid w:val="00B11F6F"/>
    <w:rsid w:val="00B122C3"/>
    <w:rsid w:val="00B1230D"/>
    <w:rsid w:val="00B12549"/>
    <w:rsid w:val="00B125E8"/>
    <w:rsid w:val="00B12710"/>
    <w:rsid w:val="00B129A4"/>
    <w:rsid w:val="00B12B3D"/>
    <w:rsid w:val="00B12F83"/>
    <w:rsid w:val="00B13604"/>
    <w:rsid w:val="00B138D1"/>
    <w:rsid w:val="00B13DA8"/>
    <w:rsid w:val="00B13F48"/>
    <w:rsid w:val="00B13FFA"/>
    <w:rsid w:val="00B14674"/>
    <w:rsid w:val="00B14757"/>
    <w:rsid w:val="00B148F3"/>
    <w:rsid w:val="00B14F15"/>
    <w:rsid w:val="00B151E5"/>
    <w:rsid w:val="00B1545C"/>
    <w:rsid w:val="00B15A05"/>
    <w:rsid w:val="00B15A37"/>
    <w:rsid w:val="00B15AFA"/>
    <w:rsid w:val="00B15D04"/>
    <w:rsid w:val="00B15E7E"/>
    <w:rsid w:val="00B15EA3"/>
    <w:rsid w:val="00B1685B"/>
    <w:rsid w:val="00B17441"/>
    <w:rsid w:val="00B1760A"/>
    <w:rsid w:val="00B176FD"/>
    <w:rsid w:val="00B179C1"/>
    <w:rsid w:val="00B17CDC"/>
    <w:rsid w:val="00B201A4"/>
    <w:rsid w:val="00B201D1"/>
    <w:rsid w:val="00B20CBC"/>
    <w:rsid w:val="00B20F54"/>
    <w:rsid w:val="00B20FA3"/>
    <w:rsid w:val="00B210AA"/>
    <w:rsid w:val="00B2126B"/>
    <w:rsid w:val="00B213A6"/>
    <w:rsid w:val="00B21CB7"/>
    <w:rsid w:val="00B220F1"/>
    <w:rsid w:val="00B225EA"/>
    <w:rsid w:val="00B22A5E"/>
    <w:rsid w:val="00B22B26"/>
    <w:rsid w:val="00B22BDE"/>
    <w:rsid w:val="00B22C4D"/>
    <w:rsid w:val="00B23405"/>
    <w:rsid w:val="00B2342B"/>
    <w:rsid w:val="00B235B0"/>
    <w:rsid w:val="00B239B0"/>
    <w:rsid w:val="00B239EF"/>
    <w:rsid w:val="00B23AB2"/>
    <w:rsid w:val="00B23DD8"/>
    <w:rsid w:val="00B24375"/>
    <w:rsid w:val="00B2476E"/>
    <w:rsid w:val="00B248C8"/>
    <w:rsid w:val="00B24C9F"/>
    <w:rsid w:val="00B24DF6"/>
    <w:rsid w:val="00B24E62"/>
    <w:rsid w:val="00B24E6F"/>
    <w:rsid w:val="00B2529C"/>
    <w:rsid w:val="00B2540D"/>
    <w:rsid w:val="00B25999"/>
    <w:rsid w:val="00B25ABF"/>
    <w:rsid w:val="00B25E98"/>
    <w:rsid w:val="00B25F6B"/>
    <w:rsid w:val="00B2605A"/>
    <w:rsid w:val="00B26461"/>
    <w:rsid w:val="00B26BFA"/>
    <w:rsid w:val="00B26C01"/>
    <w:rsid w:val="00B27131"/>
    <w:rsid w:val="00B271EE"/>
    <w:rsid w:val="00B2731B"/>
    <w:rsid w:val="00B27488"/>
    <w:rsid w:val="00B27947"/>
    <w:rsid w:val="00B27A61"/>
    <w:rsid w:val="00B27D2F"/>
    <w:rsid w:val="00B27E78"/>
    <w:rsid w:val="00B27F31"/>
    <w:rsid w:val="00B304E7"/>
    <w:rsid w:val="00B308F6"/>
    <w:rsid w:val="00B30F9C"/>
    <w:rsid w:val="00B31564"/>
    <w:rsid w:val="00B320FD"/>
    <w:rsid w:val="00B3213B"/>
    <w:rsid w:val="00B321F3"/>
    <w:rsid w:val="00B32296"/>
    <w:rsid w:val="00B326BC"/>
    <w:rsid w:val="00B32CD6"/>
    <w:rsid w:val="00B33111"/>
    <w:rsid w:val="00B33283"/>
    <w:rsid w:val="00B33BED"/>
    <w:rsid w:val="00B3407C"/>
    <w:rsid w:val="00B34192"/>
    <w:rsid w:val="00B344B3"/>
    <w:rsid w:val="00B34687"/>
    <w:rsid w:val="00B34C42"/>
    <w:rsid w:val="00B34F0B"/>
    <w:rsid w:val="00B34FE2"/>
    <w:rsid w:val="00B3502A"/>
    <w:rsid w:val="00B35166"/>
    <w:rsid w:val="00B357D8"/>
    <w:rsid w:val="00B35A33"/>
    <w:rsid w:val="00B360F4"/>
    <w:rsid w:val="00B361B5"/>
    <w:rsid w:val="00B362BA"/>
    <w:rsid w:val="00B366F6"/>
    <w:rsid w:val="00B367F7"/>
    <w:rsid w:val="00B3688B"/>
    <w:rsid w:val="00B36A00"/>
    <w:rsid w:val="00B37472"/>
    <w:rsid w:val="00B37478"/>
    <w:rsid w:val="00B3792B"/>
    <w:rsid w:val="00B37BFC"/>
    <w:rsid w:val="00B40358"/>
    <w:rsid w:val="00B406AE"/>
    <w:rsid w:val="00B41614"/>
    <w:rsid w:val="00B416BD"/>
    <w:rsid w:val="00B41991"/>
    <w:rsid w:val="00B41CCC"/>
    <w:rsid w:val="00B41EFF"/>
    <w:rsid w:val="00B422BB"/>
    <w:rsid w:val="00B4239B"/>
    <w:rsid w:val="00B42851"/>
    <w:rsid w:val="00B4288C"/>
    <w:rsid w:val="00B42DE5"/>
    <w:rsid w:val="00B42F80"/>
    <w:rsid w:val="00B43142"/>
    <w:rsid w:val="00B435CB"/>
    <w:rsid w:val="00B4390F"/>
    <w:rsid w:val="00B43A09"/>
    <w:rsid w:val="00B44106"/>
    <w:rsid w:val="00B44141"/>
    <w:rsid w:val="00B442B3"/>
    <w:rsid w:val="00B4431B"/>
    <w:rsid w:val="00B44DC1"/>
    <w:rsid w:val="00B45036"/>
    <w:rsid w:val="00B4523C"/>
    <w:rsid w:val="00B455DC"/>
    <w:rsid w:val="00B4583F"/>
    <w:rsid w:val="00B45FD3"/>
    <w:rsid w:val="00B465EC"/>
    <w:rsid w:val="00B468E1"/>
    <w:rsid w:val="00B46DF8"/>
    <w:rsid w:val="00B47A0F"/>
    <w:rsid w:val="00B47E0E"/>
    <w:rsid w:val="00B5016E"/>
    <w:rsid w:val="00B5037A"/>
    <w:rsid w:val="00B505C8"/>
    <w:rsid w:val="00B505F4"/>
    <w:rsid w:val="00B5066C"/>
    <w:rsid w:val="00B50898"/>
    <w:rsid w:val="00B508A8"/>
    <w:rsid w:val="00B50ABA"/>
    <w:rsid w:val="00B50BF1"/>
    <w:rsid w:val="00B50D02"/>
    <w:rsid w:val="00B50DB8"/>
    <w:rsid w:val="00B51182"/>
    <w:rsid w:val="00B513B7"/>
    <w:rsid w:val="00B51621"/>
    <w:rsid w:val="00B5199C"/>
    <w:rsid w:val="00B51DEC"/>
    <w:rsid w:val="00B52D07"/>
    <w:rsid w:val="00B52D74"/>
    <w:rsid w:val="00B530CA"/>
    <w:rsid w:val="00B53409"/>
    <w:rsid w:val="00B5357E"/>
    <w:rsid w:val="00B53654"/>
    <w:rsid w:val="00B5370E"/>
    <w:rsid w:val="00B538CA"/>
    <w:rsid w:val="00B53905"/>
    <w:rsid w:val="00B53B26"/>
    <w:rsid w:val="00B53E28"/>
    <w:rsid w:val="00B543FB"/>
    <w:rsid w:val="00B54555"/>
    <w:rsid w:val="00B5459B"/>
    <w:rsid w:val="00B5460E"/>
    <w:rsid w:val="00B546DB"/>
    <w:rsid w:val="00B54B5B"/>
    <w:rsid w:val="00B5529F"/>
    <w:rsid w:val="00B553C5"/>
    <w:rsid w:val="00B5542F"/>
    <w:rsid w:val="00B554A7"/>
    <w:rsid w:val="00B5562E"/>
    <w:rsid w:val="00B55862"/>
    <w:rsid w:val="00B55D65"/>
    <w:rsid w:val="00B55E16"/>
    <w:rsid w:val="00B55E72"/>
    <w:rsid w:val="00B56305"/>
    <w:rsid w:val="00B5643E"/>
    <w:rsid w:val="00B566B9"/>
    <w:rsid w:val="00B56715"/>
    <w:rsid w:val="00B56726"/>
    <w:rsid w:val="00B5688F"/>
    <w:rsid w:val="00B56940"/>
    <w:rsid w:val="00B569A2"/>
    <w:rsid w:val="00B56BAE"/>
    <w:rsid w:val="00B57000"/>
    <w:rsid w:val="00B57281"/>
    <w:rsid w:val="00B5730E"/>
    <w:rsid w:val="00B57328"/>
    <w:rsid w:val="00B5748B"/>
    <w:rsid w:val="00B57681"/>
    <w:rsid w:val="00B5787D"/>
    <w:rsid w:val="00B5799D"/>
    <w:rsid w:val="00B57E32"/>
    <w:rsid w:val="00B57F46"/>
    <w:rsid w:val="00B6043E"/>
    <w:rsid w:val="00B604CB"/>
    <w:rsid w:val="00B605FA"/>
    <w:rsid w:val="00B60631"/>
    <w:rsid w:val="00B60939"/>
    <w:rsid w:val="00B60A0D"/>
    <w:rsid w:val="00B60AFD"/>
    <w:rsid w:val="00B60B76"/>
    <w:rsid w:val="00B6145A"/>
    <w:rsid w:val="00B6149B"/>
    <w:rsid w:val="00B61600"/>
    <w:rsid w:val="00B61BD7"/>
    <w:rsid w:val="00B62715"/>
    <w:rsid w:val="00B62820"/>
    <w:rsid w:val="00B62E1D"/>
    <w:rsid w:val="00B62E33"/>
    <w:rsid w:val="00B630F8"/>
    <w:rsid w:val="00B63E8D"/>
    <w:rsid w:val="00B63FB1"/>
    <w:rsid w:val="00B6419D"/>
    <w:rsid w:val="00B642A4"/>
    <w:rsid w:val="00B643DC"/>
    <w:rsid w:val="00B6458A"/>
    <w:rsid w:val="00B64F6B"/>
    <w:rsid w:val="00B64F8D"/>
    <w:rsid w:val="00B64FDB"/>
    <w:rsid w:val="00B6542C"/>
    <w:rsid w:val="00B65611"/>
    <w:rsid w:val="00B658BF"/>
    <w:rsid w:val="00B6600D"/>
    <w:rsid w:val="00B6644B"/>
    <w:rsid w:val="00B66544"/>
    <w:rsid w:val="00B667B8"/>
    <w:rsid w:val="00B66879"/>
    <w:rsid w:val="00B67060"/>
    <w:rsid w:val="00B672D6"/>
    <w:rsid w:val="00B67931"/>
    <w:rsid w:val="00B67AAC"/>
    <w:rsid w:val="00B67AE7"/>
    <w:rsid w:val="00B67BC5"/>
    <w:rsid w:val="00B7091E"/>
    <w:rsid w:val="00B70E84"/>
    <w:rsid w:val="00B70E8E"/>
    <w:rsid w:val="00B7140A"/>
    <w:rsid w:val="00B7166B"/>
    <w:rsid w:val="00B71BB9"/>
    <w:rsid w:val="00B71C8F"/>
    <w:rsid w:val="00B71CED"/>
    <w:rsid w:val="00B71F22"/>
    <w:rsid w:val="00B7229C"/>
    <w:rsid w:val="00B72507"/>
    <w:rsid w:val="00B72577"/>
    <w:rsid w:val="00B72725"/>
    <w:rsid w:val="00B72F73"/>
    <w:rsid w:val="00B7300C"/>
    <w:rsid w:val="00B73619"/>
    <w:rsid w:val="00B74B49"/>
    <w:rsid w:val="00B74DF6"/>
    <w:rsid w:val="00B750C1"/>
    <w:rsid w:val="00B75476"/>
    <w:rsid w:val="00B755D7"/>
    <w:rsid w:val="00B759B4"/>
    <w:rsid w:val="00B759CA"/>
    <w:rsid w:val="00B75F5E"/>
    <w:rsid w:val="00B75F81"/>
    <w:rsid w:val="00B76396"/>
    <w:rsid w:val="00B7678A"/>
    <w:rsid w:val="00B76B0E"/>
    <w:rsid w:val="00B76C92"/>
    <w:rsid w:val="00B76D1F"/>
    <w:rsid w:val="00B77A0C"/>
    <w:rsid w:val="00B77C05"/>
    <w:rsid w:val="00B77C0C"/>
    <w:rsid w:val="00B77DD3"/>
    <w:rsid w:val="00B80436"/>
    <w:rsid w:val="00B80A0D"/>
    <w:rsid w:val="00B80D53"/>
    <w:rsid w:val="00B80E99"/>
    <w:rsid w:val="00B80EFD"/>
    <w:rsid w:val="00B80F8C"/>
    <w:rsid w:val="00B80FD1"/>
    <w:rsid w:val="00B8111F"/>
    <w:rsid w:val="00B81555"/>
    <w:rsid w:val="00B816B4"/>
    <w:rsid w:val="00B818A4"/>
    <w:rsid w:val="00B81FC0"/>
    <w:rsid w:val="00B82164"/>
    <w:rsid w:val="00B82412"/>
    <w:rsid w:val="00B82A8B"/>
    <w:rsid w:val="00B8311D"/>
    <w:rsid w:val="00B832FE"/>
    <w:rsid w:val="00B833DB"/>
    <w:rsid w:val="00B83739"/>
    <w:rsid w:val="00B83BE4"/>
    <w:rsid w:val="00B8403F"/>
    <w:rsid w:val="00B84117"/>
    <w:rsid w:val="00B8443A"/>
    <w:rsid w:val="00B845FA"/>
    <w:rsid w:val="00B84784"/>
    <w:rsid w:val="00B854DE"/>
    <w:rsid w:val="00B858F0"/>
    <w:rsid w:val="00B85AA2"/>
    <w:rsid w:val="00B85B4C"/>
    <w:rsid w:val="00B85D43"/>
    <w:rsid w:val="00B8649C"/>
    <w:rsid w:val="00B86671"/>
    <w:rsid w:val="00B86732"/>
    <w:rsid w:val="00B8695D"/>
    <w:rsid w:val="00B87626"/>
    <w:rsid w:val="00B87713"/>
    <w:rsid w:val="00B877B2"/>
    <w:rsid w:val="00B87F0A"/>
    <w:rsid w:val="00B904F3"/>
    <w:rsid w:val="00B90EC9"/>
    <w:rsid w:val="00B913E8"/>
    <w:rsid w:val="00B9164B"/>
    <w:rsid w:val="00B921DC"/>
    <w:rsid w:val="00B927AD"/>
    <w:rsid w:val="00B92D0B"/>
    <w:rsid w:val="00B92D74"/>
    <w:rsid w:val="00B935B8"/>
    <w:rsid w:val="00B93C17"/>
    <w:rsid w:val="00B93CC6"/>
    <w:rsid w:val="00B93FD1"/>
    <w:rsid w:val="00B946C6"/>
    <w:rsid w:val="00B94945"/>
    <w:rsid w:val="00B94DAA"/>
    <w:rsid w:val="00B94DD6"/>
    <w:rsid w:val="00B95189"/>
    <w:rsid w:val="00B951BF"/>
    <w:rsid w:val="00B9591E"/>
    <w:rsid w:val="00B95D70"/>
    <w:rsid w:val="00B95FD3"/>
    <w:rsid w:val="00B9641B"/>
    <w:rsid w:val="00B9704B"/>
    <w:rsid w:val="00B970E8"/>
    <w:rsid w:val="00B970F3"/>
    <w:rsid w:val="00B97103"/>
    <w:rsid w:val="00B97177"/>
    <w:rsid w:val="00B9727A"/>
    <w:rsid w:val="00B97360"/>
    <w:rsid w:val="00B97722"/>
    <w:rsid w:val="00B97989"/>
    <w:rsid w:val="00B97D50"/>
    <w:rsid w:val="00B97F23"/>
    <w:rsid w:val="00BA0078"/>
    <w:rsid w:val="00BA0831"/>
    <w:rsid w:val="00BA0906"/>
    <w:rsid w:val="00BA11B5"/>
    <w:rsid w:val="00BA1A92"/>
    <w:rsid w:val="00BA23AD"/>
    <w:rsid w:val="00BA2618"/>
    <w:rsid w:val="00BA2807"/>
    <w:rsid w:val="00BA298F"/>
    <w:rsid w:val="00BA2A63"/>
    <w:rsid w:val="00BA2A6E"/>
    <w:rsid w:val="00BA2CDA"/>
    <w:rsid w:val="00BA3053"/>
    <w:rsid w:val="00BA322D"/>
    <w:rsid w:val="00BA33BE"/>
    <w:rsid w:val="00BA35F8"/>
    <w:rsid w:val="00BA37EA"/>
    <w:rsid w:val="00BA3A09"/>
    <w:rsid w:val="00BA4585"/>
    <w:rsid w:val="00BA4B5B"/>
    <w:rsid w:val="00BA4DC4"/>
    <w:rsid w:val="00BA4E7A"/>
    <w:rsid w:val="00BA52F7"/>
    <w:rsid w:val="00BA5831"/>
    <w:rsid w:val="00BA5881"/>
    <w:rsid w:val="00BA5AAC"/>
    <w:rsid w:val="00BA5DE7"/>
    <w:rsid w:val="00BA63FA"/>
    <w:rsid w:val="00BA64F1"/>
    <w:rsid w:val="00BA668B"/>
    <w:rsid w:val="00BA67E8"/>
    <w:rsid w:val="00BA6824"/>
    <w:rsid w:val="00BA7715"/>
    <w:rsid w:val="00BA7FE2"/>
    <w:rsid w:val="00BB0014"/>
    <w:rsid w:val="00BB00B3"/>
    <w:rsid w:val="00BB06B7"/>
    <w:rsid w:val="00BB0B55"/>
    <w:rsid w:val="00BB0BDD"/>
    <w:rsid w:val="00BB1748"/>
    <w:rsid w:val="00BB176C"/>
    <w:rsid w:val="00BB176E"/>
    <w:rsid w:val="00BB19A0"/>
    <w:rsid w:val="00BB1A56"/>
    <w:rsid w:val="00BB1F64"/>
    <w:rsid w:val="00BB20E2"/>
    <w:rsid w:val="00BB2120"/>
    <w:rsid w:val="00BB24F5"/>
    <w:rsid w:val="00BB2A73"/>
    <w:rsid w:val="00BB2B7E"/>
    <w:rsid w:val="00BB2DF7"/>
    <w:rsid w:val="00BB33E6"/>
    <w:rsid w:val="00BB364D"/>
    <w:rsid w:val="00BB381C"/>
    <w:rsid w:val="00BB38BB"/>
    <w:rsid w:val="00BB39A7"/>
    <w:rsid w:val="00BB39BC"/>
    <w:rsid w:val="00BB3A45"/>
    <w:rsid w:val="00BB3C9C"/>
    <w:rsid w:val="00BB3D6F"/>
    <w:rsid w:val="00BB410E"/>
    <w:rsid w:val="00BB4ACC"/>
    <w:rsid w:val="00BB4C4D"/>
    <w:rsid w:val="00BB4DA4"/>
    <w:rsid w:val="00BB4E87"/>
    <w:rsid w:val="00BB53F8"/>
    <w:rsid w:val="00BB5AD1"/>
    <w:rsid w:val="00BB5AF8"/>
    <w:rsid w:val="00BB5BC2"/>
    <w:rsid w:val="00BB5F2E"/>
    <w:rsid w:val="00BB6152"/>
    <w:rsid w:val="00BB61A2"/>
    <w:rsid w:val="00BB62D8"/>
    <w:rsid w:val="00BB633D"/>
    <w:rsid w:val="00BB6A13"/>
    <w:rsid w:val="00BB703E"/>
    <w:rsid w:val="00BB732D"/>
    <w:rsid w:val="00BB7405"/>
    <w:rsid w:val="00BB785C"/>
    <w:rsid w:val="00BB7F16"/>
    <w:rsid w:val="00BC062E"/>
    <w:rsid w:val="00BC06C9"/>
    <w:rsid w:val="00BC093F"/>
    <w:rsid w:val="00BC0E27"/>
    <w:rsid w:val="00BC1439"/>
    <w:rsid w:val="00BC184C"/>
    <w:rsid w:val="00BC1ADD"/>
    <w:rsid w:val="00BC1BF3"/>
    <w:rsid w:val="00BC1FB4"/>
    <w:rsid w:val="00BC21CC"/>
    <w:rsid w:val="00BC2204"/>
    <w:rsid w:val="00BC233E"/>
    <w:rsid w:val="00BC237C"/>
    <w:rsid w:val="00BC27C8"/>
    <w:rsid w:val="00BC2801"/>
    <w:rsid w:val="00BC29D3"/>
    <w:rsid w:val="00BC33CF"/>
    <w:rsid w:val="00BC3631"/>
    <w:rsid w:val="00BC3C19"/>
    <w:rsid w:val="00BC3C4A"/>
    <w:rsid w:val="00BC465F"/>
    <w:rsid w:val="00BC4E76"/>
    <w:rsid w:val="00BC591F"/>
    <w:rsid w:val="00BC5E5C"/>
    <w:rsid w:val="00BC5EC7"/>
    <w:rsid w:val="00BC6600"/>
    <w:rsid w:val="00BC69A6"/>
    <w:rsid w:val="00BC6ADF"/>
    <w:rsid w:val="00BC6C9B"/>
    <w:rsid w:val="00BC72A8"/>
    <w:rsid w:val="00BC7AFB"/>
    <w:rsid w:val="00BC7B08"/>
    <w:rsid w:val="00BC7D6D"/>
    <w:rsid w:val="00BD0239"/>
    <w:rsid w:val="00BD06AB"/>
    <w:rsid w:val="00BD09BF"/>
    <w:rsid w:val="00BD0B6C"/>
    <w:rsid w:val="00BD102B"/>
    <w:rsid w:val="00BD12D0"/>
    <w:rsid w:val="00BD1462"/>
    <w:rsid w:val="00BD193B"/>
    <w:rsid w:val="00BD1D1E"/>
    <w:rsid w:val="00BD2108"/>
    <w:rsid w:val="00BD23E8"/>
    <w:rsid w:val="00BD23F1"/>
    <w:rsid w:val="00BD263D"/>
    <w:rsid w:val="00BD2EFA"/>
    <w:rsid w:val="00BD2F0C"/>
    <w:rsid w:val="00BD2F5D"/>
    <w:rsid w:val="00BD308C"/>
    <w:rsid w:val="00BD3841"/>
    <w:rsid w:val="00BD3F78"/>
    <w:rsid w:val="00BD49BB"/>
    <w:rsid w:val="00BD4B06"/>
    <w:rsid w:val="00BD4EDD"/>
    <w:rsid w:val="00BD4F7F"/>
    <w:rsid w:val="00BD540B"/>
    <w:rsid w:val="00BD5935"/>
    <w:rsid w:val="00BD5AF9"/>
    <w:rsid w:val="00BD5CFB"/>
    <w:rsid w:val="00BD5F6D"/>
    <w:rsid w:val="00BD6133"/>
    <w:rsid w:val="00BD623A"/>
    <w:rsid w:val="00BD68A3"/>
    <w:rsid w:val="00BD6938"/>
    <w:rsid w:val="00BD6C02"/>
    <w:rsid w:val="00BD6CF3"/>
    <w:rsid w:val="00BD6E74"/>
    <w:rsid w:val="00BD6E9D"/>
    <w:rsid w:val="00BD7047"/>
    <w:rsid w:val="00BD7388"/>
    <w:rsid w:val="00BD78D9"/>
    <w:rsid w:val="00BD7B87"/>
    <w:rsid w:val="00BD7F72"/>
    <w:rsid w:val="00BE0182"/>
    <w:rsid w:val="00BE030A"/>
    <w:rsid w:val="00BE09E7"/>
    <w:rsid w:val="00BE0ECA"/>
    <w:rsid w:val="00BE1016"/>
    <w:rsid w:val="00BE1148"/>
    <w:rsid w:val="00BE15F4"/>
    <w:rsid w:val="00BE1602"/>
    <w:rsid w:val="00BE1770"/>
    <w:rsid w:val="00BE1AF7"/>
    <w:rsid w:val="00BE1C0D"/>
    <w:rsid w:val="00BE1DC9"/>
    <w:rsid w:val="00BE2180"/>
    <w:rsid w:val="00BE21F2"/>
    <w:rsid w:val="00BE2550"/>
    <w:rsid w:val="00BE2788"/>
    <w:rsid w:val="00BE2D0D"/>
    <w:rsid w:val="00BE301E"/>
    <w:rsid w:val="00BE365E"/>
    <w:rsid w:val="00BE37B6"/>
    <w:rsid w:val="00BE3D94"/>
    <w:rsid w:val="00BE416B"/>
    <w:rsid w:val="00BE4275"/>
    <w:rsid w:val="00BE434B"/>
    <w:rsid w:val="00BE466A"/>
    <w:rsid w:val="00BE5021"/>
    <w:rsid w:val="00BE5087"/>
    <w:rsid w:val="00BE578D"/>
    <w:rsid w:val="00BE583B"/>
    <w:rsid w:val="00BE5A04"/>
    <w:rsid w:val="00BE5B85"/>
    <w:rsid w:val="00BE5CCC"/>
    <w:rsid w:val="00BE5DB9"/>
    <w:rsid w:val="00BE629B"/>
    <w:rsid w:val="00BE660B"/>
    <w:rsid w:val="00BE6924"/>
    <w:rsid w:val="00BE6BED"/>
    <w:rsid w:val="00BE72D7"/>
    <w:rsid w:val="00BE7496"/>
    <w:rsid w:val="00BE768C"/>
    <w:rsid w:val="00BE76AD"/>
    <w:rsid w:val="00BE7D8A"/>
    <w:rsid w:val="00BF02E5"/>
    <w:rsid w:val="00BF06AE"/>
    <w:rsid w:val="00BF084D"/>
    <w:rsid w:val="00BF0B64"/>
    <w:rsid w:val="00BF0E73"/>
    <w:rsid w:val="00BF0F95"/>
    <w:rsid w:val="00BF1122"/>
    <w:rsid w:val="00BF1BA2"/>
    <w:rsid w:val="00BF1C79"/>
    <w:rsid w:val="00BF1FC2"/>
    <w:rsid w:val="00BF2130"/>
    <w:rsid w:val="00BF21A4"/>
    <w:rsid w:val="00BF2433"/>
    <w:rsid w:val="00BF25C2"/>
    <w:rsid w:val="00BF267D"/>
    <w:rsid w:val="00BF2D26"/>
    <w:rsid w:val="00BF2D4E"/>
    <w:rsid w:val="00BF2DB8"/>
    <w:rsid w:val="00BF2E6E"/>
    <w:rsid w:val="00BF3170"/>
    <w:rsid w:val="00BF3252"/>
    <w:rsid w:val="00BF34AE"/>
    <w:rsid w:val="00BF3751"/>
    <w:rsid w:val="00BF37D1"/>
    <w:rsid w:val="00BF3E39"/>
    <w:rsid w:val="00BF3F29"/>
    <w:rsid w:val="00BF4075"/>
    <w:rsid w:val="00BF4654"/>
    <w:rsid w:val="00BF4DFC"/>
    <w:rsid w:val="00BF55BB"/>
    <w:rsid w:val="00BF5617"/>
    <w:rsid w:val="00BF5815"/>
    <w:rsid w:val="00BF5A9A"/>
    <w:rsid w:val="00BF5BE1"/>
    <w:rsid w:val="00BF60B7"/>
    <w:rsid w:val="00BF61C9"/>
    <w:rsid w:val="00BF64BE"/>
    <w:rsid w:val="00BF6879"/>
    <w:rsid w:val="00BF6C94"/>
    <w:rsid w:val="00BF714C"/>
    <w:rsid w:val="00BF725E"/>
    <w:rsid w:val="00BF7443"/>
    <w:rsid w:val="00BF7ECF"/>
    <w:rsid w:val="00C000F2"/>
    <w:rsid w:val="00C00424"/>
    <w:rsid w:val="00C00BB0"/>
    <w:rsid w:val="00C00D3D"/>
    <w:rsid w:val="00C00EE1"/>
    <w:rsid w:val="00C00F81"/>
    <w:rsid w:val="00C01045"/>
    <w:rsid w:val="00C019EA"/>
    <w:rsid w:val="00C02286"/>
    <w:rsid w:val="00C0252A"/>
    <w:rsid w:val="00C025C2"/>
    <w:rsid w:val="00C02688"/>
    <w:rsid w:val="00C02FA9"/>
    <w:rsid w:val="00C03077"/>
    <w:rsid w:val="00C03BE1"/>
    <w:rsid w:val="00C04129"/>
    <w:rsid w:val="00C042D3"/>
    <w:rsid w:val="00C045F4"/>
    <w:rsid w:val="00C048EB"/>
    <w:rsid w:val="00C048F3"/>
    <w:rsid w:val="00C04D73"/>
    <w:rsid w:val="00C04EA9"/>
    <w:rsid w:val="00C056D0"/>
    <w:rsid w:val="00C05998"/>
    <w:rsid w:val="00C05DEC"/>
    <w:rsid w:val="00C063F7"/>
    <w:rsid w:val="00C065B1"/>
    <w:rsid w:val="00C06C20"/>
    <w:rsid w:val="00C075D6"/>
    <w:rsid w:val="00C078EB"/>
    <w:rsid w:val="00C07B73"/>
    <w:rsid w:val="00C10229"/>
    <w:rsid w:val="00C109E3"/>
    <w:rsid w:val="00C10A69"/>
    <w:rsid w:val="00C10DA7"/>
    <w:rsid w:val="00C1149F"/>
    <w:rsid w:val="00C11590"/>
    <w:rsid w:val="00C1179F"/>
    <w:rsid w:val="00C11AFF"/>
    <w:rsid w:val="00C11B69"/>
    <w:rsid w:val="00C11EF6"/>
    <w:rsid w:val="00C121B9"/>
    <w:rsid w:val="00C121D0"/>
    <w:rsid w:val="00C122DF"/>
    <w:rsid w:val="00C1276F"/>
    <w:rsid w:val="00C127B9"/>
    <w:rsid w:val="00C128FA"/>
    <w:rsid w:val="00C128FD"/>
    <w:rsid w:val="00C12959"/>
    <w:rsid w:val="00C12BBF"/>
    <w:rsid w:val="00C12BD9"/>
    <w:rsid w:val="00C12C14"/>
    <w:rsid w:val="00C12C69"/>
    <w:rsid w:val="00C1302D"/>
    <w:rsid w:val="00C135A3"/>
    <w:rsid w:val="00C138A7"/>
    <w:rsid w:val="00C13EC1"/>
    <w:rsid w:val="00C1450E"/>
    <w:rsid w:val="00C14A44"/>
    <w:rsid w:val="00C14CAC"/>
    <w:rsid w:val="00C14DA0"/>
    <w:rsid w:val="00C14DD4"/>
    <w:rsid w:val="00C15366"/>
    <w:rsid w:val="00C1583F"/>
    <w:rsid w:val="00C15BC7"/>
    <w:rsid w:val="00C15F04"/>
    <w:rsid w:val="00C15F27"/>
    <w:rsid w:val="00C167AD"/>
    <w:rsid w:val="00C16C36"/>
    <w:rsid w:val="00C1778A"/>
    <w:rsid w:val="00C179B3"/>
    <w:rsid w:val="00C17BD9"/>
    <w:rsid w:val="00C17D47"/>
    <w:rsid w:val="00C17E3F"/>
    <w:rsid w:val="00C2002A"/>
    <w:rsid w:val="00C200AA"/>
    <w:rsid w:val="00C201BE"/>
    <w:rsid w:val="00C20684"/>
    <w:rsid w:val="00C208EB"/>
    <w:rsid w:val="00C2118C"/>
    <w:rsid w:val="00C2134B"/>
    <w:rsid w:val="00C21472"/>
    <w:rsid w:val="00C21A05"/>
    <w:rsid w:val="00C2228D"/>
    <w:rsid w:val="00C23206"/>
    <w:rsid w:val="00C235B4"/>
    <w:rsid w:val="00C23600"/>
    <w:rsid w:val="00C236E8"/>
    <w:rsid w:val="00C237ED"/>
    <w:rsid w:val="00C23AA1"/>
    <w:rsid w:val="00C23BBF"/>
    <w:rsid w:val="00C24632"/>
    <w:rsid w:val="00C24AFA"/>
    <w:rsid w:val="00C24E64"/>
    <w:rsid w:val="00C24F11"/>
    <w:rsid w:val="00C25133"/>
    <w:rsid w:val="00C252F4"/>
    <w:rsid w:val="00C25418"/>
    <w:rsid w:val="00C256A7"/>
    <w:rsid w:val="00C25800"/>
    <w:rsid w:val="00C2581E"/>
    <w:rsid w:val="00C2595B"/>
    <w:rsid w:val="00C25B15"/>
    <w:rsid w:val="00C25D9C"/>
    <w:rsid w:val="00C264C4"/>
    <w:rsid w:val="00C265CC"/>
    <w:rsid w:val="00C267F4"/>
    <w:rsid w:val="00C26A9E"/>
    <w:rsid w:val="00C26AAB"/>
    <w:rsid w:val="00C26B6F"/>
    <w:rsid w:val="00C273A0"/>
    <w:rsid w:val="00C2750E"/>
    <w:rsid w:val="00C2778B"/>
    <w:rsid w:val="00C300A3"/>
    <w:rsid w:val="00C30131"/>
    <w:rsid w:val="00C31649"/>
    <w:rsid w:val="00C31E6A"/>
    <w:rsid w:val="00C32018"/>
    <w:rsid w:val="00C32823"/>
    <w:rsid w:val="00C334DF"/>
    <w:rsid w:val="00C33736"/>
    <w:rsid w:val="00C3396D"/>
    <w:rsid w:val="00C33FD1"/>
    <w:rsid w:val="00C3434C"/>
    <w:rsid w:val="00C34BB5"/>
    <w:rsid w:val="00C34D12"/>
    <w:rsid w:val="00C34D5D"/>
    <w:rsid w:val="00C34EFC"/>
    <w:rsid w:val="00C35696"/>
    <w:rsid w:val="00C35C89"/>
    <w:rsid w:val="00C36418"/>
    <w:rsid w:val="00C36498"/>
    <w:rsid w:val="00C364B1"/>
    <w:rsid w:val="00C364BA"/>
    <w:rsid w:val="00C36537"/>
    <w:rsid w:val="00C36880"/>
    <w:rsid w:val="00C36945"/>
    <w:rsid w:val="00C369D8"/>
    <w:rsid w:val="00C37185"/>
    <w:rsid w:val="00C37222"/>
    <w:rsid w:val="00C37469"/>
    <w:rsid w:val="00C37846"/>
    <w:rsid w:val="00C378C0"/>
    <w:rsid w:val="00C37C35"/>
    <w:rsid w:val="00C37CA9"/>
    <w:rsid w:val="00C40295"/>
    <w:rsid w:val="00C40385"/>
    <w:rsid w:val="00C404A1"/>
    <w:rsid w:val="00C408F0"/>
    <w:rsid w:val="00C409D8"/>
    <w:rsid w:val="00C41022"/>
    <w:rsid w:val="00C414B4"/>
    <w:rsid w:val="00C415D5"/>
    <w:rsid w:val="00C4174B"/>
    <w:rsid w:val="00C41768"/>
    <w:rsid w:val="00C41A44"/>
    <w:rsid w:val="00C4209D"/>
    <w:rsid w:val="00C42415"/>
    <w:rsid w:val="00C427FF"/>
    <w:rsid w:val="00C42D4C"/>
    <w:rsid w:val="00C43788"/>
    <w:rsid w:val="00C438F9"/>
    <w:rsid w:val="00C43E56"/>
    <w:rsid w:val="00C43E70"/>
    <w:rsid w:val="00C4402C"/>
    <w:rsid w:val="00C44437"/>
    <w:rsid w:val="00C447B8"/>
    <w:rsid w:val="00C44C49"/>
    <w:rsid w:val="00C45780"/>
    <w:rsid w:val="00C457FA"/>
    <w:rsid w:val="00C45B6F"/>
    <w:rsid w:val="00C46114"/>
    <w:rsid w:val="00C4615F"/>
    <w:rsid w:val="00C464E9"/>
    <w:rsid w:val="00C473BB"/>
    <w:rsid w:val="00C475AA"/>
    <w:rsid w:val="00C4782A"/>
    <w:rsid w:val="00C50540"/>
    <w:rsid w:val="00C505B5"/>
    <w:rsid w:val="00C50AC2"/>
    <w:rsid w:val="00C50B46"/>
    <w:rsid w:val="00C50C63"/>
    <w:rsid w:val="00C51246"/>
    <w:rsid w:val="00C51587"/>
    <w:rsid w:val="00C51ACF"/>
    <w:rsid w:val="00C5229D"/>
    <w:rsid w:val="00C522B1"/>
    <w:rsid w:val="00C523E2"/>
    <w:rsid w:val="00C527C7"/>
    <w:rsid w:val="00C53A29"/>
    <w:rsid w:val="00C53BFA"/>
    <w:rsid w:val="00C53C54"/>
    <w:rsid w:val="00C53C98"/>
    <w:rsid w:val="00C53DB3"/>
    <w:rsid w:val="00C53EB2"/>
    <w:rsid w:val="00C543EB"/>
    <w:rsid w:val="00C54AA9"/>
    <w:rsid w:val="00C55120"/>
    <w:rsid w:val="00C55549"/>
    <w:rsid w:val="00C5555F"/>
    <w:rsid w:val="00C55809"/>
    <w:rsid w:val="00C5581B"/>
    <w:rsid w:val="00C5581C"/>
    <w:rsid w:val="00C55B36"/>
    <w:rsid w:val="00C563CE"/>
    <w:rsid w:val="00C56413"/>
    <w:rsid w:val="00C569ED"/>
    <w:rsid w:val="00C56BCA"/>
    <w:rsid w:val="00C56D90"/>
    <w:rsid w:val="00C56FCF"/>
    <w:rsid w:val="00C5747B"/>
    <w:rsid w:val="00C57659"/>
    <w:rsid w:val="00C57707"/>
    <w:rsid w:val="00C57B6C"/>
    <w:rsid w:val="00C600CD"/>
    <w:rsid w:val="00C600ED"/>
    <w:rsid w:val="00C601FC"/>
    <w:rsid w:val="00C60251"/>
    <w:rsid w:val="00C60672"/>
    <w:rsid w:val="00C60858"/>
    <w:rsid w:val="00C60E2B"/>
    <w:rsid w:val="00C61A59"/>
    <w:rsid w:val="00C6222E"/>
    <w:rsid w:val="00C6238D"/>
    <w:rsid w:val="00C623F4"/>
    <w:rsid w:val="00C62530"/>
    <w:rsid w:val="00C6265F"/>
    <w:rsid w:val="00C628A6"/>
    <w:rsid w:val="00C62FF4"/>
    <w:rsid w:val="00C631A0"/>
    <w:rsid w:val="00C631CD"/>
    <w:rsid w:val="00C632F9"/>
    <w:rsid w:val="00C6343A"/>
    <w:rsid w:val="00C63540"/>
    <w:rsid w:val="00C6357A"/>
    <w:rsid w:val="00C63FEE"/>
    <w:rsid w:val="00C641B8"/>
    <w:rsid w:val="00C64344"/>
    <w:rsid w:val="00C64354"/>
    <w:rsid w:val="00C648C9"/>
    <w:rsid w:val="00C64BFA"/>
    <w:rsid w:val="00C64C2B"/>
    <w:rsid w:val="00C65108"/>
    <w:rsid w:val="00C65357"/>
    <w:rsid w:val="00C65576"/>
    <w:rsid w:val="00C65A2B"/>
    <w:rsid w:val="00C65B26"/>
    <w:rsid w:val="00C66079"/>
    <w:rsid w:val="00C66165"/>
    <w:rsid w:val="00C666B5"/>
    <w:rsid w:val="00C668FB"/>
    <w:rsid w:val="00C66F55"/>
    <w:rsid w:val="00C6753B"/>
    <w:rsid w:val="00C67776"/>
    <w:rsid w:val="00C67C45"/>
    <w:rsid w:val="00C67F16"/>
    <w:rsid w:val="00C7060A"/>
    <w:rsid w:val="00C7101B"/>
    <w:rsid w:val="00C7151A"/>
    <w:rsid w:val="00C717E3"/>
    <w:rsid w:val="00C71A13"/>
    <w:rsid w:val="00C71C74"/>
    <w:rsid w:val="00C71F24"/>
    <w:rsid w:val="00C71F60"/>
    <w:rsid w:val="00C7207F"/>
    <w:rsid w:val="00C72241"/>
    <w:rsid w:val="00C724B9"/>
    <w:rsid w:val="00C72617"/>
    <w:rsid w:val="00C7289A"/>
    <w:rsid w:val="00C7294F"/>
    <w:rsid w:val="00C72BCF"/>
    <w:rsid w:val="00C72BEA"/>
    <w:rsid w:val="00C7302F"/>
    <w:rsid w:val="00C73334"/>
    <w:rsid w:val="00C74736"/>
    <w:rsid w:val="00C74979"/>
    <w:rsid w:val="00C74BE1"/>
    <w:rsid w:val="00C74DBB"/>
    <w:rsid w:val="00C74EBC"/>
    <w:rsid w:val="00C750C8"/>
    <w:rsid w:val="00C7546F"/>
    <w:rsid w:val="00C75602"/>
    <w:rsid w:val="00C7560F"/>
    <w:rsid w:val="00C757A1"/>
    <w:rsid w:val="00C75B03"/>
    <w:rsid w:val="00C75F57"/>
    <w:rsid w:val="00C765B3"/>
    <w:rsid w:val="00C76814"/>
    <w:rsid w:val="00C76DE8"/>
    <w:rsid w:val="00C7700B"/>
    <w:rsid w:val="00C776D6"/>
    <w:rsid w:val="00C77A39"/>
    <w:rsid w:val="00C800FB"/>
    <w:rsid w:val="00C8098A"/>
    <w:rsid w:val="00C80A0E"/>
    <w:rsid w:val="00C80AF5"/>
    <w:rsid w:val="00C80D9E"/>
    <w:rsid w:val="00C80E7A"/>
    <w:rsid w:val="00C80EAC"/>
    <w:rsid w:val="00C80EEF"/>
    <w:rsid w:val="00C80FA6"/>
    <w:rsid w:val="00C810F6"/>
    <w:rsid w:val="00C81396"/>
    <w:rsid w:val="00C81640"/>
    <w:rsid w:val="00C81922"/>
    <w:rsid w:val="00C81C99"/>
    <w:rsid w:val="00C81DC1"/>
    <w:rsid w:val="00C8201C"/>
    <w:rsid w:val="00C8213F"/>
    <w:rsid w:val="00C82CBE"/>
    <w:rsid w:val="00C8303F"/>
    <w:rsid w:val="00C831F5"/>
    <w:rsid w:val="00C832A5"/>
    <w:rsid w:val="00C83344"/>
    <w:rsid w:val="00C836E5"/>
    <w:rsid w:val="00C840BA"/>
    <w:rsid w:val="00C841D2"/>
    <w:rsid w:val="00C8445C"/>
    <w:rsid w:val="00C8457B"/>
    <w:rsid w:val="00C8479A"/>
    <w:rsid w:val="00C849C8"/>
    <w:rsid w:val="00C84E7D"/>
    <w:rsid w:val="00C85154"/>
    <w:rsid w:val="00C85426"/>
    <w:rsid w:val="00C85798"/>
    <w:rsid w:val="00C85A70"/>
    <w:rsid w:val="00C8602F"/>
    <w:rsid w:val="00C861CC"/>
    <w:rsid w:val="00C8675E"/>
    <w:rsid w:val="00C867F7"/>
    <w:rsid w:val="00C868FE"/>
    <w:rsid w:val="00C869BD"/>
    <w:rsid w:val="00C871F6"/>
    <w:rsid w:val="00C876F8"/>
    <w:rsid w:val="00C8773E"/>
    <w:rsid w:val="00C8797A"/>
    <w:rsid w:val="00C87CF2"/>
    <w:rsid w:val="00C87DFF"/>
    <w:rsid w:val="00C900B8"/>
    <w:rsid w:val="00C90197"/>
    <w:rsid w:val="00C9019B"/>
    <w:rsid w:val="00C903F9"/>
    <w:rsid w:val="00C9052B"/>
    <w:rsid w:val="00C9091F"/>
    <w:rsid w:val="00C90C71"/>
    <w:rsid w:val="00C91216"/>
    <w:rsid w:val="00C91329"/>
    <w:rsid w:val="00C913AB"/>
    <w:rsid w:val="00C914F3"/>
    <w:rsid w:val="00C91B5D"/>
    <w:rsid w:val="00C91C60"/>
    <w:rsid w:val="00C91E17"/>
    <w:rsid w:val="00C91F73"/>
    <w:rsid w:val="00C91FD1"/>
    <w:rsid w:val="00C920F5"/>
    <w:rsid w:val="00C9213C"/>
    <w:rsid w:val="00C922B9"/>
    <w:rsid w:val="00C9245B"/>
    <w:rsid w:val="00C92C30"/>
    <w:rsid w:val="00C931CF"/>
    <w:rsid w:val="00C9346F"/>
    <w:rsid w:val="00C9386C"/>
    <w:rsid w:val="00C938CF"/>
    <w:rsid w:val="00C93AD6"/>
    <w:rsid w:val="00C94053"/>
    <w:rsid w:val="00C940FE"/>
    <w:rsid w:val="00C94D20"/>
    <w:rsid w:val="00C95464"/>
    <w:rsid w:val="00C95C4E"/>
    <w:rsid w:val="00C95EF8"/>
    <w:rsid w:val="00C961FE"/>
    <w:rsid w:val="00C9624D"/>
    <w:rsid w:val="00C96954"/>
    <w:rsid w:val="00C969DA"/>
    <w:rsid w:val="00C96D5F"/>
    <w:rsid w:val="00C97A75"/>
    <w:rsid w:val="00C97ECA"/>
    <w:rsid w:val="00CA0326"/>
    <w:rsid w:val="00CA0402"/>
    <w:rsid w:val="00CA04EC"/>
    <w:rsid w:val="00CA05B6"/>
    <w:rsid w:val="00CA081C"/>
    <w:rsid w:val="00CA0C46"/>
    <w:rsid w:val="00CA1111"/>
    <w:rsid w:val="00CA1227"/>
    <w:rsid w:val="00CA16F1"/>
    <w:rsid w:val="00CA1765"/>
    <w:rsid w:val="00CA1FDD"/>
    <w:rsid w:val="00CA258C"/>
    <w:rsid w:val="00CA26AB"/>
    <w:rsid w:val="00CA2C77"/>
    <w:rsid w:val="00CA2CF7"/>
    <w:rsid w:val="00CA2F63"/>
    <w:rsid w:val="00CA32DC"/>
    <w:rsid w:val="00CA444F"/>
    <w:rsid w:val="00CA44A9"/>
    <w:rsid w:val="00CA4560"/>
    <w:rsid w:val="00CA5245"/>
    <w:rsid w:val="00CA557C"/>
    <w:rsid w:val="00CA5803"/>
    <w:rsid w:val="00CA5838"/>
    <w:rsid w:val="00CA5E8F"/>
    <w:rsid w:val="00CA5F40"/>
    <w:rsid w:val="00CA61D1"/>
    <w:rsid w:val="00CA64DB"/>
    <w:rsid w:val="00CA69A2"/>
    <w:rsid w:val="00CA6A9F"/>
    <w:rsid w:val="00CA6BB6"/>
    <w:rsid w:val="00CA6BE1"/>
    <w:rsid w:val="00CA6ECF"/>
    <w:rsid w:val="00CA717F"/>
    <w:rsid w:val="00CA71F4"/>
    <w:rsid w:val="00CA7275"/>
    <w:rsid w:val="00CA7B09"/>
    <w:rsid w:val="00CA7E97"/>
    <w:rsid w:val="00CA7EE5"/>
    <w:rsid w:val="00CB0505"/>
    <w:rsid w:val="00CB075E"/>
    <w:rsid w:val="00CB0A13"/>
    <w:rsid w:val="00CB0C84"/>
    <w:rsid w:val="00CB12A5"/>
    <w:rsid w:val="00CB15D1"/>
    <w:rsid w:val="00CB183F"/>
    <w:rsid w:val="00CB1CAC"/>
    <w:rsid w:val="00CB1FA0"/>
    <w:rsid w:val="00CB1FC0"/>
    <w:rsid w:val="00CB231F"/>
    <w:rsid w:val="00CB2478"/>
    <w:rsid w:val="00CB2A13"/>
    <w:rsid w:val="00CB2DC3"/>
    <w:rsid w:val="00CB2F2A"/>
    <w:rsid w:val="00CB3604"/>
    <w:rsid w:val="00CB3903"/>
    <w:rsid w:val="00CB41C3"/>
    <w:rsid w:val="00CB43A9"/>
    <w:rsid w:val="00CB4B2A"/>
    <w:rsid w:val="00CB4D04"/>
    <w:rsid w:val="00CB5094"/>
    <w:rsid w:val="00CB5315"/>
    <w:rsid w:val="00CB5727"/>
    <w:rsid w:val="00CB57D8"/>
    <w:rsid w:val="00CB594D"/>
    <w:rsid w:val="00CB5B1A"/>
    <w:rsid w:val="00CB5C8E"/>
    <w:rsid w:val="00CB60AB"/>
    <w:rsid w:val="00CB620F"/>
    <w:rsid w:val="00CB6529"/>
    <w:rsid w:val="00CB65E1"/>
    <w:rsid w:val="00CB6B22"/>
    <w:rsid w:val="00CB6C7B"/>
    <w:rsid w:val="00CB6F84"/>
    <w:rsid w:val="00CB7317"/>
    <w:rsid w:val="00CB7767"/>
    <w:rsid w:val="00CB7C05"/>
    <w:rsid w:val="00CB7F5F"/>
    <w:rsid w:val="00CC0184"/>
    <w:rsid w:val="00CC0203"/>
    <w:rsid w:val="00CC0D63"/>
    <w:rsid w:val="00CC0D73"/>
    <w:rsid w:val="00CC0DF9"/>
    <w:rsid w:val="00CC12E5"/>
    <w:rsid w:val="00CC149D"/>
    <w:rsid w:val="00CC16DE"/>
    <w:rsid w:val="00CC173D"/>
    <w:rsid w:val="00CC1B39"/>
    <w:rsid w:val="00CC1BFA"/>
    <w:rsid w:val="00CC1E1F"/>
    <w:rsid w:val="00CC2543"/>
    <w:rsid w:val="00CC2DFC"/>
    <w:rsid w:val="00CC2E81"/>
    <w:rsid w:val="00CC2E9F"/>
    <w:rsid w:val="00CC3327"/>
    <w:rsid w:val="00CC35EA"/>
    <w:rsid w:val="00CC3848"/>
    <w:rsid w:val="00CC3CFA"/>
    <w:rsid w:val="00CC440A"/>
    <w:rsid w:val="00CC4A5B"/>
    <w:rsid w:val="00CC4B60"/>
    <w:rsid w:val="00CC4F96"/>
    <w:rsid w:val="00CC50B2"/>
    <w:rsid w:val="00CC582E"/>
    <w:rsid w:val="00CC589E"/>
    <w:rsid w:val="00CC59C4"/>
    <w:rsid w:val="00CC5EA9"/>
    <w:rsid w:val="00CC5EC6"/>
    <w:rsid w:val="00CC6145"/>
    <w:rsid w:val="00CC629D"/>
    <w:rsid w:val="00CC6B59"/>
    <w:rsid w:val="00CC6D1B"/>
    <w:rsid w:val="00CC6D5E"/>
    <w:rsid w:val="00CC6DEF"/>
    <w:rsid w:val="00CC700D"/>
    <w:rsid w:val="00CC70A0"/>
    <w:rsid w:val="00CC72E4"/>
    <w:rsid w:val="00CC7EA1"/>
    <w:rsid w:val="00CD0200"/>
    <w:rsid w:val="00CD03B3"/>
    <w:rsid w:val="00CD09CA"/>
    <w:rsid w:val="00CD0F75"/>
    <w:rsid w:val="00CD143D"/>
    <w:rsid w:val="00CD1642"/>
    <w:rsid w:val="00CD1E26"/>
    <w:rsid w:val="00CD21AE"/>
    <w:rsid w:val="00CD337D"/>
    <w:rsid w:val="00CD346F"/>
    <w:rsid w:val="00CD36F5"/>
    <w:rsid w:val="00CD3C1F"/>
    <w:rsid w:val="00CD3F77"/>
    <w:rsid w:val="00CD4257"/>
    <w:rsid w:val="00CD44B1"/>
    <w:rsid w:val="00CD4585"/>
    <w:rsid w:val="00CD4954"/>
    <w:rsid w:val="00CD4DE1"/>
    <w:rsid w:val="00CD5126"/>
    <w:rsid w:val="00CD536A"/>
    <w:rsid w:val="00CD597E"/>
    <w:rsid w:val="00CD59D2"/>
    <w:rsid w:val="00CD59FC"/>
    <w:rsid w:val="00CD69BB"/>
    <w:rsid w:val="00CD6ADC"/>
    <w:rsid w:val="00CD6E4B"/>
    <w:rsid w:val="00CD7193"/>
    <w:rsid w:val="00CD72EE"/>
    <w:rsid w:val="00CD79CD"/>
    <w:rsid w:val="00CE0072"/>
    <w:rsid w:val="00CE08E5"/>
    <w:rsid w:val="00CE0AB8"/>
    <w:rsid w:val="00CE0AFC"/>
    <w:rsid w:val="00CE0B07"/>
    <w:rsid w:val="00CE0DFA"/>
    <w:rsid w:val="00CE0E5A"/>
    <w:rsid w:val="00CE0EAE"/>
    <w:rsid w:val="00CE0EDA"/>
    <w:rsid w:val="00CE136C"/>
    <w:rsid w:val="00CE13C9"/>
    <w:rsid w:val="00CE143D"/>
    <w:rsid w:val="00CE156D"/>
    <w:rsid w:val="00CE15A6"/>
    <w:rsid w:val="00CE1A5D"/>
    <w:rsid w:val="00CE1B2F"/>
    <w:rsid w:val="00CE2E86"/>
    <w:rsid w:val="00CE349A"/>
    <w:rsid w:val="00CE3672"/>
    <w:rsid w:val="00CE3694"/>
    <w:rsid w:val="00CE38C8"/>
    <w:rsid w:val="00CE3B14"/>
    <w:rsid w:val="00CE41A8"/>
    <w:rsid w:val="00CE43E3"/>
    <w:rsid w:val="00CE4D66"/>
    <w:rsid w:val="00CE4D8A"/>
    <w:rsid w:val="00CE524F"/>
    <w:rsid w:val="00CE5359"/>
    <w:rsid w:val="00CE5409"/>
    <w:rsid w:val="00CE56C3"/>
    <w:rsid w:val="00CE5703"/>
    <w:rsid w:val="00CE58CC"/>
    <w:rsid w:val="00CE5FA3"/>
    <w:rsid w:val="00CE60C7"/>
    <w:rsid w:val="00CE6274"/>
    <w:rsid w:val="00CE6456"/>
    <w:rsid w:val="00CE6670"/>
    <w:rsid w:val="00CE6975"/>
    <w:rsid w:val="00CE6E26"/>
    <w:rsid w:val="00CE7582"/>
    <w:rsid w:val="00CE77B6"/>
    <w:rsid w:val="00CE7B42"/>
    <w:rsid w:val="00CE7CC1"/>
    <w:rsid w:val="00CF0729"/>
    <w:rsid w:val="00CF0894"/>
    <w:rsid w:val="00CF0D7C"/>
    <w:rsid w:val="00CF1318"/>
    <w:rsid w:val="00CF19C0"/>
    <w:rsid w:val="00CF1FD1"/>
    <w:rsid w:val="00CF21AE"/>
    <w:rsid w:val="00CF27EF"/>
    <w:rsid w:val="00CF2886"/>
    <w:rsid w:val="00CF2987"/>
    <w:rsid w:val="00CF2B45"/>
    <w:rsid w:val="00CF2B8D"/>
    <w:rsid w:val="00CF3A1B"/>
    <w:rsid w:val="00CF3A1D"/>
    <w:rsid w:val="00CF3EF6"/>
    <w:rsid w:val="00CF4557"/>
    <w:rsid w:val="00CF456B"/>
    <w:rsid w:val="00CF4661"/>
    <w:rsid w:val="00CF4E33"/>
    <w:rsid w:val="00CF4EFB"/>
    <w:rsid w:val="00CF5473"/>
    <w:rsid w:val="00CF588A"/>
    <w:rsid w:val="00CF5931"/>
    <w:rsid w:val="00CF5A22"/>
    <w:rsid w:val="00CF673E"/>
    <w:rsid w:val="00CF6DF9"/>
    <w:rsid w:val="00CF7AF2"/>
    <w:rsid w:val="00D001C6"/>
    <w:rsid w:val="00D00490"/>
    <w:rsid w:val="00D00583"/>
    <w:rsid w:val="00D00733"/>
    <w:rsid w:val="00D00A1E"/>
    <w:rsid w:val="00D00F6C"/>
    <w:rsid w:val="00D0124E"/>
    <w:rsid w:val="00D012F3"/>
    <w:rsid w:val="00D01788"/>
    <w:rsid w:val="00D018A4"/>
    <w:rsid w:val="00D018C2"/>
    <w:rsid w:val="00D022B1"/>
    <w:rsid w:val="00D023C5"/>
    <w:rsid w:val="00D023E2"/>
    <w:rsid w:val="00D024DD"/>
    <w:rsid w:val="00D0256B"/>
    <w:rsid w:val="00D0262E"/>
    <w:rsid w:val="00D027C7"/>
    <w:rsid w:val="00D02B5B"/>
    <w:rsid w:val="00D02D24"/>
    <w:rsid w:val="00D030E2"/>
    <w:rsid w:val="00D0331F"/>
    <w:rsid w:val="00D03679"/>
    <w:rsid w:val="00D0374D"/>
    <w:rsid w:val="00D037C4"/>
    <w:rsid w:val="00D0398F"/>
    <w:rsid w:val="00D03BB8"/>
    <w:rsid w:val="00D04194"/>
    <w:rsid w:val="00D04516"/>
    <w:rsid w:val="00D0462E"/>
    <w:rsid w:val="00D049B8"/>
    <w:rsid w:val="00D04B6E"/>
    <w:rsid w:val="00D04D4B"/>
    <w:rsid w:val="00D04EDA"/>
    <w:rsid w:val="00D05016"/>
    <w:rsid w:val="00D05E3D"/>
    <w:rsid w:val="00D05FBF"/>
    <w:rsid w:val="00D06139"/>
    <w:rsid w:val="00D068F8"/>
    <w:rsid w:val="00D06BB2"/>
    <w:rsid w:val="00D06D5C"/>
    <w:rsid w:val="00D0752B"/>
    <w:rsid w:val="00D0765A"/>
    <w:rsid w:val="00D0767A"/>
    <w:rsid w:val="00D07F8E"/>
    <w:rsid w:val="00D10A53"/>
    <w:rsid w:val="00D10BCF"/>
    <w:rsid w:val="00D110BD"/>
    <w:rsid w:val="00D110EE"/>
    <w:rsid w:val="00D113AF"/>
    <w:rsid w:val="00D11826"/>
    <w:rsid w:val="00D1183B"/>
    <w:rsid w:val="00D118B5"/>
    <w:rsid w:val="00D11BD1"/>
    <w:rsid w:val="00D121BE"/>
    <w:rsid w:val="00D12DFE"/>
    <w:rsid w:val="00D134B4"/>
    <w:rsid w:val="00D13675"/>
    <w:rsid w:val="00D13C21"/>
    <w:rsid w:val="00D13F1F"/>
    <w:rsid w:val="00D141E1"/>
    <w:rsid w:val="00D1464D"/>
    <w:rsid w:val="00D147DD"/>
    <w:rsid w:val="00D15314"/>
    <w:rsid w:val="00D158C3"/>
    <w:rsid w:val="00D159FB"/>
    <w:rsid w:val="00D15B48"/>
    <w:rsid w:val="00D15E98"/>
    <w:rsid w:val="00D1603F"/>
    <w:rsid w:val="00D16166"/>
    <w:rsid w:val="00D16454"/>
    <w:rsid w:val="00D16E12"/>
    <w:rsid w:val="00D17D3E"/>
    <w:rsid w:val="00D17D6C"/>
    <w:rsid w:val="00D17F67"/>
    <w:rsid w:val="00D20038"/>
    <w:rsid w:val="00D202FF"/>
    <w:rsid w:val="00D20740"/>
    <w:rsid w:val="00D207F0"/>
    <w:rsid w:val="00D20C1B"/>
    <w:rsid w:val="00D21321"/>
    <w:rsid w:val="00D2155B"/>
    <w:rsid w:val="00D2164A"/>
    <w:rsid w:val="00D2168E"/>
    <w:rsid w:val="00D218B6"/>
    <w:rsid w:val="00D21D5D"/>
    <w:rsid w:val="00D21F0B"/>
    <w:rsid w:val="00D222F0"/>
    <w:rsid w:val="00D22824"/>
    <w:rsid w:val="00D22F7C"/>
    <w:rsid w:val="00D232DA"/>
    <w:rsid w:val="00D238BF"/>
    <w:rsid w:val="00D23D11"/>
    <w:rsid w:val="00D2409D"/>
    <w:rsid w:val="00D244B6"/>
    <w:rsid w:val="00D24EDB"/>
    <w:rsid w:val="00D24FC3"/>
    <w:rsid w:val="00D25186"/>
    <w:rsid w:val="00D25CEA"/>
    <w:rsid w:val="00D25FC1"/>
    <w:rsid w:val="00D26230"/>
    <w:rsid w:val="00D262D0"/>
    <w:rsid w:val="00D26758"/>
    <w:rsid w:val="00D26790"/>
    <w:rsid w:val="00D26CE4"/>
    <w:rsid w:val="00D26FB2"/>
    <w:rsid w:val="00D2754D"/>
    <w:rsid w:val="00D275E1"/>
    <w:rsid w:val="00D276C9"/>
    <w:rsid w:val="00D27752"/>
    <w:rsid w:val="00D27B27"/>
    <w:rsid w:val="00D27F3C"/>
    <w:rsid w:val="00D30457"/>
    <w:rsid w:val="00D30669"/>
    <w:rsid w:val="00D30790"/>
    <w:rsid w:val="00D308AA"/>
    <w:rsid w:val="00D30923"/>
    <w:rsid w:val="00D30C2B"/>
    <w:rsid w:val="00D30D5B"/>
    <w:rsid w:val="00D31108"/>
    <w:rsid w:val="00D312AD"/>
    <w:rsid w:val="00D31494"/>
    <w:rsid w:val="00D31883"/>
    <w:rsid w:val="00D31922"/>
    <w:rsid w:val="00D31DCD"/>
    <w:rsid w:val="00D32602"/>
    <w:rsid w:val="00D32F96"/>
    <w:rsid w:val="00D334AD"/>
    <w:rsid w:val="00D335B0"/>
    <w:rsid w:val="00D3368F"/>
    <w:rsid w:val="00D33BE9"/>
    <w:rsid w:val="00D33C55"/>
    <w:rsid w:val="00D33F93"/>
    <w:rsid w:val="00D3403E"/>
    <w:rsid w:val="00D34332"/>
    <w:rsid w:val="00D34E92"/>
    <w:rsid w:val="00D35275"/>
    <w:rsid w:val="00D353A3"/>
    <w:rsid w:val="00D3554E"/>
    <w:rsid w:val="00D357FF"/>
    <w:rsid w:val="00D36350"/>
    <w:rsid w:val="00D3651E"/>
    <w:rsid w:val="00D366D5"/>
    <w:rsid w:val="00D37732"/>
    <w:rsid w:val="00D377E6"/>
    <w:rsid w:val="00D37C3C"/>
    <w:rsid w:val="00D40300"/>
    <w:rsid w:val="00D40832"/>
    <w:rsid w:val="00D410E4"/>
    <w:rsid w:val="00D411D7"/>
    <w:rsid w:val="00D41BB8"/>
    <w:rsid w:val="00D424C7"/>
    <w:rsid w:val="00D42D2A"/>
    <w:rsid w:val="00D43029"/>
    <w:rsid w:val="00D431F8"/>
    <w:rsid w:val="00D43773"/>
    <w:rsid w:val="00D43B2A"/>
    <w:rsid w:val="00D43CF1"/>
    <w:rsid w:val="00D43D83"/>
    <w:rsid w:val="00D44C55"/>
    <w:rsid w:val="00D45ACE"/>
    <w:rsid w:val="00D45D2E"/>
    <w:rsid w:val="00D467ED"/>
    <w:rsid w:val="00D46F99"/>
    <w:rsid w:val="00D47575"/>
    <w:rsid w:val="00D47693"/>
    <w:rsid w:val="00D4769E"/>
    <w:rsid w:val="00D4799C"/>
    <w:rsid w:val="00D47BA0"/>
    <w:rsid w:val="00D47EBB"/>
    <w:rsid w:val="00D47FE7"/>
    <w:rsid w:val="00D507AB"/>
    <w:rsid w:val="00D51FF6"/>
    <w:rsid w:val="00D5243B"/>
    <w:rsid w:val="00D52B88"/>
    <w:rsid w:val="00D533EC"/>
    <w:rsid w:val="00D53662"/>
    <w:rsid w:val="00D539A1"/>
    <w:rsid w:val="00D53A6D"/>
    <w:rsid w:val="00D53BF3"/>
    <w:rsid w:val="00D54880"/>
    <w:rsid w:val="00D54B2E"/>
    <w:rsid w:val="00D54CC8"/>
    <w:rsid w:val="00D54EDB"/>
    <w:rsid w:val="00D55116"/>
    <w:rsid w:val="00D555C4"/>
    <w:rsid w:val="00D55712"/>
    <w:rsid w:val="00D55CF4"/>
    <w:rsid w:val="00D56332"/>
    <w:rsid w:val="00D56398"/>
    <w:rsid w:val="00D56802"/>
    <w:rsid w:val="00D56903"/>
    <w:rsid w:val="00D56A4C"/>
    <w:rsid w:val="00D56A95"/>
    <w:rsid w:val="00D5759D"/>
    <w:rsid w:val="00D6076E"/>
    <w:rsid w:val="00D60DCF"/>
    <w:rsid w:val="00D61268"/>
    <w:rsid w:val="00D61438"/>
    <w:rsid w:val="00D621BF"/>
    <w:rsid w:val="00D6222E"/>
    <w:rsid w:val="00D62452"/>
    <w:rsid w:val="00D62998"/>
    <w:rsid w:val="00D62CD0"/>
    <w:rsid w:val="00D63678"/>
    <w:rsid w:val="00D636A4"/>
    <w:rsid w:val="00D639A1"/>
    <w:rsid w:val="00D644B3"/>
    <w:rsid w:val="00D6482B"/>
    <w:rsid w:val="00D6482F"/>
    <w:rsid w:val="00D64BE8"/>
    <w:rsid w:val="00D64DE3"/>
    <w:rsid w:val="00D6530C"/>
    <w:rsid w:val="00D65AF3"/>
    <w:rsid w:val="00D65D96"/>
    <w:rsid w:val="00D66408"/>
    <w:rsid w:val="00D66679"/>
    <w:rsid w:val="00D66FAD"/>
    <w:rsid w:val="00D672A3"/>
    <w:rsid w:val="00D6763F"/>
    <w:rsid w:val="00D677FB"/>
    <w:rsid w:val="00D67A6B"/>
    <w:rsid w:val="00D67AFF"/>
    <w:rsid w:val="00D70548"/>
    <w:rsid w:val="00D70897"/>
    <w:rsid w:val="00D70940"/>
    <w:rsid w:val="00D7094A"/>
    <w:rsid w:val="00D70B1B"/>
    <w:rsid w:val="00D70DCA"/>
    <w:rsid w:val="00D70EED"/>
    <w:rsid w:val="00D70F16"/>
    <w:rsid w:val="00D718B1"/>
    <w:rsid w:val="00D71A8B"/>
    <w:rsid w:val="00D71DE8"/>
    <w:rsid w:val="00D72147"/>
    <w:rsid w:val="00D72617"/>
    <w:rsid w:val="00D726B9"/>
    <w:rsid w:val="00D7287E"/>
    <w:rsid w:val="00D72F57"/>
    <w:rsid w:val="00D73012"/>
    <w:rsid w:val="00D73B6A"/>
    <w:rsid w:val="00D73CE5"/>
    <w:rsid w:val="00D73E9B"/>
    <w:rsid w:val="00D74396"/>
    <w:rsid w:val="00D74470"/>
    <w:rsid w:val="00D7458D"/>
    <w:rsid w:val="00D746C5"/>
    <w:rsid w:val="00D74A2A"/>
    <w:rsid w:val="00D74D55"/>
    <w:rsid w:val="00D74EA0"/>
    <w:rsid w:val="00D75B9A"/>
    <w:rsid w:val="00D75C5A"/>
    <w:rsid w:val="00D76203"/>
    <w:rsid w:val="00D76509"/>
    <w:rsid w:val="00D76A44"/>
    <w:rsid w:val="00D76EB9"/>
    <w:rsid w:val="00D7706A"/>
    <w:rsid w:val="00D771AC"/>
    <w:rsid w:val="00D77784"/>
    <w:rsid w:val="00D77B46"/>
    <w:rsid w:val="00D77B74"/>
    <w:rsid w:val="00D77C0C"/>
    <w:rsid w:val="00D77EFB"/>
    <w:rsid w:val="00D8046E"/>
    <w:rsid w:val="00D806BD"/>
    <w:rsid w:val="00D80981"/>
    <w:rsid w:val="00D809D5"/>
    <w:rsid w:val="00D80BEC"/>
    <w:rsid w:val="00D81391"/>
    <w:rsid w:val="00D813BB"/>
    <w:rsid w:val="00D815EF"/>
    <w:rsid w:val="00D81949"/>
    <w:rsid w:val="00D819A6"/>
    <w:rsid w:val="00D81B25"/>
    <w:rsid w:val="00D81D1C"/>
    <w:rsid w:val="00D81E48"/>
    <w:rsid w:val="00D81F26"/>
    <w:rsid w:val="00D822E2"/>
    <w:rsid w:val="00D82822"/>
    <w:rsid w:val="00D82CA8"/>
    <w:rsid w:val="00D82D65"/>
    <w:rsid w:val="00D830A1"/>
    <w:rsid w:val="00D830AF"/>
    <w:rsid w:val="00D839C4"/>
    <w:rsid w:val="00D83C75"/>
    <w:rsid w:val="00D843F2"/>
    <w:rsid w:val="00D84C96"/>
    <w:rsid w:val="00D85D93"/>
    <w:rsid w:val="00D85DB4"/>
    <w:rsid w:val="00D85F24"/>
    <w:rsid w:val="00D860D2"/>
    <w:rsid w:val="00D86135"/>
    <w:rsid w:val="00D86231"/>
    <w:rsid w:val="00D862A4"/>
    <w:rsid w:val="00D8634D"/>
    <w:rsid w:val="00D86B24"/>
    <w:rsid w:val="00D86CC2"/>
    <w:rsid w:val="00D86D16"/>
    <w:rsid w:val="00D87EA7"/>
    <w:rsid w:val="00D905AF"/>
    <w:rsid w:val="00D90778"/>
    <w:rsid w:val="00D90E52"/>
    <w:rsid w:val="00D90F70"/>
    <w:rsid w:val="00D91006"/>
    <w:rsid w:val="00D910DB"/>
    <w:rsid w:val="00D912AB"/>
    <w:rsid w:val="00D91923"/>
    <w:rsid w:val="00D91924"/>
    <w:rsid w:val="00D91ABF"/>
    <w:rsid w:val="00D91BFF"/>
    <w:rsid w:val="00D91C95"/>
    <w:rsid w:val="00D91D6F"/>
    <w:rsid w:val="00D91D91"/>
    <w:rsid w:val="00D91D92"/>
    <w:rsid w:val="00D9220B"/>
    <w:rsid w:val="00D922C5"/>
    <w:rsid w:val="00D926E1"/>
    <w:rsid w:val="00D92860"/>
    <w:rsid w:val="00D92E5D"/>
    <w:rsid w:val="00D93029"/>
    <w:rsid w:val="00D93674"/>
    <w:rsid w:val="00D93753"/>
    <w:rsid w:val="00D93E30"/>
    <w:rsid w:val="00D93E54"/>
    <w:rsid w:val="00D93FEE"/>
    <w:rsid w:val="00D94143"/>
    <w:rsid w:val="00D9434C"/>
    <w:rsid w:val="00D948DA"/>
    <w:rsid w:val="00D94FC8"/>
    <w:rsid w:val="00D9524D"/>
    <w:rsid w:val="00D9589B"/>
    <w:rsid w:val="00D95EB6"/>
    <w:rsid w:val="00D9620B"/>
    <w:rsid w:val="00D97020"/>
    <w:rsid w:val="00D9726B"/>
    <w:rsid w:val="00D97906"/>
    <w:rsid w:val="00D97F46"/>
    <w:rsid w:val="00DA027E"/>
    <w:rsid w:val="00DA0456"/>
    <w:rsid w:val="00DA096E"/>
    <w:rsid w:val="00DA0A59"/>
    <w:rsid w:val="00DA0BD2"/>
    <w:rsid w:val="00DA157F"/>
    <w:rsid w:val="00DA1AD2"/>
    <w:rsid w:val="00DA1F65"/>
    <w:rsid w:val="00DA2110"/>
    <w:rsid w:val="00DA2A49"/>
    <w:rsid w:val="00DA2BF3"/>
    <w:rsid w:val="00DA2CBC"/>
    <w:rsid w:val="00DA3167"/>
    <w:rsid w:val="00DA3176"/>
    <w:rsid w:val="00DA3A72"/>
    <w:rsid w:val="00DA3AB1"/>
    <w:rsid w:val="00DA3AED"/>
    <w:rsid w:val="00DA46C8"/>
    <w:rsid w:val="00DA4A34"/>
    <w:rsid w:val="00DA4DC3"/>
    <w:rsid w:val="00DA566B"/>
    <w:rsid w:val="00DA612E"/>
    <w:rsid w:val="00DA6EA3"/>
    <w:rsid w:val="00DA7249"/>
    <w:rsid w:val="00DA756C"/>
    <w:rsid w:val="00DA77A5"/>
    <w:rsid w:val="00DA7888"/>
    <w:rsid w:val="00DA7BCC"/>
    <w:rsid w:val="00DA7D05"/>
    <w:rsid w:val="00DA7EC0"/>
    <w:rsid w:val="00DB0020"/>
    <w:rsid w:val="00DB0439"/>
    <w:rsid w:val="00DB0B96"/>
    <w:rsid w:val="00DB0E36"/>
    <w:rsid w:val="00DB1343"/>
    <w:rsid w:val="00DB16A7"/>
    <w:rsid w:val="00DB1BA8"/>
    <w:rsid w:val="00DB2894"/>
    <w:rsid w:val="00DB2AED"/>
    <w:rsid w:val="00DB3148"/>
    <w:rsid w:val="00DB3485"/>
    <w:rsid w:val="00DB3789"/>
    <w:rsid w:val="00DB39ED"/>
    <w:rsid w:val="00DB3DBF"/>
    <w:rsid w:val="00DB3DC9"/>
    <w:rsid w:val="00DB3F4A"/>
    <w:rsid w:val="00DB3F67"/>
    <w:rsid w:val="00DB43AE"/>
    <w:rsid w:val="00DB456E"/>
    <w:rsid w:val="00DB484F"/>
    <w:rsid w:val="00DB4F69"/>
    <w:rsid w:val="00DB516C"/>
    <w:rsid w:val="00DB5198"/>
    <w:rsid w:val="00DB5514"/>
    <w:rsid w:val="00DB5688"/>
    <w:rsid w:val="00DB572D"/>
    <w:rsid w:val="00DB5BDF"/>
    <w:rsid w:val="00DB5E6D"/>
    <w:rsid w:val="00DB6194"/>
    <w:rsid w:val="00DB696A"/>
    <w:rsid w:val="00DB6B8F"/>
    <w:rsid w:val="00DB775A"/>
    <w:rsid w:val="00DB7C18"/>
    <w:rsid w:val="00DC0222"/>
    <w:rsid w:val="00DC0295"/>
    <w:rsid w:val="00DC04F6"/>
    <w:rsid w:val="00DC0690"/>
    <w:rsid w:val="00DC07D6"/>
    <w:rsid w:val="00DC0C08"/>
    <w:rsid w:val="00DC0DCA"/>
    <w:rsid w:val="00DC115B"/>
    <w:rsid w:val="00DC13D3"/>
    <w:rsid w:val="00DC1454"/>
    <w:rsid w:val="00DC1476"/>
    <w:rsid w:val="00DC15FF"/>
    <w:rsid w:val="00DC19B7"/>
    <w:rsid w:val="00DC1D65"/>
    <w:rsid w:val="00DC1EF9"/>
    <w:rsid w:val="00DC2112"/>
    <w:rsid w:val="00DC23E4"/>
    <w:rsid w:val="00DC2675"/>
    <w:rsid w:val="00DC27C8"/>
    <w:rsid w:val="00DC2A49"/>
    <w:rsid w:val="00DC2CA3"/>
    <w:rsid w:val="00DC2F74"/>
    <w:rsid w:val="00DC32DC"/>
    <w:rsid w:val="00DC354B"/>
    <w:rsid w:val="00DC364E"/>
    <w:rsid w:val="00DC3B0A"/>
    <w:rsid w:val="00DC3B1D"/>
    <w:rsid w:val="00DC3C57"/>
    <w:rsid w:val="00DC3DF8"/>
    <w:rsid w:val="00DC5076"/>
    <w:rsid w:val="00DC54C6"/>
    <w:rsid w:val="00DC5501"/>
    <w:rsid w:val="00DC5C12"/>
    <w:rsid w:val="00DC5DE4"/>
    <w:rsid w:val="00DC5EDA"/>
    <w:rsid w:val="00DC6873"/>
    <w:rsid w:val="00DC6BDA"/>
    <w:rsid w:val="00DC6BFE"/>
    <w:rsid w:val="00DC7154"/>
    <w:rsid w:val="00DC7461"/>
    <w:rsid w:val="00DC774B"/>
    <w:rsid w:val="00DC7D5A"/>
    <w:rsid w:val="00DC7E8A"/>
    <w:rsid w:val="00DD004B"/>
    <w:rsid w:val="00DD07C0"/>
    <w:rsid w:val="00DD0C6D"/>
    <w:rsid w:val="00DD0F78"/>
    <w:rsid w:val="00DD0FD3"/>
    <w:rsid w:val="00DD13C2"/>
    <w:rsid w:val="00DD1657"/>
    <w:rsid w:val="00DD19DA"/>
    <w:rsid w:val="00DD1AB8"/>
    <w:rsid w:val="00DD1D66"/>
    <w:rsid w:val="00DD1E9E"/>
    <w:rsid w:val="00DD20F3"/>
    <w:rsid w:val="00DD2379"/>
    <w:rsid w:val="00DD2523"/>
    <w:rsid w:val="00DD25EF"/>
    <w:rsid w:val="00DD2669"/>
    <w:rsid w:val="00DD273C"/>
    <w:rsid w:val="00DD2919"/>
    <w:rsid w:val="00DD2C0D"/>
    <w:rsid w:val="00DD2F0C"/>
    <w:rsid w:val="00DD34A5"/>
    <w:rsid w:val="00DD38BB"/>
    <w:rsid w:val="00DD3AB1"/>
    <w:rsid w:val="00DD3BF2"/>
    <w:rsid w:val="00DD3D2D"/>
    <w:rsid w:val="00DD3F28"/>
    <w:rsid w:val="00DD416A"/>
    <w:rsid w:val="00DD41A5"/>
    <w:rsid w:val="00DD4241"/>
    <w:rsid w:val="00DD4446"/>
    <w:rsid w:val="00DD4537"/>
    <w:rsid w:val="00DD4C67"/>
    <w:rsid w:val="00DD4E15"/>
    <w:rsid w:val="00DD50B5"/>
    <w:rsid w:val="00DD5ED8"/>
    <w:rsid w:val="00DD6242"/>
    <w:rsid w:val="00DD63C9"/>
    <w:rsid w:val="00DD6E82"/>
    <w:rsid w:val="00DD7478"/>
    <w:rsid w:val="00DD7605"/>
    <w:rsid w:val="00DD7878"/>
    <w:rsid w:val="00DE0271"/>
    <w:rsid w:val="00DE074B"/>
    <w:rsid w:val="00DE086A"/>
    <w:rsid w:val="00DE0A60"/>
    <w:rsid w:val="00DE0C79"/>
    <w:rsid w:val="00DE0F98"/>
    <w:rsid w:val="00DE1200"/>
    <w:rsid w:val="00DE131E"/>
    <w:rsid w:val="00DE1391"/>
    <w:rsid w:val="00DE1655"/>
    <w:rsid w:val="00DE16A6"/>
    <w:rsid w:val="00DE17B2"/>
    <w:rsid w:val="00DE1C14"/>
    <w:rsid w:val="00DE1DD3"/>
    <w:rsid w:val="00DE213F"/>
    <w:rsid w:val="00DE2160"/>
    <w:rsid w:val="00DE2304"/>
    <w:rsid w:val="00DE305A"/>
    <w:rsid w:val="00DE3138"/>
    <w:rsid w:val="00DE37F8"/>
    <w:rsid w:val="00DE4108"/>
    <w:rsid w:val="00DE4273"/>
    <w:rsid w:val="00DE42AF"/>
    <w:rsid w:val="00DE4A97"/>
    <w:rsid w:val="00DE4B1C"/>
    <w:rsid w:val="00DE4FCB"/>
    <w:rsid w:val="00DE5339"/>
    <w:rsid w:val="00DE5622"/>
    <w:rsid w:val="00DE5D07"/>
    <w:rsid w:val="00DE6CA3"/>
    <w:rsid w:val="00DE7187"/>
    <w:rsid w:val="00DE7227"/>
    <w:rsid w:val="00DE72A7"/>
    <w:rsid w:val="00DE72C7"/>
    <w:rsid w:val="00DE77D6"/>
    <w:rsid w:val="00DE7832"/>
    <w:rsid w:val="00DE78DE"/>
    <w:rsid w:val="00DE7C87"/>
    <w:rsid w:val="00DE7E45"/>
    <w:rsid w:val="00DF047D"/>
    <w:rsid w:val="00DF0C2F"/>
    <w:rsid w:val="00DF1217"/>
    <w:rsid w:val="00DF13BA"/>
    <w:rsid w:val="00DF1537"/>
    <w:rsid w:val="00DF1712"/>
    <w:rsid w:val="00DF182E"/>
    <w:rsid w:val="00DF18FC"/>
    <w:rsid w:val="00DF1A57"/>
    <w:rsid w:val="00DF1D61"/>
    <w:rsid w:val="00DF1ED8"/>
    <w:rsid w:val="00DF2082"/>
    <w:rsid w:val="00DF269E"/>
    <w:rsid w:val="00DF2A37"/>
    <w:rsid w:val="00DF2FFB"/>
    <w:rsid w:val="00DF370D"/>
    <w:rsid w:val="00DF407E"/>
    <w:rsid w:val="00DF410B"/>
    <w:rsid w:val="00DF44C6"/>
    <w:rsid w:val="00DF4B66"/>
    <w:rsid w:val="00DF4BE9"/>
    <w:rsid w:val="00DF549A"/>
    <w:rsid w:val="00DF54C8"/>
    <w:rsid w:val="00DF5B6B"/>
    <w:rsid w:val="00DF5D2B"/>
    <w:rsid w:val="00DF5DA9"/>
    <w:rsid w:val="00DF6276"/>
    <w:rsid w:val="00DF6341"/>
    <w:rsid w:val="00DF701E"/>
    <w:rsid w:val="00DF7055"/>
    <w:rsid w:val="00DF7390"/>
    <w:rsid w:val="00DF73CD"/>
    <w:rsid w:val="00DF7817"/>
    <w:rsid w:val="00DF7D0F"/>
    <w:rsid w:val="00E004E0"/>
    <w:rsid w:val="00E006A5"/>
    <w:rsid w:val="00E00723"/>
    <w:rsid w:val="00E00AF7"/>
    <w:rsid w:val="00E00E8E"/>
    <w:rsid w:val="00E01DB0"/>
    <w:rsid w:val="00E01E91"/>
    <w:rsid w:val="00E020FD"/>
    <w:rsid w:val="00E023DC"/>
    <w:rsid w:val="00E0283A"/>
    <w:rsid w:val="00E028B6"/>
    <w:rsid w:val="00E02E83"/>
    <w:rsid w:val="00E02EBE"/>
    <w:rsid w:val="00E03070"/>
    <w:rsid w:val="00E03849"/>
    <w:rsid w:val="00E03A18"/>
    <w:rsid w:val="00E03AC4"/>
    <w:rsid w:val="00E03BE0"/>
    <w:rsid w:val="00E0419C"/>
    <w:rsid w:val="00E0466A"/>
    <w:rsid w:val="00E04E2A"/>
    <w:rsid w:val="00E05104"/>
    <w:rsid w:val="00E05630"/>
    <w:rsid w:val="00E056A5"/>
    <w:rsid w:val="00E05971"/>
    <w:rsid w:val="00E05E36"/>
    <w:rsid w:val="00E05FAC"/>
    <w:rsid w:val="00E06426"/>
    <w:rsid w:val="00E06916"/>
    <w:rsid w:val="00E06A72"/>
    <w:rsid w:val="00E06C76"/>
    <w:rsid w:val="00E06DBB"/>
    <w:rsid w:val="00E077C2"/>
    <w:rsid w:val="00E077F8"/>
    <w:rsid w:val="00E079D3"/>
    <w:rsid w:val="00E10149"/>
    <w:rsid w:val="00E10CF7"/>
    <w:rsid w:val="00E110AB"/>
    <w:rsid w:val="00E11340"/>
    <w:rsid w:val="00E116CD"/>
    <w:rsid w:val="00E11F9C"/>
    <w:rsid w:val="00E122A1"/>
    <w:rsid w:val="00E12564"/>
    <w:rsid w:val="00E12BBA"/>
    <w:rsid w:val="00E12C70"/>
    <w:rsid w:val="00E12D6B"/>
    <w:rsid w:val="00E13DEA"/>
    <w:rsid w:val="00E14194"/>
    <w:rsid w:val="00E14952"/>
    <w:rsid w:val="00E14BB5"/>
    <w:rsid w:val="00E14D1D"/>
    <w:rsid w:val="00E1508C"/>
    <w:rsid w:val="00E15385"/>
    <w:rsid w:val="00E15A78"/>
    <w:rsid w:val="00E160D3"/>
    <w:rsid w:val="00E16372"/>
    <w:rsid w:val="00E16373"/>
    <w:rsid w:val="00E16AD8"/>
    <w:rsid w:val="00E16B2C"/>
    <w:rsid w:val="00E173FC"/>
    <w:rsid w:val="00E17497"/>
    <w:rsid w:val="00E17503"/>
    <w:rsid w:val="00E17978"/>
    <w:rsid w:val="00E17D18"/>
    <w:rsid w:val="00E17FFA"/>
    <w:rsid w:val="00E20068"/>
    <w:rsid w:val="00E20593"/>
    <w:rsid w:val="00E208AC"/>
    <w:rsid w:val="00E2097D"/>
    <w:rsid w:val="00E20C71"/>
    <w:rsid w:val="00E20D80"/>
    <w:rsid w:val="00E20E4D"/>
    <w:rsid w:val="00E20ED6"/>
    <w:rsid w:val="00E2117D"/>
    <w:rsid w:val="00E21358"/>
    <w:rsid w:val="00E2150A"/>
    <w:rsid w:val="00E21A88"/>
    <w:rsid w:val="00E2249B"/>
    <w:rsid w:val="00E22A0D"/>
    <w:rsid w:val="00E2330C"/>
    <w:rsid w:val="00E2342D"/>
    <w:rsid w:val="00E234DA"/>
    <w:rsid w:val="00E238F2"/>
    <w:rsid w:val="00E23990"/>
    <w:rsid w:val="00E241E7"/>
    <w:rsid w:val="00E244F6"/>
    <w:rsid w:val="00E24722"/>
    <w:rsid w:val="00E24D3B"/>
    <w:rsid w:val="00E24D98"/>
    <w:rsid w:val="00E24E79"/>
    <w:rsid w:val="00E2573C"/>
    <w:rsid w:val="00E258DB"/>
    <w:rsid w:val="00E261E6"/>
    <w:rsid w:val="00E2641F"/>
    <w:rsid w:val="00E26B83"/>
    <w:rsid w:val="00E26C1D"/>
    <w:rsid w:val="00E26ED6"/>
    <w:rsid w:val="00E27289"/>
    <w:rsid w:val="00E274FB"/>
    <w:rsid w:val="00E2771E"/>
    <w:rsid w:val="00E27AC9"/>
    <w:rsid w:val="00E27B85"/>
    <w:rsid w:val="00E27DF8"/>
    <w:rsid w:val="00E27FBB"/>
    <w:rsid w:val="00E30847"/>
    <w:rsid w:val="00E30999"/>
    <w:rsid w:val="00E311EF"/>
    <w:rsid w:val="00E3188B"/>
    <w:rsid w:val="00E318F3"/>
    <w:rsid w:val="00E31A07"/>
    <w:rsid w:val="00E31F83"/>
    <w:rsid w:val="00E32180"/>
    <w:rsid w:val="00E326D7"/>
    <w:rsid w:val="00E32A1E"/>
    <w:rsid w:val="00E32C10"/>
    <w:rsid w:val="00E331C3"/>
    <w:rsid w:val="00E33E49"/>
    <w:rsid w:val="00E34203"/>
    <w:rsid w:val="00E344F9"/>
    <w:rsid w:val="00E3463B"/>
    <w:rsid w:val="00E346A2"/>
    <w:rsid w:val="00E3478F"/>
    <w:rsid w:val="00E34948"/>
    <w:rsid w:val="00E34952"/>
    <w:rsid w:val="00E34C62"/>
    <w:rsid w:val="00E3545E"/>
    <w:rsid w:val="00E35D14"/>
    <w:rsid w:val="00E364BE"/>
    <w:rsid w:val="00E36D71"/>
    <w:rsid w:val="00E372EC"/>
    <w:rsid w:val="00E37569"/>
    <w:rsid w:val="00E37780"/>
    <w:rsid w:val="00E37801"/>
    <w:rsid w:val="00E401B2"/>
    <w:rsid w:val="00E407EC"/>
    <w:rsid w:val="00E41643"/>
    <w:rsid w:val="00E418A9"/>
    <w:rsid w:val="00E41B5F"/>
    <w:rsid w:val="00E41E30"/>
    <w:rsid w:val="00E41FAC"/>
    <w:rsid w:val="00E42299"/>
    <w:rsid w:val="00E42351"/>
    <w:rsid w:val="00E42532"/>
    <w:rsid w:val="00E42D8B"/>
    <w:rsid w:val="00E42F73"/>
    <w:rsid w:val="00E42FC7"/>
    <w:rsid w:val="00E435B3"/>
    <w:rsid w:val="00E43D70"/>
    <w:rsid w:val="00E4413E"/>
    <w:rsid w:val="00E44219"/>
    <w:rsid w:val="00E44827"/>
    <w:rsid w:val="00E44C26"/>
    <w:rsid w:val="00E44DE1"/>
    <w:rsid w:val="00E4506D"/>
    <w:rsid w:val="00E45431"/>
    <w:rsid w:val="00E457EC"/>
    <w:rsid w:val="00E461E6"/>
    <w:rsid w:val="00E46247"/>
    <w:rsid w:val="00E46265"/>
    <w:rsid w:val="00E466F3"/>
    <w:rsid w:val="00E46888"/>
    <w:rsid w:val="00E468C8"/>
    <w:rsid w:val="00E46FBC"/>
    <w:rsid w:val="00E47B2C"/>
    <w:rsid w:val="00E47BAE"/>
    <w:rsid w:val="00E50487"/>
    <w:rsid w:val="00E5050F"/>
    <w:rsid w:val="00E50B65"/>
    <w:rsid w:val="00E51379"/>
    <w:rsid w:val="00E51560"/>
    <w:rsid w:val="00E51700"/>
    <w:rsid w:val="00E51821"/>
    <w:rsid w:val="00E51D01"/>
    <w:rsid w:val="00E51E60"/>
    <w:rsid w:val="00E52226"/>
    <w:rsid w:val="00E52520"/>
    <w:rsid w:val="00E52D7B"/>
    <w:rsid w:val="00E53759"/>
    <w:rsid w:val="00E537F3"/>
    <w:rsid w:val="00E53FC8"/>
    <w:rsid w:val="00E5407A"/>
    <w:rsid w:val="00E54214"/>
    <w:rsid w:val="00E54347"/>
    <w:rsid w:val="00E54FEA"/>
    <w:rsid w:val="00E55424"/>
    <w:rsid w:val="00E554DB"/>
    <w:rsid w:val="00E55729"/>
    <w:rsid w:val="00E55915"/>
    <w:rsid w:val="00E55A35"/>
    <w:rsid w:val="00E55BB5"/>
    <w:rsid w:val="00E5646B"/>
    <w:rsid w:val="00E565F2"/>
    <w:rsid w:val="00E56970"/>
    <w:rsid w:val="00E56E0F"/>
    <w:rsid w:val="00E5704A"/>
    <w:rsid w:val="00E57055"/>
    <w:rsid w:val="00E574B7"/>
    <w:rsid w:val="00E579FA"/>
    <w:rsid w:val="00E57A87"/>
    <w:rsid w:val="00E57B45"/>
    <w:rsid w:val="00E604C3"/>
    <w:rsid w:val="00E60B5B"/>
    <w:rsid w:val="00E60D38"/>
    <w:rsid w:val="00E60DBB"/>
    <w:rsid w:val="00E60E94"/>
    <w:rsid w:val="00E60FEF"/>
    <w:rsid w:val="00E611DF"/>
    <w:rsid w:val="00E6142F"/>
    <w:rsid w:val="00E61629"/>
    <w:rsid w:val="00E6171F"/>
    <w:rsid w:val="00E618CB"/>
    <w:rsid w:val="00E619EE"/>
    <w:rsid w:val="00E61DA4"/>
    <w:rsid w:val="00E61E47"/>
    <w:rsid w:val="00E61EAF"/>
    <w:rsid w:val="00E6298D"/>
    <w:rsid w:val="00E62B01"/>
    <w:rsid w:val="00E632B9"/>
    <w:rsid w:val="00E63779"/>
    <w:rsid w:val="00E63888"/>
    <w:rsid w:val="00E64288"/>
    <w:rsid w:val="00E644E7"/>
    <w:rsid w:val="00E647C4"/>
    <w:rsid w:val="00E64CE7"/>
    <w:rsid w:val="00E65C82"/>
    <w:rsid w:val="00E65E79"/>
    <w:rsid w:val="00E65F37"/>
    <w:rsid w:val="00E66744"/>
    <w:rsid w:val="00E66BA2"/>
    <w:rsid w:val="00E67023"/>
    <w:rsid w:val="00E67084"/>
    <w:rsid w:val="00E67416"/>
    <w:rsid w:val="00E67474"/>
    <w:rsid w:val="00E67707"/>
    <w:rsid w:val="00E6773F"/>
    <w:rsid w:val="00E677A0"/>
    <w:rsid w:val="00E67976"/>
    <w:rsid w:val="00E67D2B"/>
    <w:rsid w:val="00E701F2"/>
    <w:rsid w:val="00E702EF"/>
    <w:rsid w:val="00E704B7"/>
    <w:rsid w:val="00E7062D"/>
    <w:rsid w:val="00E709A4"/>
    <w:rsid w:val="00E70C35"/>
    <w:rsid w:val="00E70DAB"/>
    <w:rsid w:val="00E71083"/>
    <w:rsid w:val="00E713EC"/>
    <w:rsid w:val="00E715DE"/>
    <w:rsid w:val="00E717B6"/>
    <w:rsid w:val="00E718B6"/>
    <w:rsid w:val="00E71A5A"/>
    <w:rsid w:val="00E71D41"/>
    <w:rsid w:val="00E7211E"/>
    <w:rsid w:val="00E723BA"/>
    <w:rsid w:val="00E72C3D"/>
    <w:rsid w:val="00E72DA2"/>
    <w:rsid w:val="00E73581"/>
    <w:rsid w:val="00E73B00"/>
    <w:rsid w:val="00E7436A"/>
    <w:rsid w:val="00E74DEA"/>
    <w:rsid w:val="00E75F4B"/>
    <w:rsid w:val="00E764B1"/>
    <w:rsid w:val="00E767CF"/>
    <w:rsid w:val="00E77935"/>
    <w:rsid w:val="00E77F08"/>
    <w:rsid w:val="00E77F8E"/>
    <w:rsid w:val="00E807F9"/>
    <w:rsid w:val="00E807FA"/>
    <w:rsid w:val="00E80C4B"/>
    <w:rsid w:val="00E80EAA"/>
    <w:rsid w:val="00E8193E"/>
    <w:rsid w:val="00E81A38"/>
    <w:rsid w:val="00E81B27"/>
    <w:rsid w:val="00E81BDE"/>
    <w:rsid w:val="00E823DC"/>
    <w:rsid w:val="00E8248D"/>
    <w:rsid w:val="00E82766"/>
    <w:rsid w:val="00E82EA8"/>
    <w:rsid w:val="00E833F7"/>
    <w:rsid w:val="00E837EC"/>
    <w:rsid w:val="00E83BDF"/>
    <w:rsid w:val="00E83DDC"/>
    <w:rsid w:val="00E83E94"/>
    <w:rsid w:val="00E8456C"/>
    <w:rsid w:val="00E84645"/>
    <w:rsid w:val="00E84AF0"/>
    <w:rsid w:val="00E84DB8"/>
    <w:rsid w:val="00E84FF0"/>
    <w:rsid w:val="00E8526E"/>
    <w:rsid w:val="00E855FA"/>
    <w:rsid w:val="00E858CF"/>
    <w:rsid w:val="00E85E91"/>
    <w:rsid w:val="00E861B9"/>
    <w:rsid w:val="00E86AEE"/>
    <w:rsid w:val="00E86B70"/>
    <w:rsid w:val="00E86BAC"/>
    <w:rsid w:val="00E86DE4"/>
    <w:rsid w:val="00E86FCC"/>
    <w:rsid w:val="00E87A1D"/>
    <w:rsid w:val="00E903AB"/>
    <w:rsid w:val="00E90476"/>
    <w:rsid w:val="00E90491"/>
    <w:rsid w:val="00E9094A"/>
    <w:rsid w:val="00E914F3"/>
    <w:rsid w:val="00E91675"/>
    <w:rsid w:val="00E91718"/>
    <w:rsid w:val="00E91A50"/>
    <w:rsid w:val="00E91D16"/>
    <w:rsid w:val="00E91D35"/>
    <w:rsid w:val="00E9240C"/>
    <w:rsid w:val="00E926A5"/>
    <w:rsid w:val="00E92ABC"/>
    <w:rsid w:val="00E92C07"/>
    <w:rsid w:val="00E92C24"/>
    <w:rsid w:val="00E92FED"/>
    <w:rsid w:val="00E94A0F"/>
    <w:rsid w:val="00E94CBF"/>
    <w:rsid w:val="00E9596D"/>
    <w:rsid w:val="00E962CC"/>
    <w:rsid w:val="00E96533"/>
    <w:rsid w:val="00E96889"/>
    <w:rsid w:val="00E96C04"/>
    <w:rsid w:val="00E97202"/>
    <w:rsid w:val="00E9724B"/>
    <w:rsid w:val="00E9730C"/>
    <w:rsid w:val="00E97434"/>
    <w:rsid w:val="00E9750D"/>
    <w:rsid w:val="00E97A1A"/>
    <w:rsid w:val="00EA0646"/>
    <w:rsid w:val="00EA0913"/>
    <w:rsid w:val="00EA0B41"/>
    <w:rsid w:val="00EA11B2"/>
    <w:rsid w:val="00EA13BD"/>
    <w:rsid w:val="00EA16C3"/>
    <w:rsid w:val="00EA17C3"/>
    <w:rsid w:val="00EA1A68"/>
    <w:rsid w:val="00EA1A86"/>
    <w:rsid w:val="00EA1C8F"/>
    <w:rsid w:val="00EA1D31"/>
    <w:rsid w:val="00EA1D67"/>
    <w:rsid w:val="00EA278E"/>
    <w:rsid w:val="00EA2B8A"/>
    <w:rsid w:val="00EA2CAA"/>
    <w:rsid w:val="00EA2F0F"/>
    <w:rsid w:val="00EA36F2"/>
    <w:rsid w:val="00EA383B"/>
    <w:rsid w:val="00EA3864"/>
    <w:rsid w:val="00EA3BC5"/>
    <w:rsid w:val="00EA3D3D"/>
    <w:rsid w:val="00EA42E5"/>
    <w:rsid w:val="00EA4588"/>
    <w:rsid w:val="00EA463F"/>
    <w:rsid w:val="00EA4A3E"/>
    <w:rsid w:val="00EA4B10"/>
    <w:rsid w:val="00EA50D6"/>
    <w:rsid w:val="00EA51EE"/>
    <w:rsid w:val="00EA5C1A"/>
    <w:rsid w:val="00EA5D84"/>
    <w:rsid w:val="00EA5F8B"/>
    <w:rsid w:val="00EA60B5"/>
    <w:rsid w:val="00EA658A"/>
    <w:rsid w:val="00EA68AA"/>
    <w:rsid w:val="00EA7048"/>
    <w:rsid w:val="00EA74FF"/>
    <w:rsid w:val="00EA7544"/>
    <w:rsid w:val="00EA75A6"/>
    <w:rsid w:val="00EA7F1C"/>
    <w:rsid w:val="00EA7F6B"/>
    <w:rsid w:val="00EB00EB"/>
    <w:rsid w:val="00EB0125"/>
    <w:rsid w:val="00EB08A6"/>
    <w:rsid w:val="00EB1554"/>
    <w:rsid w:val="00EB15B6"/>
    <w:rsid w:val="00EB1666"/>
    <w:rsid w:val="00EB183B"/>
    <w:rsid w:val="00EB19D2"/>
    <w:rsid w:val="00EB1A86"/>
    <w:rsid w:val="00EB1C2C"/>
    <w:rsid w:val="00EB1E42"/>
    <w:rsid w:val="00EB1EC6"/>
    <w:rsid w:val="00EB21A1"/>
    <w:rsid w:val="00EB2479"/>
    <w:rsid w:val="00EB262A"/>
    <w:rsid w:val="00EB2BE0"/>
    <w:rsid w:val="00EB3283"/>
    <w:rsid w:val="00EB37D0"/>
    <w:rsid w:val="00EB38AC"/>
    <w:rsid w:val="00EB3992"/>
    <w:rsid w:val="00EB3D06"/>
    <w:rsid w:val="00EB3D4F"/>
    <w:rsid w:val="00EB45B1"/>
    <w:rsid w:val="00EB45EC"/>
    <w:rsid w:val="00EB46BA"/>
    <w:rsid w:val="00EB47FC"/>
    <w:rsid w:val="00EB4916"/>
    <w:rsid w:val="00EB4DDB"/>
    <w:rsid w:val="00EB525E"/>
    <w:rsid w:val="00EB5C63"/>
    <w:rsid w:val="00EB5DF3"/>
    <w:rsid w:val="00EB5EEA"/>
    <w:rsid w:val="00EB60AE"/>
    <w:rsid w:val="00EB63D7"/>
    <w:rsid w:val="00EB6643"/>
    <w:rsid w:val="00EB6C86"/>
    <w:rsid w:val="00EB6DAC"/>
    <w:rsid w:val="00EB75D8"/>
    <w:rsid w:val="00EC005A"/>
    <w:rsid w:val="00EC00C9"/>
    <w:rsid w:val="00EC02E4"/>
    <w:rsid w:val="00EC05AB"/>
    <w:rsid w:val="00EC08EB"/>
    <w:rsid w:val="00EC0A61"/>
    <w:rsid w:val="00EC0DD9"/>
    <w:rsid w:val="00EC129B"/>
    <w:rsid w:val="00EC1354"/>
    <w:rsid w:val="00EC209C"/>
    <w:rsid w:val="00EC23F5"/>
    <w:rsid w:val="00EC2649"/>
    <w:rsid w:val="00EC288D"/>
    <w:rsid w:val="00EC31ED"/>
    <w:rsid w:val="00EC37B6"/>
    <w:rsid w:val="00EC38CE"/>
    <w:rsid w:val="00EC3B9E"/>
    <w:rsid w:val="00EC4842"/>
    <w:rsid w:val="00EC4D90"/>
    <w:rsid w:val="00EC51D6"/>
    <w:rsid w:val="00EC54C9"/>
    <w:rsid w:val="00EC56B0"/>
    <w:rsid w:val="00EC57B8"/>
    <w:rsid w:val="00EC5836"/>
    <w:rsid w:val="00EC5DF0"/>
    <w:rsid w:val="00EC5E56"/>
    <w:rsid w:val="00EC5E67"/>
    <w:rsid w:val="00EC5FF4"/>
    <w:rsid w:val="00EC6395"/>
    <w:rsid w:val="00EC688C"/>
    <w:rsid w:val="00EC68D9"/>
    <w:rsid w:val="00EC69AA"/>
    <w:rsid w:val="00EC6CD7"/>
    <w:rsid w:val="00EC704F"/>
    <w:rsid w:val="00EC794F"/>
    <w:rsid w:val="00EC7AF4"/>
    <w:rsid w:val="00EC7E24"/>
    <w:rsid w:val="00EC7FEF"/>
    <w:rsid w:val="00ED091D"/>
    <w:rsid w:val="00ED0BC7"/>
    <w:rsid w:val="00ED0E1B"/>
    <w:rsid w:val="00ED0E38"/>
    <w:rsid w:val="00ED0FC3"/>
    <w:rsid w:val="00ED12E3"/>
    <w:rsid w:val="00ED17D1"/>
    <w:rsid w:val="00ED1DE3"/>
    <w:rsid w:val="00ED1F8B"/>
    <w:rsid w:val="00ED1F9F"/>
    <w:rsid w:val="00ED1FF1"/>
    <w:rsid w:val="00ED2820"/>
    <w:rsid w:val="00ED36B7"/>
    <w:rsid w:val="00ED38FF"/>
    <w:rsid w:val="00ED3A92"/>
    <w:rsid w:val="00ED43B3"/>
    <w:rsid w:val="00ED454A"/>
    <w:rsid w:val="00ED462C"/>
    <w:rsid w:val="00ED46C6"/>
    <w:rsid w:val="00ED47F9"/>
    <w:rsid w:val="00ED4A43"/>
    <w:rsid w:val="00ED4B04"/>
    <w:rsid w:val="00ED51CB"/>
    <w:rsid w:val="00ED52BE"/>
    <w:rsid w:val="00ED57EA"/>
    <w:rsid w:val="00ED597D"/>
    <w:rsid w:val="00ED5BD4"/>
    <w:rsid w:val="00ED5CDA"/>
    <w:rsid w:val="00ED5E77"/>
    <w:rsid w:val="00ED633B"/>
    <w:rsid w:val="00ED736B"/>
    <w:rsid w:val="00ED73CD"/>
    <w:rsid w:val="00ED7713"/>
    <w:rsid w:val="00ED7CF4"/>
    <w:rsid w:val="00ED7D9A"/>
    <w:rsid w:val="00ED7EB1"/>
    <w:rsid w:val="00ED7EE5"/>
    <w:rsid w:val="00EE02EC"/>
    <w:rsid w:val="00EE07D3"/>
    <w:rsid w:val="00EE098E"/>
    <w:rsid w:val="00EE0EF4"/>
    <w:rsid w:val="00EE1567"/>
    <w:rsid w:val="00EE1609"/>
    <w:rsid w:val="00EE1996"/>
    <w:rsid w:val="00EE1B69"/>
    <w:rsid w:val="00EE1C01"/>
    <w:rsid w:val="00EE2221"/>
    <w:rsid w:val="00EE22AE"/>
    <w:rsid w:val="00EE22AF"/>
    <w:rsid w:val="00EE26AC"/>
    <w:rsid w:val="00EE2828"/>
    <w:rsid w:val="00EE286F"/>
    <w:rsid w:val="00EE2C5C"/>
    <w:rsid w:val="00EE3024"/>
    <w:rsid w:val="00EE334A"/>
    <w:rsid w:val="00EE349D"/>
    <w:rsid w:val="00EE3FF6"/>
    <w:rsid w:val="00EE4193"/>
    <w:rsid w:val="00EE45F3"/>
    <w:rsid w:val="00EE4D81"/>
    <w:rsid w:val="00EE5814"/>
    <w:rsid w:val="00EE584A"/>
    <w:rsid w:val="00EE5B11"/>
    <w:rsid w:val="00EE638C"/>
    <w:rsid w:val="00EE64A9"/>
    <w:rsid w:val="00EE7430"/>
    <w:rsid w:val="00EE7520"/>
    <w:rsid w:val="00EE78B1"/>
    <w:rsid w:val="00EF0171"/>
    <w:rsid w:val="00EF02F7"/>
    <w:rsid w:val="00EF0849"/>
    <w:rsid w:val="00EF0ADB"/>
    <w:rsid w:val="00EF0E0D"/>
    <w:rsid w:val="00EF10B1"/>
    <w:rsid w:val="00EF1401"/>
    <w:rsid w:val="00EF1653"/>
    <w:rsid w:val="00EF18BB"/>
    <w:rsid w:val="00EF1B25"/>
    <w:rsid w:val="00EF1DA0"/>
    <w:rsid w:val="00EF211C"/>
    <w:rsid w:val="00EF22C7"/>
    <w:rsid w:val="00EF22EA"/>
    <w:rsid w:val="00EF3738"/>
    <w:rsid w:val="00EF42FC"/>
    <w:rsid w:val="00EF45D2"/>
    <w:rsid w:val="00EF4747"/>
    <w:rsid w:val="00EF4BF8"/>
    <w:rsid w:val="00EF4F6F"/>
    <w:rsid w:val="00EF5242"/>
    <w:rsid w:val="00EF54B3"/>
    <w:rsid w:val="00EF5BA1"/>
    <w:rsid w:val="00EF612E"/>
    <w:rsid w:val="00EF692C"/>
    <w:rsid w:val="00EF71DF"/>
    <w:rsid w:val="00EF7416"/>
    <w:rsid w:val="00EF7E33"/>
    <w:rsid w:val="00EF7E5E"/>
    <w:rsid w:val="00F009B6"/>
    <w:rsid w:val="00F013A1"/>
    <w:rsid w:val="00F013DD"/>
    <w:rsid w:val="00F01981"/>
    <w:rsid w:val="00F0199A"/>
    <w:rsid w:val="00F01DEC"/>
    <w:rsid w:val="00F02142"/>
    <w:rsid w:val="00F02253"/>
    <w:rsid w:val="00F0236E"/>
    <w:rsid w:val="00F025AA"/>
    <w:rsid w:val="00F029F5"/>
    <w:rsid w:val="00F02DAE"/>
    <w:rsid w:val="00F034C8"/>
    <w:rsid w:val="00F03622"/>
    <w:rsid w:val="00F03AB3"/>
    <w:rsid w:val="00F03C2E"/>
    <w:rsid w:val="00F03C7E"/>
    <w:rsid w:val="00F042B8"/>
    <w:rsid w:val="00F044AF"/>
    <w:rsid w:val="00F044E8"/>
    <w:rsid w:val="00F04501"/>
    <w:rsid w:val="00F04A66"/>
    <w:rsid w:val="00F04B4B"/>
    <w:rsid w:val="00F0516C"/>
    <w:rsid w:val="00F054A9"/>
    <w:rsid w:val="00F05C13"/>
    <w:rsid w:val="00F05DFF"/>
    <w:rsid w:val="00F05ED2"/>
    <w:rsid w:val="00F05FF2"/>
    <w:rsid w:val="00F0628C"/>
    <w:rsid w:val="00F063C7"/>
    <w:rsid w:val="00F06530"/>
    <w:rsid w:val="00F067A2"/>
    <w:rsid w:val="00F0757C"/>
    <w:rsid w:val="00F076F9"/>
    <w:rsid w:val="00F078E8"/>
    <w:rsid w:val="00F07B9E"/>
    <w:rsid w:val="00F07CAF"/>
    <w:rsid w:val="00F1029D"/>
    <w:rsid w:val="00F103D3"/>
    <w:rsid w:val="00F104F4"/>
    <w:rsid w:val="00F106ED"/>
    <w:rsid w:val="00F109D4"/>
    <w:rsid w:val="00F1116F"/>
    <w:rsid w:val="00F11A5A"/>
    <w:rsid w:val="00F11E7E"/>
    <w:rsid w:val="00F11EEB"/>
    <w:rsid w:val="00F12391"/>
    <w:rsid w:val="00F1263A"/>
    <w:rsid w:val="00F126A7"/>
    <w:rsid w:val="00F12867"/>
    <w:rsid w:val="00F129DB"/>
    <w:rsid w:val="00F12FA5"/>
    <w:rsid w:val="00F13569"/>
    <w:rsid w:val="00F139C5"/>
    <w:rsid w:val="00F13F4C"/>
    <w:rsid w:val="00F143D7"/>
    <w:rsid w:val="00F148B6"/>
    <w:rsid w:val="00F14A48"/>
    <w:rsid w:val="00F14C58"/>
    <w:rsid w:val="00F14D12"/>
    <w:rsid w:val="00F15058"/>
    <w:rsid w:val="00F15B77"/>
    <w:rsid w:val="00F15CC9"/>
    <w:rsid w:val="00F15DDE"/>
    <w:rsid w:val="00F15E90"/>
    <w:rsid w:val="00F161D1"/>
    <w:rsid w:val="00F165F8"/>
    <w:rsid w:val="00F16701"/>
    <w:rsid w:val="00F16748"/>
    <w:rsid w:val="00F16913"/>
    <w:rsid w:val="00F16B23"/>
    <w:rsid w:val="00F16C81"/>
    <w:rsid w:val="00F16EA6"/>
    <w:rsid w:val="00F171C0"/>
    <w:rsid w:val="00F17897"/>
    <w:rsid w:val="00F204F3"/>
    <w:rsid w:val="00F20E0A"/>
    <w:rsid w:val="00F210B0"/>
    <w:rsid w:val="00F21236"/>
    <w:rsid w:val="00F2163C"/>
    <w:rsid w:val="00F22B10"/>
    <w:rsid w:val="00F22D7B"/>
    <w:rsid w:val="00F23509"/>
    <w:rsid w:val="00F23972"/>
    <w:rsid w:val="00F239DF"/>
    <w:rsid w:val="00F23E36"/>
    <w:rsid w:val="00F2408F"/>
    <w:rsid w:val="00F240FD"/>
    <w:rsid w:val="00F24498"/>
    <w:rsid w:val="00F246A2"/>
    <w:rsid w:val="00F246F2"/>
    <w:rsid w:val="00F24837"/>
    <w:rsid w:val="00F249C0"/>
    <w:rsid w:val="00F24A80"/>
    <w:rsid w:val="00F24ED8"/>
    <w:rsid w:val="00F25126"/>
    <w:rsid w:val="00F25340"/>
    <w:rsid w:val="00F25378"/>
    <w:rsid w:val="00F2575F"/>
    <w:rsid w:val="00F2595F"/>
    <w:rsid w:val="00F259B7"/>
    <w:rsid w:val="00F25EE8"/>
    <w:rsid w:val="00F25F01"/>
    <w:rsid w:val="00F2687F"/>
    <w:rsid w:val="00F26BDF"/>
    <w:rsid w:val="00F27122"/>
    <w:rsid w:val="00F27565"/>
    <w:rsid w:val="00F275F0"/>
    <w:rsid w:val="00F27951"/>
    <w:rsid w:val="00F27B6A"/>
    <w:rsid w:val="00F27DC6"/>
    <w:rsid w:val="00F27E9F"/>
    <w:rsid w:val="00F30320"/>
    <w:rsid w:val="00F30CFD"/>
    <w:rsid w:val="00F310B7"/>
    <w:rsid w:val="00F310D4"/>
    <w:rsid w:val="00F31595"/>
    <w:rsid w:val="00F31675"/>
    <w:rsid w:val="00F31857"/>
    <w:rsid w:val="00F318D7"/>
    <w:rsid w:val="00F31B54"/>
    <w:rsid w:val="00F31C46"/>
    <w:rsid w:val="00F31C54"/>
    <w:rsid w:val="00F31D5A"/>
    <w:rsid w:val="00F31E2C"/>
    <w:rsid w:val="00F32138"/>
    <w:rsid w:val="00F3233A"/>
    <w:rsid w:val="00F323D8"/>
    <w:rsid w:val="00F32491"/>
    <w:rsid w:val="00F3261D"/>
    <w:rsid w:val="00F327D5"/>
    <w:rsid w:val="00F32BAE"/>
    <w:rsid w:val="00F32F48"/>
    <w:rsid w:val="00F33351"/>
    <w:rsid w:val="00F33404"/>
    <w:rsid w:val="00F33751"/>
    <w:rsid w:val="00F33975"/>
    <w:rsid w:val="00F33DE9"/>
    <w:rsid w:val="00F34127"/>
    <w:rsid w:val="00F34533"/>
    <w:rsid w:val="00F34B9E"/>
    <w:rsid w:val="00F34E4A"/>
    <w:rsid w:val="00F34E52"/>
    <w:rsid w:val="00F3562D"/>
    <w:rsid w:val="00F35727"/>
    <w:rsid w:val="00F35E6D"/>
    <w:rsid w:val="00F3619A"/>
    <w:rsid w:val="00F36A3A"/>
    <w:rsid w:val="00F37003"/>
    <w:rsid w:val="00F370D0"/>
    <w:rsid w:val="00F37590"/>
    <w:rsid w:val="00F375AB"/>
    <w:rsid w:val="00F376F6"/>
    <w:rsid w:val="00F37BC0"/>
    <w:rsid w:val="00F37CBE"/>
    <w:rsid w:val="00F37E1F"/>
    <w:rsid w:val="00F37FCD"/>
    <w:rsid w:val="00F400A2"/>
    <w:rsid w:val="00F402A6"/>
    <w:rsid w:val="00F40388"/>
    <w:rsid w:val="00F4064D"/>
    <w:rsid w:val="00F40919"/>
    <w:rsid w:val="00F40AAA"/>
    <w:rsid w:val="00F40BA7"/>
    <w:rsid w:val="00F40F9D"/>
    <w:rsid w:val="00F41254"/>
    <w:rsid w:val="00F41ACD"/>
    <w:rsid w:val="00F4297D"/>
    <w:rsid w:val="00F42B4B"/>
    <w:rsid w:val="00F42D3F"/>
    <w:rsid w:val="00F43EAE"/>
    <w:rsid w:val="00F44086"/>
    <w:rsid w:val="00F442E1"/>
    <w:rsid w:val="00F44905"/>
    <w:rsid w:val="00F45112"/>
    <w:rsid w:val="00F453A1"/>
    <w:rsid w:val="00F4572C"/>
    <w:rsid w:val="00F45BE8"/>
    <w:rsid w:val="00F45C5C"/>
    <w:rsid w:val="00F45D7E"/>
    <w:rsid w:val="00F4635A"/>
    <w:rsid w:val="00F46530"/>
    <w:rsid w:val="00F46CB6"/>
    <w:rsid w:val="00F46E7A"/>
    <w:rsid w:val="00F47016"/>
    <w:rsid w:val="00F4756D"/>
    <w:rsid w:val="00F4797B"/>
    <w:rsid w:val="00F47DE8"/>
    <w:rsid w:val="00F505CA"/>
    <w:rsid w:val="00F50601"/>
    <w:rsid w:val="00F50802"/>
    <w:rsid w:val="00F50D67"/>
    <w:rsid w:val="00F52045"/>
    <w:rsid w:val="00F5226B"/>
    <w:rsid w:val="00F526F2"/>
    <w:rsid w:val="00F52830"/>
    <w:rsid w:val="00F52A4F"/>
    <w:rsid w:val="00F52B02"/>
    <w:rsid w:val="00F52E3E"/>
    <w:rsid w:val="00F530CC"/>
    <w:rsid w:val="00F531AE"/>
    <w:rsid w:val="00F53B34"/>
    <w:rsid w:val="00F53B41"/>
    <w:rsid w:val="00F53BFA"/>
    <w:rsid w:val="00F542C1"/>
    <w:rsid w:val="00F54304"/>
    <w:rsid w:val="00F54348"/>
    <w:rsid w:val="00F5457C"/>
    <w:rsid w:val="00F548FF"/>
    <w:rsid w:val="00F54F06"/>
    <w:rsid w:val="00F550E3"/>
    <w:rsid w:val="00F55A5C"/>
    <w:rsid w:val="00F55B55"/>
    <w:rsid w:val="00F55E73"/>
    <w:rsid w:val="00F55EDA"/>
    <w:rsid w:val="00F56C80"/>
    <w:rsid w:val="00F56E9C"/>
    <w:rsid w:val="00F56EE5"/>
    <w:rsid w:val="00F5702A"/>
    <w:rsid w:val="00F57285"/>
    <w:rsid w:val="00F579B9"/>
    <w:rsid w:val="00F57F5A"/>
    <w:rsid w:val="00F60092"/>
    <w:rsid w:val="00F60492"/>
    <w:rsid w:val="00F60497"/>
    <w:rsid w:val="00F60919"/>
    <w:rsid w:val="00F6145B"/>
    <w:rsid w:val="00F6170B"/>
    <w:rsid w:val="00F61B1E"/>
    <w:rsid w:val="00F61B7F"/>
    <w:rsid w:val="00F61C18"/>
    <w:rsid w:val="00F61E50"/>
    <w:rsid w:val="00F62146"/>
    <w:rsid w:val="00F621E6"/>
    <w:rsid w:val="00F62237"/>
    <w:rsid w:val="00F6248A"/>
    <w:rsid w:val="00F63225"/>
    <w:rsid w:val="00F634CD"/>
    <w:rsid w:val="00F6391F"/>
    <w:rsid w:val="00F63A59"/>
    <w:rsid w:val="00F63DB1"/>
    <w:rsid w:val="00F6440C"/>
    <w:rsid w:val="00F648B0"/>
    <w:rsid w:val="00F64950"/>
    <w:rsid w:val="00F649B0"/>
    <w:rsid w:val="00F650E2"/>
    <w:rsid w:val="00F65714"/>
    <w:rsid w:val="00F65A8A"/>
    <w:rsid w:val="00F65B31"/>
    <w:rsid w:val="00F65F4B"/>
    <w:rsid w:val="00F65FEA"/>
    <w:rsid w:val="00F662DB"/>
    <w:rsid w:val="00F6673E"/>
    <w:rsid w:val="00F6679D"/>
    <w:rsid w:val="00F66802"/>
    <w:rsid w:val="00F66CBD"/>
    <w:rsid w:val="00F6708F"/>
    <w:rsid w:val="00F6722B"/>
    <w:rsid w:val="00F674A7"/>
    <w:rsid w:val="00F675AB"/>
    <w:rsid w:val="00F679A0"/>
    <w:rsid w:val="00F679C0"/>
    <w:rsid w:val="00F67A69"/>
    <w:rsid w:val="00F67C6E"/>
    <w:rsid w:val="00F67FC9"/>
    <w:rsid w:val="00F701B1"/>
    <w:rsid w:val="00F703B3"/>
    <w:rsid w:val="00F70479"/>
    <w:rsid w:val="00F708C0"/>
    <w:rsid w:val="00F70965"/>
    <w:rsid w:val="00F70990"/>
    <w:rsid w:val="00F70BFF"/>
    <w:rsid w:val="00F70C9D"/>
    <w:rsid w:val="00F70E7A"/>
    <w:rsid w:val="00F70F0C"/>
    <w:rsid w:val="00F70FBE"/>
    <w:rsid w:val="00F71202"/>
    <w:rsid w:val="00F7154D"/>
    <w:rsid w:val="00F717BC"/>
    <w:rsid w:val="00F719B4"/>
    <w:rsid w:val="00F719DA"/>
    <w:rsid w:val="00F71F09"/>
    <w:rsid w:val="00F72120"/>
    <w:rsid w:val="00F72198"/>
    <w:rsid w:val="00F722F6"/>
    <w:rsid w:val="00F72350"/>
    <w:rsid w:val="00F724A6"/>
    <w:rsid w:val="00F728A3"/>
    <w:rsid w:val="00F72CC5"/>
    <w:rsid w:val="00F72DC0"/>
    <w:rsid w:val="00F73163"/>
    <w:rsid w:val="00F7317A"/>
    <w:rsid w:val="00F73449"/>
    <w:rsid w:val="00F7356D"/>
    <w:rsid w:val="00F7375D"/>
    <w:rsid w:val="00F737ED"/>
    <w:rsid w:val="00F73E08"/>
    <w:rsid w:val="00F74CD9"/>
    <w:rsid w:val="00F74E53"/>
    <w:rsid w:val="00F755B8"/>
    <w:rsid w:val="00F75854"/>
    <w:rsid w:val="00F75AA6"/>
    <w:rsid w:val="00F75C23"/>
    <w:rsid w:val="00F75E61"/>
    <w:rsid w:val="00F761CD"/>
    <w:rsid w:val="00F76A83"/>
    <w:rsid w:val="00F76EB4"/>
    <w:rsid w:val="00F800C7"/>
    <w:rsid w:val="00F80499"/>
    <w:rsid w:val="00F80A7B"/>
    <w:rsid w:val="00F80D91"/>
    <w:rsid w:val="00F80E5D"/>
    <w:rsid w:val="00F8135A"/>
    <w:rsid w:val="00F81550"/>
    <w:rsid w:val="00F81823"/>
    <w:rsid w:val="00F81914"/>
    <w:rsid w:val="00F819DE"/>
    <w:rsid w:val="00F81A2E"/>
    <w:rsid w:val="00F81AD5"/>
    <w:rsid w:val="00F81D7D"/>
    <w:rsid w:val="00F81E78"/>
    <w:rsid w:val="00F8206F"/>
    <w:rsid w:val="00F821AC"/>
    <w:rsid w:val="00F822B5"/>
    <w:rsid w:val="00F823C9"/>
    <w:rsid w:val="00F82859"/>
    <w:rsid w:val="00F828C3"/>
    <w:rsid w:val="00F829B9"/>
    <w:rsid w:val="00F83916"/>
    <w:rsid w:val="00F84255"/>
    <w:rsid w:val="00F851CE"/>
    <w:rsid w:val="00F8559F"/>
    <w:rsid w:val="00F85B4C"/>
    <w:rsid w:val="00F85CB8"/>
    <w:rsid w:val="00F86149"/>
    <w:rsid w:val="00F86277"/>
    <w:rsid w:val="00F862A5"/>
    <w:rsid w:val="00F86D4D"/>
    <w:rsid w:val="00F86EF3"/>
    <w:rsid w:val="00F871B9"/>
    <w:rsid w:val="00F872E4"/>
    <w:rsid w:val="00F8773B"/>
    <w:rsid w:val="00F87E80"/>
    <w:rsid w:val="00F87ED0"/>
    <w:rsid w:val="00F90593"/>
    <w:rsid w:val="00F90A7B"/>
    <w:rsid w:val="00F90EC6"/>
    <w:rsid w:val="00F90F45"/>
    <w:rsid w:val="00F91154"/>
    <w:rsid w:val="00F91219"/>
    <w:rsid w:val="00F91281"/>
    <w:rsid w:val="00F9148B"/>
    <w:rsid w:val="00F91705"/>
    <w:rsid w:val="00F92005"/>
    <w:rsid w:val="00F9208E"/>
    <w:rsid w:val="00F920C5"/>
    <w:rsid w:val="00F92444"/>
    <w:rsid w:val="00F9262E"/>
    <w:rsid w:val="00F932D5"/>
    <w:rsid w:val="00F9386E"/>
    <w:rsid w:val="00F9393E"/>
    <w:rsid w:val="00F9407B"/>
    <w:rsid w:val="00F945BA"/>
    <w:rsid w:val="00F94863"/>
    <w:rsid w:val="00F95385"/>
    <w:rsid w:val="00F95727"/>
    <w:rsid w:val="00F95C0F"/>
    <w:rsid w:val="00F960D8"/>
    <w:rsid w:val="00F96990"/>
    <w:rsid w:val="00F96FD0"/>
    <w:rsid w:val="00F976DB"/>
    <w:rsid w:val="00F97A78"/>
    <w:rsid w:val="00F97C56"/>
    <w:rsid w:val="00F97DDE"/>
    <w:rsid w:val="00F97FA8"/>
    <w:rsid w:val="00FA09C9"/>
    <w:rsid w:val="00FA0B20"/>
    <w:rsid w:val="00FA0D1D"/>
    <w:rsid w:val="00FA1422"/>
    <w:rsid w:val="00FA17CB"/>
    <w:rsid w:val="00FA1B6E"/>
    <w:rsid w:val="00FA1D91"/>
    <w:rsid w:val="00FA24E7"/>
    <w:rsid w:val="00FA3537"/>
    <w:rsid w:val="00FA3734"/>
    <w:rsid w:val="00FA3CC4"/>
    <w:rsid w:val="00FA3E1E"/>
    <w:rsid w:val="00FA4259"/>
    <w:rsid w:val="00FA42B9"/>
    <w:rsid w:val="00FA4738"/>
    <w:rsid w:val="00FA4971"/>
    <w:rsid w:val="00FA4A51"/>
    <w:rsid w:val="00FA4E13"/>
    <w:rsid w:val="00FA4F2D"/>
    <w:rsid w:val="00FA5153"/>
    <w:rsid w:val="00FA551E"/>
    <w:rsid w:val="00FA55B6"/>
    <w:rsid w:val="00FA5889"/>
    <w:rsid w:val="00FA58AC"/>
    <w:rsid w:val="00FA58BE"/>
    <w:rsid w:val="00FA5998"/>
    <w:rsid w:val="00FA5B53"/>
    <w:rsid w:val="00FA5C7E"/>
    <w:rsid w:val="00FA5CAB"/>
    <w:rsid w:val="00FA5E6A"/>
    <w:rsid w:val="00FA5EE6"/>
    <w:rsid w:val="00FA6055"/>
    <w:rsid w:val="00FA62EE"/>
    <w:rsid w:val="00FA6349"/>
    <w:rsid w:val="00FA6576"/>
    <w:rsid w:val="00FA6D43"/>
    <w:rsid w:val="00FA6D6B"/>
    <w:rsid w:val="00FA6EAF"/>
    <w:rsid w:val="00FA716B"/>
    <w:rsid w:val="00FA7228"/>
    <w:rsid w:val="00FA73EC"/>
    <w:rsid w:val="00FA7956"/>
    <w:rsid w:val="00FA7B27"/>
    <w:rsid w:val="00FA7BE8"/>
    <w:rsid w:val="00FA7DAB"/>
    <w:rsid w:val="00FB02FB"/>
    <w:rsid w:val="00FB0824"/>
    <w:rsid w:val="00FB14CD"/>
    <w:rsid w:val="00FB1C8A"/>
    <w:rsid w:val="00FB1DDD"/>
    <w:rsid w:val="00FB1ECD"/>
    <w:rsid w:val="00FB2417"/>
    <w:rsid w:val="00FB2865"/>
    <w:rsid w:val="00FB2ACD"/>
    <w:rsid w:val="00FB2E3A"/>
    <w:rsid w:val="00FB2FCB"/>
    <w:rsid w:val="00FB33A6"/>
    <w:rsid w:val="00FB3644"/>
    <w:rsid w:val="00FB3789"/>
    <w:rsid w:val="00FB3DBA"/>
    <w:rsid w:val="00FB4004"/>
    <w:rsid w:val="00FB45D4"/>
    <w:rsid w:val="00FB4C9C"/>
    <w:rsid w:val="00FB4EA5"/>
    <w:rsid w:val="00FB5696"/>
    <w:rsid w:val="00FB598A"/>
    <w:rsid w:val="00FB6553"/>
    <w:rsid w:val="00FB67CA"/>
    <w:rsid w:val="00FB69F5"/>
    <w:rsid w:val="00FB6A05"/>
    <w:rsid w:val="00FB6B28"/>
    <w:rsid w:val="00FB6CCA"/>
    <w:rsid w:val="00FB7205"/>
    <w:rsid w:val="00FB75DA"/>
    <w:rsid w:val="00FB790A"/>
    <w:rsid w:val="00FB7A2B"/>
    <w:rsid w:val="00FB7B7D"/>
    <w:rsid w:val="00FB7C55"/>
    <w:rsid w:val="00FB7CCD"/>
    <w:rsid w:val="00FB7CF4"/>
    <w:rsid w:val="00FB7D71"/>
    <w:rsid w:val="00FC06CA"/>
    <w:rsid w:val="00FC1074"/>
    <w:rsid w:val="00FC1884"/>
    <w:rsid w:val="00FC1A81"/>
    <w:rsid w:val="00FC1BA3"/>
    <w:rsid w:val="00FC1D30"/>
    <w:rsid w:val="00FC1EA5"/>
    <w:rsid w:val="00FC20B8"/>
    <w:rsid w:val="00FC2802"/>
    <w:rsid w:val="00FC2AAE"/>
    <w:rsid w:val="00FC2AB4"/>
    <w:rsid w:val="00FC2B4F"/>
    <w:rsid w:val="00FC31B3"/>
    <w:rsid w:val="00FC3336"/>
    <w:rsid w:val="00FC3440"/>
    <w:rsid w:val="00FC371D"/>
    <w:rsid w:val="00FC3729"/>
    <w:rsid w:val="00FC3A5A"/>
    <w:rsid w:val="00FC40B9"/>
    <w:rsid w:val="00FC411F"/>
    <w:rsid w:val="00FC4883"/>
    <w:rsid w:val="00FC4B90"/>
    <w:rsid w:val="00FC4FAB"/>
    <w:rsid w:val="00FC548A"/>
    <w:rsid w:val="00FC593D"/>
    <w:rsid w:val="00FC59C6"/>
    <w:rsid w:val="00FC5ED0"/>
    <w:rsid w:val="00FC5F0B"/>
    <w:rsid w:val="00FC5F4E"/>
    <w:rsid w:val="00FC622E"/>
    <w:rsid w:val="00FC6485"/>
    <w:rsid w:val="00FC6586"/>
    <w:rsid w:val="00FC6922"/>
    <w:rsid w:val="00FC6B5D"/>
    <w:rsid w:val="00FC73EA"/>
    <w:rsid w:val="00FC7874"/>
    <w:rsid w:val="00FC7B01"/>
    <w:rsid w:val="00FD0376"/>
    <w:rsid w:val="00FD0BA7"/>
    <w:rsid w:val="00FD1490"/>
    <w:rsid w:val="00FD1969"/>
    <w:rsid w:val="00FD1BEE"/>
    <w:rsid w:val="00FD1D77"/>
    <w:rsid w:val="00FD2100"/>
    <w:rsid w:val="00FD21BC"/>
    <w:rsid w:val="00FD26EB"/>
    <w:rsid w:val="00FD2D05"/>
    <w:rsid w:val="00FD2D96"/>
    <w:rsid w:val="00FD3796"/>
    <w:rsid w:val="00FD3A35"/>
    <w:rsid w:val="00FD3C7D"/>
    <w:rsid w:val="00FD436C"/>
    <w:rsid w:val="00FD446D"/>
    <w:rsid w:val="00FD4649"/>
    <w:rsid w:val="00FD4D04"/>
    <w:rsid w:val="00FD4ED6"/>
    <w:rsid w:val="00FD4F2C"/>
    <w:rsid w:val="00FD59FF"/>
    <w:rsid w:val="00FD6394"/>
    <w:rsid w:val="00FD6702"/>
    <w:rsid w:val="00FD712B"/>
    <w:rsid w:val="00FD716B"/>
    <w:rsid w:val="00FD7580"/>
    <w:rsid w:val="00FE01FB"/>
    <w:rsid w:val="00FE0914"/>
    <w:rsid w:val="00FE0AAE"/>
    <w:rsid w:val="00FE0DCD"/>
    <w:rsid w:val="00FE0E6C"/>
    <w:rsid w:val="00FE100F"/>
    <w:rsid w:val="00FE1309"/>
    <w:rsid w:val="00FE1469"/>
    <w:rsid w:val="00FE1824"/>
    <w:rsid w:val="00FE1CDC"/>
    <w:rsid w:val="00FE1D78"/>
    <w:rsid w:val="00FE26E2"/>
    <w:rsid w:val="00FE2B39"/>
    <w:rsid w:val="00FE2F02"/>
    <w:rsid w:val="00FE3112"/>
    <w:rsid w:val="00FE352E"/>
    <w:rsid w:val="00FE3703"/>
    <w:rsid w:val="00FE3B97"/>
    <w:rsid w:val="00FE3F9B"/>
    <w:rsid w:val="00FE43E5"/>
    <w:rsid w:val="00FE4581"/>
    <w:rsid w:val="00FE46FD"/>
    <w:rsid w:val="00FE4BD3"/>
    <w:rsid w:val="00FE565F"/>
    <w:rsid w:val="00FE5941"/>
    <w:rsid w:val="00FE5E97"/>
    <w:rsid w:val="00FE5FBA"/>
    <w:rsid w:val="00FE607A"/>
    <w:rsid w:val="00FE61A0"/>
    <w:rsid w:val="00FE68F0"/>
    <w:rsid w:val="00FE70C3"/>
    <w:rsid w:val="00FE7DC5"/>
    <w:rsid w:val="00FE7F8A"/>
    <w:rsid w:val="00FE7F96"/>
    <w:rsid w:val="00FF008E"/>
    <w:rsid w:val="00FF021A"/>
    <w:rsid w:val="00FF11E0"/>
    <w:rsid w:val="00FF1447"/>
    <w:rsid w:val="00FF1764"/>
    <w:rsid w:val="00FF1A8B"/>
    <w:rsid w:val="00FF1D08"/>
    <w:rsid w:val="00FF1EE2"/>
    <w:rsid w:val="00FF1F6D"/>
    <w:rsid w:val="00FF2653"/>
    <w:rsid w:val="00FF27BD"/>
    <w:rsid w:val="00FF29E4"/>
    <w:rsid w:val="00FF2AD9"/>
    <w:rsid w:val="00FF2B2D"/>
    <w:rsid w:val="00FF34E2"/>
    <w:rsid w:val="00FF359F"/>
    <w:rsid w:val="00FF36CB"/>
    <w:rsid w:val="00FF3917"/>
    <w:rsid w:val="00FF391F"/>
    <w:rsid w:val="00FF3DCF"/>
    <w:rsid w:val="00FF4203"/>
    <w:rsid w:val="00FF492C"/>
    <w:rsid w:val="00FF4A21"/>
    <w:rsid w:val="00FF4C4D"/>
    <w:rsid w:val="00FF53DB"/>
    <w:rsid w:val="00FF5AA3"/>
    <w:rsid w:val="00FF5AD8"/>
    <w:rsid w:val="00FF5D2F"/>
    <w:rsid w:val="00FF61AE"/>
    <w:rsid w:val="00FF62AA"/>
    <w:rsid w:val="00FF635B"/>
    <w:rsid w:val="00FF69C1"/>
    <w:rsid w:val="00FF7032"/>
    <w:rsid w:val="00FF71A5"/>
    <w:rsid w:val="00FF7405"/>
    <w:rsid w:val="00FF7452"/>
    <w:rsid w:val="00FF79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B5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96EAA"/>
    <w:pPr>
      <w:keepNext/>
      <w:spacing w:after="240"/>
      <w:outlineLvl w:val="2"/>
    </w:pPr>
    <w:rPr>
      <w:b/>
      <w:iCs/>
      <w:sz w:val="28"/>
    </w:rPr>
  </w:style>
  <w:style w:type="paragraph" w:styleId="ListParagraph">
    <w:name w:val="List Paragraph"/>
    <w:aliases w:val="BulletPoints,Numbered para,Footnote,Bullet point,List Paragraph1,List Paragraph11,Recommendation,ES Paragraph,PBAC ES Paragraph,PBAC normal points,Bullet List,Figure_name,Numbered Indented Text,Bullet- First level,List NUmber"/>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96EAA"/>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1"/>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065A77"/>
    <w:pPr>
      <w:keepNext/>
      <w:jc w:val="both"/>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065A77"/>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6A74CB"/>
    <w:rPr>
      <w:color w:val="0000FF" w:themeColor="hyperlink"/>
      <w:u w:val="single"/>
    </w:rPr>
  </w:style>
  <w:style w:type="paragraph" w:styleId="TOC4">
    <w:name w:val="toc 4"/>
    <w:basedOn w:val="Normal"/>
    <w:next w:val="Normal"/>
    <w:autoRedefine/>
    <w:uiPriority w:val="39"/>
    <w:unhideWhenUsed/>
    <w:rsid w:val="006A74C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A74C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A74C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A74CB"/>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A74CB"/>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A74CB"/>
    <w:pPr>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6A74CB"/>
    <w:rPr>
      <w:color w:val="605E5C"/>
      <w:shd w:val="clear" w:color="auto" w:fill="E1DFDD"/>
    </w:rPr>
  </w:style>
  <w:style w:type="paragraph" w:styleId="Header">
    <w:name w:val="header"/>
    <w:aliases w:val="Page Header,Header title,he=header,cntr/bld"/>
    <w:basedOn w:val="Normal"/>
    <w:link w:val="HeaderChar"/>
    <w:uiPriority w:val="99"/>
    <w:unhideWhenUsed/>
    <w:qFormat/>
    <w:rsid w:val="00BA261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A2618"/>
    <w:rPr>
      <w:rFonts w:ascii="Calibri" w:hAnsi="Calibri" w:cs="Arial"/>
      <w:sz w:val="24"/>
      <w:szCs w:val="24"/>
    </w:rPr>
  </w:style>
  <w:style w:type="paragraph" w:styleId="Footer">
    <w:name w:val="footer"/>
    <w:basedOn w:val="Normal"/>
    <w:link w:val="FooterChar"/>
    <w:uiPriority w:val="99"/>
    <w:unhideWhenUsed/>
    <w:rsid w:val="00BA2618"/>
    <w:pPr>
      <w:tabs>
        <w:tab w:val="center" w:pos="4513"/>
        <w:tab w:val="right" w:pos="9026"/>
      </w:tabs>
    </w:pPr>
  </w:style>
  <w:style w:type="character" w:customStyle="1" w:styleId="FooterChar">
    <w:name w:val="Footer Char"/>
    <w:basedOn w:val="DefaultParagraphFont"/>
    <w:link w:val="Footer"/>
    <w:uiPriority w:val="99"/>
    <w:rsid w:val="00BA2618"/>
    <w:rPr>
      <w:rFonts w:ascii="Calibri" w:hAnsi="Calibri" w:cs="Arial"/>
      <w:sz w:val="24"/>
      <w:szCs w:val="24"/>
    </w:rPr>
  </w:style>
  <w:style w:type="character" w:styleId="CommentReference">
    <w:name w:val="annotation reference"/>
    <w:basedOn w:val="DefaultParagraphFont"/>
    <w:unhideWhenUsed/>
    <w:rsid w:val="005B0644"/>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5B0644"/>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5B0644"/>
    <w:rPr>
      <w:rFonts w:ascii="Calibri" w:hAnsi="Calibri" w:cs="Arial"/>
    </w:rPr>
  </w:style>
  <w:style w:type="paragraph" w:styleId="CommentSubject">
    <w:name w:val="annotation subject"/>
    <w:basedOn w:val="CommentText"/>
    <w:next w:val="CommentText"/>
    <w:link w:val="CommentSubjectChar"/>
    <w:uiPriority w:val="99"/>
    <w:semiHidden/>
    <w:unhideWhenUsed/>
    <w:rsid w:val="005B0644"/>
    <w:rPr>
      <w:b/>
      <w:bCs/>
    </w:rPr>
  </w:style>
  <w:style w:type="character" w:customStyle="1" w:styleId="CommentSubjectChar">
    <w:name w:val="Comment Subject Char"/>
    <w:basedOn w:val="CommentTextChar"/>
    <w:link w:val="CommentSubject"/>
    <w:uiPriority w:val="99"/>
    <w:semiHidden/>
    <w:rsid w:val="005B0644"/>
    <w:rPr>
      <w:rFonts w:ascii="Calibri" w:hAnsi="Calibri" w:cs="Arial"/>
      <w:b/>
      <w:bCs/>
    </w:rPr>
  </w:style>
  <w:style w:type="paragraph" w:customStyle="1" w:styleId="PBACTabletext">
    <w:name w:val="PBAC Table text"/>
    <w:qFormat/>
    <w:rsid w:val="00967279"/>
    <w:pPr>
      <w:keepNext/>
      <w:keepLines/>
      <w:suppressLineNumbers/>
      <w:spacing w:after="20"/>
      <w:textboxTightWrap w:val="allLines"/>
    </w:pPr>
    <w:rPr>
      <w:rFonts w:ascii="Arial Narrow" w:hAnsi="Arial Narrow" w:cs="Arial"/>
      <w:szCs w:val="24"/>
      <w:lang w:eastAsia="en-GB"/>
    </w:rPr>
  </w:style>
  <w:style w:type="paragraph" w:customStyle="1" w:styleId="TableText">
    <w:name w:val="Table Text"/>
    <w:link w:val="TableTextChar"/>
    <w:qFormat/>
    <w:rsid w:val="002C284C"/>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2C284C"/>
    <w:rPr>
      <w:rFonts w:ascii="Arial Narrow" w:eastAsiaTheme="majorEastAsia" w:hAnsi="Arial Narrow" w:cstheme="majorBidi"/>
      <w:bCs/>
      <w:szCs w:val="24"/>
    </w:rPr>
  </w:style>
  <w:style w:type="character" w:styleId="PlaceholderText">
    <w:name w:val="Placeholder Text"/>
    <w:basedOn w:val="DefaultParagraphFont"/>
    <w:uiPriority w:val="99"/>
    <w:semiHidden/>
    <w:rsid w:val="009F0F95"/>
    <w:rPr>
      <w:color w:val="808080"/>
    </w:rPr>
  </w:style>
  <w:style w:type="paragraph" w:styleId="Caption">
    <w:name w:val="caption"/>
    <w:basedOn w:val="COMtablefigcaption"/>
    <w:next w:val="Normal"/>
    <w:unhideWhenUsed/>
    <w:rsid w:val="00885920"/>
  </w:style>
  <w:style w:type="paragraph" w:customStyle="1" w:styleId="PBACHeading1">
    <w:name w:val="PBAC Heading 1"/>
    <w:qFormat/>
    <w:rsid w:val="008D67DF"/>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8D67DF"/>
    <w:pPr>
      <w:spacing w:after="120"/>
      <w:ind w:left="720"/>
      <w:contextualSpacing/>
    </w:pPr>
    <w:rPr>
      <w:snapToGrid w:val="0"/>
    </w:rPr>
  </w:style>
  <w:style w:type="paragraph" w:styleId="Subtitle">
    <w:name w:val="Subtitle"/>
    <w:basedOn w:val="Normal"/>
    <w:link w:val="SubtitleChar"/>
    <w:qFormat/>
    <w:rsid w:val="00652BBA"/>
    <w:rPr>
      <w:rFonts w:ascii="Times New Roman" w:hAnsi="Times New Roman" w:cs="Times New Roman"/>
      <w:b/>
      <w:szCs w:val="20"/>
    </w:rPr>
  </w:style>
  <w:style w:type="character" w:customStyle="1" w:styleId="SubtitleChar">
    <w:name w:val="Subtitle Char"/>
    <w:basedOn w:val="DefaultParagraphFont"/>
    <w:link w:val="Subtitle"/>
    <w:rsid w:val="00652BBA"/>
    <w:rPr>
      <w:b/>
      <w:sz w:val="24"/>
    </w:rPr>
  </w:style>
  <w:style w:type="paragraph" w:styleId="NoSpacing">
    <w:name w:val="No Spacing"/>
    <w:uiPriority w:val="1"/>
    <w:qFormat/>
    <w:rsid w:val="009770E4"/>
    <w:rPr>
      <w:sz w:val="24"/>
      <w:szCs w:val="24"/>
      <w:lang w:eastAsia="en-US"/>
    </w:rPr>
  </w:style>
  <w:style w:type="paragraph" w:customStyle="1" w:styleId="2-SectionHeading">
    <w:name w:val="2-Section Heading"/>
    <w:qFormat/>
    <w:rsid w:val="009770E4"/>
    <w:pPr>
      <w:keepNext/>
      <w:spacing w:before="240" w:after="120"/>
      <w:outlineLvl w:val="1"/>
    </w:pPr>
    <w:rPr>
      <w:rFonts w:asciiTheme="minorHAnsi" w:hAnsiTheme="minorHAnsi" w:cs="Arial"/>
      <w:b/>
      <w:snapToGrid w:val="0"/>
      <w:sz w:val="32"/>
      <w:szCs w:val="32"/>
    </w:rPr>
  </w:style>
  <w:style w:type="paragraph" w:customStyle="1" w:styleId="3-SubsectionHeading">
    <w:name w:val="3-Subsection Heading"/>
    <w:basedOn w:val="Heading2"/>
    <w:next w:val="Normal"/>
    <w:link w:val="3-SubsectionHeadingChar"/>
    <w:qFormat/>
    <w:rsid w:val="009770E4"/>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770E4"/>
    <w:rPr>
      <w:rFonts w:asciiTheme="minorHAnsi" w:eastAsiaTheme="majorEastAsia" w:hAnsiTheme="minorHAnsi" w:cstheme="majorBidi"/>
      <w:b/>
      <w:i/>
      <w:spacing w:val="5"/>
      <w:kern w:val="28"/>
      <w:sz w:val="28"/>
      <w:szCs w:val="36"/>
      <w:lang w:eastAsia="en-US"/>
    </w:rPr>
  </w:style>
  <w:style w:type="paragraph" w:styleId="FootnoteText">
    <w:name w:val="footnote text"/>
    <w:basedOn w:val="Normal"/>
    <w:link w:val="FootnoteTextChar"/>
    <w:semiHidden/>
    <w:unhideWhenUsed/>
    <w:rsid w:val="007075C0"/>
    <w:rPr>
      <w:sz w:val="20"/>
      <w:szCs w:val="20"/>
    </w:rPr>
  </w:style>
  <w:style w:type="character" w:customStyle="1" w:styleId="FootnoteTextChar">
    <w:name w:val="Footnote Text Char"/>
    <w:basedOn w:val="DefaultParagraphFont"/>
    <w:link w:val="FootnoteText"/>
    <w:semiHidden/>
    <w:rsid w:val="007075C0"/>
    <w:rPr>
      <w:rFonts w:ascii="Calibri" w:hAnsi="Calibri" w:cs="Arial"/>
    </w:rPr>
  </w:style>
  <w:style w:type="character" w:styleId="FootnoteReference">
    <w:name w:val="footnote reference"/>
    <w:basedOn w:val="DefaultParagraphFont"/>
    <w:semiHidden/>
    <w:unhideWhenUsed/>
    <w:rsid w:val="007075C0"/>
    <w:rPr>
      <w:vertAlign w:val="superscript"/>
    </w:rPr>
  </w:style>
  <w:style w:type="paragraph" w:customStyle="1" w:styleId="PBACESText">
    <w:name w:val="PBAC ES Text"/>
    <w:basedOn w:val="Normal"/>
    <w:qFormat/>
    <w:rsid w:val="009A17DE"/>
    <w:pPr>
      <w:spacing w:before="60" w:after="160"/>
    </w:pPr>
    <w:rPr>
      <w:sz w:val="22"/>
      <w:lang w:eastAsia="en-GB"/>
    </w:rPr>
  </w:style>
  <w:style w:type="paragraph" w:styleId="NormalWeb">
    <w:name w:val="Normal (Web)"/>
    <w:basedOn w:val="Normal"/>
    <w:uiPriority w:val="99"/>
    <w:semiHidden/>
    <w:unhideWhenUsed/>
    <w:rsid w:val="00FE5941"/>
    <w:pPr>
      <w:spacing w:before="100" w:beforeAutospacing="1" w:after="100" w:afterAutospacing="1"/>
      <w:jc w:val="left"/>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694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795636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2680344">
      <w:bodyDiv w:val="1"/>
      <w:marLeft w:val="0"/>
      <w:marRight w:val="0"/>
      <w:marTop w:val="0"/>
      <w:marBottom w:val="0"/>
      <w:divBdr>
        <w:top w:val="none" w:sz="0" w:space="0" w:color="auto"/>
        <w:left w:val="none" w:sz="0" w:space="0" w:color="auto"/>
        <w:bottom w:val="none" w:sz="0" w:space="0" w:color="auto"/>
        <w:right w:val="none" w:sz="0" w:space="0" w:color="auto"/>
      </w:divBdr>
    </w:div>
    <w:div w:id="460273244">
      <w:bodyDiv w:val="1"/>
      <w:marLeft w:val="0"/>
      <w:marRight w:val="0"/>
      <w:marTop w:val="0"/>
      <w:marBottom w:val="0"/>
      <w:divBdr>
        <w:top w:val="none" w:sz="0" w:space="0" w:color="auto"/>
        <w:left w:val="none" w:sz="0" w:space="0" w:color="auto"/>
        <w:bottom w:val="none" w:sz="0" w:space="0" w:color="auto"/>
        <w:right w:val="none" w:sz="0" w:space="0" w:color="auto"/>
      </w:divBdr>
    </w:div>
    <w:div w:id="461848378">
      <w:bodyDiv w:val="1"/>
      <w:marLeft w:val="0"/>
      <w:marRight w:val="0"/>
      <w:marTop w:val="0"/>
      <w:marBottom w:val="0"/>
      <w:divBdr>
        <w:top w:val="none" w:sz="0" w:space="0" w:color="auto"/>
        <w:left w:val="none" w:sz="0" w:space="0" w:color="auto"/>
        <w:bottom w:val="none" w:sz="0" w:space="0" w:color="auto"/>
        <w:right w:val="none" w:sz="0" w:space="0" w:color="auto"/>
      </w:divBdr>
    </w:div>
    <w:div w:id="549077282">
      <w:bodyDiv w:val="1"/>
      <w:marLeft w:val="0"/>
      <w:marRight w:val="0"/>
      <w:marTop w:val="0"/>
      <w:marBottom w:val="0"/>
      <w:divBdr>
        <w:top w:val="none" w:sz="0" w:space="0" w:color="auto"/>
        <w:left w:val="none" w:sz="0" w:space="0" w:color="auto"/>
        <w:bottom w:val="none" w:sz="0" w:space="0" w:color="auto"/>
        <w:right w:val="none" w:sz="0" w:space="0" w:color="auto"/>
      </w:divBdr>
    </w:div>
    <w:div w:id="593559588">
      <w:bodyDiv w:val="1"/>
      <w:marLeft w:val="0"/>
      <w:marRight w:val="0"/>
      <w:marTop w:val="0"/>
      <w:marBottom w:val="0"/>
      <w:divBdr>
        <w:top w:val="none" w:sz="0" w:space="0" w:color="auto"/>
        <w:left w:val="none" w:sz="0" w:space="0" w:color="auto"/>
        <w:bottom w:val="none" w:sz="0" w:space="0" w:color="auto"/>
        <w:right w:val="none" w:sz="0" w:space="0" w:color="auto"/>
      </w:divBdr>
    </w:div>
    <w:div w:id="62088843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3147831">
      <w:bodyDiv w:val="1"/>
      <w:marLeft w:val="0"/>
      <w:marRight w:val="0"/>
      <w:marTop w:val="0"/>
      <w:marBottom w:val="0"/>
      <w:divBdr>
        <w:top w:val="none" w:sz="0" w:space="0" w:color="auto"/>
        <w:left w:val="none" w:sz="0" w:space="0" w:color="auto"/>
        <w:bottom w:val="none" w:sz="0" w:space="0" w:color="auto"/>
        <w:right w:val="none" w:sz="0" w:space="0" w:color="auto"/>
      </w:divBdr>
    </w:div>
    <w:div w:id="98161504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82374135">
      <w:bodyDiv w:val="1"/>
      <w:marLeft w:val="0"/>
      <w:marRight w:val="0"/>
      <w:marTop w:val="0"/>
      <w:marBottom w:val="0"/>
      <w:divBdr>
        <w:top w:val="none" w:sz="0" w:space="0" w:color="auto"/>
        <w:left w:val="none" w:sz="0" w:space="0" w:color="auto"/>
        <w:bottom w:val="none" w:sz="0" w:space="0" w:color="auto"/>
        <w:right w:val="none" w:sz="0" w:space="0" w:color="auto"/>
      </w:divBdr>
    </w:div>
    <w:div w:id="1384208492">
      <w:bodyDiv w:val="1"/>
      <w:marLeft w:val="0"/>
      <w:marRight w:val="0"/>
      <w:marTop w:val="0"/>
      <w:marBottom w:val="0"/>
      <w:divBdr>
        <w:top w:val="none" w:sz="0" w:space="0" w:color="auto"/>
        <w:left w:val="none" w:sz="0" w:space="0" w:color="auto"/>
        <w:bottom w:val="none" w:sz="0" w:space="0" w:color="auto"/>
        <w:right w:val="none" w:sz="0" w:space="0" w:color="auto"/>
      </w:divBdr>
      <w:divsChild>
        <w:div w:id="175389706">
          <w:marLeft w:val="360"/>
          <w:marRight w:val="0"/>
          <w:marTop w:val="200"/>
          <w:marBottom w:val="0"/>
          <w:divBdr>
            <w:top w:val="none" w:sz="0" w:space="0" w:color="auto"/>
            <w:left w:val="none" w:sz="0" w:space="0" w:color="auto"/>
            <w:bottom w:val="none" w:sz="0" w:space="0" w:color="auto"/>
            <w:right w:val="none" w:sz="0" w:space="0" w:color="auto"/>
          </w:divBdr>
        </w:div>
      </w:divsChild>
    </w:div>
    <w:div w:id="182612492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HPO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19697</Words>
  <Characters>112276</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2023-07-04T06:14:00Z</dcterms:created>
  <dcterms:modified xsi:type="dcterms:W3CDTF">2023-07-04T06:14:00Z</dcterms:modified>
</cp:coreProperties>
</file>