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17CBB487" w:rsidR="00B60939" w:rsidRPr="00043B14" w:rsidRDefault="00482D37" w:rsidP="00482D37">
      <w:pPr>
        <w:pStyle w:val="COMH1-non-numbered"/>
        <w:rPr>
          <w:sz w:val="36"/>
        </w:rPr>
      </w:pPr>
      <w:r w:rsidRPr="00043B14">
        <w:rPr>
          <w:sz w:val="36"/>
        </w:rPr>
        <w:t>7.07</w:t>
      </w:r>
      <w:r w:rsidR="00163F66" w:rsidRPr="00043B14">
        <w:rPr>
          <w:sz w:val="36"/>
        </w:rPr>
        <w:tab/>
      </w:r>
      <w:r w:rsidR="00D1643A" w:rsidRPr="00043B14">
        <w:rPr>
          <w:sz w:val="36"/>
        </w:rPr>
        <w:t>FINERENONE</w:t>
      </w:r>
      <w:r w:rsidR="00043B14">
        <w:rPr>
          <w:sz w:val="36"/>
        </w:rPr>
        <w:t>,</w:t>
      </w:r>
      <w:r w:rsidR="009B20C0">
        <w:rPr>
          <w:sz w:val="36"/>
        </w:rPr>
        <w:t xml:space="preserve"> </w:t>
      </w:r>
      <w:r w:rsidR="00163F66" w:rsidRPr="00043B14">
        <w:rPr>
          <w:sz w:val="36"/>
        </w:rPr>
        <w:br/>
      </w:r>
      <w:r w:rsidR="007515EA" w:rsidRPr="00043B14">
        <w:rPr>
          <w:sz w:val="36"/>
        </w:rPr>
        <w:t>T</w:t>
      </w:r>
      <w:r w:rsidR="009A2ECD" w:rsidRPr="00043B14">
        <w:rPr>
          <w:sz w:val="36"/>
        </w:rPr>
        <w:t>ablet</w:t>
      </w:r>
      <w:r w:rsidR="007515EA" w:rsidRPr="00043B14">
        <w:rPr>
          <w:sz w:val="36"/>
        </w:rPr>
        <w:t xml:space="preserve"> </w:t>
      </w:r>
      <w:r w:rsidR="009A2ECD" w:rsidRPr="00043B14">
        <w:rPr>
          <w:sz w:val="36"/>
        </w:rPr>
        <w:t xml:space="preserve">10 mg, </w:t>
      </w:r>
      <w:r w:rsidRPr="00043B14">
        <w:rPr>
          <w:sz w:val="36"/>
        </w:rPr>
        <w:t xml:space="preserve">Tablet </w:t>
      </w:r>
      <w:r w:rsidR="009A2ECD" w:rsidRPr="00043B14">
        <w:rPr>
          <w:sz w:val="36"/>
        </w:rPr>
        <w:t>20 mg</w:t>
      </w:r>
      <w:r w:rsidR="00163F66" w:rsidRPr="00043B14">
        <w:rPr>
          <w:sz w:val="36"/>
        </w:rPr>
        <w:t>,</w:t>
      </w:r>
      <w:r w:rsidR="00163F66" w:rsidRPr="00043B14">
        <w:rPr>
          <w:sz w:val="36"/>
        </w:rPr>
        <w:br/>
      </w:r>
      <w:r w:rsidR="007515EA" w:rsidRPr="00043B14">
        <w:rPr>
          <w:sz w:val="36"/>
        </w:rPr>
        <w:t>Kerendia</w:t>
      </w:r>
      <w:r w:rsidR="00B60939" w:rsidRPr="00043B14">
        <w:rPr>
          <w:sz w:val="36"/>
        </w:rPr>
        <w:t>®</w:t>
      </w:r>
      <w:r w:rsidR="004A6040" w:rsidRPr="00043B14">
        <w:rPr>
          <w:sz w:val="36"/>
        </w:rPr>
        <w:t>,</w:t>
      </w:r>
      <w:r w:rsidR="004A6040" w:rsidRPr="00043B14">
        <w:rPr>
          <w:sz w:val="36"/>
        </w:rPr>
        <w:br/>
      </w:r>
      <w:r w:rsidR="00A73E16" w:rsidRPr="00043B14">
        <w:rPr>
          <w:sz w:val="36"/>
        </w:rPr>
        <w:t>Bayer Australia Ltd</w:t>
      </w:r>
      <w:r w:rsidR="00B60939" w:rsidRPr="00043B14">
        <w:rPr>
          <w:sz w:val="36"/>
        </w:rPr>
        <w:t>.</w:t>
      </w:r>
    </w:p>
    <w:p w14:paraId="11C00795" w14:textId="3DFB6D23" w:rsidR="00B50DB8" w:rsidRPr="00407F2D" w:rsidRDefault="00B50DB8" w:rsidP="00F772E6">
      <w:pPr>
        <w:pStyle w:val="COMH1numbered"/>
      </w:pPr>
      <w:r w:rsidRPr="00407F2D">
        <w:t xml:space="preserve">Purpose of </w:t>
      </w:r>
      <w:r w:rsidR="00CD7193">
        <w:t>s</w:t>
      </w:r>
      <w:r w:rsidR="00BB3A45">
        <w:t>ubmission</w:t>
      </w:r>
    </w:p>
    <w:p w14:paraId="19414AA1" w14:textId="3A697934" w:rsidR="002C2775" w:rsidRPr="008B1757" w:rsidRDefault="006B25C2" w:rsidP="004E18E9">
      <w:pPr>
        <w:pStyle w:val="COMexecsumnumberedpara"/>
      </w:pPr>
      <w:r>
        <w:t>The</w:t>
      </w:r>
      <w:r w:rsidR="007170DA">
        <w:t xml:space="preserve"> </w:t>
      </w:r>
      <w:r w:rsidR="00571D84">
        <w:t xml:space="preserve">standard re-entry </w:t>
      </w:r>
      <w:r>
        <w:t>re</w:t>
      </w:r>
      <w:r w:rsidR="007170DA">
        <w:t xml:space="preserve">submission </w:t>
      </w:r>
      <w:r w:rsidR="00B9446A" w:rsidRPr="00B9446A">
        <w:t>request</w:t>
      </w:r>
      <w:r>
        <w:t>ed</w:t>
      </w:r>
      <w:r w:rsidR="00B9446A" w:rsidRPr="00B9446A">
        <w:t xml:space="preserve"> a General Schedule Authority Required (STREAMLINED) listing </w:t>
      </w:r>
      <w:r w:rsidR="00585671">
        <w:t xml:space="preserve">for finerenone </w:t>
      </w:r>
      <w:r w:rsidR="00B9446A" w:rsidRPr="00B9446A">
        <w:t>for the treatment of chronic kidney disease</w:t>
      </w:r>
      <w:r w:rsidR="008E1BD9">
        <w:t xml:space="preserve"> (CKD)</w:t>
      </w:r>
      <w:r w:rsidR="00B9446A" w:rsidRPr="00B9446A">
        <w:t xml:space="preserve"> in patients with type 2 diabetes mellitus</w:t>
      </w:r>
      <w:r w:rsidR="00571D84">
        <w:t xml:space="preserve"> (diabetic kidney disease; DKD)</w:t>
      </w:r>
      <w:r w:rsidR="00B9446A" w:rsidRPr="00B9446A">
        <w:t>.</w:t>
      </w:r>
      <w:r w:rsidR="008B1757" w:rsidRPr="00C527C7">
        <w:rPr>
          <w:color w:val="0066FF"/>
        </w:rPr>
        <w:t xml:space="preserve"> </w:t>
      </w:r>
    </w:p>
    <w:p w14:paraId="4E9FBCB5" w14:textId="24946BC7" w:rsidR="00C2778B" w:rsidRDefault="00812AC7" w:rsidP="004E18E9">
      <w:pPr>
        <w:pStyle w:val="COMexecsumnumberedpara"/>
      </w:pPr>
      <w:r w:rsidRPr="00B82732">
        <w:t>Listing was requested on the basis of a cost-effectiveness analysis versus standard care.</w:t>
      </w:r>
    </w:p>
    <w:p w14:paraId="3718DE61" w14:textId="49307562" w:rsidR="008B1757" w:rsidRDefault="00696EF9" w:rsidP="004A6040">
      <w:pPr>
        <w:pStyle w:val="COMtablefigcaption"/>
      </w:pPr>
      <w:r>
        <w:t xml:space="preserve">Table </w:t>
      </w:r>
      <w:r w:rsidR="005562EE">
        <w:fldChar w:fldCharType="begin"/>
      </w:r>
      <w:r w:rsidR="005562EE">
        <w:instrText xml:space="preserve"> SEQ Table \* ARABIC </w:instrText>
      </w:r>
      <w:r w:rsidR="005562EE">
        <w:fldChar w:fldCharType="separate"/>
      </w:r>
      <w:r w:rsidR="005562EE">
        <w:rPr>
          <w:noProof/>
        </w:rPr>
        <w:t>1</w:t>
      </w:r>
      <w:r w:rsidR="005562EE">
        <w:rPr>
          <w:noProof/>
        </w:rPr>
        <w:fldChar w:fldCharType="end"/>
      </w:r>
      <w:r>
        <w:t>:</w:t>
      </w:r>
      <w:r w:rsidR="00BC591F" w:rsidRPr="003C2DE2">
        <w:t xml:space="preserve"> </w:t>
      </w:r>
      <w:r w:rsidR="008B1757" w:rsidRPr="003C2DE2">
        <w:t>Key components of the clinical issue addressed by the submission</w:t>
      </w:r>
      <w:r w:rsidR="007170DA" w:rsidRPr="003C2DE2">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3"/>
      </w:tblGrid>
      <w:tr w:rsidR="00571D84" w:rsidRPr="00C623FC" w14:paraId="17203DD0" w14:textId="77777777" w:rsidTr="004D406C">
        <w:tc>
          <w:tcPr>
            <w:tcW w:w="1413" w:type="dxa"/>
            <w:vAlign w:val="center"/>
          </w:tcPr>
          <w:p w14:paraId="4B4FBDE9" w14:textId="77777777" w:rsidR="00571D84" w:rsidRPr="00C623FC" w:rsidRDefault="00571D84" w:rsidP="004D406C">
            <w:pPr>
              <w:pStyle w:val="Tableheadingrow"/>
              <w:rPr>
                <w:lang w:val="en-AU"/>
              </w:rPr>
            </w:pPr>
            <w:r w:rsidRPr="00C623FC">
              <w:rPr>
                <w:lang w:val="en-AU"/>
              </w:rPr>
              <w:t>Component</w:t>
            </w:r>
          </w:p>
        </w:tc>
        <w:tc>
          <w:tcPr>
            <w:tcW w:w="7743" w:type="dxa"/>
            <w:vAlign w:val="center"/>
          </w:tcPr>
          <w:p w14:paraId="4D3576ED" w14:textId="77777777" w:rsidR="00571D84" w:rsidRPr="00C623FC" w:rsidRDefault="00571D84" w:rsidP="004D406C">
            <w:pPr>
              <w:pStyle w:val="Tableheadingrow"/>
              <w:rPr>
                <w:lang w:val="en-AU"/>
              </w:rPr>
            </w:pPr>
            <w:r w:rsidRPr="00C623FC">
              <w:rPr>
                <w:lang w:val="en-AU"/>
              </w:rPr>
              <w:t>Description</w:t>
            </w:r>
          </w:p>
        </w:tc>
      </w:tr>
      <w:tr w:rsidR="00571D84" w:rsidRPr="00C623FC" w14:paraId="71E5BC5B" w14:textId="77777777" w:rsidTr="004D406C">
        <w:tc>
          <w:tcPr>
            <w:tcW w:w="1413" w:type="dxa"/>
            <w:vAlign w:val="center"/>
          </w:tcPr>
          <w:p w14:paraId="4AF014A0" w14:textId="77777777" w:rsidR="00571D84" w:rsidRPr="00C623FC" w:rsidRDefault="00571D84" w:rsidP="004D406C">
            <w:pPr>
              <w:pStyle w:val="TableText0"/>
            </w:pPr>
            <w:r w:rsidRPr="00C623FC">
              <w:t>Population</w:t>
            </w:r>
          </w:p>
        </w:tc>
        <w:tc>
          <w:tcPr>
            <w:tcW w:w="7743" w:type="dxa"/>
            <w:vAlign w:val="center"/>
          </w:tcPr>
          <w:p w14:paraId="77542393" w14:textId="77777777" w:rsidR="00571D84" w:rsidRPr="007C2209" w:rsidRDefault="00571D84" w:rsidP="004D406C">
            <w:pPr>
              <w:pStyle w:val="TableText0"/>
            </w:pPr>
            <w:r w:rsidRPr="007C2209">
              <w:t xml:space="preserve">Patients with chronic kidney disease </w:t>
            </w:r>
            <w:r>
              <w:t xml:space="preserve">(present for ≥ 3 months) and </w:t>
            </w:r>
            <w:r w:rsidRPr="007C2209">
              <w:t>type 2 diabetes mellitus</w:t>
            </w:r>
            <w:r>
              <w:t xml:space="preserve"> with </w:t>
            </w:r>
            <w:r w:rsidRPr="002B0A7A">
              <w:t xml:space="preserve">eGFR </w:t>
            </w:r>
            <w:r>
              <w:t>&gt; </w:t>
            </w:r>
            <w:r w:rsidRPr="002B0A7A">
              <w:t>25</w:t>
            </w:r>
            <w:r>
              <w:t> m</w:t>
            </w:r>
            <w:r w:rsidRPr="002B0A7A">
              <w:t>L/min/1.73</w:t>
            </w:r>
            <w:r>
              <w:t> m</w:t>
            </w:r>
            <w:r w:rsidRPr="002B0A7A">
              <w:rPr>
                <w:vertAlign w:val="superscript"/>
              </w:rPr>
              <w:t>2</w:t>
            </w:r>
            <w:r w:rsidRPr="002B0A7A">
              <w:t xml:space="preserve">, and UACR </w:t>
            </w:r>
            <w:r>
              <w:t>≥ </w:t>
            </w:r>
            <w:r w:rsidRPr="002B0A7A">
              <w:t>200</w:t>
            </w:r>
            <w:r>
              <w:t> m</w:t>
            </w:r>
            <w:r w:rsidRPr="002B0A7A">
              <w:t>g/g.</w:t>
            </w:r>
          </w:p>
        </w:tc>
      </w:tr>
      <w:tr w:rsidR="00571D84" w:rsidRPr="00C623FC" w14:paraId="75ABF04E" w14:textId="77777777" w:rsidTr="004D406C">
        <w:tc>
          <w:tcPr>
            <w:tcW w:w="1413" w:type="dxa"/>
            <w:vAlign w:val="center"/>
          </w:tcPr>
          <w:p w14:paraId="1577D5F0" w14:textId="77777777" w:rsidR="00571D84" w:rsidRPr="00C623FC" w:rsidRDefault="00571D84" w:rsidP="004D406C">
            <w:pPr>
              <w:pStyle w:val="TableText0"/>
            </w:pPr>
            <w:r w:rsidRPr="00C623FC">
              <w:t>Intervention</w:t>
            </w:r>
          </w:p>
        </w:tc>
        <w:tc>
          <w:tcPr>
            <w:tcW w:w="7743" w:type="dxa"/>
            <w:vAlign w:val="center"/>
          </w:tcPr>
          <w:p w14:paraId="31571ACD" w14:textId="77777777" w:rsidR="00571D84" w:rsidRPr="007C2209" w:rsidRDefault="00571D84" w:rsidP="004D406C">
            <w:pPr>
              <w:pStyle w:val="TableText0"/>
            </w:pPr>
            <w:r w:rsidRPr="007C2209">
              <w:t>Finerenone 10</w:t>
            </w:r>
            <w:r>
              <w:t> mg</w:t>
            </w:r>
            <w:r w:rsidRPr="007C2209">
              <w:t xml:space="preserve"> or 20</w:t>
            </w:r>
            <w:r>
              <w:t> mg</w:t>
            </w:r>
            <w:r w:rsidRPr="007C2209">
              <w:t xml:space="preserve"> oral tablets once daily, in combination with standard of care (S</w:t>
            </w:r>
            <w:r>
              <w:t>o</w:t>
            </w:r>
            <w:r w:rsidRPr="007C2209">
              <w:t>C)</w:t>
            </w:r>
            <w:r>
              <w:t>.</w:t>
            </w:r>
          </w:p>
        </w:tc>
      </w:tr>
      <w:tr w:rsidR="00571D84" w:rsidRPr="00C623FC" w14:paraId="63430AE5" w14:textId="77777777" w:rsidTr="004D406C">
        <w:tc>
          <w:tcPr>
            <w:tcW w:w="1413" w:type="dxa"/>
            <w:vAlign w:val="center"/>
          </w:tcPr>
          <w:p w14:paraId="602EC543" w14:textId="77777777" w:rsidR="00571D84" w:rsidRPr="00C623FC" w:rsidRDefault="00571D84" w:rsidP="004D406C">
            <w:pPr>
              <w:pStyle w:val="TableText0"/>
            </w:pPr>
            <w:r w:rsidRPr="00C623FC">
              <w:t>Comparator</w:t>
            </w:r>
          </w:p>
        </w:tc>
        <w:tc>
          <w:tcPr>
            <w:tcW w:w="7743" w:type="dxa"/>
            <w:vAlign w:val="center"/>
          </w:tcPr>
          <w:p w14:paraId="7D528EF3" w14:textId="77777777" w:rsidR="00571D84" w:rsidRPr="007C2209" w:rsidRDefault="00571D84" w:rsidP="004D406C">
            <w:pPr>
              <w:pStyle w:val="TableText0"/>
            </w:pPr>
            <w:r w:rsidRPr="007C2209">
              <w:t>Placebo in combination with S</w:t>
            </w:r>
            <w:r>
              <w:t>o</w:t>
            </w:r>
            <w:r w:rsidRPr="007C2209">
              <w:t xml:space="preserve">C, comprised of an angiotensin-converting enzyme inhibitor (ACEi) or angiotensin II receptor blocker (ARB), </w:t>
            </w:r>
            <w:r w:rsidRPr="00F74329">
              <w:rPr>
                <w:u w:val="single"/>
              </w:rPr>
              <w:t xml:space="preserve">and a </w:t>
            </w:r>
            <w:r w:rsidRPr="00F74329">
              <w:rPr>
                <w:rFonts w:cs="Calibri"/>
                <w:u w:val="single"/>
              </w:rPr>
              <w:t>sodium-glucose cotransporter-2 inhibitor (SGLT2i)</w:t>
            </w:r>
            <w:r w:rsidRPr="007C2209">
              <w:t xml:space="preserve"> unless contraindicated.</w:t>
            </w:r>
          </w:p>
        </w:tc>
      </w:tr>
      <w:tr w:rsidR="00571D84" w:rsidRPr="00C623FC" w14:paraId="1406C0D1" w14:textId="77777777" w:rsidTr="004D406C">
        <w:tc>
          <w:tcPr>
            <w:tcW w:w="1413" w:type="dxa"/>
            <w:vAlign w:val="center"/>
          </w:tcPr>
          <w:p w14:paraId="1E05CE88" w14:textId="77777777" w:rsidR="00571D84" w:rsidRPr="00C623FC" w:rsidRDefault="00571D84" w:rsidP="004D406C">
            <w:pPr>
              <w:pStyle w:val="TableText0"/>
            </w:pPr>
            <w:r w:rsidRPr="00C623FC">
              <w:t>Outcomes</w:t>
            </w:r>
          </w:p>
        </w:tc>
        <w:tc>
          <w:tcPr>
            <w:tcW w:w="7743" w:type="dxa"/>
          </w:tcPr>
          <w:p w14:paraId="5FD0FAFD" w14:textId="77777777" w:rsidR="00571D84" w:rsidRPr="007C2209" w:rsidRDefault="00571D84" w:rsidP="004D406C">
            <w:pPr>
              <w:pStyle w:val="PBACTabletext"/>
              <w:rPr>
                <w:rFonts w:ascii="Arial Narrow" w:hAnsi="Arial Narrow" w:cs="Calibri"/>
              </w:rPr>
            </w:pPr>
            <w:r>
              <w:rPr>
                <w:rFonts w:ascii="Arial Narrow" w:hAnsi="Arial Narrow" w:cs="Calibri"/>
              </w:rPr>
              <w:t>C</w:t>
            </w:r>
            <w:r w:rsidRPr="007C2209">
              <w:rPr>
                <w:rFonts w:ascii="Arial Narrow" w:hAnsi="Arial Narrow" w:cs="Calibri"/>
              </w:rPr>
              <w:t xml:space="preserve">omposite </w:t>
            </w:r>
            <w:r>
              <w:rPr>
                <w:rFonts w:ascii="Arial Narrow" w:hAnsi="Arial Narrow" w:cs="Calibri"/>
              </w:rPr>
              <w:t>outcome</w:t>
            </w:r>
            <w:r w:rsidRPr="007C2209">
              <w:rPr>
                <w:rFonts w:ascii="Arial Narrow" w:hAnsi="Arial Narrow" w:cs="Calibri"/>
              </w:rPr>
              <w:t xml:space="preserve"> of onset of kidney failure, sustained decrease of eGFR </w:t>
            </w:r>
            <w:r>
              <w:rPr>
                <w:rFonts w:ascii="Arial Narrow" w:hAnsi="Arial Narrow" w:cs="Calibri"/>
              </w:rPr>
              <w:t>≥ </w:t>
            </w:r>
            <w:r w:rsidRPr="007C2209">
              <w:rPr>
                <w:rFonts w:ascii="Arial Narrow" w:hAnsi="Arial Narrow" w:cs="Calibri"/>
              </w:rPr>
              <w:t>40% from baseline over at least 4 weeks, or renal death</w:t>
            </w:r>
            <w:r>
              <w:rPr>
                <w:rFonts w:ascii="Arial Narrow" w:hAnsi="Arial Narrow" w:cs="Calibri"/>
              </w:rPr>
              <w:t>.</w:t>
            </w:r>
          </w:p>
          <w:p w14:paraId="6F39B5F7" w14:textId="77777777" w:rsidR="00571D84" w:rsidRPr="007C2209" w:rsidRDefault="00571D84" w:rsidP="004D406C">
            <w:pPr>
              <w:pStyle w:val="TableText0"/>
            </w:pPr>
            <w:r>
              <w:rPr>
                <w:rFonts w:cs="Calibri"/>
              </w:rPr>
              <w:t>C</w:t>
            </w:r>
            <w:r w:rsidRPr="007C2209">
              <w:rPr>
                <w:rFonts w:cs="Calibri"/>
              </w:rPr>
              <w:t xml:space="preserve">omposite </w:t>
            </w:r>
            <w:r>
              <w:rPr>
                <w:rFonts w:cs="Calibri"/>
              </w:rPr>
              <w:t>outcome</w:t>
            </w:r>
            <w:r w:rsidRPr="007C2209">
              <w:rPr>
                <w:rFonts w:cs="Calibri"/>
              </w:rPr>
              <w:t xml:space="preserve"> of </w:t>
            </w:r>
            <w:r>
              <w:rPr>
                <w:rFonts w:cs="Calibri"/>
              </w:rPr>
              <w:t>cardiovascular</w:t>
            </w:r>
            <w:r w:rsidRPr="007C2209">
              <w:rPr>
                <w:rFonts w:cs="Calibri"/>
              </w:rPr>
              <w:t xml:space="preserve"> death, non-fatal </w:t>
            </w:r>
            <w:r>
              <w:rPr>
                <w:rFonts w:cs="Calibri"/>
              </w:rPr>
              <w:t>myocardial infarction</w:t>
            </w:r>
            <w:r w:rsidRPr="007C2209">
              <w:rPr>
                <w:rFonts w:cs="Calibri"/>
              </w:rPr>
              <w:t>, non-fatal stroke, or hospitalisation for heart failure.</w:t>
            </w:r>
          </w:p>
        </w:tc>
      </w:tr>
      <w:tr w:rsidR="00571D84" w:rsidRPr="00C623FC" w14:paraId="53C1911D" w14:textId="77777777" w:rsidTr="004D406C">
        <w:tc>
          <w:tcPr>
            <w:tcW w:w="1413" w:type="dxa"/>
            <w:vAlign w:val="center"/>
          </w:tcPr>
          <w:p w14:paraId="621FBD9B" w14:textId="77777777" w:rsidR="00571D84" w:rsidRPr="00C623FC" w:rsidRDefault="00571D84" w:rsidP="004D406C">
            <w:pPr>
              <w:pStyle w:val="TableText0"/>
            </w:pPr>
            <w:r w:rsidRPr="00C623FC">
              <w:t>Clinical claim</w:t>
            </w:r>
          </w:p>
        </w:tc>
        <w:tc>
          <w:tcPr>
            <w:tcW w:w="7743" w:type="dxa"/>
            <w:vAlign w:val="center"/>
          </w:tcPr>
          <w:p w14:paraId="76B9DF89" w14:textId="7D0D4A3F" w:rsidR="00571D84" w:rsidRPr="00C623FC" w:rsidRDefault="00571D84" w:rsidP="004D406C">
            <w:pPr>
              <w:pStyle w:val="TableText0"/>
            </w:pPr>
            <w:r w:rsidRPr="00C623FC">
              <w:t xml:space="preserve">Finerenone is superior in terms of efficacy and </w:t>
            </w:r>
            <w:r w:rsidRPr="005B1F11">
              <w:rPr>
                <w:u w:val="single"/>
              </w:rPr>
              <w:t>inferior in terms of safety</w:t>
            </w:r>
            <w:r w:rsidRPr="00C623FC">
              <w:t xml:space="preserve"> compared to placebo</w:t>
            </w:r>
            <w:r>
              <w:t xml:space="preserve"> in combination with </w:t>
            </w:r>
            <w:r w:rsidR="00F86458">
              <w:t>SoC</w:t>
            </w:r>
            <w:r>
              <w:t>.</w:t>
            </w:r>
          </w:p>
        </w:tc>
      </w:tr>
    </w:tbl>
    <w:p w14:paraId="43E8F999" w14:textId="77777777" w:rsidR="00571D84" w:rsidRPr="00594BB2" w:rsidRDefault="00571D84" w:rsidP="00571D84">
      <w:pPr>
        <w:pStyle w:val="TableFooter"/>
      </w:pPr>
      <w:r w:rsidRPr="00594BB2">
        <w:t>Source: Table 1</w:t>
      </w:r>
      <w:r>
        <w:t xml:space="preserve">3, </w:t>
      </w:r>
      <w:r w:rsidRPr="00594BB2">
        <w:t xml:space="preserve">p3 of the </w:t>
      </w:r>
      <w:r>
        <w:t>re</w:t>
      </w:r>
      <w:r w:rsidRPr="00594BB2">
        <w:t>submission</w:t>
      </w:r>
      <w:r>
        <w:t>.</w:t>
      </w:r>
    </w:p>
    <w:p w14:paraId="5BBC4A48" w14:textId="34AC6B55" w:rsidR="00571D84" w:rsidRPr="00594BB2" w:rsidRDefault="00571D84" w:rsidP="00571D84">
      <w:pPr>
        <w:pStyle w:val="TableFooter"/>
      </w:pPr>
      <w:r w:rsidRPr="00594BB2">
        <w:t>Abbreviations: ACEi, angiotensin-converting enzyme inhibitor; ARB, angiotensin II receptor blocker; eGFR, estimated glomerular filtration rate; S</w:t>
      </w:r>
      <w:r>
        <w:t>o</w:t>
      </w:r>
      <w:r w:rsidRPr="00594BB2">
        <w:t>C, standard of care; SGLT2i, sodium-glucose cotransporter-2 inhibitor</w:t>
      </w:r>
      <w:r w:rsidR="00482D37">
        <w:t xml:space="preserve">; UACR, </w:t>
      </w:r>
      <w:r w:rsidR="00482D37" w:rsidRPr="009C7A92">
        <w:rPr>
          <w:szCs w:val="18"/>
        </w:rPr>
        <w:t>urinary albumin-creatinine ratio</w:t>
      </w:r>
      <w:r w:rsidR="00482D37">
        <w:t>.</w:t>
      </w:r>
    </w:p>
    <w:p w14:paraId="617A94FB" w14:textId="77777777" w:rsidR="00571D84" w:rsidRPr="00594BB2" w:rsidRDefault="00571D84" w:rsidP="00571D84">
      <w:pPr>
        <w:pStyle w:val="TableFooter"/>
      </w:pPr>
      <w:r>
        <w:t xml:space="preserve">Note: </w:t>
      </w:r>
      <w:r w:rsidRPr="00A87855">
        <w:rPr>
          <w:u w:val="single"/>
        </w:rPr>
        <w:t>Underlined</w:t>
      </w:r>
      <w:r>
        <w:t xml:space="preserve"> text signifies key changes compared to previous submission.</w:t>
      </w:r>
    </w:p>
    <w:p w14:paraId="6B4AB6C2" w14:textId="7F01D731" w:rsidR="005C25FF" w:rsidRPr="00407F2D" w:rsidRDefault="005C25FF" w:rsidP="00F772E6">
      <w:pPr>
        <w:pStyle w:val="COMH1numbered"/>
      </w:pPr>
      <w:r w:rsidRPr="00407F2D">
        <w:t>Background</w:t>
      </w:r>
    </w:p>
    <w:p w14:paraId="2C521D6D" w14:textId="78CF03EE" w:rsidR="005C25FF" w:rsidRPr="004151CF" w:rsidRDefault="005C25FF" w:rsidP="004A6040">
      <w:pPr>
        <w:pStyle w:val="COMH2-non-numbered"/>
      </w:pPr>
      <w:bookmarkStart w:id="0" w:name="_Toc22897638"/>
      <w:bookmarkStart w:id="1" w:name="_Toc124857600"/>
      <w:r w:rsidRPr="004151CF">
        <w:t>Registration status</w:t>
      </w:r>
      <w:bookmarkEnd w:id="0"/>
      <w:bookmarkEnd w:id="1"/>
    </w:p>
    <w:p w14:paraId="2A7270C1" w14:textId="152A011D" w:rsidR="00094B7B" w:rsidRPr="00094B7B" w:rsidRDefault="00094B7B" w:rsidP="0039426A">
      <w:pPr>
        <w:pStyle w:val="COMexecsumnumberedpara"/>
      </w:pPr>
      <w:r w:rsidRPr="00094B7B">
        <w:t>Finerenone was approved by the TGA on 25 November 2021 for the following indication:</w:t>
      </w:r>
      <w:r w:rsidR="0039426A">
        <w:t xml:space="preserve"> ‘t</w:t>
      </w:r>
      <w:r w:rsidRPr="00094B7B">
        <w:t xml:space="preserve">o delay progressive decline of kidney function in adults with chronic kidney disease associated with </w:t>
      </w:r>
      <w:r w:rsidR="00B87A84">
        <w:t>t</w:t>
      </w:r>
      <w:r w:rsidRPr="00094B7B">
        <w:t>ype 2 diabetes (with albuminuria), in addition to standard of care.</w:t>
      </w:r>
      <w:r w:rsidR="0039426A">
        <w:t>’</w:t>
      </w:r>
    </w:p>
    <w:p w14:paraId="4B9FFDA5" w14:textId="3A8376EE" w:rsidR="00CF3A1B" w:rsidRPr="00DC2382" w:rsidRDefault="00AF6F00" w:rsidP="008718ED">
      <w:pPr>
        <w:pStyle w:val="COMexecsumnumberedpara"/>
      </w:pPr>
      <w:r w:rsidRPr="00DC2382">
        <w:t>The</w:t>
      </w:r>
      <w:r w:rsidR="00094B7B" w:rsidRPr="00DC2382">
        <w:t xml:space="preserve"> TGA </w:t>
      </w:r>
      <w:r w:rsidR="0064215B">
        <w:t>decision</w:t>
      </w:r>
      <w:r w:rsidR="00094B7B" w:rsidRPr="00DC2382">
        <w:t xml:space="preserve"> for a proposed amendment </w:t>
      </w:r>
      <w:r w:rsidR="007B0649" w:rsidRPr="00DC2382">
        <w:t>to</w:t>
      </w:r>
      <w:r w:rsidR="00094B7B" w:rsidRPr="00DC2382">
        <w:t xml:space="preserve"> the finerenone indication </w:t>
      </w:r>
      <w:r w:rsidR="007B0649" w:rsidRPr="00DC2382">
        <w:rPr>
          <w:iCs/>
        </w:rPr>
        <w:t>was not available</w:t>
      </w:r>
      <w:r w:rsidRPr="00DC2382">
        <w:rPr>
          <w:iCs/>
        </w:rPr>
        <w:t xml:space="preserve"> </w:t>
      </w:r>
      <w:r w:rsidR="00DC2382">
        <w:rPr>
          <w:iCs/>
        </w:rPr>
        <w:t xml:space="preserve">at the time of </w:t>
      </w:r>
      <w:r w:rsidR="00DC2382" w:rsidRPr="00DC2382">
        <w:rPr>
          <w:iCs/>
        </w:rPr>
        <w:t xml:space="preserve">PBAC </w:t>
      </w:r>
      <w:r w:rsidRPr="00DC2382">
        <w:rPr>
          <w:iCs/>
        </w:rPr>
        <w:t>consideration</w:t>
      </w:r>
      <w:r w:rsidR="007B0649" w:rsidRPr="00DC2382">
        <w:t xml:space="preserve">. </w:t>
      </w:r>
      <w:r w:rsidR="007B0649" w:rsidRPr="00DC2382">
        <w:rPr>
          <w:iCs/>
        </w:rPr>
        <w:t>The proposed amendment</w:t>
      </w:r>
      <w:r w:rsidRPr="00DC2382">
        <w:rPr>
          <w:iCs/>
        </w:rPr>
        <w:t xml:space="preserve"> to the indication</w:t>
      </w:r>
      <w:r w:rsidR="007B0649" w:rsidRPr="00DC2382">
        <w:rPr>
          <w:iCs/>
        </w:rPr>
        <w:t xml:space="preserve"> is as follows:</w:t>
      </w:r>
      <w:r w:rsidR="0039426A" w:rsidRPr="00DC2382">
        <w:t xml:space="preserve"> ‘t</w:t>
      </w:r>
      <w:r w:rsidR="00094B7B" w:rsidRPr="00DC2382">
        <w:t>o delay progressive decline of kidney function and to reduce the risk of cardiovascular mortality and morbidity in adults with chronic kidney disease associated with type 2 diabetes, in addition to standard of care.</w:t>
      </w:r>
      <w:r w:rsidR="00ED14A9" w:rsidRPr="00DC2382">
        <w:t>’</w:t>
      </w:r>
      <w:r w:rsidR="00AE2F26" w:rsidRPr="00DC2382">
        <w:t xml:space="preserve"> The </w:t>
      </w:r>
      <w:r w:rsidR="00A87855" w:rsidRPr="00DC2382">
        <w:t xml:space="preserve">TGA </w:t>
      </w:r>
      <w:r w:rsidR="00F5520A" w:rsidRPr="00DC2382">
        <w:t>delegate</w:t>
      </w:r>
      <w:r w:rsidR="00A87855" w:rsidRPr="00DC2382">
        <w:t>’</w:t>
      </w:r>
      <w:r w:rsidR="00F5520A" w:rsidRPr="00DC2382">
        <w:t xml:space="preserve">s </w:t>
      </w:r>
      <w:r w:rsidR="00F5520A" w:rsidRPr="00DC2382">
        <w:lastRenderedPageBreak/>
        <w:t xml:space="preserve">file note </w:t>
      </w:r>
      <w:r w:rsidR="00523F47" w:rsidRPr="00DC2382">
        <w:t>(6 January 2023) state</w:t>
      </w:r>
      <w:r w:rsidR="00DE1488">
        <w:t>d</w:t>
      </w:r>
      <w:r w:rsidR="00523F47" w:rsidRPr="00DC2382">
        <w:t xml:space="preserve"> </w:t>
      </w:r>
      <w:r w:rsidR="0055343D" w:rsidRPr="00DC2382">
        <w:t xml:space="preserve">that the </w:t>
      </w:r>
      <w:r w:rsidR="00322F50" w:rsidRPr="00DC2382">
        <w:t xml:space="preserve">overall </w:t>
      </w:r>
      <w:r w:rsidR="00266AD9" w:rsidRPr="00DC2382">
        <w:t xml:space="preserve">clinical </w:t>
      </w:r>
      <w:r w:rsidR="003428E4" w:rsidRPr="00DC2382">
        <w:t xml:space="preserve">evidence from </w:t>
      </w:r>
      <w:r w:rsidR="00266AD9" w:rsidRPr="00DC2382">
        <w:t xml:space="preserve">the </w:t>
      </w:r>
      <w:r w:rsidR="003428E4" w:rsidRPr="00DC2382">
        <w:t xml:space="preserve">FIDELO-DKD and FIGARO-DKD </w:t>
      </w:r>
      <w:r w:rsidR="00266AD9" w:rsidRPr="00DC2382">
        <w:t xml:space="preserve">trials </w:t>
      </w:r>
      <w:r w:rsidR="003428E4" w:rsidRPr="00DC2382">
        <w:t>supports the proposed Australian indication</w:t>
      </w:r>
      <w:r w:rsidR="00266AD9" w:rsidRPr="00DC2382">
        <w:t>,</w:t>
      </w:r>
      <w:r w:rsidR="003428E4" w:rsidRPr="00DC2382">
        <w:t xml:space="preserve"> </w:t>
      </w:r>
      <w:r w:rsidR="00266AD9" w:rsidRPr="00DC2382">
        <w:t>but recommends</w:t>
      </w:r>
      <w:r w:rsidR="003428E4" w:rsidRPr="00DC2382">
        <w:t xml:space="preserve"> further changes to the </w:t>
      </w:r>
      <w:r w:rsidR="00F45728" w:rsidRPr="00DC2382">
        <w:t>finerenone Product Information document</w:t>
      </w:r>
      <w:r w:rsidR="00532F3B" w:rsidRPr="00DC2382">
        <w:t>, including the following</w:t>
      </w:r>
      <w:r w:rsidR="00E267F1" w:rsidRPr="00DC2382">
        <w:t>:</w:t>
      </w:r>
      <w:r w:rsidR="008718ED" w:rsidRPr="00DC2382">
        <w:t xml:space="preserve"> ‘treatment with finerenone was shown to have differential effect on non-fatal stroke with results indicative of beneficial effect in diabetic patients with history of cardiovascular disease but adverse effect in diabetic patients without history of cardiovascular disease</w:t>
      </w:r>
      <w:r w:rsidR="006054E8" w:rsidRPr="00DC2382">
        <w:t>’</w:t>
      </w:r>
      <w:r w:rsidR="00A87855" w:rsidRPr="00DC2382">
        <w:t>.</w:t>
      </w:r>
    </w:p>
    <w:p w14:paraId="3E2A6EAB" w14:textId="469C8C0C" w:rsidR="005C25FF" w:rsidRPr="00621ADA" w:rsidRDefault="005C25FF" w:rsidP="004E18E9">
      <w:pPr>
        <w:pStyle w:val="COMH2-non-numbered"/>
      </w:pPr>
      <w:bookmarkStart w:id="2" w:name="_Toc22897639"/>
      <w:bookmarkStart w:id="3" w:name="_Toc124857601"/>
      <w:r w:rsidRPr="00621ADA">
        <w:t>Previous PBAC consideration</w:t>
      </w:r>
      <w:bookmarkEnd w:id="2"/>
      <w:bookmarkEnd w:id="3"/>
    </w:p>
    <w:p w14:paraId="4BAE8621" w14:textId="16450862" w:rsidR="008F1D74" w:rsidRDefault="007071EB" w:rsidP="008F1D74">
      <w:pPr>
        <w:pStyle w:val="COMexecsumnumberedpara"/>
      </w:pPr>
      <w:r>
        <w:fldChar w:fldCharType="begin"/>
      </w:r>
      <w:r>
        <w:instrText xml:space="preserve"> REF _Ref124147399 \h </w:instrText>
      </w:r>
      <w:r>
        <w:fldChar w:fldCharType="separate"/>
      </w:r>
      <w:r w:rsidR="005562EE" w:rsidRPr="008F1D74">
        <w:t xml:space="preserve">Table </w:t>
      </w:r>
      <w:r w:rsidR="005562EE">
        <w:rPr>
          <w:noProof/>
        </w:rPr>
        <w:t>2</w:t>
      </w:r>
      <w:r>
        <w:fldChar w:fldCharType="end"/>
      </w:r>
      <w:r w:rsidR="00696771" w:rsidRPr="008F1D74">
        <w:t xml:space="preserve"> </w:t>
      </w:r>
      <w:r w:rsidR="004C0065">
        <w:t xml:space="preserve">(below) </w:t>
      </w:r>
      <w:r w:rsidR="00696771" w:rsidRPr="008F1D74">
        <w:t xml:space="preserve">summarises the key matters of concern identified </w:t>
      </w:r>
      <w:r w:rsidR="008F1D74" w:rsidRPr="008F1D74">
        <w:t xml:space="preserve">at the July 2022 </w:t>
      </w:r>
      <w:r w:rsidR="00AF6F00">
        <w:t xml:space="preserve">PBAC </w:t>
      </w:r>
      <w:r w:rsidR="008F1D74" w:rsidRPr="008F1D74">
        <w:t>meeting</w:t>
      </w:r>
      <w:r w:rsidR="004C0065">
        <w:t xml:space="preserve">, and how these were addressed in the </w:t>
      </w:r>
      <w:r w:rsidR="008C5EDB">
        <w:t>resubmission</w:t>
      </w:r>
      <w:r w:rsidR="008F1D74" w:rsidRPr="008F1D74">
        <w:t xml:space="preserve">. </w:t>
      </w:r>
    </w:p>
    <w:p w14:paraId="2A23A49F" w14:textId="7C9BB2E6" w:rsidR="005C25FF" w:rsidRPr="008F1D74" w:rsidRDefault="00696EF9" w:rsidP="0099147A">
      <w:pPr>
        <w:pStyle w:val="COMTableheadingrow"/>
      </w:pPr>
      <w:bookmarkStart w:id="4" w:name="_Ref124147399"/>
      <w:r w:rsidRPr="008F1D74">
        <w:t xml:space="preserve">Table </w:t>
      </w:r>
      <w:r w:rsidR="00062324" w:rsidRPr="008F1D74">
        <w:fldChar w:fldCharType="begin"/>
      </w:r>
      <w:r w:rsidR="00062324" w:rsidRPr="008F1D74">
        <w:instrText xml:space="preserve"> SEQ Table \* ARABIC </w:instrText>
      </w:r>
      <w:r w:rsidR="00062324" w:rsidRPr="008F1D74">
        <w:fldChar w:fldCharType="separate"/>
      </w:r>
      <w:r w:rsidR="005562EE">
        <w:rPr>
          <w:noProof/>
        </w:rPr>
        <w:t>2</w:t>
      </w:r>
      <w:r w:rsidR="00062324" w:rsidRPr="008F1D74">
        <w:fldChar w:fldCharType="end"/>
      </w:r>
      <w:bookmarkEnd w:id="4"/>
      <w:r w:rsidRPr="008F1D74">
        <w:t>:</w:t>
      </w:r>
      <w:r w:rsidR="005C25FF" w:rsidRPr="008F1D74">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628"/>
      </w:tblGrid>
      <w:tr w:rsidR="0057317A" w:rsidRPr="008F1D74" w14:paraId="6747F8E1" w14:textId="77777777" w:rsidTr="00A856B3">
        <w:trPr>
          <w:cantSplit/>
          <w:tblHeader/>
        </w:trPr>
        <w:tc>
          <w:tcPr>
            <w:tcW w:w="2434" w:type="pct"/>
            <w:vAlign w:val="center"/>
          </w:tcPr>
          <w:p w14:paraId="2B7F3F42" w14:textId="2AE547B3" w:rsidR="0057317A" w:rsidRPr="008F1D74" w:rsidRDefault="0057317A" w:rsidP="0099147A">
            <w:pPr>
              <w:pStyle w:val="COMTableheadingrow"/>
              <w:keepNext w:val="0"/>
              <w:widowControl w:val="0"/>
            </w:pPr>
            <w:r w:rsidRPr="008F1D74">
              <w:t>Matter of concern</w:t>
            </w:r>
            <w:r w:rsidR="008764E1">
              <w:t xml:space="preserve"> (July 2022 meeting)</w:t>
            </w:r>
          </w:p>
        </w:tc>
        <w:tc>
          <w:tcPr>
            <w:tcW w:w="2566" w:type="pct"/>
            <w:vAlign w:val="center"/>
          </w:tcPr>
          <w:p w14:paraId="4BAA81F2" w14:textId="6BF6BA0B" w:rsidR="0057317A" w:rsidRPr="008F1D74" w:rsidRDefault="008764E1" w:rsidP="0099147A">
            <w:pPr>
              <w:pStyle w:val="COMTableheadingrow"/>
              <w:keepNext w:val="0"/>
              <w:widowControl w:val="0"/>
            </w:pPr>
            <w:r>
              <w:t>Addressed in the</w:t>
            </w:r>
            <w:r w:rsidR="0057317A" w:rsidRPr="008F1D74">
              <w:t xml:space="preserve"> resubmission </w:t>
            </w:r>
          </w:p>
        </w:tc>
      </w:tr>
      <w:tr w:rsidR="00BB6069" w:rsidRPr="008F1D74" w14:paraId="14F02208" w14:textId="77777777" w:rsidTr="00A856B3">
        <w:trPr>
          <w:cantSplit/>
        </w:trPr>
        <w:tc>
          <w:tcPr>
            <w:tcW w:w="5000" w:type="pct"/>
            <w:gridSpan w:val="2"/>
            <w:vAlign w:val="center"/>
          </w:tcPr>
          <w:p w14:paraId="60757401" w14:textId="35608338" w:rsidR="00BB6069" w:rsidRDefault="00BB6069" w:rsidP="0099147A">
            <w:pPr>
              <w:pStyle w:val="COMTableheadingrow"/>
              <w:keepNext w:val="0"/>
              <w:widowControl w:val="0"/>
            </w:pPr>
            <w:r w:rsidRPr="001159D0">
              <w:t>Context and intended use</w:t>
            </w:r>
          </w:p>
        </w:tc>
      </w:tr>
      <w:tr w:rsidR="0057317A" w:rsidRPr="008F1D74" w14:paraId="12E6A50B" w14:textId="77777777" w:rsidTr="00A856B3">
        <w:trPr>
          <w:cantSplit/>
        </w:trPr>
        <w:tc>
          <w:tcPr>
            <w:tcW w:w="2434" w:type="pct"/>
          </w:tcPr>
          <w:p w14:paraId="27979425" w14:textId="41D3444D" w:rsidR="0057317A" w:rsidRPr="00CC41AE" w:rsidRDefault="0057317A" w:rsidP="0099147A">
            <w:pPr>
              <w:pStyle w:val="PBACTabletext"/>
              <w:keepNext w:val="0"/>
              <w:keepLines w:val="0"/>
              <w:widowControl w:val="0"/>
              <w:suppressLineNumbers w:val="0"/>
              <w:rPr>
                <w:rFonts w:ascii="Arial Narrow" w:hAnsi="Arial Narrow" w:cs="Calibri"/>
                <w:szCs w:val="20"/>
              </w:rPr>
            </w:pPr>
            <w:r w:rsidRPr="00CC41AE">
              <w:rPr>
                <w:rFonts w:ascii="Arial Narrow" w:hAnsi="Arial Narrow" w:cs="Calibri"/>
                <w:szCs w:val="20"/>
              </w:rPr>
              <w:t>The PBAC considered that finerenone had a limited place in therapy in patients with very high albuminuria (UACR</w:t>
            </w:r>
            <w:r w:rsidR="00C2128B">
              <w:rPr>
                <w:rFonts w:ascii="Arial Narrow" w:hAnsi="Arial Narrow" w:cs="Calibri"/>
                <w:szCs w:val="20"/>
              </w:rPr>
              <w:t> </w:t>
            </w:r>
            <w:r w:rsidR="00DD6999" w:rsidRPr="00CC41AE">
              <w:rPr>
                <w:rFonts w:ascii="Arial Narrow" w:hAnsi="Arial Narrow" w:cs="Calibri"/>
                <w:szCs w:val="20"/>
              </w:rPr>
              <w:t>≥</w:t>
            </w:r>
            <w:r w:rsidR="00C2128B">
              <w:rPr>
                <w:rFonts w:ascii="Arial Narrow" w:hAnsi="Arial Narrow" w:cs="Calibri"/>
                <w:szCs w:val="20"/>
              </w:rPr>
              <w:t> </w:t>
            </w:r>
            <w:r w:rsidRPr="00CC41AE">
              <w:rPr>
                <w:rFonts w:ascii="Arial Narrow" w:hAnsi="Arial Narrow" w:cs="Calibri"/>
                <w:szCs w:val="20"/>
              </w:rPr>
              <w:t>300</w:t>
            </w:r>
            <w:r w:rsidR="00C2128B">
              <w:rPr>
                <w:rFonts w:ascii="Arial Narrow" w:hAnsi="Arial Narrow" w:cs="Calibri"/>
                <w:szCs w:val="20"/>
              </w:rPr>
              <w:t> </w:t>
            </w:r>
            <w:r w:rsidRPr="00CC41AE">
              <w:rPr>
                <w:rFonts w:ascii="Arial Narrow" w:hAnsi="Arial Narrow" w:cs="Calibri"/>
                <w:szCs w:val="20"/>
              </w:rPr>
              <w:t>mg/g</w:t>
            </w:r>
            <w:r w:rsidR="00DD6999" w:rsidRPr="00CC41AE">
              <w:rPr>
                <w:rFonts w:ascii="Arial Narrow" w:hAnsi="Arial Narrow" w:cs="Calibri"/>
                <w:szCs w:val="20"/>
              </w:rPr>
              <w:t>)</w:t>
            </w:r>
            <w:r w:rsidRPr="00CC41AE">
              <w:rPr>
                <w:rFonts w:ascii="Arial Narrow" w:hAnsi="Arial Narrow" w:cs="Calibri"/>
                <w:szCs w:val="20"/>
              </w:rPr>
              <w:t>, excluding HFrEF, as an add-on to standard of care comprising an ACEi or ARB and SGLT2i unless contraindicated</w:t>
            </w:r>
            <w:r w:rsidR="00DD6999" w:rsidRPr="00CC41AE">
              <w:rPr>
                <w:rFonts w:ascii="Arial Narrow" w:hAnsi="Arial Narrow" w:cs="Calibri"/>
                <w:szCs w:val="20"/>
              </w:rPr>
              <w:t xml:space="preserve"> </w:t>
            </w:r>
            <w:r w:rsidRPr="00CC41AE">
              <w:rPr>
                <w:rFonts w:ascii="Arial Narrow" w:hAnsi="Arial Narrow" w:cs="Calibri"/>
                <w:szCs w:val="20"/>
              </w:rPr>
              <w:t>(</w:t>
            </w:r>
            <w:r w:rsidR="00DD6999" w:rsidRPr="00CC41AE">
              <w:rPr>
                <w:rFonts w:ascii="Arial Narrow" w:hAnsi="Arial Narrow" w:cs="Calibri"/>
                <w:szCs w:val="20"/>
              </w:rPr>
              <w:t>para 7</w:t>
            </w:r>
            <w:r w:rsidR="00B36C89" w:rsidRPr="00CC41AE">
              <w:rPr>
                <w:rFonts w:ascii="Arial Narrow" w:hAnsi="Arial Narrow" w:cs="Calibri"/>
                <w:szCs w:val="20"/>
              </w:rPr>
              <w:t>.</w:t>
            </w:r>
            <w:r w:rsidR="00DD6999" w:rsidRPr="00CC41AE">
              <w:rPr>
                <w:rFonts w:ascii="Arial Narrow" w:hAnsi="Arial Narrow" w:cs="Calibri"/>
                <w:szCs w:val="20"/>
              </w:rPr>
              <w:t xml:space="preserve">3, </w:t>
            </w:r>
            <w:r w:rsidR="00B36C89" w:rsidRPr="00CC41AE">
              <w:rPr>
                <w:rFonts w:ascii="Arial Narrow" w:hAnsi="Arial Narrow" w:cs="Calibri"/>
                <w:szCs w:val="20"/>
              </w:rPr>
              <w:t xml:space="preserve">Finerenone PSD, </w:t>
            </w:r>
            <w:r w:rsidRPr="00CC41AE">
              <w:rPr>
                <w:rFonts w:ascii="Arial Narrow" w:hAnsi="Arial Narrow" w:cs="Calibri"/>
                <w:szCs w:val="20"/>
              </w:rPr>
              <w:t xml:space="preserve">July 2022 PBAC </w:t>
            </w:r>
            <w:r w:rsidR="00B36C89" w:rsidRPr="00CC41AE">
              <w:rPr>
                <w:rFonts w:ascii="Arial Narrow" w:hAnsi="Arial Narrow" w:cs="Calibri"/>
                <w:szCs w:val="20"/>
              </w:rPr>
              <w:t>m</w:t>
            </w:r>
            <w:r w:rsidRPr="00CC41AE">
              <w:rPr>
                <w:rFonts w:ascii="Arial Narrow" w:hAnsi="Arial Narrow" w:cs="Calibri"/>
                <w:szCs w:val="20"/>
              </w:rPr>
              <w:t>eeting)</w:t>
            </w:r>
            <w:r w:rsidR="008764E1" w:rsidRPr="00CC41AE">
              <w:rPr>
                <w:rFonts w:ascii="Arial Narrow" w:hAnsi="Arial Narrow" w:cs="Calibri"/>
                <w:szCs w:val="20"/>
              </w:rPr>
              <w:t>.</w:t>
            </w:r>
            <w:r w:rsidR="00451798" w:rsidRPr="00CC41AE">
              <w:rPr>
                <w:rFonts w:ascii="Arial Narrow" w:hAnsi="Arial Narrow" w:cs="Calibri"/>
                <w:szCs w:val="20"/>
              </w:rPr>
              <w:t xml:space="preserve"> </w:t>
            </w:r>
          </w:p>
        </w:tc>
        <w:tc>
          <w:tcPr>
            <w:tcW w:w="2566" w:type="pct"/>
          </w:tcPr>
          <w:p w14:paraId="7E621A66" w14:textId="55767877" w:rsidR="0057317A" w:rsidRDefault="009C4690" w:rsidP="0099147A">
            <w:pPr>
              <w:pStyle w:val="COMTabletext"/>
              <w:keepNext w:val="0"/>
              <w:widowControl w:val="0"/>
              <w:rPr>
                <w:rFonts w:cs="Calibri"/>
                <w:szCs w:val="20"/>
              </w:rPr>
            </w:pPr>
            <w:r w:rsidRPr="001E6EE0">
              <w:rPr>
                <w:rFonts w:cs="Calibri"/>
                <w:szCs w:val="20"/>
              </w:rPr>
              <w:t>T</w:t>
            </w:r>
            <w:r w:rsidR="00F15D77" w:rsidRPr="001E6EE0">
              <w:rPr>
                <w:rFonts w:cs="Calibri"/>
                <w:szCs w:val="20"/>
              </w:rPr>
              <w:t>h</w:t>
            </w:r>
            <w:r w:rsidRPr="001E6EE0">
              <w:rPr>
                <w:rFonts w:cs="Calibri"/>
                <w:szCs w:val="20"/>
              </w:rPr>
              <w:t xml:space="preserve">e requested restriction was revised to </w:t>
            </w:r>
            <w:r w:rsidR="00666848">
              <w:rPr>
                <w:rFonts w:cs="Calibri"/>
                <w:szCs w:val="20"/>
              </w:rPr>
              <w:t xml:space="preserve">include </w:t>
            </w:r>
            <w:r w:rsidR="00666848" w:rsidRPr="00CC41AE">
              <w:rPr>
                <w:rFonts w:cs="Calibri"/>
                <w:szCs w:val="20"/>
              </w:rPr>
              <w:t>a UACR</w:t>
            </w:r>
            <w:r w:rsidR="00666848">
              <w:rPr>
                <w:rFonts w:cs="Calibri"/>
                <w:szCs w:val="20"/>
              </w:rPr>
              <w:t> </w:t>
            </w:r>
            <w:r w:rsidR="00666848" w:rsidRPr="00CC41AE">
              <w:rPr>
                <w:rFonts w:cs="Calibri"/>
                <w:szCs w:val="20"/>
              </w:rPr>
              <w:t>≥</w:t>
            </w:r>
            <w:r w:rsidR="00666848">
              <w:rPr>
                <w:rFonts w:cs="Calibri"/>
                <w:szCs w:val="20"/>
              </w:rPr>
              <w:t> </w:t>
            </w:r>
            <w:r w:rsidR="00666848" w:rsidRPr="00CC41AE">
              <w:rPr>
                <w:rFonts w:cs="Calibri"/>
                <w:szCs w:val="20"/>
              </w:rPr>
              <w:t>200</w:t>
            </w:r>
            <w:r w:rsidR="00666848">
              <w:rPr>
                <w:rFonts w:cs="Calibri"/>
                <w:szCs w:val="20"/>
              </w:rPr>
              <w:t> </w:t>
            </w:r>
            <w:r w:rsidR="00666848" w:rsidRPr="00CC41AE">
              <w:rPr>
                <w:rFonts w:cs="Calibri"/>
                <w:szCs w:val="20"/>
              </w:rPr>
              <w:t>mg/g, consistent with the dapagliflozin listing for CKD</w:t>
            </w:r>
            <w:r w:rsidR="009944B9" w:rsidRPr="001E6EE0">
              <w:rPr>
                <w:rFonts w:cs="Calibri"/>
                <w:szCs w:val="20"/>
              </w:rPr>
              <w:t>.</w:t>
            </w:r>
            <w:r w:rsidR="00AF3B8B" w:rsidRPr="0053202B">
              <w:rPr>
                <w:rFonts w:cs="Calibri"/>
                <w:i/>
                <w:iCs/>
              </w:rPr>
              <w:t xml:space="preserve"> </w:t>
            </w:r>
          </w:p>
          <w:p w14:paraId="7D1B144C" w14:textId="484A190D" w:rsidR="006A0F8E" w:rsidRPr="00672388" w:rsidRDefault="00666848" w:rsidP="0099147A">
            <w:pPr>
              <w:pStyle w:val="COMTabletext"/>
              <w:keepNext w:val="0"/>
              <w:widowControl w:val="0"/>
              <w:rPr>
                <w:rFonts w:cs="Calibri"/>
                <w:szCs w:val="20"/>
              </w:rPr>
            </w:pPr>
            <w:r w:rsidRPr="00666848">
              <w:rPr>
                <w:rFonts w:cs="Calibri"/>
                <w:szCs w:val="20"/>
              </w:rPr>
              <w:t xml:space="preserve">The </w:t>
            </w:r>
            <w:r>
              <w:rPr>
                <w:rFonts w:cs="Calibri"/>
                <w:szCs w:val="20"/>
              </w:rPr>
              <w:t xml:space="preserve">revised </w:t>
            </w:r>
            <w:r w:rsidRPr="00666848">
              <w:rPr>
                <w:rFonts w:cs="Calibri"/>
                <w:szCs w:val="20"/>
              </w:rPr>
              <w:t xml:space="preserve">requested restriction </w:t>
            </w:r>
            <w:r>
              <w:rPr>
                <w:rFonts w:cs="Calibri"/>
                <w:szCs w:val="20"/>
              </w:rPr>
              <w:t xml:space="preserve">also </w:t>
            </w:r>
            <w:r w:rsidRPr="00666848">
              <w:rPr>
                <w:rFonts w:cs="Calibri"/>
                <w:szCs w:val="20"/>
              </w:rPr>
              <w:t>included a clinical criterion specifying that treatment must be in combination with an SGLT2i (unless medically contraindicated or intolerant).</w:t>
            </w:r>
          </w:p>
        </w:tc>
      </w:tr>
      <w:tr w:rsidR="00DC574F" w:rsidRPr="008F1D74" w14:paraId="06C2C91A" w14:textId="77777777" w:rsidTr="00A856B3">
        <w:trPr>
          <w:cantSplit/>
        </w:trPr>
        <w:tc>
          <w:tcPr>
            <w:tcW w:w="2434" w:type="pct"/>
          </w:tcPr>
          <w:p w14:paraId="1DE7C827" w14:textId="3B29296F" w:rsidR="00DC574F" w:rsidRPr="00CC41AE" w:rsidRDefault="00DC574F" w:rsidP="0099147A">
            <w:pPr>
              <w:pStyle w:val="PBACTabletext"/>
              <w:keepNext w:val="0"/>
              <w:keepLines w:val="0"/>
              <w:widowControl w:val="0"/>
              <w:suppressLineNumbers w:val="0"/>
              <w:rPr>
                <w:rFonts w:ascii="Arial Narrow" w:hAnsi="Arial Narrow" w:cs="Calibri"/>
                <w:szCs w:val="20"/>
              </w:rPr>
            </w:pPr>
            <w:r w:rsidRPr="00CC41AE">
              <w:rPr>
                <w:rFonts w:ascii="Arial Narrow" w:hAnsi="Arial Narrow" w:cs="Calibri"/>
                <w:szCs w:val="20"/>
              </w:rPr>
              <w:t xml:space="preserve">The PBAC considered </w:t>
            </w:r>
            <w:r w:rsidR="00F56CFA" w:rsidRPr="00CC41AE">
              <w:rPr>
                <w:rFonts w:ascii="Arial Narrow" w:hAnsi="Arial Narrow" w:cs="Calibri"/>
                <w:szCs w:val="20"/>
              </w:rPr>
              <w:t xml:space="preserve">the nominated comparator </w:t>
            </w:r>
            <w:r w:rsidR="00784B9E" w:rsidRPr="00CC41AE">
              <w:rPr>
                <w:rFonts w:ascii="Arial Narrow" w:hAnsi="Arial Narrow" w:cs="Calibri"/>
                <w:szCs w:val="20"/>
              </w:rPr>
              <w:t xml:space="preserve">(standard of care) </w:t>
            </w:r>
            <w:r w:rsidR="00F56CFA" w:rsidRPr="00CC41AE">
              <w:rPr>
                <w:rFonts w:ascii="Arial Narrow" w:hAnsi="Arial Narrow" w:cs="Calibri"/>
                <w:szCs w:val="20"/>
              </w:rPr>
              <w:t>was appropriate but was inconsistent with current clinical practice, and p</w:t>
            </w:r>
            <w:r w:rsidR="00784B9E" w:rsidRPr="00CC41AE">
              <w:rPr>
                <w:rFonts w:ascii="Arial Narrow" w:hAnsi="Arial Narrow" w:cs="Calibri"/>
                <w:szCs w:val="20"/>
              </w:rPr>
              <w:t xml:space="preserve">roposed </w:t>
            </w:r>
            <w:r w:rsidR="00E57276" w:rsidRPr="00CC41AE">
              <w:rPr>
                <w:rFonts w:ascii="Arial Narrow" w:hAnsi="Arial Narrow" w:cs="Calibri"/>
                <w:szCs w:val="20"/>
              </w:rPr>
              <w:t>a more restricted definition of standard of care comprising an ACEi or ARB and SGLT2</w:t>
            </w:r>
            <w:r w:rsidR="00784B9E" w:rsidRPr="00CC41AE">
              <w:rPr>
                <w:rFonts w:ascii="Arial Narrow" w:hAnsi="Arial Narrow" w:cs="Calibri"/>
                <w:szCs w:val="20"/>
              </w:rPr>
              <w:t>i</w:t>
            </w:r>
            <w:r w:rsidR="00E57276" w:rsidRPr="00CC41AE">
              <w:rPr>
                <w:rFonts w:ascii="Arial Narrow" w:hAnsi="Arial Narrow" w:cs="Calibri"/>
                <w:szCs w:val="20"/>
              </w:rPr>
              <w:t xml:space="preserve"> (unless contraindicated), in line with the more limited clinical position proposed</w:t>
            </w:r>
            <w:r w:rsidR="00884A26">
              <w:rPr>
                <w:rFonts w:ascii="Arial Narrow" w:hAnsi="Arial Narrow" w:cs="Calibri"/>
                <w:szCs w:val="20"/>
              </w:rPr>
              <w:t xml:space="preserve"> (</w:t>
            </w:r>
            <w:r w:rsidR="00FC6D5B">
              <w:rPr>
                <w:rFonts w:ascii="Arial Narrow" w:hAnsi="Arial Narrow" w:cs="Calibri"/>
                <w:szCs w:val="20"/>
              </w:rPr>
              <w:t>para 7.4, Finerenone PSD, July 2022 PBAC meeting)</w:t>
            </w:r>
            <w:r w:rsidR="00784B9E" w:rsidRPr="00CC41AE">
              <w:rPr>
                <w:rFonts w:ascii="Arial Narrow" w:hAnsi="Arial Narrow" w:cs="Calibri"/>
                <w:szCs w:val="20"/>
              </w:rPr>
              <w:t>.</w:t>
            </w:r>
          </w:p>
        </w:tc>
        <w:tc>
          <w:tcPr>
            <w:tcW w:w="2566" w:type="pct"/>
          </w:tcPr>
          <w:p w14:paraId="5FF64BB2" w14:textId="35211270" w:rsidR="006A0F8E" w:rsidRPr="001E6EE0" w:rsidRDefault="00784B9E" w:rsidP="0099147A">
            <w:pPr>
              <w:pStyle w:val="COMTabletext"/>
              <w:keepNext w:val="0"/>
              <w:widowControl w:val="0"/>
              <w:rPr>
                <w:rFonts w:cs="Calibri"/>
                <w:szCs w:val="20"/>
              </w:rPr>
            </w:pPr>
            <w:r w:rsidRPr="001E6EE0">
              <w:rPr>
                <w:rFonts w:cs="Calibri"/>
                <w:szCs w:val="20"/>
              </w:rPr>
              <w:t>The comparator was revised to be consistent with the place in therapy proposed by the PBAC</w:t>
            </w:r>
            <w:r w:rsidR="001B307C" w:rsidRPr="001E6EE0">
              <w:rPr>
                <w:rFonts w:cs="Calibri"/>
                <w:szCs w:val="20"/>
              </w:rPr>
              <w:t xml:space="preserve">; </w:t>
            </w:r>
            <w:r w:rsidR="009944B9" w:rsidRPr="001E6EE0">
              <w:rPr>
                <w:rFonts w:cs="Calibri"/>
                <w:szCs w:val="20"/>
              </w:rPr>
              <w:t xml:space="preserve">i.e. </w:t>
            </w:r>
            <w:r w:rsidR="001B307C" w:rsidRPr="001E6EE0">
              <w:rPr>
                <w:rFonts w:cs="Calibri"/>
                <w:szCs w:val="20"/>
              </w:rPr>
              <w:t>standard of care comprised of treatment with an ACEi or ARB in combination with an SGLT2i (unless contraindicated or intolerant)</w:t>
            </w:r>
            <w:r w:rsidRPr="001E6EE0">
              <w:rPr>
                <w:rFonts w:cs="Calibri"/>
                <w:szCs w:val="20"/>
              </w:rPr>
              <w:t>.</w:t>
            </w:r>
          </w:p>
        </w:tc>
      </w:tr>
      <w:tr w:rsidR="00D50C8E" w:rsidRPr="008F1D74" w14:paraId="74D86A7D" w14:textId="77777777" w:rsidTr="00A856B3">
        <w:trPr>
          <w:cantSplit/>
        </w:trPr>
        <w:tc>
          <w:tcPr>
            <w:tcW w:w="5000" w:type="pct"/>
            <w:gridSpan w:val="2"/>
          </w:tcPr>
          <w:p w14:paraId="28FC5F15" w14:textId="23915E0B" w:rsidR="00D50C8E" w:rsidRPr="00CC41AE" w:rsidRDefault="00DE42F2" w:rsidP="0099147A">
            <w:pPr>
              <w:pStyle w:val="COMTabletext"/>
              <w:keepNext w:val="0"/>
              <w:widowControl w:val="0"/>
              <w:rPr>
                <w:szCs w:val="20"/>
              </w:rPr>
            </w:pPr>
            <w:r w:rsidRPr="00CC41AE">
              <w:rPr>
                <w:b/>
                <w:szCs w:val="20"/>
              </w:rPr>
              <w:t>Clinical evidence</w:t>
            </w:r>
            <w:r w:rsidR="00D50C8E" w:rsidRPr="00CC41AE">
              <w:rPr>
                <w:b/>
                <w:szCs w:val="20"/>
              </w:rPr>
              <w:t xml:space="preserve"> </w:t>
            </w:r>
          </w:p>
        </w:tc>
      </w:tr>
      <w:tr w:rsidR="009C594A" w:rsidRPr="008F1D74" w14:paraId="59C86F2F" w14:textId="77777777" w:rsidTr="00A856B3">
        <w:trPr>
          <w:cantSplit/>
        </w:trPr>
        <w:tc>
          <w:tcPr>
            <w:tcW w:w="2434" w:type="pct"/>
          </w:tcPr>
          <w:p w14:paraId="26DD8A9B" w14:textId="5016F6B4" w:rsidR="009C594A" w:rsidRPr="00CC41AE" w:rsidRDefault="00A856B3" w:rsidP="0099147A">
            <w:pPr>
              <w:pStyle w:val="PBACTabletext"/>
              <w:keepNext w:val="0"/>
              <w:keepLines w:val="0"/>
              <w:widowControl w:val="0"/>
              <w:suppressLineNumbers w:val="0"/>
              <w:rPr>
                <w:rFonts w:ascii="Arial Narrow" w:hAnsi="Arial Narrow" w:cs="Calibri"/>
                <w:szCs w:val="20"/>
              </w:rPr>
            </w:pPr>
            <w:r w:rsidRPr="00CC41AE">
              <w:rPr>
                <w:rFonts w:ascii="Arial Narrow" w:hAnsi="Arial Narrow" w:cs="Calibri"/>
                <w:szCs w:val="20"/>
              </w:rPr>
              <w:t>The PBAC considered that the magnitude of benefit for patients receiving an SGLT2</w:t>
            </w:r>
            <w:r w:rsidR="00DE42F2" w:rsidRPr="00CC41AE">
              <w:rPr>
                <w:rFonts w:ascii="Arial Narrow" w:hAnsi="Arial Narrow" w:cs="Calibri"/>
                <w:szCs w:val="20"/>
              </w:rPr>
              <w:t xml:space="preserve">i </w:t>
            </w:r>
            <w:r w:rsidRPr="00CC41AE">
              <w:rPr>
                <w:rFonts w:ascii="Arial Narrow" w:hAnsi="Arial Narrow" w:cs="Calibri"/>
                <w:szCs w:val="20"/>
              </w:rPr>
              <w:t xml:space="preserve">was highly uncertain due to a small number of patients in the clinical trials receiving this class of drug </w:t>
            </w:r>
            <w:r w:rsidR="00687574" w:rsidRPr="00CC41AE">
              <w:rPr>
                <w:rFonts w:ascii="Arial Narrow" w:hAnsi="Arial Narrow" w:cs="Calibri"/>
                <w:szCs w:val="20"/>
              </w:rPr>
              <w:t>(para 7.7, Finerenone PSD, July 2022 PBAC meeting).</w:t>
            </w:r>
            <w:r w:rsidRPr="00CC41AE">
              <w:rPr>
                <w:rFonts w:ascii="Arial Narrow" w:hAnsi="Arial Narrow" w:cs="Calibri"/>
                <w:szCs w:val="20"/>
              </w:rPr>
              <w:t xml:space="preserve"> </w:t>
            </w:r>
          </w:p>
        </w:tc>
        <w:tc>
          <w:tcPr>
            <w:tcW w:w="2566" w:type="pct"/>
          </w:tcPr>
          <w:p w14:paraId="2B2BFA1B" w14:textId="30331525" w:rsidR="009C594A" w:rsidRPr="001E6EE0" w:rsidRDefault="009C594A" w:rsidP="0099147A">
            <w:pPr>
              <w:pStyle w:val="PBACTabletext"/>
              <w:keepNext w:val="0"/>
              <w:keepLines w:val="0"/>
              <w:widowControl w:val="0"/>
              <w:suppressLineNumbers w:val="0"/>
              <w:rPr>
                <w:rFonts w:ascii="Arial Narrow" w:hAnsi="Arial Narrow" w:cs="Calibri"/>
                <w:szCs w:val="20"/>
              </w:rPr>
            </w:pPr>
            <w:r w:rsidRPr="001E6EE0">
              <w:rPr>
                <w:rFonts w:ascii="Arial Narrow" w:hAnsi="Arial Narrow" w:cs="Calibri"/>
                <w:szCs w:val="20"/>
              </w:rPr>
              <w:t>The resubmission present</w:t>
            </w:r>
            <w:r w:rsidR="00DE42F2" w:rsidRPr="001E6EE0">
              <w:rPr>
                <w:rFonts w:ascii="Arial Narrow" w:hAnsi="Arial Narrow" w:cs="Calibri"/>
                <w:szCs w:val="20"/>
              </w:rPr>
              <w:t>ed</w:t>
            </w:r>
            <w:r w:rsidRPr="001E6EE0">
              <w:rPr>
                <w:rFonts w:ascii="Arial Narrow" w:hAnsi="Arial Narrow" w:cs="Calibri"/>
                <w:szCs w:val="20"/>
              </w:rPr>
              <w:t xml:space="preserve"> </w:t>
            </w:r>
            <w:r w:rsidR="00DE42F2" w:rsidRPr="001E6EE0">
              <w:rPr>
                <w:rFonts w:ascii="Arial Narrow" w:hAnsi="Arial Narrow" w:cs="Calibri"/>
                <w:szCs w:val="20"/>
              </w:rPr>
              <w:t xml:space="preserve">additional </w:t>
            </w:r>
            <w:r w:rsidR="00DE42F2" w:rsidRPr="00FC7794">
              <w:rPr>
                <w:rFonts w:ascii="Arial Narrow" w:hAnsi="Arial Narrow" w:cs="Calibri"/>
                <w:i/>
                <w:iCs/>
                <w:szCs w:val="20"/>
              </w:rPr>
              <w:t>post hoc</w:t>
            </w:r>
            <w:r w:rsidRPr="001E6EE0">
              <w:rPr>
                <w:rFonts w:ascii="Arial Narrow" w:hAnsi="Arial Narrow" w:cs="Calibri"/>
                <w:szCs w:val="20"/>
              </w:rPr>
              <w:t xml:space="preserve"> subgroup</w:t>
            </w:r>
            <w:r w:rsidR="00A17140" w:rsidRPr="001E6EE0">
              <w:rPr>
                <w:rFonts w:ascii="Arial Narrow" w:hAnsi="Arial Narrow" w:cs="Calibri"/>
                <w:szCs w:val="20"/>
              </w:rPr>
              <w:t xml:space="preserve"> </w:t>
            </w:r>
            <w:r w:rsidR="00D021BD" w:rsidRPr="001E6EE0">
              <w:rPr>
                <w:rFonts w:ascii="Arial Narrow" w:hAnsi="Arial Narrow" w:cs="Calibri"/>
                <w:szCs w:val="20"/>
              </w:rPr>
              <w:t>(</w:t>
            </w:r>
            <w:r w:rsidR="00A96EEA" w:rsidRPr="001E6EE0">
              <w:rPr>
                <w:rFonts w:ascii="Arial Narrow" w:hAnsi="Arial Narrow" w:cs="Calibri"/>
                <w:szCs w:val="20"/>
              </w:rPr>
              <w:t>and compl</w:t>
            </w:r>
            <w:r w:rsidR="00945C5D">
              <w:rPr>
                <w:rFonts w:ascii="Arial Narrow" w:hAnsi="Arial Narrow" w:cs="Calibri"/>
                <w:szCs w:val="20"/>
              </w:rPr>
              <w:t>e</w:t>
            </w:r>
            <w:r w:rsidR="00A96EEA" w:rsidRPr="001E6EE0">
              <w:rPr>
                <w:rFonts w:ascii="Arial Narrow" w:hAnsi="Arial Narrow" w:cs="Calibri"/>
                <w:szCs w:val="20"/>
              </w:rPr>
              <w:t xml:space="preserve">ment) </w:t>
            </w:r>
            <w:r w:rsidR="00A17140" w:rsidRPr="001E6EE0">
              <w:rPr>
                <w:rFonts w:ascii="Arial Narrow" w:hAnsi="Arial Narrow" w:cs="Calibri"/>
                <w:szCs w:val="20"/>
              </w:rPr>
              <w:t>analyses</w:t>
            </w:r>
            <w:r w:rsidRPr="001E6EE0">
              <w:rPr>
                <w:rFonts w:ascii="Arial Narrow" w:hAnsi="Arial Narrow" w:cs="Calibri"/>
                <w:szCs w:val="20"/>
              </w:rPr>
              <w:t xml:space="preserve"> from the FIGARO-DKD, FIDELIO-DKD and pooled FIDELITY analysis including:</w:t>
            </w:r>
          </w:p>
          <w:p w14:paraId="5126AF8E" w14:textId="5C95988B" w:rsidR="009C594A" w:rsidRPr="001E6EE0" w:rsidRDefault="00456A32" w:rsidP="0099147A">
            <w:pPr>
              <w:pStyle w:val="PBACTabletext"/>
              <w:keepNext w:val="0"/>
              <w:keepLines w:val="0"/>
              <w:widowControl w:val="0"/>
              <w:numPr>
                <w:ilvl w:val="0"/>
                <w:numId w:val="17"/>
              </w:numPr>
              <w:suppressLineNumbers w:val="0"/>
              <w:ind w:left="178" w:hanging="218"/>
              <w:rPr>
                <w:rFonts w:ascii="Arial Narrow" w:hAnsi="Arial Narrow" w:cs="Calibri"/>
                <w:szCs w:val="20"/>
              </w:rPr>
            </w:pPr>
            <w:r w:rsidRPr="001E6EE0">
              <w:rPr>
                <w:rFonts w:ascii="Arial Narrow" w:hAnsi="Arial Narrow" w:cs="Calibri"/>
                <w:szCs w:val="20"/>
              </w:rPr>
              <w:t xml:space="preserve">Baseline </w:t>
            </w:r>
            <w:r w:rsidR="009C594A" w:rsidRPr="001E6EE0">
              <w:rPr>
                <w:rFonts w:ascii="Arial Narrow" w:hAnsi="Arial Narrow" w:cs="Calibri"/>
                <w:szCs w:val="20"/>
              </w:rPr>
              <w:t>UACR</w:t>
            </w:r>
            <w:r w:rsidR="00C2128B">
              <w:rPr>
                <w:rFonts w:ascii="Arial Narrow" w:hAnsi="Arial Narrow" w:cs="Calibri"/>
                <w:szCs w:val="20"/>
              </w:rPr>
              <w:t xml:space="preserve"> </w:t>
            </w:r>
            <w:r w:rsidR="009C594A" w:rsidRPr="001E6EE0">
              <w:rPr>
                <w:rFonts w:ascii="Arial Narrow" w:hAnsi="Arial Narrow" w:cs="Calibri"/>
                <w:szCs w:val="20"/>
              </w:rPr>
              <w:t>≥</w:t>
            </w:r>
            <w:r w:rsidR="00C2128B">
              <w:rPr>
                <w:rFonts w:ascii="Arial Narrow" w:hAnsi="Arial Narrow" w:cs="Calibri"/>
                <w:szCs w:val="20"/>
              </w:rPr>
              <w:t> </w:t>
            </w:r>
            <w:r w:rsidR="009C594A" w:rsidRPr="001E6EE0">
              <w:rPr>
                <w:rFonts w:ascii="Arial Narrow" w:hAnsi="Arial Narrow" w:cs="Calibri"/>
                <w:szCs w:val="20"/>
              </w:rPr>
              <w:t>200</w:t>
            </w:r>
            <w:r w:rsidR="00C2128B">
              <w:rPr>
                <w:rFonts w:ascii="Arial Narrow" w:hAnsi="Arial Narrow" w:cs="Calibri"/>
                <w:szCs w:val="20"/>
              </w:rPr>
              <w:t xml:space="preserve"> </w:t>
            </w:r>
            <w:r w:rsidR="009C594A" w:rsidRPr="001E6EE0">
              <w:rPr>
                <w:rFonts w:ascii="Arial Narrow" w:hAnsi="Arial Narrow" w:cs="Calibri"/>
                <w:szCs w:val="20"/>
              </w:rPr>
              <w:t>mg/g</w:t>
            </w:r>
            <w:r w:rsidR="00D021BD" w:rsidRPr="001E6EE0">
              <w:rPr>
                <w:rFonts w:ascii="Arial Narrow" w:hAnsi="Arial Narrow" w:cs="Calibri"/>
                <w:szCs w:val="20"/>
              </w:rPr>
              <w:t>.</w:t>
            </w:r>
          </w:p>
          <w:p w14:paraId="5429BAF1" w14:textId="0611CBE0" w:rsidR="009C594A" w:rsidRPr="001E6EE0" w:rsidRDefault="00456A32" w:rsidP="0099147A">
            <w:pPr>
              <w:pStyle w:val="PBACTabletext"/>
              <w:keepNext w:val="0"/>
              <w:keepLines w:val="0"/>
              <w:widowControl w:val="0"/>
              <w:numPr>
                <w:ilvl w:val="0"/>
                <w:numId w:val="17"/>
              </w:numPr>
              <w:suppressLineNumbers w:val="0"/>
              <w:ind w:left="178" w:hanging="218"/>
              <w:rPr>
                <w:rFonts w:ascii="Arial Narrow" w:hAnsi="Arial Narrow" w:cs="Calibri"/>
                <w:szCs w:val="20"/>
              </w:rPr>
            </w:pPr>
            <w:r w:rsidRPr="001E6EE0">
              <w:rPr>
                <w:rFonts w:ascii="Arial Narrow" w:hAnsi="Arial Narrow" w:cs="Calibri"/>
                <w:szCs w:val="20"/>
              </w:rPr>
              <w:t xml:space="preserve">Baseline </w:t>
            </w:r>
            <w:r w:rsidR="009C594A" w:rsidRPr="001E6EE0">
              <w:rPr>
                <w:rFonts w:ascii="Arial Narrow" w:hAnsi="Arial Narrow" w:cs="Calibri"/>
                <w:szCs w:val="20"/>
              </w:rPr>
              <w:t>UACR</w:t>
            </w:r>
            <w:r w:rsidR="00C2128B">
              <w:rPr>
                <w:rFonts w:ascii="Arial Narrow" w:hAnsi="Arial Narrow" w:cs="Calibri"/>
                <w:szCs w:val="20"/>
              </w:rPr>
              <w:t xml:space="preserve"> </w:t>
            </w:r>
            <w:r w:rsidR="009C594A" w:rsidRPr="001E6EE0">
              <w:rPr>
                <w:rFonts w:ascii="Arial Narrow" w:hAnsi="Arial Narrow" w:cs="Calibri"/>
                <w:szCs w:val="20"/>
              </w:rPr>
              <w:t>≥</w:t>
            </w:r>
            <w:r w:rsidR="00C2128B">
              <w:rPr>
                <w:rFonts w:ascii="Arial Narrow" w:hAnsi="Arial Narrow" w:cs="Calibri"/>
                <w:szCs w:val="20"/>
              </w:rPr>
              <w:t xml:space="preserve"> </w:t>
            </w:r>
            <w:r w:rsidR="009C594A" w:rsidRPr="001E6EE0">
              <w:rPr>
                <w:rFonts w:ascii="Arial Narrow" w:hAnsi="Arial Narrow" w:cs="Calibri"/>
                <w:szCs w:val="20"/>
              </w:rPr>
              <w:t>200</w:t>
            </w:r>
            <w:r w:rsidR="00C2128B">
              <w:rPr>
                <w:rFonts w:ascii="Arial Narrow" w:hAnsi="Arial Narrow" w:cs="Calibri"/>
                <w:szCs w:val="20"/>
              </w:rPr>
              <w:t> </w:t>
            </w:r>
            <w:r w:rsidR="009C594A" w:rsidRPr="001E6EE0">
              <w:rPr>
                <w:rFonts w:ascii="Arial Narrow" w:hAnsi="Arial Narrow" w:cs="Calibri"/>
                <w:szCs w:val="20"/>
              </w:rPr>
              <w:t xml:space="preserve">mg/g </w:t>
            </w:r>
            <w:r w:rsidR="00A40BF9" w:rsidRPr="001E6EE0">
              <w:rPr>
                <w:rFonts w:ascii="Arial Narrow" w:hAnsi="Arial Narrow" w:cs="Calibri"/>
                <w:szCs w:val="20"/>
              </w:rPr>
              <w:t>and</w:t>
            </w:r>
            <w:r w:rsidR="009C594A" w:rsidRPr="001E6EE0">
              <w:rPr>
                <w:rFonts w:ascii="Arial Narrow" w:hAnsi="Arial Narrow" w:cs="Calibri"/>
                <w:szCs w:val="20"/>
              </w:rPr>
              <w:t xml:space="preserve"> SGLT2i</w:t>
            </w:r>
            <w:r w:rsidR="00A40BF9" w:rsidRPr="001E6EE0">
              <w:rPr>
                <w:rFonts w:ascii="Arial Narrow" w:hAnsi="Arial Narrow" w:cs="Calibri"/>
                <w:szCs w:val="20"/>
              </w:rPr>
              <w:t xml:space="preserve"> use</w:t>
            </w:r>
            <w:r w:rsidRPr="001E6EE0">
              <w:rPr>
                <w:rFonts w:ascii="Arial Narrow" w:hAnsi="Arial Narrow" w:cs="Calibri"/>
                <w:szCs w:val="20"/>
              </w:rPr>
              <w:t>.</w:t>
            </w:r>
          </w:p>
          <w:p w14:paraId="1C1B2E35" w14:textId="6C5590B6" w:rsidR="00AF3B8B" w:rsidRPr="00FB4D38" w:rsidRDefault="00A40BF9" w:rsidP="00FB4D38">
            <w:pPr>
              <w:pStyle w:val="PBACTabletext"/>
              <w:keepNext w:val="0"/>
              <w:keepLines w:val="0"/>
              <w:widowControl w:val="0"/>
              <w:numPr>
                <w:ilvl w:val="0"/>
                <w:numId w:val="17"/>
              </w:numPr>
              <w:suppressLineNumbers w:val="0"/>
              <w:ind w:left="178" w:hanging="218"/>
              <w:rPr>
                <w:rFonts w:ascii="Arial Narrow" w:hAnsi="Arial Narrow" w:cs="Calibri"/>
                <w:bCs/>
                <w:szCs w:val="20"/>
              </w:rPr>
            </w:pPr>
            <w:r w:rsidRPr="001E6EE0">
              <w:rPr>
                <w:rFonts w:ascii="Arial Narrow" w:hAnsi="Arial Narrow" w:cs="Calibri"/>
                <w:szCs w:val="20"/>
              </w:rPr>
              <w:t>Baseline</w:t>
            </w:r>
            <w:r w:rsidR="009C594A" w:rsidRPr="001E6EE0">
              <w:rPr>
                <w:rFonts w:ascii="Arial Narrow" w:hAnsi="Arial Narrow" w:cs="Calibri"/>
                <w:szCs w:val="20"/>
              </w:rPr>
              <w:t xml:space="preserve"> UACR</w:t>
            </w:r>
            <w:r w:rsidR="00C2128B">
              <w:rPr>
                <w:rFonts w:ascii="Arial Narrow" w:hAnsi="Arial Narrow" w:cs="Calibri"/>
                <w:szCs w:val="20"/>
              </w:rPr>
              <w:t xml:space="preserve"> </w:t>
            </w:r>
            <w:r w:rsidR="009C594A" w:rsidRPr="001E6EE0">
              <w:rPr>
                <w:rFonts w:ascii="Arial Narrow" w:hAnsi="Arial Narrow" w:cs="Calibri"/>
                <w:szCs w:val="20"/>
              </w:rPr>
              <w:t>≥</w:t>
            </w:r>
            <w:r w:rsidR="00C2128B">
              <w:rPr>
                <w:rFonts w:ascii="Arial Narrow" w:hAnsi="Arial Narrow" w:cs="Calibri"/>
                <w:szCs w:val="20"/>
              </w:rPr>
              <w:t> </w:t>
            </w:r>
            <w:r w:rsidR="009C594A" w:rsidRPr="001E6EE0">
              <w:rPr>
                <w:rFonts w:ascii="Arial Narrow" w:hAnsi="Arial Narrow" w:cs="Calibri"/>
                <w:szCs w:val="20"/>
              </w:rPr>
              <w:t>200</w:t>
            </w:r>
            <w:r w:rsidR="00C2128B">
              <w:rPr>
                <w:rFonts w:ascii="Arial Narrow" w:hAnsi="Arial Narrow" w:cs="Calibri"/>
                <w:szCs w:val="20"/>
              </w:rPr>
              <w:t xml:space="preserve"> </w:t>
            </w:r>
            <w:r w:rsidR="009C594A" w:rsidRPr="001E6EE0">
              <w:rPr>
                <w:rFonts w:ascii="Arial Narrow" w:hAnsi="Arial Narrow" w:cs="Calibri"/>
                <w:szCs w:val="20"/>
              </w:rPr>
              <w:t xml:space="preserve">mg/g </w:t>
            </w:r>
            <w:r w:rsidRPr="001E6EE0">
              <w:rPr>
                <w:rFonts w:ascii="Arial Narrow" w:hAnsi="Arial Narrow" w:cs="Calibri"/>
                <w:szCs w:val="20"/>
              </w:rPr>
              <w:t>and no</w:t>
            </w:r>
            <w:r w:rsidR="009C594A" w:rsidRPr="001E6EE0">
              <w:rPr>
                <w:rFonts w:ascii="Arial Narrow" w:hAnsi="Arial Narrow" w:cs="Calibri"/>
                <w:szCs w:val="20"/>
              </w:rPr>
              <w:t xml:space="preserve"> SGLT2i</w:t>
            </w:r>
            <w:r w:rsidRPr="001E6EE0">
              <w:rPr>
                <w:rFonts w:ascii="Arial Narrow" w:hAnsi="Arial Narrow" w:cs="Calibri"/>
                <w:szCs w:val="20"/>
              </w:rPr>
              <w:t xml:space="preserve"> use</w:t>
            </w:r>
            <w:r w:rsidR="00E629CF" w:rsidRPr="001E6EE0">
              <w:rPr>
                <w:rFonts w:ascii="Arial Narrow" w:hAnsi="Arial Narrow" w:cs="Calibri"/>
                <w:szCs w:val="20"/>
              </w:rPr>
              <w:t>.</w:t>
            </w:r>
            <w:r w:rsidR="009C594A" w:rsidRPr="00CC41AE">
              <w:rPr>
                <w:rFonts w:ascii="Arial Narrow" w:hAnsi="Arial Narrow" w:cs="Calibri"/>
                <w:szCs w:val="20"/>
              </w:rPr>
              <w:t xml:space="preserve"> </w:t>
            </w:r>
          </w:p>
        </w:tc>
      </w:tr>
      <w:tr w:rsidR="009C594A" w:rsidRPr="008F1D74" w14:paraId="0AA4D17B" w14:textId="77777777" w:rsidTr="00A856B3">
        <w:trPr>
          <w:cantSplit/>
        </w:trPr>
        <w:tc>
          <w:tcPr>
            <w:tcW w:w="2434" w:type="pct"/>
          </w:tcPr>
          <w:p w14:paraId="3E5F9D70" w14:textId="77382C0A" w:rsidR="009C594A" w:rsidRPr="00CC41AE" w:rsidRDefault="00CC41AE" w:rsidP="0099147A">
            <w:pPr>
              <w:pStyle w:val="PBACTabletext"/>
              <w:keepNext w:val="0"/>
              <w:keepLines w:val="0"/>
              <w:widowControl w:val="0"/>
              <w:suppressLineNumbers w:val="0"/>
              <w:rPr>
                <w:rFonts w:ascii="Arial Narrow" w:hAnsi="Arial Narrow" w:cs="Calibri"/>
                <w:szCs w:val="20"/>
              </w:rPr>
            </w:pPr>
            <w:r>
              <w:rPr>
                <w:rFonts w:ascii="Arial Narrow" w:hAnsi="Arial Narrow" w:cs="Calibri"/>
                <w:szCs w:val="20"/>
              </w:rPr>
              <w:t xml:space="preserve">The PBAC noted that </w:t>
            </w:r>
            <w:r w:rsidR="009C594A" w:rsidRPr="00CC41AE">
              <w:rPr>
                <w:rFonts w:ascii="Arial Narrow" w:hAnsi="Arial Narrow" w:cs="Calibri"/>
                <w:szCs w:val="20"/>
              </w:rPr>
              <w:t xml:space="preserve">the reduction in serious adverse events </w:t>
            </w:r>
            <w:r>
              <w:rPr>
                <w:rFonts w:ascii="Arial Narrow" w:hAnsi="Arial Narrow" w:cs="Calibri"/>
                <w:szCs w:val="20"/>
              </w:rPr>
              <w:t xml:space="preserve">observed in patients treated with finerenone </w:t>
            </w:r>
            <w:r w:rsidR="009C594A" w:rsidRPr="00CC41AE">
              <w:rPr>
                <w:rFonts w:ascii="Arial Narrow" w:hAnsi="Arial Narrow" w:cs="Calibri"/>
                <w:szCs w:val="20"/>
              </w:rPr>
              <w:t>was partly driven by a reduction in complications associated with diabetic kidney disease, and that the risk of hyperkal</w:t>
            </w:r>
            <w:r>
              <w:rPr>
                <w:rFonts w:ascii="Arial Narrow" w:hAnsi="Arial Narrow" w:cs="Calibri"/>
                <w:szCs w:val="20"/>
              </w:rPr>
              <w:t>a</w:t>
            </w:r>
            <w:r w:rsidR="009C594A" w:rsidRPr="00CC41AE">
              <w:rPr>
                <w:rFonts w:ascii="Arial Narrow" w:hAnsi="Arial Narrow" w:cs="Calibri"/>
                <w:szCs w:val="20"/>
              </w:rPr>
              <w:t>emia was likely to be greater outside the tightly controlled environment of a clinical trial</w:t>
            </w:r>
            <w:r w:rsidR="0020306F">
              <w:rPr>
                <w:rFonts w:ascii="Arial Narrow" w:hAnsi="Arial Narrow" w:cs="Calibri"/>
                <w:szCs w:val="20"/>
              </w:rPr>
              <w:t>.</w:t>
            </w:r>
            <w:r w:rsidR="009C594A" w:rsidRPr="00CC41AE">
              <w:rPr>
                <w:rFonts w:ascii="Arial Narrow" w:hAnsi="Arial Narrow" w:cs="Calibri"/>
                <w:szCs w:val="20"/>
              </w:rPr>
              <w:t xml:space="preserve"> </w:t>
            </w:r>
            <w:r w:rsidR="0020306F">
              <w:rPr>
                <w:rFonts w:ascii="Arial Narrow" w:hAnsi="Arial Narrow" w:cs="Calibri"/>
                <w:szCs w:val="20"/>
              </w:rPr>
              <w:t>Therefore, the</w:t>
            </w:r>
            <w:r w:rsidR="009C594A" w:rsidRPr="00CC41AE">
              <w:rPr>
                <w:rFonts w:ascii="Arial Narrow" w:hAnsi="Arial Narrow" w:cs="Calibri"/>
                <w:szCs w:val="20"/>
              </w:rPr>
              <w:t xml:space="preserve"> PBAC did not consider </w:t>
            </w:r>
            <w:r w:rsidR="0020306F">
              <w:rPr>
                <w:rFonts w:ascii="Arial Narrow" w:hAnsi="Arial Narrow" w:cs="Calibri"/>
                <w:szCs w:val="20"/>
              </w:rPr>
              <w:t>the</w:t>
            </w:r>
            <w:r w:rsidR="009C594A" w:rsidRPr="00CC41AE">
              <w:rPr>
                <w:rFonts w:ascii="Arial Narrow" w:hAnsi="Arial Narrow" w:cs="Calibri"/>
                <w:szCs w:val="20"/>
              </w:rPr>
              <w:t xml:space="preserve"> claim of comparable safety to placebo was adequately supported </w:t>
            </w:r>
            <w:r w:rsidRPr="00CC41AE">
              <w:rPr>
                <w:rFonts w:ascii="Arial Narrow" w:hAnsi="Arial Narrow" w:cs="Calibri"/>
                <w:szCs w:val="20"/>
              </w:rPr>
              <w:t>(para 7.8, Finerenone PSD, July 2022 PBAC meeting).</w:t>
            </w:r>
          </w:p>
        </w:tc>
        <w:tc>
          <w:tcPr>
            <w:tcW w:w="2566" w:type="pct"/>
          </w:tcPr>
          <w:p w14:paraId="752795A5" w14:textId="0812B0D8" w:rsidR="009C594A" w:rsidRPr="001E6EE0" w:rsidRDefault="0020306F" w:rsidP="0099147A">
            <w:pPr>
              <w:pStyle w:val="PBACTabletext"/>
              <w:keepNext w:val="0"/>
              <w:keepLines w:val="0"/>
              <w:widowControl w:val="0"/>
              <w:suppressLineNumbers w:val="0"/>
              <w:rPr>
                <w:rFonts w:ascii="Arial Narrow" w:hAnsi="Arial Narrow" w:cs="Calibri"/>
                <w:szCs w:val="20"/>
              </w:rPr>
            </w:pPr>
            <w:r w:rsidRPr="001E6EE0">
              <w:rPr>
                <w:rFonts w:ascii="Arial Narrow" w:hAnsi="Arial Narrow" w:cs="Calibri"/>
                <w:szCs w:val="20"/>
              </w:rPr>
              <w:t>The</w:t>
            </w:r>
            <w:r w:rsidR="009C594A" w:rsidRPr="001E6EE0">
              <w:rPr>
                <w:rFonts w:ascii="Arial Narrow" w:hAnsi="Arial Narrow" w:cs="Calibri"/>
                <w:szCs w:val="20"/>
              </w:rPr>
              <w:t xml:space="preserve"> resubmission </w:t>
            </w:r>
            <w:r w:rsidRPr="001E6EE0">
              <w:rPr>
                <w:rFonts w:ascii="Arial Narrow" w:hAnsi="Arial Narrow" w:cs="Calibri"/>
                <w:szCs w:val="20"/>
              </w:rPr>
              <w:t>revised</w:t>
            </w:r>
            <w:r w:rsidR="008C5EDB" w:rsidRPr="001E6EE0">
              <w:rPr>
                <w:rFonts w:ascii="Arial Narrow" w:hAnsi="Arial Narrow" w:cs="Calibri"/>
                <w:szCs w:val="20"/>
              </w:rPr>
              <w:t xml:space="preserve"> the clinical claim to </w:t>
            </w:r>
            <w:r w:rsidR="009C594A" w:rsidRPr="001E6EE0">
              <w:rPr>
                <w:rFonts w:ascii="Arial Narrow" w:hAnsi="Arial Narrow" w:cs="Calibri"/>
                <w:szCs w:val="20"/>
              </w:rPr>
              <w:t xml:space="preserve">finerenone has an inferior safety </w:t>
            </w:r>
            <w:r w:rsidR="008C5EDB" w:rsidRPr="001E6EE0">
              <w:rPr>
                <w:rFonts w:ascii="Arial Narrow" w:hAnsi="Arial Narrow" w:cs="Calibri"/>
                <w:szCs w:val="20"/>
              </w:rPr>
              <w:t>compared to</w:t>
            </w:r>
            <w:r w:rsidR="009C594A" w:rsidRPr="001E6EE0">
              <w:rPr>
                <w:rFonts w:ascii="Arial Narrow" w:hAnsi="Arial Narrow" w:cs="Calibri"/>
                <w:szCs w:val="20"/>
              </w:rPr>
              <w:t xml:space="preserve"> placebo</w:t>
            </w:r>
            <w:r w:rsidR="008C5EDB" w:rsidRPr="001E6EE0">
              <w:rPr>
                <w:rFonts w:ascii="Arial Narrow" w:hAnsi="Arial Narrow" w:cs="Calibri"/>
                <w:szCs w:val="20"/>
              </w:rPr>
              <w:t>.</w:t>
            </w:r>
          </w:p>
        </w:tc>
      </w:tr>
      <w:tr w:rsidR="008C5EDB" w:rsidRPr="008F1D74" w14:paraId="055F855C" w14:textId="77777777" w:rsidTr="00D77756">
        <w:trPr>
          <w:cantSplit/>
        </w:trPr>
        <w:tc>
          <w:tcPr>
            <w:tcW w:w="5000" w:type="pct"/>
            <w:gridSpan w:val="2"/>
          </w:tcPr>
          <w:p w14:paraId="1227366C" w14:textId="6EA06D6C" w:rsidR="008C5EDB" w:rsidRPr="00CC41AE" w:rsidRDefault="008C5EDB" w:rsidP="0099147A">
            <w:pPr>
              <w:pStyle w:val="COMTabletext"/>
              <w:widowControl w:val="0"/>
              <w:rPr>
                <w:szCs w:val="20"/>
              </w:rPr>
            </w:pPr>
            <w:r>
              <w:rPr>
                <w:b/>
                <w:szCs w:val="20"/>
              </w:rPr>
              <w:t xml:space="preserve">Economic </w:t>
            </w:r>
            <w:r w:rsidR="00952583">
              <w:rPr>
                <w:b/>
                <w:szCs w:val="20"/>
              </w:rPr>
              <w:t>evaluation</w:t>
            </w:r>
            <w:r w:rsidRPr="00CC41AE">
              <w:rPr>
                <w:b/>
                <w:szCs w:val="20"/>
              </w:rPr>
              <w:t xml:space="preserve"> </w:t>
            </w:r>
          </w:p>
        </w:tc>
      </w:tr>
      <w:tr w:rsidR="00413A2D" w:rsidRPr="008F1D74" w14:paraId="62DE74BB" w14:textId="77777777" w:rsidTr="00D058DC">
        <w:trPr>
          <w:cantSplit/>
        </w:trPr>
        <w:tc>
          <w:tcPr>
            <w:tcW w:w="2434" w:type="pct"/>
          </w:tcPr>
          <w:p w14:paraId="0CB71C9C" w14:textId="2F0BF031" w:rsidR="00413A2D" w:rsidRPr="008F1D74" w:rsidRDefault="00413A2D" w:rsidP="0099147A">
            <w:pPr>
              <w:pStyle w:val="COMTabletext"/>
              <w:keepNext w:val="0"/>
              <w:widowControl w:val="0"/>
              <w:rPr>
                <w:szCs w:val="20"/>
              </w:rPr>
            </w:pPr>
            <w:bookmarkStart w:id="5" w:name="_Hlk115865067"/>
            <w:r w:rsidRPr="00642418">
              <w:rPr>
                <w:rFonts w:cs="Calibri"/>
                <w:szCs w:val="20"/>
              </w:rPr>
              <w:t>The PBAC advised that the baseline risk in the economic model be adjusted to reflect the proposed PBS population, including use only in patients with very high albuminuria</w:t>
            </w:r>
            <w:r w:rsidR="00600F85">
              <w:rPr>
                <w:rFonts w:cs="Calibri"/>
                <w:szCs w:val="20"/>
              </w:rPr>
              <w:t xml:space="preserve"> (</w:t>
            </w:r>
            <w:r w:rsidR="00600F85" w:rsidRPr="001E6EE0">
              <w:rPr>
                <w:rFonts w:cs="Calibri"/>
                <w:szCs w:val="20"/>
              </w:rPr>
              <w:t>UACR</w:t>
            </w:r>
            <w:r w:rsidR="00600F85">
              <w:rPr>
                <w:rFonts w:cs="Calibri"/>
                <w:szCs w:val="20"/>
              </w:rPr>
              <w:t xml:space="preserve"> </w:t>
            </w:r>
            <w:r w:rsidR="00600F85" w:rsidRPr="001E6EE0">
              <w:rPr>
                <w:rFonts w:cs="Calibri"/>
                <w:szCs w:val="20"/>
              </w:rPr>
              <w:t>≥</w:t>
            </w:r>
            <w:r w:rsidR="00600F85">
              <w:rPr>
                <w:rFonts w:cs="Calibri"/>
                <w:szCs w:val="20"/>
              </w:rPr>
              <w:t> 3</w:t>
            </w:r>
            <w:r w:rsidR="00600F85" w:rsidRPr="001E6EE0">
              <w:rPr>
                <w:rFonts w:cs="Calibri"/>
                <w:szCs w:val="20"/>
              </w:rPr>
              <w:t>00</w:t>
            </w:r>
            <w:r w:rsidR="00600F85">
              <w:rPr>
                <w:rFonts w:cs="Calibri"/>
                <w:szCs w:val="20"/>
              </w:rPr>
              <w:t xml:space="preserve"> </w:t>
            </w:r>
            <w:r w:rsidR="00600F85" w:rsidRPr="001E6EE0">
              <w:rPr>
                <w:rFonts w:cs="Calibri"/>
                <w:szCs w:val="20"/>
              </w:rPr>
              <w:t>mg/g</w:t>
            </w:r>
            <w:r w:rsidR="00600F85">
              <w:rPr>
                <w:rFonts w:cs="Calibri"/>
                <w:szCs w:val="20"/>
              </w:rPr>
              <w:t>)</w:t>
            </w:r>
            <w:r w:rsidRPr="00642418">
              <w:rPr>
                <w:rFonts w:cs="Calibri"/>
                <w:szCs w:val="20"/>
              </w:rPr>
              <w:t>, and expected use of concomitant SGLT2</w:t>
            </w:r>
            <w:r w:rsidR="00D0028E">
              <w:rPr>
                <w:rFonts w:cs="Calibri"/>
                <w:szCs w:val="20"/>
              </w:rPr>
              <w:t xml:space="preserve">i </w:t>
            </w:r>
            <w:r w:rsidRPr="00642418">
              <w:rPr>
                <w:rFonts w:cs="Calibri"/>
                <w:szCs w:val="20"/>
              </w:rPr>
              <w:t>therapy (para 7.10, Finerenone PSD, July 2022 PBAC Meeting).</w:t>
            </w:r>
            <w:bookmarkEnd w:id="5"/>
          </w:p>
        </w:tc>
        <w:tc>
          <w:tcPr>
            <w:tcW w:w="2566" w:type="pct"/>
          </w:tcPr>
          <w:p w14:paraId="35FD9186" w14:textId="033DA898" w:rsidR="00413A2D" w:rsidRDefault="00413A2D" w:rsidP="0099147A">
            <w:pPr>
              <w:pStyle w:val="PBACTabletext"/>
              <w:keepNext w:val="0"/>
              <w:keepLines w:val="0"/>
              <w:widowControl w:val="0"/>
              <w:suppressLineNumbers w:val="0"/>
              <w:rPr>
                <w:rFonts w:ascii="Arial Narrow" w:hAnsi="Arial Narrow" w:cs="Calibri"/>
                <w:szCs w:val="20"/>
              </w:rPr>
            </w:pPr>
            <w:r w:rsidRPr="00642418">
              <w:rPr>
                <w:rFonts w:ascii="Arial Narrow" w:hAnsi="Arial Narrow" w:cs="Calibri"/>
                <w:szCs w:val="20"/>
              </w:rPr>
              <w:t>Baseline patient characteristics were revised based on the FIDELITY UACR</w:t>
            </w:r>
            <w:r w:rsidR="00C2128B">
              <w:rPr>
                <w:rFonts w:ascii="Arial Narrow" w:hAnsi="Arial Narrow" w:cs="Calibri"/>
                <w:szCs w:val="20"/>
              </w:rPr>
              <w:t xml:space="preserve"> </w:t>
            </w:r>
            <w:r w:rsidRPr="00642418">
              <w:rPr>
                <w:rFonts w:ascii="Arial Narrow" w:hAnsi="Arial Narrow" w:cs="Calibri"/>
                <w:szCs w:val="20"/>
              </w:rPr>
              <w:t>≥</w:t>
            </w:r>
            <w:r w:rsidR="00C2128B">
              <w:rPr>
                <w:rFonts w:ascii="Arial Narrow" w:hAnsi="Arial Narrow" w:cs="Calibri"/>
                <w:szCs w:val="20"/>
              </w:rPr>
              <w:t> </w:t>
            </w:r>
            <w:r w:rsidRPr="00642418">
              <w:rPr>
                <w:rFonts w:ascii="Arial Narrow" w:hAnsi="Arial Narrow" w:cs="Calibri"/>
                <w:szCs w:val="20"/>
              </w:rPr>
              <w:t>200</w:t>
            </w:r>
            <w:r w:rsidR="00C2128B">
              <w:rPr>
                <w:rFonts w:ascii="Arial Narrow" w:hAnsi="Arial Narrow" w:cs="Calibri"/>
                <w:szCs w:val="20"/>
              </w:rPr>
              <w:t> </w:t>
            </w:r>
            <w:r w:rsidRPr="00642418">
              <w:rPr>
                <w:rFonts w:ascii="Arial Narrow" w:hAnsi="Arial Narrow" w:cs="Calibri"/>
                <w:szCs w:val="20"/>
              </w:rPr>
              <w:t>mg/g subgroup.</w:t>
            </w:r>
          </w:p>
          <w:p w14:paraId="67D148B0" w14:textId="3C8F9AF3" w:rsidR="00AF3B8B" w:rsidRPr="003623B9" w:rsidRDefault="00413A2D" w:rsidP="0099147A">
            <w:pPr>
              <w:pStyle w:val="COMTabletext"/>
              <w:keepNext w:val="0"/>
              <w:widowControl w:val="0"/>
              <w:rPr>
                <w:rFonts w:cs="Calibri"/>
                <w:szCs w:val="20"/>
              </w:rPr>
            </w:pPr>
            <w:r w:rsidRPr="00642418">
              <w:rPr>
                <w:rFonts w:cs="Calibri"/>
                <w:szCs w:val="20"/>
              </w:rPr>
              <w:t>Baseline CKD, heart failure hospitalisation, cardiovascular mortality and hyperkalaemia risks were based on the FIDELITY UACR</w:t>
            </w:r>
            <w:r w:rsidR="00C2128B">
              <w:rPr>
                <w:rFonts w:cs="Calibri"/>
                <w:szCs w:val="20"/>
              </w:rPr>
              <w:t xml:space="preserve"> </w:t>
            </w:r>
            <w:r w:rsidRPr="00642418">
              <w:rPr>
                <w:rFonts w:cs="Calibri"/>
                <w:szCs w:val="20"/>
              </w:rPr>
              <w:t>≥</w:t>
            </w:r>
            <w:r w:rsidR="00C2128B">
              <w:rPr>
                <w:rFonts w:cs="Calibri"/>
                <w:szCs w:val="20"/>
              </w:rPr>
              <w:t> </w:t>
            </w:r>
            <w:r w:rsidRPr="00642418">
              <w:rPr>
                <w:rFonts w:cs="Calibri"/>
                <w:szCs w:val="20"/>
              </w:rPr>
              <w:t>200 mg/g SGLT2</w:t>
            </w:r>
            <w:r w:rsidR="00D0028E">
              <w:rPr>
                <w:rFonts w:cs="Calibri"/>
                <w:szCs w:val="20"/>
              </w:rPr>
              <w:t xml:space="preserve">i </w:t>
            </w:r>
            <w:r w:rsidRPr="00642418">
              <w:rPr>
                <w:rFonts w:cs="Calibri"/>
                <w:szCs w:val="20"/>
              </w:rPr>
              <w:t>non-user subgroup, adjusted for SGLT2</w:t>
            </w:r>
            <w:r w:rsidR="00D0028E">
              <w:rPr>
                <w:rFonts w:cs="Calibri"/>
                <w:szCs w:val="20"/>
              </w:rPr>
              <w:t xml:space="preserve">i </w:t>
            </w:r>
            <w:r w:rsidRPr="00642418">
              <w:rPr>
                <w:rFonts w:cs="Calibri"/>
                <w:szCs w:val="20"/>
              </w:rPr>
              <w:t>treatment effects (based on the results of the DAPA-CKD trial diabetes subgroup).</w:t>
            </w:r>
          </w:p>
        </w:tc>
      </w:tr>
      <w:tr w:rsidR="00413A2D" w:rsidRPr="008F1D74" w14:paraId="448A06D4" w14:textId="77777777" w:rsidTr="00D058DC">
        <w:trPr>
          <w:cantSplit/>
        </w:trPr>
        <w:tc>
          <w:tcPr>
            <w:tcW w:w="2434" w:type="pct"/>
          </w:tcPr>
          <w:p w14:paraId="54FB0B76" w14:textId="196BAD8E" w:rsidR="00413A2D" w:rsidRPr="008F1D74" w:rsidRDefault="00413A2D" w:rsidP="0099147A">
            <w:pPr>
              <w:pStyle w:val="COMTabletext"/>
              <w:keepNext w:val="0"/>
              <w:widowControl w:val="0"/>
              <w:rPr>
                <w:szCs w:val="20"/>
              </w:rPr>
            </w:pPr>
            <w:r w:rsidRPr="00642418">
              <w:rPr>
                <w:rFonts w:cs="Calibri"/>
                <w:szCs w:val="20"/>
              </w:rPr>
              <w:t>It was inappropriate for the submission to have assumed independent treatment effects for progression in chronic kidney disease and progression to dialysis, as both treatment effects share a high degree of overlap (the PBAC noted this was adjusted in the evaluation alternative base case in Table 16) (para 7.10, Finerenone PSD, July 2022 PBAC Meeting).</w:t>
            </w:r>
          </w:p>
        </w:tc>
        <w:tc>
          <w:tcPr>
            <w:tcW w:w="2566" w:type="pct"/>
          </w:tcPr>
          <w:p w14:paraId="7C433796" w14:textId="77777777" w:rsidR="00413A2D" w:rsidRPr="00642418" w:rsidRDefault="00413A2D" w:rsidP="0099147A">
            <w:pPr>
              <w:pStyle w:val="PBACTabletext"/>
              <w:keepNext w:val="0"/>
              <w:keepLines w:val="0"/>
              <w:widowControl w:val="0"/>
              <w:suppressLineNumbers w:val="0"/>
              <w:rPr>
                <w:rFonts w:ascii="Arial Narrow" w:hAnsi="Arial Narrow" w:cs="Calibri"/>
                <w:szCs w:val="20"/>
              </w:rPr>
            </w:pPr>
            <w:r w:rsidRPr="00642418">
              <w:rPr>
                <w:rFonts w:ascii="Arial Narrow" w:hAnsi="Arial Narrow" w:cs="Calibri"/>
                <w:szCs w:val="20"/>
              </w:rPr>
              <w:t xml:space="preserve">The resubmission argued that it was appropriate to apply independent finerenone treatment effects for progression to CKD stage 5 and progression to dialysis. </w:t>
            </w:r>
          </w:p>
          <w:p w14:paraId="5CE2A1C5" w14:textId="77777777" w:rsidR="00FB4D38" w:rsidRDefault="00413A2D" w:rsidP="0099147A">
            <w:pPr>
              <w:pStyle w:val="COMTabletext"/>
              <w:keepNext w:val="0"/>
              <w:widowControl w:val="0"/>
              <w:rPr>
                <w:rFonts w:cs="Calibri"/>
                <w:szCs w:val="20"/>
              </w:rPr>
            </w:pPr>
            <w:r w:rsidRPr="00642418">
              <w:rPr>
                <w:rFonts w:cs="Calibri"/>
                <w:szCs w:val="20"/>
              </w:rPr>
              <w:t xml:space="preserve">The resubmission presented </w:t>
            </w:r>
            <w:r>
              <w:rPr>
                <w:rFonts w:cs="Calibri"/>
                <w:szCs w:val="20"/>
              </w:rPr>
              <w:t>Kaplan Meier</w:t>
            </w:r>
            <w:r w:rsidRPr="00642418">
              <w:rPr>
                <w:rFonts w:cs="Calibri"/>
                <w:szCs w:val="20"/>
              </w:rPr>
              <w:t xml:space="preserve"> curves comparing time to dialysis in patients that reach CKD stage 5 for patients treated with finerenone versus placebo to support a treatment effect for finerenone in delaying progression to dialysis from CKD stage 5.</w:t>
            </w:r>
          </w:p>
          <w:p w14:paraId="3DF39438" w14:textId="2B950CA6" w:rsidR="006A0F8E" w:rsidRPr="003004D3" w:rsidRDefault="006A0F8E" w:rsidP="0099147A">
            <w:pPr>
              <w:pStyle w:val="COMTabletext"/>
              <w:keepNext w:val="0"/>
              <w:widowControl w:val="0"/>
            </w:pPr>
            <w:r w:rsidRPr="003004D3">
              <w:t>In response to ESC advice (paragraph</w:t>
            </w:r>
            <w:r w:rsidR="001E64F4" w:rsidRPr="003004D3">
              <w:t xml:space="preserve"> </w:t>
            </w:r>
            <w:r w:rsidR="001E64F4" w:rsidRPr="003004D3">
              <w:fldChar w:fldCharType="begin"/>
            </w:r>
            <w:r w:rsidR="001E64F4" w:rsidRPr="003004D3">
              <w:instrText xml:space="preserve"> REF _Ref129947015 \r \h </w:instrText>
            </w:r>
            <w:r w:rsidR="001E64F4">
              <w:instrText xml:space="preserve"> \* MERGEFORMAT </w:instrText>
            </w:r>
            <w:r w:rsidR="001E64F4" w:rsidRPr="003004D3">
              <w:fldChar w:fldCharType="separate"/>
            </w:r>
            <w:r w:rsidR="005562EE">
              <w:t>6.46</w:t>
            </w:r>
            <w:r w:rsidR="001E64F4" w:rsidRPr="003004D3">
              <w:fldChar w:fldCharType="end"/>
            </w:r>
            <w:r w:rsidR="001E64F4" w:rsidRPr="003004D3">
              <w:t>)</w:t>
            </w:r>
            <w:r w:rsidR="001E64F4">
              <w:t>, t</w:t>
            </w:r>
            <w:r w:rsidR="001E64F4">
              <w:rPr>
                <w:iCs/>
              </w:rPr>
              <w:t>he pre-PBAC response provided a revised economic model with equal rates of progression from CKD 5 to dialysis in both arms of the model (hazard ratio [HR] = 1).</w:t>
            </w:r>
          </w:p>
        </w:tc>
      </w:tr>
      <w:tr w:rsidR="00413A2D" w:rsidRPr="008F1D74" w14:paraId="408D31F8" w14:textId="77777777" w:rsidTr="00D058DC">
        <w:trPr>
          <w:cantSplit/>
        </w:trPr>
        <w:tc>
          <w:tcPr>
            <w:tcW w:w="2434" w:type="pct"/>
          </w:tcPr>
          <w:p w14:paraId="5B2E6F20" w14:textId="76459BBA" w:rsidR="00413A2D" w:rsidRPr="008F1D74" w:rsidRDefault="00413A2D" w:rsidP="0099147A">
            <w:pPr>
              <w:pStyle w:val="COMTabletext"/>
              <w:keepNext w:val="0"/>
              <w:widowControl w:val="0"/>
              <w:rPr>
                <w:szCs w:val="20"/>
              </w:rPr>
            </w:pPr>
            <w:r w:rsidRPr="00642418">
              <w:rPr>
                <w:rFonts w:cs="Calibri"/>
                <w:szCs w:val="20"/>
              </w:rPr>
              <w:t>Based on subgroup analyses in SGLT2</w:t>
            </w:r>
            <w:r w:rsidR="007E02EF">
              <w:rPr>
                <w:rFonts w:cs="Calibri"/>
                <w:szCs w:val="20"/>
              </w:rPr>
              <w:t xml:space="preserve">i </w:t>
            </w:r>
            <w:r w:rsidRPr="00642418">
              <w:rPr>
                <w:rFonts w:cs="Calibri"/>
                <w:szCs w:val="20"/>
              </w:rPr>
              <w:t>users/non-users presented in the July 2022 submission, the PBAC considered that the magnitude of treatment benefit for patients receiving an SGLT2</w:t>
            </w:r>
            <w:r w:rsidR="00D0028E">
              <w:rPr>
                <w:rFonts w:cs="Calibri"/>
                <w:szCs w:val="20"/>
              </w:rPr>
              <w:t xml:space="preserve">i </w:t>
            </w:r>
            <w:r w:rsidRPr="00642418">
              <w:rPr>
                <w:rFonts w:cs="Calibri"/>
                <w:szCs w:val="20"/>
              </w:rPr>
              <w:t>was highly uncertain due to the small number of patients in the clinical trials receiving this class of drugs (6.7% in FIDELITY), which resulted in imprecise and inconsistent results across the clinical trial subgroup analyses for this group. Given this uncertainty, the PBAC considered that conservative estimates of treatment effect in these patients would be most appropriate (para 7.7, Finerenone PSD, July 2022 PBAC meeting).</w:t>
            </w:r>
          </w:p>
        </w:tc>
        <w:tc>
          <w:tcPr>
            <w:tcW w:w="2566" w:type="pct"/>
          </w:tcPr>
          <w:p w14:paraId="1F69FFF6" w14:textId="13207A46" w:rsidR="00413A2D" w:rsidRPr="008F1D74" w:rsidRDefault="00413A2D" w:rsidP="0099147A">
            <w:pPr>
              <w:pStyle w:val="COMTabletext"/>
              <w:keepNext w:val="0"/>
              <w:widowControl w:val="0"/>
            </w:pPr>
            <w:r w:rsidRPr="00642418">
              <w:rPr>
                <w:rFonts w:cs="Calibri"/>
                <w:szCs w:val="20"/>
              </w:rPr>
              <w:t xml:space="preserve">Based on the </w:t>
            </w:r>
            <w:r w:rsidRPr="003E217C">
              <w:rPr>
                <w:rFonts w:cs="Calibri"/>
                <w:i/>
                <w:iCs/>
                <w:szCs w:val="20"/>
              </w:rPr>
              <w:t>post hoc</w:t>
            </w:r>
            <w:r w:rsidRPr="00642418">
              <w:rPr>
                <w:rFonts w:cs="Calibri"/>
                <w:szCs w:val="20"/>
              </w:rPr>
              <w:t xml:space="preserve"> subgroup analyses presented in Section 2.6, the resubmission claimed that there is a comparable (if not greater) treatment effect in the FIDELITY UACR</w:t>
            </w:r>
            <w:r w:rsidR="00152348">
              <w:rPr>
                <w:rFonts w:cs="Calibri"/>
                <w:szCs w:val="20"/>
              </w:rPr>
              <w:t> </w:t>
            </w:r>
            <w:r w:rsidRPr="00642418">
              <w:rPr>
                <w:rFonts w:cs="Calibri"/>
                <w:szCs w:val="20"/>
              </w:rPr>
              <w:t>≥</w:t>
            </w:r>
            <w:r w:rsidR="00152348">
              <w:rPr>
                <w:rFonts w:cs="Calibri"/>
                <w:szCs w:val="20"/>
              </w:rPr>
              <w:t> </w:t>
            </w:r>
            <w:r w:rsidRPr="00642418">
              <w:rPr>
                <w:rFonts w:cs="Calibri"/>
                <w:szCs w:val="20"/>
              </w:rPr>
              <w:t>200</w:t>
            </w:r>
            <w:r w:rsidR="00152348">
              <w:rPr>
                <w:rFonts w:cs="Calibri"/>
                <w:szCs w:val="20"/>
              </w:rPr>
              <w:t> </w:t>
            </w:r>
            <w:r w:rsidRPr="00642418">
              <w:rPr>
                <w:rFonts w:cs="Calibri"/>
                <w:szCs w:val="20"/>
              </w:rPr>
              <w:t>mg/g subgroup and UACR</w:t>
            </w:r>
            <w:r w:rsidR="00152348">
              <w:rPr>
                <w:rFonts w:cs="Calibri"/>
                <w:szCs w:val="20"/>
              </w:rPr>
              <w:t xml:space="preserve"> </w:t>
            </w:r>
            <w:r w:rsidRPr="00642418">
              <w:rPr>
                <w:rFonts w:cs="Calibri"/>
                <w:szCs w:val="20"/>
              </w:rPr>
              <w:t>≥</w:t>
            </w:r>
            <w:r w:rsidR="00152348">
              <w:rPr>
                <w:rFonts w:cs="Calibri"/>
                <w:szCs w:val="20"/>
              </w:rPr>
              <w:t xml:space="preserve"> </w:t>
            </w:r>
            <w:r w:rsidRPr="00642418">
              <w:rPr>
                <w:rFonts w:cs="Calibri"/>
                <w:szCs w:val="20"/>
              </w:rPr>
              <w:t>200</w:t>
            </w:r>
            <w:r w:rsidR="00152348">
              <w:rPr>
                <w:rFonts w:cs="Calibri"/>
                <w:szCs w:val="20"/>
              </w:rPr>
              <w:t xml:space="preserve"> </w:t>
            </w:r>
            <w:r w:rsidRPr="00642418">
              <w:rPr>
                <w:rFonts w:cs="Calibri"/>
                <w:szCs w:val="20"/>
              </w:rPr>
              <w:t>mg/g SGLT2</w:t>
            </w:r>
            <w:r w:rsidR="007B4836">
              <w:rPr>
                <w:rFonts w:cs="Calibri"/>
                <w:szCs w:val="20"/>
              </w:rPr>
              <w:t xml:space="preserve">i </w:t>
            </w:r>
            <w:r w:rsidRPr="00642418">
              <w:rPr>
                <w:rFonts w:cs="Calibri"/>
                <w:szCs w:val="20"/>
              </w:rPr>
              <w:t>user subgroup relative to the FIDELITY whole study population, on composite cardiovascular and renal endpoints. The resubmission acknowledged the uncertainty in the UACR</w:t>
            </w:r>
            <w:r w:rsidR="00C2128B">
              <w:rPr>
                <w:rFonts w:cs="Calibri"/>
                <w:szCs w:val="20"/>
              </w:rPr>
              <w:t> </w:t>
            </w:r>
            <w:r w:rsidRPr="00642418">
              <w:rPr>
                <w:rFonts w:cs="Calibri"/>
                <w:szCs w:val="20"/>
              </w:rPr>
              <w:t>≥</w:t>
            </w:r>
            <w:r w:rsidR="00C2128B">
              <w:rPr>
                <w:rFonts w:cs="Calibri"/>
                <w:szCs w:val="20"/>
              </w:rPr>
              <w:t> </w:t>
            </w:r>
            <w:r w:rsidRPr="00642418">
              <w:rPr>
                <w:rFonts w:cs="Calibri"/>
                <w:szCs w:val="20"/>
              </w:rPr>
              <w:t>200</w:t>
            </w:r>
            <w:r w:rsidR="00C2128B">
              <w:rPr>
                <w:rFonts w:cs="Calibri"/>
                <w:szCs w:val="20"/>
              </w:rPr>
              <w:t> </w:t>
            </w:r>
            <w:r w:rsidRPr="00642418">
              <w:rPr>
                <w:rFonts w:cs="Calibri"/>
                <w:szCs w:val="20"/>
              </w:rPr>
              <w:t>mg/g SGLT2</w:t>
            </w:r>
            <w:r w:rsidR="00D0028E">
              <w:rPr>
                <w:rFonts w:cs="Calibri"/>
                <w:szCs w:val="20"/>
              </w:rPr>
              <w:t xml:space="preserve">i </w:t>
            </w:r>
            <w:r w:rsidRPr="00642418">
              <w:rPr>
                <w:rFonts w:cs="Calibri"/>
                <w:szCs w:val="20"/>
              </w:rPr>
              <w:t>user subgroup, due to the small numbers of patients, and the treatment effect of finerenone was appropriately based on the FIDELITY whole study (FAS) population.</w:t>
            </w:r>
            <w:r w:rsidR="00600F85">
              <w:rPr>
                <w:rFonts w:cs="Calibri"/>
                <w:szCs w:val="20"/>
              </w:rPr>
              <w:t xml:space="preserve"> </w:t>
            </w:r>
          </w:p>
        </w:tc>
      </w:tr>
      <w:tr w:rsidR="00413A2D" w:rsidRPr="008F1D74" w14:paraId="18CF3CBE" w14:textId="77777777" w:rsidTr="00D058DC">
        <w:trPr>
          <w:cantSplit/>
        </w:trPr>
        <w:tc>
          <w:tcPr>
            <w:tcW w:w="2434" w:type="pct"/>
          </w:tcPr>
          <w:p w14:paraId="240DAE5B" w14:textId="73ADDB42" w:rsidR="00413A2D" w:rsidRPr="008F1D74" w:rsidRDefault="00413A2D" w:rsidP="0099147A">
            <w:pPr>
              <w:pStyle w:val="COMTabletext"/>
              <w:keepNext w:val="0"/>
              <w:widowControl w:val="0"/>
              <w:rPr>
                <w:szCs w:val="20"/>
              </w:rPr>
            </w:pPr>
            <w:r w:rsidRPr="00642418">
              <w:rPr>
                <w:rFonts w:cs="Calibri"/>
                <w:szCs w:val="20"/>
              </w:rPr>
              <w:t>The PBAC considered that the modelled treatment effects of finerenone on the constructed composite endpoints for first non-fatal cardiovascular event and subsequent cardiovascular event were not adequately supported by the clinical trial data, which indicated a reduction in heart failure events, but not in myocardial infarction and stroke events (para 7.10 and Table 13, Finerenone PSD, July 2022 PBAC Meeting).</w:t>
            </w:r>
          </w:p>
        </w:tc>
        <w:tc>
          <w:tcPr>
            <w:tcW w:w="2566" w:type="pct"/>
          </w:tcPr>
          <w:p w14:paraId="3BE69AD9" w14:textId="6FC164B7" w:rsidR="00413A2D" w:rsidRPr="008F1D74" w:rsidRDefault="00413A2D" w:rsidP="0099147A">
            <w:pPr>
              <w:pStyle w:val="COMTabletext"/>
              <w:keepNext w:val="0"/>
              <w:widowControl w:val="0"/>
            </w:pPr>
            <w:r w:rsidRPr="00642418">
              <w:rPr>
                <w:rFonts w:cs="Calibri"/>
                <w:szCs w:val="20"/>
              </w:rPr>
              <w:t>The model has been revised so that only first and subsequent heart failure hospitalisation events are modelled.</w:t>
            </w:r>
          </w:p>
        </w:tc>
      </w:tr>
      <w:tr w:rsidR="00413A2D" w:rsidRPr="008F1D74" w14:paraId="4869F237" w14:textId="77777777" w:rsidTr="00D058DC">
        <w:trPr>
          <w:cantSplit/>
        </w:trPr>
        <w:tc>
          <w:tcPr>
            <w:tcW w:w="2434" w:type="pct"/>
          </w:tcPr>
          <w:p w14:paraId="48FB1853" w14:textId="6941B67E" w:rsidR="00413A2D" w:rsidRPr="008F1D74" w:rsidRDefault="00413A2D" w:rsidP="0099147A">
            <w:pPr>
              <w:pStyle w:val="COMTabletext"/>
              <w:keepNext w:val="0"/>
              <w:widowControl w:val="0"/>
              <w:rPr>
                <w:szCs w:val="20"/>
              </w:rPr>
            </w:pPr>
            <w:r w:rsidRPr="00642418">
              <w:rPr>
                <w:rFonts w:cs="Calibri"/>
                <w:szCs w:val="20"/>
              </w:rPr>
              <w:t>The model structure did not appropriately account for the relationship between renal disease progression, risk of hyperkalaemia, and treatment discontinuation, which should have been connected. The PBAC considered that treatment discontinuation and hyperkalaemia events in the extrapolated period did not reflect clinical practice where both hyperkalaemia and discontinuation become more likely as renal function impairment progresses (para 7.10, Finerenone PSD, July 2022 PBAC Meeting).</w:t>
            </w:r>
          </w:p>
        </w:tc>
        <w:tc>
          <w:tcPr>
            <w:tcW w:w="2566" w:type="pct"/>
          </w:tcPr>
          <w:p w14:paraId="1902DCE9" w14:textId="77777777" w:rsidR="00413A2D" w:rsidRPr="00642418" w:rsidRDefault="00413A2D" w:rsidP="0099147A">
            <w:pPr>
              <w:pStyle w:val="PBACTabletext"/>
              <w:keepNext w:val="0"/>
              <w:keepLines w:val="0"/>
              <w:widowControl w:val="0"/>
              <w:suppressLineNumbers w:val="0"/>
              <w:rPr>
                <w:rFonts w:ascii="Arial Narrow" w:hAnsi="Arial Narrow" w:cs="Calibri"/>
                <w:szCs w:val="20"/>
              </w:rPr>
            </w:pPr>
            <w:r w:rsidRPr="00642418">
              <w:rPr>
                <w:rFonts w:ascii="Arial Narrow" w:hAnsi="Arial Narrow" w:cs="Calibri"/>
                <w:szCs w:val="20"/>
              </w:rPr>
              <w:t>The revised economic evaluation applies risks of hyperkalaemia and hyperkalaemia-related discontinuation based on CKD stage in the model, which allows the risks of hyperkalaemia to increase with renal disease progression.</w:t>
            </w:r>
          </w:p>
          <w:p w14:paraId="63E0F6D3" w14:textId="4642A6C1" w:rsidR="00B81A4A" w:rsidRPr="00B81A4A" w:rsidRDefault="00413A2D" w:rsidP="0099147A">
            <w:pPr>
              <w:pStyle w:val="COMTabletext"/>
              <w:keepNext w:val="0"/>
              <w:widowControl w:val="0"/>
              <w:rPr>
                <w:rFonts w:cs="Calibri"/>
                <w:iCs/>
                <w:szCs w:val="20"/>
              </w:rPr>
            </w:pPr>
            <w:r w:rsidRPr="00842145">
              <w:rPr>
                <w:rFonts w:cs="Calibri"/>
                <w:iCs/>
                <w:szCs w:val="20"/>
              </w:rPr>
              <w:t>However, finerenone treatment discontinuation is unchanged in the resubmission and assumed to be independent of CKD stage.</w:t>
            </w:r>
            <w:r w:rsidR="00B81A4A">
              <w:rPr>
                <w:rFonts w:cs="Calibri"/>
                <w:iCs/>
                <w:szCs w:val="20"/>
              </w:rPr>
              <w:t xml:space="preserve"> </w:t>
            </w:r>
            <w:r w:rsidR="00B81A4A" w:rsidRPr="009B20C0">
              <w:rPr>
                <w:iCs/>
              </w:rPr>
              <w:t>Therefore, the ESC considered that this issue was only partly addressed in the resubmission</w:t>
            </w:r>
            <w:r w:rsidR="001E64F4">
              <w:rPr>
                <w:iCs/>
              </w:rPr>
              <w:t xml:space="preserve"> (paragraph </w:t>
            </w:r>
            <w:r w:rsidR="001E64F4">
              <w:rPr>
                <w:iCs/>
              </w:rPr>
              <w:fldChar w:fldCharType="begin"/>
            </w:r>
            <w:r w:rsidR="001E64F4">
              <w:rPr>
                <w:iCs/>
              </w:rPr>
              <w:instrText xml:space="preserve"> REF _Ref129947388 \r \h </w:instrText>
            </w:r>
            <w:r w:rsidR="001E64F4">
              <w:rPr>
                <w:iCs/>
              </w:rPr>
            </w:r>
            <w:r w:rsidR="001E64F4">
              <w:rPr>
                <w:iCs/>
              </w:rPr>
              <w:fldChar w:fldCharType="separate"/>
            </w:r>
            <w:r w:rsidR="005562EE">
              <w:rPr>
                <w:iCs/>
              </w:rPr>
              <w:t>6.42</w:t>
            </w:r>
            <w:r w:rsidR="001E64F4">
              <w:rPr>
                <w:iCs/>
              </w:rPr>
              <w:fldChar w:fldCharType="end"/>
            </w:r>
            <w:r w:rsidR="001E64F4">
              <w:rPr>
                <w:iCs/>
              </w:rPr>
              <w:t>)</w:t>
            </w:r>
            <w:r w:rsidR="00B81A4A" w:rsidRPr="009B20C0">
              <w:rPr>
                <w:iCs/>
              </w:rPr>
              <w:t>.</w:t>
            </w:r>
            <w:r w:rsidR="001E64F4">
              <w:rPr>
                <w:iCs/>
              </w:rPr>
              <w:t xml:space="preserve"> </w:t>
            </w:r>
            <w:r w:rsidR="005607E9">
              <w:rPr>
                <w:iCs/>
              </w:rPr>
              <w:t xml:space="preserve">In response to </w:t>
            </w:r>
            <w:r w:rsidR="000175F6">
              <w:rPr>
                <w:iCs/>
              </w:rPr>
              <w:t xml:space="preserve">the </w:t>
            </w:r>
            <w:r w:rsidR="005607E9">
              <w:rPr>
                <w:iCs/>
              </w:rPr>
              <w:t>ESC advice, the</w:t>
            </w:r>
            <w:r w:rsidR="005607E9" w:rsidRPr="005607E9">
              <w:rPr>
                <w:iCs/>
              </w:rPr>
              <w:t xml:space="preserve"> pre-PBAC response</w:t>
            </w:r>
            <w:r w:rsidR="002A4D82">
              <w:rPr>
                <w:iCs/>
              </w:rPr>
              <w:t xml:space="preserve"> </w:t>
            </w:r>
            <w:r w:rsidR="005607E9" w:rsidRPr="005607E9">
              <w:rPr>
                <w:iCs/>
              </w:rPr>
              <w:t>provided a revised economic model with increased treatment discontinuation probabilities (submission base case: CKD1/2 = 3.48%, CKD3 = 3.78%, CKD4 = 4.08%; pre-PBAC response: CKD5 = 4.63%; CKD1/2 = 3.48%, CKD3 = 4.12%, CKD4 = 4.76%, and CKD5 = 5.64%).</w:t>
            </w:r>
            <w:r w:rsidR="005607E9">
              <w:rPr>
                <w:iCs/>
              </w:rPr>
              <w:t xml:space="preserve"> </w:t>
            </w:r>
          </w:p>
        </w:tc>
      </w:tr>
      <w:tr w:rsidR="00413A2D" w:rsidRPr="008F1D74" w14:paraId="29B3D92D" w14:textId="77777777" w:rsidTr="00D058DC">
        <w:trPr>
          <w:cantSplit/>
        </w:trPr>
        <w:tc>
          <w:tcPr>
            <w:tcW w:w="2434" w:type="pct"/>
          </w:tcPr>
          <w:p w14:paraId="2FEDBEC5" w14:textId="74F78554" w:rsidR="00413A2D" w:rsidRPr="008F1D74" w:rsidRDefault="00413A2D" w:rsidP="0099147A">
            <w:pPr>
              <w:pStyle w:val="COMTabletext"/>
              <w:keepNext w:val="0"/>
              <w:widowControl w:val="0"/>
              <w:rPr>
                <w:szCs w:val="20"/>
              </w:rPr>
            </w:pPr>
            <w:r w:rsidRPr="00642418">
              <w:rPr>
                <w:rFonts w:cs="Calibri"/>
                <w:szCs w:val="20"/>
              </w:rPr>
              <w:t>The costs applied to the dialysis health state were overestimated, and the costs applied in the evaluation alternative base case in Table 16 more accurately reflected current Australian practice (para 7.10, Finerenone PSD, July 2022 PBAC Meeting).</w:t>
            </w:r>
          </w:p>
        </w:tc>
        <w:tc>
          <w:tcPr>
            <w:tcW w:w="2566" w:type="pct"/>
          </w:tcPr>
          <w:p w14:paraId="4EBC5273" w14:textId="56C2EC96" w:rsidR="00413A2D" w:rsidRPr="008F1D74" w:rsidRDefault="00413A2D" w:rsidP="0099147A">
            <w:pPr>
              <w:pStyle w:val="COMTabletext"/>
              <w:keepNext w:val="0"/>
              <w:widowControl w:val="0"/>
            </w:pPr>
            <w:r w:rsidRPr="00642418">
              <w:rPr>
                <w:rFonts w:cs="Calibri"/>
                <w:szCs w:val="20"/>
              </w:rPr>
              <w:t xml:space="preserve">The revised model uses the same approach to costing dialysis as applied in the evaluation alternative base case. In addition, the AIHW total health price index </w:t>
            </w:r>
            <w:r>
              <w:rPr>
                <w:rFonts w:cs="Calibri"/>
                <w:szCs w:val="20"/>
              </w:rPr>
              <w:t>was</w:t>
            </w:r>
            <w:r w:rsidRPr="00642418">
              <w:rPr>
                <w:rFonts w:cs="Calibri"/>
                <w:szCs w:val="20"/>
              </w:rPr>
              <w:t xml:space="preserve"> used to inflate all costs (if required) in the model to be consistent with the approach to the costing of dialysis. </w:t>
            </w:r>
          </w:p>
        </w:tc>
      </w:tr>
      <w:tr w:rsidR="00413A2D" w:rsidRPr="008F1D74" w14:paraId="0C0A9BF4" w14:textId="77777777" w:rsidTr="00D058DC">
        <w:trPr>
          <w:cantSplit/>
        </w:trPr>
        <w:tc>
          <w:tcPr>
            <w:tcW w:w="2434" w:type="pct"/>
          </w:tcPr>
          <w:p w14:paraId="4ED252C2" w14:textId="736E52E0" w:rsidR="00413A2D" w:rsidRPr="008F1D74" w:rsidRDefault="00413A2D" w:rsidP="0099147A">
            <w:pPr>
              <w:pStyle w:val="COMTabletext"/>
              <w:keepNext w:val="0"/>
              <w:widowControl w:val="0"/>
              <w:rPr>
                <w:szCs w:val="20"/>
              </w:rPr>
            </w:pPr>
            <w:r w:rsidRPr="00642418">
              <w:rPr>
                <w:rFonts w:cs="Calibri"/>
                <w:szCs w:val="20"/>
              </w:rPr>
              <w:t>The PBAC concluded that finerenone as an add-on to SoC including an SGLT</w:t>
            </w:r>
            <w:r w:rsidR="007B4836">
              <w:rPr>
                <w:rFonts w:cs="Calibri"/>
                <w:szCs w:val="20"/>
              </w:rPr>
              <w:t>2</w:t>
            </w:r>
            <w:r w:rsidR="00D0028E">
              <w:rPr>
                <w:rFonts w:cs="Calibri"/>
                <w:szCs w:val="20"/>
              </w:rPr>
              <w:t>i</w:t>
            </w:r>
            <w:r w:rsidRPr="00642418">
              <w:rPr>
                <w:rFonts w:cs="Calibri"/>
                <w:szCs w:val="20"/>
              </w:rPr>
              <w:t>, was unlikely to be cost-effective at a price greater than that accepted for dapagliflozin for CKD (para 7.9, Finerenone PSD, July 2022 PBAC Meeting).</w:t>
            </w:r>
          </w:p>
        </w:tc>
        <w:tc>
          <w:tcPr>
            <w:tcW w:w="2566" w:type="pct"/>
          </w:tcPr>
          <w:p w14:paraId="75BDC3BA" w14:textId="40A05AC8" w:rsidR="00413A2D" w:rsidRPr="008F1D74" w:rsidRDefault="00413A2D" w:rsidP="0099147A">
            <w:pPr>
              <w:pStyle w:val="COMTabletext"/>
              <w:keepNext w:val="0"/>
              <w:widowControl w:val="0"/>
            </w:pPr>
            <w:r w:rsidRPr="00642418">
              <w:rPr>
                <w:rFonts w:cs="Calibri"/>
                <w:szCs w:val="20"/>
              </w:rPr>
              <w:t xml:space="preserve">The proposed DPMQ of finerenone </w:t>
            </w:r>
            <w:r w:rsidR="000175F6">
              <w:rPr>
                <w:rFonts w:cs="Calibri"/>
                <w:szCs w:val="20"/>
              </w:rPr>
              <w:t>wa</w:t>
            </w:r>
            <w:r w:rsidRPr="00642418">
              <w:rPr>
                <w:rFonts w:cs="Calibri"/>
                <w:szCs w:val="20"/>
              </w:rPr>
              <w:t xml:space="preserve">s unchanged in the resubmission. </w:t>
            </w:r>
            <w:r w:rsidR="006E1B61">
              <w:rPr>
                <w:iCs/>
              </w:rPr>
              <w:t>The pre-PBAC response provided a</w:t>
            </w:r>
            <w:r w:rsidR="008B301E">
              <w:rPr>
                <w:iCs/>
              </w:rPr>
              <w:t xml:space="preserve"> price reduction </w:t>
            </w:r>
            <w:r w:rsidR="006E1B61">
              <w:rPr>
                <w:iCs/>
              </w:rPr>
              <w:t>from</w:t>
            </w:r>
            <w:r w:rsidR="008B301E">
              <w:rPr>
                <w:iCs/>
              </w:rPr>
              <w:t xml:space="preserve"> </w:t>
            </w:r>
            <w:r w:rsidR="008B301E" w:rsidRPr="00B86466">
              <w:rPr>
                <w:iCs/>
              </w:rPr>
              <w:t>$</w:t>
            </w:r>
            <w:r w:rsidR="00320A42" w:rsidRPr="00320A42">
              <w:rPr>
                <w:iCs/>
                <w:color w:val="000000"/>
                <w:spacing w:val="53"/>
                <w:shd w:val="solid" w:color="000000" w:fill="000000"/>
                <w:fitText w:val="330" w:id="-1233442048"/>
                <w14:textFill>
                  <w14:solidFill>
                    <w14:srgbClr w14:val="000000">
                      <w14:alpha w14:val="100000"/>
                    </w14:srgbClr>
                  </w14:solidFill>
                </w14:textFill>
              </w:rPr>
              <w:t>|||</w:t>
            </w:r>
            <w:r w:rsidR="00320A42" w:rsidRPr="00320A42">
              <w:rPr>
                <w:iCs/>
                <w:color w:val="000000"/>
                <w:spacing w:val="1"/>
                <w:shd w:val="solid" w:color="000000" w:fill="000000"/>
                <w:fitText w:val="330" w:id="-1233442048"/>
                <w14:textFill>
                  <w14:solidFill>
                    <w14:srgbClr w14:val="000000">
                      <w14:alpha w14:val="100000"/>
                    </w14:srgbClr>
                  </w14:solidFill>
                </w14:textFill>
              </w:rPr>
              <w:t>|</w:t>
            </w:r>
            <w:r w:rsidR="008B301E" w:rsidRPr="00B86466">
              <w:rPr>
                <w:iCs/>
              </w:rPr>
              <w:t xml:space="preserve"> AEMP to $</w:t>
            </w:r>
            <w:r w:rsidR="00320A42" w:rsidRPr="00320A42">
              <w:rPr>
                <w:iCs/>
                <w:color w:val="000000"/>
                <w:spacing w:val="53"/>
                <w:shd w:val="solid" w:color="000000" w:fill="000000"/>
                <w:fitText w:val="330" w:id="-1233442047"/>
                <w14:textFill>
                  <w14:solidFill>
                    <w14:srgbClr w14:val="000000">
                      <w14:alpha w14:val="100000"/>
                    </w14:srgbClr>
                  </w14:solidFill>
                </w14:textFill>
              </w:rPr>
              <w:t>|||</w:t>
            </w:r>
            <w:r w:rsidR="00320A42" w:rsidRPr="00320A42">
              <w:rPr>
                <w:iCs/>
                <w:color w:val="000000"/>
                <w:spacing w:val="1"/>
                <w:shd w:val="solid" w:color="000000" w:fill="000000"/>
                <w:fitText w:val="330" w:id="-1233442047"/>
                <w14:textFill>
                  <w14:solidFill>
                    <w14:srgbClr w14:val="000000">
                      <w14:alpha w14:val="100000"/>
                    </w14:srgbClr>
                  </w14:solidFill>
                </w14:textFill>
              </w:rPr>
              <w:t>|</w:t>
            </w:r>
            <w:r w:rsidR="008B301E" w:rsidRPr="00B86466">
              <w:rPr>
                <w:iCs/>
              </w:rPr>
              <w:t xml:space="preserve"> AEMP</w:t>
            </w:r>
            <w:r w:rsidR="008B301E">
              <w:t>.</w:t>
            </w:r>
          </w:p>
        </w:tc>
      </w:tr>
      <w:tr w:rsidR="008C5EDB" w:rsidRPr="008F1D74" w14:paraId="1F3C1EC3" w14:textId="77777777" w:rsidTr="00E55CAA">
        <w:trPr>
          <w:cantSplit/>
        </w:trPr>
        <w:tc>
          <w:tcPr>
            <w:tcW w:w="5000" w:type="pct"/>
            <w:gridSpan w:val="2"/>
          </w:tcPr>
          <w:p w14:paraId="7712971D" w14:textId="622C2DAF" w:rsidR="008C5EDB" w:rsidRPr="00CC41AE" w:rsidRDefault="00952583" w:rsidP="0099147A">
            <w:pPr>
              <w:pStyle w:val="COMTabletext"/>
              <w:keepNext w:val="0"/>
              <w:widowControl w:val="0"/>
              <w:rPr>
                <w:szCs w:val="20"/>
              </w:rPr>
            </w:pPr>
            <w:r>
              <w:rPr>
                <w:b/>
                <w:szCs w:val="20"/>
              </w:rPr>
              <w:t>U</w:t>
            </w:r>
            <w:r w:rsidRPr="00952583">
              <w:rPr>
                <w:b/>
                <w:szCs w:val="20"/>
              </w:rPr>
              <w:t>tilisation and financial impact of listing</w:t>
            </w:r>
          </w:p>
        </w:tc>
      </w:tr>
      <w:tr w:rsidR="00934AD5" w:rsidRPr="008F1D74" w14:paraId="15A7AFF8" w14:textId="77777777" w:rsidTr="007D2B48">
        <w:trPr>
          <w:cantSplit/>
        </w:trPr>
        <w:tc>
          <w:tcPr>
            <w:tcW w:w="2434" w:type="pct"/>
          </w:tcPr>
          <w:p w14:paraId="46DE3BF6" w14:textId="0F3D7992" w:rsidR="00934AD5" w:rsidRPr="003215F6" w:rsidRDefault="003215F6" w:rsidP="0099147A">
            <w:pPr>
              <w:pStyle w:val="PBACTabletext"/>
              <w:keepNext w:val="0"/>
              <w:keepLines w:val="0"/>
              <w:widowControl w:val="0"/>
              <w:suppressLineNumbers w:val="0"/>
              <w:rPr>
                <w:rFonts w:ascii="Arial Narrow" w:hAnsi="Arial Narrow" w:cs="Calibri"/>
              </w:rPr>
            </w:pPr>
            <w:r w:rsidRPr="003215F6">
              <w:rPr>
                <w:rFonts w:ascii="Arial Narrow" w:hAnsi="Arial Narrow" w:cs="Calibri"/>
              </w:rPr>
              <w:t>The PBAC considered that the financial estimates did not reflect the more limited clinical position proposed by PBAC for finerenone use following treatment with an ACEi/ARB and SGLT2</w:t>
            </w:r>
            <w:r w:rsidR="00915665">
              <w:rPr>
                <w:rFonts w:ascii="Arial Narrow" w:hAnsi="Arial Narrow" w:cs="Calibri"/>
              </w:rPr>
              <w:t xml:space="preserve">i </w:t>
            </w:r>
            <w:r w:rsidRPr="003215F6">
              <w:rPr>
                <w:rFonts w:ascii="Arial Narrow" w:hAnsi="Arial Narrow" w:cs="Calibri"/>
              </w:rPr>
              <w:t xml:space="preserve">(unless contraindicated) and in patients with very high albuminuria </w:t>
            </w:r>
            <w:r w:rsidR="00934AD5" w:rsidRPr="00071C7A">
              <w:rPr>
                <w:rFonts w:ascii="Arial Narrow" w:hAnsi="Arial Narrow" w:cs="Calibri"/>
              </w:rPr>
              <w:t>(</w:t>
            </w:r>
            <w:r>
              <w:rPr>
                <w:rFonts w:ascii="Arial Narrow" w:hAnsi="Arial Narrow" w:cs="Calibri"/>
              </w:rPr>
              <w:t xml:space="preserve">para 7.11, </w:t>
            </w:r>
            <w:r w:rsidR="00E90619">
              <w:rPr>
                <w:rFonts w:ascii="Arial Narrow" w:hAnsi="Arial Narrow" w:cs="Calibri"/>
              </w:rPr>
              <w:t xml:space="preserve">Finerenone PSD, </w:t>
            </w:r>
            <w:r w:rsidR="00934AD5" w:rsidRPr="00071C7A">
              <w:rPr>
                <w:rFonts w:ascii="Arial Narrow" w:hAnsi="Arial Narrow" w:cs="Calibri"/>
              </w:rPr>
              <w:t xml:space="preserve">July 2022 PBAC </w:t>
            </w:r>
            <w:r w:rsidR="00E90619">
              <w:rPr>
                <w:rFonts w:ascii="Arial Narrow" w:hAnsi="Arial Narrow" w:cs="Calibri"/>
              </w:rPr>
              <w:t>m</w:t>
            </w:r>
            <w:r w:rsidR="00934AD5" w:rsidRPr="00071C7A">
              <w:rPr>
                <w:rFonts w:ascii="Arial Narrow" w:hAnsi="Arial Narrow" w:cs="Calibri"/>
              </w:rPr>
              <w:t>eeting).</w:t>
            </w:r>
          </w:p>
        </w:tc>
        <w:tc>
          <w:tcPr>
            <w:tcW w:w="2566" w:type="pct"/>
          </w:tcPr>
          <w:p w14:paraId="56AF1439" w14:textId="2AB5EF8A" w:rsidR="00934AD5" w:rsidRPr="00071C7A" w:rsidRDefault="00934AD5" w:rsidP="0099147A">
            <w:pPr>
              <w:pStyle w:val="COMTabletext"/>
              <w:keepNext w:val="0"/>
              <w:widowControl w:val="0"/>
            </w:pPr>
            <w:r w:rsidRPr="00071C7A">
              <w:rPr>
                <w:rFonts w:cs="Calibri"/>
              </w:rPr>
              <w:t xml:space="preserve">A revised budget impact analysis is presented in the resubmission consistent with the </w:t>
            </w:r>
            <w:r w:rsidR="0030272B" w:rsidRPr="009B20C0">
              <w:rPr>
                <w:rFonts w:cs="Calibri"/>
                <w:iCs/>
              </w:rPr>
              <w:t xml:space="preserve">sponsor’s proposed </w:t>
            </w:r>
            <w:r w:rsidRPr="00071C7A">
              <w:rPr>
                <w:rFonts w:cs="Calibri"/>
              </w:rPr>
              <w:t>revised PBS population.</w:t>
            </w:r>
          </w:p>
        </w:tc>
      </w:tr>
      <w:tr w:rsidR="00934AD5" w:rsidRPr="008F1D74" w14:paraId="6D7514A4" w14:textId="77777777" w:rsidTr="007D2B48">
        <w:trPr>
          <w:cantSplit/>
        </w:trPr>
        <w:tc>
          <w:tcPr>
            <w:tcW w:w="2434" w:type="pct"/>
          </w:tcPr>
          <w:p w14:paraId="2636DDFE" w14:textId="10F903E9" w:rsidR="00934AD5" w:rsidRPr="00071C7A" w:rsidRDefault="00934AD5" w:rsidP="0099147A">
            <w:pPr>
              <w:pStyle w:val="COMTabletext"/>
              <w:keepNext w:val="0"/>
              <w:widowControl w:val="0"/>
              <w:rPr>
                <w:szCs w:val="20"/>
              </w:rPr>
            </w:pPr>
            <w:r w:rsidRPr="00071C7A">
              <w:rPr>
                <w:rFonts w:cs="Calibri"/>
              </w:rPr>
              <w:t>The PBAC proposed an alternat</w:t>
            </w:r>
            <w:r w:rsidR="00D87887">
              <w:rPr>
                <w:rFonts w:cs="Calibri"/>
              </w:rPr>
              <w:t>ive</w:t>
            </w:r>
            <w:r w:rsidRPr="00071C7A">
              <w:rPr>
                <w:rFonts w:cs="Calibri"/>
              </w:rPr>
              <w:t xml:space="preserve"> approach for estimating the size of the eligible DKD population</w:t>
            </w:r>
            <w:r w:rsidR="00D87887">
              <w:rPr>
                <w:rFonts w:cs="Calibri"/>
              </w:rPr>
              <w:t>,</w:t>
            </w:r>
            <w:r w:rsidRPr="00071C7A">
              <w:rPr>
                <w:rFonts w:cs="Calibri"/>
              </w:rPr>
              <w:t xml:space="preserve"> </w:t>
            </w:r>
            <w:r w:rsidR="00D87887">
              <w:rPr>
                <w:rFonts w:cs="Calibri"/>
              </w:rPr>
              <w:t>and</w:t>
            </w:r>
            <w:r w:rsidRPr="00071C7A">
              <w:rPr>
                <w:rFonts w:cs="Calibri"/>
              </w:rPr>
              <w:t xml:space="preserve"> considered that the number of treated patients would be substantially lower than had been estimated in the submission (</w:t>
            </w:r>
            <w:r w:rsidR="00F733C5">
              <w:rPr>
                <w:rFonts w:cs="Calibri"/>
              </w:rPr>
              <w:t xml:space="preserve">para 7.11, Finerenone PSD, </w:t>
            </w:r>
            <w:r w:rsidR="00F733C5" w:rsidRPr="00071C7A">
              <w:rPr>
                <w:rFonts w:cs="Calibri"/>
              </w:rPr>
              <w:t xml:space="preserve">July 2022 PBAC </w:t>
            </w:r>
            <w:r w:rsidR="00F733C5">
              <w:rPr>
                <w:rFonts w:cs="Calibri"/>
              </w:rPr>
              <w:t>m</w:t>
            </w:r>
            <w:r w:rsidR="00F733C5" w:rsidRPr="00071C7A">
              <w:rPr>
                <w:rFonts w:cs="Calibri"/>
              </w:rPr>
              <w:t>eeting</w:t>
            </w:r>
            <w:r w:rsidRPr="00071C7A">
              <w:rPr>
                <w:rFonts w:cs="Calibri"/>
              </w:rPr>
              <w:t>).</w:t>
            </w:r>
          </w:p>
        </w:tc>
        <w:tc>
          <w:tcPr>
            <w:tcW w:w="2566" w:type="pct"/>
          </w:tcPr>
          <w:p w14:paraId="21EF1E96" w14:textId="63846012" w:rsidR="00934AD5" w:rsidRPr="00D87887" w:rsidRDefault="00934AD5" w:rsidP="0099147A">
            <w:pPr>
              <w:pStyle w:val="COMTabletext"/>
              <w:keepNext w:val="0"/>
              <w:widowControl w:val="0"/>
              <w:rPr>
                <w:rFonts w:cs="Calibri"/>
              </w:rPr>
            </w:pPr>
            <w:r w:rsidRPr="00071C7A">
              <w:rPr>
                <w:rFonts w:cs="Calibri"/>
              </w:rPr>
              <w:t xml:space="preserve">The proposed PBAC approach was followed in the resubmission and supplemented with revised estimates. The size of the eligible and treated population </w:t>
            </w:r>
            <w:r w:rsidR="005E55E9">
              <w:rPr>
                <w:rFonts w:cs="Calibri"/>
              </w:rPr>
              <w:t>wa</w:t>
            </w:r>
            <w:r w:rsidRPr="00071C7A">
              <w:rPr>
                <w:rFonts w:cs="Calibri"/>
              </w:rPr>
              <w:t>s lower than what was proposed in the previous submission.</w:t>
            </w:r>
            <w:r w:rsidR="005607E9">
              <w:rPr>
                <w:rFonts w:cs="Calibri"/>
              </w:rPr>
              <w:t xml:space="preserve"> </w:t>
            </w:r>
            <w:r w:rsidR="005607E9" w:rsidRPr="005607E9">
              <w:rPr>
                <w:rFonts w:cs="Calibri"/>
              </w:rPr>
              <w:t xml:space="preserve">The PBAC </w:t>
            </w:r>
            <w:r w:rsidR="006E1B61">
              <w:rPr>
                <w:rFonts w:cs="Calibri"/>
              </w:rPr>
              <w:t>not</w:t>
            </w:r>
            <w:r w:rsidR="005607E9" w:rsidRPr="005607E9">
              <w:rPr>
                <w:rFonts w:cs="Calibri"/>
              </w:rPr>
              <w:t xml:space="preserve">ed that the </w:t>
            </w:r>
            <w:r w:rsidR="000175F6">
              <w:rPr>
                <w:rFonts w:cs="Calibri"/>
              </w:rPr>
              <w:t xml:space="preserve">revised </w:t>
            </w:r>
            <w:r w:rsidR="005607E9" w:rsidRPr="005607E9">
              <w:rPr>
                <w:rFonts w:cs="Calibri"/>
              </w:rPr>
              <w:t xml:space="preserve">utilisation estimates </w:t>
            </w:r>
            <w:r w:rsidR="006E1B61">
              <w:rPr>
                <w:rFonts w:cs="Calibri"/>
              </w:rPr>
              <w:t>did not</w:t>
            </w:r>
            <w:r w:rsidR="005607E9" w:rsidRPr="005607E9">
              <w:rPr>
                <w:rFonts w:cs="Calibri"/>
              </w:rPr>
              <w:t xml:space="preserve"> include parameters previously accepted for dapagliflozin (Table 23, dapagliflozin PSD, November 2021).</w:t>
            </w:r>
            <w:r w:rsidR="00D201FF">
              <w:rPr>
                <w:rFonts w:cs="Calibri"/>
              </w:rPr>
              <w:t xml:space="preserve"> See paragraph </w:t>
            </w:r>
            <w:r w:rsidR="00D201FF">
              <w:rPr>
                <w:rFonts w:cs="Calibri"/>
              </w:rPr>
              <w:fldChar w:fldCharType="begin"/>
            </w:r>
            <w:r w:rsidR="00D201FF">
              <w:rPr>
                <w:rFonts w:cs="Calibri"/>
              </w:rPr>
              <w:instrText xml:space="preserve"> REF _Ref130111519 \r \h </w:instrText>
            </w:r>
            <w:r w:rsidR="00D201FF">
              <w:rPr>
                <w:rFonts w:cs="Calibri"/>
              </w:rPr>
            </w:r>
            <w:r w:rsidR="00D201FF">
              <w:rPr>
                <w:rFonts w:cs="Calibri"/>
              </w:rPr>
              <w:fldChar w:fldCharType="separate"/>
            </w:r>
            <w:r w:rsidR="005562EE">
              <w:rPr>
                <w:rFonts w:cs="Calibri"/>
              </w:rPr>
              <w:t>6.78</w:t>
            </w:r>
            <w:r w:rsidR="00D201FF">
              <w:rPr>
                <w:rFonts w:cs="Calibri"/>
              </w:rPr>
              <w:fldChar w:fldCharType="end"/>
            </w:r>
            <w:r w:rsidR="00D201FF">
              <w:rPr>
                <w:rFonts w:cs="Calibri"/>
              </w:rPr>
              <w:t>.</w:t>
            </w:r>
          </w:p>
        </w:tc>
      </w:tr>
    </w:tbl>
    <w:p w14:paraId="451D7156" w14:textId="27E2701C" w:rsidR="005C25FF" w:rsidRDefault="005C25FF" w:rsidP="00364E42">
      <w:pPr>
        <w:pStyle w:val="COMTablefooter"/>
      </w:pPr>
      <w:r w:rsidRPr="008F1D74">
        <w:t xml:space="preserve">Source: </w:t>
      </w:r>
      <w:r w:rsidR="00514AC8">
        <w:t xml:space="preserve">Table 12, p2, </w:t>
      </w:r>
      <w:r w:rsidR="00697CD1">
        <w:t xml:space="preserve">Table 23, pp27-28; </w:t>
      </w:r>
      <w:r w:rsidR="006F6EF4">
        <w:t>Table 67, pp108-112</w:t>
      </w:r>
      <w:r w:rsidR="006249CB">
        <w:t xml:space="preserve">, and </w:t>
      </w:r>
      <w:r w:rsidR="00364E42">
        <w:t>Table 109, pp183-184</w:t>
      </w:r>
      <w:r w:rsidR="00A36C5B">
        <w:t xml:space="preserve"> of the resubmission.</w:t>
      </w:r>
    </w:p>
    <w:p w14:paraId="16E894D0" w14:textId="077D5F80" w:rsidR="00364E42" w:rsidRDefault="00364E42" w:rsidP="00364E42">
      <w:pPr>
        <w:pStyle w:val="COMTablefooter"/>
      </w:pPr>
      <w:r>
        <w:t xml:space="preserve">Abbreviations: </w:t>
      </w:r>
      <w:r w:rsidR="009A1A06">
        <w:t xml:space="preserve">ACEi, </w:t>
      </w:r>
      <w:r w:rsidR="000E0EFF" w:rsidRPr="00D86211">
        <w:rPr>
          <w:szCs w:val="18"/>
        </w:rPr>
        <w:t>angiotens</w:t>
      </w:r>
      <w:r w:rsidR="000E0EFF">
        <w:rPr>
          <w:szCs w:val="18"/>
        </w:rPr>
        <w:t>in-converting enzyme inhibitor</w:t>
      </w:r>
      <w:r w:rsidR="009A1A06">
        <w:t xml:space="preserve">; ARB, </w:t>
      </w:r>
      <w:r w:rsidR="00C04847" w:rsidRPr="00D86211">
        <w:rPr>
          <w:szCs w:val="18"/>
        </w:rPr>
        <w:t>angiotensin II receptor blocker</w:t>
      </w:r>
      <w:r w:rsidR="009A1A06">
        <w:t xml:space="preserve">; CKD, </w:t>
      </w:r>
      <w:r w:rsidR="00366410" w:rsidRPr="00D86211">
        <w:rPr>
          <w:szCs w:val="18"/>
        </w:rPr>
        <w:t>chronic kidney disease</w:t>
      </w:r>
      <w:r w:rsidR="009A1A06">
        <w:t xml:space="preserve">; </w:t>
      </w:r>
      <w:r>
        <w:t xml:space="preserve">DKD, </w:t>
      </w:r>
      <w:r w:rsidR="00366410">
        <w:t>diabetic kidney disease</w:t>
      </w:r>
      <w:r>
        <w:t xml:space="preserve">; </w:t>
      </w:r>
      <w:r w:rsidR="009A1A06">
        <w:t xml:space="preserve">DPMQ, </w:t>
      </w:r>
      <w:r w:rsidR="00A455C7" w:rsidRPr="00D86211">
        <w:rPr>
          <w:szCs w:val="18"/>
        </w:rPr>
        <w:t>dispensed price for maximum quantity</w:t>
      </w:r>
      <w:r w:rsidR="009A1A06">
        <w:t xml:space="preserve">; FAS, </w:t>
      </w:r>
      <w:r w:rsidR="00987211" w:rsidRPr="00D86211">
        <w:rPr>
          <w:szCs w:val="18"/>
        </w:rPr>
        <w:t>full analysis set</w:t>
      </w:r>
      <w:r w:rsidR="009A1A06">
        <w:t xml:space="preserve">; HFrEF, </w:t>
      </w:r>
      <w:r w:rsidR="00A16BDE" w:rsidRPr="00D86211">
        <w:rPr>
          <w:szCs w:val="18"/>
        </w:rPr>
        <w:t>heart failure with reduced ejection fraction</w:t>
      </w:r>
      <w:r w:rsidR="009A1A06">
        <w:t xml:space="preserve">; ICER, </w:t>
      </w:r>
      <w:r w:rsidR="00700B45" w:rsidRPr="00D86211">
        <w:rPr>
          <w:szCs w:val="18"/>
        </w:rPr>
        <w:t>incremental cost-effectiveness ratio</w:t>
      </w:r>
      <w:r w:rsidR="009A1A06">
        <w:t xml:space="preserve">; </w:t>
      </w:r>
      <w:r>
        <w:t xml:space="preserve">PBAC, </w:t>
      </w:r>
      <w:r w:rsidR="00801A92" w:rsidRPr="00D86211">
        <w:rPr>
          <w:szCs w:val="18"/>
        </w:rPr>
        <w:t>Pharmaceutical Benefits Advisory Committee</w:t>
      </w:r>
      <w:r>
        <w:t xml:space="preserve">; PSD, </w:t>
      </w:r>
      <w:r w:rsidR="00261EE7" w:rsidRPr="00D86211">
        <w:rPr>
          <w:szCs w:val="18"/>
        </w:rPr>
        <w:t>Public Summary Document</w:t>
      </w:r>
      <w:r>
        <w:t xml:space="preserve">; </w:t>
      </w:r>
      <w:r w:rsidR="009A1A06">
        <w:t xml:space="preserve">SGLT2i, </w:t>
      </w:r>
      <w:r w:rsidR="00CC45F5" w:rsidRPr="00012A48">
        <w:rPr>
          <w:szCs w:val="18"/>
        </w:rPr>
        <w:t>sodium glucose co-transporter 2 inhibitor</w:t>
      </w:r>
      <w:r w:rsidR="009A1A06">
        <w:t xml:space="preserve">; </w:t>
      </w:r>
      <w:r>
        <w:t xml:space="preserve">UACR, </w:t>
      </w:r>
      <w:r w:rsidR="001E0D69" w:rsidRPr="009C7A92">
        <w:rPr>
          <w:szCs w:val="18"/>
        </w:rPr>
        <w:t>urinary albumin-creatinine ratio</w:t>
      </w:r>
      <w:r w:rsidR="001E0D69">
        <w:t>.</w:t>
      </w:r>
      <w:r>
        <w:t xml:space="preserve"> </w:t>
      </w:r>
    </w:p>
    <w:p w14:paraId="40A75010" w14:textId="77777777" w:rsidR="00334472" w:rsidRPr="007E449E" w:rsidRDefault="00334472" w:rsidP="00334472">
      <w:pPr>
        <w:pStyle w:val="COMexecsumnumberedpara"/>
        <w:numPr>
          <w:ilvl w:val="0"/>
          <w:numId w:val="0"/>
        </w:numPr>
        <w:ind w:left="720" w:hanging="720"/>
        <w:rPr>
          <w:i/>
          <w:iCs/>
        </w:rPr>
      </w:pPr>
      <w:r w:rsidRPr="007E449E">
        <w:rPr>
          <w:i/>
          <w:iCs/>
        </w:rPr>
        <w:t>For more detail on PBAC’s view, see section 7 PBAC outcome.</w:t>
      </w:r>
    </w:p>
    <w:p w14:paraId="7B4A975E" w14:textId="694C5688" w:rsidR="00334472" w:rsidRDefault="00B50DB8" w:rsidP="00334472">
      <w:pPr>
        <w:pStyle w:val="COMH1numbered"/>
      </w:pPr>
      <w:bookmarkStart w:id="6" w:name="_Toc107902078"/>
      <w:bookmarkEnd w:id="6"/>
      <w:r w:rsidRPr="00407F2D">
        <w:t>Requested listing</w:t>
      </w:r>
    </w:p>
    <w:p w14:paraId="30A08144" w14:textId="63BFDEDB" w:rsidR="00334472" w:rsidRPr="00334472" w:rsidRDefault="00334472" w:rsidP="00334472">
      <w:pPr>
        <w:pStyle w:val="COMexecsumnumberedpara"/>
      </w:pPr>
      <w:r w:rsidRPr="00F91542">
        <w:rPr>
          <w:rFonts w:cstheme="minorHAnsi"/>
          <w:iCs/>
        </w:rPr>
        <w:t>Suggestions and additions proposed by the Secretariat are added in italics and suggested deletions are crossed out with strikethrough</w:t>
      </w:r>
      <w:r>
        <w:rPr>
          <w:rFonts w:cstheme="minorHAnsi"/>
          <w:iCs/>
        </w:rPr>
        <w:t>.</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306"/>
        <w:gridCol w:w="849"/>
        <w:gridCol w:w="905"/>
        <w:gridCol w:w="783"/>
        <w:gridCol w:w="783"/>
        <w:gridCol w:w="1639"/>
      </w:tblGrid>
      <w:tr w:rsidR="00F678C2" w:rsidRPr="00334472" w14:paraId="6A2E95D0" w14:textId="77777777" w:rsidTr="005221A4">
        <w:trPr>
          <w:cantSplit/>
          <w:trHeight w:val="20"/>
        </w:trPr>
        <w:tc>
          <w:tcPr>
            <w:tcW w:w="1545" w:type="pct"/>
            <w:vAlign w:val="center"/>
          </w:tcPr>
          <w:p w14:paraId="2A0D5783" w14:textId="77777777" w:rsidR="00F678C2" w:rsidRPr="002B5855" w:rsidRDefault="00F678C2" w:rsidP="00C44208">
            <w:pPr>
              <w:keepLines/>
              <w:rPr>
                <w:rFonts w:ascii="Arial Narrow" w:hAnsi="Arial Narrow"/>
                <w:b/>
                <w:bCs/>
                <w:sz w:val="20"/>
                <w:szCs w:val="20"/>
              </w:rPr>
            </w:pPr>
            <w:r w:rsidRPr="002B5855">
              <w:rPr>
                <w:rFonts w:ascii="Arial Narrow" w:hAnsi="Arial Narrow"/>
                <w:b/>
                <w:bCs/>
                <w:sz w:val="20"/>
                <w:szCs w:val="20"/>
              </w:rPr>
              <w:t>MEDICINAL PRODUCT</w:t>
            </w:r>
          </w:p>
          <w:p w14:paraId="5CE3160E" w14:textId="77777777" w:rsidR="00F678C2" w:rsidRPr="002B5855" w:rsidRDefault="00F678C2" w:rsidP="00C44208">
            <w:pPr>
              <w:keepLines/>
              <w:rPr>
                <w:rFonts w:ascii="Arial Narrow" w:hAnsi="Arial Narrow"/>
                <w:b/>
                <w:sz w:val="20"/>
                <w:szCs w:val="20"/>
              </w:rPr>
            </w:pPr>
            <w:r w:rsidRPr="002B5855">
              <w:rPr>
                <w:rFonts w:ascii="Arial Narrow" w:hAnsi="Arial Narrow"/>
                <w:b/>
                <w:bCs/>
                <w:sz w:val="20"/>
                <w:szCs w:val="20"/>
              </w:rPr>
              <w:t>medicinal product pack</w:t>
            </w:r>
          </w:p>
        </w:tc>
        <w:tc>
          <w:tcPr>
            <w:tcW w:w="720" w:type="pct"/>
            <w:vAlign w:val="center"/>
          </w:tcPr>
          <w:p w14:paraId="09ACA039" w14:textId="354FD08F" w:rsidR="00F678C2" w:rsidRPr="00F678C2" w:rsidRDefault="00F678C2" w:rsidP="00F678C2">
            <w:pPr>
              <w:keepLines/>
              <w:jc w:val="center"/>
              <w:rPr>
                <w:rFonts w:ascii="Arial Narrow" w:hAnsi="Arial Narrow"/>
                <w:b/>
                <w:sz w:val="20"/>
                <w:szCs w:val="20"/>
                <w:vertAlign w:val="superscript"/>
              </w:rPr>
            </w:pPr>
            <w:r w:rsidRPr="00F678C2">
              <w:rPr>
                <w:rFonts w:ascii="Arial Narrow" w:hAnsi="Arial Narrow"/>
                <w:b/>
                <w:bCs/>
                <w:sz w:val="20"/>
                <w:szCs w:val="20"/>
              </w:rPr>
              <w:t>Dispensed Price for Max. Qty</w:t>
            </w:r>
            <w:r>
              <w:rPr>
                <w:rFonts w:ascii="Arial Narrow" w:hAnsi="Arial Narrow"/>
                <w:b/>
                <w:bCs/>
                <w:sz w:val="20"/>
                <w:szCs w:val="20"/>
                <w:vertAlign w:val="superscript"/>
              </w:rPr>
              <w:t>a</w:t>
            </w:r>
          </w:p>
        </w:tc>
        <w:tc>
          <w:tcPr>
            <w:tcW w:w="468" w:type="pct"/>
            <w:vAlign w:val="center"/>
          </w:tcPr>
          <w:p w14:paraId="0ED1EC48" w14:textId="7296BDD7" w:rsidR="00F678C2" w:rsidRPr="002B5855" w:rsidRDefault="00F678C2" w:rsidP="00C44208">
            <w:pPr>
              <w:keepLines/>
              <w:jc w:val="center"/>
              <w:rPr>
                <w:rFonts w:ascii="Arial Narrow" w:hAnsi="Arial Narrow"/>
                <w:b/>
                <w:sz w:val="20"/>
                <w:szCs w:val="20"/>
              </w:rPr>
            </w:pPr>
            <w:r w:rsidRPr="002B5855">
              <w:rPr>
                <w:rFonts w:ascii="Arial Narrow" w:hAnsi="Arial Narrow"/>
                <w:b/>
                <w:sz w:val="20"/>
                <w:szCs w:val="20"/>
              </w:rPr>
              <w:t>PBS item code</w:t>
            </w:r>
          </w:p>
        </w:tc>
        <w:tc>
          <w:tcPr>
            <w:tcW w:w="499" w:type="pct"/>
            <w:vAlign w:val="center"/>
          </w:tcPr>
          <w:p w14:paraId="26624DCA" w14:textId="77777777" w:rsidR="00F678C2" w:rsidRPr="002B5855" w:rsidRDefault="00F678C2" w:rsidP="00C44208">
            <w:pPr>
              <w:keepLines/>
              <w:jc w:val="center"/>
              <w:rPr>
                <w:rFonts w:ascii="Arial Narrow" w:hAnsi="Arial Narrow"/>
                <w:b/>
                <w:sz w:val="20"/>
                <w:szCs w:val="20"/>
              </w:rPr>
            </w:pPr>
            <w:r w:rsidRPr="002B5855">
              <w:rPr>
                <w:rFonts w:ascii="Arial Narrow" w:hAnsi="Arial Narrow"/>
                <w:b/>
                <w:sz w:val="20"/>
                <w:szCs w:val="20"/>
              </w:rPr>
              <w:t>Max. qty packs</w:t>
            </w:r>
          </w:p>
        </w:tc>
        <w:tc>
          <w:tcPr>
            <w:tcW w:w="432" w:type="pct"/>
            <w:vAlign w:val="center"/>
          </w:tcPr>
          <w:p w14:paraId="244F0ABD" w14:textId="77777777" w:rsidR="00F678C2" w:rsidRPr="002B5855" w:rsidRDefault="00F678C2" w:rsidP="00C44208">
            <w:pPr>
              <w:keepLines/>
              <w:jc w:val="center"/>
              <w:rPr>
                <w:rFonts w:ascii="Arial Narrow" w:hAnsi="Arial Narrow"/>
                <w:b/>
                <w:sz w:val="20"/>
                <w:szCs w:val="20"/>
              </w:rPr>
            </w:pPr>
            <w:r w:rsidRPr="002B5855">
              <w:rPr>
                <w:rFonts w:ascii="Arial Narrow" w:hAnsi="Arial Narrow"/>
                <w:b/>
                <w:sz w:val="20"/>
                <w:szCs w:val="20"/>
              </w:rPr>
              <w:t>Max. qty units</w:t>
            </w:r>
          </w:p>
        </w:tc>
        <w:tc>
          <w:tcPr>
            <w:tcW w:w="432" w:type="pct"/>
            <w:vAlign w:val="center"/>
          </w:tcPr>
          <w:p w14:paraId="075BABA9" w14:textId="77777777" w:rsidR="00F678C2" w:rsidRPr="002B5855" w:rsidRDefault="00F678C2" w:rsidP="00C44208">
            <w:pPr>
              <w:keepLines/>
              <w:jc w:val="center"/>
              <w:rPr>
                <w:rFonts w:ascii="Arial Narrow" w:hAnsi="Arial Narrow"/>
                <w:b/>
                <w:sz w:val="20"/>
                <w:szCs w:val="20"/>
              </w:rPr>
            </w:pPr>
            <w:r w:rsidRPr="002B5855">
              <w:rPr>
                <w:rFonts w:ascii="Arial Narrow" w:hAnsi="Arial Narrow"/>
                <w:b/>
                <w:sz w:val="20"/>
                <w:szCs w:val="20"/>
              </w:rPr>
              <w:t>№.of</w:t>
            </w:r>
          </w:p>
          <w:p w14:paraId="62D5324E" w14:textId="77777777" w:rsidR="00F678C2" w:rsidRPr="002B5855" w:rsidRDefault="00F678C2" w:rsidP="00C44208">
            <w:pPr>
              <w:keepLines/>
              <w:jc w:val="center"/>
              <w:rPr>
                <w:rFonts w:ascii="Arial Narrow" w:hAnsi="Arial Narrow"/>
                <w:b/>
                <w:sz w:val="20"/>
                <w:szCs w:val="20"/>
              </w:rPr>
            </w:pPr>
            <w:r w:rsidRPr="002B5855">
              <w:rPr>
                <w:rFonts w:ascii="Arial Narrow" w:hAnsi="Arial Narrow"/>
                <w:b/>
                <w:sz w:val="20"/>
                <w:szCs w:val="20"/>
              </w:rPr>
              <w:t>Rpts</w:t>
            </w:r>
          </w:p>
        </w:tc>
        <w:tc>
          <w:tcPr>
            <w:tcW w:w="904" w:type="pct"/>
            <w:vAlign w:val="center"/>
          </w:tcPr>
          <w:p w14:paraId="27F7D838" w14:textId="77777777" w:rsidR="00F678C2" w:rsidRPr="002B5855" w:rsidRDefault="00F678C2" w:rsidP="00C44208">
            <w:pPr>
              <w:keepLines/>
              <w:rPr>
                <w:rFonts w:ascii="Arial Narrow" w:hAnsi="Arial Narrow"/>
                <w:b/>
                <w:sz w:val="20"/>
                <w:szCs w:val="20"/>
                <w:lang w:val="fr-FR"/>
              </w:rPr>
            </w:pPr>
            <w:r w:rsidRPr="002B5855">
              <w:rPr>
                <w:rFonts w:ascii="Arial Narrow" w:hAnsi="Arial Narrow"/>
                <w:b/>
                <w:sz w:val="20"/>
                <w:szCs w:val="20"/>
              </w:rPr>
              <w:t>Available brands</w:t>
            </w:r>
          </w:p>
        </w:tc>
      </w:tr>
      <w:tr w:rsidR="00334472" w:rsidRPr="00334472" w14:paraId="72409A02" w14:textId="77777777" w:rsidTr="005221A4">
        <w:trPr>
          <w:cantSplit/>
          <w:trHeight w:val="20"/>
        </w:trPr>
        <w:tc>
          <w:tcPr>
            <w:tcW w:w="5000" w:type="pct"/>
            <w:gridSpan w:val="7"/>
            <w:vAlign w:val="center"/>
          </w:tcPr>
          <w:p w14:paraId="1836329E" w14:textId="77777777" w:rsidR="00334472" w:rsidRPr="002B5855" w:rsidRDefault="00334472" w:rsidP="00C44208">
            <w:pPr>
              <w:keepLines/>
              <w:rPr>
                <w:rFonts w:ascii="Arial Narrow" w:hAnsi="Arial Narrow"/>
                <w:sz w:val="20"/>
                <w:szCs w:val="20"/>
              </w:rPr>
            </w:pPr>
            <w:r w:rsidRPr="002B5855">
              <w:rPr>
                <w:rFonts w:ascii="Arial Narrow" w:hAnsi="Arial Narrow"/>
                <w:sz w:val="20"/>
                <w:szCs w:val="20"/>
              </w:rPr>
              <w:t>FINERENONE</w:t>
            </w:r>
          </w:p>
        </w:tc>
      </w:tr>
      <w:tr w:rsidR="00F678C2" w:rsidRPr="00334472" w14:paraId="2E752453" w14:textId="77777777" w:rsidTr="005221A4">
        <w:trPr>
          <w:cantSplit/>
          <w:trHeight w:val="20"/>
        </w:trPr>
        <w:tc>
          <w:tcPr>
            <w:tcW w:w="1545" w:type="pct"/>
            <w:vAlign w:val="center"/>
          </w:tcPr>
          <w:p w14:paraId="33612AED" w14:textId="77777777" w:rsidR="00F678C2" w:rsidRPr="002B5855" w:rsidRDefault="00F678C2" w:rsidP="00C44208">
            <w:pPr>
              <w:keepLines/>
              <w:rPr>
                <w:rFonts w:ascii="Arial Narrow" w:hAnsi="Arial Narrow"/>
                <w:sz w:val="20"/>
                <w:szCs w:val="20"/>
              </w:rPr>
            </w:pPr>
            <w:r w:rsidRPr="002B5855">
              <w:rPr>
                <w:rFonts w:ascii="Arial Narrow" w:hAnsi="Arial Narrow"/>
                <w:sz w:val="20"/>
                <w:szCs w:val="20"/>
              </w:rPr>
              <w:t>finerenone 10 mg tablet, 28</w:t>
            </w:r>
          </w:p>
        </w:tc>
        <w:tc>
          <w:tcPr>
            <w:tcW w:w="720" w:type="pct"/>
            <w:vAlign w:val="center"/>
          </w:tcPr>
          <w:p w14:paraId="44143ECE" w14:textId="18A72610" w:rsidR="00F678C2" w:rsidRPr="002B5855" w:rsidRDefault="00F678C2" w:rsidP="00C44208">
            <w:pPr>
              <w:keepLines/>
              <w:jc w:val="center"/>
              <w:rPr>
                <w:rFonts w:ascii="Arial Narrow" w:hAnsi="Arial Narrow"/>
                <w:sz w:val="20"/>
                <w:szCs w:val="20"/>
              </w:rPr>
            </w:pPr>
            <w:r w:rsidRPr="00F678C2">
              <w:rPr>
                <w:rFonts w:ascii="Arial Narrow" w:hAnsi="Arial Narrow"/>
                <w:sz w:val="20"/>
                <w:szCs w:val="20"/>
              </w:rPr>
              <w:t>$</w:t>
            </w:r>
            <w:r w:rsidR="00320A42" w:rsidRPr="00320A42">
              <w:rPr>
                <w:rFonts w:ascii="Arial Narrow" w:hAnsi="Arial Narrow" w:hint="eastAsia"/>
                <w:color w:val="000000"/>
                <w:w w:val="15"/>
                <w:sz w:val="20"/>
                <w:szCs w:val="20"/>
                <w:shd w:val="solid" w:color="000000" w:fill="000000"/>
                <w:fitText w:val="45" w:id="-1233442046"/>
                <w14:textFill>
                  <w14:solidFill>
                    <w14:srgbClr w14:val="000000">
                      <w14:alpha w14:val="100000"/>
                    </w14:srgbClr>
                  </w14:solidFill>
                </w14:textFill>
              </w:rPr>
              <w:t xml:space="preserve">　</w:t>
            </w:r>
            <w:r w:rsidR="00320A42" w:rsidRPr="00320A42">
              <w:rPr>
                <w:rFonts w:ascii="Arial Narrow" w:hAnsi="Arial Narrow"/>
                <w:color w:val="000000"/>
                <w:w w:val="15"/>
                <w:sz w:val="20"/>
                <w:szCs w:val="20"/>
                <w:shd w:val="solid" w:color="000000" w:fill="000000"/>
                <w:fitText w:val="45" w:id="-1233442046"/>
                <w14:textFill>
                  <w14:solidFill>
                    <w14:srgbClr w14:val="000000">
                      <w14:alpha w14:val="100000"/>
                    </w14:srgbClr>
                  </w14:solidFill>
                </w14:textFill>
              </w:rPr>
              <w:t>|</w:t>
            </w:r>
            <w:r w:rsidR="00320A42" w:rsidRPr="00320A42">
              <w:rPr>
                <w:rFonts w:ascii="Arial Narrow" w:hAnsi="Arial Narrow" w:hint="eastAsia"/>
                <w:color w:val="000000"/>
                <w:spacing w:val="-20"/>
                <w:w w:val="15"/>
                <w:sz w:val="20"/>
                <w:szCs w:val="20"/>
                <w:shd w:val="solid" w:color="000000" w:fill="000000"/>
                <w:fitText w:val="45" w:id="-1233442046"/>
                <w14:textFill>
                  <w14:solidFill>
                    <w14:srgbClr w14:val="000000">
                      <w14:alpha w14:val="100000"/>
                    </w14:srgbClr>
                  </w14:solidFill>
                </w14:textFill>
              </w:rPr>
              <w:t xml:space="preserve">　</w:t>
            </w:r>
          </w:p>
        </w:tc>
        <w:tc>
          <w:tcPr>
            <w:tcW w:w="468" w:type="pct"/>
            <w:vAlign w:val="center"/>
          </w:tcPr>
          <w:p w14:paraId="31B884AA" w14:textId="3C62800E" w:rsidR="00F678C2" w:rsidRPr="002B5855" w:rsidRDefault="00F678C2" w:rsidP="00C44208">
            <w:pPr>
              <w:keepLines/>
              <w:jc w:val="center"/>
              <w:rPr>
                <w:rFonts w:ascii="Arial Narrow" w:hAnsi="Arial Narrow"/>
                <w:sz w:val="20"/>
                <w:szCs w:val="20"/>
              </w:rPr>
            </w:pPr>
            <w:r w:rsidRPr="002B5855">
              <w:rPr>
                <w:rFonts w:ascii="Arial Narrow" w:hAnsi="Arial Narrow"/>
                <w:sz w:val="20"/>
                <w:szCs w:val="20"/>
              </w:rPr>
              <w:t>NEW</w:t>
            </w:r>
          </w:p>
        </w:tc>
        <w:tc>
          <w:tcPr>
            <w:tcW w:w="499" w:type="pct"/>
            <w:vAlign w:val="center"/>
          </w:tcPr>
          <w:p w14:paraId="0EC63AF0" w14:textId="77777777" w:rsidR="00F678C2" w:rsidRPr="002B5855" w:rsidRDefault="00F678C2" w:rsidP="00C44208">
            <w:pPr>
              <w:keepLines/>
              <w:jc w:val="center"/>
              <w:rPr>
                <w:rFonts w:ascii="Arial Narrow" w:hAnsi="Arial Narrow"/>
                <w:sz w:val="20"/>
                <w:szCs w:val="20"/>
              </w:rPr>
            </w:pPr>
            <w:r w:rsidRPr="002B5855">
              <w:rPr>
                <w:rFonts w:ascii="Arial Narrow" w:hAnsi="Arial Narrow"/>
                <w:sz w:val="20"/>
                <w:szCs w:val="20"/>
              </w:rPr>
              <w:t>1</w:t>
            </w:r>
          </w:p>
        </w:tc>
        <w:tc>
          <w:tcPr>
            <w:tcW w:w="432" w:type="pct"/>
            <w:vAlign w:val="center"/>
          </w:tcPr>
          <w:p w14:paraId="65CFC01C" w14:textId="77777777" w:rsidR="00F678C2" w:rsidRPr="002B5855" w:rsidRDefault="00F678C2" w:rsidP="00C44208">
            <w:pPr>
              <w:keepLines/>
              <w:jc w:val="center"/>
              <w:rPr>
                <w:rFonts w:ascii="Arial Narrow" w:hAnsi="Arial Narrow"/>
                <w:sz w:val="20"/>
                <w:szCs w:val="20"/>
              </w:rPr>
            </w:pPr>
            <w:r w:rsidRPr="002B5855">
              <w:rPr>
                <w:rFonts w:ascii="Arial Narrow" w:hAnsi="Arial Narrow"/>
                <w:sz w:val="20"/>
                <w:szCs w:val="20"/>
              </w:rPr>
              <w:t>28</w:t>
            </w:r>
          </w:p>
        </w:tc>
        <w:tc>
          <w:tcPr>
            <w:tcW w:w="432" w:type="pct"/>
            <w:vAlign w:val="center"/>
          </w:tcPr>
          <w:p w14:paraId="6E09D17A" w14:textId="77777777" w:rsidR="00F678C2" w:rsidRPr="002B5855" w:rsidRDefault="00F678C2" w:rsidP="00C44208">
            <w:pPr>
              <w:keepLines/>
              <w:jc w:val="center"/>
              <w:rPr>
                <w:rFonts w:ascii="Arial Narrow" w:hAnsi="Arial Narrow"/>
                <w:sz w:val="20"/>
                <w:szCs w:val="20"/>
              </w:rPr>
            </w:pPr>
            <w:r w:rsidRPr="002B5855">
              <w:rPr>
                <w:rFonts w:ascii="Arial Narrow" w:hAnsi="Arial Narrow"/>
                <w:sz w:val="20"/>
                <w:szCs w:val="20"/>
              </w:rPr>
              <w:t>5</w:t>
            </w:r>
          </w:p>
        </w:tc>
        <w:tc>
          <w:tcPr>
            <w:tcW w:w="904" w:type="pct"/>
            <w:vAlign w:val="center"/>
          </w:tcPr>
          <w:p w14:paraId="09B63753" w14:textId="77777777" w:rsidR="00F678C2" w:rsidRPr="002B5855" w:rsidRDefault="00F678C2" w:rsidP="00C44208">
            <w:pPr>
              <w:keepLines/>
              <w:rPr>
                <w:rFonts w:ascii="Arial Narrow" w:hAnsi="Arial Narrow"/>
                <w:sz w:val="20"/>
                <w:szCs w:val="20"/>
              </w:rPr>
            </w:pPr>
            <w:r w:rsidRPr="002B5855">
              <w:rPr>
                <w:rFonts w:ascii="Arial Narrow" w:hAnsi="Arial Narrow"/>
                <w:sz w:val="20"/>
                <w:szCs w:val="20"/>
              </w:rPr>
              <w:t>Kerendia</w:t>
            </w:r>
          </w:p>
        </w:tc>
      </w:tr>
      <w:tr w:rsidR="00F678C2" w:rsidRPr="00334472" w14:paraId="3026B5C5" w14:textId="77777777" w:rsidTr="005221A4">
        <w:trPr>
          <w:cantSplit/>
          <w:trHeight w:val="20"/>
        </w:trPr>
        <w:tc>
          <w:tcPr>
            <w:tcW w:w="1545" w:type="pct"/>
            <w:vAlign w:val="center"/>
          </w:tcPr>
          <w:p w14:paraId="5EFF4E54" w14:textId="77777777" w:rsidR="00F678C2" w:rsidRPr="002B5855" w:rsidRDefault="00F678C2" w:rsidP="00C44208">
            <w:pPr>
              <w:keepLines/>
              <w:rPr>
                <w:rFonts w:ascii="Arial Narrow" w:hAnsi="Arial Narrow"/>
                <w:sz w:val="20"/>
                <w:szCs w:val="20"/>
              </w:rPr>
            </w:pPr>
            <w:r w:rsidRPr="002B5855">
              <w:rPr>
                <w:rFonts w:ascii="Arial Narrow" w:hAnsi="Arial Narrow"/>
                <w:sz w:val="20"/>
                <w:szCs w:val="20"/>
              </w:rPr>
              <w:t>finerenone 20 mg tablet, 28</w:t>
            </w:r>
          </w:p>
        </w:tc>
        <w:tc>
          <w:tcPr>
            <w:tcW w:w="720" w:type="pct"/>
            <w:vAlign w:val="center"/>
          </w:tcPr>
          <w:p w14:paraId="6C32D779" w14:textId="27BC747B" w:rsidR="00F678C2" w:rsidRPr="002B5855" w:rsidRDefault="00F678C2" w:rsidP="00C44208">
            <w:pPr>
              <w:keepLines/>
              <w:jc w:val="center"/>
              <w:rPr>
                <w:rFonts w:ascii="Arial Narrow" w:hAnsi="Arial Narrow"/>
                <w:sz w:val="20"/>
                <w:szCs w:val="20"/>
              </w:rPr>
            </w:pPr>
            <w:r w:rsidRPr="00F678C2">
              <w:rPr>
                <w:rFonts w:ascii="Arial Narrow" w:hAnsi="Arial Narrow"/>
                <w:sz w:val="20"/>
                <w:szCs w:val="20"/>
              </w:rPr>
              <w:t>$</w:t>
            </w:r>
            <w:r w:rsidR="00320A42" w:rsidRPr="00320A42">
              <w:rPr>
                <w:rFonts w:ascii="Arial Narrow" w:hAnsi="Arial Narrow" w:hint="eastAsia"/>
                <w:color w:val="000000"/>
                <w:w w:val="15"/>
                <w:sz w:val="20"/>
                <w:szCs w:val="20"/>
                <w:shd w:val="solid" w:color="000000" w:fill="000000"/>
                <w:fitText w:val="45" w:id="-1233442045"/>
                <w14:textFill>
                  <w14:solidFill>
                    <w14:srgbClr w14:val="000000">
                      <w14:alpha w14:val="100000"/>
                    </w14:srgbClr>
                  </w14:solidFill>
                </w14:textFill>
              </w:rPr>
              <w:t xml:space="preserve">　</w:t>
            </w:r>
            <w:r w:rsidR="00320A42" w:rsidRPr="00320A42">
              <w:rPr>
                <w:rFonts w:ascii="Arial Narrow" w:hAnsi="Arial Narrow"/>
                <w:color w:val="000000"/>
                <w:w w:val="15"/>
                <w:sz w:val="20"/>
                <w:szCs w:val="20"/>
                <w:shd w:val="solid" w:color="000000" w:fill="000000"/>
                <w:fitText w:val="45" w:id="-1233442045"/>
                <w14:textFill>
                  <w14:solidFill>
                    <w14:srgbClr w14:val="000000">
                      <w14:alpha w14:val="100000"/>
                    </w14:srgbClr>
                  </w14:solidFill>
                </w14:textFill>
              </w:rPr>
              <w:t>|</w:t>
            </w:r>
            <w:r w:rsidR="00320A42" w:rsidRPr="00320A42">
              <w:rPr>
                <w:rFonts w:ascii="Arial Narrow" w:hAnsi="Arial Narrow" w:hint="eastAsia"/>
                <w:color w:val="000000"/>
                <w:spacing w:val="-20"/>
                <w:w w:val="15"/>
                <w:sz w:val="20"/>
                <w:szCs w:val="20"/>
                <w:shd w:val="solid" w:color="000000" w:fill="000000"/>
                <w:fitText w:val="45" w:id="-1233442045"/>
                <w14:textFill>
                  <w14:solidFill>
                    <w14:srgbClr w14:val="000000">
                      <w14:alpha w14:val="100000"/>
                    </w14:srgbClr>
                  </w14:solidFill>
                </w14:textFill>
              </w:rPr>
              <w:t xml:space="preserve">　</w:t>
            </w:r>
          </w:p>
        </w:tc>
        <w:tc>
          <w:tcPr>
            <w:tcW w:w="468" w:type="pct"/>
            <w:vAlign w:val="center"/>
          </w:tcPr>
          <w:p w14:paraId="036CE5FA" w14:textId="508E829E" w:rsidR="00F678C2" w:rsidRPr="002B5855" w:rsidRDefault="00F678C2" w:rsidP="00C44208">
            <w:pPr>
              <w:keepLines/>
              <w:jc w:val="center"/>
              <w:rPr>
                <w:rFonts w:ascii="Arial Narrow" w:hAnsi="Arial Narrow"/>
                <w:sz w:val="20"/>
                <w:szCs w:val="20"/>
              </w:rPr>
            </w:pPr>
            <w:r w:rsidRPr="002B5855">
              <w:rPr>
                <w:rFonts w:ascii="Arial Narrow" w:hAnsi="Arial Narrow"/>
                <w:sz w:val="20"/>
                <w:szCs w:val="20"/>
              </w:rPr>
              <w:t>NEW</w:t>
            </w:r>
          </w:p>
        </w:tc>
        <w:tc>
          <w:tcPr>
            <w:tcW w:w="499" w:type="pct"/>
            <w:vAlign w:val="center"/>
          </w:tcPr>
          <w:p w14:paraId="03BF6C29" w14:textId="77777777" w:rsidR="00F678C2" w:rsidRPr="002B5855" w:rsidRDefault="00F678C2" w:rsidP="00C44208">
            <w:pPr>
              <w:keepLines/>
              <w:jc w:val="center"/>
              <w:rPr>
                <w:rFonts w:ascii="Arial Narrow" w:hAnsi="Arial Narrow"/>
                <w:sz w:val="20"/>
                <w:szCs w:val="20"/>
              </w:rPr>
            </w:pPr>
            <w:r w:rsidRPr="002B5855">
              <w:rPr>
                <w:rFonts w:ascii="Arial Narrow" w:hAnsi="Arial Narrow"/>
                <w:sz w:val="20"/>
                <w:szCs w:val="20"/>
              </w:rPr>
              <w:t>1</w:t>
            </w:r>
          </w:p>
        </w:tc>
        <w:tc>
          <w:tcPr>
            <w:tcW w:w="432" w:type="pct"/>
            <w:vAlign w:val="center"/>
          </w:tcPr>
          <w:p w14:paraId="61A5072E" w14:textId="77777777" w:rsidR="00F678C2" w:rsidRPr="002B5855" w:rsidRDefault="00F678C2" w:rsidP="00C44208">
            <w:pPr>
              <w:keepLines/>
              <w:jc w:val="center"/>
              <w:rPr>
                <w:rFonts w:ascii="Arial Narrow" w:hAnsi="Arial Narrow"/>
                <w:sz w:val="20"/>
                <w:szCs w:val="20"/>
              </w:rPr>
            </w:pPr>
            <w:r w:rsidRPr="002B5855">
              <w:rPr>
                <w:rFonts w:ascii="Arial Narrow" w:hAnsi="Arial Narrow"/>
                <w:sz w:val="20"/>
                <w:szCs w:val="20"/>
              </w:rPr>
              <w:t>28</w:t>
            </w:r>
          </w:p>
        </w:tc>
        <w:tc>
          <w:tcPr>
            <w:tcW w:w="432" w:type="pct"/>
            <w:vAlign w:val="center"/>
          </w:tcPr>
          <w:p w14:paraId="131168F3" w14:textId="77777777" w:rsidR="00F678C2" w:rsidRPr="002B5855" w:rsidRDefault="00F678C2" w:rsidP="00C44208">
            <w:pPr>
              <w:keepLines/>
              <w:jc w:val="center"/>
              <w:rPr>
                <w:rFonts w:ascii="Arial Narrow" w:hAnsi="Arial Narrow"/>
                <w:sz w:val="20"/>
                <w:szCs w:val="20"/>
              </w:rPr>
            </w:pPr>
            <w:r w:rsidRPr="002B5855">
              <w:rPr>
                <w:rFonts w:ascii="Arial Narrow" w:hAnsi="Arial Narrow"/>
                <w:sz w:val="20"/>
                <w:szCs w:val="20"/>
              </w:rPr>
              <w:t>5</w:t>
            </w:r>
          </w:p>
        </w:tc>
        <w:tc>
          <w:tcPr>
            <w:tcW w:w="904" w:type="pct"/>
            <w:vAlign w:val="center"/>
          </w:tcPr>
          <w:p w14:paraId="1DF3E1B6" w14:textId="77777777" w:rsidR="00F678C2" w:rsidRPr="002B5855" w:rsidRDefault="00F678C2" w:rsidP="00C44208">
            <w:pPr>
              <w:keepLines/>
              <w:rPr>
                <w:rFonts w:ascii="Arial Narrow" w:hAnsi="Arial Narrow"/>
                <w:sz w:val="20"/>
                <w:szCs w:val="20"/>
              </w:rPr>
            </w:pPr>
            <w:r w:rsidRPr="002B5855">
              <w:rPr>
                <w:rFonts w:ascii="Arial Narrow" w:hAnsi="Arial Narrow"/>
                <w:sz w:val="20"/>
                <w:szCs w:val="20"/>
              </w:rPr>
              <w:t>Kerendia</w:t>
            </w:r>
          </w:p>
        </w:tc>
      </w:tr>
      <w:tr w:rsidR="00334472" w:rsidRPr="00334472" w14:paraId="2F69956C" w14:textId="77777777" w:rsidTr="005221A4">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58181850" w14:textId="77777777" w:rsidR="00334472" w:rsidRPr="002B5855" w:rsidRDefault="00334472" w:rsidP="00C44208">
            <w:pPr>
              <w:rPr>
                <w:rFonts w:ascii="Arial Narrow" w:hAnsi="Arial Narrow"/>
                <w:sz w:val="20"/>
                <w:szCs w:val="20"/>
              </w:rPr>
            </w:pPr>
          </w:p>
        </w:tc>
      </w:tr>
      <w:tr w:rsidR="00334472" w:rsidRPr="00334472" w14:paraId="197D47BC" w14:textId="77777777" w:rsidTr="005221A4">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0961A58" w14:textId="77777777" w:rsidR="00334472" w:rsidRPr="002B5855" w:rsidRDefault="00334472" w:rsidP="00C44208">
            <w:pPr>
              <w:rPr>
                <w:rFonts w:ascii="Arial Narrow" w:hAnsi="Arial Narrow"/>
                <w:b/>
                <w:bCs/>
                <w:sz w:val="20"/>
                <w:szCs w:val="20"/>
              </w:rPr>
            </w:pPr>
            <w:r w:rsidRPr="002B5855">
              <w:rPr>
                <w:rFonts w:ascii="Arial Narrow" w:hAnsi="Arial Narrow"/>
                <w:b/>
                <w:bCs/>
                <w:sz w:val="20"/>
                <w:szCs w:val="20"/>
              </w:rPr>
              <w:t xml:space="preserve">Restriction Summary [new] / Treatment of Concept: [new] </w:t>
            </w:r>
          </w:p>
        </w:tc>
      </w:tr>
      <w:tr w:rsidR="005221A4" w:rsidRPr="00334472" w14:paraId="2B82DDE8" w14:textId="77777777" w:rsidTr="005221A4">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70A26E5" w14:textId="77777777" w:rsidR="005221A4" w:rsidRPr="002B5855" w:rsidRDefault="005221A4" w:rsidP="00C44208">
            <w:pPr>
              <w:keepLines/>
              <w:rPr>
                <w:rFonts w:ascii="Arial Narrow" w:hAnsi="Arial Narrow"/>
                <w:sz w:val="20"/>
                <w:szCs w:val="20"/>
              </w:rPr>
            </w:pPr>
            <w:r w:rsidRPr="002B5855">
              <w:rPr>
                <w:rFonts w:ascii="Arial Narrow" w:hAnsi="Arial Narrow"/>
                <w:b/>
                <w:sz w:val="20"/>
                <w:szCs w:val="20"/>
              </w:rPr>
              <w:t xml:space="preserve">Category / Program: </w:t>
            </w:r>
            <w:r w:rsidRPr="002B5855">
              <w:rPr>
                <w:rFonts w:ascii="Arial Narrow" w:hAnsi="Arial Narrow"/>
                <w:sz w:val="20"/>
                <w:szCs w:val="20"/>
              </w:rPr>
              <w:t xml:space="preserve">GENERAL – General Schedule (Code GE) </w:t>
            </w:r>
          </w:p>
        </w:tc>
      </w:tr>
      <w:tr w:rsidR="005221A4" w:rsidRPr="00334472" w14:paraId="79F8EF5A" w14:textId="77777777" w:rsidTr="005221A4">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6EB3FBC" w14:textId="77777777" w:rsidR="005221A4" w:rsidRPr="002B5855" w:rsidRDefault="005221A4" w:rsidP="00C44208">
            <w:pPr>
              <w:keepLines/>
              <w:rPr>
                <w:rFonts w:ascii="Arial Narrow" w:hAnsi="Arial Narrow"/>
                <w:b/>
                <w:sz w:val="20"/>
                <w:szCs w:val="20"/>
              </w:rPr>
            </w:pPr>
            <w:r w:rsidRPr="00D201FF">
              <w:rPr>
                <w:rFonts w:ascii="Arial Narrow" w:hAnsi="Arial Narrow"/>
                <w:b/>
                <w:sz w:val="20"/>
                <w:szCs w:val="20"/>
              </w:rPr>
              <w:t xml:space="preserve">Prescriber type: </w:t>
            </w:r>
            <w:r w:rsidRPr="002B5855">
              <w:rPr>
                <w:rFonts w:ascii="Arial Narrow" w:hAnsi="Arial Narrow"/>
                <w:sz w:val="20"/>
                <w:szCs w:val="20"/>
              </w:rPr>
              <w:fldChar w:fldCharType="begin">
                <w:ffData>
                  <w:name w:val=""/>
                  <w:enabled/>
                  <w:calcOnExit w:val="0"/>
                  <w:checkBox>
                    <w:sizeAuto/>
                    <w:default w:val="1"/>
                  </w:checkBox>
                </w:ffData>
              </w:fldChar>
            </w:r>
            <w:r w:rsidRPr="00D201FF">
              <w:rPr>
                <w:rFonts w:ascii="Arial Narrow" w:hAnsi="Arial Narrow"/>
                <w:sz w:val="20"/>
                <w:szCs w:val="20"/>
              </w:rPr>
              <w:instrText xml:space="preserve"> FORMCHECKBOX </w:instrText>
            </w:r>
            <w:r w:rsidR="005562EE">
              <w:rPr>
                <w:rFonts w:ascii="Arial Narrow" w:hAnsi="Arial Narrow"/>
                <w:sz w:val="20"/>
                <w:szCs w:val="20"/>
              </w:rPr>
            </w:r>
            <w:r w:rsidR="005562EE">
              <w:rPr>
                <w:rFonts w:ascii="Arial Narrow" w:hAnsi="Arial Narrow"/>
                <w:sz w:val="20"/>
                <w:szCs w:val="20"/>
              </w:rPr>
              <w:fldChar w:fldCharType="separate"/>
            </w:r>
            <w:r w:rsidRPr="002B5855">
              <w:rPr>
                <w:rFonts w:ascii="Arial Narrow" w:hAnsi="Arial Narrow"/>
                <w:sz w:val="20"/>
                <w:szCs w:val="20"/>
              </w:rPr>
              <w:fldChar w:fldCharType="end"/>
            </w:r>
            <w:r w:rsidRPr="002B5855">
              <w:rPr>
                <w:rFonts w:ascii="Arial Narrow" w:hAnsi="Arial Narrow"/>
                <w:sz w:val="20"/>
                <w:szCs w:val="20"/>
              </w:rPr>
              <w:t xml:space="preserve">Medical Practitioners </w:t>
            </w:r>
            <w:r w:rsidRPr="002B5855">
              <w:rPr>
                <w:rFonts w:ascii="Arial Narrow" w:hAnsi="Arial Narrow"/>
                <w:sz w:val="20"/>
                <w:szCs w:val="20"/>
              </w:rPr>
              <w:fldChar w:fldCharType="begin">
                <w:ffData>
                  <w:name w:val="Check3"/>
                  <w:enabled/>
                  <w:calcOnExit w:val="0"/>
                  <w:checkBox>
                    <w:sizeAuto/>
                    <w:default w:val="1"/>
                  </w:checkBox>
                </w:ffData>
              </w:fldChar>
            </w:r>
            <w:r w:rsidRPr="002B5855">
              <w:rPr>
                <w:rFonts w:ascii="Arial Narrow" w:hAnsi="Arial Narrow"/>
                <w:sz w:val="20"/>
                <w:szCs w:val="20"/>
              </w:rPr>
              <w:instrText xml:space="preserve"> FORMCHECKBOX </w:instrText>
            </w:r>
            <w:r w:rsidR="005562EE">
              <w:rPr>
                <w:rFonts w:ascii="Arial Narrow" w:hAnsi="Arial Narrow"/>
                <w:sz w:val="20"/>
                <w:szCs w:val="20"/>
              </w:rPr>
            </w:r>
            <w:r w:rsidR="005562EE">
              <w:rPr>
                <w:rFonts w:ascii="Arial Narrow" w:hAnsi="Arial Narrow"/>
                <w:sz w:val="20"/>
                <w:szCs w:val="20"/>
              </w:rPr>
              <w:fldChar w:fldCharType="separate"/>
            </w:r>
            <w:r w:rsidRPr="002B5855">
              <w:rPr>
                <w:rFonts w:ascii="Arial Narrow" w:hAnsi="Arial Narrow"/>
                <w:sz w:val="20"/>
                <w:szCs w:val="20"/>
              </w:rPr>
              <w:fldChar w:fldCharType="end"/>
            </w:r>
            <w:r w:rsidRPr="002B5855">
              <w:rPr>
                <w:rFonts w:ascii="Arial Narrow" w:hAnsi="Arial Narrow"/>
                <w:sz w:val="20"/>
                <w:szCs w:val="20"/>
              </w:rPr>
              <w:t xml:space="preserve">Nurse practitioners </w:t>
            </w:r>
          </w:p>
        </w:tc>
      </w:tr>
      <w:tr w:rsidR="005221A4" w:rsidRPr="00334472" w14:paraId="0BC701FD" w14:textId="77777777" w:rsidTr="005221A4">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F53C55B" w14:textId="396DD72D" w:rsidR="005221A4" w:rsidRPr="002B5855" w:rsidRDefault="005221A4" w:rsidP="00C44208">
            <w:pPr>
              <w:keepLines/>
              <w:rPr>
                <w:rFonts w:ascii="Arial Narrow" w:eastAsia="Calibri" w:hAnsi="Arial Narrow"/>
                <w:sz w:val="20"/>
                <w:szCs w:val="20"/>
              </w:rPr>
            </w:pPr>
            <w:r w:rsidRPr="00D201FF">
              <w:rPr>
                <w:rFonts w:ascii="Arial Narrow" w:hAnsi="Arial Narrow"/>
                <w:b/>
                <w:sz w:val="20"/>
                <w:szCs w:val="20"/>
              </w:rPr>
              <w:t xml:space="preserve">Restriction type: </w:t>
            </w:r>
            <w:r w:rsidRPr="002B5855">
              <w:rPr>
                <w:rFonts w:ascii="Arial Narrow" w:hAnsi="Arial Narrow"/>
                <w:sz w:val="20"/>
                <w:szCs w:val="20"/>
              </w:rPr>
              <w:fldChar w:fldCharType="begin">
                <w:ffData>
                  <w:name w:val="Check3"/>
                  <w:enabled/>
                  <w:calcOnExit w:val="0"/>
                  <w:checkBox>
                    <w:sizeAuto/>
                    <w:default w:val="1"/>
                  </w:checkBox>
                </w:ffData>
              </w:fldChar>
            </w:r>
            <w:r w:rsidRPr="00D201FF">
              <w:rPr>
                <w:rFonts w:ascii="Arial Narrow" w:hAnsi="Arial Narrow"/>
                <w:sz w:val="20"/>
                <w:szCs w:val="20"/>
              </w:rPr>
              <w:instrText xml:space="preserve"> FORMCHECKBOX </w:instrText>
            </w:r>
            <w:r w:rsidR="005562EE">
              <w:rPr>
                <w:rFonts w:ascii="Arial Narrow" w:hAnsi="Arial Narrow"/>
                <w:sz w:val="20"/>
                <w:szCs w:val="20"/>
              </w:rPr>
            </w:r>
            <w:r w:rsidR="005562EE">
              <w:rPr>
                <w:rFonts w:ascii="Arial Narrow" w:hAnsi="Arial Narrow"/>
                <w:sz w:val="20"/>
                <w:szCs w:val="20"/>
              </w:rPr>
              <w:fldChar w:fldCharType="separate"/>
            </w:r>
            <w:r w:rsidRPr="002B5855">
              <w:rPr>
                <w:rFonts w:ascii="Arial Narrow" w:hAnsi="Arial Narrow"/>
                <w:sz w:val="20"/>
                <w:szCs w:val="20"/>
              </w:rPr>
              <w:fldChar w:fldCharType="end"/>
            </w:r>
            <w:r w:rsidRPr="002B5855">
              <w:rPr>
                <w:rFonts w:ascii="Arial Narrow" w:eastAsia="Calibri" w:hAnsi="Arial Narrow"/>
                <w:sz w:val="20"/>
                <w:szCs w:val="20"/>
              </w:rPr>
              <w:t xml:space="preserve">Authority Required (Streamlined) </w:t>
            </w:r>
          </w:p>
        </w:tc>
      </w:tr>
      <w:tr w:rsidR="005221A4" w:rsidRPr="00334472" w14:paraId="30360098" w14:textId="77777777" w:rsidTr="005221A4">
        <w:tblPrEx>
          <w:tblCellMar>
            <w:top w:w="15" w:type="dxa"/>
            <w:bottom w:w="15" w:type="dxa"/>
          </w:tblCellMar>
        </w:tblPrEx>
        <w:trPr>
          <w:trHeight w:val="20"/>
        </w:trPr>
        <w:tc>
          <w:tcPr>
            <w:tcW w:w="5000" w:type="pct"/>
            <w:gridSpan w:val="7"/>
            <w:vAlign w:val="center"/>
          </w:tcPr>
          <w:p w14:paraId="44186101" w14:textId="77777777" w:rsidR="005221A4" w:rsidRPr="002B5855" w:rsidRDefault="005221A4" w:rsidP="00C44208">
            <w:pPr>
              <w:rPr>
                <w:rFonts w:ascii="Arial Narrow" w:hAnsi="Arial Narrow"/>
                <w:b/>
                <w:bCs/>
                <w:i/>
                <w:iCs/>
                <w:sz w:val="20"/>
                <w:szCs w:val="20"/>
              </w:rPr>
            </w:pPr>
            <w:r w:rsidRPr="002B5855">
              <w:rPr>
                <w:rFonts w:ascii="Arial Narrow" w:hAnsi="Arial Narrow"/>
                <w:b/>
                <w:bCs/>
                <w:i/>
                <w:iCs/>
                <w:sz w:val="20"/>
                <w:szCs w:val="20"/>
              </w:rPr>
              <w:t>Administrative Advice:</w:t>
            </w:r>
          </w:p>
          <w:p w14:paraId="764E2D8A" w14:textId="77777777" w:rsidR="005221A4" w:rsidRPr="002B5855" w:rsidRDefault="005221A4" w:rsidP="00C44208">
            <w:pPr>
              <w:pStyle w:val="PBACTabletext"/>
              <w:spacing w:after="0"/>
              <w:rPr>
                <w:rFonts w:ascii="Arial Narrow" w:hAnsi="Arial Narrow"/>
                <w:szCs w:val="20"/>
              </w:rPr>
            </w:pPr>
            <w:r w:rsidRPr="002B5855">
              <w:rPr>
                <w:rFonts w:ascii="Arial Narrow" w:hAnsi="Arial Narrow"/>
                <w:i/>
                <w:iCs/>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221A4" w:rsidRPr="00334472" w14:paraId="564AC7EC"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7616731B" w14:textId="77777777" w:rsidR="005221A4" w:rsidRPr="002B5855" w:rsidRDefault="005221A4" w:rsidP="00C44208">
            <w:pPr>
              <w:keepLines/>
              <w:rPr>
                <w:rFonts w:ascii="Arial Narrow" w:hAnsi="Arial Narrow"/>
                <w:b/>
                <w:bCs/>
                <w:sz w:val="20"/>
                <w:szCs w:val="20"/>
              </w:rPr>
            </w:pPr>
            <w:r w:rsidRPr="002B5855">
              <w:rPr>
                <w:rFonts w:ascii="Arial Narrow" w:hAnsi="Arial Narrow"/>
                <w:b/>
                <w:bCs/>
                <w:sz w:val="20"/>
                <w:szCs w:val="20"/>
              </w:rPr>
              <w:t xml:space="preserve">Condition: </w:t>
            </w:r>
            <w:r w:rsidRPr="002B5855">
              <w:rPr>
                <w:rFonts w:ascii="Arial Narrow" w:eastAsia="Calibri" w:hAnsi="Arial Narrow"/>
                <w:sz w:val="20"/>
                <w:szCs w:val="20"/>
              </w:rPr>
              <w:t>Chronic kidney disease with Type 2 diabetes</w:t>
            </w:r>
          </w:p>
        </w:tc>
      </w:tr>
      <w:tr w:rsidR="005221A4" w:rsidRPr="00334472" w14:paraId="101EBE8B"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hideMark/>
          </w:tcPr>
          <w:p w14:paraId="11E81949" w14:textId="77777777" w:rsidR="005221A4" w:rsidRPr="002B5855" w:rsidRDefault="005221A4" w:rsidP="00C44208">
            <w:pPr>
              <w:keepLines/>
              <w:rPr>
                <w:rFonts w:ascii="Arial Narrow" w:hAnsi="Arial Narrow"/>
                <w:sz w:val="20"/>
                <w:szCs w:val="20"/>
              </w:rPr>
            </w:pPr>
            <w:r w:rsidRPr="002B5855">
              <w:rPr>
                <w:rFonts w:ascii="Arial Narrow" w:hAnsi="Arial Narrow"/>
                <w:b/>
                <w:bCs/>
                <w:sz w:val="20"/>
                <w:szCs w:val="20"/>
              </w:rPr>
              <w:t>Indication:</w:t>
            </w:r>
            <w:r w:rsidRPr="002B5855">
              <w:rPr>
                <w:rFonts w:ascii="Arial Narrow" w:hAnsi="Arial Narrow"/>
                <w:sz w:val="20"/>
                <w:szCs w:val="20"/>
              </w:rPr>
              <w:t xml:space="preserve"> </w:t>
            </w:r>
            <w:r w:rsidRPr="002B5855">
              <w:rPr>
                <w:rFonts w:ascii="Arial Narrow" w:eastAsia="Calibri" w:hAnsi="Arial Narrow"/>
                <w:sz w:val="20"/>
                <w:szCs w:val="20"/>
              </w:rPr>
              <w:t>Chronic kidney disease with Type 2 diabetes</w:t>
            </w:r>
          </w:p>
        </w:tc>
      </w:tr>
      <w:tr w:rsidR="005221A4" w:rsidRPr="00334472" w14:paraId="098A3F97"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0E23AC00" w14:textId="77777777" w:rsidR="005221A4" w:rsidRPr="002B5855" w:rsidRDefault="005221A4" w:rsidP="00C44208">
            <w:pPr>
              <w:keepLines/>
              <w:rPr>
                <w:rFonts w:ascii="Arial Narrow" w:hAnsi="Arial Narrow"/>
                <w:b/>
                <w:bCs/>
                <w:sz w:val="20"/>
                <w:szCs w:val="20"/>
              </w:rPr>
            </w:pPr>
            <w:r w:rsidRPr="002B5855">
              <w:rPr>
                <w:rFonts w:ascii="Arial Narrow" w:hAnsi="Arial Narrow"/>
                <w:b/>
                <w:bCs/>
                <w:sz w:val="20"/>
                <w:szCs w:val="20"/>
              </w:rPr>
              <w:t>Clinical criteria:</w:t>
            </w:r>
          </w:p>
        </w:tc>
      </w:tr>
      <w:tr w:rsidR="005221A4" w:rsidRPr="00334472" w14:paraId="199CD495"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4389D428" w14:textId="77777777" w:rsidR="005221A4" w:rsidRPr="002B5855" w:rsidRDefault="005221A4" w:rsidP="00C44208">
            <w:pPr>
              <w:keepLines/>
              <w:rPr>
                <w:rFonts w:ascii="Arial Narrow" w:hAnsi="Arial Narrow"/>
                <w:b/>
                <w:bCs/>
                <w:iCs/>
                <w:sz w:val="20"/>
                <w:szCs w:val="20"/>
              </w:rPr>
            </w:pPr>
            <w:r w:rsidRPr="002B5855">
              <w:rPr>
                <w:rFonts w:ascii="Arial Narrow" w:hAnsi="Arial Narrow"/>
                <w:iCs/>
                <w:sz w:val="20"/>
                <w:szCs w:val="20"/>
              </w:rPr>
              <w:t xml:space="preserve">Patient must have a diagnosis of chronic diabetic kidney disease, defined as abnormalities of </w:t>
            </w:r>
            <w:r w:rsidRPr="002B5855">
              <w:rPr>
                <w:rFonts w:ascii="Arial Narrow" w:hAnsi="Arial Narrow"/>
                <w:i/>
                <w:sz w:val="20"/>
                <w:szCs w:val="20"/>
              </w:rPr>
              <w:t xml:space="preserve">at least one of: (i) </w:t>
            </w:r>
            <w:r w:rsidRPr="002B5855">
              <w:rPr>
                <w:rFonts w:ascii="Arial Narrow" w:hAnsi="Arial Narrow"/>
                <w:iCs/>
                <w:sz w:val="20"/>
                <w:szCs w:val="20"/>
              </w:rPr>
              <w:t xml:space="preserve">kidney structure, </w:t>
            </w:r>
            <w:r w:rsidRPr="002B5855">
              <w:rPr>
                <w:rFonts w:ascii="Arial Narrow" w:hAnsi="Arial Narrow"/>
                <w:iCs/>
                <w:strike/>
                <w:sz w:val="20"/>
                <w:szCs w:val="20"/>
              </w:rPr>
              <w:t>or</w:t>
            </w:r>
            <w:r w:rsidRPr="002B5855">
              <w:rPr>
                <w:rFonts w:ascii="Arial Narrow" w:hAnsi="Arial Narrow"/>
                <w:iCs/>
                <w:sz w:val="20"/>
                <w:szCs w:val="20"/>
              </w:rPr>
              <w:t xml:space="preserve"> </w:t>
            </w:r>
            <w:r w:rsidRPr="002B5855">
              <w:rPr>
                <w:rFonts w:ascii="Arial Narrow" w:hAnsi="Arial Narrow"/>
                <w:i/>
                <w:sz w:val="20"/>
                <w:szCs w:val="20"/>
              </w:rPr>
              <w:t xml:space="preserve">(ii) kidney </w:t>
            </w:r>
            <w:r w:rsidRPr="002B5855">
              <w:rPr>
                <w:rFonts w:ascii="Arial Narrow" w:hAnsi="Arial Narrow"/>
                <w:iCs/>
                <w:sz w:val="20"/>
                <w:szCs w:val="20"/>
              </w:rPr>
              <w:t xml:space="preserve">function, present for </w:t>
            </w:r>
            <w:r w:rsidRPr="002B5855">
              <w:rPr>
                <w:rFonts w:ascii="Arial Narrow" w:hAnsi="Arial Narrow"/>
                <w:i/>
                <w:sz w:val="20"/>
                <w:szCs w:val="20"/>
              </w:rPr>
              <w:t xml:space="preserve">at least </w:t>
            </w:r>
            <w:r w:rsidRPr="002B5855">
              <w:rPr>
                <w:rFonts w:ascii="Arial Narrow" w:hAnsi="Arial Narrow"/>
                <w:iCs/>
                <w:sz w:val="20"/>
                <w:szCs w:val="20"/>
              </w:rPr>
              <w:t xml:space="preserve">3 months </w:t>
            </w:r>
            <w:r w:rsidRPr="002B5855">
              <w:rPr>
                <w:rFonts w:ascii="Arial Narrow" w:hAnsi="Arial Narrow"/>
                <w:iCs/>
                <w:strike/>
                <w:sz w:val="20"/>
                <w:szCs w:val="20"/>
              </w:rPr>
              <w:t>or more</w:t>
            </w:r>
            <w:r w:rsidRPr="002B5855">
              <w:rPr>
                <w:rFonts w:ascii="Arial Narrow" w:hAnsi="Arial Narrow"/>
                <w:iCs/>
                <w:sz w:val="20"/>
                <w:szCs w:val="20"/>
              </w:rPr>
              <w:t>, prior to initiating treatment with this drug,</w:t>
            </w:r>
          </w:p>
        </w:tc>
      </w:tr>
      <w:tr w:rsidR="005221A4" w:rsidRPr="00334472" w14:paraId="21B42C5F"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39F5B1D6" w14:textId="77777777" w:rsidR="005221A4" w:rsidRPr="002B5855" w:rsidRDefault="005221A4" w:rsidP="00C44208">
            <w:pPr>
              <w:keepLines/>
              <w:rPr>
                <w:rFonts w:ascii="Arial Narrow" w:hAnsi="Arial Narrow"/>
                <w:sz w:val="20"/>
                <w:szCs w:val="20"/>
              </w:rPr>
            </w:pPr>
            <w:r w:rsidRPr="002B5855">
              <w:rPr>
                <w:rFonts w:ascii="Arial Narrow" w:hAnsi="Arial Narrow"/>
                <w:b/>
                <w:bCs/>
                <w:sz w:val="20"/>
                <w:szCs w:val="20"/>
              </w:rPr>
              <w:t>AND</w:t>
            </w:r>
          </w:p>
        </w:tc>
      </w:tr>
      <w:tr w:rsidR="005221A4" w:rsidRPr="00334472" w14:paraId="501EAD75"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43708EAF" w14:textId="77777777" w:rsidR="005221A4" w:rsidRPr="002B5855" w:rsidRDefault="005221A4" w:rsidP="00C44208">
            <w:pPr>
              <w:keepLines/>
              <w:rPr>
                <w:rFonts w:ascii="Arial Narrow" w:hAnsi="Arial Narrow"/>
                <w:sz w:val="20"/>
                <w:szCs w:val="20"/>
              </w:rPr>
            </w:pPr>
            <w:r w:rsidRPr="002B5855">
              <w:rPr>
                <w:rFonts w:ascii="Arial Narrow" w:hAnsi="Arial Narrow"/>
                <w:b/>
                <w:bCs/>
                <w:sz w:val="20"/>
                <w:szCs w:val="20"/>
              </w:rPr>
              <w:t>Clinical criteria:</w:t>
            </w:r>
          </w:p>
        </w:tc>
      </w:tr>
      <w:tr w:rsidR="005221A4" w:rsidRPr="00334472" w14:paraId="2798459F"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1BEB2933" w14:textId="77777777" w:rsidR="005221A4" w:rsidRPr="002B5855" w:rsidRDefault="005221A4" w:rsidP="00C44208">
            <w:pPr>
              <w:keepLines/>
              <w:rPr>
                <w:rFonts w:ascii="Arial Narrow" w:hAnsi="Arial Narrow"/>
                <w:sz w:val="20"/>
                <w:szCs w:val="20"/>
              </w:rPr>
            </w:pPr>
            <w:r w:rsidRPr="002B5855">
              <w:rPr>
                <w:rFonts w:ascii="Arial Narrow" w:hAnsi="Arial Narrow"/>
                <w:sz w:val="20"/>
                <w:szCs w:val="20"/>
              </w:rPr>
              <w:t>Patient must not have known significant non-diabetic renal disease, prior to initiating treatment with this drug.</w:t>
            </w:r>
          </w:p>
        </w:tc>
      </w:tr>
      <w:tr w:rsidR="005221A4" w:rsidRPr="00334472" w14:paraId="5AEA3BF0"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63C6C115" w14:textId="77777777" w:rsidR="005221A4" w:rsidRPr="002B5855" w:rsidRDefault="005221A4" w:rsidP="00C44208">
            <w:pPr>
              <w:keepLines/>
              <w:rPr>
                <w:rFonts w:ascii="Arial Narrow" w:hAnsi="Arial Narrow"/>
                <w:b/>
                <w:bCs/>
                <w:sz w:val="20"/>
                <w:szCs w:val="20"/>
              </w:rPr>
            </w:pPr>
            <w:r w:rsidRPr="002B5855">
              <w:rPr>
                <w:rFonts w:ascii="Arial Narrow" w:hAnsi="Arial Narrow"/>
                <w:b/>
                <w:bCs/>
                <w:sz w:val="20"/>
                <w:szCs w:val="20"/>
              </w:rPr>
              <w:t>AND</w:t>
            </w:r>
          </w:p>
        </w:tc>
      </w:tr>
      <w:tr w:rsidR="005221A4" w:rsidRPr="00334472" w14:paraId="03191F1C"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0FB7392D" w14:textId="77777777" w:rsidR="005221A4" w:rsidRPr="002B5855" w:rsidRDefault="005221A4" w:rsidP="00C44208">
            <w:pPr>
              <w:keepLines/>
              <w:rPr>
                <w:rFonts w:ascii="Arial Narrow" w:hAnsi="Arial Narrow"/>
                <w:b/>
                <w:bCs/>
                <w:sz w:val="20"/>
                <w:szCs w:val="20"/>
              </w:rPr>
            </w:pPr>
            <w:r w:rsidRPr="002B5855">
              <w:rPr>
                <w:rFonts w:ascii="Arial Narrow" w:hAnsi="Arial Narrow"/>
                <w:b/>
                <w:bCs/>
                <w:sz w:val="20"/>
                <w:szCs w:val="20"/>
              </w:rPr>
              <w:t>Clinical criteria:</w:t>
            </w:r>
          </w:p>
        </w:tc>
      </w:tr>
      <w:tr w:rsidR="005221A4" w:rsidRPr="00334472" w14:paraId="1C34A7EB"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0E5634CF" w14:textId="77777777" w:rsidR="005221A4" w:rsidRPr="002B5855" w:rsidRDefault="005221A4" w:rsidP="00C44208">
            <w:pPr>
              <w:keepLines/>
              <w:rPr>
                <w:rFonts w:ascii="Arial Narrow" w:hAnsi="Arial Narrow"/>
                <w:i/>
                <w:iCs/>
                <w:sz w:val="20"/>
                <w:szCs w:val="20"/>
              </w:rPr>
            </w:pPr>
            <w:r w:rsidRPr="002B5855">
              <w:rPr>
                <w:rFonts w:ascii="Arial Narrow" w:hAnsi="Arial Narrow"/>
                <w:iCs/>
                <w:sz w:val="20"/>
                <w:szCs w:val="20"/>
              </w:rPr>
              <w:t xml:space="preserve">Patient must have an estimated glomerular filtration rate of </w:t>
            </w:r>
            <w:r w:rsidRPr="002B5855">
              <w:rPr>
                <w:rFonts w:ascii="Arial Narrow" w:hAnsi="Arial Narrow"/>
                <w:iCs/>
                <w:strike/>
                <w:sz w:val="20"/>
                <w:szCs w:val="20"/>
              </w:rPr>
              <w:t>greater than</w:t>
            </w:r>
            <w:r w:rsidRPr="002B5855">
              <w:rPr>
                <w:rFonts w:ascii="Arial Narrow" w:hAnsi="Arial Narrow"/>
                <w:iCs/>
                <w:sz w:val="20"/>
                <w:szCs w:val="20"/>
              </w:rPr>
              <w:t xml:space="preserve"> 25 mL/min/1.73 m</w:t>
            </w:r>
            <w:r w:rsidRPr="002B5855">
              <w:rPr>
                <w:rFonts w:ascii="Arial Narrow" w:hAnsi="Arial Narrow"/>
                <w:iCs/>
                <w:sz w:val="20"/>
                <w:szCs w:val="20"/>
                <w:vertAlign w:val="superscript"/>
              </w:rPr>
              <w:t>2</w:t>
            </w:r>
            <w:r w:rsidRPr="002B5855">
              <w:rPr>
                <w:rFonts w:ascii="Arial Narrow" w:hAnsi="Arial Narrow"/>
                <w:i/>
                <w:sz w:val="20"/>
                <w:szCs w:val="20"/>
              </w:rPr>
              <w:t xml:space="preserve"> or greater</w:t>
            </w:r>
            <w:r w:rsidRPr="002B5855">
              <w:rPr>
                <w:rFonts w:ascii="Arial Narrow" w:hAnsi="Arial Narrow"/>
                <w:iCs/>
                <w:sz w:val="20"/>
                <w:szCs w:val="20"/>
              </w:rPr>
              <w:t>, prior to initiating treatment with this drug</w:t>
            </w:r>
          </w:p>
        </w:tc>
      </w:tr>
      <w:tr w:rsidR="005221A4" w:rsidRPr="00334472" w14:paraId="2AE97165"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3624554E" w14:textId="77777777" w:rsidR="005221A4" w:rsidRPr="002B5855" w:rsidRDefault="005221A4" w:rsidP="00C44208">
            <w:pPr>
              <w:rPr>
                <w:rFonts w:ascii="Arial Narrow" w:hAnsi="Arial Narrow"/>
                <w:strike/>
                <w:sz w:val="20"/>
                <w:szCs w:val="20"/>
              </w:rPr>
            </w:pPr>
            <w:r w:rsidRPr="002B5855">
              <w:rPr>
                <w:rFonts w:ascii="Arial Narrow" w:hAnsi="Arial Narrow"/>
                <w:b/>
                <w:bCs/>
                <w:sz w:val="20"/>
                <w:szCs w:val="20"/>
              </w:rPr>
              <w:t>AND</w:t>
            </w:r>
          </w:p>
        </w:tc>
      </w:tr>
      <w:tr w:rsidR="005221A4" w:rsidRPr="00334472" w14:paraId="0C4C7C50"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73A14121" w14:textId="77777777" w:rsidR="005221A4" w:rsidRPr="002B5855" w:rsidRDefault="005221A4" w:rsidP="00C44208">
            <w:pPr>
              <w:rPr>
                <w:rFonts w:ascii="Arial Narrow" w:hAnsi="Arial Narrow"/>
                <w:strike/>
                <w:sz w:val="20"/>
                <w:szCs w:val="20"/>
              </w:rPr>
            </w:pPr>
            <w:r w:rsidRPr="002B5855">
              <w:rPr>
                <w:rFonts w:ascii="Arial Narrow" w:hAnsi="Arial Narrow"/>
                <w:b/>
                <w:bCs/>
                <w:sz w:val="20"/>
                <w:szCs w:val="20"/>
              </w:rPr>
              <w:t>Clinical criteria:</w:t>
            </w:r>
          </w:p>
        </w:tc>
      </w:tr>
      <w:tr w:rsidR="005221A4" w:rsidRPr="00334472" w14:paraId="6414C680"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40E9CAC5" w14:textId="77777777" w:rsidR="005221A4" w:rsidRPr="002B5855" w:rsidRDefault="005221A4" w:rsidP="00C44208">
            <w:pPr>
              <w:keepLines/>
              <w:rPr>
                <w:rFonts w:ascii="Arial Narrow" w:hAnsi="Arial Narrow"/>
                <w:strike/>
                <w:sz w:val="20"/>
                <w:szCs w:val="20"/>
              </w:rPr>
            </w:pPr>
            <w:r w:rsidRPr="002B5855">
              <w:rPr>
                <w:rFonts w:ascii="Arial Narrow" w:hAnsi="Arial Narrow"/>
                <w:iCs/>
                <w:sz w:val="20"/>
                <w:szCs w:val="20"/>
              </w:rPr>
              <w:t xml:space="preserve">Patient must have a urinary albumin-to-creatinine ratio of </w:t>
            </w:r>
            <w:r w:rsidRPr="002B5855">
              <w:rPr>
                <w:rFonts w:ascii="Arial Narrow" w:hAnsi="Arial Narrow"/>
                <w:iCs/>
                <w:strike/>
                <w:sz w:val="20"/>
                <w:szCs w:val="20"/>
              </w:rPr>
              <w:t>greater than</w:t>
            </w:r>
            <w:r w:rsidRPr="002B5855">
              <w:rPr>
                <w:rFonts w:ascii="Arial Narrow" w:hAnsi="Arial Narrow"/>
                <w:iCs/>
                <w:sz w:val="20"/>
                <w:szCs w:val="20"/>
              </w:rPr>
              <w:t xml:space="preserve"> 200 mg/g (22.6 mg/mmol)</w:t>
            </w:r>
            <w:r w:rsidRPr="002B5855">
              <w:rPr>
                <w:rFonts w:ascii="Arial Narrow" w:hAnsi="Arial Narrow"/>
                <w:i/>
                <w:sz w:val="20"/>
                <w:szCs w:val="20"/>
              </w:rPr>
              <w:t xml:space="preserve"> or greater,</w:t>
            </w:r>
            <w:r w:rsidRPr="002B5855">
              <w:rPr>
                <w:rFonts w:ascii="Arial Narrow" w:hAnsi="Arial Narrow"/>
                <w:iCs/>
                <w:sz w:val="20"/>
                <w:szCs w:val="20"/>
              </w:rPr>
              <w:t xml:space="preserve"> </w:t>
            </w:r>
            <w:r w:rsidRPr="002B5855">
              <w:rPr>
                <w:rFonts w:ascii="Arial Narrow" w:hAnsi="Arial Narrow"/>
                <w:iCs/>
                <w:strike/>
                <w:sz w:val="20"/>
                <w:szCs w:val="20"/>
              </w:rPr>
              <w:t>inclusive</w:t>
            </w:r>
            <w:r w:rsidRPr="002B5855">
              <w:rPr>
                <w:rFonts w:ascii="Arial Narrow" w:hAnsi="Arial Narrow"/>
                <w:iCs/>
                <w:sz w:val="20"/>
                <w:szCs w:val="20"/>
              </w:rPr>
              <w:t xml:space="preserve"> prior to initiating treatment with this drug</w:t>
            </w:r>
          </w:p>
        </w:tc>
      </w:tr>
      <w:tr w:rsidR="005221A4" w:rsidRPr="00334472" w14:paraId="2AAB906C"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hideMark/>
          </w:tcPr>
          <w:p w14:paraId="5C365018" w14:textId="77777777" w:rsidR="005221A4" w:rsidRPr="002B5855" w:rsidRDefault="005221A4" w:rsidP="00C44208">
            <w:pPr>
              <w:rPr>
                <w:rFonts w:ascii="Arial Narrow" w:hAnsi="Arial Narrow"/>
                <w:sz w:val="20"/>
                <w:szCs w:val="20"/>
              </w:rPr>
            </w:pPr>
            <w:r w:rsidRPr="002B5855">
              <w:rPr>
                <w:rFonts w:ascii="Arial Narrow" w:hAnsi="Arial Narrow"/>
                <w:b/>
                <w:bCs/>
                <w:sz w:val="20"/>
                <w:szCs w:val="20"/>
              </w:rPr>
              <w:t>AND</w:t>
            </w:r>
          </w:p>
        </w:tc>
      </w:tr>
      <w:tr w:rsidR="005221A4" w:rsidRPr="00334472" w14:paraId="5B8975E7"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hideMark/>
          </w:tcPr>
          <w:p w14:paraId="5A7527EC" w14:textId="77777777" w:rsidR="005221A4" w:rsidRPr="002B5855" w:rsidRDefault="005221A4" w:rsidP="00C44208">
            <w:pPr>
              <w:rPr>
                <w:rFonts w:ascii="Arial Narrow" w:hAnsi="Arial Narrow"/>
                <w:sz w:val="20"/>
                <w:szCs w:val="20"/>
              </w:rPr>
            </w:pPr>
            <w:r w:rsidRPr="002B5855">
              <w:rPr>
                <w:rFonts w:ascii="Arial Narrow" w:hAnsi="Arial Narrow"/>
                <w:b/>
                <w:bCs/>
                <w:sz w:val="20"/>
                <w:szCs w:val="20"/>
              </w:rPr>
              <w:t>Clinical criteria:</w:t>
            </w:r>
          </w:p>
        </w:tc>
      </w:tr>
      <w:tr w:rsidR="005221A4" w:rsidRPr="00334472" w14:paraId="6AF0D4C8"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shd w:val="clear" w:color="auto" w:fill="auto"/>
            <w:vAlign w:val="center"/>
            <w:hideMark/>
          </w:tcPr>
          <w:p w14:paraId="301D3116" w14:textId="77777777" w:rsidR="005221A4" w:rsidRPr="002B5855" w:rsidRDefault="005221A4" w:rsidP="00C44208">
            <w:pPr>
              <w:keepLines/>
              <w:rPr>
                <w:rFonts w:ascii="Arial Narrow" w:hAnsi="Arial Narrow"/>
                <w:sz w:val="20"/>
                <w:szCs w:val="20"/>
              </w:rPr>
            </w:pPr>
            <w:r w:rsidRPr="002B5855">
              <w:rPr>
                <w:rFonts w:ascii="Arial Narrow" w:hAnsi="Arial Narrow"/>
                <w:iCs/>
                <w:sz w:val="20"/>
                <w:szCs w:val="20"/>
              </w:rPr>
              <w:t>Patient must discontinue treatment with this drug prior to initiating renal replacement therapy, defined as dialysis or kidney transplant,</w:t>
            </w:r>
          </w:p>
        </w:tc>
      </w:tr>
      <w:tr w:rsidR="005221A4" w:rsidRPr="00334472" w14:paraId="21A0A053"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49E99908" w14:textId="77777777" w:rsidR="005221A4" w:rsidRPr="002B5855" w:rsidRDefault="005221A4" w:rsidP="00C44208">
            <w:pPr>
              <w:pStyle w:val="PBACTabletext"/>
              <w:spacing w:after="0"/>
              <w:rPr>
                <w:rFonts w:ascii="Arial Narrow" w:hAnsi="Arial Narrow"/>
                <w:szCs w:val="20"/>
              </w:rPr>
            </w:pPr>
            <w:r w:rsidRPr="002B5855">
              <w:rPr>
                <w:rFonts w:ascii="Arial Narrow" w:hAnsi="Arial Narrow"/>
                <w:b/>
                <w:bCs/>
                <w:szCs w:val="20"/>
                <w:lang w:eastAsia="en-AU"/>
              </w:rPr>
              <w:t>AND</w:t>
            </w:r>
          </w:p>
        </w:tc>
      </w:tr>
      <w:tr w:rsidR="005221A4" w:rsidRPr="00334472" w14:paraId="0270A87B"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0DA4B2EB" w14:textId="77777777" w:rsidR="005221A4" w:rsidRPr="002B5855" w:rsidRDefault="005221A4" w:rsidP="00C44208">
            <w:pPr>
              <w:pStyle w:val="PBACTabletext"/>
              <w:spacing w:after="0"/>
              <w:rPr>
                <w:rFonts w:ascii="Arial Narrow" w:hAnsi="Arial Narrow"/>
                <w:szCs w:val="20"/>
              </w:rPr>
            </w:pPr>
            <w:r w:rsidRPr="002B5855">
              <w:rPr>
                <w:rFonts w:ascii="Arial Narrow" w:hAnsi="Arial Narrow"/>
                <w:b/>
                <w:bCs/>
                <w:szCs w:val="20"/>
                <w:lang w:eastAsia="en-AU"/>
              </w:rPr>
              <w:t>Clinical criteria:</w:t>
            </w:r>
          </w:p>
        </w:tc>
      </w:tr>
      <w:tr w:rsidR="005221A4" w:rsidRPr="00334472" w14:paraId="119ED7F8"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0514FF9D" w14:textId="77777777" w:rsidR="005221A4" w:rsidRPr="002B5855" w:rsidRDefault="005221A4" w:rsidP="00C44208">
            <w:pPr>
              <w:keepLines/>
              <w:rPr>
                <w:rFonts w:ascii="Arial Narrow" w:hAnsi="Arial Narrow"/>
                <w:i/>
                <w:iCs/>
                <w:sz w:val="20"/>
                <w:szCs w:val="20"/>
              </w:rPr>
            </w:pPr>
            <w:r w:rsidRPr="002B5855">
              <w:rPr>
                <w:rFonts w:ascii="Arial Narrow" w:hAnsi="Arial Narrow"/>
                <w:iCs/>
                <w:sz w:val="20"/>
                <w:szCs w:val="20"/>
              </w:rPr>
              <w:t>Patient must be stabilised, for at least 4 weeks, on either: (i) an ACE inhibitor or (ii) an angiotensin II receptor antagonist, unless medically contraindicated, prior to initiation of combination therapy with this drug.</w:t>
            </w:r>
          </w:p>
        </w:tc>
      </w:tr>
      <w:tr w:rsidR="005221A4" w:rsidRPr="00334472" w14:paraId="0E3FB828"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687C93D1" w14:textId="77777777" w:rsidR="005221A4" w:rsidRPr="002B5855" w:rsidRDefault="005221A4" w:rsidP="00C44208">
            <w:pPr>
              <w:pStyle w:val="PBACTabletext"/>
              <w:spacing w:after="0"/>
              <w:rPr>
                <w:rFonts w:ascii="Arial Narrow" w:hAnsi="Arial Narrow"/>
                <w:b/>
                <w:bCs/>
                <w:szCs w:val="20"/>
                <w:lang w:eastAsia="en-AU"/>
              </w:rPr>
            </w:pPr>
            <w:r w:rsidRPr="002B5855">
              <w:rPr>
                <w:rFonts w:ascii="Arial Narrow" w:hAnsi="Arial Narrow"/>
                <w:b/>
                <w:bCs/>
                <w:szCs w:val="20"/>
                <w:lang w:eastAsia="en-AU"/>
              </w:rPr>
              <w:t>AND</w:t>
            </w:r>
          </w:p>
        </w:tc>
      </w:tr>
      <w:tr w:rsidR="005221A4" w:rsidRPr="00334472" w14:paraId="5D608E9B"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3C95E435" w14:textId="77777777" w:rsidR="005221A4" w:rsidRPr="002B5855" w:rsidRDefault="005221A4" w:rsidP="00C44208">
            <w:pPr>
              <w:pStyle w:val="PBACTabletext"/>
              <w:spacing w:after="0"/>
              <w:rPr>
                <w:rFonts w:ascii="Arial Narrow" w:hAnsi="Arial Narrow"/>
                <w:b/>
                <w:bCs/>
                <w:i/>
                <w:iCs/>
                <w:szCs w:val="20"/>
                <w:lang w:eastAsia="en-AU"/>
              </w:rPr>
            </w:pPr>
            <w:r w:rsidRPr="002B5855">
              <w:rPr>
                <w:rFonts w:ascii="Arial Narrow" w:hAnsi="Arial Narrow"/>
                <w:b/>
                <w:bCs/>
                <w:szCs w:val="20"/>
                <w:lang w:eastAsia="en-AU"/>
              </w:rPr>
              <w:t>Clinical criteria:</w:t>
            </w:r>
          </w:p>
        </w:tc>
      </w:tr>
      <w:tr w:rsidR="005221A4" w:rsidRPr="00334472" w14:paraId="108E2A77"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628B2EC5" w14:textId="30FCBF3F" w:rsidR="005221A4" w:rsidRPr="002B5855" w:rsidRDefault="005221A4" w:rsidP="00C44208">
            <w:pPr>
              <w:keepLines/>
              <w:rPr>
                <w:rFonts w:ascii="Arial Narrow" w:hAnsi="Arial Narrow"/>
                <w:b/>
                <w:bCs/>
                <w:i/>
                <w:iCs/>
                <w:szCs w:val="20"/>
              </w:rPr>
            </w:pPr>
            <w:r w:rsidRPr="002B5855">
              <w:rPr>
                <w:rFonts w:ascii="Arial Narrow" w:hAnsi="Arial Narrow"/>
                <w:iCs/>
                <w:sz w:val="20"/>
                <w:szCs w:val="20"/>
              </w:rPr>
              <w:t>The treatment must be in combination with an SGLT2i unless medically contraindicated or intolerant.</w:t>
            </w:r>
          </w:p>
        </w:tc>
      </w:tr>
      <w:tr w:rsidR="005221A4" w:rsidRPr="00334472" w14:paraId="4D28EF9C"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47135ECE" w14:textId="77777777" w:rsidR="005221A4" w:rsidRPr="002B5855" w:rsidRDefault="005221A4" w:rsidP="00C44208">
            <w:pPr>
              <w:pStyle w:val="PBACTabletext"/>
              <w:spacing w:after="0"/>
              <w:rPr>
                <w:rFonts w:ascii="Arial Narrow" w:hAnsi="Arial Narrow"/>
                <w:b/>
                <w:bCs/>
                <w:strike/>
                <w:szCs w:val="20"/>
              </w:rPr>
            </w:pPr>
            <w:r w:rsidRPr="002B5855">
              <w:rPr>
                <w:rFonts w:ascii="Arial Narrow" w:hAnsi="Arial Narrow"/>
                <w:b/>
                <w:bCs/>
                <w:szCs w:val="20"/>
                <w:lang w:eastAsia="en-AU"/>
              </w:rPr>
              <w:t>AND</w:t>
            </w:r>
          </w:p>
        </w:tc>
      </w:tr>
      <w:tr w:rsidR="005221A4" w:rsidRPr="00334472" w14:paraId="53E68ACE"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758D96FE" w14:textId="77777777" w:rsidR="005221A4" w:rsidRPr="002B5855" w:rsidRDefault="005221A4" w:rsidP="00C44208">
            <w:pPr>
              <w:pStyle w:val="PBACTabletext"/>
              <w:spacing w:after="0"/>
              <w:rPr>
                <w:rFonts w:ascii="Arial Narrow" w:hAnsi="Arial Narrow"/>
                <w:strike/>
                <w:szCs w:val="20"/>
              </w:rPr>
            </w:pPr>
            <w:r w:rsidRPr="002B5855">
              <w:rPr>
                <w:rFonts w:ascii="Arial Narrow" w:hAnsi="Arial Narrow"/>
                <w:b/>
                <w:bCs/>
                <w:szCs w:val="20"/>
                <w:lang w:eastAsia="en-AU"/>
              </w:rPr>
              <w:t>Clinical criteria:</w:t>
            </w:r>
          </w:p>
        </w:tc>
      </w:tr>
      <w:tr w:rsidR="005221A4" w:rsidRPr="00334472" w14:paraId="7A7CCDD3"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009BF7C4" w14:textId="77777777" w:rsidR="005221A4" w:rsidRPr="002B5855" w:rsidRDefault="005221A4" w:rsidP="00C44208">
            <w:pPr>
              <w:pStyle w:val="PBACTabletext"/>
              <w:spacing w:after="0"/>
              <w:rPr>
                <w:rFonts w:ascii="Arial Narrow" w:hAnsi="Arial Narrow"/>
                <w:strike/>
                <w:szCs w:val="20"/>
              </w:rPr>
            </w:pPr>
            <w:r w:rsidRPr="002B5855">
              <w:rPr>
                <w:rFonts w:ascii="Arial Narrow" w:hAnsi="Arial Narrow"/>
                <w:szCs w:val="20"/>
              </w:rPr>
              <w:t>Patient must not be receiving treatment with another selective nonsteroidal mineralocorticoid-receptor antagonist, a renin inhibitor or a potassium-sparing diuretic.</w:t>
            </w:r>
          </w:p>
        </w:tc>
      </w:tr>
      <w:tr w:rsidR="005221A4" w:rsidRPr="00334472" w14:paraId="720A7C7C"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5D0A5FCF" w14:textId="77777777" w:rsidR="005221A4" w:rsidRPr="002B5855" w:rsidRDefault="005221A4" w:rsidP="00C44208">
            <w:pPr>
              <w:pStyle w:val="PBACTabletext"/>
              <w:spacing w:after="0"/>
              <w:rPr>
                <w:rFonts w:ascii="Arial Narrow" w:hAnsi="Arial Narrow"/>
                <w:strike/>
                <w:szCs w:val="20"/>
              </w:rPr>
            </w:pPr>
            <w:r w:rsidRPr="002B5855">
              <w:rPr>
                <w:rFonts w:ascii="Arial Narrow" w:hAnsi="Arial Narrow"/>
                <w:b/>
                <w:bCs/>
                <w:szCs w:val="20"/>
                <w:lang w:eastAsia="en-AU"/>
              </w:rPr>
              <w:t>AND</w:t>
            </w:r>
          </w:p>
        </w:tc>
      </w:tr>
      <w:tr w:rsidR="005221A4" w:rsidRPr="00334472" w14:paraId="7F746D3D"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70EAEC34" w14:textId="77777777" w:rsidR="005221A4" w:rsidRPr="002B5855" w:rsidRDefault="005221A4" w:rsidP="00C44208">
            <w:pPr>
              <w:pStyle w:val="PBACTabletext"/>
              <w:spacing w:after="0"/>
              <w:rPr>
                <w:rFonts w:ascii="Arial Narrow" w:hAnsi="Arial Narrow"/>
                <w:strike/>
                <w:szCs w:val="20"/>
              </w:rPr>
            </w:pPr>
            <w:r w:rsidRPr="002B5855">
              <w:rPr>
                <w:rFonts w:ascii="Arial Narrow" w:hAnsi="Arial Narrow"/>
                <w:b/>
                <w:bCs/>
                <w:szCs w:val="20"/>
                <w:lang w:eastAsia="en-AU"/>
              </w:rPr>
              <w:t>Clinical criteria:</w:t>
            </w:r>
          </w:p>
        </w:tc>
      </w:tr>
      <w:tr w:rsidR="005221A4" w:rsidRPr="00334472" w14:paraId="407E3CC4"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16186242" w14:textId="77777777" w:rsidR="005221A4" w:rsidRPr="002B5855" w:rsidRDefault="005221A4" w:rsidP="00C44208">
            <w:pPr>
              <w:pStyle w:val="PBACTabletext"/>
              <w:spacing w:after="0"/>
              <w:rPr>
                <w:rFonts w:ascii="Arial Narrow" w:hAnsi="Arial Narrow"/>
                <w:strike/>
                <w:szCs w:val="20"/>
              </w:rPr>
            </w:pPr>
            <w:r w:rsidRPr="002B5855">
              <w:rPr>
                <w:rFonts w:ascii="Arial Narrow" w:hAnsi="Arial Narrow"/>
                <w:szCs w:val="20"/>
              </w:rPr>
              <w:t>Patient must not have established heart failure with reduced ejection fraction with an indication for treatment with a mineralocorticoid receptor antagonist.</w:t>
            </w:r>
          </w:p>
        </w:tc>
      </w:tr>
      <w:tr w:rsidR="005221A4" w:rsidRPr="006E69EB" w14:paraId="3E9F631F" w14:textId="77777777" w:rsidTr="005221A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58807A71" w14:textId="77777777" w:rsidR="005221A4" w:rsidRPr="002B5855" w:rsidRDefault="005221A4" w:rsidP="00C44208">
            <w:pPr>
              <w:rPr>
                <w:rFonts w:ascii="Arial Narrow" w:hAnsi="Arial Narrow"/>
                <w:b/>
                <w:bCs/>
                <w:i/>
                <w:iCs/>
                <w:sz w:val="20"/>
                <w:szCs w:val="20"/>
              </w:rPr>
            </w:pPr>
            <w:r w:rsidRPr="002B5855">
              <w:rPr>
                <w:rFonts w:ascii="Arial Narrow" w:hAnsi="Arial Narrow"/>
                <w:b/>
                <w:bCs/>
                <w:i/>
                <w:iCs/>
                <w:sz w:val="20"/>
                <w:szCs w:val="20"/>
              </w:rPr>
              <w:t>Caution:</w:t>
            </w:r>
          </w:p>
          <w:p w14:paraId="53E6217C" w14:textId="77777777" w:rsidR="005221A4" w:rsidRPr="006E69EB" w:rsidRDefault="005221A4" w:rsidP="00C44208">
            <w:pPr>
              <w:rPr>
                <w:rFonts w:ascii="Arial Narrow" w:hAnsi="Arial Narrow"/>
                <w:b/>
                <w:bCs/>
                <w:sz w:val="20"/>
                <w:szCs w:val="20"/>
              </w:rPr>
            </w:pPr>
            <w:r w:rsidRPr="002B5855">
              <w:rPr>
                <w:rFonts w:ascii="Arial Narrow" w:hAnsi="Arial Narrow"/>
                <w:i/>
                <w:iCs/>
                <w:sz w:val="20"/>
                <w:szCs w:val="20"/>
              </w:rPr>
              <w:t>Serum electrolytes should be checked regularly</w:t>
            </w:r>
          </w:p>
        </w:tc>
      </w:tr>
    </w:tbl>
    <w:p w14:paraId="05E76C1C" w14:textId="78158E41" w:rsidR="00F678C2" w:rsidRPr="00F678C2" w:rsidRDefault="00F678C2" w:rsidP="00F678C2">
      <w:pPr>
        <w:pStyle w:val="COMTablefooter"/>
        <w:rPr>
          <w:szCs w:val="18"/>
        </w:rPr>
      </w:pPr>
      <w:r w:rsidRPr="00F678C2">
        <w:rPr>
          <w:szCs w:val="18"/>
          <w:vertAlign w:val="superscript"/>
        </w:rPr>
        <w:t>a</w:t>
      </w:r>
      <w:r>
        <w:rPr>
          <w:szCs w:val="18"/>
          <w:vertAlign w:val="superscript"/>
        </w:rPr>
        <w:t xml:space="preserve"> </w:t>
      </w:r>
      <w:r>
        <w:rPr>
          <w:szCs w:val="18"/>
        </w:rPr>
        <w:t>Represents price reduction (DPMQ) proposed in the pre-PBAC response</w:t>
      </w:r>
    </w:p>
    <w:p w14:paraId="5E0AC09D" w14:textId="7558E242" w:rsidR="00AD4AC9" w:rsidRPr="00D201FF" w:rsidRDefault="00672388" w:rsidP="00672388">
      <w:pPr>
        <w:pStyle w:val="COMexecsumnumberedpara"/>
        <w:spacing w:before="120"/>
        <w:rPr>
          <w:color w:val="0066FF"/>
        </w:rPr>
      </w:pPr>
      <w:r>
        <w:t>T</w:t>
      </w:r>
      <w:r w:rsidR="00C90AF4" w:rsidRPr="00D201FF">
        <w:t xml:space="preserve">he proposed </w:t>
      </w:r>
      <w:r w:rsidR="009B759B" w:rsidRPr="00D201FF">
        <w:t xml:space="preserve">price, and </w:t>
      </w:r>
      <w:r w:rsidR="00C90AF4" w:rsidRPr="00D201FF">
        <w:t xml:space="preserve">flat pricing arrangement across the 10 mg and 20 mg dose strengths of finerenone </w:t>
      </w:r>
      <w:r w:rsidR="00D201FF">
        <w:t>we</w:t>
      </w:r>
      <w:r w:rsidR="00536D71" w:rsidRPr="00D201FF">
        <w:t>re</w:t>
      </w:r>
      <w:r w:rsidR="00C90AF4" w:rsidRPr="00D201FF">
        <w:t xml:space="preserve"> unchanged from the previous submission.</w:t>
      </w:r>
      <w:r w:rsidR="00D201FF">
        <w:t xml:space="preserve"> However, t</w:t>
      </w:r>
      <w:r w:rsidR="00AD4AC9">
        <w:t>he pre-PBAC response proposed a price reduction for finerenone from $</w:t>
      </w:r>
      <w:r w:rsidR="00320A42" w:rsidRPr="005562EE">
        <w:rPr>
          <w:color w:val="000000"/>
          <w:w w:val="15"/>
          <w:shd w:val="solid" w:color="000000" w:fill="000000"/>
          <w:fitText w:val="-20" w:id="-1233442044"/>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44"/>
          <w14:textFill>
            <w14:solidFill>
              <w14:srgbClr w14:val="000000">
                <w14:alpha w14:val="100000"/>
              </w14:srgbClr>
            </w14:solidFill>
          </w14:textFill>
        </w:rPr>
        <w:t>|</w:t>
      </w:r>
      <w:r w:rsidR="00AD4AC9">
        <w:t xml:space="preserve"> AEMP ($</w:t>
      </w:r>
      <w:r w:rsidR="00320A42" w:rsidRPr="005562EE">
        <w:rPr>
          <w:color w:val="000000"/>
          <w:w w:val="15"/>
          <w:shd w:val="solid" w:color="000000" w:fill="000000"/>
          <w:fitText w:val="-20" w:id="-1233442043"/>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43"/>
          <w14:textFill>
            <w14:solidFill>
              <w14:srgbClr w14:val="000000">
                <w14:alpha w14:val="100000"/>
              </w14:srgbClr>
            </w14:solidFill>
          </w14:textFill>
        </w:rPr>
        <w:t>|</w:t>
      </w:r>
      <w:r w:rsidR="00AD4AC9">
        <w:t xml:space="preserve"> DPMQ) to $</w:t>
      </w:r>
      <w:r w:rsidR="00320A42" w:rsidRPr="005562EE">
        <w:rPr>
          <w:color w:val="000000"/>
          <w:w w:val="15"/>
          <w:shd w:val="solid" w:color="000000" w:fill="000000"/>
          <w:fitText w:val="-20" w:id="-1233442042"/>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42"/>
          <w14:textFill>
            <w14:solidFill>
              <w14:srgbClr w14:val="000000">
                <w14:alpha w14:val="100000"/>
              </w14:srgbClr>
            </w14:solidFill>
          </w14:textFill>
        </w:rPr>
        <w:t>|</w:t>
      </w:r>
      <w:r w:rsidR="00AD4AC9">
        <w:t xml:space="preserve"> AEMP ($</w:t>
      </w:r>
      <w:r w:rsidR="00320A42" w:rsidRPr="005562EE">
        <w:rPr>
          <w:color w:val="000000"/>
          <w:w w:val="15"/>
          <w:shd w:val="solid" w:color="000000" w:fill="000000"/>
          <w:fitText w:val="-20" w:id="-1233442041"/>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41"/>
          <w14:textFill>
            <w14:solidFill>
              <w14:srgbClr w14:val="000000">
                <w14:alpha w14:val="100000"/>
              </w14:srgbClr>
            </w14:solidFill>
          </w14:textFill>
        </w:rPr>
        <w:t>|</w:t>
      </w:r>
      <w:r w:rsidR="00AD4AC9">
        <w:t xml:space="preserve"> DPMQ).</w:t>
      </w:r>
    </w:p>
    <w:p w14:paraId="1FD30677" w14:textId="246653F0" w:rsidR="009B759B" w:rsidRPr="009B20C0" w:rsidRDefault="00C93844" w:rsidP="00E00EDA">
      <w:pPr>
        <w:pStyle w:val="COMexecsumnumberedpara"/>
        <w:rPr>
          <w:rFonts w:cs="Calibri"/>
        </w:rPr>
      </w:pPr>
      <w:r w:rsidRPr="00842145">
        <w:t xml:space="preserve">The requested restriction is narrower than the TGA indication </w:t>
      </w:r>
      <w:r w:rsidR="00A326E8" w:rsidRPr="00842145">
        <w:t xml:space="preserve">but </w:t>
      </w:r>
      <w:r w:rsidR="009B759B" w:rsidRPr="0030272B">
        <w:rPr>
          <w:iCs/>
        </w:rPr>
        <w:t>broadly consistent</w:t>
      </w:r>
      <w:r w:rsidR="009B759B" w:rsidRPr="00842145">
        <w:t xml:space="preserve"> with the target population recommended by the PBAC at the July 2022 meeting</w:t>
      </w:r>
      <w:r w:rsidR="00CB250F" w:rsidRPr="00842145">
        <w:t xml:space="preserve">: the PBAC </w:t>
      </w:r>
      <w:r w:rsidR="003A68FE">
        <w:t xml:space="preserve">previously </w:t>
      </w:r>
      <w:r w:rsidR="00CB250F" w:rsidRPr="00842145">
        <w:t xml:space="preserve">considered that finerenone likely had a more limited place in therapy for use in patients with very high albuminuria (urinary albumin-to-creatinine ratio </w:t>
      </w:r>
      <w:r w:rsidR="00A25F5E">
        <w:t>[</w:t>
      </w:r>
      <w:r w:rsidR="00CB250F" w:rsidRPr="00842145">
        <w:t>UACR</w:t>
      </w:r>
      <w:r w:rsidR="00A25F5E">
        <w:t>]</w:t>
      </w:r>
      <w:r w:rsidR="00CB250F" w:rsidRPr="00842145">
        <w:t xml:space="preserve"> of 300 mg/g </w:t>
      </w:r>
      <w:r w:rsidR="00A25F5E">
        <w:t>[</w:t>
      </w:r>
      <w:r w:rsidR="00CB250F" w:rsidRPr="00842145">
        <w:t>33.9 mg/mmol</w:t>
      </w:r>
      <w:r w:rsidR="00A25F5E">
        <w:t>]</w:t>
      </w:r>
      <w:r w:rsidR="00CB250F" w:rsidRPr="00842145">
        <w:t xml:space="preserve"> or greater), excluding patients with heart failure with reduced ejection fraction (HFrEF), and as an add-on to standard of care comprising an </w:t>
      </w:r>
      <w:r w:rsidR="008E1BD9" w:rsidRPr="00594BB2">
        <w:t>angiotensin-converting enzyme inhibitor</w:t>
      </w:r>
      <w:r w:rsidR="008E1BD9" w:rsidRPr="00842145">
        <w:t xml:space="preserve"> </w:t>
      </w:r>
      <w:r w:rsidR="008E1BD9">
        <w:t>(</w:t>
      </w:r>
      <w:r w:rsidR="00CB250F" w:rsidRPr="00842145">
        <w:t>ACEi</w:t>
      </w:r>
      <w:r w:rsidR="008E1BD9">
        <w:t>)</w:t>
      </w:r>
      <w:r w:rsidR="00CB250F" w:rsidRPr="00842145">
        <w:t xml:space="preserve"> or </w:t>
      </w:r>
      <w:r w:rsidR="008E1BD9" w:rsidRPr="00594BB2">
        <w:t>angiotensin II receptor blocker</w:t>
      </w:r>
      <w:r w:rsidR="008E1BD9" w:rsidRPr="00842145">
        <w:t xml:space="preserve"> </w:t>
      </w:r>
      <w:r w:rsidR="008E1BD9">
        <w:t>(</w:t>
      </w:r>
      <w:r w:rsidR="00CB250F" w:rsidRPr="00842145">
        <w:t>ARB</w:t>
      </w:r>
      <w:r w:rsidR="008E1BD9">
        <w:t>)</w:t>
      </w:r>
      <w:r w:rsidR="00CB250F" w:rsidRPr="00842145">
        <w:t xml:space="preserve"> and </w:t>
      </w:r>
      <w:r w:rsidR="008E1BD9" w:rsidRPr="00594BB2">
        <w:t>sodium-glucose cotransporter-2 inhibitor</w:t>
      </w:r>
      <w:r w:rsidR="008E1BD9" w:rsidRPr="00842145">
        <w:t xml:space="preserve"> </w:t>
      </w:r>
      <w:r w:rsidR="008E1BD9">
        <w:t>(</w:t>
      </w:r>
      <w:r w:rsidR="00CB250F" w:rsidRPr="00842145">
        <w:t>SGLT2i</w:t>
      </w:r>
      <w:r w:rsidR="008E1BD9">
        <w:t>)</w:t>
      </w:r>
      <w:r w:rsidR="00CB250F" w:rsidRPr="00842145">
        <w:t xml:space="preserve"> unless contraindicated</w:t>
      </w:r>
      <w:r w:rsidR="009B759B" w:rsidRPr="00842145">
        <w:t xml:space="preserve"> (para 7.3, Finerenone </w:t>
      </w:r>
      <w:r w:rsidR="002A4D82">
        <w:t>Public Summary Document (</w:t>
      </w:r>
      <w:r w:rsidR="009B759B" w:rsidRPr="00842145">
        <w:t>PSD</w:t>
      </w:r>
      <w:r w:rsidR="002A4D82">
        <w:t>)</w:t>
      </w:r>
      <w:r w:rsidR="009B759B" w:rsidRPr="00842145">
        <w:t xml:space="preserve">, July 2022 PBAC meeting). </w:t>
      </w:r>
      <w:r w:rsidR="00CB250F" w:rsidRPr="00842145">
        <w:t>However, t</w:t>
      </w:r>
      <w:r w:rsidR="009B759B" w:rsidRPr="00842145">
        <w:t xml:space="preserve">he </w:t>
      </w:r>
      <w:r w:rsidR="00065B20" w:rsidRPr="00842145">
        <w:t xml:space="preserve">proposed </w:t>
      </w:r>
      <w:r w:rsidR="009B759B" w:rsidRPr="00842145">
        <w:t xml:space="preserve">clinical criteria limit eligibility to patients exhibiting albuminuria consistent with moderate to severe kidney disease (UACR </w:t>
      </w:r>
      <w:r w:rsidR="009B759B" w:rsidRPr="00842145">
        <w:rPr>
          <w:rFonts w:cs="Calibri"/>
        </w:rPr>
        <w:t>≥ </w:t>
      </w:r>
      <w:r w:rsidR="009B759B" w:rsidRPr="00842145">
        <w:t xml:space="preserve">200 mg/g), </w:t>
      </w:r>
      <w:r w:rsidR="00462B5E">
        <w:t xml:space="preserve">which is </w:t>
      </w:r>
      <w:r w:rsidR="00704193" w:rsidRPr="0030272B">
        <w:rPr>
          <w:iCs/>
        </w:rPr>
        <w:t xml:space="preserve">broadly </w:t>
      </w:r>
      <w:r w:rsidR="009B759B" w:rsidRPr="00842145">
        <w:t xml:space="preserve">consistent with the UACR </w:t>
      </w:r>
      <w:r w:rsidR="00486D39" w:rsidRPr="00842145">
        <w:t xml:space="preserve">criterion </w:t>
      </w:r>
      <w:r w:rsidR="009B759B" w:rsidRPr="00842145">
        <w:rPr>
          <w:rFonts w:cs="Calibri"/>
        </w:rPr>
        <w:t>in the dapagliflozin CKD restriction</w:t>
      </w:r>
      <w:r w:rsidR="007E2944">
        <w:rPr>
          <w:rFonts w:cs="Calibri"/>
        </w:rPr>
        <w:t xml:space="preserve">, </w:t>
      </w:r>
      <w:r w:rsidR="007E2944" w:rsidRPr="009B20C0">
        <w:t>enabling patient’s with</w:t>
      </w:r>
      <w:r w:rsidR="0017251A" w:rsidRPr="009B20C0">
        <w:t xml:space="preserve"> a</w:t>
      </w:r>
      <w:r w:rsidR="007E2944" w:rsidRPr="009B20C0">
        <w:t xml:space="preserve"> UACR </w:t>
      </w:r>
      <w:r w:rsidR="0017251A" w:rsidRPr="009B20C0">
        <w:t>of</w:t>
      </w:r>
      <w:r w:rsidR="007E2944" w:rsidRPr="009B20C0">
        <w:t xml:space="preserve"> 200-299 mg/g access to both medicines.</w:t>
      </w:r>
      <w:r w:rsidR="00E00EDA" w:rsidRPr="00E00EDA">
        <w:t xml:space="preserve"> </w:t>
      </w:r>
      <w:r w:rsidR="00E00EDA" w:rsidRPr="009B20C0">
        <w:rPr>
          <w:rFonts w:cs="Calibri"/>
        </w:rPr>
        <w:t xml:space="preserve">The ESC considered the clinical need </w:t>
      </w:r>
      <w:r w:rsidR="0017251A" w:rsidRPr="009B20C0">
        <w:rPr>
          <w:rFonts w:cs="Calibri"/>
        </w:rPr>
        <w:t>for</w:t>
      </w:r>
      <w:r w:rsidR="00E00EDA" w:rsidRPr="009B20C0">
        <w:rPr>
          <w:rFonts w:cs="Calibri"/>
        </w:rPr>
        <w:t xml:space="preserve"> finerenone</w:t>
      </w:r>
      <w:r w:rsidR="0017251A" w:rsidRPr="009B20C0">
        <w:rPr>
          <w:rFonts w:cs="Calibri"/>
        </w:rPr>
        <w:t xml:space="preserve"> treatment in</w:t>
      </w:r>
      <w:r w:rsidR="00E00EDA" w:rsidRPr="009B20C0">
        <w:rPr>
          <w:rFonts w:cs="Calibri"/>
        </w:rPr>
        <w:t xml:space="preserve"> this patient group and </w:t>
      </w:r>
      <w:r w:rsidR="0030272B" w:rsidRPr="009B20C0">
        <w:rPr>
          <w:rFonts w:cs="Calibri"/>
        </w:rPr>
        <w:t>the</w:t>
      </w:r>
      <w:r w:rsidR="00E00EDA" w:rsidRPr="009B20C0">
        <w:rPr>
          <w:rFonts w:cs="Calibri"/>
        </w:rPr>
        <w:t xml:space="preserve"> alignment between the finerenone and dapagliflozin restrictions </w:t>
      </w:r>
      <w:r w:rsidR="0030272B" w:rsidRPr="009B20C0">
        <w:rPr>
          <w:rFonts w:cs="Calibri"/>
        </w:rPr>
        <w:t xml:space="preserve">was </w:t>
      </w:r>
      <w:r w:rsidR="00E00EDA" w:rsidRPr="009B20C0">
        <w:rPr>
          <w:rFonts w:cs="Calibri"/>
        </w:rPr>
        <w:t xml:space="preserve">uncertain. </w:t>
      </w:r>
      <w:r w:rsidR="00172559">
        <w:rPr>
          <w:rFonts w:cs="Calibri"/>
        </w:rPr>
        <w:t xml:space="preserve">The pre-PBAC response reiterated that finerenone demonstrated a significant treatment effect across cardiovascular and renal endpoints for the UACR </w:t>
      </w:r>
      <w:r w:rsidR="00172559" w:rsidRPr="00842145">
        <w:rPr>
          <w:rFonts w:cs="Calibri"/>
        </w:rPr>
        <w:t>≥ </w:t>
      </w:r>
      <w:r w:rsidR="00172559" w:rsidRPr="00842145">
        <w:t>200 mg/g</w:t>
      </w:r>
      <w:r w:rsidR="00172559" w:rsidRPr="009B20C0" w:rsidDel="00172559">
        <w:rPr>
          <w:rFonts w:cs="Calibri"/>
        </w:rPr>
        <w:t xml:space="preserve"> </w:t>
      </w:r>
      <w:r w:rsidR="00172559">
        <w:rPr>
          <w:rFonts w:cs="Calibri"/>
        </w:rPr>
        <w:t xml:space="preserve">subgroups in the FIDELIO, FIGARO, and FIDELITY pooled analysis and that from a clinical management perspective, it would be practical to align the finerenone UACR cut-off to the dapagliflozin restriction. </w:t>
      </w:r>
    </w:p>
    <w:p w14:paraId="3C0F2037" w14:textId="432200CA" w:rsidR="00197A0F" w:rsidRPr="0064434C" w:rsidRDefault="00A25F5E" w:rsidP="00F9393E">
      <w:pPr>
        <w:pStyle w:val="COMexecsumnumberedpara"/>
        <w:rPr>
          <w:color w:val="0066FF"/>
        </w:rPr>
      </w:pPr>
      <w:r w:rsidRPr="009B20C0">
        <w:t>The ESC agreed with the evaluation, that the</w:t>
      </w:r>
      <w:r>
        <w:rPr>
          <w:iCs/>
        </w:rPr>
        <w:t xml:space="preserve"> </w:t>
      </w:r>
      <w:r w:rsidR="00197A0F" w:rsidRPr="00842145">
        <w:rPr>
          <w:iCs/>
        </w:rPr>
        <w:t xml:space="preserve">omission of the caution recommended by the secretariat at the July 2022 meeting, ‘serum electrolytes should be checked regularly’ (para 3.1, Finerenone PSD, July 2022 PBAC meeting), </w:t>
      </w:r>
      <w:r w:rsidR="005F06D3" w:rsidRPr="00842145">
        <w:rPr>
          <w:iCs/>
        </w:rPr>
        <w:t xml:space="preserve">was not </w:t>
      </w:r>
      <w:r w:rsidR="00197A0F" w:rsidRPr="00842145">
        <w:rPr>
          <w:iCs/>
        </w:rPr>
        <w:t>adequately justified</w:t>
      </w:r>
      <w:r w:rsidR="00563E40">
        <w:rPr>
          <w:iCs/>
        </w:rPr>
        <w:t xml:space="preserve">. </w:t>
      </w:r>
      <w:r w:rsidR="00563E40" w:rsidRPr="009B20C0">
        <w:t xml:space="preserve">Given the risk of hyperkalaemia observed for patients treated with finerenone versus placebo in the FIDELIO-DKD and FIGARO-DKD trials (see paragraphs </w:t>
      </w:r>
      <w:r w:rsidR="00563E40" w:rsidRPr="009B20C0">
        <w:fldChar w:fldCharType="begin"/>
      </w:r>
      <w:r w:rsidR="00563E40" w:rsidRPr="009B20C0">
        <w:instrText xml:space="preserve"> REF _Ref126836845 \r \h </w:instrText>
      </w:r>
      <w:r w:rsidR="00563E40" w:rsidRPr="009B20C0">
        <w:fldChar w:fldCharType="separate"/>
      </w:r>
      <w:r w:rsidR="005562EE">
        <w:t>6.27</w:t>
      </w:r>
      <w:r w:rsidR="00563E40" w:rsidRPr="009B20C0">
        <w:fldChar w:fldCharType="end"/>
      </w:r>
      <w:r w:rsidR="00563E40" w:rsidRPr="009B20C0">
        <w:t>-</w:t>
      </w:r>
      <w:r w:rsidR="00563E40" w:rsidRPr="009B20C0">
        <w:fldChar w:fldCharType="begin"/>
      </w:r>
      <w:r w:rsidR="00563E40" w:rsidRPr="009B20C0">
        <w:instrText xml:space="preserve"> REF _Ref126836867 \r \h </w:instrText>
      </w:r>
      <w:r w:rsidR="00563E40" w:rsidRPr="009B20C0">
        <w:fldChar w:fldCharType="separate"/>
      </w:r>
      <w:r w:rsidR="005562EE">
        <w:t>6.30</w:t>
      </w:r>
      <w:r w:rsidR="00563E40" w:rsidRPr="009B20C0">
        <w:fldChar w:fldCharType="end"/>
      </w:r>
      <w:r w:rsidR="00563E40" w:rsidRPr="009B20C0">
        <w:t>)</w:t>
      </w:r>
      <w:r w:rsidR="00B14034" w:rsidRPr="009B20C0">
        <w:t>, the ESC advised</w:t>
      </w:r>
      <w:r w:rsidR="004E7D46" w:rsidRPr="009B20C0">
        <w:t xml:space="preserve"> that</w:t>
      </w:r>
      <w:r w:rsidR="00B14034" w:rsidRPr="009B20C0">
        <w:t xml:space="preserve"> the caution for ongoing electrolyte monitoring be included in the restriction.</w:t>
      </w:r>
      <w:r w:rsidR="00FE6297" w:rsidRPr="009B20C0">
        <w:t xml:space="preserve"> </w:t>
      </w:r>
    </w:p>
    <w:p w14:paraId="50DF3000" w14:textId="56F38106" w:rsidR="00CC35EA" w:rsidRPr="007E449E" w:rsidRDefault="00197A0F" w:rsidP="00F9393E">
      <w:pPr>
        <w:pStyle w:val="COMexecsumnumberedpara"/>
        <w:rPr>
          <w:color w:val="0066FF"/>
        </w:rPr>
      </w:pPr>
      <w:r w:rsidRPr="00842145">
        <w:rPr>
          <w:iCs/>
        </w:rPr>
        <w:t>The submission requested a Streamlined Authority PBS listing with general practitioner and nurse (for continuation scripts only) prescribing. Given the proposed population has been narrowed to patients with more severe diabetic kidney disease, initiation of finerenone by specialists may be appropriate and more consistent with Australian guidelines for patients with CKD (KHA 2020).</w:t>
      </w:r>
    </w:p>
    <w:p w14:paraId="56A99A05" w14:textId="09AC568E" w:rsidR="007E449E" w:rsidRPr="007E449E" w:rsidRDefault="007E449E" w:rsidP="007E449E">
      <w:pPr>
        <w:pStyle w:val="COMexecsumnumberedpara"/>
        <w:numPr>
          <w:ilvl w:val="0"/>
          <w:numId w:val="0"/>
        </w:numPr>
        <w:ind w:left="720"/>
        <w:rPr>
          <w:i/>
          <w:iCs/>
        </w:rPr>
      </w:pPr>
      <w:r w:rsidRPr="007E449E">
        <w:rPr>
          <w:i/>
          <w:iCs/>
        </w:rPr>
        <w:t>For more detail on PBAC’s view, see section 7 PBAC outcome.</w:t>
      </w:r>
    </w:p>
    <w:p w14:paraId="7075B85C" w14:textId="62A47B7B" w:rsidR="00B50DB8" w:rsidRPr="00407F2D" w:rsidDel="00195452" w:rsidRDefault="00203181" w:rsidP="00F772E6">
      <w:pPr>
        <w:pStyle w:val="COMH1numbered"/>
      </w:pPr>
      <w:r w:rsidDel="00195452">
        <w:t xml:space="preserve">Population and </w:t>
      </w:r>
      <w:r w:rsidR="008E0D3C" w:rsidDel="00195452">
        <w:t>d</w:t>
      </w:r>
      <w:r w:rsidDel="00195452">
        <w:t>isease</w:t>
      </w:r>
    </w:p>
    <w:p w14:paraId="0755644B" w14:textId="341719D8" w:rsidR="00545697" w:rsidRPr="00F75B93" w:rsidRDefault="008D6523" w:rsidP="00F75B93">
      <w:pPr>
        <w:pStyle w:val="COMexecsumnumberedpara"/>
        <w:rPr>
          <w:color w:val="0066FF"/>
        </w:rPr>
      </w:pPr>
      <w:r w:rsidRPr="00C623FC">
        <w:t xml:space="preserve">Type 2 diabetes </w:t>
      </w:r>
      <w:r>
        <w:t xml:space="preserve">(T2D) </w:t>
      </w:r>
      <w:r w:rsidRPr="00C623FC">
        <w:t xml:space="preserve">is </w:t>
      </w:r>
      <w:r>
        <w:t xml:space="preserve">a </w:t>
      </w:r>
      <w:r w:rsidRPr="00C623FC">
        <w:t xml:space="preserve">common chronic </w:t>
      </w:r>
      <w:r>
        <w:t>illness</w:t>
      </w:r>
      <w:r w:rsidRPr="00C623FC">
        <w:t xml:space="preserve"> characterised by high blood glucose levels due to inadequate insulin production and/or inadequate </w:t>
      </w:r>
      <w:r>
        <w:t xml:space="preserve">cellular </w:t>
      </w:r>
      <w:r w:rsidRPr="00C623FC">
        <w:t>response to insulin</w:t>
      </w:r>
      <w:r>
        <w:t xml:space="preserve">. </w:t>
      </w:r>
      <w:r w:rsidRPr="00A75BCB">
        <w:t xml:space="preserve">CKD </w:t>
      </w:r>
      <w:r>
        <w:t>is a broad collection of</w:t>
      </w:r>
      <w:r w:rsidRPr="00A75BCB">
        <w:t xml:space="preserve"> </w:t>
      </w:r>
      <w:r>
        <w:t>diseases</w:t>
      </w:r>
      <w:r w:rsidRPr="00A75BCB">
        <w:t xml:space="preserve"> </w:t>
      </w:r>
      <w:r>
        <w:t>resulting in a decreased</w:t>
      </w:r>
      <w:r w:rsidRPr="00A75BCB">
        <w:t xml:space="preserve"> </w:t>
      </w:r>
      <w:r>
        <w:t>eGFR</w:t>
      </w:r>
      <w:r w:rsidRPr="00A75BCB">
        <w:t xml:space="preserve"> and/or leakage of protein or albumin into the urine</w:t>
      </w:r>
      <w:r>
        <w:t>.</w:t>
      </w:r>
      <w:r w:rsidRPr="00A75BCB">
        <w:t xml:space="preserve"> </w:t>
      </w:r>
      <w:r w:rsidRPr="00C623FC">
        <w:t xml:space="preserve">The diagnosis and staging of </w:t>
      </w:r>
      <w:r w:rsidR="00FE6297">
        <w:t>CKD</w:t>
      </w:r>
      <w:r w:rsidRPr="00C623FC">
        <w:t xml:space="preserve"> are typically </w:t>
      </w:r>
      <w:r>
        <w:t>defined by</w:t>
      </w:r>
      <w:r w:rsidRPr="00C623FC">
        <w:t xml:space="preserve"> </w:t>
      </w:r>
      <w:r>
        <w:t>the eGFR</w:t>
      </w:r>
      <w:r w:rsidRPr="00C623FC">
        <w:t xml:space="preserve"> and </w:t>
      </w:r>
      <w:r>
        <w:t xml:space="preserve">the magnitude of </w:t>
      </w:r>
      <w:r w:rsidRPr="00C623FC">
        <w:t>albuminuria.</w:t>
      </w:r>
      <w:r w:rsidR="00F75B93">
        <w:t xml:space="preserve"> </w:t>
      </w:r>
      <w:r w:rsidR="00545697">
        <w:t>T2D, CKD and cardiovascular disease are interrelated comorbidities, with diagnosis of each disease associated with an increased baseline risk of developing each comorbidity, as well as increased overall burden of disease. D</w:t>
      </w:r>
      <w:r w:rsidR="00545697" w:rsidRPr="00214818">
        <w:t xml:space="preserve">iabetic kidney disease </w:t>
      </w:r>
      <w:r w:rsidR="00545697">
        <w:t>is diagnosed when CKD is comorbid with T2D, with or without comorbid cardiovascular disease.</w:t>
      </w:r>
    </w:p>
    <w:p w14:paraId="15E16191" w14:textId="7EC3871D" w:rsidR="0090370B" w:rsidRPr="0090370B" w:rsidRDefault="0090370B" w:rsidP="004E18E9">
      <w:pPr>
        <w:pStyle w:val="COMexecsumnumberedpara"/>
        <w:rPr>
          <w:color w:val="0066FF"/>
        </w:rPr>
      </w:pPr>
      <w:r w:rsidRPr="00C623FC">
        <w:t>Finerenone is a non-steroidal mineralocorticoid receptor antagonist</w:t>
      </w:r>
      <w:r w:rsidR="00637C2E">
        <w:t xml:space="preserve"> (MRA)</w:t>
      </w:r>
      <w:r w:rsidRPr="00C623FC">
        <w:t xml:space="preserve"> </w:t>
      </w:r>
      <w:r>
        <w:t>and</w:t>
      </w:r>
      <w:r w:rsidRPr="00C623FC">
        <w:t xml:space="preserve"> belongs to a broad group of potassium-sparing diuretics</w:t>
      </w:r>
      <w:r>
        <w:t xml:space="preserve"> </w:t>
      </w:r>
      <w:r w:rsidRPr="00C623FC">
        <w:t>(</w:t>
      </w:r>
      <w:r>
        <w:t xml:space="preserve">spironolactone, </w:t>
      </w:r>
      <w:r w:rsidRPr="00C623FC">
        <w:t>eplerenone)</w:t>
      </w:r>
      <w:r>
        <w:t>,</w:t>
      </w:r>
      <w:r w:rsidRPr="00C623FC">
        <w:t xml:space="preserve"> </w:t>
      </w:r>
      <w:r>
        <w:t>that</w:t>
      </w:r>
      <w:r w:rsidRPr="00C623FC">
        <w:t xml:space="preserve"> work by inhibiting mineralocorticoid receptor-mediated sodium reabsorption as well as mineralocorticoid receptor overactivation which may contribute to fibrosis and inflammation in both epithelial and nonepithelial tissues.</w:t>
      </w:r>
    </w:p>
    <w:p w14:paraId="74239E9D" w14:textId="6EAFC52C" w:rsidR="00240284" w:rsidRPr="007E449E" w:rsidRDefault="0090370B" w:rsidP="00787857">
      <w:pPr>
        <w:pStyle w:val="COMexecsumnumberedpara"/>
        <w:rPr>
          <w:color w:val="0066FF"/>
        </w:rPr>
      </w:pPr>
      <w:r w:rsidRPr="00C623FC">
        <w:t xml:space="preserve">Finerenone is administered as </w:t>
      </w:r>
      <w:r>
        <w:t xml:space="preserve">a </w:t>
      </w:r>
      <w:r w:rsidRPr="00C623FC">
        <w:t>10</w:t>
      </w:r>
      <w:r>
        <w:t> mg</w:t>
      </w:r>
      <w:r w:rsidRPr="00C623FC">
        <w:t xml:space="preserve"> or 20</w:t>
      </w:r>
      <w:r>
        <w:t> mg</w:t>
      </w:r>
      <w:r w:rsidRPr="00C623FC">
        <w:t xml:space="preserve"> oral tablet once daily</w:t>
      </w:r>
      <w:r>
        <w:t>,</w:t>
      </w:r>
      <w:r w:rsidRPr="00C623FC">
        <w:t xml:space="preserve"> and is intended to be used as a chronic </w:t>
      </w:r>
      <w:r>
        <w:t xml:space="preserve">ongoing </w:t>
      </w:r>
      <w:r w:rsidRPr="00C623FC">
        <w:t>therapy.</w:t>
      </w:r>
      <w:r>
        <w:t xml:space="preserve"> </w:t>
      </w:r>
      <w:r w:rsidR="00240284">
        <w:t xml:space="preserve">Co-administered therapies given in combination with finerenone include medicines prescribed as </w:t>
      </w:r>
      <w:r w:rsidR="00FE6297">
        <w:t>standard of care (</w:t>
      </w:r>
      <w:r w:rsidR="00240284">
        <w:t>SoC</w:t>
      </w:r>
      <w:r w:rsidR="00FE6297">
        <w:t>)</w:t>
      </w:r>
      <w:r w:rsidR="00240284">
        <w:t xml:space="preserve"> for </w:t>
      </w:r>
      <w:r w:rsidR="00240284" w:rsidRPr="00214818">
        <w:t xml:space="preserve">diabetic kidney disease </w:t>
      </w:r>
      <w:r w:rsidR="00240284">
        <w:t xml:space="preserve">(ACEi, ARB, SGLT2i medicines), and other CKD and T2D medicines. </w:t>
      </w:r>
      <w:r w:rsidR="00240284" w:rsidRPr="00C623FC">
        <w:t xml:space="preserve">The product information states that finerenone should not be used in combination </w:t>
      </w:r>
      <w:r w:rsidR="00240284" w:rsidRPr="009D0A6D">
        <w:t>with other MRA medicines</w:t>
      </w:r>
      <w:r w:rsidR="00240284">
        <w:t xml:space="preserve"> or </w:t>
      </w:r>
      <w:r w:rsidR="00240284" w:rsidRPr="00C623FC">
        <w:t xml:space="preserve">potassium-sparing diuretics </w:t>
      </w:r>
      <w:r w:rsidR="00240284">
        <w:t xml:space="preserve">(e.g. spironolactone, eplerenone, </w:t>
      </w:r>
      <w:r w:rsidR="00240284" w:rsidRPr="009606AE">
        <w:t>amiloride, triamterene</w:t>
      </w:r>
      <w:r w:rsidR="00240284">
        <w:t>)</w:t>
      </w:r>
      <w:r w:rsidR="00240284" w:rsidRPr="00C623FC">
        <w:t>.</w:t>
      </w:r>
    </w:p>
    <w:p w14:paraId="69ACB41D" w14:textId="24F2068B" w:rsidR="007E449E" w:rsidRPr="007E449E" w:rsidRDefault="007E449E" w:rsidP="007E449E">
      <w:pPr>
        <w:ind w:firstLine="720"/>
        <w:rPr>
          <w:i/>
          <w:iCs/>
        </w:rPr>
      </w:pPr>
      <w:r w:rsidRPr="007E449E">
        <w:rPr>
          <w:i/>
          <w:iCs/>
        </w:rPr>
        <w:t>For more detail on PBAC’s view, see section 7 PBAC outcome.</w:t>
      </w:r>
    </w:p>
    <w:p w14:paraId="51E5AE96" w14:textId="6EFC8CA6" w:rsidR="00B50DB8" w:rsidRPr="00407F2D" w:rsidRDefault="00B50DB8" w:rsidP="00F772E6">
      <w:pPr>
        <w:pStyle w:val="COMH1numbered"/>
      </w:pPr>
      <w:r w:rsidRPr="00407F2D">
        <w:t>Comparator</w:t>
      </w:r>
    </w:p>
    <w:p w14:paraId="747A75CC" w14:textId="77A82BB2" w:rsidR="00A05472" w:rsidRPr="007E449E" w:rsidRDefault="008D6523" w:rsidP="00882E3C">
      <w:pPr>
        <w:pStyle w:val="COMexecsumnumberedpara"/>
        <w:rPr>
          <w:iCs/>
          <w:snapToGrid/>
          <w:lang w:val="en-US"/>
        </w:rPr>
      </w:pPr>
      <w:r w:rsidRPr="00A21D80">
        <w:t>The r</w:t>
      </w:r>
      <w:r>
        <w:t>esubmission nominated standard of care as the main comparator,</w:t>
      </w:r>
      <w:r w:rsidRPr="00251F7F">
        <w:t xml:space="preserve"> </w:t>
      </w:r>
      <w:r>
        <w:t xml:space="preserve">comprised of treatment with an ACEi or ARB in combination with an SGLT2i </w:t>
      </w:r>
      <w:r w:rsidR="00653876">
        <w:t>therapy</w:t>
      </w:r>
      <w:r w:rsidR="00784417">
        <w:t xml:space="preserve"> </w:t>
      </w:r>
      <w:r>
        <w:t xml:space="preserve">(unless contraindicated or intolerant). </w:t>
      </w:r>
      <w:r w:rsidRPr="00842145">
        <w:rPr>
          <w:iCs/>
        </w:rPr>
        <w:t xml:space="preserve">This is consistent with the comparator suggested by the PBAC for finerenone in the more limited role identified at the July 2022 meeting (para 7.4, Finerenone PSD, July 2022 PBAC meeting). </w:t>
      </w:r>
      <w:r w:rsidR="00FE6297" w:rsidRPr="009B20C0">
        <w:rPr>
          <w:iCs/>
          <w:snapToGrid/>
        </w:rPr>
        <w:t xml:space="preserve">The ESC advised that the nominated comparator was </w:t>
      </w:r>
      <w:r w:rsidR="00961185" w:rsidRPr="009B20C0">
        <w:rPr>
          <w:iCs/>
          <w:snapToGrid/>
        </w:rPr>
        <w:t>appropriate</w:t>
      </w:r>
      <w:r w:rsidR="00FE6297" w:rsidRPr="009B20C0">
        <w:rPr>
          <w:iCs/>
          <w:snapToGrid/>
        </w:rPr>
        <w:t>.</w:t>
      </w:r>
    </w:p>
    <w:p w14:paraId="1C37D39D" w14:textId="0F0275B2" w:rsidR="007E449E" w:rsidRPr="007E449E" w:rsidRDefault="007E449E" w:rsidP="007E449E">
      <w:pPr>
        <w:pStyle w:val="COMexecsumnumberedpara"/>
        <w:numPr>
          <w:ilvl w:val="0"/>
          <w:numId w:val="0"/>
        </w:numPr>
        <w:ind w:left="720"/>
        <w:rPr>
          <w:i/>
          <w:snapToGrid/>
          <w:lang w:val="en-US"/>
        </w:rPr>
      </w:pPr>
      <w:r w:rsidRPr="007E449E">
        <w:rPr>
          <w:i/>
          <w:snapToGrid/>
          <w:lang w:val="en-US"/>
        </w:rPr>
        <w:t>For more detail on PBAC’s view, see section 7 PBAC outcome.</w:t>
      </w:r>
    </w:p>
    <w:p w14:paraId="7F9C27C8" w14:textId="07670D42" w:rsidR="00223D5A" w:rsidRDefault="00223D5A" w:rsidP="00223D5A">
      <w:pPr>
        <w:pStyle w:val="COMH1numbered"/>
        <w:numPr>
          <w:ilvl w:val="0"/>
          <w:numId w:val="1"/>
        </w:numPr>
      </w:pPr>
      <w:bookmarkStart w:id="7" w:name="_Toc22897640"/>
      <w:r>
        <w:t>C</w:t>
      </w:r>
      <w:r w:rsidRPr="00407F2D">
        <w:t>onsideration of the evidence</w:t>
      </w:r>
    </w:p>
    <w:p w14:paraId="667E29F2" w14:textId="77777777" w:rsidR="007E449E" w:rsidRPr="006E1229" w:rsidRDefault="007E449E" w:rsidP="007E449E">
      <w:pPr>
        <w:pStyle w:val="3-SubsectionHeading"/>
      </w:pPr>
      <w:bookmarkStart w:id="8" w:name="_Hlk76375935"/>
      <w:r w:rsidRPr="006E1229">
        <w:t>Sponsor hearing</w:t>
      </w:r>
    </w:p>
    <w:p w14:paraId="732ED148" w14:textId="04ABAA1A" w:rsidR="0066773E" w:rsidRPr="0066773E" w:rsidRDefault="007E449E" w:rsidP="0066773E">
      <w:pPr>
        <w:widowControl w:val="0"/>
        <w:numPr>
          <w:ilvl w:val="1"/>
          <w:numId w:val="1"/>
        </w:numPr>
        <w:spacing w:after="120"/>
        <w:ind w:left="720" w:hanging="720"/>
        <w:rPr>
          <w:rFonts w:asciiTheme="minorHAnsi" w:hAnsiTheme="minorHAnsi"/>
          <w:bCs/>
          <w:snapToGrid w:val="0"/>
        </w:rPr>
      </w:pPr>
      <w:bookmarkStart w:id="9" w:name="_Hlk76382586"/>
      <w:r w:rsidRPr="00836F75">
        <w:rPr>
          <w:rFonts w:asciiTheme="minorHAnsi" w:hAnsiTheme="minorHAnsi"/>
          <w:bCs/>
          <w:snapToGrid w:val="0"/>
        </w:rPr>
        <w:t xml:space="preserve">The sponsor requested a hearing for this item. </w:t>
      </w:r>
      <w:r w:rsidR="0066773E" w:rsidRPr="00CF7D68">
        <w:rPr>
          <w:rFonts w:asciiTheme="minorHAnsi" w:hAnsiTheme="minorHAnsi"/>
          <w:bCs/>
          <w:snapToGrid w:val="0"/>
        </w:rPr>
        <w:t xml:space="preserve">The clinician discussed the burden of disease, </w:t>
      </w:r>
      <w:r w:rsidR="00D5796A" w:rsidRPr="00CF7D68">
        <w:rPr>
          <w:rFonts w:asciiTheme="minorHAnsi" w:hAnsiTheme="minorHAnsi"/>
          <w:bCs/>
          <w:snapToGrid w:val="0"/>
        </w:rPr>
        <w:t xml:space="preserve">the mechanism of action of finerenone, </w:t>
      </w:r>
      <w:r w:rsidR="0066773E" w:rsidRPr="00CF7D68">
        <w:rPr>
          <w:rFonts w:asciiTheme="minorHAnsi" w:hAnsiTheme="minorHAnsi"/>
          <w:bCs/>
          <w:snapToGrid w:val="0"/>
        </w:rPr>
        <w:t xml:space="preserve">outlined the pivotal clinical trials, and how finerenone would be used in clinical practice. The clinician stated that finerenone </w:t>
      </w:r>
      <w:r w:rsidR="0066773E">
        <w:rPr>
          <w:rFonts w:asciiTheme="minorHAnsi" w:hAnsiTheme="minorHAnsi"/>
          <w:bCs/>
          <w:snapToGrid w:val="0"/>
        </w:rPr>
        <w:t>was</w:t>
      </w:r>
      <w:r w:rsidR="0066773E" w:rsidRPr="00CF7D68">
        <w:rPr>
          <w:rFonts w:asciiTheme="minorHAnsi" w:hAnsiTheme="minorHAnsi"/>
          <w:bCs/>
          <w:snapToGrid w:val="0"/>
        </w:rPr>
        <w:t xml:space="preserve"> </w:t>
      </w:r>
      <w:r w:rsidR="00D5796A" w:rsidRPr="00CF7D68">
        <w:rPr>
          <w:rFonts w:asciiTheme="minorHAnsi" w:hAnsiTheme="minorHAnsi"/>
          <w:bCs/>
          <w:snapToGrid w:val="0"/>
        </w:rPr>
        <w:t xml:space="preserve">complimentary to current standard </w:t>
      </w:r>
      <w:r w:rsidR="00013C89">
        <w:rPr>
          <w:rFonts w:asciiTheme="minorHAnsi" w:hAnsiTheme="minorHAnsi"/>
          <w:bCs/>
          <w:snapToGrid w:val="0"/>
        </w:rPr>
        <w:t xml:space="preserve">of </w:t>
      </w:r>
      <w:r w:rsidR="00D5796A" w:rsidRPr="00CF7D68">
        <w:rPr>
          <w:rFonts w:asciiTheme="minorHAnsi" w:hAnsiTheme="minorHAnsi"/>
          <w:bCs/>
          <w:snapToGrid w:val="0"/>
        </w:rPr>
        <w:t>care medications (ACE inhibitor or ARB and SGLT2</w:t>
      </w:r>
      <w:r w:rsidR="00D5796A">
        <w:rPr>
          <w:rFonts w:asciiTheme="minorHAnsi" w:hAnsiTheme="minorHAnsi"/>
          <w:bCs/>
          <w:snapToGrid w:val="0"/>
        </w:rPr>
        <w:t>i</w:t>
      </w:r>
      <w:r w:rsidR="00D5796A" w:rsidRPr="00CF7D68">
        <w:rPr>
          <w:rFonts w:asciiTheme="minorHAnsi" w:hAnsiTheme="minorHAnsi"/>
          <w:bCs/>
          <w:snapToGrid w:val="0"/>
        </w:rPr>
        <w:t>)</w:t>
      </w:r>
      <w:r w:rsidR="00D5796A">
        <w:rPr>
          <w:rFonts w:asciiTheme="minorHAnsi" w:hAnsiTheme="minorHAnsi"/>
          <w:bCs/>
          <w:snapToGrid w:val="0"/>
        </w:rPr>
        <w:t xml:space="preserve"> and highlighted that clinical benefit was consistent irrespective of SGLT2i </w:t>
      </w:r>
      <w:r w:rsidR="0066773E">
        <w:rPr>
          <w:rFonts w:asciiTheme="minorHAnsi" w:hAnsiTheme="minorHAnsi"/>
          <w:bCs/>
          <w:snapToGrid w:val="0"/>
        </w:rPr>
        <w:t>use</w:t>
      </w:r>
      <w:r w:rsidR="0066773E" w:rsidRPr="00CF7D68">
        <w:rPr>
          <w:rFonts w:asciiTheme="minorHAnsi" w:hAnsiTheme="minorHAnsi"/>
          <w:bCs/>
          <w:snapToGrid w:val="0"/>
        </w:rPr>
        <w:t>.</w:t>
      </w:r>
      <w:r w:rsidR="00D5796A" w:rsidRPr="00D5796A">
        <w:rPr>
          <w:rFonts w:asciiTheme="minorHAnsi" w:hAnsiTheme="minorHAnsi"/>
          <w:bCs/>
          <w:snapToGrid w:val="0"/>
        </w:rPr>
        <w:t xml:space="preserve"> </w:t>
      </w:r>
      <w:r w:rsidR="00D5796A" w:rsidRPr="00CF7D68">
        <w:rPr>
          <w:rFonts w:asciiTheme="minorHAnsi" w:hAnsiTheme="minorHAnsi"/>
          <w:bCs/>
          <w:snapToGrid w:val="0"/>
        </w:rPr>
        <w:t xml:space="preserve">The clinician also outlined the rates of hyperkalaemia reported in the clinical trials and </w:t>
      </w:r>
      <w:r w:rsidR="00D5796A">
        <w:rPr>
          <w:rFonts w:asciiTheme="minorHAnsi" w:hAnsiTheme="minorHAnsi"/>
          <w:bCs/>
          <w:snapToGrid w:val="0"/>
        </w:rPr>
        <w:t xml:space="preserve">considered that </w:t>
      </w:r>
      <w:r w:rsidR="00D5796A" w:rsidRPr="00CF7D68">
        <w:rPr>
          <w:rFonts w:asciiTheme="minorHAnsi" w:hAnsiTheme="minorHAnsi"/>
          <w:bCs/>
          <w:snapToGrid w:val="0"/>
        </w:rPr>
        <w:t>the protocols utilised in the clinicals trials to reduce the risk of hyperkalaemia</w:t>
      </w:r>
      <w:r w:rsidR="00D5796A">
        <w:rPr>
          <w:rFonts w:asciiTheme="minorHAnsi" w:hAnsiTheme="minorHAnsi"/>
          <w:bCs/>
          <w:snapToGrid w:val="0"/>
        </w:rPr>
        <w:t xml:space="preserve"> would be manageable in clinical practice</w:t>
      </w:r>
      <w:r w:rsidR="00D5796A" w:rsidRPr="00CF7D68">
        <w:rPr>
          <w:rFonts w:asciiTheme="minorHAnsi" w:hAnsiTheme="minorHAnsi"/>
          <w:bCs/>
          <w:snapToGrid w:val="0"/>
        </w:rPr>
        <w:t>.</w:t>
      </w:r>
      <w:r w:rsidR="00A21D80">
        <w:rPr>
          <w:rFonts w:asciiTheme="minorHAnsi" w:hAnsiTheme="minorHAnsi"/>
          <w:bCs/>
          <w:snapToGrid w:val="0"/>
        </w:rPr>
        <w:t xml:space="preserve"> The PBAC noted the hearing was aligned with the evidence presented in the resubmission.</w:t>
      </w:r>
    </w:p>
    <w:bookmarkEnd w:id="9"/>
    <w:p w14:paraId="31DBE5C2" w14:textId="6D7829A2" w:rsidR="007E449E" w:rsidRPr="006E1229" w:rsidRDefault="007E449E" w:rsidP="007E449E">
      <w:pPr>
        <w:pStyle w:val="3-SubsectionHeading"/>
      </w:pPr>
      <w:r w:rsidRPr="006E1229">
        <w:t>Consumer comments</w:t>
      </w:r>
    </w:p>
    <w:p w14:paraId="628D770D" w14:textId="5CA72EF6" w:rsidR="00A65338" w:rsidRPr="00C15A5D" w:rsidRDefault="007E449E" w:rsidP="00A65338">
      <w:pPr>
        <w:pStyle w:val="COMexecsumnumberedpara"/>
        <w:rPr>
          <w:bCs/>
        </w:rPr>
      </w:pPr>
      <w:bookmarkStart w:id="10" w:name="_Hlk76382618"/>
      <w:r w:rsidRPr="00836F75">
        <w:t xml:space="preserve">The PBAC noted and welcomed the input from </w:t>
      </w:r>
      <w:r w:rsidR="00A65338">
        <w:t>1</w:t>
      </w:r>
      <w:r w:rsidRPr="00836F75">
        <w:t xml:space="preserve"> organisation (</w:t>
      </w:r>
      <w:r w:rsidR="00A65338">
        <w:t>Kidney Health Australia</w:t>
      </w:r>
      <w:r w:rsidRPr="00836F75">
        <w:t xml:space="preserve">) via the Consumer Comments facility on the PBS website. </w:t>
      </w:r>
      <w:r w:rsidR="00A65338">
        <w:t>The statement provided by the organisation</w:t>
      </w:r>
      <w:r w:rsidRPr="00836F75">
        <w:t xml:space="preserve"> </w:t>
      </w:r>
      <w:r w:rsidR="00C15A5D">
        <w:t xml:space="preserve">noted </w:t>
      </w:r>
      <w:r w:rsidR="00A93112">
        <w:t xml:space="preserve">the </w:t>
      </w:r>
      <w:r w:rsidRPr="00836F75">
        <w:t>benefits of treatment</w:t>
      </w:r>
      <w:r w:rsidR="00A93112">
        <w:t xml:space="preserve"> with finerenone, including </w:t>
      </w:r>
      <w:r w:rsidR="00C15A5D">
        <w:t>its</w:t>
      </w:r>
      <w:r w:rsidRPr="00836F75">
        <w:t xml:space="preserve"> </w:t>
      </w:r>
      <w:r w:rsidR="00A65338" w:rsidRPr="00A65338">
        <w:rPr>
          <w:bCs/>
        </w:rPr>
        <w:t>potential to slow disease</w:t>
      </w:r>
      <w:r w:rsidR="00C15A5D">
        <w:rPr>
          <w:bCs/>
        </w:rPr>
        <w:t xml:space="preserve"> progression and </w:t>
      </w:r>
      <w:r w:rsidR="00A93112">
        <w:rPr>
          <w:bCs/>
        </w:rPr>
        <w:t xml:space="preserve">also </w:t>
      </w:r>
      <w:r w:rsidR="00C15A5D">
        <w:rPr>
          <w:bCs/>
        </w:rPr>
        <w:t>provide a treatment option</w:t>
      </w:r>
      <w:r w:rsidR="00A65338" w:rsidRPr="00A65338">
        <w:rPr>
          <w:bCs/>
        </w:rPr>
        <w:t xml:space="preserve"> for patients who cannot tolerate </w:t>
      </w:r>
      <w:r w:rsidR="00A93112" w:rsidRPr="00D86211">
        <w:rPr>
          <w:szCs w:val="18"/>
        </w:rPr>
        <w:t>renin angiotensin aldosterone system inhibitor</w:t>
      </w:r>
      <w:r w:rsidR="00A93112">
        <w:rPr>
          <w:szCs w:val="18"/>
        </w:rPr>
        <w:t>s</w:t>
      </w:r>
      <w:r w:rsidR="00A93112" w:rsidRPr="00A65338">
        <w:rPr>
          <w:bCs/>
        </w:rPr>
        <w:t xml:space="preserve"> </w:t>
      </w:r>
      <w:r w:rsidR="00A93112">
        <w:rPr>
          <w:bCs/>
        </w:rPr>
        <w:t>(</w:t>
      </w:r>
      <w:r w:rsidR="00A65338" w:rsidRPr="00A65338">
        <w:rPr>
          <w:bCs/>
        </w:rPr>
        <w:t>RA</w:t>
      </w:r>
      <w:r w:rsidR="00C15A5D">
        <w:rPr>
          <w:bCs/>
        </w:rPr>
        <w:t>A</w:t>
      </w:r>
      <w:r w:rsidR="00A65338" w:rsidRPr="00A65338">
        <w:rPr>
          <w:bCs/>
        </w:rPr>
        <w:t>Si</w:t>
      </w:r>
      <w:r w:rsidR="00A93112">
        <w:rPr>
          <w:bCs/>
        </w:rPr>
        <w:t>)</w:t>
      </w:r>
      <w:r w:rsidR="00A65338" w:rsidRPr="00A65338">
        <w:rPr>
          <w:bCs/>
        </w:rPr>
        <w:t xml:space="preserve"> or SGLT2i</w:t>
      </w:r>
      <w:r w:rsidR="00C15A5D">
        <w:rPr>
          <w:bCs/>
        </w:rPr>
        <w:t>s.</w:t>
      </w:r>
      <w:r w:rsidR="00A21D80">
        <w:rPr>
          <w:bCs/>
        </w:rPr>
        <w:t xml:space="preserve"> </w:t>
      </w:r>
      <w:r w:rsidR="00CA7BE5">
        <w:rPr>
          <w:bCs/>
        </w:rPr>
        <w:t>The statement also acknowledged t</w:t>
      </w:r>
      <w:r w:rsidR="00CA7BE5" w:rsidRPr="00CA7BE5">
        <w:rPr>
          <w:bCs/>
        </w:rPr>
        <w:t xml:space="preserve">he main disadvantages </w:t>
      </w:r>
      <w:r w:rsidR="00CA7BE5">
        <w:rPr>
          <w:bCs/>
        </w:rPr>
        <w:t xml:space="preserve">for patients would </w:t>
      </w:r>
      <w:r w:rsidR="00CA7BE5" w:rsidRPr="00CA7BE5">
        <w:rPr>
          <w:bCs/>
        </w:rPr>
        <w:t>relate to pill burden</w:t>
      </w:r>
      <w:r w:rsidR="00CA7BE5">
        <w:rPr>
          <w:bCs/>
        </w:rPr>
        <w:t xml:space="preserve"> and</w:t>
      </w:r>
      <w:r w:rsidR="00CA7BE5" w:rsidRPr="00CA7BE5">
        <w:rPr>
          <w:bCs/>
        </w:rPr>
        <w:t xml:space="preserve"> potential side effects (in particular hyperkal</w:t>
      </w:r>
      <w:r w:rsidR="00784417">
        <w:rPr>
          <w:bCs/>
        </w:rPr>
        <w:t>a</w:t>
      </w:r>
      <w:r w:rsidR="00CA7BE5" w:rsidRPr="00CA7BE5">
        <w:rPr>
          <w:bCs/>
        </w:rPr>
        <w:t>emia)</w:t>
      </w:r>
      <w:r w:rsidR="00CA7BE5">
        <w:rPr>
          <w:bCs/>
        </w:rPr>
        <w:t xml:space="preserve">. The PBAC noted the comments were supportive of the evidence presented in the resubmission. </w:t>
      </w:r>
    </w:p>
    <w:p w14:paraId="609C0765" w14:textId="68784F70" w:rsidR="00B60939" w:rsidRPr="00C9624D" w:rsidRDefault="00B60939" w:rsidP="002E4F02">
      <w:pPr>
        <w:pStyle w:val="COMH2-non-numbered"/>
      </w:pPr>
      <w:bookmarkStart w:id="11" w:name="_Toc124857602"/>
      <w:bookmarkEnd w:id="8"/>
      <w:bookmarkEnd w:id="10"/>
      <w:r w:rsidRPr="00C9624D">
        <w:t>Clinical trials</w:t>
      </w:r>
      <w:bookmarkEnd w:id="7"/>
      <w:bookmarkEnd w:id="11"/>
    </w:p>
    <w:p w14:paraId="17DE34DC" w14:textId="65173F22" w:rsidR="007F1017" w:rsidRDefault="002541FB" w:rsidP="002E4F02">
      <w:pPr>
        <w:pStyle w:val="COMexecsumnumberedpara"/>
        <w:rPr>
          <w:color w:val="0066FF"/>
        </w:rPr>
      </w:pPr>
      <w:r w:rsidRPr="00C623FC">
        <w:t xml:space="preserve">The </w:t>
      </w:r>
      <w:r>
        <w:t>re</w:t>
      </w:r>
      <w:r w:rsidRPr="00C623FC">
        <w:t xml:space="preserve">submission was based on two head-to-head randomised trials comparing finerenone to placebo in patients </w:t>
      </w:r>
      <w:r>
        <w:t xml:space="preserve">with </w:t>
      </w:r>
      <w:r w:rsidRPr="00214818">
        <w:t xml:space="preserve">diabetic kidney disease </w:t>
      </w:r>
      <w:r w:rsidRPr="00C623FC">
        <w:t>(FIDELIO-DKD, FIGARO-DKD)</w:t>
      </w:r>
      <w:r>
        <w:t>,</w:t>
      </w:r>
      <w:r w:rsidRPr="00C623FC">
        <w:t xml:space="preserve"> </w:t>
      </w:r>
      <w:r>
        <w:t xml:space="preserve">and </w:t>
      </w:r>
      <w:r w:rsidRPr="00C623FC">
        <w:t xml:space="preserve">a pre-specified pooled analysis of individual patient data from </w:t>
      </w:r>
      <w:r>
        <w:t>these</w:t>
      </w:r>
      <w:r w:rsidRPr="00C623FC">
        <w:t xml:space="preserve"> trials (FIDELITY).</w:t>
      </w:r>
      <w:r>
        <w:t xml:space="preserve"> </w:t>
      </w:r>
      <w:r w:rsidRPr="00842145">
        <w:rPr>
          <w:iCs/>
        </w:rPr>
        <w:t>This is unchanged from the July 2022 submission.</w:t>
      </w:r>
      <w:r w:rsidR="00BC591F" w:rsidRPr="002E4F02">
        <w:rPr>
          <w:color w:val="0066FF"/>
        </w:rPr>
        <w:t xml:space="preserve"> </w:t>
      </w:r>
    </w:p>
    <w:p w14:paraId="47DDDA96" w14:textId="7867EE00" w:rsidR="002541FB" w:rsidRPr="002E4F02" w:rsidRDefault="002541FB" w:rsidP="002E4F02">
      <w:pPr>
        <w:pStyle w:val="COMexecsumnumberedpara"/>
        <w:rPr>
          <w:color w:val="0066FF"/>
        </w:rPr>
      </w:pPr>
      <w:r>
        <w:t xml:space="preserve">In addition, the resubmission presented new </w:t>
      </w:r>
      <w:r w:rsidRPr="00CA6C78">
        <w:rPr>
          <w:i/>
          <w:iCs/>
        </w:rPr>
        <w:t>post hoc</w:t>
      </w:r>
      <w:r>
        <w:t xml:space="preserve"> subgroup analyses of the FIDELITY pooled data study, of patients with a UACR &gt; 200 mg/g, with or without concomitant treatment with an SGLT2i medicine, and the incidence hyperkalaemia by baseline UACR and eGFR.</w:t>
      </w:r>
    </w:p>
    <w:p w14:paraId="2B59ABAC" w14:textId="0B5289AE" w:rsidR="00862502" w:rsidRPr="00B50DB8" w:rsidRDefault="00A73134" w:rsidP="002E4F02">
      <w:pPr>
        <w:pStyle w:val="COMexecsumnumberedpara"/>
      </w:pPr>
      <w:r>
        <w:rPr>
          <w:snapToGrid/>
          <w:lang w:val="en-US"/>
        </w:rPr>
        <w:t xml:space="preserve">Details of the trials presented in the submission are provided in </w:t>
      </w:r>
      <w:r w:rsidR="00696EF9">
        <w:rPr>
          <w:snapToGrid/>
          <w:lang w:val="en-US"/>
        </w:rPr>
        <w:fldChar w:fldCharType="begin"/>
      </w:r>
      <w:r w:rsidR="00696EF9">
        <w:rPr>
          <w:snapToGrid/>
          <w:lang w:val="en-US"/>
        </w:rPr>
        <w:instrText xml:space="preserve"> REF _Ref104803956 \h </w:instrText>
      </w:r>
      <w:r w:rsidR="00696EF9">
        <w:rPr>
          <w:snapToGrid/>
          <w:lang w:val="en-US"/>
        </w:rPr>
      </w:r>
      <w:r w:rsidR="00696EF9">
        <w:rPr>
          <w:snapToGrid/>
          <w:lang w:val="en-US"/>
        </w:rPr>
        <w:fldChar w:fldCharType="separate"/>
      </w:r>
      <w:r w:rsidR="005562EE">
        <w:t xml:space="preserve">Table </w:t>
      </w:r>
      <w:r w:rsidR="005562EE">
        <w:rPr>
          <w:noProof/>
        </w:rPr>
        <w:t>3</w:t>
      </w:r>
      <w:r w:rsidR="00696EF9">
        <w:rPr>
          <w:snapToGrid/>
          <w:lang w:val="en-US"/>
        </w:rPr>
        <w:fldChar w:fldCharType="end"/>
      </w:r>
      <w:r>
        <w:rPr>
          <w:snapToGrid/>
          <w:lang w:val="en-US"/>
        </w:rPr>
        <w:t>.</w:t>
      </w:r>
    </w:p>
    <w:p w14:paraId="5B5079E9" w14:textId="52A03CEE" w:rsidR="00260118" w:rsidRDefault="00696EF9" w:rsidP="009A77B1">
      <w:pPr>
        <w:pStyle w:val="COMtablefigcaption"/>
        <w:keepLines/>
      </w:pPr>
      <w:bookmarkStart w:id="12" w:name="_Ref104803956"/>
      <w:r>
        <w:t xml:space="preserve">Table </w:t>
      </w:r>
      <w:r w:rsidR="005562EE">
        <w:fldChar w:fldCharType="begin"/>
      </w:r>
      <w:r w:rsidR="005562EE">
        <w:instrText xml:space="preserve"> SEQ Table \* ARABIC </w:instrText>
      </w:r>
      <w:r w:rsidR="005562EE">
        <w:fldChar w:fldCharType="separate"/>
      </w:r>
      <w:r w:rsidR="005562EE">
        <w:rPr>
          <w:noProof/>
        </w:rPr>
        <w:t>3</w:t>
      </w:r>
      <w:r w:rsidR="005562EE">
        <w:rPr>
          <w:noProof/>
        </w:rPr>
        <w:fldChar w:fldCharType="end"/>
      </w:r>
      <w:bookmarkEnd w:id="12"/>
      <w:r>
        <w:t>:</w:t>
      </w:r>
      <w:r w:rsidR="00BC591F" w:rsidRPr="003C2DE2">
        <w:t xml:space="preserve"> </w:t>
      </w:r>
      <w:r w:rsidR="008E0D3C" w:rsidRPr="003C2DE2">
        <w:t>Trials and associated reports presented in the submission</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3"/>
        <w:gridCol w:w="4480"/>
        <w:gridCol w:w="2997"/>
      </w:tblGrid>
      <w:tr w:rsidR="006C2B1B" w:rsidRPr="00C623FC" w14:paraId="16C8A9F6" w14:textId="77777777" w:rsidTr="004D406C">
        <w:trPr>
          <w:tblHeader/>
        </w:trPr>
        <w:tc>
          <w:tcPr>
            <w:tcW w:w="851" w:type="pct"/>
            <w:tcBorders>
              <w:bottom w:val="single" w:sz="4" w:space="0" w:color="auto"/>
            </w:tcBorders>
            <w:vAlign w:val="center"/>
          </w:tcPr>
          <w:p w14:paraId="6388DAEE" w14:textId="77777777" w:rsidR="006C2B1B" w:rsidRPr="00637C2E" w:rsidRDefault="006C2B1B" w:rsidP="009A77B1">
            <w:pPr>
              <w:pStyle w:val="COMtbl-textLeftAligned"/>
              <w:keepNext/>
              <w:keepLines/>
              <w:rPr>
                <w:b/>
                <w:bCs/>
              </w:rPr>
            </w:pPr>
            <w:r w:rsidRPr="00637C2E">
              <w:rPr>
                <w:b/>
                <w:bCs/>
              </w:rPr>
              <w:t>Trial ID</w:t>
            </w:r>
          </w:p>
        </w:tc>
        <w:tc>
          <w:tcPr>
            <w:tcW w:w="2486" w:type="pct"/>
            <w:tcBorders>
              <w:bottom w:val="single" w:sz="4" w:space="0" w:color="auto"/>
            </w:tcBorders>
            <w:vAlign w:val="center"/>
          </w:tcPr>
          <w:p w14:paraId="1443DA32" w14:textId="77777777" w:rsidR="006C2B1B" w:rsidRPr="00637C2E" w:rsidRDefault="006C2B1B" w:rsidP="009A77B1">
            <w:pPr>
              <w:pStyle w:val="COMtbl-textLeftAligned"/>
              <w:keepNext/>
              <w:keepLines/>
              <w:rPr>
                <w:b/>
                <w:bCs/>
              </w:rPr>
            </w:pPr>
            <w:r w:rsidRPr="00637C2E">
              <w:rPr>
                <w:b/>
                <w:bCs/>
              </w:rPr>
              <w:t>Protocol title/ Publication title</w:t>
            </w:r>
          </w:p>
        </w:tc>
        <w:tc>
          <w:tcPr>
            <w:tcW w:w="1663" w:type="pct"/>
            <w:tcBorders>
              <w:bottom w:val="single" w:sz="4" w:space="0" w:color="auto"/>
            </w:tcBorders>
            <w:vAlign w:val="center"/>
          </w:tcPr>
          <w:p w14:paraId="0A165BB3" w14:textId="77777777" w:rsidR="006C2B1B" w:rsidRPr="00637C2E" w:rsidRDefault="006C2B1B" w:rsidP="009A77B1">
            <w:pPr>
              <w:pStyle w:val="COMtbl-textLeftAligned"/>
              <w:keepNext/>
              <w:keepLines/>
              <w:rPr>
                <w:b/>
                <w:bCs/>
              </w:rPr>
            </w:pPr>
            <w:r w:rsidRPr="00637C2E">
              <w:rPr>
                <w:b/>
                <w:bCs/>
              </w:rPr>
              <w:t>Publication citation</w:t>
            </w:r>
          </w:p>
        </w:tc>
      </w:tr>
      <w:tr w:rsidR="006C2B1B" w:rsidRPr="00C623FC" w14:paraId="0862EFD4" w14:textId="77777777" w:rsidTr="004D406C">
        <w:trPr>
          <w:cantSplit/>
        </w:trPr>
        <w:tc>
          <w:tcPr>
            <w:tcW w:w="851" w:type="pct"/>
            <w:vMerge w:val="restart"/>
            <w:tcBorders>
              <w:top w:val="single" w:sz="4" w:space="0" w:color="auto"/>
              <w:left w:val="single" w:sz="4" w:space="0" w:color="auto"/>
              <w:right w:val="single" w:sz="4" w:space="0" w:color="auto"/>
            </w:tcBorders>
            <w:vAlign w:val="center"/>
          </w:tcPr>
          <w:p w14:paraId="2B2D043B" w14:textId="77777777" w:rsidR="006C2B1B" w:rsidRPr="00C623FC" w:rsidRDefault="006C2B1B" w:rsidP="009A77B1">
            <w:pPr>
              <w:pStyle w:val="COMtbl-textLeftAligned"/>
              <w:keepNext/>
              <w:keepLines/>
            </w:pPr>
            <w:r w:rsidRPr="00C623FC">
              <w:t>FIDELIO-DKD</w:t>
            </w:r>
          </w:p>
        </w:tc>
        <w:tc>
          <w:tcPr>
            <w:tcW w:w="2486" w:type="pct"/>
            <w:tcBorders>
              <w:top w:val="single" w:sz="4" w:space="0" w:color="auto"/>
              <w:left w:val="single" w:sz="4" w:space="0" w:color="auto"/>
              <w:bottom w:val="nil"/>
              <w:right w:val="single" w:sz="4" w:space="0" w:color="auto"/>
            </w:tcBorders>
          </w:tcPr>
          <w:p w14:paraId="7908184F" w14:textId="77777777" w:rsidR="006C2B1B" w:rsidRPr="00C623FC" w:rsidRDefault="006C2B1B" w:rsidP="009A77B1">
            <w:pPr>
              <w:pStyle w:val="COMtbl-textLeftAligned"/>
              <w:keepNext/>
              <w:keepLines/>
              <w:rPr>
                <w:szCs w:val="18"/>
              </w:rPr>
            </w:pPr>
            <w:r w:rsidRPr="00C623FC">
              <w:rPr>
                <w:szCs w:val="18"/>
              </w:rPr>
              <w:t>Efficacy and Safety of Finerenone in Subjects With Type 2 Diabetes Mellitus and Diabetic Kidney Disease</w:t>
            </w:r>
          </w:p>
        </w:tc>
        <w:tc>
          <w:tcPr>
            <w:tcW w:w="1663" w:type="pct"/>
            <w:tcBorders>
              <w:top w:val="single" w:sz="4" w:space="0" w:color="auto"/>
              <w:left w:val="single" w:sz="4" w:space="0" w:color="auto"/>
              <w:bottom w:val="nil"/>
              <w:right w:val="single" w:sz="4" w:space="0" w:color="auto"/>
            </w:tcBorders>
          </w:tcPr>
          <w:p w14:paraId="4699767A" w14:textId="77777777" w:rsidR="006C2B1B" w:rsidRPr="00C623FC" w:rsidRDefault="006C2B1B" w:rsidP="009A77B1">
            <w:pPr>
              <w:pStyle w:val="COMtbl-textLeftAligned"/>
              <w:keepNext/>
              <w:keepLines/>
            </w:pPr>
            <w:r w:rsidRPr="00C623FC">
              <w:t>Internal study report</w:t>
            </w:r>
            <w:r>
              <w:t>: 2020.</w:t>
            </w:r>
          </w:p>
        </w:tc>
      </w:tr>
      <w:tr w:rsidR="006C2B1B" w:rsidRPr="00C623FC" w14:paraId="1AE088BB" w14:textId="77777777" w:rsidTr="004D406C">
        <w:trPr>
          <w:cantSplit/>
        </w:trPr>
        <w:tc>
          <w:tcPr>
            <w:tcW w:w="851" w:type="pct"/>
            <w:vMerge/>
            <w:tcBorders>
              <w:left w:val="single" w:sz="4" w:space="0" w:color="auto"/>
              <w:right w:val="single" w:sz="4" w:space="0" w:color="auto"/>
            </w:tcBorders>
            <w:vAlign w:val="center"/>
          </w:tcPr>
          <w:p w14:paraId="569752C2" w14:textId="77777777" w:rsidR="006C2B1B" w:rsidRPr="00C623FC" w:rsidRDefault="006C2B1B" w:rsidP="009A77B1">
            <w:pPr>
              <w:pStyle w:val="COMtbl-textLeftAligned"/>
              <w:keepNext/>
              <w:keepLines/>
            </w:pPr>
          </w:p>
        </w:tc>
        <w:tc>
          <w:tcPr>
            <w:tcW w:w="2486" w:type="pct"/>
            <w:tcBorders>
              <w:top w:val="nil"/>
              <w:left w:val="single" w:sz="4" w:space="0" w:color="auto"/>
              <w:bottom w:val="nil"/>
              <w:right w:val="single" w:sz="4" w:space="0" w:color="auto"/>
            </w:tcBorders>
          </w:tcPr>
          <w:p w14:paraId="064EC5E8" w14:textId="77777777" w:rsidR="006C2B1B" w:rsidRPr="00A97669" w:rsidRDefault="006C2B1B" w:rsidP="009A77B1">
            <w:pPr>
              <w:pStyle w:val="COMtbl-textLeftAligned"/>
              <w:keepNext/>
              <w:keepLines/>
              <w:rPr>
                <w:szCs w:val="18"/>
              </w:rPr>
            </w:pPr>
            <w:r w:rsidRPr="00A97669">
              <w:rPr>
                <w:szCs w:val="18"/>
              </w:rPr>
              <w:t>Bakris et al. Design and baseline characteristics of the finerenone in reducing kidney failure and disease progression in diabetic kidney disease trial.</w:t>
            </w:r>
          </w:p>
        </w:tc>
        <w:tc>
          <w:tcPr>
            <w:tcW w:w="1663" w:type="pct"/>
            <w:tcBorders>
              <w:top w:val="nil"/>
              <w:left w:val="single" w:sz="4" w:space="0" w:color="auto"/>
              <w:bottom w:val="nil"/>
              <w:right w:val="single" w:sz="4" w:space="0" w:color="auto"/>
            </w:tcBorders>
          </w:tcPr>
          <w:p w14:paraId="170AF833" w14:textId="77777777" w:rsidR="006C2B1B" w:rsidRPr="00C623FC" w:rsidRDefault="006C2B1B" w:rsidP="009A77B1">
            <w:pPr>
              <w:pStyle w:val="COMtbl-textLeftAligned"/>
              <w:keepNext/>
              <w:keepLines/>
              <w:rPr>
                <w:szCs w:val="18"/>
              </w:rPr>
            </w:pPr>
            <w:r w:rsidRPr="0027614D">
              <w:rPr>
                <w:i/>
                <w:iCs/>
                <w:szCs w:val="18"/>
              </w:rPr>
              <w:t>American Journal of Nephrology</w:t>
            </w:r>
            <w:r>
              <w:rPr>
                <w:szCs w:val="18"/>
              </w:rPr>
              <w:t xml:space="preserve">. 2019, </w:t>
            </w:r>
            <w:r w:rsidRPr="00C623FC">
              <w:rPr>
                <w:szCs w:val="18"/>
              </w:rPr>
              <w:br/>
              <w:t>50</w:t>
            </w:r>
            <w:r>
              <w:rPr>
                <w:szCs w:val="18"/>
              </w:rPr>
              <w:t>(5)</w:t>
            </w:r>
            <w:r w:rsidRPr="00C623FC">
              <w:rPr>
                <w:szCs w:val="18"/>
              </w:rPr>
              <w:t>:333-34</w:t>
            </w:r>
            <w:r>
              <w:rPr>
                <w:szCs w:val="18"/>
              </w:rPr>
              <w:t>5</w:t>
            </w:r>
            <w:r w:rsidRPr="00C623FC">
              <w:rPr>
                <w:szCs w:val="18"/>
              </w:rPr>
              <w:t>.</w:t>
            </w:r>
          </w:p>
        </w:tc>
      </w:tr>
      <w:tr w:rsidR="006C2B1B" w:rsidRPr="00C623FC" w14:paraId="0295C649" w14:textId="77777777" w:rsidTr="004D406C">
        <w:trPr>
          <w:cantSplit/>
        </w:trPr>
        <w:tc>
          <w:tcPr>
            <w:tcW w:w="851" w:type="pct"/>
            <w:vMerge/>
            <w:tcBorders>
              <w:left w:val="single" w:sz="4" w:space="0" w:color="auto"/>
              <w:right w:val="single" w:sz="4" w:space="0" w:color="auto"/>
            </w:tcBorders>
            <w:vAlign w:val="center"/>
          </w:tcPr>
          <w:p w14:paraId="32EA3D5C" w14:textId="77777777" w:rsidR="006C2B1B" w:rsidRPr="00C623FC" w:rsidRDefault="006C2B1B" w:rsidP="009A77B1">
            <w:pPr>
              <w:pStyle w:val="COMtbl-textLeftAligned"/>
              <w:keepNext/>
              <w:keepLines/>
            </w:pPr>
          </w:p>
        </w:tc>
        <w:tc>
          <w:tcPr>
            <w:tcW w:w="2486" w:type="pct"/>
            <w:tcBorders>
              <w:top w:val="nil"/>
              <w:left w:val="single" w:sz="4" w:space="0" w:color="auto"/>
              <w:bottom w:val="nil"/>
              <w:right w:val="single" w:sz="4" w:space="0" w:color="auto"/>
            </w:tcBorders>
          </w:tcPr>
          <w:p w14:paraId="5F40BA94" w14:textId="77777777" w:rsidR="006C2B1B" w:rsidRPr="00A97669" w:rsidRDefault="006C2B1B" w:rsidP="009A77B1">
            <w:pPr>
              <w:pStyle w:val="COMtbl-textLeftAligned"/>
              <w:keepNext/>
              <w:keepLines/>
              <w:rPr>
                <w:szCs w:val="18"/>
              </w:rPr>
            </w:pPr>
            <w:r w:rsidRPr="00A97669">
              <w:rPr>
                <w:szCs w:val="18"/>
              </w:rPr>
              <w:t>Bakris et al. Effect of finerenone on chronic kidney disease outcomes in type 2 diabetes.</w:t>
            </w:r>
          </w:p>
        </w:tc>
        <w:tc>
          <w:tcPr>
            <w:tcW w:w="1663" w:type="pct"/>
            <w:tcBorders>
              <w:top w:val="nil"/>
              <w:left w:val="single" w:sz="4" w:space="0" w:color="auto"/>
              <w:bottom w:val="nil"/>
              <w:right w:val="single" w:sz="4" w:space="0" w:color="auto"/>
            </w:tcBorders>
          </w:tcPr>
          <w:p w14:paraId="51429688" w14:textId="77777777" w:rsidR="006C2B1B" w:rsidRPr="00C623FC" w:rsidRDefault="006C2B1B" w:rsidP="009A77B1">
            <w:pPr>
              <w:pStyle w:val="COMtbl-textLeftAligned"/>
              <w:keepNext/>
              <w:keepLines/>
            </w:pPr>
            <w:r w:rsidRPr="00B43FE3">
              <w:rPr>
                <w:i/>
                <w:iCs/>
                <w:szCs w:val="18"/>
              </w:rPr>
              <w:t>New England Journal of Medicine</w:t>
            </w:r>
            <w:r>
              <w:rPr>
                <w:szCs w:val="18"/>
              </w:rPr>
              <w:t>. 2020, 3</w:t>
            </w:r>
            <w:r w:rsidRPr="00C623FC">
              <w:rPr>
                <w:szCs w:val="18"/>
              </w:rPr>
              <w:t>83</w:t>
            </w:r>
            <w:r>
              <w:rPr>
                <w:szCs w:val="18"/>
              </w:rPr>
              <w:t>(23)</w:t>
            </w:r>
            <w:r w:rsidRPr="00C623FC">
              <w:rPr>
                <w:szCs w:val="18"/>
              </w:rPr>
              <w:t>:2219</w:t>
            </w:r>
            <w:r w:rsidRPr="00C623FC">
              <w:rPr>
                <w:rFonts w:ascii="Cambria Math" w:hAnsi="Cambria Math" w:cs="Cambria Math"/>
                <w:szCs w:val="18"/>
              </w:rPr>
              <w:t>‐</w:t>
            </w:r>
            <w:r w:rsidRPr="00C623FC">
              <w:rPr>
                <w:szCs w:val="18"/>
              </w:rPr>
              <w:t>2229.</w:t>
            </w:r>
          </w:p>
        </w:tc>
      </w:tr>
      <w:tr w:rsidR="006C2B1B" w:rsidRPr="00C623FC" w14:paraId="2E3DBEA3" w14:textId="77777777" w:rsidTr="004D406C">
        <w:trPr>
          <w:cantSplit/>
        </w:trPr>
        <w:tc>
          <w:tcPr>
            <w:tcW w:w="851" w:type="pct"/>
            <w:vMerge/>
            <w:tcBorders>
              <w:left w:val="single" w:sz="4" w:space="0" w:color="auto"/>
              <w:right w:val="single" w:sz="4" w:space="0" w:color="auto"/>
            </w:tcBorders>
            <w:vAlign w:val="center"/>
          </w:tcPr>
          <w:p w14:paraId="46E4A10E" w14:textId="77777777" w:rsidR="006C2B1B" w:rsidRPr="00C623FC" w:rsidRDefault="006C2B1B" w:rsidP="009A77B1">
            <w:pPr>
              <w:pStyle w:val="COMtbl-textLeftAligned"/>
              <w:keepNext/>
            </w:pPr>
          </w:p>
        </w:tc>
        <w:tc>
          <w:tcPr>
            <w:tcW w:w="2486" w:type="pct"/>
            <w:tcBorders>
              <w:top w:val="nil"/>
              <w:left w:val="single" w:sz="4" w:space="0" w:color="auto"/>
              <w:bottom w:val="nil"/>
              <w:right w:val="single" w:sz="4" w:space="0" w:color="auto"/>
            </w:tcBorders>
          </w:tcPr>
          <w:p w14:paraId="4C037B51" w14:textId="77777777" w:rsidR="006C2B1B" w:rsidRPr="00A97669" w:rsidRDefault="006C2B1B" w:rsidP="009A77B1">
            <w:pPr>
              <w:pStyle w:val="COMtbl-textLeftAligned"/>
              <w:keepNext/>
              <w:rPr>
                <w:szCs w:val="18"/>
              </w:rPr>
            </w:pPr>
            <w:r w:rsidRPr="00A97669">
              <w:rPr>
                <w:szCs w:val="18"/>
              </w:rPr>
              <w:t>Filippatos et al. Finerenone and Cardiovascular Outcomes in Patients with Chronic Kidney Disease and Type 2 Diabetes.</w:t>
            </w:r>
          </w:p>
        </w:tc>
        <w:tc>
          <w:tcPr>
            <w:tcW w:w="1663" w:type="pct"/>
            <w:tcBorders>
              <w:top w:val="nil"/>
              <w:left w:val="single" w:sz="4" w:space="0" w:color="auto"/>
              <w:bottom w:val="nil"/>
              <w:right w:val="single" w:sz="4" w:space="0" w:color="auto"/>
            </w:tcBorders>
          </w:tcPr>
          <w:p w14:paraId="3C9EAC1E" w14:textId="77777777" w:rsidR="006C2B1B" w:rsidRPr="00C623FC" w:rsidRDefault="006C2B1B" w:rsidP="009A77B1">
            <w:pPr>
              <w:pStyle w:val="COMtbl-textLeftAligned"/>
              <w:keepNext/>
              <w:rPr>
                <w:szCs w:val="18"/>
              </w:rPr>
            </w:pPr>
            <w:r w:rsidRPr="00463898">
              <w:rPr>
                <w:i/>
                <w:iCs/>
                <w:szCs w:val="18"/>
              </w:rPr>
              <w:t>Circulation</w:t>
            </w:r>
            <w:r>
              <w:rPr>
                <w:szCs w:val="18"/>
              </w:rPr>
              <w:t>. 2021, (</w:t>
            </w:r>
            <w:r w:rsidRPr="00C623FC">
              <w:rPr>
                <w:szCs w:val="18"/>
              </w:rPr>
              <w:t>143</w:t>
            </w:r>
            <w:r>
              <w:rPr>
                <w:szCs w:val="18"/>
              </w:rPr>
              <w:t>)</w:t>
            </w:r>
            <w:r w:rsidRPr="00C623FC">
              <w:rPr>
                <w:szCs w:val="18"/>
              </w:rPr>
              <w:t>:540-552.</w:t>
            </w:r>
          </w:p>
        </w:tc>
      </w:tr>
      <w:tr w:rsidR="006C2B1B" w:rsidRPr="00C623FC" w14:paraId="4C2EDA25" w14:textId="77777777" w:rsidTr="004D406C">
        <w:trPr>
          <w:cantSplit/>
        </w:trPr>
        <w:tc>
          <w:tcPr>
            <w:tcW w:w="851" w:type="pct"/>
            <w:vMerge/>
            <w:tcBorders>
              <w:left w:val="single" w:sz="4" w:space="0" w:color="auto"/>
              <w:right w:val="single" w:sz="4" w:space="0" w:color="auto"/>
            </w:tcBorders>
            <w:vAlign w:val="center"/>
          </w:tcPr>
          <w:p w14:paraId="11C72E7C" w14:textId="77777777" w:rsidR="006C2B1B" w:rsidRPr="00C623FC" w:rsidRDefault="006C2B1B" w:rsidP="009A77B1">
            <w:pPr>
              <w:pStyle w:val="COMtbl-textLeftAligned"/>
              <w:keepNext/>
            </w:pPr>
          </w:p>
        </w:tc>
        <w:tc>
          <w:tcPr>
            <w:tcW w:w="2486" w:type="pct"/>
            <w:tcBorders>
              <w:top w:val="nil"/>
              <w:left w:val="single" w:sz="4" w:space="0" w:color="auto"/>
              <w:bottom w:val="nil"/>
              <w:right w:val="single" w:sz="4" w:space="0" w:color="auto"/>
            </w:tcBorders>
          </w:tcPr>
          <w:p w14:paraId="214F1886" w14:textId="77777777" w:rsidR="006C2B1B" w:rsidRPr="00A97669" w:rsidRDefault="006C2B1B" w:rsidP="009A77B1">
            <w:pPr>
              <w:pStyle w:val="COMtbl-textLeftAligned"/>
              <w:keepNext/>
              <w:rPr>
                <w:szCs w:val="18"/>
              </w:rPr>
            </w:pPr>
            <w:r w:rsidRPr="00A97669">
              <w:rPr>
                <w:szCs w:val="18"/>
              </w:rPr>
              <w:t>Filippatos et al. Finerenone Reduces New-Onset Atrial Fibrillation in Patients With Chronic Kidney Disease and Type 2 Diabetes.</w:t>
            </w:r>
          </w:p>
        </w:tc>
        <w:tc>
          <w:tcPr>
            <w:tcW w:w="1663" w:type="pct"/>
            <w:tcBorders>
              <w:top w:val="nil"/>
              <w:left w:val="single" w:sz="4" w:space="0" w:color="auto"/>
              <w:bottom w:val="nil"/>
              <w:right w:val="single" w:sz="4" w:space="0" w:color="auto"/>
            </w:tcBorders>
          </w:tcPr>
          <w:p w14:paraId="726C9F79" w14:textId="77777777" w:rsidR="006C2B1B" w:rsidRPr="00C623FC" w:rsidRDefault="006C2B1B" w:rsidP="009A77B1">
            <w:pPr>
              <w:pStyle w:val="COMtbl-textLeftAligned"/>
              <w:keepNext/>
              <w:rPr>
                <w:szCs w:val="18"/>
              </w:rPr>
            </w:pPr>
            <w:r w:rsidRPr="006A2EF8">
              <w:rPr>
                <w:i/>
                <w:iCs/>
                <w:szCs w:val="18"/>
              </w:rPr>
              <w:t>Journal of the American College of Cardiology</w:t>
            </w:r>
            <w:r>
              <w:rPr>
                <w:szCs w:val="18"/>
              </w:rPr>
              <w:t>. 2021b,</w:t>
            </w:r>
            <w:r w:rsidRPr="00C623FC">
              <w:rPr>
                <w:szCs w:val="18"/>
              </w:rPr>
              <w:t xml:space="preserve"> </w:t>
            </w:r>
            <w:r>
              <w:rPr>
                <w:szCs w:val="18"/>
              </w:rPr>
              <w:t>(</w:t>
            </w:r>
            <w:r w:rsidRPr="00C623FC">
              <w:rPr>
                <w:szCs w:val="18"/>
              </w:rPr>
              <w:t>78</w:t>
            </w:r>
            <w:r>
              <w:rPr>
                <w:szCs w:val="18"/>
              </w:rPr>
              <w:t>)</w:t>
            </w:r>
            <w:r w:rsidRPr="00C623FC">
              <w:rPr>
                <w:szCs w:val="18"/>
              </w:rPr>
              <w:t>:142-152.</w:t>
            </w:r>
          </w:p>
        </w:tc>
      </w:tr>
      <w:tr w:rsidR="006C2B1B" w:rsidRPr="00C623FC" w14:paraId="741538ED" w14:textId="77777777" w:rsidTr="004D406C">
        <w:trPr>
          <w:cantSplit/>
        </w:trPr>
        <w:tc>
          <w:tcPr>
            <w:tcW w:w="851" w:type="pct"/>
            <w:vMerge/>
            <w:tcBorders>
              <w:left w:val="single" w:sz="4" w:space="0" w:color="auto"/>
              <w:right w:val="single" w:sz="4" w:space="0" w:color="auto"/>
            </w:tcBorders>
            <w:vAlign w:val="center"/>
          </w:tcPr>
          <w:p w14:paraId="3C739A94" w14:textId="77777777" w:rsidR="006C2B1B" w:rsidRPr="00C623FC" w:rsidRDefault="006C2B1B" w:rsidP="009A77B1">
            <w:pPr>
              <w:pStyle w:val="COMtbl-textLeftAligned"/>
              <w:keepNext/>
            </w:pPr>
          </w:p>
        </w:tc>
        <w:tc>
          <w:tcPr>
            <w:tcW w:w="2486" w:type="pct"/>
            <w:tcBorders>
              <w:top w:val="nil"/>
              <w:left w:val="single" w:sz="4" w:space="0" w:color="auto"/>
              <w:bottom w:val="nil"/>
              <w:right w:val="single" w:sz="4" w:space="0" w:color="auto"/>
            </w:tcBorders>
          </w:tcPr>
          <w:p w14:paraId="39FDF123" w14:textId="77777777" w:rsidR="006C2B1B" w:rsidRPr="00A97669" w:rsidRDefault="006C2B1B" w:rsidP="009A77B1">
            <w:pPr>
              <w:pStyle w:val="COMtbl-textLeftAligned"/>
              <w:keepNext/>
              <w:rPr>
                <w:szCs w:val="18"/>
              </w:rPr>
            </w:pPr>
            <w:r w:rsidRPr="00A97669">
              <w:rPr>
                <w:szCs w:val="18"/>
              </w:rPr>
              <w:t xml:space="preserve">Agarwal et al. Hyperkalemia Risk with finerenone: Results from the FIDELIO-DKD Trial. </w:t>
            </w:r>
          </w:p>
        </w:tc>
        <w:tc>
          <w:tcPr>
            <w:tcW w:w="1663" w:type="pct"/>
            <w:tcBorders>
              <w:top w:val="nil"/>
              <w:left w:val="single" w:sz="4" w:space="0" w:color="auto"/>
              <w:bottom w:val="nil"/>
              <w:right w:val="single" w:sz="4" w:space="0" w:color="auto"/>
            </w:tcBorders>
          </w:tcPr>
          <w:p w14:paraId="5E18AF98" w14:textId="77777777" w:rsidR="006C2B1B" w:rsidRPr="00C623FC" w:rsidRDefault="006C2B1B" w:rsidP="009A77B1">
            <w:pPr>
              <w:pStyle w:val="COMtbl-textLeftAligned"/>
              <w:keepNext/>
              <w:rPr>
                <w:szCs w:val="18"/>
              </w:rPr>
            </w:pPr>
            <w:r w:rsidRPr="006A2EF8">
              <w:rPr>
                <w:i/>
                <w:iCs/>
                <w:szCs w:val="18"/>
              </w:rPr>
              <w:t>Journal of the American Society of Nephrology</w:t>
            </w:r>
            <w:r>
              <w:rPr>
                <w:szCs w:val="18"/>
              </w:rPr>
              <w:t>. 2022,</w:t>
            </w:r>
            <w:r w:rsidRPr="00C623FC">
              <w:rPr>
                <w:szCs w:val="18"/>
              </w:rPr>
              <w:t xml:space="preserve"> </w:t>
            </w:r>
            <w:r>
              <w:rPr>
                <w:szCs w:val="18"/>
              </w:rPr>
              <w:t>(</w:t>
            </w:r>
            <w:r w:rsidRPr="00C623FC">
              <w:rPr>
                <w:szCs w:val="18"/>
              </w:rPr>
              <w:t>33</w:t>
            </w:r>
            <w:r>
              <w:rPr>
                <w:szCs w:val="18"/>
              </w:rPr>
              <w:t>)</w:t>
            </w:r>
            <w:r w:rsidRPr="00C623FC">
              <w:rPr>
                <w:szCs w:val="18"/>
              </w:rPr>
              <w:t>:225–237</w:t>
            </w:r>
            <w:r>
              <w:rPr>
                <w:szCs w:val="18"/>
              </w:rPr>
              <w:t>.</w:t>
            </w:r>
          </w:p>
        </w:tc>
      </w:tr>
      <w:tr w:rsidR="006C2B1B" w:rsidRPr="00C623FC" w14:paraId="7C15D0B0" w14:textId="77777777" w:rsidTr="004D406C">
        <w:trPr>
          <w:cantSplit/>
        </w:trPr>
        <w:tc>
          <w:tcPr>
            <w:tcW w:w="851" w:type="pct"/>
            <w:vMerge/>
            <w:tcBorders>
              <w:left w:val="single" w:sz="4" w:space="0" w:color="auto"/>
              <w:right w:val="single" w:sz="4" w:space="0" w:color="auto"/>
            </w:tcBorders>
            <w:vAlign w:val="center"/>
          </w:tcPr>
          <w:p w14:paraId="6D35CCB6" w14:textId="77777777" w:rsidR="006C2B1B" w:rsidRPr="00C623FC" w:rsidRDefault="006C2B1B" w:rsidP="009A77B1">
            <w:pPr>
              <w:pStyle w:val="COMtbl-textLeftAligned"/>
              <w:keepNext/>
            </w:pPr>
          </w:p>
        </w:tc>
        <w:tc>
          <w:tcPr>
            <w:tcW w:w="2486" w:type="pct"/>
            <w:tcBorders>
              <w:top w:val="nil"/>
              <w:left w:val="single" w:sz="4" w:space="0" w:color="auto"/>
              <w:bottom w:val="nil"/>
              <w:right w:val="single" w:sz="4" w:space="0" w:color="auto"/>
            </w:tcBorders>
          </w:tcPr>
          <w:p w14:paraId="43FB629F" w14:textId="77777777" w:rsidR="006C2B1B" w:rsidRPr="00A33656" w:rsidRDefault="006C2B1B" w:rsidP="009A77B1">
            <w:pPr>
              <w:pStyle w:val="COMtbl-textLeftAligned"/>
              <w:keepNext/>
              <w:rPr>
                <w:szCs w:val="18"/>
              </w:rPr>
            </w:pPr>
            <w:r w:rsidRPr="00A33656">
              <w:rPr>
                <w:szCs w:val="18"/>
              </w:rPr>
              <w:t>Rossing et al. Finerenone in Predominantly Advanced CKD and Type 2 Diabetes With or Without Sodium-Glucose Cotransporter-2 Inhibitor Therapy.</w:t>
            </w:r>
          </w:p>
        </w:tc>
        <w:tc>
          <w:tcPr>
            <w:tcW w:w="1663" w:type="pct"/>
            <w:tcBorders>
              <w:top w:val="nil"/>
              <w:left w:val="single" w:sz="4" w:space="0" w:color="auto"/>
              <w:bottom w:val="nil"/>
              <w:right w:val="single" w:sz="4" w:space="0" w:color="auto"/>
            </w:tcBorders>
          </w:tcPr>
          <w:p w14:paraId="1E033505" w14:textId="77777777" w:rsidR="006C2B1B" w:rsidRPr="00C623FC" w:rsidRDefault="006C2B1B" w:rsidP="009A77B1">
            <w:pPr>
              <w:pStyle w:val="COMtbl-textLeftAligned"/>
              <w:keepNext/>
              <w:rPr>
                <w:i/>
                <w:iCs/>
                <w:szCs w:val="18"/>
              </w:rPr>
            </w:pPr>
            <w:r w:rsidRPr="00C623FC">
              <w:rPr>
                <w:i/>
                <w:iCs/>
                <w:szCs w:val="18"/>
              </w:rPr>
              <w:t>Kidney International Reports</w:t>
            </w:r>
            <w:r>
              <w:rPr>
                <w:szCs w:val="18"/>
              </w:rPr>
              <w:t xml:space="preserve">. 2021, </w:t>
            </w:r>
            <w:r w:rsidRPr="002A163B">
              <w:rPr>
                <w:szCs w:val="18"/>
              </w:rPr>
              <w:t>(7): 36-45</w:t>
            </w:r>
            <w:r>
              <w:rPr>
                <w:szCs w:val="18"/>
              </w:rPr>
              <w:t>.</w:t>
            </w:r>
          </w:p>
        </w:tc>
      </w:tr>
      <w:tr w:rsidR="006C2B1B" w:rsidRPr="00C623FC" w14:paraId="1EDECF8B" w14:textId="77777777" w:rsidTr="004D406C">
        <w:trPr>
          <w:cantSplit/>
        </w:trPr>
        <w:tc>
          <w:tcPr>
            <w:tcW w:w="851" w:type="pct"/>
            <w:vMerge/>
            <w:tcBorders>
              <w:left w:val="single" w:sz="4" w:space="0" w:color="auto"/>
              <w:right w:val="single" w:sz="4" w:space="0" w:color="auto"/>
            </w:tcBorders>
            <w:vAlign w:val="center"/>
          </w:tcPr>
          <w:p w14:paraId="6BF3E1E7" w14:textId="77777777" w:rsidR="006C2B1B" w:rsidRPr="00C623FC" w:rsidRDefault="006C2B1B" w:rsidP="009A77B1">
            <w:pPr>
              <w:pStyle w:val="COMtbl-textLeftAligned"/>
              <w:keepNext/>
            </w:pPr>
          </w:p>
        </w:tc>
        <w:tc>
          <w:tcPr>
            <w:tcW w:w="2486" w:type="pct"/>
            <w:tcBorders>
              <w:top w:val="nil"/>
              <w:left w:val="single" w:sz="4" w:space="0" w:color="auto"/>
              <w:bottom w:val="nil"/>
              <w:right w:val="single" w:sz="4" w:space="0" w:color="auto"/>
            </w:tcBorders>
          </w:tcPr>
          <w:p w14:paraId="062E3F67" w14:textId="77777777" w:rsidR="006C2B1B" w:rsidRPr="00A33656" w:rsidRDefault="006C2B1B" w:rsidP="009A77B1">
            <w:pPr>
              <w:pStyle w:val="COMtbl-textLeftAligned"/>
              <w:keepNext/>
              <w:rPr>
                <w:szCs w:val="18"/>
              </w:rPr>
            </w:pPr>
            <w:r w:rsidRPr="00A33656">
              <w:rPr>
                <w:szCs w:val="18"/>
              </w:rPr>
              <w:t>Filippatos et al. Finerenone in patients with CKD and T2D with and without heart failure: A prespecified subgroup analysis of the FIDELIO-DKD trial.</w:t>
            </w:r>
          </w:p>
        </w:tc>
        <w:tc>
          <w:tcPr>
            <w:tcW w:w="1663" w:type="pct"/>
            <w:tcBorders>
              <w:top w:val="nil"/>
              <w:left w:val="single" w:sz="4" w:space="0" w:color="auto"/>
              <w:bottom w:val="nil"/>
              <w:right w:val="single" w:sz="4" w:space="0" w:color="auto"/>
            </w:tcBorders>
          </w:tcPr>
          <w:p w14:paraId="3742F5DC" w14:textId="77777777" w:rsidR="006C2B1B" w:rsidRPr="00C623FC" w:rsidRDefault="006C2B1B" w:rsidP="009A77B1">
            <w:pPr>
              <w:pStyle w:val="COMtbl-textLeftAligned"/>
              <w:keepNext/>
              <w:rPr>
                <w:i/>
                <w:iCs/>
                <w:szCs w:val="18"/>
              </w:rPr>
            </w:pPr>
            <w:r w:rsidRPr="00C623FC">
              <w:rPr>
                <w:i/>
                <w:iCs/>
                <w:szCs w:val="18"/>
              </w:rPr>
              <w:t>European Journal of Heart Failure</w:t>
            </w:r>
            <w:r>
              <w:rPr>
                <w:szCs w:val="18"/>
              </w:rPr>
              <w:t>. 2022, 24(6):996-1005.</w:t>
            </w:r>
            <w:r w:rsidRPr="00C623FC">
              <w:rPr>
                <w:i/>
                <w:iCs/>
                <w:szCs w:val="18"/>
              </w:rPr>
              <w:t xml:space="preserve"> </w:t>
            </w:r>
          </w:p>
        </w:tc>
      </w:tr>
      <w:tr w:rsidR="006C2B1B" w:rsidRPr="00C623FC" w14:paraId="5FE6A807" w14:textId="77777777" w:rsidTr="004D406C">
        <w:trPr>
          <w:cantSplit/>
        </w:trPr>
        <w:tc>
          <w:tcPr>
            <w:tcW w:w="851" w:type="pct"/>
            <w:vMerge/>
            <w:tcBorders>
              <w:left w:val="single" w:sz="4" w:space="0" w:color="auto"/>
              <w:right w:val="single" w:sz="4" w:space="0" w:color="auto"/>
            </w:tcBorders>
            <w:vAlign w:val="center"/>
          </w:tcPr>
          <w:p w14:paraId="64CCBA12" w14:textId="77777777" w:rsidR="006C2B1B" w:rsidRPr="00C623FC" w:rsidRDefault="006C2B1B" w:rsidP="009A77B1">
            <w:pPr>
              <w:pStyle w:val="COMtbl-textLeftAligned"/>
              <w:keepNext/>
            </w:pPr>
          </w:p>
        </w:tc>
        <w:tc>
          <w:tcPr>
            <w:tcW w:w="2486" w:type="pct"/>
            <w:tcBorders>
              <w:top w:val="nil"/>
              <w:left w:val="single" w:sz="4" w:space="0" w:color="auto"/>
              <w:bottom w:val="nil"/>
              <w:right w:val="single" w:sz="4" w:space="0" w:color="auto"/>
            </w:tcBorders>
          </w:tcPr>
          <w:p w14:paraId="1D0B35AF" w14:textId="77777777" w:rsidR="006C2B1B" w:rsidRPr="00A33656" w:rsidRDefault="006C2B1B" w:rsidP="009A77B1">
            <w:pPr>
              <w:pStyle w:val="COMtbl-textLeftAligned"/>
              <w:keepNext/>
              <w:rPr>
                <w:szCs w:val="18"/>
              </w:rPr>
            </w:pPr>
            <w:r w:rsidRPr="00A33656">
              <w:rPr>
                <w:szCs w:val="18"/>
              </w:rPr>
              <w:t>Rossing et al. Finerenone in Patients With Chronic Kidney Disease and Type 2 Diabetes According to Baseline HbA1c and Insulin Use: An Analysis From the FIDELIO-DKD Study.</w:t>
            </w:r>
          </w:p>
        </w:tc>
        <w:tc>
          <w:tcPr>
            <w:tcW w:w="1663" w:type="pct"/>
            <w:tcBorders>
              <w:top w:val="nil"/>
              <w:left w:val="single" w:sz="4" w:space="0" w:color="auto"/>
              <w:bottom w:val="nil"/>
              <w:right w:val="single" w:sz="4" w:space="0" w:color="auto"/>
            </w:tcBorders>
          </w:tcPr>
          <w:p w14:paraId="521738B0" w14:textId="77777777" w:rsidR="006C2B1B" w:rsidRPr="00C623FC" w:rsidRDefault="006C2B1B" w:rsidP="009A77B1">
            <w:pPr>
              <w:pStyle w:val="COMtbl-textLeftAligned"/>
              <w:keepNext/>
              <w:rPr>
                <w:i/>
                <w:iCs/>
                <w:szCs w:val="18"/>
              </w:rPr>
            </w:pPr>
            <w:r w:rsidRPr="00C623FC">
              <w:rPr>
                <w:i/>
                <w:iCs/>
                <w:szCs w:val="18"/>
              </w:rPr>
              <w:t>Diabetes Care</w:t>
            </w:r>
            <w:r>
              <w:rPr>
                <w:i/>
                <w:iCs/>
                <w:szCs w:val="18"/>
              </w:rPr>
              <w:t xml:space="preserve">. </w:t>
            </w:r>
            <w:r w:rsidRPr="00A1785B">
              <w:rPr>
                <w:szCs w:val="18"/>
              </w:rPr>
              <w:t>2022, 45(12):</w:t>
            </w:r>
            <w:r>
              <w:rPr>
                <w:szCs w:val="18"/>
              </w:rPr>
              <w:t>888-897.</w:t>
            </w:r>
          </w:p>
        </w:tc>
      </w:tr>
      <w:tr w:rsidR="006C2B1B" w:rsidRPr="00C623FC" w14:paraId="25323FD5" w14:textId="77777777" w:rsidTr="004D406C">
        <w:trPr>
          <w:cantSplit/>
        </w:trPr>
        <w:tc>
          <w:tcPr>
            <w:tcW w:w="851" w:type="pct"/>
            <w:vMerge/>
            <w:tcBorders>
              <w:left w:val="single" w:sz="4" w:space="0" w:color="auto"/>
              <w:right w:val="single" w:sz="4" w:space="0" w:color="auto"/>
            </w:tcBorders>
            <w:vAlign w:val="center"/>
          </w:tcPr>
          <w:p w14:paraId="2EC90A8E" w14:textId="77777777" w:rsidR="006C2B1B" w:rsidRPr="00C623FC" w:rsidRDefault="006C2B1B" w:rsidP="009A77B1">
            <w:pPr>
              <w:pStyle w:val="COMtbl-textLeftAligned"/>
              <w:keepNext/>
            </w:pPr>
          </w:p>
        </w:tc>
        <w:tc>
          <w:tcPr>
            <w:tcW w:w="2486" w:type="pct"/>
            <w:tcBorders>
              <w:top w:val="nil"/>
              <w:left w:val="single" w:sz="4" w:space="0" w:color="auto"/>
              <w:bottom w:val="single" w:sz="4" w:space="0" w:color="auto"/>
              <w:right w:val="single" w:sz="4" w:space="0" w:color="auto"/>
            </w:tcBorders>
          </w:tcPr>
          <w:p w14:paraId="71A6C6A5" w14:textId="77777777" w:rsidR="006C2B1B" w:rsidRPr="00A33656" w:rsidRDefault="006C2B1B" w:rsidP="009A77B1">
            <w:pPr>
              <w:pStyle w:val="COMtbl-textLeftAligned"/>
              <w:keepNext/>
              <w:rPr>
                <w:szCs w:val="18"/>
              </w:rPr>
            </w:pPr>
            <w:r w:rsidRPr="00A33656">
              <w:rPr>
                <w:szCs w:val="18"/>
              </w:rPr>
              <w:t>Rossing et al. Efficacy and safety of finerenone in patients with chronic kidney disease and type 2 diabetes by GLP1RA treatment: A subgroup analysis from the FIDELIO-DKD trial.</w:t>
            </w:r>
          </w:p>
        </w:tc>
        <w:tc>
          <w:tcPr>
            <w:tcW w:w="1663" w:type="pct"/>
            <w:tcBorders>
              <w:top w:val="nil"/>
              <w:left w:val="single" w:sz="4" w:space="0" w:color="auto"/>
              <w:bottom w:val="single" w:sz="4" w:space="0" w:color="auto"/>
              <w:right w:val="single" w:sz="4" w:space="0" w:color="auto"/>
            </w:tcBorders>
          </w:tcPr>
          <w:p w14:paraId="261F98B6" w14:textId="77777777" w:rsidR="006C2B1B" w:rsidRPr="00C623FC" w:rsidRDefault="006C2B1B" w:rsidP="009A77B1">
            <w:pPr>
              <w:pStyle w:val="COMtbl-textLeftAligned"/>
              <w:keepNext/>
              <w:rPr>
                <w:i/>
                <w:iCs/>
                <w:szCs w:val="18"/>
              </w:rPr>
            </w:pPr>
            <w:r w:rsidRPr="00C623FC">
              <w:rPr>
                <w:i/>
                <w:iCs/>
                <w:szCs w:val="18"/>
              </w:rPr>
              <w:t>Diabetes, Obesity &amp; Metabolism</w:t>
            </w:r>
            <w:r>
              <w:rPr>
                <w:i/>
                <w:iCs/>
                <w:szCs w:val="18"/>
              </w:rPr>
              <w:t xml:space="preserve">. </w:t>
            </w:r>
            <w:r w:rsidRPr="008E48EC">
              <w:rPr>
                <w:szCs w:val="18"/>
              </w:rPr>
              <w:t>2022b, (24):125-134</w:t>
            </w:r>
            <w:r>
              <w:rPr>
                <w:szCs w:val="18"/>
              </w:rPr>
              <w:t>.</w:t>
            </w:r>
          </w:p>
        </w:tc>
      </w:tr>
      <w:tr w:rsidR="006C2B1B" w:rsidRPr="00C623FC" w14:paraId="5AA2CBE6" w14:textId="77777777" w:rsidTr="004D406C">
        <w:trPr>
          <w:cantSplit/>
        </w:trPr>
        <w:tc>
          <w:tcPr>
            <w:tcW w:w="851" w:type="pct"/>
            <w:vMerge w:val="restart"/>
            <w:tcBorders>
              <w:left w:val="single" w:sz="4" w:space="0" w:color="auto"/>
              <w:right w:val="single" w:sz="4" w:space="0" w:color="auto"/>
            </w:tcBorders>
            <w:vAlign w:val="center"/>
          </w:tcPr>
          <w:p w14:paraId="13C78D52" w14:textId="77777777" w:rsidR="006C2B1B" w:rsidRPr="00C623FC" w:rsidRDefault="006C2B1B" w:rsidP="009A77B1">
            <w:pPr>
              <w:pStyle w:val="COMtbl-textLeftAligned"/>
              <w:keepNext/>
            </w:pPr>
            <w:r w:rsidRPr="00C623FC">
              <w:t>FIGARO-DKD</w:t>
            </w:r>
          </w:p>
        </w:tc>
        <w:tc>
          <w:tcPr>
            <w:tcW w:w="2486" w:type="pct"/>
            <w:tcBorders>
              <w:top w:val="single" w:sz="4" w:space="0" w:color="auto"/>
              <w:left w:val="single" w:sz="4" w:space="0" w:color="auto"/>
              <w:bottom w:val="nil"/>
              <w:right w:val="single" w:sz="4" w:space="0" w:color="auto"/>
            </w:tcBorders>
          </w:tcPr>
          <w:p w14:paraId="69854C71" w14:textId="77777777" w:rsidR="006C2B1B" w:rsidRPr="00A97669" w:rsidRDefault="006C2B1B" w:rsidP="009A77B1">
            <w:pPr>
              <w:pStyle w:val="COMtbl-textLeftAligned"/>
              <w:keepNext/>
              <w:rPr>
                <w:szCs w:val="18"/>
              </w:rPr>
            </w:pPr>
            <w:r w:rsidRPr="00A97669">
              <w:rPr>
                <w:szCs w:val="18"/>
              </w:rPr>
              <w:t>Efficacy and safety of finerenone in subjects with type 2 diabetes mellitus and the clinical diagnosis of diabetic kidney disease</w:t>
            </w:r>
            <w:r>
              <w:rPr>
                <w:szCs w:val="18"/>
              </w:rPr>
              <w:t>.</w:t>
            </w:r>
          </w:p>
        </w:tc>
        <w:tc>
          <w:tcPr>
            <w:tcW w:w="1663" w:type="pct"/>
            <w:tcBorders>
              <w:top w:val="single" w:sz="4" w:space="0" w:color="auto"/>
              <w:left w:val="single" w:sz="4" w:space="0" w:color="auto"/>
              <w:bottom w:val="nil"/>
              <w:right w:val="single" w:sz="4" w:space="0" w:color="auto"/>
            </w:tcBorders>
          </w:tcPr>
          <w:p w14:paraId="39D27A18" w14:textId="77777777" w:rsidR="006C2B1B" w:rsidRPr="00C623FC" w:rsidRDefault="006C2B1B" w:rsidP="009A77B1">
            <w:pPr>
              <w:pStyle w:val="COMtbl-textLeftAligned"/>
              <w:keepNext/>
              <w:rPr>
                <w:szCs w:val="18"/>
              </w:rPr>
            </w:pPr>
            <w:r w:rsidRPr="00C623FC">
              <w:t>Internal study report</w:t>
            </w:r>
            <w:r>
              <w:t>: 2021.</w:t>
            </w:r>
          </w:p>
        </w:tc>
      </w:tr>
      <w:tr w:rsidR="006C2B1B" w:rsidRPr="00C623FC" w14:paraId="673EC29A" w14:textId="77777777" w:rsidTr="004D406C">
        <w:trPr>
          <w:cantSplit/>
        </w:trPr>
        <w:tc>
          <w:tcPr>
            <w:tcW w:w="851" w:type="pct"/>
            <w:vMerge/>
            <w:tcBorders>
              <w:left w:val="single" w:sz="4" w:space="0" w:color="auto"/>
              <w:right w:val="single" w:sz="4" w:space="0" w:color="auto"/>
            </w:tcBorders>
            <w:vAlign w:val="center"/>
          </w:tcPr>
          <w:p w14:paraId="327526F3" w14:textId="77777777" w:rsidR="006C2B1B" w:rsidRPr="00C623FC" w:rsidRDefault="006C2B1B" w:rsidP="009A77B1">
            <w:pPr>
              <w:pStyle w:val="COMtbl-textLeftAligned"/>
              <w:keepNext/>
            </w:pPr>
          </w:p>
        </w:tc>
        <w:tc>
          <w:tcPr>
            <w:tcW w:w="2486" w:type="pct"/>
            <w:tcBorders>
              <w:top w:val="nil"/>
              <w:left w:val="single" w:sz="4" w:space="0" w:color="auto"/>
              <w:bottom w:val="nil"/>
              <w:right w:val="single" w:sz="4" w:space="0" w:color="auto"/>
            </w:tcBorders>
          </w:tcPr>
          <w:p w14:paraId="5363FD6F" w14:textId="77777777" w:rsidR="006C2B1B" w:rsidRPr="00C623FC" w:rsidRDefault="006C2B1B" w:rsidP="009A77B1">
            <w:pPr>
              <w:pStyle w:val="COMtbl-textLeftAligned"/>
              <w:keepNext/>
              <w:rPr>
                <w:szCs w:val="18"/>
              </w:rPr>
            </w:pPr>
            <w:r w:rsidRPr="00C623FC">
              <w:rPr>
                <w:szCs w:val="18"/>
              </w:rPr>
              <w:t>Ruilope et al</w:t>
            </w:r>
            <w:r>
              <w:rPr>
                <w:szCs w:val="18"/>
              </w:rPr>
              <w:t xml:space="preserve">. </w:t>
            </w:r>
            <w:r w:rsidRPr="00C623FC">
              <w:rPr>
                <w:szCs w:val="18"/>
              </w:rPr>
              <w:t xml:space="preserve">Design and baseline characteristics of the finerenone in reducing cardiovascular mortality and morbidity in diabetic kidney disease trial. </w:t>
            </w:r>
          </w:p>
        </w:tc>
        <w:tc>
          <w:tcPr>
            <w:tcW w:w="1663" w:type="pct"/>
            <w:tcBorders>
              <w:top w:val="nil"/>
              <w:left w:val="single" w:sz="4" w:space="0" w:color="auto"/>
              <w:bottom w:val="nil"/>
              <w:right w:val="single" w:sz="4" w:space="0" w:color="auto"/>
            </w:tcBorders>
          </w:tcPr>
          <w:p w14:paraId="3DFE7E44" w14:textId="14C16FAF" w:rsidR="006C2B1B" w:rsidRPr="00C623FC" w:rsidRDefault="006C2B1B" w:rsidP="009A77B1">
            <w:pPr>
              <w:pStyle w:val="COMtbl-textLeftAligned"/>
              <w:keepNext/>
            </w:pPr>
            <w:r w:rsidRPr="00760CBB">
              <w:rPr>
                <w:i/>
                <w:iCs/>
                <w:szCs w:val="18"/>
              </w:rPr>
              <w:t>American Journal of Nephrology</w:t>
            </w:r>
            <w:r>
              <w:rPr>
                <w:szCs w:val="18"/>
              </w:rPr>
              <w:t xml:space="preserve">. 2019, </w:t>
            </w:r>
            <w:r w:rsidRPr="00C623FC">
              <w:rPr>
                <w:szCs w:val="18"/>
              </w:rPr>
              <w:br/>
              <w:t>50:345-356.</w:t>
            </w:r>
          </w:p>
        </w:tc>
      </w:tr>
      <w:tr w:rsidR="006C2B1B" w:rsidRPr="00C623FC" w14:paraId="3E8AE27E" w14:textId="77777777" w:rsidTr="004D406C">
        <w:trPr>
          <w:cantSplit/>
        </w:trPr>
        <w:tc>
          <w:tcPr>
            <w:tcW w:w="851" w:type="pct"/>
            <w:vMerge/>
            <w:tcBorders>
              <w:left w:val="single" w:sz="4" w:space="0" w:color="auto"/>
              <w:right w:val="single" w:sz="4" w:space="0" w:color="auto"/>
            </w:tcBorders>
            <w:vAlign w:val="center"/>
          </w:tcPr>
          <w:p w14:paraId="6DBC8E38" w14:textId="77777777" w:rsidR="006C2B1B" w:rsidRPr="00C623FC" w:rsidRDefault="006C2B1B" w:rsidP="009A77B1">
            <w:pPr>
              <w:pStyle w:val="COMtbl-textLeftAligned"/>
              <w:keepNext/>
            </w:pPr>
          </w:p>
        </w:tc>
        <w:tc>
          <w:tcPr>
            <w:tcW w:w="2486" w:type="pct"/>
            <w:tcBorders>
              <w:top w:val="nil"/>
              <w:left w:val="single" w:sz="4" w:space="0" w:color="auto"/>
              <w:bottom w:val="nil"/>
              <w:right w:val="single" w:sz="4" w:space="0" w:color="auto"/>
            </w:tcBorders>
          </w:tcPr>
          <w:p w14:paraId="75A8F958" w14:textId="77777777" w:rsidR="006C2B1B" w:rsidRPr="00A33656" w:rsidRDefault="006C2B1B" w:rsidP="009A77B1">
            <w:pPr>
              <w:pStyle w:val="COMtbl-textLeftAligned"/>
              <w:keepNext/>
              <w:rPr>
                <w:szCs w:val="18"/>
              </w:rPr>
            </w:pPr>
            <w:r w:rsidRPr="00A33656">
              <w:rPr>
                <w:szCs w:val="18"/>
              </w:rPr>
              <w:t>Pitt et al. Cardiovascular events with finerenone in kidney disease and Type 2 diabetes.</w:t>
            </w:r>
          </w:p>
        </w:tc>
        <w:tc>
          <w:tcPr>
            <w:tcW w:w="1663" w:type="pct"/>
            <w:tcBorders>
              <w:top w:val="nil"/>
              <w:left w:val="single" w:sz="4" w:space="0" w:color="auto"/>
              <w:bottom w:val="nil"/>
              <w:right w:val="single" w:sz="4" w:space="0" w:color="auto"/>
            </w:tcBorders>
          </w:tcPr>
          <w:p w14:paraId="6E72A0AC" w14:textId="77777777" w:rsidR="006C2B1B" w:rsidRPr="00C623FC" w:rsidRDefault="006C2B1B" w:rsidP="009A77B1">
            <w:pPr>
              <w:pStyle w:val="COMtbl-textLeftAligned"/>
              <w:keepNext/>
              <w:rPr>
                <w:i/>
                <w:iCs/>
                <w:szCs w:val="18"/>
              </w:rPr>
            </w:pPr>
            <w:r w:rsidRPr="00C623FC">
              <w:rPr>
                <w:i/>
                <w:iCs/>
                <w:szCs w:val="18"/>
              </w:rPr>
              <w:t>New England Journal of Medicine</w:t>
            </w:r>
            <w:r>
              <w:rPr>
                <w:i/>
                <w:iCs/>
                <w:szCs w:val="18"/>
              </w:rPr>
              <w:t xml:space="preserve">. </w:t>
            </w:r>
            <w:r>
              <w:rPr>
                <w:szCs w:val="18"/>
              </w:rPr>
              <w:t xml:space="preserve">2021, </w:t>
            </w:r>
            <w:r w:rsidRPr="006D2934">
              <w:rPr>
                <w:szCs w:val="18"/>
              </w:rPr>
              <w:t>385:2252</w:t>
            </w:r>
            <w:r w:rsidRPr="006D2934">
              <w:rPr>
                <w:rFonts w:ascii="Cambria Math" w:hAnsi="Cambria Math" w:cs="Cambria Math"/>
                <w:szCs w:val="18"/>
              </w:rPr>
              <w:t>‐</w:t>
            </w:r>
            <w:r w:rsidRPr="006D2934">
              <w:rPr>
                <w:szCs w:val="18"/>
              </w:rPr>
              <w:t>2263.</w:t>
            </w:r>
          </w:p>
        </w:tc>
      </w:tr>
      <w:tr w:rsidR="006C2B1B" w:rsidRPr="00C623FC" w14:paraId="50AE67BD" w14:textId="77777777" w:rsidTr="004D406C">
        <w:trPr>
          <w:cantSplit/>
        </w:trPr>
        <w:tc>
          <w:tcPr>
            <w:tcW w:w="851" w:type="pct"/>
            <w:vMerge/>
            <w:tcBorders>
              <w:left w:val="single" w:sz="4" w:space="0" w:color="auto"/>
              <w:right w:val="single" w:sz="4" w:space="0" w:color="auto"/>
            </w:tcBorders>
            <w:vAlign w:val="center"/>
          </w:tcPr>
          <w:p w14:paraId="711FC6ED" w14:textId="77777777" w:rsidR="006C2B1B" w:rsidRPr="00C623FC" w:rsidRDefault="006C2B1B" w:rsidP="009A77B1">
            <w:pPr>
              <w:pStyle w:val="COMtbl-textLeftAligned"/>
              <w:keepNext/>
            </w:pPr>
          </w:p>
        </w:tc>
        <w:tc>
          <w:tcPr>
            <w:tcW w:w="2486" w:type="pct"/>
            <w:tcBorders>
              <w:top w:val="nil"/>
              <w:left w:val="single" w:sz="4" w:space="0" w:color="auto"/>
              <w:bottom w:val="single" w:sz="4" w:space="0" w:color="auto"/>
              <w:right w:val="single" w:sz="4" w:space="0" w:color="auto"/>
            </w:tcBorders>
          </w:tcPr>
          <w:p w14:paraId="6B1F530D" w14:textId="77777777" w:rsidR="006C2B1B" w:rsidRPr="00A33656" w:rsidRDefault="006C2B1B" w:rsidP="009A77B1">
            <w:pPr>
              <w:pStyle w:val="COMtbl-textLeftAligned"/>
              <w:keepNext/>
              <w:rPr>
                <w:szCs w:val="18"/>
              </w:rPr>
            </w:pPr>
            <w:r w:rsidRPr="00A33656">
              <w:rPr>
                <w:szCs w:val="18"/>
              </w:rPr>
              <w:t>Filippatos et al. Finerenone reduces risk of incident heart failure in patients with chronic kidney disease and Type 2 diabetes: analyses from the FIGARO-DKD trial.</w:t>
            </w:r>
          </w:p>
        </w:tc>
        <w:tc>
          <w:tcPr>
            <w:tcW w:w="1663" w:type="pct"/>
            <w:tcBorders>
              <w:top w:val="nil"/>
              <w:left w:val="single" w:sz="4" w:space="0" w:color="auto"/>
              <w:bottom w:val="single" w:sz="4" w:space="0" w:color="auto"/>
              <w:right w:val="single" w:sz="4" w:space="0" w:color="auto"/>
            </w:tcBorders>
          </w:tcPr>
          <w:p w14:paraId="2BC21BBA" w14:textId="77777777" w:rsidR="006C2B1B" w:rsidRPr="00C623FC" w:rsidRDefault="006C2B1B" w:rsidP="009A77B1">
            <w:pPr>
              <w:pStyle w:val="COMtbl-textLeftAligned"/>
              <w:keepNext/>
              <w:rPr>
                <w:i/>
                <w:iCs/>
                <w:szCs w:val="18"/>
              </w:rPr>
            </w:pPr>
            <w:r w:rsidRPr="00C623FC">
              <w:rPr>
                <w:i/>
                <w:iCs/>
                <w:szCs w:val="18"/>
              </w:rPr>
              <w:t>Circulation</w:t>
            </w:r>
            <w:r>
              <w:rPr>
                <w:i/>
                <w:iCs/>
                <w:szCs w:val="18"/>
              </w:rPr>
              <w:t xml:space="preserve">. </w:t>
            </w:r>
            <w:r>
              <w:rPr>
                <w:szCs w:val="18"/>
              </w:rPr>
              <w:t xml:space="preserve">2022, </w:t>
            </w:r>
            <w:r w:rsidRPr="006D2934">
              <w:rPr>
                <w:szCs w:val="18"/>
              </w:rPr>
              <w:t>145: 437-447</w:t>
            </w:r>
            <w:r w:rsidRPr="00C623FC">
              <w:rPr>
                <w:i/>
                <w:iCs/>
                <w:szCs w:val="18"/>
              </w:rPr>
              <w:t>.</w:t>
            </w:r>
          </w:p>
        </w:tc>
      </w:tr>
      <w:tr w:rsidR="006C2B1B" w:rsidRPr="00C623FC" w14:paraId="07651E8B" w14:textId="77777777" w:rsidTr="004D406C">
        <w:trPr>
          <w:cantSplit/>
        </w:trPr>
        <w:tc>
          <w:tcPr>
            <w:tcW w:w="851" w:type="pct"/>
            <w:vMerge w:val="restart"/>
            <w:tcBorders>
              <w:left w:val="single" w:sz="4" w:space="0" w:color="auto"/>
              <w:right w:val="single" w:sz="4" w:space="0" w:color="auto"/>
            </w:tcBorders>
            <w:vAlign w:val="center"/>
          </w:tcPr>
          <w:p w14:paraId="4DCEAE34" w14:textId="77777777" w:rsidR="006C2B1B" w:rsidRPr="00C623FC" w:rsidRDefault="006C2B1B" w:rsidP="009A77B1">
            <w:pPr>
              <w:pStyle w:val="COMtbl-textLeftAligned"/>
              <w:keepNext/>
            </w:pPr>
            <w:r w:rsidRPr="00C623FC">
              <w:t>FIDELITY</w:t>
            </w:r>
          </w:p>
        </w:tc>
        <w:tc>
          <w:tcPr>
            <w:tcW w:w="2486" w:type="pct"/>
            <w:tcBorders>
              <w:top w:val="single" w:sz="4" w:space="0" w:color="auto"/>
              <w:left w:val="single" w:sz="4" w:space="0" w:color="auto"/>
              <w:bottom w:val="nil"/>
              <w:right w:val="single" w:sz="4" w:space="0" w:color="auto"/>
            </w:tcBorders>
          </w:tcPr>
          <w:p w14:paraId="0CFDD3FD" w14:textId="77777777" w:rsidR="006C2B1B" w:rsidRPr="00C623FC" w:rsidRDefault="006C2B1B" w:rsidP="009A77B1">
            <w:pPr>
              <w:pStyle w:val="COMtbl-textLeftAligned"/>
              <w:keepNext/>
              <w:rPr>
                <w:szCs w:val="18"/>
              </w:rPr>
            </w:pPr>
            <w:r w:rsidRPr="00C623FC">
              <w:rPr>
                <w:szCs w:val="18"/>
              </w:rPr>
              <w:t>Bayer. Integrated analysis of FIDELIO-DKD and FIGARO-DKD</w:t>
            </w:r>
            <w:r>
              <w:rPr>
                <w:szCs w:val="18"/>
              </w:rPr>
              <w:t>.</w:t>
            </w:r>
          </w:p>
        </w:tc>
        <w:tc>
          <w:tcPr>
            <w:tcW w:w="1663" w:type="pct"/>
            <w:tcBorders>
              <w:top w:val="single" w:sz="4" w:space="0" w:color="auto"/>
              <w:left w:val="single" w:sz="4" w:space="0" w:color="auto"/>
              <w:bottom w:val="nil"/>
              <w:right w:val="single" w:sz="4" w:space="0" w:color="auto"/>
            </w:tcBorders>
          </w:tcPr>
          <w:p w14:paraId="00BA5540" w14:textId="77777777" w:rsidR="006C2B1B" w:rsidRPr="00C623FC" w:rsidRDefault="006C2B1B" w:rsidP="009A77B1">
            <w:pPr>
              <w:pStyle w:val="COMtbl-textLeftAligned"/>
              <w:keepNext/>
              <w:rPr>
                <w:szCs w:val="18"/>
              </w:rPr>
            </w:pPr>
            <w:r w:rsidRPr="00C623FC">
              <w:t>Internal study report</w:t>
            </w:r>
            <w:r>
              <w:t>: 2021.</w:t>
            </w:r>
          </w:p>
        </w:tc>
      </w:tr>
      <w:tr w:rsidR="006C2B1B" w:rsidRPr="00C623FC" w14:paraId="336AB4C2" w14:textId="77777777" w:rsidTr="004D406C">
        <w:trPr>
          <w:cantSplit/>
        </w:trPr>
        <w:tc>
          <w:tcPr>
            <w:tcW w:w="851" w:type="pct"/>
            <w:vMerge/>
            <w:tcBorders>
              <w:left w:val="single" w:sz="4" w:space="0" w:color="auto"/>
              <w:right w:val="single" w:sz="4" w:space="0" w:color="auto"/>
            </w:tcBorders>
            <w:vAlign w:val="center"/>
          </w:tcPr>
          <w:p w14:paraId="4D516701" w14:textId="77777777" w:rsidR="006C2B1B" w:rsidRPr="00C623FC" w:rsidRDefault="006C2B1B" w:rsidP="009A77B1">
            <w:pPr>
              <w:pStyle w:val="COMtbl-textLeftAligned"/>
              <w:keepNext/>
            </w:pPr>
          </w:p>
        </w:tc>
        <w:tc>
          <w:tcPr>
            <w:tcW w:w="2486" w:type="pct"/>
            <w:tcBorders>
              <w:top w:val="nil"/>
              <w:left w:val="single" w:sz="4" w:space="0" w:color="auto"/>
              <w:bottom w:val="nil"/>
              <w:right w:val="single" w:sz="4" w:space="0" w:color="auto"/>
            </w:tcBorders>
          </w:tcPr>
          <w:p w14:paraId="46E972A8" w14:textId="77777777" w:rsidR="006C2B1B" w:rsidRPr="00C623FC" w:rsidRDefault="006C2B1B" w:rsidP="009A77B1">
            <w:pPr>
              <w:pStyle w:val="COMtbl-textLeftAligned"/>
              <w:keepNext/>
              <w:rPr>
                <w:szCs w:val="18"/>
              </w:rPr>
            </w:pPr>
            <w:r w:rsidRPr="00C623FC">
              <w:rPr>
                <w:szCs w:val="18"/>
              </w:rPr>
              <w:t>Agawal et al</w:t>
            </w:r>
            <w:r>
              <w:rPr>
                <w:szCs w:val="18"/>
              </w:rPr>
              <w:t>.</w:t>
            </w:r>
            <w:r w:rsidRPr="00C623FC">
              <w:rPr>
                <w:szCs w:val="18"/>
              </w:rPr>
              <w:t xml:space="preserve"> Cardiovascular and kidney outcomes with finerenone in patients with type 2 diabetes and chronic kidney disease: the FIDELITY pooled analysis</w:t>
            </w:r>
            <w:r>
              <w:rPr>
                <w:szCs w:val="18"/>
              </w:rPr>
              <w:t>.</w:t>
            </w:r>
          </w:p>
        </w:tc>
        <w:tc>
          <w:tcPr>
            <w:tcW w:w="1663" w:type="pct"/>
            <w:tcBorders>
              <w:top w:val="nil"/>
              <w:left w:val="single" w:sz="4" w:space="0" w:color="auto"/>
              <w:bottom w:val="nil"/>
              <w:right w:val="single" w:sz="4" w:space="0" w:color="auto"/>
            </w:tcBorders>
          </w:tcPr>
          <w:p w14:paraId="04E07EBC" w14:textId="77777777" w:rsidR="006C2B1B" w:rsidRPr="00C623FC" w:rsidRDefault="006C2B1B" w:rsidP="009A77B1">
            <w:pPr>
              <w:pStyle w:val="COMtbl-textLeftAligned"/>
              <w:keepNext/>
              <w:rPr>
                <w:i/>
                <w:iCs/>
                <w:szCs w:val="18"/>
              </w:rPr>
            </w:pPr>
            <w:r w:rsidRPr="00297CA4">
              <w:rPr>
                <w:i/>
                <w:iCs/>
                <w:szCs w:val="18"/>
              </w:rPr>
              <w:t>European Heart Journal</w:t>
            </w:r>
            <w:r>
              <w:rPr>
                <w:szCs w:val="18"/>
              </w:rPr>
              <w:t xml:space="preserve">. 2022, </w:t>
            </w:r>
            <w:r w:rsidRPr="00C623FC">
              <w:rPr>
                <w:szCs w:val="18"/>
              </w:rPr>
              <w:t>43: 474-484</w:t>
            </w:r>
            <w:r>
              <w:rPr>
                <w:szCs w:val="18"/>
              </w:rPr>
              <w:t>.</w:t>
            </w:r>
          </w:p>
        </w:tc>
      </w:tr>
      <w:tr w:rsidR="006C2B1B" w:rsidRPr="00C623FC" w14:paraId="5C809125" w14:textId="77777777" w:rsidTr="004D406C">
        <w:trPr>
          <w:cantSplit/>
        </w:trPr>
        <w:tc>
          <w:tcPr>
            <w:tcW w:w="851" w:type="pct"/>
            <w:vMerge/>
            <w:tcBorders>
              <w:left w:val="single" w:sz="4" w:space="0" w:color="auto"/>
              <w:right w:val="single" w:sz="4" w:space="0" w:color="auto"/>
            </w:tcBorders>
            <w:vAlign w:val="center"/>
          </w:tcPr>
          <w:p w14:paraId="1FA554BD" w14:textId="77777777" w:rsidR="006C2B1B" w:rsidRPr="00C623FC" w:rsidRDefault="006C2B1B" w:rsidP="009A77B1">
            <w:pPr>
              <w:pStyle w:val="COMtbl-textLeftAligned"/>
              <w:keepNext/>
            </w:pPr>
          </w:p>
        </w:tc>
        <w:tc>
          <w:tcPr>
            <w:tcW w:w="2486" w:type="pct"/>
            <w:tcBorders>
              <w:top w:val="nil"/>
              <w:left w:val="single" w:sz="4" w:space="0" w:color="auto"/>
              <w:bottom w:val="single" w:sz="4" w:space="0" w:color="auto"/>
              <w:right w:val="single" w:sz="4" w:space="0" w:color="auto"/>
            </w:tcBorders>
          </w:tcPr>
          <w:p w14:paraId="24B09D78" w14:textId="77777777" w:rsidR="006C2B1B" w:rsidRPr="00C623FC" w:rsidRDefault="006C2B1B" w:rsidP="009A77B1">
            <w:pPr>
              <w:pStyle w:val="COMtbl-textLeftAligned"/>
              <w:keepNext/>
              <w:rPr>
                <w:szCs w:val="18"/>
              </w:rPr>
            </w:pPr>
            <w:r w:rsidRPr="00E963D9">
              <w:rPr>
                <w:szCs w:val="18"/>
              </w:rPr>
              <w:t>Rossing et al. Finerenone in Patients With Chronic Kidney Disease and type 2 Diabetes by Sodium-Glucose Cotransporter 2 Inhibitor Treatment: The FIDELITY Analysis.</w:t>
            </w:r>
          </w:p>
        </w:tc>
        <w:tc>
          <w:tcPr>
            <w:tcW w:w="1663" w:type="pct"/>
            <w:tcBorders>
              <w:top w:val="nil"/>
              <w:left w:val="single" w:sz="4" w:space="0" w:color="auto"/>
              <w:bottom w:val="single" w:sz="4" w:space="0" w:color="auto"/>
              <w:right w:val="single" w:sz="4" w:space="0" w:color="auto"/>
            </w:tcBorders>
          </w:tcPr>
          <w:p w14:paraId="2695D106" w14:textId="77777777" w:rsidR="006C2B1B" w:rsidRPr="00297CA4" w:rsidRDefault="006C2B1B" w:rsidP="009A77B1">
            <w:pPr>
              <w:pStyle w:val="COMtbl-textLeftAligned"/>
              <w:keepNext/>
              <w:rPr>
                <w:i/>
                <w:iCs/>
                <w:szCs w:val="18"/>
              </w:rPr>
            </w:pPr>
            <w:r w:rsidRPr="00C623FC">
              <w:rPr>
                <w:i/>
                <w:iCs/>
                <w:szCs w:val="18"/>
              </w:rPr>
              <w:t>Diabetes Care</w:t>
            </w:r>
            <w:r>
              <w:rPr>
                <w:i/>
                <w:iCs/>
                <w:szCs w:val="18"/>
              </w:rPr>
              <w:t xml:space="preserve">. </w:t>
            </w:r>
            <w:r w:rsidRPr="00A1785B">
              <w:rPr>
                <w:szCs w:val="18"/>
              </w:rPr>
              <w:t>2022, 45(12):</w:t>
            </w:r>
            <w:r>
              <w:rPr>
                <w:szCs w:val="18"/>
              </w:rPr>
              <w:t>2991-2998.</w:t>
            </w:r>
          </w:p>
        </w:tc>
      </w:tr>
    </w:tbl>
    <w:p w14:paraId="4B4D1A99" w14:textId="77777777" w:rsidR="006C2B1B" w:rsidRPr="00C623FC" w:rsidRDefault="006C2B1B" w:rsidP="009A77B1">
      <w:pPr>
        <w:pStyle w:val="TableFooter"/>
        <w:keepNext/>
      </w:pPr>
      <w:r w:rsidRPr="00C623FC">
        <w:t xml:space="preserve">Source: Table </w:t>
      </w:r>
      <w:r>
        <w:t>26, p33-35 of the resubmission; Section 2.2.1, p31-32 of the resubmission.</w:t>
      </w:r>
    </w:p>
    <w:p w14:paraId="68023779" w14:textId="77777777" w:rsidR="006C2B1B" w:rsidRPr="00C623FC" w:rsidRDefault="006C2B1B" w:rsidP="006C2B1B">
      <w:pPr>
        <w:pStyle w:val="TableFooter"/>
        <w:rPr>
          <w:sz w:val="20"/>
        </w:rPr>
      </w:pPr>
      <w:r w:rsidRPr="00C623FC">
        <w:t xml:space="preserve">Note: </w:t>
      </w:r>
      <w:r w:rsidRPr="00CD0A14">
        <w:t>Abstracts of studies with full publications are not presented</w:t>
      </w:r>
      <w:r>
        <w:t>.</w:t>
      </w:r>
    </w:p>
    <w:p w14:paraId="1DD06D7D" w14:textId="1C87F914" w:rsidR="007F1017" w:rsidRPr="00EC5836" w:rsidRDefault="008F120A" w:rsidP="00EC5836">
      <w:pPr>
        <w:pStyle w:val="COMexecsumnumberedpara"/>
        <w:rPr>
          <w:color w:val="0066FF"/>
        </w:rPr>
      </w:pPr>
      <w:r w:rsidRPr="00B50DB8">
        <w:t xml:space="preserve">The key features of the </w:t>
      </w:r>
      <w:r w:rsidR="006C2B1B">
        <w:t>included</w:t>
      </w:r>
      <w:r w:rsidRPr="00B50DB8">
        <w:t xml:space="preserve"> trial</w:t>
      </w:r>
      <w:r w:rsidR="006C2B1B">
        <w:t>s</w:t>
      </w:r>
      <w:r w:rsidRPr="00B50DB8">
        <w:t xml:space="preserve"> are summarised in</w:t>
      </w:r>
      <w:r w:rsidR="00D6076E">
        <w:t xml:space="preserve"> </w:t>
      </w:r>
      <w:r w:rsidR="00D6076E">
        <w:fldChar w:fldCharType="begin"/>
      </w:r>
      <w:r w:rsidR="00D6076E">
        <w:instrText xml:space="preserve"> REF _Ref104804098 \h  \* MERGEFORMAT </w:instrText>
      </w:r>
      <w:r w:rsidR="00D6076E">
        <w:fldChar w:fldCharType="separate"/>
      </w:r>
      <w:r w:rsidR="005562EE" w:rsidRPr="00FD4ED6">
        <w:t xml:space="preserve">Table </w:t>
      </w:r>
      <w:r w:rsidR="005562EE">
        <w:t>4</w:t>
      </w:r>
      <w:r w:rsidR="00D6076E">
        <w:fldChar w:fldCharType="end"/>
      </w:r>
      <w:r w:rsidRPr="00B50DB8">
        <w:t>.</w:t>
      </w:r>
      <w:r w:rsidR="00BC591F">
        <w:t xml:space="preserve"> </w:t>
      </w:r>
    </w:p>
    <w:p w14:paraId="355E2F15" w14:textId="1BA01C58" w:rsidR="007F1017" w:rsidRDefault="00696EF9" w:rsidP="00FD4ED6">
      <w:pPr>
        <w:pStyle w:val="COMtablefigcaption"/>
      </w:pPr>
      <w:bookmarkStart w:id="13" w:name="_Ref104804098"/>
      <w:r w:rsidRPr="00FD4ED6">
        <w:t xml:space="preserve">Table </w:t>
      </w:r>
      <w:r w:rsidR="005562EE">
        <w:fldChar w:fldCharType="begin"/>
      </w:r>
      <w:r w:rsidR="005562EE">
        <w:instrText xml:space="preserve"> SEQ Table \* ARABIC </w:instrText>
      </w:r>
      <w:r w:rsidR="005562EE">
        <w:fldChar w:fldCharType="separate"/>
      </w:r>
      <w:r w:rsidR="005562EE">
        <w:rPr>
          <w:noProof/>
        </w:rPr>
        <w:t>4</w:t>
      </w:r>
      <w:r w:rsidR="005562EE">
        <w:rPr>
          <w:noProof/>
        </w:rPr>
        <w:fldChar w:fldCharType="end"/>
      </w:r>
      <w:bookmarkEnd w:id="13"/>
      <w:r w:rsidR="00D6076E" w:rsidRPr="00FD4ED6">
        <w:t xml:space="preserve">: </w:t>
      </w:r>
      <w:r w:rsidR="007F1017" w:rsidRPr="00FD4ED6">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5"/>
        <w:gridCol w:w="564"/>
        <w:gridCol w:w="1693"/>
        <w:gridCol w:w="705"/>
        <w:gridCol w:w="1701"/>
        <w:gridCol w:w="1919"/>
        <w:gridCol w:w="1170"/>
      </w:tblGrid>
      <w:tr w:rsidR="004A1C59" w:rsidRPr="00C623FC" w14:paraId="78F8B29A" w14:textId="77777777" w:rsidTr="008C72AB">
        <w:trPr>
          <w:cantSplit/>
          <w:tblHeader/>
        </w:trPr>
        <w:tc>
          <w:tcPr>
            <w:tcW w:w="701" w:type="pct"/>
            <w:shd w:val="clear" w:color="auto" w:fill="auto"/>
            <w:vAlign w:val="center"/>
          </w:tcPr>
          <w:p w14:paraId="0BF0D528" w14:textId="77777777" w:rsidR="004A1C59" w:rsidRPr="00C623FC" w:rsidRDefault="004A1C59" w:rsidP="004D406C">
            <w:pPr>
              <w:pStyle w:val="Tableheadingrow"/>
              <w:rPr>
                <w:lang w:val="en-AU"/>
              </w:rPr>
            </w:pPr>
            <w:r w:rsidRPr="00C623FC">
              <w:rPr>
                <w:lang w:val="en-AU"/>
              </w:rPr>
              <w:t>Trial</w:t>
            </w:r>
          </w:p>
        </w:tc>
        <w:tc>
          <w:tcPr>
            <w:tcW w:w="312" w:type="pct"/>
            <w:shd w:val="clear" w:color="auto" w:fill="auto"/>
            <w:vAlign w:val="center"/>
          </w:tcPr>
          <w:p w14:paraId="312E0AD7" w14:textId="77777777" w:rsidR="004A1C59" w:rsidRPr="00C623FC" w:rsidRDefault="004A1C59" w:rsidP="004D406C">
            <w:pPr>
              <w:pStyle w:val="Tableheadingrow"/>
              <w:jc w:val="center"/>
              <w:rPr>
                <w:lang w:val="en-AU"/>
              </w:rPr>
            </w:pPr>
            <w:r w:rsidRPr="00C623FC">
              <w:rPr>
                <w:lang w:val="en-AU"/>
              </w:rPr>
              <w:t>N</w:t>
            </w:r>
          </w:p>
        </w:tc>
        <w:tc>
          <w:tcPr>
            <w:tcW w:w="939" w:type="pct"/>
            <w:shd w:val="clear" w:color="auto" w:fill="auto"/>
            <w:vAlign w:val="center"/>
          </w:tcPr>
          <w:p w14:paraId="4E62B37F" w14:textId="77777777" w:rsidR="004A1C59" w:rsidRPr="00C623FC" w:rsidRDefault="004A1C59" w:rsidP="004D406C">
            <w:pPr>
              <w:pStyle w:val="Tableheadingrow"/>
              <w:jc w:val="center"/>
              <w:rPr>
                <w:lang w:val="en-AU"/>
              </w:rPr>
            </w:pPr>
            <w:r w:rsidRPr="00C623FC">
              <w:rPr>
                <w:lang w:val="en-AU"/>
              </w:rPr>
              <w:t>Design/ duration</w:t>
            </w:r>
          </w:p>
        </w:tc>
        <w:tc>
          <w:tcPr>
            <w:tcW w:w="391" w:type="pct"/>
            <w:shd w:val="clear" w:color="auto" w:fill="auto"/>
            <w:vAlign w:val="center"/>
          </w:tcPr>
          <w:p w14:paraId="3B8CDD5D" w14:textId="77777777" w:rsidR="004A1C59" w:rsidRPr="00C623FC" w:rsidRDefault="004A1C59" w:rsidP="004D406C">
            <w:pPr>
              <w:pStyle w:val="Tableheadingrow"/>
              <w:jc w:val="center"/>
              <w:rPr>
                <w:lang w:val="en-AU"/>
              </w:rPr>
            </w:pPr>
            <w:r w:rsidRPr="00C623FC">
              <w:rPr>
                <w:lang w:val="en-AU"/>
              </w:rPr>
              <w:t>Risk of bias</w:t>
            </w:r>
          </w:p>
        </w:tc>
        <w:tc>
          <w:tcPr>
            <w:tcW w:w="943" w:type="pct"/>
            <w:shd w:val="clear" w:color="auto" w:fill="auto"/>
            <w:vAlign w:val="center"/>
          </w:tcPr>
          <w:p w14:paraId="2615048A" w14:textId="77777777" w:rsidR="004A1C59" w:rsidRPr="00C623FC" w:rsidRDefault="004A1C59" w:rsidP="004D406C">
            <w:pPr>
              <w:pStyle w:val="Tableheadingrow"/>
              <w:jc w:val="center"/>
              <w:rPr>
                <w:lang w:val="en-AU"/>
              </w:rPr>
            </w:pPr>
            <w:r w:rsidRPr="00C623FC">
              <w:rPr>
                <w:lang w:val="en-AU"/>
              </w:rPr>
              <w:t>Patient population</w:t>
            </w:r>
          </w:p>
        </w:tc>
        <w:tc>
          <w:tcPr>
            <w:tcW w:w="1064" w:type="pct"/>
            <w:shd w:val="clear" w:color="auto" w:fill="auto"/>
            <w:vAlign w:val="center"/>
          </w:tcPr>
          <w:p w14:paraId="0F5BEE1D" w14:textId="77777777" w:rsidR="004A1C59" w:rsidRPr="00C623FC" w:rsidRDefault="004A1C59" w:rsidP="004D406C">
            <w:pPr>
              <w:pStyle w:val="Tableheadingrow"/>
              <w:jc w:val="center"/>
              <w:rPr>
                <w:lang w:val="en-AU"/>
              </w:rPr>
            </w:pPr>
            <w:r w:rsidRPr="00C623FC">
              <w:rPr>
                <w:lang w:val="en-AU"/>
              </w:rPr>
              <w:t>Outcomes</w:t>
            </w:r>
          </w:p>
        </w:tc>
        <w:tc>
          <w:tcPr>
            <w:tcW w:w="649" w:type="pct"/>
            <w:shd w:val="clear" w:color="auto" w:fill="auto"/>
            <w:vAlign w:val="center"/>
          </w:tcPr>
          <w:p w14:paraId="54CA890E" w14:textId="77777777" w:rsidR="004A1C59" w:rsidRPr="00C623FC" w:rsidRDefault="004A1C59" w:rsidP="004D406C">
            <w:pPr>
              <w:pStyle w:val="Tableheadingrow"/>
              <w:jc w:val="center"/>
              <w:rPr>
                <w:lang w:val="en-AU"/>
              </w:rPr>
            </w:pPr>
            <w:r w:rsidRPr="00C623FC">
              <w:rPr>
                <w:lang w:val="en-AU"/>
              </w:rPr>
              <w:t>Use in modelled evaluation</w:t>
            </w:r>
          </w:p>
        </w:tc>
      </w:tr>
      <w:tr w:rsidR="004A1C59" w:rsidRPr="00842145" w14:paraId="35295512" w14:textId="77777777" w:rsidTr="008C72AB">
        <w:trPr>
          <w:cantSplit/>
        </w:trPr>
        <w:tc>
          <w:tcPr>
            <w:tcW w:w="701" w:type="pct"/>
            <w:shd w:val="clear" w:color="auto" w:fill="auto"/>
            <w:vAlign w:val="center"/>
          </w:tcPr>
          <w:p w14:paraId="77E8B9F3" w14:textId="77777777" w:rsidR="004A1C59" w:rsidRPr="00842145" w:rsidRDefault="004A1C59" w:rsidP="004D406C">
            <w:pPr>
              <w:pStyle w:val="TableText0"/>
            </w:pPr>
            <w:r w:rsidRPr="00842145">
              <w:t>FIDELIO-DKD</w:t>
            </w:r>
          </w:p>
        </w:tc>
        <w:tc>
          <w:tcPr>
            <w:tcW w:w="312" w:type="pct"/>
            <w:shd w:val="clear" w:color="auto" w:fill="auto"/>
            <w:vAlign w:val="center"/>
          </w:tcPr>
          <w:p w14:paraId="363290CB" w14:textId="77777777" w:rsidR="004A1C59" w:rsidRPr="00842145" w:rsidRDefault="004A1C59" w:rsidP="004D406C">
            <w:pPr>
              <w:pStyle w:val="TableText0"/>
              <w:jc w:val="center"/>
            </w:pPr>
            <w:r w:rsidRPr="00842145">
              <w:t>5,734</w:t>
            </w:r>
          </w:p>
        </w:tc>
        <w:tc>
          <w:tcPr>
            <w:tcW w:w="939" w:type="pct"/>
            <w:shd w:val="clear" w:color="auto" w:fill="auto"/>
            <w:vAlign w:val="center"/>
          </w:tcPr>
          <w:p w14:paraId="4CE99CC7" w14:textId="77777777" w:rsidR="004A1C59" w:rsidRPr="00842145" w:rsidRDefault="004A1C59" w:rsidP="004D406C">
            <w:pPr>
              <w:pStyle w:val="TableText0"/>
              <w:jc w:val="center"/>
            </w:pPr>
            <w:r w:rsidRPr="00842145">
              <w:t>MC, R, DB, PC</w:t>
            </w:r>
          </w:p>
          <w:p w14:paraId="393060C0" w14:textId="77777777" w:rsidR="004A1C59" w:rsidRPr="00842145" w:rsidRDefault="004A1C59" w:rsidP="004D406C">
            <w:pPr>
              <w:pStyle w:val="TableText0"/>
              <w:jc w:val="center"/>
            </w:pPr>
            <w:r w:rsidRPr="00842145">
              <w:t>Event-driven trial</w:t>
            </w:r>
          </w:p>
          <w:p w14:paraId="0FFC7327" w14:textId="77777777" w:rsidR="004A1C59" w:rsidRPr="00842145" w:rsidRDefault="004A1C59" w:rsidP="004D406C">
            <w:pPr>
              <w:pStyle w:val="TableText0"/>
              <w:jc w:val="center"/>
            </w:pPr>
            <w:r w:rsidRPr="00842145">
              <w:t>Mean 32 month duration</w:t>
            </w:r>
          </w:p>
        </w:tc>
        <w:tc>
          <w:tcPr>
            <w:tcW w:w="391" w:type="pct"/>
            <w:shd w:val="clear" w:color="auto" w:fill="auto"/>
            <w:vAlign w:val="center"/>
          </w:tcPr>
          <w:p w14:paraId="62DA6AFE" w14:textId="77777777" w:rsidR="004A1C59" w:rsidRPr="00842145" w:rsidRDefault="004A1C59" w:rsidP="004D406C">
            <w:pPr>
              <w:pStyle w:val="TableText0"/>
              <w:jc w:val="center"/>
            </w:pPr>
            <w:r w:rsidRPr="00842145">
              <w:t>Low</w:t>
            </w:r>
          </w:p>
        </w:tc>
        <w:tc>
          <w:tcPr>
            <w:tcW w:w="943" w:type="pct"/>
            <w:shd w:val="clear" w:color="auto" w:fill="auto"/>
            <w:vAlign w:val="center"/>
          </w:tcPr>
          <w:p w14:paraId="70478B94" w14:textId="77777777" w:rsidR="004A1C59" w:rsidRPr="00842145" w:rsidRDefault="004A1C59" w:rsidP="004D406C">
            <w:pPr>
              <w:pStyle w:val="TableText0"/>
              <w:jc w:val="center"/>
            </w:pPr>
            <w:r w:rsidRPr="00842145">
              <w:t xml:space="preserve">Patients with diabetic kidney disease (predominantly advanced disease) receiving ACEi or ARB monotherapy as part of standard of care </w:t>
            </w:r>
          </w:p>
        </w:tc>
        <w:tc>
          <w:tcPr>
            <w:tcW w:w="1064" w:type="pct"/>
            <w:shd w:val="clear" w:color="auto" w:fill="auto"/>
            <w:vAlign w:val="center"/>
          </w:tcPr>
          <w:p w14:paraId="03C2AFE5" w14:textId="77777777" w:rsidR="004A1C59" w:rsidRPr="00842145" w:rsidRDefault="004A1C59" w:rsidP="004D406C">
            <w:pPr>
              <w:pStyle w:val="TableText0"/>
              <w:jc w:val="center"/>
            </w:pPr>
            <w:r w:rsidRPr="00842145">
              <w:t>Cardiorenal outcomes, biomarkers, quality of life and adverse events</w:t>
            </w:r>
          </w:p>
        </w:tc>
        <w:tc>
          <w:tcPr>
            <w:tcW w:w="649" w:type="pct"/>
            <w:shd w:val="clear" w:color="auto" w:fill="auto"/>
            <w:vAlign w:val="center"/>
          </w:tcPr>
          <w:p w14:paraId="5EE292DF" w14:textId="77777777" w:rsidR="004A1C59" w:rsidRPr="00842145" w:rsidRDefault="004A1C59" w:rsidP="004D406C">
            <w:pPr>
              <w:pStyle w:val="TableText0"/>
              <w:jc w:val="center"/>
            </w:pPr>
            <w:r w:rsidRPr="00842145">
              <w:t xml:space="preserve">Not used </w:t>
            </w:r>
          </w:p>
        </w:tc>
      </w:tr>
      <w:tr w:rsidR="004A1C59" w:rsidRPr="00842145" w14:paraId="4E4FF1A6" w14:textId="77777777" w:rsidTr="008C72AB">
        <w:trPr>
          <w:cantSplit/>
        </w:trPr>
        <w:tc>
          <w:tcPr>
            <w:tcW w:w="701" w:type="pct"/>
            <w:shd w:val="clear" w:color="auto" w:fill="auto"/>
            <w:vAlign w:val="center"/>
          </w:tcPr>
          <w:p w14:paraId="0DB16823" w14:textId="77777777" w:rsidR="004A1C59" w:rsidRPr="00842145" w:rsidRDefault="004A1C59" w:rsidP="004D406C">
            <w:pPr>
              <w:pStyle w:val="TableText0"/>
            </w:pPr>
            <w:r w:rsidRPr="00842145">
              <w:t>FIGARO-DKD</w:t>
            </w:r>
          </w:p>
        </w:tc>
        <w:tc>
          <w:tcPr>
            <w:tcW w:w="312" w:type="pct"/>
            <w:shd w:val="clear" w:color="auto" w:fill="auto"/>
            <w:vAlign w:val="center"/>
          </w:tcPr>
          <w:p w14:paraId="69F4BCF6" w14:textId="77777777" w:rsidR="004A1C59" w:rsidRPr="00842145" w:rsidRDefault="004A1C59" w:rsidP="004D406C">
            <w:pPr>
              <w:pStyle w:val="TableText0"/>
              <w:jc w:val="center"/>
            </w:pPr>
            <w:r w:rsidRPr="00842145">
              <w:t>7,437</w:t>
            </w:r>
          </w:p>
        </w:tc>
        <w:tc>
          <w:tcPr>
            <w:tcW w:w="939" w:type="pct"/>
            <w:shd w:val="clear" w:color="auto" w:fill="auto"/>
            <w:vAlign w:val="center"/>
          </w:tcPr>
          <w:p w14:paraId="6D0216AF" w14:textId="77777777" w:rsidR="004A1C59" w:rsidRPr="00842145" w:rsidRDefault="004A1C59" w:rsidP="004D406C">
            <w:pPr>
              <w:pStyle w:val="TableText0"/>
              <w:jc w:val="center"/>
            </w:pPr>
            <w:r w:rsidRPr="00842145">
              <w:t>MC, R, DB, PC</w:t>
            </w:r>
          </w:p>
          <w:p w14:paraId="042D384E" w14:textId="77777777" w:rsidR="004A1C59" w:rsidRPr="00842145" w:rsidRDefault="004A1C59" w:rsidP="004D406C">
            <w:pPr>
              <w:pStyle w:val="TableText0"/>
              <w:jc w:val="center"/>
            </w:pPr>
            <w:r w:rsidRPr="00842145">
              <w:t>Event-driven trial</w:t>
            </w:r>
          </w:p>
          <w:p w14:paraId="55D5BE35" w14:textId="77777777" w:rsidR="004A1C59" w:rsidRPr="00842145" w:rsidRDefault="004A1C59" w:rsidP="004D406C">
            <w:pPr>
              <w:pStyle w:val="TableText0"/>
              <w:jc w:val="center"/>
            </w:pPr>
            <w:r w:rsidRPr="00842145">
              <w:t>Mean 40 month duration</w:t>
            </w:r>
          </w:p>
        </w:tc>
        <w:tc>
          <w:tcPr>
            <w:tcW w:w="391" w:type="pct"/>
            <w:shd w:val="clear" w:color="auto" w:fill="auto"/>
            <w:vAlign w:val="center"/>
          </w:tcPr>
          <w:p w14:paraId="03EEE81A" w14:textId="77777777" w:rsidR="004A1C59" w:rsidRPr="00842145" w:rsidRDefault="004A1C59" w:rsidP="004D406C">
            <w:pPr>
              <w:pStyle w:val="TableText0"/>
              <w:jc w:val="center"/>
            </w:pPr>
            <w:r w:rsidRPr="00842145">
              <w:t>Low</w:t>
            </w:r>
          </w:p>
        </w:tc>
        <w:tc>
          <w:tcPr>
            <w:tcW w:w="943" w:type="pct"/>
            <w:shd w:val="clear" w:color="auto" w:fill="auto"/>
            <w:vAlign w:val="center"/>
          </w:tcPr>
          <w:p w14:paraId="7F4ACFAF" w14:textId="77777777" w:rsidR="004A1C59" w:rsidRPr="00842145" w:rsidRDefault="004A1C59" w:rsidP="004D406C">
            <w:pPr>
              <w:pStyle w:val="TableText0"/>
              <w:jc w:val="center"/>
            </w:pPr>
            <w:r w:rsidRPr="00842145">
              <w:t xml:space="preserve">Patients with diabetic kidney disease receiving ACEi or ARB monotherapy as part of standard of care </w:t>
            </w:r>
          </w:p>
        </w:tc>
        <w:tc>
          <w:tcPr>
            <w:tcW w:w="1064" w:type="pct"/>
            <w:shd w:val="clear" w:color="auto" w:fill="auto"/>
            <w:vAlign w:val="center"/>
          </w:tcPr>
          <w:p w14:paraId="740E6D26" w14:textId="77777777" w:rsidR="004A1C59" w:rsidRPr="00842145" w:rsidRDefault="004A1C59" w:rsidP="004D406C">
            <w:pPr>
              <w:pStyle w:val="TableText0"/>
              <w:jc w:val="center"/>
            </w:pPr>
            <w:r w:rsidRPr="00842145">
              <w:t>Cardiorenal outcomes, biomarkers, quality of life and adverse events</w:t>
            </w:r>
          </w:p>
        </w:tc>
        <w:tc>
          <w:tcPr>
            <w:tcW w:w="649" w:type="pct"/>
            <w:shd w:val="clear" w:color="auto" w:fill="auto"/>
            <w:vAlign w:val="center"/>
          </w:tcPr>
          <w:p w14:paraId="687E3F51" w14:textId="77777777" w:rsidR="004A1C59" w:rsidRPr="00842145" w:rsidRDefault="004A1C59" w:rsidP="004D406C">
            <w:pPr>
              <w:pStyle w:val="TableText0"/>
              <w:jc w:val="center"/>
            </w:pPr>
            <w:r w:rsidRPr="00842145">
              <w:t xml:space="preserve">Not used </w:t>
            </w:r>
          </w:p>
        </w:tc>
      </w:tr>
      <w:tr w:rsidR="004A1C59" w:rsidRPr="00842145" w14:paraId="23BAB345" w14:textId="77777777" w:rsidTr="008C72AB">
        <w:trPr>
          <w:cantSplit/>
        </w:trPr>
        <w:tc>
          <w:tcPr>
            <w:tcW w:w="701" w:type="pct"/>
            <w:shd w:val="clear" w:color="auto" w:fill="auto"/>
            <w:vAlign w:val="center"/>
          </w:tcPr>
          <w:p w14:paraId="6BF6445E" w14:textId="77777777" w:rsidR="004A1C59" w:rsidRPr="00842145" w:rsidRDefault="004A1C59" w:rsidP="004D406C">
            <w:pPr>
              <w:pStyle w:val="TableText0"/>
            </w:pPr>
            <w:r w:rsidRPr="00842145">
              <w:t>FIDELITY</w:t>
            </w:r>
          </w:p>
        </w:tc>
        <w:tc>
          <w:tcPr>
            <w:tcW w:w="312" w:type="pct"/>
            <w:shd w:val="clear" w:color="auto" w:fill="auto"/>
            <w:vAlign w:val="center"/>
          </w:tcPr>
          <w:p w14:paraId="61A9CCE6" w14:textId="77777777" w:rsidR="004A1C59" w:rsidRPr="00842145" w:rsidRDefault="004A1C59" w:rsidP="004D406C">
            <w:pPr>
              <w:pStyle w:val="TableText0"/>
              <w:jc w:val="center"/>
            </w:pPr>
            <w:r w:rsidRPr="00842145">
              <w:t>13,026</w:t>
            </w:r>
          </w:p>
        </w:tc>
        <w:tc>
          <w:tcPr>
            <w:tcW w:w="939" w:type="pct"/>
            <w:shd w:val="clear" w:color="auto" w:fill="auto"/>
            <w:vAlign w:val="center"/>
          </w:tcPr>
          <w:p w14:paraId="4A266C0B" w14:textId="77777777" w:rsidR="004A1C59" w:rsidRPr="00842145" w:rsidRDefault="004A1C59" w:rsidP="004D406C">
            <w:pPr>
              <w:pStyle w:val="TableText0"/>
              <w:jc w:val="center"/>
            </w:pPr>
            <w:r w:rsidRPr="00842145">
              <w:t>Pooled analysis of individual patient data from FIDELIO-DKD and FIGARO-DKD</w:t>
            </w:r>
          </w:p>
        </w:tc>
        <w:tc>
          <w:tcPr>
            <w:tcW w:w="391" w:type="pct"/>
            <w:shd w:val="clear" w:color="auto" w:fill="auto"/>
            <w:vAlign w:val="center"/>
          </w:tcPr>
          <w:p w14:paraId="3F0BCFB1" w14:textId="77777777" w:rsidR="004A1C59" w:rsidRPr="00842145" w:rsidRDefault="004A1C59" w:rsidP="004D406C">
            <w:pPr>
              <w:pStyle w:val="TableText0"/>
              <w:jc w:val="center"/>
            </w:pPr>
            <w:r w:rsidRPr="00842145">
              <w:t>Low</w:t>
            </w:r>
          </w:p>
        </w:tc>
        <w:tc>
          <w:tcPr>
            <w:tcW w:w="943" w:type="pct"/>
            <w:shd w:val="clear" w:color="auto" w:fill="auto"/>
            <w:vAlign w:val="center"/>
          </w:tcPr>
          <w:p w14:paraId="432B9025" w14:textId="79BC0684" w:rsidR="004A1C59" w:rsidRPr="00842145" w:rsidRDefault="004A1C59" w:rsidP="004D406C">
            <w:pPr>
              <w:pStyle w:val="TableText0"/>
              <w:jc w:val="center"/>
            </w:pPr>
            <w:r w:rsidRPr="00842145">
              <w:t xml:space="preserve">Patients with diabetic kidney </w:t>
            </w:r>
            <w:r w:rsidR="002C04B0" w:rsidRPr="00842145">
              <w:t>disease receiving</w:t>
            </w:r>
            <w:r w:rsidRPr="00842145">
              <w:t xml:space="preserve"> ACEi or ARB monotherapy as part of standard of care</w:t>
            </w:r>
          </w:p>
        </w:tc>
        <w:tc>
          <w:tcPr>
            <w:tcW w:w="1064" w:type="pct"/>
            <w:shd w:val="clear" w:color="auto" w:fill="auto"/>
            <w:vAlign w:val="center"/>
          </w:tcPr>
          <w:p w14:paraId="7945A2EB" w14:textId="77777777" w:rsidR="004A1C59" w:rsidRPr="00842145" w:rsidRDefault="004A1C59" w:rsidP="004D406C">
            <w:pPr>
              <w:pStyle w:val="TableText0"/>
              <w:jc w:val="center"/>
            </w:pPr>
            <w:r w:rsidRPr="00842145">
              <w:t>Cardiorenal outcomes, biomarkers, quality of life and adverse events</w:t>
            </w:r>
          </w:p>
        </w:tc>
        <w:tc>
          <w:tcPr>
            <w:tcW w:w="649" w:type="pct"/>
            <w:shd w:val="clear" w:color="auto" w:fill="auto"/>
            <w:vAlign w:val="center"/>
          </w:tcPr>
          <w:p w14:paraId="7F881C82" w14:textId="77777777" w:rsidR="004A1C59" w:rsidRPr="00842145" w:rsidRDefault="004A1C59" w:rsidP="004D406C">
            <w:pPr>
              <w:pStyle w:val="TableText0"/>
              <w:jc w:val="center"/>
            </w:pPr>
            <w:r w:rsidRPr="00842145">
              <w:t>Baseline risk, treatment effects, utility values</w:t>
            </w:r>
          </w:p>
        </w:tc>
      </w:tr>
    </w:tbl>
    <w:p w14:paraId="05E48CBA" w14:textId="4C6D222D" w:rsidR="0017164D" w:rsidRPr="00C623FC" w:rsidRDefault="0017164D" w:rsidP="002C04B0">
      <w:pPr>
        <w:pStyle w:val="COMTablefooter"/>
      </w:pPr>
      <w:r w:rsidRPr="00C623FC">
        <w:t xml:space="preserve">Source: </w:t>
      </w:r>
      <w:r w:rsidR="00A00E5A" w:rsidRPr="00C623FC">
        <w:t>Section 2.3</w:t>
      </w:r>
      <w:r w:rsidR="00797D2D">
        <w:t>, pp</w:t>
      </w:r>
      <w:r w:rsidR="00A00E5A">
        <w:t>40</w:t>
      </w:r>
      <w:r w:rsidR="00A00E5A" w:rsidRPr="00C623FC">
        <w:t>-4</w:t>
      </w:r>
      <w:r w:rsidR="00A00E5A">
        <w:t>3</w:t>
      </w:r>
      <w:r w:rsidR="00A00E5A" w:rsidRPr="00C623FC">
        <w:t xml:space="preserve"> of the </w:t>
      </w:r>
      <w:r w:rsidR="00A00E5A">
        <w:t>re</w:t>
      </w:r>
      <w:r w:rsidR="00A00E5A" w:rsidRPr="00C623FC">
        <w:t>submission</w:t>
      </w:r>
      <w:r w:rsidR="00A00E5A">
        <w:t>.</w:t>
      </w:r>
    </w:p>
    <w:p w14:paraId="3426A620" w14:textId="567C8481" w:rsidR="008033DF" w:rsidRDefault="0017164D" w:rsidP="008033DF">
      <w:pPr>
        <w:pStyle w:val="COMTablefooter"/>
      </w:pPr>
      <w:r w:rsidRPr="00C623FC">
        <w:t xml:space="preserve">Abbreviations: </w:t>
      </w:r>
      <w:r w:rsidRPr="0080170E">
        <w:t>ACEi, angiotensin-converting enzyme inhibitors; ARB, angiotensin II receptor blockers</w:t>
      </w:r>
      <w:r>
        <w:t xml:space="preserve">; </w:t>
      </w:r>
      <w:r w:rsidRPr="00C623FC">
        <w:t>DB, double-blind; MC, multicentre; PC, placebo-controlled; R, randomised</w:t>
      </w:r>
      <w:r w:rsidR="00A00E5A">
        <w:t>.</w:t>
      </w:r>
    </w:p>
    <w:p w14:paraId="4773A1D8" w14:textId="12A06659" w:rsidR="00B91D25" w:rsidRPr="00814463" w:rsidRDefault="008033DF" w:rsidP="00814463">
      <w:pPr>
        <w:pStyle w:val="COMexecsumnumberedpara"/>
        <w:rPr>
          <w:color w:val="0066FF"/>
        </w:rPr>
      </w:pPr>
      <w:r w:rsidRPr="00C623FC">
        <w:t>The FIDELIO-DKD and FIGARO-DKD trials included predominantly older, white or Asian, male populations with a history of diabetes (mean 15 years</w:t>
      </w:r>
      <w:r>
        <w:t xml:space="preserve"> duration of diabetes</w:t>
      </w:r>
      <w:r w:rsidRPr="00C623FC">
        <w:t>), established chronic kidney disease (baseline mean eGFR 57</w:t>
      </w:r>
      <w:r>
        <w:t> m</w:t>
      </w:r>
      <w:r w:rsidRPr="00C623FC">
        <w:t>L/min/1.73</w:t>
      </w:r>
      <w:r>
        <w:t> </w:t>
      </w:r>
      <w:r w:rsidRPr="00C623FC">
        <w:t>m</w:t>
      </w:r>
      <w:r w:rsidRPr="00C623FC">
        <w:rPr>
          <w:vertAlign w:val="superscript"/>
        </w:rPr>
        <w:t>2</w:t>
      </w:r>
      <w:r>
        <w:t xml:space="preserve">; </w:t>
      </w:r>
      <w:r w:rsidRPr="00C623FC">
        <w:t xml:space="preserve">median </w:t>
      </w:r>
      <w:r>
        <w:t>UACR</w:t>
      </w:r>
      <w:r w:rsidRPr="00C623FC">
        <w:t xml:space="preserve"> 515</w:t>
      </w:r>
      <w:r>
        <w:t> m</w:t>
      </w:r>
      <w:r w:rsidRPr="00C623FC">
        <w:t xml:space="preserve">g/g) </w:t>
      </w:r>
      <w:r>
        <w:t>and</w:t>
      </w:r>
      <w:r w:rsidRPr="00C623FC">
        <w:t xml:space="preserve"> related comorbidities</w:t>
      </w:r>
      <w:r>
        <w:t>,</w:t>
      </w:r>
      <w:r w:rsidRPr="00E74294">
        <w:t xml:space="preserve"> </w:t>
      </w:r>
      <w:r w:rsidRPr="00C623FC">
        <w:t>exclud</w:t>
      </w:r>
      <w:r>
        <w:t>ing</w:t>
      </w:r>
      <w:r w:rsidRPr="00C623FC">
        <w:t xml:space="preserve"> </w:t>
      </w:r>
      <w:r>
        <w:t>HFrEF,</w:t>
      </w:r>
      <w:r w:rsidRPr="00C623FC">
        <w:t xml:space="preserve"> non-diabetic renal disease and </w:t>
      </w:r>
      <w:r>
        <w:t xml:space="preserve">other </w:t>
      </w:r>
      <w:r w:rsidRPr="00C623FC">
        <w:t xml:space="preserve">conditions </w:t>
      </w:r>
      <w:r>
        <w:t>requiring</w:t>
      </w:r>
      <w:r w:rsidRPr="00C623FC">
        <w:t xml:space="preserve"> </w:t>
      </w:r>
      <w:r>
        <w:t>treatment with</w:t>
      </w:r>
      <w:r w:rsidRPr="00C623FC">
        <w:t xml:space="preserve"> mineralocorticoid receptor antagonists, renin inhibitors or potassium-sparing diuretics. The FIDELIO-DKD trial </w:t>
      </w:r>
      <w:r>
        <w:t xml:space="preserve">population </w:t>
      </w:r>
      <w:r w:rsidRPr="00C623FC">
        <w:t>was generally at higher risk of complications compared to the FIGARO-DKD trial (83.4% vs. 21.1% at very high risk</w:t>
      </w:r>
      <w:r>
        <w:t xml:space="preserve">; </w:t>
      </w:r>
      <w:r w:rsidRPr="00C623FC">
        <w:t>KDIGO criteria).</w:t>
      </w:r>
      <w:r w:rsidR="00814463">
        <w:rPr>
          <w:color w:val="0066FF"/>
        </w:rPr>
        <w:t xml:space="preserve"> </w:t>
      </w:r>
    </w:p>
    <w:p w14:paraId="4899E35E" w14:textId="1AE10223" w:rsidR="007F1017" w:rsidRPr="00E83438" w:rsidRDefault="00A378EF" w:rsidP="00EC5836">
      <w:pPr>
        <w:pStyle w:val="COMexecsumnumberedpara"/>
        <w:rPr>
          <w:color w:val="0066FF"/>
        </w:rPr>
      </w:pPr>
      <w:r w:rsidRPr="005E5A32">
        <w:t>Both</w:t>
      </w:r>
      <w:r w:rsidR="00D7300C" w:rsidRPr="005E5A32">
        <w:t xml:space="preserve"> trials used a quota</w:t>
      </w:r>
      <w:r w:rsidRPr="005E5A32">
        <w:t>-based</w:t>
      </w:r>
      <w:r w:rsidR="00D7300C" w:rsidRPr="005E5A32">
        <w:t xml:space="preserve"> sampling approach which limited the proportion</w:t>
      </w:r>
      <w:r w:rsidRPr="005E5A32">
        <w:t>s</w:t>
      </w:r>
      <w:r w:rsidR="00D7300C" w:rsidRPr="005E5A32">
        <w:t xml:space="preserve"> of </w:t>
      </w:r>
      <w:r w:rsidRPr="005E5A32">
        <w:t xml:space="preserve">patients </w:t>
      </w:r>
      <w:r w:rsidR="00D7300C" w:rsidRPr="005E5A32">
        <w:t xml:space="preserve">with </w:t>
      </w:r>
      <w:r w:rsidR="0066377D" w:rsidRPr="005E5A32">
        <w:t>particular</w:t>
      </w:r>
      <w:r w:rsidR="00D7300C" w:rsidRPr="005E5A32">
        <w:t xml:space="preserve"> characteristics (e.g. </w:t>
      </w:r>
      <w:r w:rsidR="00426342" w:rsidRPr="005E5A32">
        <w:t>very high albuminuria with eGFR ≥ 60 to &lt;75 mL/min/1.73 m</w:t>
      </w:r>
      <w:r w:rsidR="00426342" w:rsidRPr="005E5A32">
        <w:rPr>
          <w:vertAlign w:val="superscript"/>
        </w:rPr>
        <w:t>2</w:t>
      </w:r>
      <w:r w:rsidR="00426342" w:rsidRPr="005E5A32">
        <w:t>, high albuminuria with diabetic retinopathy, high albuminuria with eGFR ≥ 60 mL/min/1.73 m</w:t>
      </w:r>
      <w:r w:rsidR="00426342" w:rsidRPr="005E5A32">
        <w:rPr>
          <w:vertAlign w:val="superscript"/>
        </w:rPr>
        <w:t>2</w:t>
      </w:r>
      <w:r w:rsidR="00426342" w:rsidRPr="005E5A32">
        <w:t xml:space="preserve">, high albuminuria without </w:t>
      </w:r>
      <w:r w:rsidR="00D7300C" w:rsidRPr="005E5A32">
        <w:t>cardiovascular disease).</w:t>
      </w:r>
      <w:r w:rsidR="00D7300C" w:rsidRPr="00842145">
        <w:rPr>
          <w:iCs/>
        </w:rPr>
        <w:t xml:space="preserve"> These artificial constraints distorted the distribution of patients across the diabetic kidney disease spectrum as well as the underlying risk of cardiorenal events in the trials</w:t>
      </w:r>
      <w:r w:rsidR="008033DF" w:rsidRPr="00842145">
        <w:rPr>
          <w:iCs/>
        </w:rPr>
        <w:t>,</w:t>
      </w:r>
      <w:r w:rsidR="00D7300C" w:rsidRPr="00842145">
        <w:rPr>
          <w:iCs/>
        </w:rPr>
        <w:t xml:space="preserve"> and </w:t>
      </w:r>
      <w:r w:rsidR="0091680B" w:rsidRPr="00842145">
        <w:rPr>
          <w:iCs/>
        </w:rPr>
        <w:t xml:space="preserve">are </w:t>
      </w:r>
      <w:r w:rsidR="00D7300C" w:rsidRPr="00842145">
        <w:rPr>
          <w:iCs/>
        </w:rPr>
        <w:t>not representative of clinical practice.</w:t>
      </w:r>
    </w:p>
    <w:p w14:paraId="17277380" w14:textId="6FB187B4" w:rsidR="00DF597D" w:rsidRPr="0090370B" w:rsidRDefault="00DF597D" w:rsidP="00DF597D">
      <w:pPr>
        <w:pStyle w:val="COMexecsumnumberedpara"/>
        <w:rPr>
          <w:color w:val="0066FF"/>
        </w:rPr>
      </w:pPr>
      <w:r w:rsidRPr="00D526BC">
        <w:t>At the July 2022 meeting the PBAC noted that the management of hyperkalaemia in clinical practice could lead to suboptimal finerenone dosing in the Australian setting, given the risk of hyperkalaemia in the clinical trials was managed by careful patient selection, intensive monitoring, finerenone dose titration/interruption, and the use of potassium lowering agents. In addition, while the majority of patients in the clinical trials were using the higher 20</w:t>
      </w:r>
      <w:r>
        <w:t> m</w:t>
      </w:r>
      <w:r w:rsidRPr="00D526BC">
        <w:t xml:space="preserve">g finerenone dose strength, the ESC </w:t>
      </w:r>
      <w:r w:rsidR="00637C2E">
        <w:t xml:space="preserve">had previously </w:t>
      </w:r>
      <w:r w:rsidRPr="00D526BC">
        <w:t>considered it was unclear if treating physicians would avoid up titration to the higher dose due to concerns over the risk of hyperkalaemia (para 6.11, Finerenone PSD, July 2022 PBAC meeting).</w:t>
      </w:r>
    </w:p>
    <w:p w14:paraId="5F86AAEC" w14:textId="77777777" w:rsidR="00DF597D" w:rsidRPr="0090370B" w:rsidRDefault="00DF597D" w:rsidP="00DF597D">
      <w:pPr>
        <w:pStyle w:val="COMexecsumnumberedpara"/>
        <w:rPr>
          <w:color w:val="0066FF"/>
        </w:rPr>
      </w:pPr>
      <w:r w:rsidRPr="00D526BC">
        <w:rPr>
          <w:rFonts w:cs="Calibri"/>
        </w:rPr>
        <w:t xml:space="preserve">The resubmission noted that the risk of hyperkalaemia in the Australian setting is managed at the discretion of treating physicians, and that </w:t>
      </w:r>
      <w:r>
        <w:rPr>
          <w:rFonts w:cs="Calibri"/>
        </w:rPr>
        <w:t xml:space="preserve">a commissioned panel of </w:t>
      </w:r>
      <w:r w:rsidRPr="00D526BC">
        <w:rPr>
          <w:rFonts w:cs="Calibri"/>
        </w:rPr>
        <w:t>Australian based nephrologists and endocrinologists advised that for patients with CKD, serum potassium measure</w:t>
      </w:r>
      <w:r>
        <w:rPr>
          <w:rFonts w:cs="Calibri"/>
        </w:rPr>
        <w:t>ment</w:t>
      </w:r>
      <w:r w:rsidRPr="00D526BC">
        <w:rPr>
          <w:rFonts w:cs="Calibri"/>
        </w:rPr>
        <w:t xml:space="preserve"> occur</w:t>
      </w:r>
      <w:r>
        <w:rPr>
          <w:rFonts w:cs="Calibri"/>
        </w:rPr>
        <w:t>s</w:t>
      </w:r>
      <w:r w:rsidRPr="00D526BC">
        <w:rPr>
          <w:rFonts w:cs="Calibri"/>
        </w:rPr>
        <w:t xml:space="preserve"> every 3-6 months, comparable to the clinical trials where serum potassium measure</w:t>
      </w:r>
      <w:r>
        <w:rPr>
          <w:rFonts w:cs="Calibri"/>
        </w:rPr>
        <w:t>ment</w:t>
      </w:r>
      <w:r w:rsidRPr="00D526BC">
        <w:rPr>
          <w:rFonts w:cs="Calibri"/>
        </w:rPr>
        <w:t xml:space="preserve"> occurred every 4 months.</w:t>
      </w:r>
      <w:r>
        <w:rPr>
          <w:rFonts w:cs="Calibri"/>
        </w:rPr>
        <w:t xml:space="preserve"> </w:t>
      </w:r>
      <w:r w:rsidRPr="00842145">
        <w:rPr>
          <w:rFonts w:cs="Calibri"/>
          <w:iCs/>
        </w:rPr>
        <w:t>No documentation of the expert advice was provided in the resubmission.</w:t>
      </w:r>
    </w:p>
    <w:p w14:paraId="4C580D21" w14:textId="4D811E56" w:rsidR="00DF597D" w:rsidRPr="00240284" w:rsidRDefault="00DF597D" w:rsidP="00DF597D">
      <w:pPr>
        <w:pStyle w:val="COMexecsumnumberedpara"/>
        <w:rPr>
          <w:color w:val="0066FF"/>
        </w:rPr>
      </w:pPr>
      <w:r>
        <w:rPr>
          <w:rFonts w:cs="Calibri"/>
        </w:rPr>
        <w:t>T</w:t>
      </w:r>
      <w:r w:rsidRPr="00973860">
        <w:rPr>
          <w:rFonts w:cs="Calibri"/>
        </w:rPr>
        <w:t xml:space="preserve">he resubmission </w:t>
      </w:r>
      <w:r w:rsidR="00F759E8">
        <w:rPr>
          <w:rFonts w:cs="Calibri"/>
        </w:rPr>
        <w:t xml:space="preserve">also </w:t>
      </w:r>
      <w:r w:rsidRPr="00973860">
        <w:rPr>
          <w:rFonts w:cs="Calibri"/>
        </w:rPr>
        <w:t xml:space="preserve">noted the high rate of patients never dispensed </w:t>
      </w:r>
      <w:r>
        <w:rPr>
          <w:rFonts w:cs="Calibri"/>
        </w:rPr>
        <w:t xml:space="preserve">finerenone </w:t>
      </w:r>
      <w:r w:rsidRPr="00973860">
        <w:rPr>
          <w:rFonts w:cs="Calibri"/>
        </w:rPr>
        <w:t>20</w:t>
      </w:r>
      <w:r>
        <w:rPr>
          <w:rFonts w:cs="Calibri"/>
        </w:rPr>
        <w:t> m</w:t>
      </w:r>
      <w:r w:rsidRPr="00973860">
        <w:rPr>
          <w:rFonts w:cs="Calibri"/>
        </w:rPr>
        <w:t xml:space="preserve">g in the FIDELITY pooled analysis (59.3%) </w:t>
      </w:r>
      <w:r>
        <w:rPr>
          <w:rFonts w:cs="Calibri"/>
        </w:rPr>
        <w:t xml:space="preserve">and suggested it was unlikely there would be lower rates of finerenone 20 mg </w:t>
      </w:r>
      <w:r w:rsidRPr="00973860">
        <w:rPr>
          <w:rFonts w:cs="Calibri"/>
        </w:rPr>
        <w:t>dosing in the Australian setting.</w:t>
      </w:r>
      <w:r>
        <w:rPr>
          <w:rFonts w:cs="Calibri"/>
        </w:rPr>
        <w:t xml:space="preserve"> </w:t>
      </w:r>
      <w:r w:rsidRPr="00842145">
        <w:rPr>
          <w:rFonts w:cs="Calibri"/>
          <w:iCs/>
        </w:rPr>
        <w:t>The resubmission’s estimate appears to be based on patients who were not dispensed finerenone 20 mg on at least one visit and is inconsistent with exposure data indicating that the majority of patients received finerenone 20 mg in both trials.</w:t>
      </w:r>
    </w:p>
    <w:p w14:paraId="68FC8C51" w14:textId="1AFB8774" w:rsidR="00DF597D" w:rsidRPr="00240284" w:rsidRDefault="00F759E8" w:rsidP="00DF597D">
      <w:pPr>
        <w:pStyle w:val="COMexecsumnumberedpara"/>
        <w:rPr>
          <w:color w:val="0066FF"/>
        </w:rPr>
      </w:pPr>
      <w:r w:rsidRPr="00E66F84">
        <w:t xml:space="preserve">Both trials were conducted prior to recent guideline recommendations for the use of SGLT2i medicines and GLP1 analogues to reduce the risk of cardiovascular and renal complications in patients with diabetic kidney disease, and the use of these therapies in the trials was very low and unlikely to represent clinical practice. </w:t>
      </w:r>
    </w:p>
    <w:p w14:paraId="4A4FE085" w14:textId="1C5613CC" w:rsidR="00B60939" w:rsidRPr="00C9624D" w:rsidRDefault="00B60939" w:rsidP="00EC5836">
      <w:pPr>
        <w:pStyle w:val="COMH2-non-numbered"/>
      </w:pPr>
      <w:bookmarkStart w:id="14" w:name="_Toc22897641"/>
      <w:bookmarkStart w:id="15" w:name="_Toc124857603"/>
      <w:r w:rsidRPr="00C9624D">
        <w:t>Comparative effectiveness</w:t>
      </w:r>
      <w:bookmarkEnd w:id="14"/>
      <w:bookmarkEnd w:id="15"/>
    </w:p>
    <w:p w14:paraId="28593FB8" w14:textId="63CD5664" w:rsidR="002C2775" w:rsidRPr="00EC5836" w:rsidRDefault="000F28FF" w:rsidP="00EC5836">
      <w:pPr>
        <w:pStyle w:val="COMexecsumnumberedpara"/>
        <w:rPr>
          <w:color w:val="0066FF"/>
        </w:rPr>
      </w:pPr>
      <w:r w:rsidRPr="00842145">
        <w:rPr>
          <w:iCs/>
        </w:rPr>
        <w:t xml:space="preserve">The </w:t>
      </w:r>
      <w:r w:rsidR="00B439BB" w:rsidRPr="00842145">
        <w:rPr>
          <w:iCs/>
        </w:rPr>
        <w:t xml:space="preserve">results of the </w:t>
      </w:r>
      <w:r w:rsidRPr="00842145">
        <w:rPr>
          <w:iCs/>
        </w:rPr>
        <w:t>FIDELIO-DKD and FIGARO-DKD trials and FIDELITY pooled analyses presented in the resubmission are unchanged from the July 2022 finerenone submission, and are presented below for completeness.</w:t>
      </w:r>
    </w:p>
    <w:p w14:paraId="14214920" w14:textId="1E713168" w:rsidR="00DA3167" w:rsidRPr="00EC5836" w:rsidRDefault="00DE3742" w:rsidP="00EC5836">
      <w:pPr>
        <w:pStyle w:val="COMexecsumnumberedpara"/>
        <w:rPr>
          <w:color w:val="0066FF"/>
        </w:rPr>
      </w:pPr>
      <w:r>
        <w:t>The c</w:t>
      </w:r>
      <w:r w:rsidRPr="00C623FC">
        <w:t xml:space="preserve">omposite cardiovascular </w:t>
      </w:r>
      <w:r w:rsidR="00224680">
        <w:t>(</w:t>
      </w:r>
      <w:r w:rsidR="00224680" w:rsidRPr="00BE143E">
        <w:t xml:space="preserve">primary outcome </w:t>
      </w:r>
      <w:r w:rsidR="00224680">
        <w:t>in</w:t>
      </w:r>
      <w:r w:rsidR="00224680" w:rsidRPr="00BE143E">
        <w:t xml:space="preserve"> FIGARO-DKD</w:t>
      </w:r>
      <w:r w:rsidR="00224680">
        <w:t>;</w:t>
      </w:r>
      <w:r w:rsidR="00224680" w:rsidRPr="00BE143E">
        <w:t xml:space="preserve"> key secondary outcome </w:t>
      </w:r>
      <w:r w:rsidR="00224680">
        <w:t>in</w:t>
      </w:r>
      <w:r w:rsidR="00224680" w:rsidRPr="00BE143E">
        <w:t xml:space="preserve"> FIDELIO-DKD</w:t>
      </w:r>
      <w:r w:rsidR="00224680">
        <w:t xml:space="preserve">) </w:t>
      </w:r>
      <w:r w:rsidR="0072740D">
        <w:t xml:space="preserve">and renal </w:t>
      </w:r>
      <w:r>
        <w:t>events</w:t>
      </w:r>
      <w:r w:rsidRPr="00C623FC">
        <w:t xml:space="preserve"> </w:t>
      </w:r>
      <w:r w:rsidR="00224680">
        <w:t>(</w:t>
      </w:r>
      <w:r w:rsidR="00224680" w:rsidRPr="00BE143E">
        <w:t xml:space="preserve">primary outcome </w:t>
      </w:r>
      <w:r w:rsidR="00224680">
        <w:t>in</w:t>
      </w:r>
      <w:r w:rsidR="00224680" w:rsidRPr="00224680">
        <w:t xml:space="preserve"> </w:t>
      </w:r>
      <w:r w:rsidR="00224680" w:rsidRPr="00BE143E">
        <w:t>FIDELIO-DKD</w:t>
      </w:r>
      <w:r w:rsidR="00224680">
        <w:t>;</w:t>
      </w:r>
      <w:r w:rsidR="00224680" w:rsidRPr="00BE143E">
        <w:t xml:space="preserve"> key secondary outcome </w:t>
      </w:r>
      <w:r w:rsidR="00224680">
        <w:t>in</w:t>
      </w:r>
      <w:r w:rsidR="00224680" w:rsidRPr="00BE143E">
        <w:t xml:space="preserve"> FIGARO-DKD</w:t>
      </w:r>
      <w:r w:rsidR="00224680">
        <w:t xml:space="preserve">) </w:t>
      </w:r>
      <w:r w:rsidRPr="00C623FC">
        <w:t xml:space="preserve">reported in the FIDELIO-DKD and FIGARO-DKD trials are summarised in </w:t>
      </w:r>
      <w:r w:rsidR="00B14660">
        <w:fldChar w:fldCharType="begin"/>
      </w:r>
      <w:r w:rsidR="00B14660">
        <w:instrText xml:space="preserve"> REF _Ref124147492 \h </w:instrText>
      </w:r>
      <w:r w:rsidR="00B14660">
        <w:fldChar w:fldCharType="separate"/>
      </w:r>
      <w:r w:rsidR="005562EE">
        <w:t xml:space="preserve">Table </w:t>
      </w:r>
      <w:r w:rsidR="005562EE">
        <w:rPr>
          <w:noProof/>
        </w:rPr>
        <w:t>5</w:t>
      </w:r>
      <w:r w:rsidR="00B14660">
        <w:fldChar w:fldCharType="end"/>
      </w:r>
      <w:r w:rsidR="00B14660">
        <w:t xml:space="preserve"> </w:t>
      </w:r>
      <w:r w:rsidR="00B02226">
        <w:t>below</w:t>
      </w:r>
      <w:r w:rsidRPr="00BE143E">
        <w:t xml:space="preserve">. </w:t>
      </w:r>
    </w:p>
    <w:p w14:paraId="312F0965" w14:textId="1C902304" w:rsidR="005D26B4" w:rsidRDefault="00D6076E" w:rsidP="00D6076E">
      <w:pPr>
        <w:pStyle w:val="COMtablefigcaption"/>
      </w:pPr>
      <w:bookmarkStart w:id="16" w:name="_Ref124147492"/>
      <w:r>
        <w:t xml:space="preserve">Table </w:t>
      </w:r>
      <w:r w:rsidR="005562EE">
        <w:fldChar w:fldCharType="begin"/>
      </w:r>
      <w:r w:rsidR="005562EE">
        <w:instrText xml:space="preserve"> SEQ </w:instrText>
      </w:r>
      <w:r w:rsidR="005562EE">
        <w:instrText xml:space="preserve">Table \* ARABIC </w:instrText>
      </w:r>
      <w:r w:rsidR="005562EE">
        <w:fldChar w:fldCharType="separate"/>
      </w:r>
      <w:r w:rsidR="005562EE">
        <w:rPr>
          <w:noProof/>
        </w:rPr>
        <w:t>5</w:t>
      </w:r>
      <w:r w:rsidR="005562EE">
        <w:rPr>
          <w:noProof/>
        </w:rPr>
        <w:fldChar w:fldCharType="end"/>
      </w:r>
      <w:bookmarkEnd w:id="16"/>
      <w:r>
        <w:t>:</w:t>
      </w:r>
      <w:r w:rsidR="005D26B4" w:rsidRPr="003C2DE2">
        <w:t xml:space="preserve"> </w:t>
      </w:r>
      <w:r w:rsidR="00B02226" w:rsidRPr="00C623FC">
        <w:t xml:space="preserve">Composite cardiovascular </w:t>
      </w:r>
      <w:r w:rsidR="000B3D3F">
        <w:t xml:space="preserve">and renal </w:t>
      </w:r>
      <w:r w:rsidR="00B02226">
        <w:t>events</w:t>
      </w:r>
      <w:r w:rsidR="00B02226" w:rsidRPr="00C623FC">
        <w:t xml:space="preserve"> </w:t>
      </w:r>
      <w:r w:rsidR="00B02226" w:rsidRPr="009F51F3">
        <w:t xml:space="preserve">in FIDELIO-DKD and FIGARO-DKD </w:t>
      </w:r>
      <w:r w:rsidR="00B02226">
        <w:t>(FAS)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42"/>
        <w:gridCol w:w="1843"/>
        <w:gridCol w:w="1646"/>
      </w:tblGrid>
      <w:tr w:rsidR="00F6125C" w:rsidRPr="00C623FC" w14:paraId="0F284ED9" w14:textId="77777777" w:rsidTr="00F6125C">
        <w:trPr>
          <w:trHeight w:val="58"/>
          <w:tblHeader/>
        </w:trPr>
        <w:tc>
          <w:tcPr>
            <w:tcW w:w="3686" w:type="dxa"/>
            <w:tcBorders>
              <w:top w:val="single" w:sz="4" w:space="0" w:color="auto"/>
              <w:left w:val="single" w:sz="4" w:space="0" w:color="auto"/>
              <w:bottom w:val="single" w:sz="4" w:space="0" w:color="auto"/>
              <w:right w:val="single" w:sz="4" w:space="0" w:color="auto"/>
            </w:tcBorders>
            <w:vAlign w:val="center"/>
          </w:tcPr>
          <w:p w14:paraId="396ACEF2" w14:textId="77777777" w:rsidR="00F6125C" w:rsidRPr="00C623FC" w:rsidRDefault="00F6125C" w:rsidP="004E2A40">
            <w:pPr>
              <w:pStyle w:val="TableText0"/>
              <w:widowControl w:val="0"/>
              <w:rPr>
                <w:b/>
              </w:rPr>
            </w:pPr>
            <w:r w:rsidRPr="00C623FC">
              <w:rPr>
                <w:b/>
              </w:rPr>
              <w:t>Outcome</w:t>
            </w:r>
          </w:p>
        </w:tc>
        <w:tc>
          <w:tcPr>
            <w:tcW w:w="1842" w:type="dxa"/>
            <w:tcBorders>
              <w:top w:val="single" w:sz="4" w:space="0" w:color="auto"/>
              <w:left w:val="single" w:sz="4" w:space="0" w:color="auto"/>
              <w:bottom w:val="single" w:sz="4" w:space="0" w:color="auto"/>
              <w:right w:val="single" w:sz="4" w:space="0" w:color="auto"/>
            </w:tcBorders>
            <w:vAlign w:val="center"/>
          </w:tcPr>
          <w:p w14:paraId="5191E870" w14:textId="77777777" w:rsidR="00F6125C" w:rsidRPr="00C623FC" w:rsidRDefault="00F6125C" w:rsidP="004E2A40">
            <w:pPr>
              <w:pStyle w:val="TableText0"/>
              <w:widowControl w:val="0"/>
              <w:jc w:val="center"/>
              <w:rPr>
                <w:b/>
              </w:rPr>
            </w:pPr>
            <w:r w:rsidRPr="00C623FC">
              <w:rPr>
                <w:b/>
              </w:rPr>
              <w:t xml:space="preserve">Finerenone </w:t>
            </w:r>
          </w:p>
          <w:p w14:paraId="658EF850" w14:textId="69A9A809" w:rsidR="00F6125C" w:rsidRPr="00C623FC" w:rsidRDefault="00F6125C" w:rsidP="004E2A40">
            <w:pPr>
              <w:pStyle w:val="TableText0"/>
              <w:widowControl w:val="0"/>
              <w:jc w:val="center"/>
              <w:rPr>
                <w:b/>
              </w:rPr>
            </w:pPr>
            <w:r w:rsidRPr="00C623FC">
              <w:rPr>
                <w:b/>
              </w:rPr>
              <w:t>n</w:t>
            </w:r>
            <w:r w:rsidR="003E446B">
              <w:rPr>
                <w:b/>
              </w:rPr>
              <w:t>/N</w:t>
            </w:r>
            <w:r w:rsidRPr="00C623FC">
              <w:rPr>
                <w:b/>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8D8F6EB" w14:textId="77777777" w:rsidR="00F6125C" w:rsidRPr="00C623FC" w:rsidRDefault="00F6125C" w:rsidP="004E2A40">
            <w:pPr>
              <w:pStyle w:val="TableText0"/>
              <w:widowControl w:val="0"/>
              <w:jc w:val="center"/>
              <w:rPr>
                <w:b/>
              </w:rPr>
            </w:pPr>
            <w:r w:rsidRPr="00C623FC">
              <w:rPr>
                <w:b/>
              </w:rPr>
              <w:t xml:space="preserve">Placebo </w:t>
            </w:r>
          </w:p>
          <w:p w14:paraId="768577C0" w14:textId="1FDF2F99" w:rsidR="00F6125C" w:rsidRPr="00C623FC" w:rsidRDefault="00F6125C" w:rsidP="004E2A40">
            <w:pPr>
              <w:pStyle w:val="TableText0"/>
              <w:widowControl w:val="0"/>
              <w:jc w:val="center"/>
              <w:rPr>
                <w:b/>
              </w:rPr>
            </w:pPr>
            <w:r w:rsidRPr="00C623FC">
              <w:rPr>
                <w:b/>
              </w:rPr>
              <w:t>n</w:t>
            </w:r>
            <w:r w:rsidR="003E446B">
              <w:rPr>
                <w:b/>
              </w:rPr>
              <w:t>/N</w:t>
            </w:r>
            <w:r w:rsidRPr="00C623FC">
              <w:rPr>
                <w:b/>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794FED8B" w14:textId="77777777" w:rsidR="00F6125C" w:rsidRDefault="00F6125C" w:rsidP="004E2A40">
            <w:pPr>
              <w:pStyle w:val="TableText0"/>
              <w:keepNext w:val="0"/>
              <w:widowControl w:val="0"/>
              <w:jc w:val="center"/>
              <w:rPr>
                <w:b/>
              </w:rPr>
            </w:pPr>
            <w:r>
              <w:rPr>
                <w:b/>
              </w:rPr>
              <w:t>Hazard ratio</w:t>
            </w:r>
          </w:p>
          <w:p w14:paraId="0A58E3D0" w14:textId="77777777" w:rsidR="00F6125C" w:rsidRPr="00C623FC" w:rsidRDefault="00F6125C" w:rsidP="004E2A40">
            <w:pPr>
              <w:pStyle w:val="TableText0"/>
              <w:keepNext w:val="0"/>
              <w:widowControl w:val="0"/>
              <w:jc w:val="center"/>
              <w:rPr>
                <w:b/>
              </w:rPr>
            </w:pPr>
            <w:r w:rsidRPr="00C623FC">
              <w:rPr>
                <w:b/>
              </w:rPr>
              <w:t xml:space="preserve"> (95% CI)</w:t>
            </w:r>
          </w:p>
        </w:tc>
      </w:tr>
      <w:tr w:rsidR="00F6125C" w:rsidRPr="00C623FC" w14:paraId="0D13C73A" w14:textId="77777777" w:rsidTr="00F6125C">
        <w:trPr>
          <w:trHeight w:val="58"/>
          <w:tblHeader/>
        </w:trPr>
        <w:tc>
          <w:tcPr>
            <w:tcW w:w="9017" w:type="dxa"/>
            <w:gridSpan w:val="4"/>
            <w:tcBorders>
              <w:top w:val="single" w:sz="4" w:space="0" w:color="auto"/>
              <w:left w:val="single" w:sz="4" w:space="0" w:color="auto"/>
              <w:bottom w:val="single" w:sz="4" w:space="0" w:color="auto"/>
              <w:right w:val="single" w:sz="4" w:space="0" w:color="auto"/>
            </w:tcBorders>
            <w:vAlign w:val="center"/>
          </w:tcPr>
          <w:p w14:paraId="18659BB9" w14:textId="77777777" w:rsidR="00F6125C" w:rsidRDefault="00F6125C" w:rsidP="004E2A40">
            <w:pPr>
              <w:pStyle w:val="TableText0"/>
              <w:keepNext w:val="0"/>
              <w:widowControl w:val="0"/>
              <w:rPr>
                <w:b/>
              </w:rPr>
            </w:pPr>
            <w:r w:rsidRPr="00634FE6">
              <w:rPr>
                <w:b/>
                <w:bCs w:val="0"/>
              </w:rPr>
              <w:t>Composite cardiovascular events</w:t>
            </w:r>
            <w:r w:rsidRPr="00634FE6">
              <w:rPr>
                <w:b/>
                <w:bCs w:val="0"/>
                <w:vertAlign w:val="superscript"/>
              </w:rPr>
              <w:t>a</w:t>
            </w:r>
          </w:p>
        </w:tc>
      </w:tr>
      <w:tr w:rsidR="00F6125C" w:rsidRPr="00C623FC" w14:paraId="03F1395B" w14:textId="77777777" w:rsidTr="00F6125C">
        <w:trPr>
          <w:trHeight w:val="58"/>
          <w:tblHeader/>
        </w:trPr>
        <w:tc>
          <w:tcPr>
            <w:tcW w:w="3686" w:type="dxa"/>
            <w:tcBorders>
              <w:top w:val="single" w:sz="4" w:space="0" w:color="auto"/>
              <w:left w:val="single" w:sz="4" w:space="0" w:color="auto"/>
              <w:bottom w:val="single" w:sz="4" w:space="0" w:color="auto"/>
              <w:right w:val="single" w:sz="4" w:space="0" w:color="auto"/>
            </w:tcBorders>
            <w:vAlign w:val="center"/>
          </w:tcPr>
          <w:p w14:paraId="4ACEA654" w14:textId="77777777" w:rsidR="00F6125C" w:rsidRPr="00634FE6" w:rsidRDefault="00F6125C" w:rsidP="004E2A40">
            <w:pPr>
              <w:pStyle w:val="TableText0"/>
              <w:widowControl w:val="0"/>
              <w:rPr>
                <w:bCs w:val="0"/>
              </w:rPr>
            </w:pPr>
            <w:r w:rsidRPr="00634FE6">
              <w:rPr>
                <w:bCs w:val="0"/>
              </w:rPr>
              <w:t>FIDELIO-DKD</w:t>
            </w:r>
          </w:p>
        </w:tc>
        <w:tc>
          <w:tcPr>
            <w:tcW w:w="1842" w:type="dxa"/>
            <w:tcBorders>
              <w:top w:val="single" w:sz="4" w:space="0" w:color="auto"/>
              <w:left w:val="single" w:sz="4" w:space="0" w:color="auto"/>
              <w:bottom w:val="single" w:sz="4" w:space="0" w:color="auto"/>
              <w:right w:val="single" w:sz="4" w:space="0" w:color="auto"/>
            </w:tcBorders>
            <w:vAlign w:val="center"/>
          </w:tcPr>
          <w:p w14:paraId="74CFCF6F" w14:textId="77777777" w:rsidR="00F6125C" w:rsidRPr="00C623FC" w:rsidRDefault="00F6125C" w:rsidP="004E2A40">
            <w:pPr>
              <w:pStyle w:val="TableText0"/>
              <w:widowControl w:val="0"/>
              <w:jc w:val="center"/>
              <w:rPr>
                <w:b/>
              </w:rPr>
            </w:pPr>
            <w:r w:rsidRPr="00C623FC">
              <w:t>367/2,833 (13.0%)</w:t>
            </w:r>
          </w:p>
        </w:tc>
        <w:tc>
          <w:tcPr>
            <w:tcW w:w="1843" w:type="dxa"/>
            <w:tcBorders>
              <w:top w:val="single" w:sz="4" w:space="0" w:color="auto"/>
              <w:left w:val="single" w:sz="4" w:space="0" w:color="auto"/>
              <w:bottom w:val="single" w:sz="4" w:space="0" w:color="auto"/>
              <w:right w:val="single" w:sz="4" w:space="0" w:color="auto"/>
            </w:tcBorders>
            <w:vAlign w:val="center"/>
          </w:tcPr>
          <w:p w14:paraId="6355DD3E" w14:textId="77777777" w:rsidR="00F6125C" w:rsidRPr="00C623FC" w:rsidRDefault="00F6125C" w:rsidP="004E2A40">
            <w:pPr>
              <w:pStyle w:val="TableText0"/>
              <w:widowControl w:val="0"/>
              <w:jc w:val="center"/>
              <w:rPr>
                <w:b/>
              </w:rPr>
            </w:pPr>
            <w:r w:rsidRPr="00C623FC">
              <w:t>420/2,841 (14.8%)</w:t>
            </w:r>
          </w:p>
        </w:tc>
        <w:tc>
          <w:tcPr>
            <w:tcW w:w="1646" w:type="dxa"/>
            <w:tcBorders>
              <w:top w:val="single" w:sz="4" w:space="0" w:color="auto"/>
              <w:left w:val="single" w:sz="4" w:space="0" w:color="auto"/>
              <w:bottom w:val="single" w:sz="4" w:space="0" w:color="auto"/>
              <w:right w:val="single" w:sz="4" w:space="0" w:color="auto"/>
            </w:tcBorders>
            <w:vAlign w:val="center"/>
          </w:tcPr>
          <w:p w14:paraId="7015808B" w14:textId="77777777" w:rsidR="00F6125C" w:rsidRDefault="00F6125C" w:rsidP="004E2A40">
            <w:pPr>
              <w:pStyle w:val="TableText0"/>
              <w:keepNext w:val="0"/>
              <w:widowControl w:val="0"/>
              <w:jc w:val="center"/>
              <w:rPr>
                <w:b/>
              </w:rPr>
            </w:pPr>
            <w:r w:rsidRPr="00C623FC">
              <w:rPr>
                <w:b/>
                <w:bCs w:val="0"/>
              </w:rPr>
              <w:t>0.86 (0.75, 0.99)</w:t>
            </w:r>
          </w:p>
        </w:tc>
      </w:tr>
      <w:tr w:rsidR="00F6125C" w:rsidRPr="00C623FC" w14:paraId="16191C9C" w14:textId="77777777" w:rsidTr="00F6125C">
        <w:trPr>
          <w:trHeight w:val="58"/>
          <w:tblHeader/>
        </w:trPr>
        <w:tc>
          <w:tcPr>
            <w:tcW w:w="3686" w:type="dxa"/>
            <w:tcBorders>
              <w:top w:val="single" w:sz="4" w:space="0" w:color="auto"/>
              <w:left w:val="single" w:sz="4" w:space="0" w:color="auto"/>
              <w:bottom w:val="single" w:sz="4" w:space="0" w:color="auto"/>
              <w:right w:val="single" w:sz="4" w:space="0" w:color="auto"/>
            </w:tcBorders>
            <w:vAlign w:val="center"/>
          </w:tcPr>
          <w:p w14:paraId="5831F80D" w14:textId="77777777" w:rsidR="00F6125C" w:rsidRPr="00634FE6" w:rsidRDefault="00F6125C" w:rsidP="004E2A40">
            <w:pPr>
              <w:pStyle w:val="TableText0"/>
              <w:widowControl w:val="0"/>
              <w:rPr>
                <w:bCs w:val="0"/>
              </w:rPr>
            </w:pPr>
            <w:r w:rsidRPr="00634FE6">
              <w:rPr>
                <w:bCs w:val="0"/>
              </w:rPr>
              <w:t xml:space="preserve">FIGARO-DKD </w:t>
            </w:r>
            <w:r>
              <w:rPr>
                <w:bCs w:val="0"/>
              </w:rPr>
              <w:t>(</w:t>
            </w:r>
            <w:r w:rsidRPr="00634FE6">
              <w:rPr>
                <w:bCs w:val="0"/>
              </w:rPr>
              <w:t>primary outcome</w:t>
            </w:r>
            <w:r>
              <w:rPr>
                <w:bCs w:val="0"/>
              </w:rPr>
              <w:t>)</w:t>
            </w:r>
          </w:p>
        </w:tc>
        <w:tc>
          <w:tcPr>
            <w:tcW w:w="1842" w:type="dxa"/>
            <w:tcBorders>
              <w:top w:val="single" w:sz="4" w:space="0" w:color="auto"/>
              <w:left w:val="single" w:sz="4" w:space="0" w:color="auto"/>
              <w:bottom w:val="single" w:sz="4" w:space="0" w:color="auto"/>
              <w:right w:val="single" w:sz="4" w:space="0" w:color="auto"/>
            </w:tcBorders>
            <w:vAlign w:val="center"/>
          </w:tcPr>
          <w:p w14:paraId="1005FA12" w14:textId="77777777" w:rsidR="00F6125C" w:rsidRPr="00C623FC" w:rsidRDefault="00F6125C" w:rsidP="004E2A40">
            <w:pPr>
              <w:pStyle w:val="TableText0"/>
              <w:widowControl w:val="0"/>
              <w:jc w:val="center"/>
              <w:rPr>
                <w:b/>
              </w:rPr>
            </w:pPr>
            <w:r w:rsidRPr="00C623FC">
              <w:t>458/3,686 (12.4%)</w:t>
            </w:r>
          </w:p>
        </w:tc>
        <w:tc>
          <w:tcPr>
            <w:tcW w:w="1843" w:type="dxa"/>
            <w:tcBorders>
              <w:top w:val="single" w:sz="4" w:space="0" w:color="auto"/>
              <w:left w:val="single" w:sz="4" w:space="0" w:color="auto"/>
              <w:bottom w:val="single" w:sz="4" w:space="0" w:color="auto"/>
              <w:right w:val="single" w:sz="4" w:space="0" w:color="auto"/>
            </w:tcBorders>
            <w:vAlign w:val="center"/>
          </w:tcPr>
          <w:p w14:paraId="505734DE" w14:textId="77777777" w:rsidR="00F6125C" w:rsidRPr="00C623FC" w:rsidRDefault="00F6125C" w:rsidP="004E2A40">
            <w:pPr>
              <w:pStyle w:val="TableText0"/>
              <w:widowControl w:val="0"/>
              <w:jc w:val="center"/>
              <w:rPr>
                <w:b/>
              </w:rPr>
            </w:pPr>
            <w:r w:rsidRPr="00C623FC">
              <w:t>519/3,666 (14.2%)</w:t>
            </w:r>
          </w:p>
        </w:tc>
        <w:tc>
          <w:tcPr>
            <w:tcW w:w="1646" w:type="dxa"/>
            <w:tcBorders>
              <w:top w:val="single" w:sz="4" w:space="0" w:color="auto"/>
              <w:left w:val="single" w:sz="4" w:space="0" w:color="auto"/>
              <w:bottom w:val="single" w:sz="4" w:space="0" w:color="auto"/>
              <w:right w:val="single" w:sz="4" w:space="0" w:color="auto"/>
            </w:tcBorders>
            <w:vAlign w:val="center"/>
          </w:tcPr>
          <w:p w14:paraId="3C94088F" w14:textId="77777777" w:rsidR="00F6125C" w:rsidRDefault="00F6125C" w:rsidP="004E2A40">
            <w:pPr>
              <w:pStyle w:val="TableText0"/>
              <w:keepNext w:val="0"/>
              <w:widowControl w:val="0"/>
              <w:jc w:val="center"/>
              <w:rPr>
                <w:b/>
              </w:rPr>
            </w:pPr>
            <w:r w:rsidRPr="00C623FC">
              <w:rPr>
                <w:b/>
                <w:bCs w:val="0"/>
              </w:rPr>
              <w:t>0.87 (0.76, 0.98)</w:t>
            </w:r>
          </w:p>
        </w:tc>
      </w:tr>
      <w:tr w:rsidR="00F6125C" w:rsidRPr="00C623FC" w14:paraId="30CEA2F7" w14:textId="77777777" w:rsidTr="00F6125C">
        <w:trPr>
          <w:trHeight w:val="58"/>
          <w:tblHeader/>
        </w:trPr>
        <w:tc>
          <w:tcPr>
            <w:tcW w:w="3686" w:type="dxa"/>
            <w:tcBorders>
              <w:top w:val="single" w:sz="4" w:space="0" w:color="auto"/>
              <w:left w:val="single" w:sz="4" w:space="0" w:color="auto"/>
              <w:bottom w:val="single" w:sz="4" w:space="0" w:color="auto"/>
              <w:right w:val="single" w:sz="4" w:space="0" w:color="auto"/>
            </w:tcBorders>
            <w:vAlign w:val="center"/>
          </w:tcPr>
          <w:p w14:paraId="5C6B4B29" w14:textId="77777777" w:rsidR="00F6125C" w:rsidRPr="00C623FC" w:rsidRDefault="00F6125C" w:rsidP="004E2A40">
            <w:pPr>
              <w:pStyle w:val="TableText0"/>
              <w:widowControl w:val="0"/>
            </w:pPr>
            <w:r>
              <w:t>FIDELITY pooled analysis</w:t>
            </w:r>
          </w:p>
        </w:tc>
        <w:tc>
          <w:tcPr>
            <w:tcW w:w="1842" w:type="dxa"/>
            <w:tcBorders>
              <w:top w:val="single" w:sz="4" w:space="0" w:color="auto"/>
              <w:left w:val="single" w:sz="4" w:space="0" w:color="auto"/>
              <w:bottom w:val="single" w:sz="4" w:space="0" w:color="auto"/>
              <w:right w:val="single" w:sz="4" w:space="0" w:color="auto"/>
            </w:tcBorders>
            <w:vAlign w:val="center"/>
          </w:tcPr>
          <w:p w14:paraId="1B2F5078" w14:textId="77777777" w:rsidR="00F6125C" w:rsidRPr="00C623FC" w:rsidRDefault="00F6125C" w:rsidP="004E2A40">
            <w:pPr>
              <w:pStyle w:val="TableText0"/>
              <w:widowControl w:val="0"/>
              <w:jc w:val="center"/>
              <w:rPr>
                <w:b/>
              </w:rPr>
            </w:pPr>
            <w:r w:rsidRPr="00C623FC">
              <w:t>825 (12.7%)</w:t>
            </w:r>
          </w:p>
        </w:tc>
        <w:tc>
          <w:tcPr>
            <w:tcW w:w="1843" w:type="dxa"/>
            <w:tcBorders>
              <w:top w:val="single" w:sz="4" w:space="0" w:color="auto"/>
              <w:left w:val="single" w:sz="4" w:space="0" w:color="auto"/>
              <w:bottom w:val="single" w:sz="4" w:space="0" w:color="auto"/>
              <w:right w:val="single" w:sz="4" w:space="0" w:color="auto"/>
            </w:tcBorders>
            <w:vAlign w:val="center"/>
          </w:tcPr>
          <w:p w14:paraId="012EC6A4" w14:textId="77777777" w:rsidR="00F6125C" w:rsidRPr="00C623FC" w:rsidRDefault="00F6125C" w:rsidP="004E2A40">
            <w:pPr>
              <w:pStyle w:val="TableText0"/>
              <w:widowControl w:val="0"/>
              <w:jc w:val="center"/>
              <w:rPr>
                <w:b/>
              </w:rPr>
            </w:pPr>
            <w:r w:rsidRPr="00C623FC">
              <w:t>939 (14.4%)</w:t>
            </w:r>
          </w:p>
        </w:tc>
        <w:tc>
          <w:tcPr>
            <w:tcW w:w="1646" w:type="dxa"/>
            <w:tcBorders>
              <w:top w:val="single" w:sz="4" w:space="0" w:color="auto"/>
              <w:left w:val="single" w:sz="4" w:space="0" w:color="auto"/>
              <w:bottom w:val="single" w:sz="4" w:space="0" w:color="auto"/>
              <w:right w:val="single" w:sz="4" w:space="0" w:color="auto"/>
            </w:tcBorders>
            <w:vAlign w:val="center"/>
          </w:tcPr>
          <w:p w14:paraId="7A873A25" w14:textId="77777777" w:rsidR="00F6125C" w:rsidRDefault="00F6125C" w:rsidP="004E2A40">
            <w:pPr>
              <w:pStyle w:val="TableText0"/>
              <w:keepNext w:val="0"/>
              <w:widowControl w:val="0"/>
              <w:jc w:val="center"/>
              <w:rPr>
                <w:b/>
              </w:rPr>
            </w:pPr>
            <w:r w:rsidRPr="00C623FC">
              <w:rPr>
                <w:b/>
                <w:bCs w:val="0"/>
              </w:rPr>
              <w:t>0.86 (0.78, 0.95)</w:t>
            </w:r>
          </w:p>
        </w:tc>
      </w:tr>
      <w:tr w:rsidR="00F6125C" w:rsidRPr="00C623FC" w14:paraId="20CE2EBF" w14:textId="77777777" w:rsidTr="00F6125C">
        <w:trPr>
          <w:trHeight w:val="58"/>
          <w:tblHeader/>
        </w:trPr>
        <w:tc>
          <w:tcPr>
            <w:tcW w:w="9017" w:type="dxa"/>
            <w:gridSpan w:val="4"/>
            <w:tcBorders>
              <w:top w:val="single" w:sz="4" w:space="0" w:color="auto"/>
              <w:left w:val="single" w:sz="4" w:space="0" w:color="auto"/>
              <w:bottom w:val="single" w:sz="4" w:space="0" w:color="auto"/>
              <w:right w:val="single" w:sz="4" w:space="0" w:color="auto"/>
            </w:tcBorders>
            <w:vAlign w:val="center"/>
          </w:tcPr>
          <w:p w14:paraId="024EB6F9" w14:textId="77777777" w:rsidR="00F6125C" w:rsidRDefault="00F6125C" w:rsidP="004E2A40">
            <w:pPr>
              <w:pStyle w:val="TableText0"/>
              <w:keepNext w:val="0"/>
              <w:widowControl w:val="0"/>
              <w:rPr>
                <w:b/>
              </w:rPr>
            </w:pPr>
            <w:r w:rsidRPr="00477B6E">
              <w:rPr>
                <w:b/>
              </w:rPr>
              <w:t>Composite renal events (including ≥ 40% decrease in eGFR)</w:t>
            </w:r>
            <w:r w:rsidRPr="00634FE6">
              <w:rPr>
                <w:b/>
                <w:vertAlign w:val="superscript"/>
              </w:rPr>
              <w:t>b</w:t>
            </w:r>
          </w:p>
        </w:tc>
      </w:tr>
      <w:tr w:rsidR="00F6125C" w:rsidRPr="00C623FC" w14:paraId="2D678243" w14:textId="77777777" w:rsidTr="00F6125C">
        <w:trPr>
          <w:trHeight w:val="58"/>
          <w:tblHeader/>
        </w:trPr>
        <w:tc>
          <w:tcPr>
            <w:tcW w:w="3686" w:type="dxa"/>
            <w:tcBorders>
              <w:top w:val="single" w:sz="4" w:space="0" w:color="auto"/>
              <w:left w:val="single" w:sz="4" w:space="0" w:color="auto"/>
              <w:bottom w:val="single" w:sz="4" w:space="0" w:color="auto"/>
              <w:right w:val="single" w:sz="4" w:space="0" w:color="auto"/>
            </w:tcBorders>
            <w:vAlign w:val="center"/>
          </w:tcPr>
          <w:p w14:paraId="20E42963" w14:textId="77777777" w:rsidR="00F6125C" w:rsidRPr="00634FE6" w:rsidRDefault="00F6125C" w:rsidP="004E2A40">
            <w:pPr>
              <w:pStyle w:val="TableText0"/>
              <w:widowControl w:val="0"/>
              <w:rPr>
                <w:bCs w:val="0"/>
              </w:rPr>
            </w:pPr>
            <w:r w:rsidRPr="00634FE6">
              <w:rPr>
                <w:bCs w:val="0"/>
              </w:rPr>
              <w:t>FIDELIO-DKD (primary outcome)</w:t>
            </w:r>
          </w:p>
        </w:tc>
        <w:tc>
          <w:tcPr>
            <w:tcW w:w="1842" w:type="dxa"/>
            <w:tcBorders>
              <w:top w:val="single" w:sz="4" w:space="0" w:color="auto"/>
              <w:left w:val="single" w:sz="4" w:space="0" w:color="auto"/>
              <w:bottom w:val="single" w:sz="4" w:space="0" w:color="auto"/>
              <w:right w:val="single" w:sz="4" w:space="0" w:color="auto"/>
            </w:tcBorders>
            <w:vAlign w:val="center"/>
          </w:tcPr>
          <w:p w14:paraId="6C1476D5" w14:textId="77777777" w:rsidR="00F6125C" w:rsidRPr="00C623FC" w:rsidRDefault="00F6125C" w:rsidP="004E2A40">
            <w:pPr>
              <w:pStyle w:val="TableText0"/>
              <w:widowControl w:val="0"/>
              <w:jc w:val="center"/>
              <w:rPr>
                <w:b/>
              </w:rPr>
            </w:pPr>
            <w:r w:rsidRPr="00C623FC">
              <w:t>504/2,833 (17.8%)</w:t>
            </w:r>
          </w:p>
        </w:tc>
        <w:tc>
          <w:tcPr>
            <w:tcW w:w="1843" w:type="dxa"/>
            <w:tcBorders>
              <w:top w:val="single" w:sz="4" w:space="0" w:color="auto"/>
              <w:left w:val="single" w:sz="4" w:space="0" w:color="auto"/>
              <w:bottom w:val="single" w:sz="4" w:space="0" w:color="auto"/>
              <w:right w:val="single" w:sz="4" w:space="0" w:color="auto"/>
            </w:tcBorders>
            <w:vAlign w:val="center"/>
          </w:tcPr>
          <w:p w14:paraId="681FA83C" w14:textId="77777777" w:rsidR="00F6125C" w:rsidRPr="00C623FC" w:rsidRDefault="00F6125C" w:rsidP="004E2A40">
            <w:pPr>
              <w:pStyle w:val="TableText0"/>
              <w:widowControl w:val="0"/>
              <w:jc w:val="center"/>
              <w:rPr>
                <w:b/>
              </w:rPr>
            </w:pPr>
            <w:r w:rsidRPr="00C623FC">
              <w:t>600/2,841 (21.1%)</w:t>
            </w:r>
          </w:p>
        </w:tc>
        <w:tc>
          <w:tcPr>
            <w:tcW w:w="1646" w:type="dxa"/>
            <w:tcBorders>
              <w:top w:val="single" w:sz="4" w:space="0" w:color="auto"/>
              <w:left w:val="single" w:sz="4" w:space="0" w:color="auto"/>
              <w:bottom w:val="single" w:sz="4" w:space="0" w:color="auto"/>
              <w:right w:val="single" w:sz="4" w:space="0" w:color="auto"/>
            </w:tcBorders>
            <w:vAlign w:val="center"/>
          </w:tcPr>
          <w:p w14:paraId="21860481" w14:textId="77777777" w:rsidR="00F6125C" w:rsidRDefault="00F6125C" w:rsidP="004E2A40">
            <w:pPr>
              <w:pStyle w:val="TableText0"/>
              <w:keepNext w:val="0"/>
              <w:widowControl w:val="0"/>
              <w:jc w:val="center"/>
              <w:rPr>
                <w:b/>
              </w:rPr>
            </w:pPr>
            <w:r w:rsidRPr="00C623FC">
              <w:rPr>
                <w:b/>
                <w:bCs w:val="0"/>
              </w:rPr>
              <w:t>0.83 (0.73, 0.93)</w:t>
            </w:r>
          </w:p>
        </w:tc>
      </w:tr>
      <w:tr w:rsidR="00F6125C" w:rsidRPr="00C623FC" w14:paraId="572A9B28" w14:textId="77777777" w:rsidTr="00F6125C">
        <w:trPr>
          <w:trHeight w:val="58"/>
          <w:tblHeader/>
        </w:trPr>
        <w:tc>
          <w:tcPr>
            <w:tcW w:w="3686" w:type="dxa"/>
            <w:tcBorders>
              <w:top w:val="single" w:sz="4" w:space="0" w:color="auto"/>
              <w:left w:val="single" w:sz="4" w:space="0" w:color="auto"/>
              <w:bottom w:val="single" w:sz="4" w:space="0" w:color="auto"/>
              <w:right w:val="single" w:sz="4" w:space="0" w:color="auto"/>
            </w:tcBorders>
            <w:vAlign w:val="center"/>
          </w:tcPr>
          <w:p w14:paraId="76FCFD0F" w14:textId="77777777" w:rsidR="00F6125C" w:rsidRPr="00634FE6" w:rsidRDefault="00F6125C" w:rsidP="004E2A40">
            <w:pPr>
              <w:pStyle w:val="TableText0"/>
              <w:widowControl w:val="0"/>
            </w:pPr>
            <w:r w:rsidRPr="00634FE6">
              <w:t>FIGARO-DKD</w:t>
            </w:r>
          </w:p>
        </w:tc>
        <w:tc>
          <w:tcPr>
            <w:tcW w:w="1842" w:type="dxa"/>
            <w:tcBorders>
              <w:top w:val="single" w:sz="4" w:space="0" w:color="auto"/>
              <w:left w:val="single" w:sz="4" w:space="0" w:color="auto"/>
              <w:bottom w:val="single" w:sz="4" w:space="0" w:color="auto"/>
              <w:right w:val="single" w:sz="4" w:space="0" w:color="auto"/>
            </w:tcBorders>
            <w:vAlign w:val="center"/>
          </w:tcPr>
          <w:p w14:paraId="6285158B" w14:textId="77777777" w:rsidR="00F6125C" w:rsidRPr="00C623FC" w:rsidRDefault="00F6125C" w:rsidP="004E2A40">
            <w:pPr>
              <w:pStyle w:val="TableText0"/>
              <w:widowControl w:val="0"/>
              <w:jc w:val="center"/>
              <w:rPr>
                <w:b/>
              </w:rPr>
            </w:pPr>
            <w:r w:rsidRPr="00C623FC">
              <w:t>350/3,686 (9.5%)</w:t>
            </w:r>
          </w:p>
        </w:tc>
        <w:tc>
          <w:tcPr>
            <w:tcW w:w="1843" w:type="dxa"/>
            <w:tcBorders>
              <w:top w:val="single" w:sz="4" w:space="0" w:color="auto"/>
              <w:left w:val="single" w:sz="4" w:space="0" w:color="auto"/>
              <w:bottom w:val="single" w:sz="4" w:space="0" w:color="auto"/>
              <w:right w:val="single" w:sz="4" w:space="0" w:color="auto"/>
            </w:tcBorders>
            <w:vAlign w:val="center"/>
          </w:tcPr>
          <w:p w14:paraId="26986152" w14:textId="77777777" w:rsidR="00F6125C" w:rsidRPr="00C623FC" w:rsidRDefault="00F6125C" w:rsidP="004E2A40">
            <w:pPr>
              <w:pStyle w:val="TableText0"/>
              <w:widowControl w:val="0"/>
              <w:jc w:val="center"/>
              <w:rPr>
                <w:b/>
              </w:rPr>
            </w:pPr>
            <w:r w:rsidRPr="00C623FC">
              <w:t>395/3,666 (10.8%)</w:t>
            </w:r>
          </w:p>
        </w:tc>
        <w:tc>
          <w:tcPr>
            <w:tcW w:w="1646" w:type="dxa"/>
            <w:tcBorders>
              <w:top w:val="single" w:sz="4" w:space="0" w:color="auto"/>
              <w:left w:val="single" w:sz="4" w:space="0" w:color="auto"/>
              <w:bottom w:val="single" w:sz="4" w:space="0" w:color="auto"/>
              <w:right w:val="single" w:sz="4" w:space="0" w:color="auto"/>
            </w:tcBorders>
            <w:vAlign w:val="center"/>
          </w:tcPr>
          <w:p w14:paraId="3EDA48E0" w14:textId="77777777" w:rsidR="00F6125C" w:rsidRDefault="00F6125C" w:rsidP="004E2A40">
            <w:pPr>
              <w:pStyle w:val="TableText0"/>
              <w:keepNext w:val="0"/>
              <w:widowControl w:val="0"/>
              <w:jc w:val="center"/>
              <w:rPr>
                <w:b/>
              </w:rPr>
            </w:pPr>
            <w:r w:rsidRPr="00C623FC">
              <w:t>0.87 (0.76, 1.01)</w:t>
            </w:r>
          </w:p>
        </w:tc>
      </w:tr>
      <w:tr w:rsidR="00F6125C" w:rsidRPr="00C623FC" w14:paraId="549C5701" w14:textId="77777777" w:rsidTr="00F6125C">
        <w:trPr>
          <w:trHeight w:val="58"/>
          <w:tblHeader/>
        </w:trPr>
        <w:tc>
          <w:tcPr>
            <w:tcW w:w="3686" w:type="dxa"/>
            <w:tcBorders>
              <w:top w:val="single" w:sz="4" w:space="0" w:color="auto"/>
              <w:left w:val="single" w:sz="4" w:space="0" w:color="auto"/>
              <w:bottom w:val="single" w:sz="4" w:space="0" w:color="auto"/>
              <w:right w:val="single" w:sz="4" w:space="0" w:color="auto"/>
            </w:tcBorders>
            <w:vAlign w:val="center"/>
          </w:tcPr>
          <w:p w14:paraId="188F28F2" w14:textId="77777777" w:rsidR="00F6125C" w:rsidRPr="00634FE6" w:rsidRDefault="00F6125C" w:rsidP="004E2A40">
            <w:pPr>
              <w:pStyle w:val="TableText0"/>
              <w:widowControl w:val="0"/>
            </w:pPr>
            <w:r>
              <w:t>FIDELITY pooled analysis</w:t>
            </w:r>
          </w:p>
        </w:tc>
        <w:tc>
          <w:tcPr>
            <w:tcW w:w="1842" w:type="dxa"/>
            <w:tcBorders>
              <w:top w:val="single" w:sz="4" w:space="0" w:color="auto"/>
              <w:left w:val="single" w:sz="4" w:space="0" w:color="auto"/>
              <w:bottom w:val="single" w:sz="4" w:space="0" w:color="auto"/>
              <w:right w:val="single" w:sz="4" w:space="0" w:color="auto"/>
            </w:tcBorders>
            <w:vAlign w:val="center"/>
          </w:tcPr>
          <w:p w14:paraId="47229678" w14:textId="77777777" w:rsidR="00F6125C" w:rsidRPr="00C623FC" w:rsidRDefault="00F6125C" w:rsidP="004E2A40">
            <w:pPr>
              <w:pStyle w:val="TableText0"/>
              <w:widowControl w:val="0"/>
              <w:jc w:val="center"/>
            </w:pPr>
            <w:r w:rsidRPr="00C623FC">
              <w:t>854 (13.1%)</w:t>
            </w:r>
          </w:p>
        </w:tc>
        <w:tc>
          <w:tcPr>
            <w:tcW w:w="1843" w:type="dxa"/>
            <w:tcBorders>
              <w:top w:val="single" w:sz="4" w:space="0" w:color="auto"/>
              <w:left w:val="single" w:sz="4" w:space="0" w:color="auto"/>
              <w:bottom w:val="single" w:sz="4" w:space="0" w:color="auto"/>
              <w:right w:val="single" w:sz="4" w:space="0" w:color="auto"/>
            </w:tcBorders>
            <w:vAlign w:val="center"/>
          </w:tcPr>
          <w:p w14:paraId="14F3492C" w14:textId="77777777" w:rsidR="00F6125C" w:rsidRPr="00C623FC" w:rsidRDefault="00F6125C" w:rsidP="004E2A40">
            <w:pPr>
              <w:pStyle w:val="TableText0"/>
              <w:widowControl w:val="0"/>
              <w:jc w:val="center"/>
            </w:pPr>
            <w:r w:rsidRPr="00C623FC">
              <w:t>995 (15.3%)</w:t>
            </w:r>
          </w:p>
        </w:tc>
        <w:tc>
          <w:tcPr>
            <w:tcW w:w="1646" w:type="dxa"/>
            <w:tcBorders>
              <w:top w:val="single" w:sz="4" w:space="0" w:color="auto"/>
              <w:left w:val="single" w:sz="4" w:space="0" w:color="auto"/>
              <w:bottom w:val="single" w:sz="4" w:space="0" w:color="auto"/>
              <w:right w:val="single" w:sz="4" w:space="0" w:color="auto"/>
            </w:tcBorders>
            <w:vAlign w:val="center"/>
          </w:tcPr>
          <w:p w14:paraId="544ACCB6" w14:textId="77777777" w:rsidR="00F6125C" w:rsidRPr="00C623FC" w:rsidRDefault="00F6125C" w:rsidP="004E2A40">
            <w:pPr>
              <w:pStyle w:val="TableText0"/>
              <w:keepNext w:val="0"/>
              <w:widowControl w:val="0"/>
              <w:jc w:val="center"/>
            </w:pPr>
            <w:r w:rsidRPr="00C623FC">
              <w:rPr>
                <w:b/>
                <w:bCs w:val="0"/>
              </w:rPr>
              <w:t>0.85 (0.77, 0.93)</w:t>
            </w:r>
          </w:p>
        </w:tc>
      </w:tr>
      <w:tr w:rsidR="00F6125C" w:rsidRPr="00C623FC" w14:paraId="22D9D3C5" w14:textId="77777777" w:rsidTr="00F6125C">
        <w:trPr>
          <w:trHeight w:val="58"/>
          <w:tblHeader/>
        </w:trPr>
        <w:tc>
          <w:tcPr>
            <w:tcW w:w="9017" w:type="dxa"/>
            <w:gridSpan w:val="4"/>
            <w:tcBorders>
              <w:top w:val="single" w:sz="4" w:space="0" w:color="auto"/>
              <w:left w:val="single" w:sz="4" w:space="0" w:color="auto"/>
              <w:bottom w:val="single" w:sz="4" w:space="0" w:color="auto"/>
              <w:right w:val="single" w:sz="4" w:space="0" w:color="auto"/>
            </w:tcBorders>
            <w:vAlign w:val="center"/>
          </w:tcPr>
          <w:p w14:paraId="0CC2A8FE" w14:textId="77777777" w:rsidR="00F6125C" w:rsidRPr="00C623FC" w:rsidRDefault="00F6125C" w:rsidP="004E2A40">
            <w:pPr>
              <w:pStyle w:val="TableText0"/>
              <w:keepNext w:val="0"/>
              <w:widowControl w:val="0"/>
            </w:pPr>
            <w:r w:rsidRPr="00477B6E">
              <w:rPr>
                <w:b/>
              </w:rPr>
              <w:t xml:space="preserve">Composite renal events (including ≥ </w:t>
            </w:r>
            <w:r>
              <w:rPr>
                <w:b/>
              </w:rPr>
              <w:t>57</w:t>
            </w:r>
            <w:r w:rsidRPr="00477B6E">
              <w:rPr>
                <w:b/>
              </w:rPr>
              <w:t>% decrease in eGFR)</w:t>
            </w:r>
            <w:r w:rsidRPr="00634FE6">
              <w:rPr>
                <w:b/>
                <w:vertAlign w:val="superscript"/>
              </w:rPr>
              <w:t>c</w:t>
            </w:r>
          </w:p>
        </w:tc>
      </w:tr>
      <w:tr w:rsidR="00F6125C" w:rsidRPr="00C623FC" w14:paraId="11DC8CE6" w14:textId="77777777" w:rsidTr="00F6125C">
        <w:trPr>
          <w:trHeight w:val="58"/>
          <w:tblHeader/>
        </w:trPr>
        <w:tc>
          <w:tcPr>
            <w:tcW w:w="3686" w:type="dxa"/>
            <w:tcBorders>
              <w:top w:val="single" w:sz="4" w:space="0" w:color="auto"/>
              <w:left w:val="single" w:sz="4" w:space="0" w:color="auto"/>
              <w:bottom w:val="single" w:sz="4" w:space="0" w:color="auto"/>
              <w:right w:val="single" w:sz="4" w:space="0" w:color="auto"/>
            </w:tcBorders>
            <w:vAlign w:val="center"/>
          </w:tcPr>
          <w:p w14:paraId="199DE896" w14:textId="77777777" w:rsidR="00F6125C" w:rsidRPr="00C623FC" w:rsidRDefault="00F6125C" w:rsidP="004E2A40">
            <w:pPr>
              <w:pStyle w:val="TableText0"/>
              <w:widowControl w:val="0"/>
            </w:pPr>
            <w:r w:rsidRPr="00634FE6">
              <w:rPr>
                <w:bCs w:val="0"/>
              </w:rPr>
              <w:t>FIDELIO-DKD (primary outcome)</w:t>
            </w:r>
          </w:p>
        </w:tc>
        <w:tc>
          <w:tcPr>
            <w:tcW w:w="1842" w:type="dxa"/>
            <w:tcBorders>
              <w:top w:val="single" w:sz="4" w:space="0" w:color="auto"/>
              <w:left w:val="single" w:sz="4" w:space="0" w:color="auto"/>
              <w:bottom w:val="single" w:sz="4" w:space="0" w:color="auto"/>
              <w:right w:val="single" w:sz="4" w:space="0" w:color="auto"/>
            </w:tcBorders>
            <w:vAlign w:val="center"/>
          </w:tcPr>
          <w:p w14:paraId="59F088EC" w14:textId="77777777" w:rsidR="00F6125C" w:rsidRPr="00C623FC" w:rsidRDefault="00F6125C" w:rsidP="004E2A40">
            <w:pPr>
              <w:pStyle w:val="TableText0"/>
              <w:widowControl w:val="0"/>
              <w:jc w:val="center"/>
              <w:rPr>
                <w:b/>
              </w:rPr>
            </w:pPr>
            <w:r w:rsidRPr="00C623FC">
              <w:t>252/2,833 (8.9%)</w:t>
            </w:r>
          </w:p>
        </w:tc>
        <w:tc>
          <w:tcPr>
            <w:tcW w:w="1843" w:type="dxa"/>
            <w:tcBorders>
              <w:top w:val="single" w:sz="4" w:space="0" w:color="auto"/>
              <w:left w:val="single" w:sz="4" w:space="0" w:color="auto"/>
              <w:bottom w:val="single" w:sz="4" w:space="0" w:color="auto"/>
              <w:right w:val="single" w:sz="4" w:space="0" w:color="auto"/>
            </w:tcBorders>
            <w:vAlign w:val="center"/>
          </w:tcPr>
          <w:p w14:paraId="7BC1BC0B" w14:textId="77777777" w:rsidR="00F6125C" w:rsidRPr="00C623FC" w:rsidRDefault="00F6125C" w:rsidP="004E2A40">
            <w:pPr>
              <w:pStyle w:val="TableText0"/>
              <w:widowControl w:val="0"/>
              <w:jc w:val="center"/>
              <w:rPr>
                <w:b/>
              </w:rPr>
            </w:pPr>
            <w:r w:rsidRPr="00C623FC">
              <w:t>326/2,841 (11.5%)</w:t>
            </w:r>
          </w:p>
        </w:tc>
        <w:tc>
          <w:tcPr>
            <w:tcW w:w="1646" w:type="dxa"/>
            <w:tcBorders>
              <w:top w:val="single" w:sz="4" w:space="0" w:color="auto"/>
              <w:left w:val="single" w:sz="4" w:space="0" w:color="auto"/>
              <w:bottom w:val="single" w:sz="4" w:space="0" w:color="auto"/>
              <w:right w:val="single" w:sz="4" w:space="0" w:color="auto"/>
            </w:tcBorders>
            <w:vAlign w:val="center"/>
          </w:tcPr>
          <w:p w14:paraId="5257EAEE" w14:textId="77777777" w:rsidR="00F6125C" w:rsidRDefault="00F6125C" w:rsidP="004E2A40">
            <w:pPr>
              <w:pStyle w:val="TableText0"/>
              <w:keepNext w:val="0"/>
              <w:widowControl w:val="0"/>
              <w:jc w:val="center"/>
              <w:rPr>
                <w:b/>
              </w:rPr>
            </w:pPr>
            <w:r w:rsidRPr="00074D44">
              <w:t>0.76 (0.65, 0.90)</w:t>
            </w:r>
          </w:p>
        </w:tc>
      </w:tr>
      <w:tr w:rsidR="00F6125C" w:rsidRPr="00C623FC" w14:paraId="11A1D60F" w14:textId="77777777" w:rsidTr="00F6125C">
        <w:trPr>
          <w:trHeight w:val="58"/>
          <w:tblHeader/>
        </w:trPr>
        <w:tc>
          <w:tcPr>
            <w:tcW w:w="3686" w:type="dxa"/>
            <w:tcBorders>
              <w:top w:val="single" w:sz="4" w:space="0" w:color="auto"/>
              <w:left w:val="single" w:sz="4" w:space="0" w:color="auto"/>
              <w:bottom w:val="single" w:sz="4" w:space="0" w:color="auto"/>
              <w:right w:val="single" w:sz="4" w:space="0" w:color="auto"/>
            </w:tcBorders>
            <w:vAlign w:val="center"/>
          </w:tcPr>
          <w:p w14:paraId="5515FE43" w14:textId="77777777" w:rsidR="00F6125C" w:rsidRPr="00C623FC" w:rsidRDefault="00F6125C" w:rsidP="004E2A40">
            <w:pPr>
              <w:pStyle w:val="TableText0"/>
              <w:widowControl w:val="0"/>
            </w:pPr>
            <w:r w:rsidRPr="00634FE6">
              <w:t>FIGARO-DKD</w:t>
            </w:r>
          </w:p>
        </w:tc>
        <w:tc>
          <w:tcPr>
            <w:tcW w:w="1842" w:type="dxa"/>
            <w:tcBorders>
              <w:top w:val="single" w:sz="4" w:space="0" w:color="auto"/>
              <w:left w:val="single" w:sz="4" w:space="0" w:color="auto"/>
              <w:bottom w:val="single" w:sz="4" w:space="0" w:color="auto"/>
              <w:right w:val="single" w:sz="4" w:space="0" w:color="auto"/>
            </w:tcBorders>
            <w:vAlign w:val="center"/>
          </w:tcPr>
          <w:p w14:paraId="47C83EB6" w14:textId="77777777" w:rsidR="00F6125C" w:rsidRPr="00C623FC" w:rsidRDefault="00F6125C" w:rsidP="004E2A40">
            <w:pPr>
              <w:pStyle w:val="TableText0"/>
              <w:widowControl w:val="0"/>
              <w:jc w:val="center"/>
              <w:rPr>
                <w:b/>
              </w:rPr>
            </w:pPr>
            <w:r w:rsidRPr="00C623FC">
              <w:t>108/3,686 (2.9%)</w:t>
            </w:r>
          </w:p>
        </w:tc>
        <w:tc>
          <w:tcPr>
            <w:tcW w:w="1843" w:type="dxa"/>
            <w:tcBorders>
              <w:top w:val="single" w:sz="4" w:space="0" w:color="auto"/>
              <w:left w:val="single" w:sz="4" w:space="0" w:color="auto"/>
              <w:bottom w:val="single" w:sz="4" w:space="0" w:color="auto"/>
              <w:right w:val="single" w:sz="4" w:space="0" w:color="auto"/>
            </w:tcBorders>
            <w:vAlign w:val="center"/>
          </w:tcPr>
          <w:p w14:paraId="681A94F2" w14:textId="77777777" w:rsidR="00F6125C" w:rsidRPr="00C623FC" w:rsidRDefault="00F6125C" w:rsidP="004E2A40">
            <w:pPr>
              <w:pStyle w:val="TableText0"/>
              <w:widowControl w:val="0"/>
              <w:jc w:val="center"/>
              <w:rPr>
                <w:b/>
              </w:rPr>
            </w:pPr>
            <w:r w:rsidRPr="00C623FC">
              <w:t>139/3,666 (3.8%)</w:t>
            </w:r>
          </w:p>
        </w:tc>
        <w:tc>
          <w:tcPr>
            <w:tcW w:w="1646" w:type="dxa"/>
            <w:tcBorders>
              <w:top w:val="single" w:sz="4" w:space="0" w:color="auto"/>
              <w:left w:val="single" w:sz="4" w:space="0" w:color="auto"/>
              <w:bottom w:val="single" w:sz="4" w:space="0" w:color="auto"/>
              <w:right w:val="single" w:sz="4" w:space="0" w:color="auto"/>
            </w:tcBorders>
            <w:vAlign w:val="center"/>
          </w:tcPr>
          <w:p w14:paraId="5ED0F708" w14:textId="77777777" w:rsidR="00F6125C" w:rsidRDefault="00F6125C" w:rsidP="004E2A40">
            <w:pPr>
              <w:pStyle w:val="TableText0"/>
              <w:keepNext w:val="0"/>
              <w:widowControl w:val="0"/>
              <w:jc w:val="center"/>
              <w:rPr>
                <w:b/>
              </w:rPr>
            </w:pPr>
            <w:r w:rsidRPr="00074D44">
              <w:t>0.77 (0.60, 0.99)</w:t>
            </w:r>
          </w:p>
        </w:tc>
      </w:tr>
      <w:tr w:rsidR="00F6125C" w:rsidRPr="00C623FC" w14:paraId="45F00FF6" w14:textId="77777777" w:rsidTr="00F6125C">
        <w:trPr>
          <w:trHeight w:val="58"/>
          <w:tblHeader/>
        </w:trPr>
        <w:tc>
          <w:tcPr>
            <w:tcW w:w="3686" w:type="dxa"/>
            <w:tcBorders>
              <w:top w:val="single" w:sz="4" w:space="0" w:color="auto"/>
              <w:left w:val="single" w:sz="4" w:space="0" w:color="auto"/>
              <w:right w:val="single" w:sz="4" w:space="0" w:color="auto"/>
            </w:tcBorders>
            <w:vAlign w:val="center"/>
          </w:tcPr>
          <w:p w14:paraId="089DC35C" w14:textId="77777777" w:rsidR="00F6125C" w:rsidRPr="00C623FC" w:rsidRDefault="00F6125C" w:rsidP="004E2A40">
            <w:pPr>
              <w:pStyle w:val="TableText0"/>
              <w:widowControl w:val="0"/>
            </w:pPr>
            <w:r>
              <w:t>FIDELITY pooled analysis</w:t>
            </w:r>
          </w:p>
        </w:tc>
        <w:tc>
          <w:tcPr>
            <w:tcW w:w="1842" w:type="dxa"/>
            <w:tcBorders>
              <w:top w:val="single" w:sz="4" w:space="0" w:color="auto"/>
              <w:left w:val="single" w:sz="4" w:space="0" w:color="auto"/>
              <w:right w:val="single" w:sz="4" w:space="0" w:color="auto"/>
            </w:tcBorders>
            <w:vAlign w:val="center"/>
          </w:tcPr>
          <w:p w14:paraId="275C65F5" w14:textId="77777777" w:rsidR="00F6125C" w:rsidRPr="00C623FC" w:rsidRDefault="00F6125C" w:rsidP="004E2A40">
            <w:pPr>
              <w:pStyle w:val="TableText0"/>
              <w:widowControl w:val="0"/>
              <w:jc w:val="center"/>
              <w:rPr>
                <w:b/>
              </w:rPr>
            </w:pPr>
            <w:r w:rsidRPr="00C623FC">
              <w:t>360 (5.5%)</w:t>
            </w:r>
          </w:p>
        </w:tc>
        <w:tc>
          <w:tcPr>
            <w:tcW w:w="1843" w:type="dxa"/>
            <w:tcBorders>
              <w:top w:val="single" w:sz="4" w:space="0" w:color="auto"/>
              <w:left w:val="single" w:sz="4" w:space="0" w:color="auto"/>
              <w:right w:val="single" w:sz="4" w:space="0" w:color="auto"/>
            </w:tcBorders>
            <w:vAlign w:val="center"/>
          </w:tcPr>
          <w:p w14:paraId="1EC03110" w14:textId="77777777" w:rsidR="00F6125C" w:rsidRPr="00C623FC" w:rsidRDefault="00F6125C" w:rsidP="004E2A40">
            <w:pPr>
              <w:pStyle w:val="TableText0"/>
              <w:widowControl w:val="0"/>
              <w:jc w:val="center"/>
              <w:rPr>
                <w:b/>
              </w:rPr>
            </w:pPr>
            <w:r w:rsidRPr="00C623FC">
              <w:t>465 (7.1%)</w:t>
            </w:r>
          </w:p>
        </w:tc>
        <w:tc>
          <w:tcPr>
            <w:tcW w:w="1646" w:type="dxa"/>
            <w:tcBorders>
              <w:top w:val="single" w:sz="4" w:space="0" w:color="auto"/>
              <w:left w:val="single" w:sz="4" w:space="0" w:color="auto"/>
              <w:right w:val="single" w:sz="4" w:space="0" w:color="auto"/>
            </w:tcBorders>
            <w:vAlign w:val="center"/>
          </w:tcPr>
          <w:p w14:paraId="4E26EA1C" w14:textId="77777777" w:rsidR="00F6125C" w:rsidRDefault="00F6125C" w:rsidP="004E2A40">
            <w:pPr>
              <w:pStyle w:val="TableText0"/>
              <w:keepNext w:val="0"/>
              <w:widowControl w:val="0"/>
              <w:jc w:val="center"/>
              <w:rPr>
                <w:b/>
              </w:rPr>
            </w:pPr>
            <w:r w:rsidRPr="00C623FC">
              <w:rPr>
                <w:b/>
                <w:bCs w:val="0"/>
              </w:rPr>
              <w:t>0.77 (0.67, 0.88)</w:t>
            </w:r>
          </w:p>
        </w:tc>
      </w:tr>
    </w:tbl>
    <w:p w14:paraId="7036DEB6" w14:textId="778A8389" w:rsidR="00F6125C" w:rsidRPr="00C623FC" w:rsidRDefault="00F6125C" w:rsidP="00F6125C">
      <w:pPr>
        <w:pStyle w:val="TableFooter"/>
      </w:pPr>
      <w:r w:rsidRPr="00C623FC">
        <w:t>Source: Table 3</w:t>
      </w:r>
      <w:r>
        <w:t xml:space="preserve">9, </w:t>
      </w:r>
      <w:r w:rsidRPr="00C623FC">
        <w:t>p</w:t>
      </w:r>
      <w:r>
        <w:t>63</w:t>
      </w:r>
      <w:r w:rsidR="00236463">
        <w:t>,</w:t>
      </w:r>
      <w:r w:rsidRPr="00C623FC">
        <w:t xml:space="preserve"> </w:t>
      </w:r>
      <w:r w:rsidR="00236463" w:rsidRPr="00C623FC">
        <w:t xml:space="preserve">Table </w:t>
      </w:r>
      <w:r w:rsidR="00236463">
        <w:t xml:space="preserve">40, </w:t>
      </w:r>
      <w:r w:rsidR="00236463" w:rsidRPr="00C623FC">
        <w:t>p</w:t>
      </w:r>
      <w:r w:rsidR="00236463">
        <w:t>64</w:t>
      </w:r>
      <w:r w:rsidR="00994760">
        <w:t>,</w:t>
      </w:r>
      <w:r w:rsidR="00236463" w:rsidRPr="00C623FC">
        <w:t xml:space="preserve"> </w:t>
      </w:r>
      <w:r w:rsidR="00236463">
        <w:t xml:space="preserve">Table 41, </w:t>
      </w:r>
      <w:r w:rsidR="00236463" w:rsidRPr="00C623FC">
        <w:t>p6</w:t>
      </w:r>
      <w:r w:rsidR="00236463">
        <w:t>5</w:t>
      </w:r>
      <w:r w:rsidR="00994760">
        <w:t xml:space="preserve">, Table </w:t>
      </w:r>
      <w:r w:rsidR="00446A69">
        <w:t>47, p72, and Table 48, p</w:t>
      </w:r>
      <w:r w:rsidR="00694D7C">
        <w:t>73</w:t>
      </w:r>
      <w:r w:rsidR="00236463" w:rsidRPr="00C623FC">
        <w:t xml:space="preserve"> </w:t>
      </w:r>
      <w:r w:rsidRPr="00C623FC">
        <w:t xml:space="preserve">of the </w:t>
      </w:r>
      <w:r>
        <w:t>re</w:t>
      </w:r>
      <w:r w:rsidRPr="00C623FC">
        <w:t>submission</w:t>
      </w:r>
      <w:r>
        <w:t>.</w:t>
      </w:r>
    </w:p>
    <w:p w14:paraId="040AE967" w14:textId="74BFEB65" w:rsidR="00F6125C" w:rsidRPr="00C623FC" w:rsidRDefault="00F6125C" w:rsidP="00F6125C">
      <w:pPr>
        <w:pStyle w:val="TableFooter"/>
      </w:pPr>
      <w:r w:rsidRPr="00C623FC">
        <w:t>Abbreviations: CI, confidence interval</w:t>
      </w:r>
      <w:r>
        <w:t xml:space="preserve">; </w:t>
      </w:r>
      <w:r w:rsidR="004D3A68" w:rsidRPr="00594BB2">
        <w:t xml:space="preserve">eGFR, estimated glomerular filtration rate; </w:t>
      </w:r>
      <w:r>
        <w:t>FAS, full analysis set.</w:t>
      </w:r>
    </w:p>
    <w:p w14:paraId="322B5318" w14:textId="01B670BD" w:rsidR="00694D7C" w:rsidRDefault="00694D7C" w:rsidP="00694D7C">
      <w:pPr>
        <w:pStyle w:val="TableFooter"/>
      </w:pPr>
      <w:r>
        <w:rPr>
          <w:vertAlign w:val="superscript"/>
        </w:rPr>
        <w:t>a</w:t>
      </w:r>
      <w:r>
        <w:t xml:space="preserve"> Composite of the </w:t>
      </w:r>
      <w:r w:rsidRPr="00332A40">
        <w:t>time to cardiovascular death, non-fatal myocardial infarction, non-fatal stroke, or hospitalisation due to heart failure</w:t>
      </w:r>
      <w:r w:rsidR="004D3A68">
        <w:t>.</w:t>
      </w:r>
    </w:p>
    <w:p w14:paraId="431F8900" w14:textId="4F0FBDA1" w:rsidR="00694D7C" w:rsidRDefault="00694D7C" w:rsidP="00694D7C">
      <w:pPr>
        <w:pStyle w:val="TableFooter"/>
      </w:pPr>
      <w:r>
        <w:rPr>
          <w:vertAlign w:val="superscript"/>
        </w:rPr>
        <w:t xml:space="preserve">b </w:t>
      </w:r>
      <w:r>
        <w:t xml:space="preserve">Composite of the </w:t>
      </w:r>
      <w:r w:rsidRPr="00625C2A">
        <w:t>time to kidney failure, sustained decrease of eGFR greater or equal to 40% from baseline over at least 4 weeks, or renal death</w:t>
      </w:r>
      <w:r w:rsidR="004D3A68">
        <w:t>.</w:t>
      </w:r>
    </w:p>
    <w:p w14:paraId="2BD79134" w14:textId="29EAA175" w:rsidR="00694D7C" w:rsidRPr="00332A40" w:rsidRDefault="00694D7C" w:rsidP="00694D7C">
      <w:pPr>
        <w:pStyle w:val="TableFooter"/>
      </w:pPr>
      <w:r>
        <w:rPr>
          <w:vertAlign w:val="superscript"/>
        </w:rPr>
        <w:t xml:space="preserve">c </w:t>
      </w:r>
      <w:r>
        <w:t xml:space="preserve">Composite of the </w:t>
      </w:r>
      <w:r w:rsidRPr="006C5B7F">
        <w:t xml:space="preserve">time to kidney failure, sustained decrease of eGFR greater or equal to </w:t>
      </w:r>
      <w:r>
        <w:t>57</w:t>
      </w:r>
      <w:r w:rsidRPr="006C5B7F">
        <w:t>% from baseline over at least 4 weeks, or renal death</w:t>
      </w:r>
      <w:r w:rsidR="004D3A68">
        <w:t>.</w:t>
      </w:r>
    </w:p>
    <w:p w14:paraId="31548186" w14:textId="11B7B21A" w:rsidR="00F6125C" w:rsidRPr="00C623FC" w:rsidRDefault="00F6125C" w:rsidP="00F6125C">
      <w:pPr>
        <w:pStyle w:val="TableFooter"/>
      </w:pPr>
      <w:r w:rsidRPr="00C623FC">
        <w:t xml:space="preserve">Note: </w:t>
      </w:r>
      <w:r>
        <w:t>Result in bold</w:t>
      </w:r>
      <w:r w:rsidRPr="00C623FC">
        <w:t xml:space="preserve"> </w:t>
      </w:r>
      <w:r w:rsidR="004D3A68">
        <w:t xml:space="preserve">are </w:t>
      </w:r>
      <w:r w:rsidRPr="00C623FC">
        <w:t>statistically significant</w:t>
      </w:r>
      <w:r>
        <w:t>.</w:t>
      </w:r>
    </w:p>
    <w:p w14:paraId="14E2BF66" w14:textId="4121BEA3" w:rsidR="00FD6033" w:rsidRPr="0019716B" w:rsidRDefault="0019716B" w:rsidP="00FD6033">
      <w:pPr>
        <w:pStyle w:val="COMexecsumnumberedpara"/>
        <w:rPr>
          <w:color w:val="0066FF"/>
        </w:rPr>
      </w:pPr>
      <w:bookmarkStart w:id="17" w:name="_Toc22897642"/>
      <w:r w:rsidRPr="00C623FC">
        <w:t>Treatment with finerenone was associated with statistically significant reduction</w:t>
      </w:r>
      <w:r>
        <w:t>s</w:t>
      </w:r>
      <w:r w:rsidRPr="00C623FC">
        <w:t xml:space="preserve"> in cardiovascular </w:t>
      </w:r>
      <w:r w:rsidR="00FF60A9">
        <w:t>events</w:t>
      </w:r>
      <w:r w:rsidR="00FF60A9" w:rsidRPr="00C623FC">
        <w:t xml:space="preserve"> compared to placebo</w:t>
      </w:r>
      <w:r w:rsidR="00FF60A9">
        <w:t xml:space="preserve"> </w:t>
      </w:r>
      <w:r w:rsidRPr="00C623FC">
        <w:t>and renal</w:t>
      </w:r>
      <w:r w:rsidR="00FF60A9">
        <w:t xml:space="preserve"> composite outcomes</w:t>
      </w:r>
      <w:r w:rsidRPr="00C623FC">
        <w:t xml:space="preserve"> </w:t>
      </w:r>
      <w:r w:rsidR="00FF60A9" w:rsidRPr="00C623FC">
        <w:t xml:space="preserve">(using </w:t>
      </w:r>
      <w:r w:rsidR="00FF60A9">
        <w:t xml:space="preserve">both </w:t>
      </w:r>
      <w:r w:rsidR="00FF60A9" w:rsidRPr="00C623FC">
        <w:t xml:space="preserve">the 40% </w:t>
      </w:r>
      <w:r w:rsidR="00FF60A9">
        <w:t>and</w:t>
      </w:r>
      <w:r w:rsidR="00FF60A9" w:rsidRPr="00C623FC">
        <w:t xml:space="preserve"> 57% eGFR threshold</w:t>
      </w:r>
      <w:r w:rsidR="00FF60A9">
        <w:t>s</w:t>
      </w:r>
      <w:r w:rsidR="00FF60A9" w:rsidRPr="00C623FC">
        <w:t>)</w:t>
      </w:r>
      <w:r w:rsidR="00FF60A9">
        <w:t xml:space="preserve"> in the pooled analysis</w:t>
      </w:r>
      <w:r w:rsidR="00A44455" w:rsidRPr="00C623FC">
        <w:t>.</w:t>
      </w:r>
    </w:p>
    <w:p w14:paraId="0FA6F4B0" w14:textId="41FDDC49" w:rsidR="0019716B" w:rsidRPr="00A67B62" w:rsidRDefault="00A67B62" w:rsidP="00FD6033">
      <w:pPr>
        <w:pStyle w:val="COMexecsumnumberedpara"/>
        <w:rPr>
          <w:color w:val="0066FF"/>
        </w:rPr>
      </w:pPr>
      <w:r w:rsidRPr="00C623FC">
        <w:t>Exploratory analyses of individual outcomes suggested that treatment with finerenone was associated with reductions in heart failure hospitalisation, worsening renal impairment and progression to kidney failure.</w:t>
      </w:r>
    </w:p>
    <w:p w14:paraId="42F8A8A6" w14:textId="663AB143" w:rsidR="00A67B62" w:rsidRPr="00AB32A4" w:rsidRDefault="00AB32A4" w:rsidP="00FD6033">
      <w:pPr>
        <w:pStyle w:val="COMexecsumnumberedpara"/>
        <w:rPr>
          <w:color w:val="0066FF"/>
        </w:rPr>
      </w:pPr>
      <w:bookmarkStart w:id="18" w:name="_Hlk127360321"/>
      <w:r w:rsidRPr="00C623FC">
        <w:t>Further exploratory analyses of cardiovascular mortality indicate that while finerenone was not associated with a statistically significant reduction in the broader category of cardiovascular death it may be associated with a reduction in sudden cardiac death and death due to heart failure</w:t>
      </w:r>
      <w:bookmarkEnd w:id="18"/>
      <w:r w:rsidRPr="00C623FC">
        <w:t>. However, further analyses of myocardial infarction and stroke exploratory outcomes did not clearly demonstrate a reduction in risk with finerenone treatment.</w:t>
      </w:r>
    </w:p>
    <w:p w14:paraId="3C433E1B" w14:textId="5BF5B190" w:rsidR="00AB32A4" w:rsidRPr="00A02951" w:rsidRDefault="00F16241" w:rsidP="00FD6033">
      <w:pPr>
        <w:pStyle w:val="COMexecsumnumberedpara"/>
        <w:rPr>
          <w:color w:val="0066FF"/>
        </w:rPr>
      </w:pPr>
      <w:r w:rsidRPr="00C623FC">
        <w:t>There were no major differences in quality of life scores (EQ-5D-5L and Kidney Disease Quality of Life, KDQOL-36) between finerenone and placebo treatment arms.</w:t>
      </w:r>
    </w:p>
    <w:p w14:paraId="7BA9C317" w14:textId="67A41BE4" w:rsidR="00A02951" w:rsidRPr="00C77E7E" w:rsidRDefault="00A02951" w:rsidP="00FD6033">
      <w:pPr>
        <w:pStyle w:val="COMexecsumnumberedpara"/>
        <w:rPr>
          <w:color w:val="0066FF"/>
        </w:rPr>
      </w:pPr>
      <w:r w:rsidRPr="00C623FC">
        <w:t xml:space="preserve">The </w:t>
      </w:r>
      <w:r>
        <w:t xml:space="preserve">pre-specified </w:t>
      </w:r>
      <w:r w:rsidRPr="00C623FC">
        <w:t>subgroup analyses of cardiovascular outcomes did not suggest any major treatment effect interactions.</w:t>
      </w:r>
    </w:p>
    <w:p w14:paraId="1DCEDA57" w14:textId="25B58DFB" w:rsidR="00C77E7E" w:rsidRPr="00FD6033" w:rsidRDefault="00C77E7E" w:rsidP="00FD6033">
      <w:pPr>
        <w:pStyle w:val="COMexecsumnumberedpara"/>
        <w:rPr>
          <w:color w:val="0066FF"/>
        </w:rPr>
      </w:pPr>
      <w:r w:rsidRPr="00842145">
        <w:rPr>
          <w:iCs/>
        </w:rPr>
        <w:t xml:space="preserve">The </w:t>
      </w:r>
      <w:r w:rsidR="004E44CD" w:rsidRPr="00842145">
        <w:rPr>
          <w:iCs/>
        </w:rPr>
        <w:t xml:space="preserve">pre-specified </w:t>
      </w:r>
      <w:r w:rsidRPr="00842145">
        <w:rPr>
          <w:iCs/>
        </w:rPr>
        <w:t>subgroup analyses of renal outcomes strongly suggested that baseline BMI was a treatment effect modifier. The subgroup analyses also suggested treatment effect interactions by region, race, albuminuria and baseline potassium.</w:t>
      </w:r>
    </w:p>
    <w:p w14:paraId="196C9BFB" w14:textId="70011EBC" w:rsidR="00FD6033" w:rsidRDefault="0099147A" w:rsidP="00D86231">
      <w:pPr>
        <w:pStyle w:val="COMexecsumnumberedpara"/>
      </w:pPr>
      <w:r>
        <w:t>T</w:t>
      </w:r>
      <w:r w:rsidR="00F41CE1" w:rsidRPr="00F41CE1">
        <w:t xml:space="preserve">he composite cardiovascular and renal events reported in the FIDELITY </w:t>
      </w:r>
      <w:r w:rsidR="00F41CE1" w:rsidRPr="0099147A">
        <w:rPr>
          <w:i/>
          <w:iCs/>
        </w:rPr>
        <w:t>post hoc</w:t>
      </w:r>
      <w:r w:rsidR="00F41CE1" w:rsidRPr="00F41CE1">
        <w:t xml:space="preserve"> subgroup analyses (baseline UACR ≥</w:t>
      </w:r>
      <w:r w:rsidR="004D3A68">
        <w:t xml:space="preserve"> </w:t>
      </w:r>
      <w:r w:rsidR="00F41CE1" w:rsidRPr="00F41CE1">
        <w:t>200 mg/g with and without SGLT2</w:t>
      </w:r>
      <w:r w:rsidR="00F41CE1">
        <w:t xml:space="preserve">i </w:t>
      </w:r>
      <w:r w:rsidR="00F41CE1" w:rsidRPr="00F41CE1">
        <w:t xml:space="preserve">use) are summarised in </w:t>
      </w:r>
      <w:r w:rsidR="00F41CE1">
        <w:fldChar w:fldCharType="begin"/>
      </w:r>
      <w:r w:rsidR="00F41CE1">
        <w:instrText xml:space="preserve"> REF _Ref124166843 \h </w:instrText>
      </w:r>
      <w:r w:rsidR="00F41CE1">
        <w:fldChar w:fldCharType="separate"/>
      </w:r>
      <w:r w:rsidR="005562EE">
        <w:t xml:space="preserve">Table </w:t>
      </w:r>
      <w:r w:rsidR="005562EE">
        <w:rPr>
          <w:noProof/>
        </w:rPr>
        <w:t>6</w:t>
      </w:r>
      <w:r w:rsidR="00F41CE1">
        <w:fldChar w:fldCharType="end"/>
      </w:r>
      <w:r w:rsidR="00F41CE1" w:rsidRPr="00F41CE1">
        <w:t xml:space="preserve"> below.</w:t>
      </w:r>
    </w:p>
    <w:p w14:paraId="22D4E68A" w14:textId="2A160579" w:rsidR="0046272C" w:rsidRDefault="0046272C" w:rsidP="0046272C">
      <w:pPr>
        <w:pStyle w:val="COMTableheadingrow"/>
      </w:pPr>
      <w:bookmarkStart w:id="19" w:name="_Ref124166843"/>
      <w:r>
        <w:t xml:space="preserve">Table </w:t>
      </w:r>
      <w:r>
        <w:fldChar w:fldCharType="begin"/>
      </w:r>
      <w:r>
        <w:instrText xml:space="preserve"> SEQ Table \* ARABIC </w:instrText>
      </w:r>
      <w:r>
        <w:fldChar w:fldCharType="separate"/>
      </w:r>
      <w:r w:rsidR="005562EE">
        <w:rPr>
          <w:noProof/>
        </w:rPr>
        <w:t>6</w:t>
      </w:r>
      <w:r>
        <w:rPr>
          <w:noProof/>
        </w:rPr>
        <w:fldChar w:fldCharType="end"/>
      </w:r>
      <w:bookmarkEnd w:id="19"/>
      <w:r>
        <w:t>:</w:t>
      </w:r>
      <w:r w:rsidRPr="003C2DE2">
        <w:t xml:space="preserve"> </w:t>
      </w:r>
      <w:r w:rsidRPr="00C623FC">
        <w:t xml:space="preserve">Composite cardiovascular </w:t>
      </w:r>
      <w:r>
        <w:t>and renal events</w:t>
      </w:r>
      <w:r w:rsidRPr="00C623FC">
        <w:t xml:space="preserve"> </w:t>
      </w:r>
      <w:r w:rsidRPr="009F51F3">
        <w:t xml:space="preserve">in </w:t>
      </w:r>
      <w:r>
        <w:t xml:space="preserve">the FIDELITY pooled data </w:t>
      </w:r>
      <w:r>
        <w:rPr>
          <w:i/>
          <w:iCs/>
        </w:rPr>
        <w:t xml:space="preserve">post hoc </w:t>
      </w:r>
      <w:r>
        <w:t>s</w:t>
      </w:r>
      <w:r w:rsidRPr="001B11F9">
        <w:t>ubgroup</w:t>
      </w:r>
      <w:r>
        <w:t xml:space="preserve"> analyses</w:t>
      </w:r>
      <w:r w:rsidRPr="001B11F9">
        <w:t xml:space="preserve"> </w:t>
      </w:r>
      <w:r>
        <w:t>(baseline UACR ≥ </w:t>
      </w:r>
      <w:r w:rsidRPr="001B11F9">
        <w:t>200 mg/g</w:t>
      </w:r>
      <w:r>
        <w:t xml:space="preserve"> with and without SGLT2i use; FAS)</w:t>
      </w:r>
    </w:p>
    <w:tbl>
      <w:tblPr>
        <w:tblStyle w:val="TableGrid"/>
        <w:tblW w:w="5000" w:type="pct"/>
        <w:tblLook w:val="04A0" w:firstRow="1" w:lastRow="0" w:firstColumn="1" w:lastColumn="0" w:noHBand="0" w:noVBand="1"/>
      </w:tblPr>
      <w:tblGrid>
        <w:gridCol w:w="1697"/>
        <w:gridCol w:w="1450"/>
        <w:gridCol w:w="1450"/>
        <w:gridCol w:w="1450"/>
        <w:gridCol w:w="1452"/>
        <w:gridCol w:w="1518"/>
      </w:tblGrid>
      <w:tr w:rsidR="0046272C" w:rsidRPr="002F34F1" w14:paraId="515150BE" w14:textId="77777777" w:rsidTr="004E2A40">
        <w:trPr>
          <w:tblHeader/>
        </w:trPr>
        <w:tc>
          <w:tcPr>
            <w:tcW w:w="941" w:type="pct"/>
            <w:vMerge w:val="restart"/>
            <w:vAlign w:val="center"/>
          </w:tcPr>
          <w:p w14:paraId="7268FC7F" w14:textId="77777777" w:rsidR="0046272C" w:rsidRPr="001B11F9" w:rsidRDefault="0046272C" w:rsidP="004E2A40">
            <w:pPr>
              <w:jc w:val="center"/>
              <w:rPr>
                <w:rFonts w:ascii="Arial Narrow" w:hAnsi="Arial Narrow"/>
                <w:sz w:val="20"/>
                <w:szCs w:val="20"/>
              </w:rPr>
            </w:pPr>
          </w:p>
        </w:tc>
        <w:tc>
          <w:tcPr>
            <w:tcW w:w="1608" w:type="pct"/>
            <w:gridSpan w:val="2"/>
            <w:vAlign w:val="center"/>
          </w:tcPr>
          <w:p w14:paraId="1E932C97" w14:textId="77777777" w:rsidR="003E446B" w:rsidRDefault="0046272C" w:rsidP="004E2A40">
            <w:pPr>
              <w:ind w:left="-44" w:right="-67"/>
              <w:jc w:val="center"/>
              <w:rPr>
                <w:rFonts w:ascii="Arial Narrow" w:hAnsi="Arial Narrow"/>
                <w:b/>
                <w:bCs/>
                <w:sz w:val="20"/>
                <w:szCs w:val="20"/>
              </w:rPr>
            </w:pPr>
            <w:r w:rsidRPr="002F34F1">
              <w:rPr>
                <w:rFonts w:ascii="Arial Narrow" w:hAnsi="Arial Narrow"/>
                <w:b/>
                <w:bCs/>
                <w:sz w:val="20"/>
                <w:szCs w:val="20"/>
              </w:rPr>
              <w:t xml:space="preserve">Patients with composite events </w:t>
            </w:r>
          </w:p>
          <w:p w14:paraId="40AB8A26" w14:textId="5031B901" w:rsidR="0046272C" w:rsidRPr="002F34F1" w:rsidRDefault="0046272C" w:rsidP="004E2A40">
            <w:pPr>
              <w:ind w:left="-44" w:right="-67"/>
              <w:jc w:val="center"/>
              <w:rPr>
                <w:rFonts w:ascii="Arial Narrow" w:hAnsi="Arial Narrow"/>
                <w:b/>
                <w:bCs/>
                <w:sz w:val="20"/>
                <w:szCs w:val="20"/>
              </w:rPr>
            </w:pPr>
            <w:r w:rsidRPr="002F34F1">
              <w:rPr>
                <w:rFonts w:ascii="Arial Narrow" w:hAnsi="Arial Narrow"/>
                <w:b/>
                <w:bCs/>
                <w:sz w:val="20"/>
                <w:szCs w:val="20"/>
              </w:rPr>
              <w:t>n/N (%)</w:t>
            </w:r>
          </w:p>
        </w:tc>
        <w:tc>
          <w:tcPr>
            <w:tcW w:w="1609" w:type="pct"/>
            <w:gridSpan w:val="2"/>
            <w:vAlign w:val="center"/>
          </w:tcPr>
          <w:p w14:paraId="0FDFB0F2" w14:textId="4BA43FEB" w:rsidR="0046272C" w:rsidRPr="002F34F1" w:rsidRDefault="0046272C" w:rsidP="004E2A40">
            <w:pPr>
              <w:ind w:left="-44" w:right="-67"/>
              <w:jc w:val="center"/>
              <w:rPr>
                <w:rFonts w:ascii="Arial Narrow" w:hAnsi="Arial Narrow"/>
                <w:b/>
                <w:bCs/>
                <w:sz w:val="20"/>
                <w:szCs w:val="20"/>
              </w:rPr>
            </w:pPr>
            <w:r w:rsidRPr="002F34F1">
              <w:rPr>
                <w:rFonts w:ascii="Arial Narrow" w:hAnsi="Arial Narrow"/>
                <w:b/>
                <w:bCs/>
                <w:sz w:val="20"/>
                <w:szCs w:val="20"/>
              </w:rPr>
              <w:t xml:space="preserve">Composite events </w:t>
            </w:r>
          </w:p>
          <w:p w14:paraId="1393DEED" w14:textId="77777777" w:rsidR="0046272C" w:rsidRPr="002F34F1" w:rsidRDefault="0046272C" w:rsidP="004E2A40">
            <w:pPr>
              <w:ind w:left="-44" w:right="-67"/>
              <w:jc w:val="center"/>
              <w:rPr>
                <w:rFonts w:ascii="Arial Narrow" w:hAnsi="Arial Narrow"/>
                <w:b/>
                <w:bCs/>
                <w:sz w:val="20"/>
                <w:szCs w:val="20"/>
              </w:rPr>
            </w:pPr>
            <w:r w:rsidRPr="002F34F1">
              <w:rPr>
                <w:rFonts w:ascii="Arial Narrow" w:hAnsi="Arial Narrow"/>
                <w:b/>
                <w:bCs/>
                <w:sz w:val="20"/>
                <w:szCs w:val="20"/>
              </w:rPr>
              <w:t xml:space="preserve">per 100 patient years (95% CI) </w:t>
            </w:r>
          </w:p>
        </w:tc>
        <w:tc>
          <w:tcPr>
            <w:tcW w:w="842" w:type="pct"/>
            <w:vMerge w:val="restart"/>
            <w:vAlign w:val="center"/>
          </w:tcPr>
          <w:p w14:paraId="2ADBE79E" w14:textId="41890D80" w:rsidR="0046272C" w:rsidRPr="002F34F1" w:rsidRDefault="0071655C" w:rsidP="004E2A40">
            <w:pPr>
              <w:ind w:left="-44" w:right="-67"/>
              <w:jc w:val="center"/>
              <w:rPr>
                <w:rFonts w:ascii="Arial Narrow" w:hAnsi="Arial Narrow"/>
                <w:b/>
                <w:bCs/>
                <w:sz w:val="20"/>
                <w:szCs w:val="20"/>
              </w:rPr>
            </w:pPr>
            <w:r>
              <w:rPr>
                <w:rFonts w:ascii="Arial Narrow" w:hAnsi="Arial Narrow"/>
                <w:b/>
                <w:bCs/>
                <w:sz w:val="20"/>
                <w:szCs w:val="20"/>
              </w:rPr>
              <w:t>Hazard ratio</w:t>
            </w:r>
            <w:r w:rsidR="0046272C" w:rsidRPr="002F34F1">
              <w:rPr>
                <w:rFonts w:ascii="Arial Narrow" w:hAnsi="Arial Narrow"/>
                <w:b/>
                <w:bCs/>
                <w:sz w:val="20"/>
                <w:szCs w:val="20"/>
              </w:rPr>
              <w:t xml:space="preserve"> (95%CI)</w:t>
            </w:r>
          </w:p>
        </w:tc>
      </w:tr>
      <w:tr w:rsidR="0046272C" w:rsidRPr="001B11F9" w14:paraId="7B006EC7" w14:textId="77777777" w:rsidTr="004E2A40">
        <w:trPr>
          <w:tblHeader/>
        </w:trPr>
        <w:tc>
          <w:tcPr>
            <w:tcW w:w="941" w:type="pct"/>
            <w:vMerge/>
            <w:tcBorders>
              <w:bottom w:val="single" w:sz="4" w:space="0" w:color="auto"/>
            </w:tcBorders>
            <w:vAlign w:val="center"/>
          </w:tcPr>
          <w:p w14:paraId="379379A4" w14:textId="77777777" w:rsidR="0046272C" w:rsidRPr="001B11F9" w:rsidRDefault="0046272C" w:rsidP="004E2A40">
            <w:pPr>
              <w:jc w:val="center"/>
              <w:rPr>
                <w:rFonts w:ascii="Arial Narrow" w:hAnsi="Arial Narrow"/>
                <w:sz w:val="20"/>
                <w:szCs w:val="20"/>
              </w:rPr>
            </w:pPr>
          </w:p>
        </w:tc>
        <w:tc>
          <w:tcPr>
            <w:tcW w:w="804" w:type="pct"/>
            <w:tcBorders>
              <w:bottom w:val="single" w:sz="4" w:space="0" w:color="auto"/>
            </w:tcBorders>
            <w:vAlign w:val="center"/>
          </w:tcPr>
          <w:p w14:paraId="2FAE62A5" w14:textId="77777777" w:rsidR="0046272C" w:rsidRPr="002F34F1" w:rsidRDefault="0046272C" w:rsidP="004E2A40">
            <w:pPr>
              <w:ind w:left="-44" w:right="-67"/>
              <w:jc w:val="center"/>
              <w:rPr>
                <w:rFonts w:ascii="Arial Narrow" w:hAnsi="Arial Narrow"/>
                <w:b/>
                <w:bCs/>
                <w:sz w:val="20"/>
                <w:szCs w:val="20"/>
              </w:rPr>
            </w:pPr>
            <w:r w:rsidRPr="002F34F1">
              <w:rPr>
                <w:rFonts w:ascii="Arial Narrow" w:hAnsi="Arial Narrow"/>
                <w:b/>
                <w:bCs/>
                <w:sz w:val="20"/>
                <w:szCs w:val="20"/>
              </w:rPr>
              <w:t>Finerenone</w:t>
            </w:r>
          </w:p>
        </w:tc>
        <w:tc>
          <w:tcPr>
            <w:tcW w:w="804" w:type="pct"/>
            <w:tcBorders>
              <w:bottom w:val="single" w:sz="4" w:space="0" w:color="auto"/>
            </w:tcBorders>
            <w:vAlign w:val="center"/>
          </w:tcPr>
          <w:p w14:paraId="500B1428" w14:textId="77777777" w:rsidR="0046272C" w:rsidRPr="002F34F1" w:rsidRDefault="0046272C" w:rsidP="004E2A40">
            <w:pPr>
              <w:ind w:left="-44" w:right="-67"/>
              <w:jc w:val="center"/>
              <w:rPr>
                <w:rFonts w:ascii="Arial Narrow" w:hAnsi="Arial Narrow"/>
                <w:b/>
                <w:bCs/>
                <w:sz w:val="20"/>
                <w:szCs w:val="20"/>
              </w:rPr>
            </w:pPr>
            <w:r>
              <w:rPr>
                <w:rFonts w:ascii="Arial Narrow" w:hAnsi="Arial Narrow"/>
                <w:b/>
                <w:bCs/>
                <w:sz w:val="20"/>
                <w:szCs w:val="20"/>
              </w:rPr>
              <w:t>Placebo</w:t>
            </w:r>
          </w:p>
        </w:tc>
        <w:tc>
          <w:tcPr>
            <w:tcW w:w="804" w:type="pct"/>
            <w:tcBorders>
              <w:bottom w:val="single" w:sz="4" w:space="0" w:color="auto"/>
            </w:tcBorders>
            <w:vAlign w:val="center"/>
          </w:tcPr>
          <w:p w14:paraId="54110F8E" w14:textId="77777777" w:rsidR="0046272C" w:rsidRPr="002F34F1" w:rsidRDefault="0046272C" w:rsidP="004E2A40">
            <w:pPr>
              <w:ind w:left="-44" w:right="-67"/>
              <w:jc w:val="center"/>
              <w:rPr>
                <w:rFonts w:ascii="Arial Narrow" w:hAnsi="Arial Narrow"/>
                <w:b/>
                <w:bCs/>
                <w:sz w:val="20"/>
                <w:szCs w:val="20"/>
              </w:rPr>
            </w:pPr>
            <w:r w:rsidRPr="002F34F1">
              <w:rPr>
                <w:rFonts w:ascii="Arial Narrow" w:hAnsi="Arial Narrow"/>
                <w:b/>
                <w:bCs/>
                <w:sz w:val="20"/>
                <w:szCs w:val="20"/>
              </w:rPr>
              <w:t>Finerenone</w:t>
            </w:r>
          </w:p>
        </w:tc>
        <w:tc>
          <w:tcPr>
            <w:tcW w:w="805" w:type="pct"/>
            <w:tcBorders>
              <w:bottom w:val="single" w:sz="4" w:space="0" w:color="auto"/>
            </w:tcBorders>
            <w:vAlign w:val="center"/>
          </w:tcPr>
          <w:p w14:paraId="2D8EB04D" w14:textId="77777777" w:rsidR="0046272C" w:rsidRPr="002F34F1" w:rsidRDefault="0046272C" w:rsidP="004E2A40">
            <w:pPr>
              <w:ind w:left="-44" w:right="-67"/>
              <w:jc w:val="center"/>
              <w:rPr>
                <w:rFonts w:ascii="Arial Narrow" w:hAnsi="Arial Narrow"/>
                <w:b/>
                <w:bCs/>
                <w:sz w:val="20"/>
                <w:szCs w:val="20"/>
              </w:rPr>
            </w:pPr>
            <w:r>
              <w:rPr>
                <w:rFonts w:ascii="Arial Narrow" w:hAnsi="Arial Narrow"/>
                <w:b/>
                <w:bCs/>
                <w:sz w:val="20"/>
                <w:szCs w:val="20"/>
              </w:rPr>
              <w:t>Placebo</w:t>
            </w:r>
            <w:r w:rsidRPr="002F34F1">
              <w:rPr>
                <w:rFonts w:ascii="Arial Narrow" w:hAnsi="Arial Narrow"/>
                <w:b/>
                <w:bCs/>
                <w:sz w:val="20"/>
                <w:szCs w:val="20"/>
              </w:rPr>
              <w:t xml:space="preserve"> </w:t>
            </w:r>
          </w:p>
        </w:tc>
        <w:tc>
          <w:tcPr>
            <w:tcW w:w="842" w:type="pct"/>
            <w:vMerge/>
            <w:tcBorders>
              <w:bottom w:val="single" w:sz="4" w:space="0" w:color="auto"/>
            </w:tcBorders>
            <w:vAlign w:val="center"/>
          </w:tcPr>
          <w:p w14:paraId="560E3B29" w14:textId="77777777" w:rsidR="0046272C" w:rsidRPr="001B11F9" w:rsidRDefault="0046272C" w:rsidP="004E2A40">
            <w:pPr>
              <w:ind w:left="-44" w:right="-67"/>
              <w:jc w:val="center"/>
              <w:rPr>
                <w:rFonts w:ascii="Arial Narrow" w:hAnsi="Arial Narrow"/>
                <w:sz w:val="20"/>
                <w:szCs w:val="20"/>
              </w:rPr>
            </w:pPr>
          </w:p>
        </w:tc>
      </w:tr>
      <w:tr w:rsidR="0046272C" w:rsidRPr="00145B7B" w14:paraId="4D4C4BF4" w14:textId="77777777" w:rsidTr="004E2A40">
        <w:tc>
          <w:tcPr>
            <w:tcW w:w="5000" w:type="pct"/>
            <w:gridSpan w:val="6"/>
            <w:shd w:val="clear" w:color="auto" w:fill="auto"/>
            <w:vAlign w:val="center"/>
          </w:tcPr>
          <w:p w14:paraId="5AA6D528" w14:textId="77777777" w:rsidR="0046272C" w:rsidRPr="001C6756" w:rsidRDefault="0046272C" w:rsidP="004E2A40">
            <w:pPr>
              <w:ind w:left="-44" w:right="-67"/>
              <w:jc w:val="left"/>
              <w:rPr>
                <w:rFonts w:ascii="Arial Narrow" w:hAnsi="Arial Narrow"/>
                <w:b/>
                <w:bCs/>
                <w:sz w:val="20"/>
                <w:szCs w:val="20"/>
              </w:rPr>
            </w:pPr>
            <w:r w:rsidRPr="001C6756">
              <w:rPr>
                <w:rFonts w:ascii="Arial Narrow" w:hAnsi="Arial Narrow"/>
                <w:b/>
                <w:bCs/>
                <w:sz w:val="20"/>
                <w:szCs w:val="20"/>
              </w:rPr>
              <w:t>Composite cardiovascular events</w:t>
            </w:r>
            <w:r w:rsidRPr="001C6756">
              <w:rPr>
                <w:rFonts w:ascii="Arial Narrow" w:hAnsi="Arial Narrow"/>
                <w:b/>
                <w:bCs/>
                <w:sz w:val="20"/>
                <w:szCs w:val="20"/>
                <w:vertAlign w:val="superscript"/>
              </w:rPr>
              <w:t>a</w:t>
            </w:r>
          </w:p>
        </w:tc>
      </w:tr>
      <w:tr w:rsidR="0046272C" w:rsidRPr="00145B7B" w14:paraId="4918E661" w14:textId="77777777" w:rsidTr="004E2A40">
        <w:tc>
          <w:tcPr>
            <w:tcW w:w="941" w:type="pct"/>
            <w:tcBorders>
              <w:right w:val="single" w:sz="4" w:space="0" w:color="auto"/>
            </w:tcBorders>
            <w:shd w:val="clear" w:color="auto" w:fill="auto"/>
            <w:vAlign w:val="center"/>
          </w:tcPr>
          <w:p w14:paraId="030AA31D" w14:textId="71BA2118" w:rsidR="0046272C" w:rsidRDefault="0046272C" w:rsidP="004E2A40">
            <w:pPr>
              <w:ind w:right="-107"/>
              <w:jc w:val="left"/>
              <w:rPr>
                <w:rFonts w:ascii="Arial Narrow" w:hAnsi="Arial Narrow"/>
                <w:sz w:val="20"/>
                <w:szCs w:val="20"/>
              </w:rPr>
            </w:pPr>
            <w:r>
              <w:rPr>
                <w:rFonts w:ascii="Arial Narrow" w:hAnsi="Arial Narrow"/>
                <w:sz w:val="20"/>
                <w:szCs w:val="20"/>
              </w:rPr>
              <w:t>FIDEL</w:t>
            </w:r>
            <w:r w:rsidR="00D458F2">
              <w:rPr>
                <w:rFonts w:ascii="Arial Narrow" w:hAnsi="Arial Narrow"/>
                <w:sz w:val="20"/>
                <w:szCs w:val="20"/>
              </w:rPr>
              <w:t>I</w:t>
            </w:r>
            <w:r>
              <w:rPr>
                <w:rFonts w:ascii="Arial Narrow" w:hAnsi="Arial Narrow"/>
                <w:sz w:val="20"/>
                <w:szCs w:val="20"/>
              </w:rPr>
              <w:t xml:space="preserve">TIY </w:t>
            </w:r>
            <w:r w:rsidR="00E85CD1">
              <w:rPr>
                <w:rFonts w:ascii="Arial Narrow" w:hAnsi="Arial Narrow"/>
                <w:sz w:val="20"/>
                <w:szCs w:val="20"/>
              </w:rPr>
              <w:t>(</w:t>
            </w:r>
            <w:r>
              <w:rPr>
                <w:rFonts w:ascii="Arial Narrow" w:hAnsi="Arial Narrow"/>
                <w:sz w:val="20"/>
                <w:szCs w:val="20"/>
              </w:rPr>
              <w:t>FAS</w:t>
            </w:r>
            <w:r w:rsidR="00E85CD1">
              <w:rPr>
                <w:rFonts w:ascii="Arial Narrow" w:hAnsi="Arial Narrow"/>
                <w:sz w:val="20"/>
                <w:szCs w:val="20"/>
              </w:rPr>
              <w:t>)</w:t>
            </w:r>
            <w:r w:rsidR="00EA2578" w:rsidRPr="00EA2578">
              <w:rPr>
                <w:rFonts w:ascii="Arial Narrow" w:hAnsi="Arial Narrow"/>
                <w:sz w:val="20"/>
                <w:szCs w:val="20"/>
                <w:vertAlign w:val="superscript"/>
              </w:rPr>
              <w:t>b</w:t>
            </w:r>
          </w:p>
        </w:tc>
        <w:tc>
          <w:tcPr>
            <w:tcW w:w="804" w:type="pct"/>
            <w:tcBorders>
              <w:left w:val="single" w:sz="4" w:space="0" w:color="auto"/>
            </w:tcBorders>
            <w:shd w:val="clear" w:color="auto" w:fill="auto"/>
            <w:vAlign w:val="center"/>
          </w:tcPr>
          <w:p w14:paraId="4A205059" w14:textId="77777777" w:rsidR="0046272C" w:rsidRPr="001B11F9" w:rsidRDefault="0046272C" w:rsidP="004E2A40">
            <w:pPr>
              <w:ind w:left="-44" w:right="-67"/>
              <w:jc w:val="center"/>
              <w:rPr>
                <w:rFonts w:ascii="Arial Narrow" w:hAnsi="Arial Narrow"/>
                <w:sz w:val="20"/>
                <w:szCs w:val="20"/>
              </w:rPr>
            </w:pPr>
            <w:r w:rsidRPr="001B11F9">
              <w:rPr>
                <w:rFonts w:ascii="Arial Narrow" w:hAnsi="Arial Narrow"/>
                <w:sz w:val="20"/>
                <w:szCs w:val="20"/>
              </w:rPr>
              <w:t>825/6519 (12.7%)</w:t>
            </w:r>
          </w:p>
        </w:tc>
        <w:tc>
          <w:tcPr>
            <w:tcW w:w="804" w:type="pct"/>
            <w:shd w:val="clear" w:color="auto" w:fill="auto"/>
            <w:vAlign w:val="center"/>
          </w:tcPr>
          <w:p w14:paraId="54B744BE" w14:textId="77777777" w:rsidR="0046272C" w:rsidRPr="001B11F9" w:rsidRDefault="0046272C" w:rsidP="004E2A40">
            <w:pPr>
              <w:ind w:left="-44" w:right="-67"/>
              <w:jc w:val="center"/>
              <w:rPr>
                <w:rFonts w:ascii="Arial Narrow" w:hAnsi="Arial Narrow"/>
                <w:sz w:val="20"/>
                <w:szCs w:val="20"/>
              </w:rPr>
            </w:pPr>
            <w:r w:rsidRPr="001B11F9">
              <w:rPr>
                <w:rFonts w:ascii="Arial Narrow" w:hAnsi="Arial Narrow"/>
                <w:sz w:val="20"/>
                <w:szCs w:val="20"/>
              </w:rPr>
              <w:t>939/6507 (14.4%)</w:t>
            </w:r>
          </w:p>
        </w:tc>
        <w:tc>
          <w:tcPr>
            <w:tcW w:w="804" w:type="pct"/>
            <w:shd w:val="clear" w:color="auto" w:fill="auto"/>
            <w:vAlign w:val="center"/>
          </w:tcPr>
          <w:p w14:paraId="15D518C6" w14:textId="77777777" w:rsidR="0046272C" w:rsidRPr="001B11F9" w:rsidRDefault="0046272C" w:rsidP="004E2A40">
            <w:pPr>
              <w:ind w:left="-44" w:right="-67"/>
              <w:jc w:val="center"/>
              <w:rPr>
                <w:rFonts w:ascii="Arial Narrow" w:hAnsi="Arial Narrow"/>
                <w:sz w:val="20"/>
                <w:szCs w:val="20"/>
              </w:rPr>
            </w:pPr>
            <w:r w:rsidRPr="001B11F9">
              <w:rPr>
                <w:rFonts w:ascii="Arial Narrow" w:hAnsi="Arial Narrow"/>
                <w:sz w:val="20"/>
                <w:szCs w:val="20"/>
              </w:rPr>
              <w:t>4.34 (4.05; 4.64)</w:t>
            </w:r>
          </w:p>
        </w:tc>
        <w:tc>
          <w:tcPr>
            <w:tcW w:w="805" w:type="pct"/>
            <w:shd w:val="clear" w:color="auto" w:fill="auto"/>
            <w:vAlign w:val="center"/>
          </w:tcPr>
          <w:p w14:paraId="2B241F0D" w14:textId="77777777" w:rsidR="0046272C" w:rsidRPr="001B11F9" w:rsidRDefault="0046272C" w:rsidP="004E2A40">
            <w:pPr>
              <w:ind w:left="-44" w:right="-67"/>
              <w:jc w:val="center"/>
              <w:rPr>
                <w:rFonts w:ascii="Arial Narrow" w:hAnsi="Arial Narrow"/>
                <w:sz w:val="20"/>
                <w:szCs w:val="20"/>
              </w:rPr>
            </w:pPr>
            <w:r w:rsidRPr="001B11F9">
              <w:rPr>
                <w:rFonts w:ascii="Arial Narrow" w:hAnsi="Arial Narrow"/>
                <w:sz w:val="20"/>
                <w:szCs w:val="20"/>
              </w:rPr>
              <w:t>5.01 (4.69; 5.33)</w:t>
            </w:r>
          </w:p>
        </w:tc>
        <w:tc>
          <w:tcPr>
            <w:tcW w:w="842" w:type="pct"/>
            <w:shd w:val="clear" w:color="auto" w:fill="auto"/>
            <w:vAlign w:val="center"/>
          </w:tcPr>
          <w:p w14:paraId="23C7F544" w14:textId="77777777" w:rsidR="0046272C" w:rsidRPr="00145B7B" w:rsidRDefault="0046272C" w:rsidP="004E2A40">
            <w:pPr>
              <w:ind w:left="-44" w:right="-67"/>
              <w:jc w:val="center"/>
              <w:rPr>
                <w:rFonts w:ascii="Arial Narrow" w:hAnsi="Arial Narrow"/>
                <w:b/>
                <w:bCs/>
                <w:sz w:val="20"/>
                <w:szCs w:val="20"/>
              </w:rPr>
            </w:pPr>
            <w:r w:rsidRPr="00145B7B">
              <w:rPr>
                <w:rFonts w:ascii="Arial Narrow" w:hAnsi="Arial Narrow"/>
                <w:b/>
                <w:bCs/>
                <w:sz w:val="20"/>
                <w:szCs w:val="20"/>
              </w:rPr>
              <w:t>0.86 (0.78, 0.95)</w:t>
            </w:r>
          </w:p>
        </w:tc>
      </w:tr>
      <w:tr w:rsidR="00AC634D" w:rsidRPr="00145B7B" w14:paraId="1BF564D8" w14:textId="77777777" w:rsidTr="00BC17E4">
        <w:tc>
          <w:tcPr>
            <w:tcW w:w="941" w:type="pct"/>
            <w:tcBorders>
              <w:right w:val="single" w:sz="4" w:space="0" w:color="auto"/>
            </w:tcBorders>
            <w:shd w:val="clear" w:color="auto" w:fill="auto"/>
            <w:vAlign w:val="center"/>
          </w:tcPr>
          <w:p w14:paraId="5B4AE550" w14:textId="77777777" w:rsidR="00AC634D" w:rsidRDefault="00AC634D" w:rsidP="00AC634D">
            <w:pPr>
              <w:ind w:right="-107"/>
              <w:jc w:val="left"/>
              <w:rPr>
                <w:rFonts w:ascii="Arial Narrow" w:hAnsi="Arial Narrow"/>
                <w:sz w:val="20"/>
                <w:szCs w:val="20"/>
              </w:rPr>
            </w:pPr>
            <w:r w:rsidRPr="001B11F9">
              <w:rPr>
                <w:rFonts w:ascii="Arial Narrow" w:hAnsi="Arial Narrow"/>
                <w:sz w:val="20"/>
                <w:szCs w:val="20"/>
              </w:rPr>
              <w:t xml:space="preserve">UACR </w:t>
            </w:r>
            <w:r>
              <w:rPr>
                <w:rFonts w:ascii="Arial Narrow" w:hAnsi="Arial Narrow"/>
                <w:sz w:val="20"/>
                <w:szCs w:val="20"/>
              </w:rPr>
              <w:t>≥ </w:t>
            </w:r>
            <w:r w:rsidRPr="001B11F9">
              <w:rPr>
                <w:rFonts w:ascii="Arial Narrow" w:hAnsi="Arial Narrow"/>
                <w:sz w:val="20"/>
                <w:szCs w:val="20"/>
              </w:rPr>
              <w:t>200 mg/g</w:t>
            </w:r>
          </w:p>
        </w:tc>
        <w:tc>
          <w:tcPr>
            <w:tcW w:w="804" w:type="pct"/>
            <w:tcBorders>
              <w:left w:val="single" w:sz="4" w:space="0" w:color="auto"/>
            </w:tcBorders>
            <w:shd w:val="clear" w:color="auto" w:fill="auto"/>
            <w:vAlign w:val="center"/>
          </w:tcPr>
          <w:p w14:paraId="634C123D" w14:textId="2AA8054A"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623/4879 (12.8%)</w:t>
            </w:r>
          </w:p>
        </w:tc>
        <w:tc>
          <w:tcPr>
            <w:tcW w:w="804" w:type="pct"/>
            <w:shd w:val="clear" w:color="auto" w:fill="auto"/>
            <w:vAlign w:val="center"/>
          </w:tcPr>
          <w:p w14:paraId="7864A8BD" w14:textId="41299525"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700/4871 (14.4%)</w:t>
            </w:r>
          </w:p>
        </w:tc>
        <w:tc>
          <w:tcPr>
            <w:tcW w:w="804" w:type="pct"/>
            <w:shd w:val="clear" w:color="auto" w:fill="auto"/>
            <w:vAlign w:val="center"/>
          </w:tcPr>
          <w:p w14:paraId="48AA6128" w14:textId="3109E53F"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4.63 (4.27; 5.00)</w:t>
            </w:r>
          </w:p>
        </w:tc>
        <w:tc>
          <w:tcPr>
            <w:tcW w:w="805" w:type="pct"/>
            <w:shd w:val="clear" w:color="auto" w:fill="auto"/>
            <w:vAlign w:val="center"/>
          </w:tcPr>
          <w:p w14:paraId="4B5E172B" w14:textId="69BA6FC2"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5.27 (4.89; 5.67)</w:t>
            </w:r>
          </w:p>
        </w:tc>
        <w:tc>
          <w:tcPr>
            <w:tcW w:w="842" w:type="pct"/>
            <w:shd w:val="clear" w:color="auto" w:fill="auto"/>
            <w:vAlign w:val="center"/>
          </w:tcPr>
          <w:p w14:paraId="73ABAC14" w14:textId="2FBD5DE7" w:rsidR="00AC634D" w:rsidRPr="00145B7B" w:rsidRDefault="00AC634D" w:rsidP="00AC634D">
            <w:pPr>
              <w:ind w:left="-44" w:right="-67"/>
              <w:jc w:val="center"/>
              <w:rPr>
                <w:rFonts w:ascii="Arial Narrow" w:hAnsi="Arial Narrow"/>
                <w:b/>
                <w:bCs/>
                <w:sz w:val="20"/>
                <w:szCs w:val="20"/>
              </w:rPr>
            </w:pPr>
            <w:r w:rsidRPr="00F2610B">
              <w:rPr>
                <w:rFonts w:ascii="Arial Narrow" w:hAnsi="Arial Narrow"/>
                <w:b/>
                <w:bCs/>
                <w:sz w:val="20"/>
                <w:szCs w:val="20"/>
              </w:rPr>
              <w:t>0.88 (0.79, 0.98)</w:t>
            </w:r>
          </w:p>
        </w:tc>
      </w:tr>
      <w:tr w:rsidR="00AC634D" w:rsidRPr="00145B7B" w14:paraId="48C417A0" w14:textId="77777777" w:rsidTr="004E2A40">
        <w:tc>
          <w:tcPr>
            <w:tcW w:w="941" w:type="pct"/>
            <w:tcBorders>
              <w:right w:val="single" w:sz="4" w:space="0" w:color="auto"/>
            </w:tcBorders>
            <w:shd w:val="clear" w:color="auto" w:fill="auto"/>
            <w:vAlign w:val="center"/>
          </w:tcPr>
          <w:p w14:paraId="2B9AAA04" w14:textId="77777777" w:rsidR="0071655C" w:rsidRDefault="00AC634D" w:rsidP="00AC634D">
            <w:pPr>
              <w:ind w:right="-107"/>
              <w:jc w:val="left"/>
              <w:rPr>
                <w:rFonts w:ascii="Arial Narrow" w:hAnsi="Arial Narrow"/>
                <w:sz w:val="20"/>
                <w:szCs w:val="20"/>
              </w:rPr>
            </w:pPr>
            <w:r w:rsidRPr="001B11F9">
              <w:rPr>
                <w:rFonts w:ascii="Arial Narrow" w:hAnsi="Arial Narrow"/>
                <w:sz w:val="20"/>
                <w:szCs w:val="20"/>
              </w:rPr>
              <w:t xml:space="preserve">UACR </w:t>
            </w:r>
            <w:r>
              <w:rPr>
                <w:rFonts w:ascii="Arial Narrow" w:hAnsi="Arial Narrow"/>
                <w:sz w:val="20"/>
                <w:szCs w:val="20"/>
              </w:rPr>
              <w:t>≥ </w:t>
            </w:r>
            <w:r w:rsidRPr="001B11F9">
              <w:rPr>
                <w:rFonts w:ascii="Arial Narrow" w:hAnsi="Arial Narrow"/>
                <w:sz w:val="20"/>
                <w:szCs w:val="20"/>
              </w:rPr>
              <w:t xml:space="preserve">200 mg/g </w:t>
            </w:r>
          </w:p>
          <w:p w14:paraId="302A6366" w14:textId="33FA7D03" w:rsidR="00AC634D" w:rsidRDefault="0071655C" w:rsidP="00AC634D">
            <w:pPr>
              <w:ind w:right="-107"/>
              <w:jc w:val="left"/>
              <w:rPr>
                <w:rFonts w:ascii="Arial Narrow" w:hAnsi="Arial Narrow"/>
                <w:sz w:val="20"/>
                <w:szCs w:val="20"/>
              </w:rPr>
            </w:pPr>
            <w:r>
              <w:rPr>
                <w:rFonts w:ascii="Arial Narrow" w:hAnsi="Arial Narrow"/>
                <w:sz w:val="20"/>
                <w:szCs w:val="20"/>
              </w:rPr>
              <w:t>+</w:t>
            </w:r>
            <w:r w:rsidRPr="001B11F9">
              <w:rPr>
                <w:rFonts w:ascii="Arial Narrow" w:hAnsi="Arial Narrow"/>
                <w:sz w:val="20"/>
                <w:szCs w:val="20"/>
              </w:rPr>
              <w:t xml:space="preserve"> </w:t>
            </w:r>
            <w:r>
              <w:rPr>
                <w:rFonts w:ascii="Arial Narrow" w:hAnsi="Arial Narrow"/>
                <w:sz w:val="20"/>
                <w:szCs w:val="20"/>
              </w:rPr>
              <w:t xml:space="preserve">baseline </w:t>
            </w:r>
            <w:r w:rsidRPr="001B11F9">
              <w:rPr>
                <w:rFonts w:ascii="Arial Narrow" w:hAnsi="Arial Narrow"/>
                <w:sz w:val="20"/>
                <w:szCs w:val="20"/>
              </w:rPr>
              <w:t>SGLT2i</w:t>
            </w:r>
          </w:p>
        </w:tc>
        <w:tc>
          <w:tcPr>
            <w:tcW w:w="804" w:type="pct"/>
            <w:tcBorders>
              <w:left w:val="single" w:sz="4" w:space="0" w:color="auto"/>
            </w:tcBorders>
            <w:shd w:val="clear" w:color="auto" w:fill="auto"/>
            <w:vAlign w:val="center"/>
          </w:tcPr>
          <w:p w14:paraId="65340AFB" w14:textId="3A4DA9DD"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29/324 (9.0%)</w:t>
            </w:r>
          </w:p>
        </w:tc>
        <w:tc>
          <w:tcPr>
            <w:tcW w:w="804" w:type="pct"/>
            <w:shd w:val="clear" w:color="auto" w:fill="auto"/>
            <w:vAlign w:val="center"/>
          </w:tcPr>
          <w:p w14:paraId="1896319A" w14:textId="0153664D"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41/324 (12.7%)</w:t>
            </w:r>
          </w:p>
        </w:tc>
        <w:tc>
          <w:tcPr>
            <w:tcW w:w="804" w:type="pct"/>
            <w:shd w:val="clear" w:color="auto" w:fill="auto"/>
            <w:vAlign w:val="center"/>
          </w:tcPr>
          <w:p w14:paraId="54F9A26F" w14:textId="42B20D3A"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3.18 (2.13; 4.44)</w:t>
            </w:r>
          </w:p>
        </w:tc>
        <w:tc>
          <w:tcPr>
            <w:tcW w:w="805" w:type="pct"/>
            <w:shd w:val="clear" w:color="auto" w:fill="auto"/>
            <w:vAlign w:val="center"/>
          </w:tcPr>
          <w:p w14:paraId="07D94CBA" w14:textId="288257B7"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4.72 (3.39; 6.27)</w:t>
            </w:r>
          </w:p>
        </w:tc>
        <w:tc>
          <w:tcPr>
            <w:tcW w:w="842" w:type="pct"/>
            <w:shd w:val="clear" w:color="auto" w:fill="auto"/>
            <w:vAlign w:val="center"/>
          </w:tcPr>
          <w:p w14:paraId="36612B3A" w14:textId="629EF041" w:rsidR="00AC634D" w:rsidRPr="00145B7B" w:rsidRDefault="00AC634D" w:rsidP="00AC634D">
            <w:pPr>
              <w:ind w:left="-44" w:right="-67"/>
              <w:jc w:val="center"/>
              <w:rPr>
                <w:rFonts w:ascii="Arial Narrow" w:hAnsi="Arial Narrow"/>
                <w:b/>
                <w:bCs/>
                <w:sz w:val="20"/>
                <w:szCs w:val="20"/>
              </w:rPr>
            </w:pPr>
            <w:r w:rsidRPr="00670751">
              <w:rPr>
                <w:rFonts w:ascii="Arial Narrow" w:hAnsi="Arial Narrow"/>
                <w:sz w:val="20"/>
                <w:szCs w:val="20"/>
              </w:rPr>
              <w:t>0.70 (0.42, 1.17)</w:t>
            </w:r>
          </w:p>
        </w:tc>
      </w:tr>
      <w:tr w:rsidR="00AC634D" w:rsidRPr="00145B7B" w14:paraId="7D9AFCB3" w14:textId="77777777" w:rsidTr="004E2A40">
        <w:tc>
          <w:tcPr>
            <w:tcW w:w="941" w:type="pct"/>
            <w:tcBorders>
              <w:right w:val="single" w:sz="4" w:space="0" w:color="auto"/>
            </w:tcBorders>
            <w:shd w:val="clear" w:color="auto" w:fill="auto"/>
            <w:vAlign w:val="center"/>
          </w:tcPr>
          <w:p w14:paraId="30E22245" w14:textId="77777777" w:rsidR="00AC634D" w:rsidRDefault="00AC634D" w:rsidP="00AC634D">
            <w:pPr>
              <w:ind w:right="-107"/>
              <w:jc w:val="left"/>
              <w:rPr>
                <w:rFonts w:ascii="Arial Narrow" w:hAnsi="Arial Narrow"/>
                <w:sz w:val="20"/>
                <w:szCs w:val="20"/>
              </w:rPr>
            </w:pPr>
            <w:r w:rsidRPr="001B11F9">
              <w:rPr>
                <w:rFonts w:ascii="Arial Narrow" w:hAnsi="Arial Narrow"/>
                <w:sz w:val="20"/>
                <w:szCs w:val="20"/>
              </w:rPr>
              <w:t xml:space="preserve">UACR </w:t>
            </w:r>
            <w:r>
              <w:rPr>
                <w:rFonts w:ascii="Arial Narrow" w:hAnsi="Arial Narrow"/>
                <w:sz w:val="20"/>
                <w:szCs w:val="20"/>
              </w:rPr>
              <w:t>≥ </w:t>
            </w:r>
            <w:r w:rsidRPr="001B11F9">
              <w:rPr>
                <w:rFonts w:ascii="Arial Narrow" w:hAnsi="Arial Narrow"/>
                <w:sz w:val="20"/>
                <w:szCs w:val="20"/>
              </w:rPr>
              <w:t xml:space="preserve">200 mg/g </w:t>
            </w:r>
          </w:p>
          <w:p w14:paraId="25CB40E0" w14:textId="7706AED9" w:rsidR="00AC634D" w:rsidRDefault="0071655C" w:rsidP="00AC634D">
            <w:pPr>
              <w:ind w:right="-107"/>
              <w:jc w:val="left"/>
              <w:rPr>
                <w:rFonts w:ascii="Arial Narrow" w:hAnsi="Arial Narrow"/>
                <w:sz w:val="20"/>
                <w:szCs w:val="20"/>
              </w:rPr>
            </w:pPr>
            <w:r>
              <w:rPr>
                <w:rFonts w:ascii="Arial Narrow" w:hAnsi="Arial Narrow"/>
                <w:sz w:val="20"/>
                <w:szCs w:val="20"/>
              </w:rPr>
              <w:t>no</w:t>
            </w:r>
            <w:r w:rsidRPr="001B11F9">
              <w:rPr>
                <w:rFonts w:ascii="Arial Narrow" w:hAnsi="Arial Narrow"/>
                <w:sz w:val="20"/>
                <w:szCs w:val="20"/>
              </w:rPr>
              <w:t xml:space="preserve"> </w:t>
            </w:r>
            <w:r>
              <w:rPr>
                <w:rFonts w:ascii="Arial Narrow" w:hAnsi="Arial Narrow"/>
                <w:sz w:val="20"/>
                <w:szCs w:val="20"/>
              </w:rPr>
              <w:t xml:space="preserve">baseline </w:t>
            </w:r>
            <w:r w:rsidRPr="001B11F9">
              <w:rPr>
                <w:rFonts w:ascii="Arial Narrow" w:hAnsi="Arial Narrow"/>
                <w:sz w:val="20"/>
                <w:szCs w:val="20"/>
              </w:rPr>
              <w:t>SGLT2i</w:t>
            </w:r>
          </w:p>
        </w:tc>
        <w:tc>
          <w:tcPr>
            <w:tcW w:w="804" w:type="pct"/>
            <w:tcBorders>
              <w:left w:val="single" w:sz="4" w:space="0" w:color="auto"/>
            </w:tcBorders>
            <w:shd w:val="clear" w:color="auto" w:fill="auto"/>
            <w:vAlign w:val="center"/>
          </w:tcPr>
          <w:p w14:paraId="01848C7F" w14:textId="59863AB5"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594/4555 (13.0%)</w:t>
            </w:r>
          </w:p>
        </w:tc>
        <w:tc>
          <w:tcPr>
            <w:tcW w:w="804" w:type="pct"/>
            <w:shd w:val="clear" w:color="auto" w:fill="auto"/>
            <w:vAlign w:val="center"/>
          </w:tcPr>
          <w:p w14:paraId="550EA3AD" w14:textId="11924F5C"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659/4547 (14.5%)</w:t>
            </w:r>
          </w:p>
        </w:tc>
        <w:tc>
          <w:tcPr>
            <w:tcW w:w="804" w:type="pct"/>
            <w:shd w:val="clear" w:color="auto" w:fill="auto"/>
            <w:vAlign w:val="center"/>
          </w:tcPr>
          <w:p w14:paraId="2DA9FEE3" w14:textId="22D3E2F4"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4.73 (4.36; 5.12)</w:t>
            </w:r>
          </w:p>
        </w:tc>
        <w:tc>
          <w:tcPr>
            <w:tcW w:w="805" w:type="pct"/>
            <w:shd w:val="clear" w:color="auto" w:fill="auto"/>
            <w:vAlign w:val="center"/>
          </w:tcPr>
          <w:p w14:paraId="6DA42400" w14:textId="3392908D" w:rsidR="00AC634D" w:rsidRPr="001B11F9" w:rsidRDefault="00AC634D" w:rsidP="00AC634D">
            <w:pPr>
              <w:ind w:left="-44" w:right="-67"/>
              <w:jc w:val="center"/>
              <w:rPr>
                <w:rFonts w:ascii="Arial Narrow" w:hAnsi="Arial Narrow"/>
                <w:sz w:val="20"/>
                <w:szCs w:val="20"/>
              </w:rPr>
            </w:pPr>
            <w:r w:rsidRPr="001B11F9">
              <w:rPr>
                <w:rFonts w:ascii="Arial Narrow" w:hAnsi="Arial Narrow"/>
                <w:sz w:val="20"/>
                <w:szCs w:val="20"/>
              </w:rPr>
              <w:t>5.31 (4.91; 5.72)</w:t>
            </w:r>
          </w:p>
        </w:tc>
        <w:tc>
          <w:tcPr>
            <w:tcW w:w="842" w:type="pct"/>
            <w:shd w:val="clear" w:color="auto" w:fill="auto"/>
            <w:vAlign w:val="center"/>
          </w:tcPr>
          <w:p w14:paraId="4D061686" w14:textId="20A29DCD" w:rsidR="00AC634D" w:rsidRPr="00145B7B" w:rsidRDefault="00AC634D" w:rsidP="00AC634D">
            <w:pPr>
              <w:ind w:left="-44" w:right="-67"/>
              <w:jc w:val="center"/>
              <w:rPr>
                <w:rFonts w:ascii="Arial Narrow" w:hAnsi="Arial Narrow"/>
                <w:b/>
                <w:bCs/>
                <w:sz w:val="20"/>
                <w:szCs w:val="20"/>
              </w:rPr>
            </w:pPr>
            <w:r w:rsidRPr="00F2610B">
              <w:rPr>
                <w:rFonts w:ascii="Arial Narrow" w:hAnsi="Arial Narrow"/>
                <w:b/>
                <w:bCs/>
                <w:sz w:val="20"/>
                <w:szCs w:val="20"/>
              </w:rPr>
              <w:t>0.89 (0.79, 0.99)</w:t>
            </w:r>
          </w:p>
        </w:tc>
      </w:tr>
      <w:tr w:rsidR="0046272C" w:rsidRPr="00145B7B" w14:paraId="70BACAD4" w14:textId="77777777" w:rsidTr="004E2A40">
        <w:tc>
          <w:tcPr>
            <w:tcW w:w="5000" w:type="pct"/>
            <w:gridSpan w:val="6"/>
            <w:shd w:val="clear" w:color="auto" w:fill="auto"/>
            <w:vAlign w:val="center"/>
          </w:tcPr>
          <w:p w14:paraId="3DDD600E" w14:textId="46F1FB39" w:rsidR="0046272C" w:rsidRPr="002718AB" w:rsidRDefault="0046272C" w:rsidP="004E2A40">
            <w:pPr>
              <w:ind w:left="-44" w:right="-67"/>
              <w:jc w:val="left"/>
              <w:rPr>
                <w:rFonts w:ascii="Arial Narrow" w:hAnsi="Arial Narrow"/>
                <w:b/>
                <w:bCs/>
                <w:sz w:val="20"/>
                <w:szCs w:val="20"/>
              </w:rPr>
            </w:pPr>
            <w:r w:rsidRPr="002718AB">
              <w:rPr>
                <w:rFonts w:ascii="Arial Narrow" w:hAnsi="Arial Narrow"/>
                <w:b/>
                <w:sz w:val="20"/>
                <w:szCs w:val="20"/>
              </w:rPr>
              <w:t>Composite renal events (including ≥ 40% decrease in eGFR)</w:t>
            </w:r>
            <w:r w:rsidR="00EA2578">
              <w:rPr>
                <w:rFonts w:ascii="Arial Narrow" w:hAnsi="Arial Narrow"/>
                <w:b/>
                <w:sz w:val="20"/>
                <w:szCs w:val="20"/>
                <w:vertAlign w:val="superscript"/>
              </w:rPr>
              <w:t>c</w:t>
            </w:r>
          </w:p>
        </w:tc>
      </w:tr>
      <w:tr w:rsidR="00AC634D" w:rsidRPr="00145B7B" w14:paraId="120A300B" w14:textId="77777777" w:rsidTr="00270615">
        <w:tc>
          <w:tcPr>
            <w:tcW w:w="941" w:type="pct"/>
            <w:tcBorders>
              <w:right w:val="single" w:sz="4" w:space="0" w:color="auto"/>
            </w:tcBorders>
            <w:shd w:val="clear" w:color="auto" w:fill="auto"/>
            <w:vAlign w:val="center"/>
          </w:tcPr>
          <w:p w14:paraId="49042DBD" w14:textId="73E7B915" w:rsidR="00AC634D" w:rsidRPr="002718AB" w:rsidRDefault="00D458F2" w:rsidP="00AC634D">
            <w:pPr>
              <w:ind w:right="-107"/>
              <w:jc w:val="left"/>
              <w:rPr>
                <w:rFonts w:ascii="Arial Narrow" w:hAnsi="Arial Narrow"/>
                <w:sz w:val="20"/>
                <w:szCs w:val="20"/>
              </w:rPr>
            </w:pPr>
            <w:r>
              <w:rPr>
                <w:rFonts w:ascii="Arial Narrow" w:hAnsi="Arial Narrow"/>
                <w:sz w:val="20"/>
                <w:szCs w:val="20"/>
              </w:rPr>
              <w:t xml:space="preserve">FIDELITIY </w:t>
            </w:r>
            <w:r w:rsidR="00AC634D">
              <w:rPr>
                <w:rFonts w:ascii="Arial Narrow" w:hAnsi="Arial Narrow"/>
                <w:sz w:val="20"/>
                <w:szCs w:val="20"/>
              </w:rPr>
              <w:t>(FAS)</w:t>
            </w:r>
            <w:r w:rsidR="00EA2578">
              <w:rPr>
                <w:rFonts w:ascii="Arial Narrow" w:hAnsi="Arial Narrow"/>
                <w:sz w:val="20"/>
                <w:szCs w:val="20"/>
                <w:vertAlign w:val="superscript"/>
              </w:rPr>
              <w:t>b</w:t>
            </w:r>
          </w:p>
        </w:tc>
        <w:tc>
          <w:tcPr>
            <w:tcW w:w="804" w:type="pct"/>
            <w:tcBorders>
              <w:left w:val="single" w:sz="4" w:space="0" w:color="auto"/>
            </w:tcBorders>
            <w:shd w:val="clear" w:color="auto" w:fill="auto"/>
          </w:tcPr>
          <w:p w14:paraId="405B75EA" w14:textId="2E46C825" w:rsidR="00AC634D" w:rsidRPr="002718AB" w:rsidRDefault="00AC634D" w:rsidP="00AC634D">
            <w:pPr>
              <w:ind w:left="-44" w:right="-67"/>
              <w:jc w:val="center"/>
              <w:rPr>
                <w:rFonts w:ascii="Arial Narrow" w:hAnsi="Arial Narrow"/>
                <w:sz w:val="20"/>
                <w:szCs w:val="20"/>
              </w:rPr>
            </w:pPr>
            <w:r w:rsidRPr="001E4A8A">
              <w:rPr>
                <w:rFonts w:ascii="Arial Narrow" w:hAnsi="Arial Narrow"/>
                <w:sz w:val="20"/>
                <w:szCs w:val="20"/>
              </w:rPr>
              <w:t>854/6519 (13.1%)</w:t>
            </w:r>
          </w:p>
        </w:tc>
        <w:tc>
          <w:tcPr>
            <w:tcW w:w="804" w:type="pct"/>
            <w:shd w:val="clear" w:color="auto" w:fill="auto"/>
          </w:tcPr>
          <w:p w14:paraId="0FC76C13" w14:textId="76FD22FF" w:rsidR="00AC634D" w:rsidRPr="002718AB" w:rsidRDefault="00AC634D" w:rsidP="00AC634D">
            <w:pPr>
              <w:ind w:left="-44" w:right="-67"/>
              <w:jc w:val="center"/>
              <w:rPr>
                <w:rFonts w:ascii="Arial Narrow" w:hAnsi="Arial Narrow"/>
                <w:sz w:val="20"/>
                <w:szCs w:val="20"/>
              </w:rPr>
            </w:pPr>
            <w:r w:rsidRPr="001E4A8A">
              <w:rPr>
                <w:rFonts w:ascii="Arial Narrow" w:hAnsi="Arial Narrow"/>
                <w:sz w:val="20"/>
                <w:szCs w:val="20"/>
              </w:rPr>
              <w:t>995/6507 (15.3%)</w:t>
            </w:r>
          </w:p>
        </w:tc>
        <w:tc>
          <w:tcPr>
            <w:tcW w:w="804" w:type="pct"/>
            <w:shd w:val="clear" w:color="auto" w:fill="auto"/>
          </w:tcPr>
          <w:p w14:paraId="7089D51D" w14:textId="3FD9C591" w:rsidR="00AC634D" w:rsidRPr="002718AB" w:rsidRDefault="00AC634D" w:rsidP="00AC634D">
            <w:pPr>
              <w:ind w:left="-44" w:right="-67"/>
              <w:jc w:val="center"/>
              <w:rPr>
                <w:rFonts w:ascii="Arial Narrow" w:hAnsi="Arial Narrow"/>
                <w:sz w:val="20"/>
                <w:szCs w:val="20"/>
              </w:rPr>
            </w:pPr>
            <w:r w:rsidRPr="001E4A8A">
              <w:rPr>
                <w:rFonts w:ascii="Arial Narrow" w:hAnsi="Arial Narrow"/>
                <w:sz w:val="20"/>
                <w:szCs w:val="20"/>
              </w:rPr>
              <w:t>4.81 (4.49; 5.14)</w:t>
            </w:r>
          </w:p>
        </w:tc>
        <w:tc>
          <w:tcPr>
            <w:tcW w:w="805" w:type="pct"/>
            <w:shd w:val="clear" w:color="auto" w:fill="auto"/>
          </w:tcPr>
          <w:p w14:paraId="72C1ACEC" w14:textId="79158D27" w:rsidR="00AC634D" w:rsidRPr="002718AB" w:rsidRDefault="00AC634D" w:rsidP="00AC634D">
            <w:pPr>
              <w:ind w:left="-44" w:right="-67"/>
              <w:jc w:val="center"/>
              <w:rPr>
                <w:rFonts w:ascii="Arial Narrow" w:hAnsi="Arial Narrow"/>
                <w:sz w:val="20"/>
                <w:szCs w:val="20"/>
              </w:rPr>
            </w:pPr>
            <w:r w:rsidRPr="001E4A8A">
              <w:rPr>
                <w:rFonts w:ascii="Arial Narrow" w:hAnsi="Arial Narrow"/>
                <w:sz w:val="20"/>
                <w:szCs w:val="20"/>
              </w:rPr>
              <w:t>5.64 (5.29; 5.99)</w:t>
            </w:r>
          </w:p>
        </w:tc>
        <w:tc>
          <w:tcPr>
            <w:tcW w:w="842" w:type="pct"/>
            <w:shd w:val="clear" w:color="auto" w:fill="auto"/>
          </w:tcPr>
          <w:p w14:paraId="0B13CF73" w14:textId="69227130" w:rsidR="00AC634D" w:rsidRPr="002718AB" w:rsidRDefault="00AC634D" w:rsidP="00AC634D">
            <w:pPr>
              <w:ind w:left="-44" w:right="-67"/>
              <w:jc w:val="center"/>
              <w:rPr>
                <w:rFonts w:ascii="Arial Narrow" w:hAnsi="Arial Narrow"/>
                <w:b/>
                <w:bCs/>
                <w:sz w:val="20"/>
                <w:szCs w:val="20"/>
              </w:rPr>
            </w:pPr>
            <w:r w:rsidRPr="00CA3715">
              <w:rPr>
                <w:rFonts w:ascii="Arial Narrow" w:hAnsi="Arial Narrow"/>
                <w:b/>
                <w:bCs/>
                <w:sz w:val="20"/>
                <w:szCs w:val="20"/>
              </w:rPr>
              <w:t>0.85 (0.77, 0.93)</w:t>
            </w:r>
          </w:p>
        </w:tc>
      </w:tr>
      <w:tr w:rsidR="003246FB" w:rsidRPr="00145B7B" w14:paraId="721B5596" w14:textId="77777777" w:rsidTr="00AA2E54">
        <w:tc>
          <w:tcPr>
            <w:tcW w:w="941" w:type="pct"/>
            <w:tcBorders>
              <w:right w:val="single" w:sz="4" w:space="0" w:color="auto"/>
            </w:tcBorders>
            <w:shd w:val="clear" w:color="auto" w:fill="auto"/>
            <w:vAlign w:val="center"/>
          </w:tcPr>
          <w:p w14:paraId="2BE1D17E" w14:textId="0CA860B2" w:rsidR="003246FB" w:rsidRPr="002718AB" w:rsidRDefault="003246FB" w:rsidP="003246FB">
            <w:pPr>
              <w:ind w:right="-107"/>
              <w:jc w:val="left"/>
              <w:rPr>
                <w:rFonts w:ascii="Arial Narrow" w:hAnsi="Arial Narrow"/>
                <w:sz w:val="20"/>
                <w:szCs w:val="20"/>
              </w:rPr>
            </w:pPr>
            <w:r w:rsidRPr="001B11F9">
              <w:rPr>
                <w:rFonts w:ascii="Arial Narrow" w:hAnsi="Arial Narrow"/>
                <w:sz w:val="20"/>
                <w:szCs w:val="20"/>
              </w:rPr>
              <w:t xml:space="preserve">UACR </w:t>
            </w:r>
            <w:r>
              <w:rPr>
                <w:rFonts w:ascii="Arial Narrow" w:hAnsi="Arial Narrow"/>
                <w:sz w:val="20"/>
                <w:szCs w:val="20"/>
              </w:rPr>
              <w:t>≥ </w:t>
            </w:r>
            <w:r w:rsidRPr="001B11F9">
              <w:rPr>
                <w:rFonts w:ascii="Arial Narrow" w:hAnsi="Arial Narrow"/>
                <w:sz w:val="20"/>
                <w:szCs w:val="20"/>
              </w:rPr>
              <w:t>200 mg/g</w:t>
            </w:r>
          </w:p>
        </w:tc>
        <w:tc>
          <w:tcPr>
            <w:tcW w:w="804" w:type="pct"/>
            <w:tcBorders>
              <w:left w:val="single" w:sz="4" w:space="0" w:color="auto"/>
            </w:tcBorders>
            <w:shd w:val="clear" w:color="auto" w:fill="auto"/>
          </w:tcPr>
          <w:p w14:paraId="112E8ACB" w14:textId="32925007" w:rsidR="003246FB" w:rsidRPr="002718AB" w:rsidRDefault="003246FB" w:rsidP="003246FB">
            <w:pPr>
              <w:ind w:left="-44" w:right="-67"/>
              <w:jc w:val="center"/>
              <w:rPr>
                <w:rFonts w:ascii="Arial Narrow" w:hAnsi="Arial Narrow"/>
                <w:sz w:val="20"/>
                <w:szCs w:val="20"/>
              </w:rPr>
            </w:pPr>
            <w:r w:rsidRPr="003E5E02">
              <w:rPr>
                <w:rFonts w:ascii="Arial Narrow" w:hAnsi="Arial Narrow"/>
                <w:sz w:val="20"/>
                <w:szCs w:val="20"/>
              </w:rPr>
              <w:t>730/4879 (15.0%)</w:t>
            </w:r>
          </w:p>
        </w:tc>
        <w:tc>
          <w:tcPr>
            <w:tcW w:w="804" w:type="pct"/>
            <w:shd w:val="clear" w:color="auto" w:fill="auto"/>
          </w:tcPr>
          <w:p w14:paraId="418F542E" w14:textId="3214DB56" w:rsidR="003246FB" w:rsidRPr="002718AB" w:rsidRDefault="003246FB" w:rsidP="003246FB">
            <w:pPr>
              <w:ind w:left="-44" w:right="-67"/>
              <w:jc w:val="center"/>
              <w:rPr>
                <w:rFonts w:ascii="Arial Narrow" w:hAnsi="Arial Narrow"/>
                <w:sz w:val="20"/>
                <w:szCs w:val="20"/>
              </w:rPr>
            </w:pPr>
            <w:r w:rsidRPr="003E5E02">
              <w:rPr>
                <w:rFonts w:ascii="Arial Narrow" w:hAnsi="Arial Narrow"/>
                <w:sz w:val="20"/>
                <w:szCs w:val="20"/>
              </w:rPr>
              <w:t>889/4871 (18.3%)</w:t>
            </w:r>
          </w:p>
        </w:tc>
        <w:tc>
          <w:tcPr>
            <w:tcW w:w="804" w:type="pct"/>
            <w:shd w:val="clear" w:color="auto" w:fill="auto"/>
          </w:tcPr>
          <w:p w14:paraId="329D38A9" w14:textId="652F2DF5" w:rsidR="003246FB" w:rsidRPr="002718AB" w:rsidRDefault="003246FB" w:rsidP="003246FB">
            <w:pPr>
              <w:ind w:left="-44" w:right="-67"/>
              <w:jc w:val="center"/>
              <w:rPr>
                <w:rFonts w:ascii="Arial Narrow" w:hAnsi="Arial Narrow"/>
                <w:sz w:val="20"/>
                <w:szCs w:val="20"/>
              </w:rPr>
            </w:pPr>
            <w:r w:rsidRPr="003E5E02">
              <w:rPr>
                <w:rFonts w:ascii="Arial Narrow" w:hAnsi="Arial Narrow"/>
                <w:sz w:val="20"/>
                <w:szCs w:val="20"/>
              </w:rPr>
              <w:t>5.84 (5.43; 6.28)</w:t>
            </w:r>
          </w:p>
        </w:tc>
        <w:tc>
          <w:tcPr>
            <w:tcW w:w="805" w:type="pct"/>
            <w:shd w:val="clear" w:color="auto" w:fill="auto"/>
          </w:tcPr>
          <w:p w14:paraId="54937DF7" w14:textId="5E03074A" w:rsidR="003246FB" w:rsidRPr="002718AB" w:rsidRDefault="003246FB" w:rsidP="003246FB">
            <w:pPr>
              <w:ind w:left="-44" w:right="-67"/>
              <w:jc w:val="center"/>
              <w:rPr>
                <w:rFonts w:ascii="Arial Narrow" w:hAnsi="Arial Narrow"/>
                <w:sz w:val="20"/>
                <w:szCs w:val="20"/>
              </w:rPr>
            </w:pPr>
            <w:r w:rsidRPr="003E5E02">
              <w:rPr>
                <w:rFonts w:ascii="Arial Narrow" w:hAnsi="Arial Narrow"/>
                <w:sz w:val="20"/>
                <w:szCs w:val="20"/>
              </w:rPr>
              <w:t>7.14 (6.68; 7.62)</w:t>
            </w:r>
          </w:p>
        </w:tc>
        <w:tc>
          <w:tcPr>
            <w:tcW w:w="842" w:type="pct"/>
            <w:shd w:val="clear" w:color="auto" w:fill="auto"/>
          </w:tcPr>
          <w:p w14:paraId="39544D04" w14:textId="353B8251" w:rsidR="003246FB" w:rsidRPr="002718AB" w:rsidRDefault="003246FB" w:rsidP="003246FB">
            <w:pPr>
              <w:ind w:left="-44" w:right="-67"/>
              <w:jc w:val="center"/>
              <w:rPr>
                <w:rFonts w:ascii="Arial Narrow" w:hAnsi="Arial Narrow"/>
                <w:b/>
                <w:bCs/>
                <w:sz w:val="20"/>
                <w:szCs w:val="20"/>
              </w:rPr>
            </w:pPr>
            <w:r w:rsidRPr="00A62150">
              <w:rPr>
                <w:rFonts w:ascii="Arial Narrow" w:hAnsi="Arial Narrow"/>
                <w:b/>
                <w:bCs/>
                <w:sz w:val="20"/>
                <w:szCs w:val="20"/>
              </w:rPr>
              <w:t>0.81 (0.74,0.90)</w:t>
            </w:r>
          </w:p>
        </w:tc>
      </w:tr>
      <w:tr w:rsidR="003246FB" w:rsidRPr="00145B7B" w14:paraId="45F3CBC4" w14:textId="77777777" w:rsidTr="004E2A40">
        <w:tc>
          <w:tcPr>
            <w:tcW w:w="941" w:type="pct"/>
            <w:tcBorders>
              <w:right w:val="single" w:sz="4" w:space="0" w:color="auto"/>
            </w:tcBorders>
            <w:shd w:val="clear" w:color="auto" w:fill="auto"/>
            <w:vAlign w:val="center"/>
          </w:tcPr>
          <w:p w14:paraId="5FAFD455" w14:textId="77777777" w:rsidR="0071655C" w:rsidRDefault="003246FB" w:rsidP="003246FB">
            <w:pPr>
              <w:ind w:right="-107"/>
              <w:jc w:val="left"/>
              <w:rPr>
                <w:rFonts w:ascii="Arial Narrow" w:hAnsi="Arial Narrow"/>
                <w:sz w:val="20"/>
                <w:szCs w:val="20"/>
              </w:rPr>
            </w:pPr>
            <w:r w:rsidRPr="001B11F9">
              <w:rPr>
                <w:rFonts w:ascii="Arial Narrow" w:hAnsi="Arial Narrow"/>
                <w:sz w:val="20"/>
                <w:szCs w:val="20"/>
              </w:rPr>
              <w:t xml:space="preserve">UACR </w:t>
            </w:r>
            <w:r>
              <w:rPr>
                <w:rFonts w:ascii="Arial Narrow" w:hAnsi="Arial Narrow"/>
                <w:sz w:val="20"/>
                <w:szCs w:val="20"/>
              </w:rPr>
              <w:t>≥ </w:t>
            </w:r>
            <w:r w:rsidRPr="001B11F9">
              <w:rPr>
                <w:rFonts w:ascii="Arial Narrow" w:hAnsi="Arial Narrow"/>
                <w:sz w:val="20"/>
                <w:szCs w:val="20"/>
              </w:rPr>
              <w:t xml:space="preserve">200 mg/g </w:t>
            </w:r>
          </w:p>
          <w:p w14:paraId="1DAF521B" w14:textId="1D18E903" w:rsidR="003246FB" w:rsidRPr="002718AB" w:rsidRDefault="0071655C" w:rsidP="003246FB">
            <w:pPr>
              <w:ind w:right="-107"/>
              <w:jc w:val="left"/>
              <w:rPr>
                <w:rFonts w:ascii="Arial Narrow" w:hAnsi="Arial Narrow"/>
                <w:sz w:val="20"/>
                <w:szCs w:val="20"/>
              </w:rPr>
            </w:pPr>
            <w:r>
              <w:rPr>
                <w:rFonts w:ascii="Arial Narrow" w:hAnsi="Arial Narrow"/>
                <w:sz w:val="20"/>
                <w:szCs w:val="20"/>
              </w:rPr>
              <w:t>+</w:t>
            </w:r>
            <w:r w:rsidRPr="001B11F9">
              <w:rPr>
                <w:rFonts w:ascii="Arial Narrow" w:hAnsi="Arial Narrow"/>
                <w:sz w:val="20"/>
                <w:szCs w:val="20"/>
              </w:rPr>
              <w:t xml:space="preserve"> </w:t>
            </w:r>
            <w:r>
              <w:rPr>
                <w:rFonts w:ascii="Arial Narrow" w:hAnsi="Arial Narrow"/>
                <w:sz w:val="20"/>
                <w:szCs w:val="20"/>
              </w:rPr>
              <w:t xml:space="preserve">baseline </w:t>
            </w:r>
            <w:r w:rsidRPr="001B11F9">
              <w:rPr>
                <w:rFonts w:ascii="Arial Narrow" w:hAnsi="Arial Narrow"/>
                <w:sz w:val="20"/>
                <w:szCs w:val="20"/>
              </w:rPr>
              <w:t>SGLT2i</w:t>
            </w:r>
          </w:p>
        </w:tc>
        <w:tc>
          <w:tcPr>
            <w:tcW w:w="804" w:type="pct"/>
            <w:tcBorders>
              <w:left w:val="single" w:sz="4" w:space="0" w:color="auto"/>
            </w:tcBorders>
            <w:shd w:val="clear" w:color="auto" w:fill="auto"/>
            <w:vAlign w:val="center"/>
          </w:tcPr>
          <w:p w14:paraId="69ED9DF6" w14:textId="601BAC81" w:rsidR="003246FB" w:rsidRPr="002718AB" w:rsidRDefault="003246FB" w:rsidP="003246FB">
            <w:pPr>
              <w:ind w:left="-44" w:right="-67"/>
              <w:jc w:val="center"/>
              <w:rPr>
                <w:rFonts w:ascii="Arial Narrow" w:hAnsi="Arial Narrow"/>
                <w:sz w:val="20"/>
                <w:szCs w:val="20"/>
              </w:rPr>
            </w:pPr>
            <w:r w:rsidRPr="00B42E6D">
              <w:rPr>
                <w:rFonts w:ascii="Arial Narrow" w:hAnsi="Arial Narrow"/>
                <w:sz w:val="20"/>
                <w:szCs w:val="20"/>
              </w:rPr>
              <w:t>27/324 (8.3%)</w:t>
            </w:r>
          </w:p>
        </w:tc>
        <w:tc>
          <w:tcPr>
            <w:tcW w:w="804" w:type="pct"/>
            <w:shd w:val="clear" w:color="auto" w:fill="auto"/>
            <w:vAlign w:val="center"/>
          </w:tcPr>
          <w:p w14:paraId="5BD1E37F" w14:textId="20B5C00F" w:rsidR="003246FB" w:rsidRPr="002718AB" w:rsidRDefault="003246FB" w:rsidP="003246FB">
            <w:pPr>
              <w:ind w:left="-44" w:right="-67"/>
              <w:jc w:val="center"/>
              <w:rPr>
                <w:rFonts w:ascii="Arial Narrow" w:hAnsi="Arial Narrow"/>
                <w:sz w:val="20"/>
                <w:szCs w:val="20"/>
              </w:rPr>
            </w:pPr>
            <w:r w:rsidRPr="00B42E6D">
              <w:rPr>
                <w:rFonts w:ascii="Arial Narrow" w:hAnsi="Arial Narrow"/>
                <w:sz w:val="20"/>
                <w:szCs w:val="20"/>
              </w:rPr>
              <w:t>28/324 (8.6%)</w:t>
            </w:r>
          </w:p>
        </w:tc>
        <w:tc>
          <w:tcPr>
            <w:tcW w:w="804" w:type="pct"/>
            <w:shd w:val="clear" w:color="auto" w:fill="auto"/>
            <w:vAlign w:val="center"/>
          </w:tcPr>
          <w:p w14:paraId="1E116604" w14:textId="7795C834" w:rsidR="003246FB" w:rsidRPr="002718AB" w:rsidRDefault="003246FB" w:rsidP="003246FB">
            <w:pPr>
              <w:ind w:left="-44" w:right="-67"/>
              <w:jc w:val="center"/>
              <w:rPr>
                <w:rFonts w:ascii="Arial Narrow" w:hAnsi="Arial Narrow"/>
                <w:sz w:val="20"/>
                <w:szCs w:val="20"/>
              </w:rPr>
            </w:pPr>
            <w:r w:rsidRPr="00B42E6D">
              <w:rPr>
                <w:rFonts w:ascii="Arial Narrow" w:hAnsi="Arial Narrow"/>
                <w:sz w:val="20"/>
                <w:szCs w:val="20"/>
              </w:rPr>
              <w:t>3.08 (2.03; 4.35)</w:t>
            </w:r>
          </w:p>
        </w:tc>
        <w:tc>
          <w:tcPr>
            <w:tcW w:w="805" w:type="pct"/>
            <w:shd w:val="clear" w:color="auto" w:fill="auto"/>
            <w:vAlign w:val="center"/>
          </w:tcPr>
          <w:p w14:paraId="1C8369FE" w14:textId="482E5B0A" w:rsidR="003246FB" w:rsidRPr="002718AB" w:rsidRDefault="003246FB" w:rsidP="003246FB">
            <w:pPr>
              <w:ind w:left="-44" w:right="-67"/>
              <w:jc w:val="center"/>
              <w:rPr>
                <w:rFonts w:ascii="Arial Narrow" w:hAnsi="Arial Narrow"/>
                <w:sz w:val="20"/>
                <w:szCs w:val="20"/>
              </w:rPr>
            </w:pPr>
            <w:r w:rsidRPr="00B42E6D">
              <w:rPr>
                <w:rFonts w:ascii="Arial Narrow" w:hAnsi="Arial Narrow"/>
                <w:sz w:val="20"/>
                <w:szCs w:val="20"/>
              </w:rPr>
              <w:t>3.36 (2.23; 4.71)</w:t>
            </w:r>
          </w:p>
        </w:tc>
        <w:tc>
          <w:tcPr>
            <w:tcW w:w="842" w:type="pct"/>
            <w:shd w:val="clear" w:color="auto" w:fill="auto"/>
            <w:vAlign w:val="center"/>
          </w:tcPr>
          <w:p w14:paraId="7885F423" w14:textId="35677B0E" w:rsidR="003246FB" w:rsidRPr="002718AB" w:rsidRDefault="003246FB" w:rsidP="003246FB">
            <w:pPr>
              <w:ind w:left="-44" w:right="-67"/>
              <w:jc w:val="center"/>
              <w:rPr>
                <w:rFonts w:ascii="Arial Narrow" w:hAnsi="Arial Narrow"/>
                <w:b/>
                <w:bCs/>
                <w:sz w:val="20"/>
                <w:szCs w:val="20"/>
              </w:rPr>
            </w:pPr>
            <w:r w:rsidRPr="00B42E6D">
              <w:rPr>
                <w:rFonts w:ascii="Arial Narrow" w:hAnsi="Arial Narrow"/>
                <w:sz w:val="20"/>
                <w:szCs w:val="20"/>
              </w:rPr>
              <w:t>0.68 (0.38,1.24)</w:t>
            </w:r>
          </w:p>
        </w:tc>
      </w:tr>
      <w:tr w:rsidR="003246FB" w:rsidRPr="00145B7B" w14:paraId="4EB616C1" w14:textId="77777777" w:rsidTr="004E2A40">
        <w:tc>
          <w:tcPr>
            <w:tcW w:w="941" w:type="pct"/>
            <w:tcBorders>
              <w:right w:val="single" w:sz="4" w:space="0" w:color="auto"/>
            </w:tcBorders>
            <w:shd w:val="clear" w:color="auto" w:fill="auto"/>
            <w:vAlign w:val="center"/>
          </w:tcPr>
          <w:p w14:paraId="5DE89B8E" w14:textId="77777777" w:rsidR="003246FB" w:rsidRDefault="003246FB" w:rsidP="003246FB">
            <w:pPr>
              <w:ind w:right="-107"/>
              <w:jc w:val="left"/>
              <w:rPr>
                <w:rFonts w:ascii="Arial Narrow" w:hAnsi="Arial Narrow"/>
                <w:sz w:val="20"/>
                <w:szCs w:val="20"/>
              </w:rPr>
            </w:pPr>
            <w:r w:rsidRPr="001B11F9">
              <w:rPr>
                <w:rFonts w:ascii="Arial Narrow" w:hAnsi="Arial Narrow"/>
                <w:sz w:val="20"/>
                <w:szCs w:val="20"/>
              </w:rPr>
              <w:t xml:space="preserve">UACR </w:t>
            </w:r>
            <w:r>
              <w:rPr>
                <w:rFonts w:ascii="Arial Narrow" w:hAnsi="Arial Narrow"/>
                <w:sz w:val="20"/>
                <w:szCs w:val="20"/>
              </w:rPr>
              <w:t>≥ </w:t>
            </w:r>
            <w:r w:rsidRPr="001B11F9">
              <w:rPr>
                <w:rFonts w:ascii="Arial Narrow" w:hAnsi="Arial Narrow"/>
                <w:sz w:val="20"/>
                <w:szCs w:val="20"/>
              </w:rPr>
              <w:t xml:space="preserve">200 mg/g </w:t>
            </w:r>
          </w:p>
          <w:p w14:paraId="34DCEB28" w14:textId="6DEDDDE9" w:rsidR="003246FB" w:rsidRPr="002718AB" w:rsidRDefault="0071655C" w:rsidP="003246FB">
            <w:pPr>
              <w:ind w:right="-107"/>
              <w:jc w:val="left"/>
              <w:rPr>
                <w:rFonts w:ascii="Arial Narrow" w:hAnsi="Arial Narrow"/>
                <w:sz w:val="20"/>
                <w:szCs w:val="20"/>
              </w:rPr>
            </w:pPr>
            <w:r>
              <w:rPr>
                <w:rFonts w:ascii="Arial Narrow" w:hAnsi="Arial Narrow"/>
                <w:sz w:val="20"/>
                <w:szCs w:val="20"/>
              </w:rPr>
              <w:t>no</w:t>
            </w:r>
            <w:r w:rsidRPr="001B11F9">
              <w:rPr>
                <w:rFonts w:ascii="Arial Narrow" w:hAnsi="Arial Narrow"/>
                <w:sz w:val="20"/>
                <w:szCs w:val="20"/>
              </w:rPr>
              <w:t xml:space="preserve"> </w:t>
            </w:r>
            <w:r>
              <w:rPr>
                <w:rFonts w:ascii="Arial Narrow" w:hAnsi="Arial Narrow"/>
                <w:sz w:val="20"/>
                <w:szCs w:val="20"/>
              </w:rPr>
              <w:t xml:space="preserve">baseline </w:t>
            </w:r>
            <w:r w:rsidRPr="001B11F9">
              <w:rPr>
                <w:rFonts w:ascii="Arial Narrow" w:hAnsi="Arial Narrow"/>
                <w:sz w:val="20"/>
                <w:szCs w:val="20"/>
              </w:rPr>
              <w:t>SGLT2i</w:t>
            </w:r>
          </w:p>
        </w:tc>
        <w:tc>
          <w:tcPr>
            <w:tcW w:w="804" w:type="pct"/>
            <w:tcBorders>
              <w:left w:val="single" w:sz="4" w:space="0" w:color="auto"/>
            </w:tcBorders>
            <w:shd w:val="clear" w:color="auto" w:fill="auto"/>
            <w:vAlign w:val="center"/>
          </w:tcPr>
          <w:p w14:paraId="1A3625EA" w14:textId="24798040" w:rsidR="003246FB" w:rsidRPr="002718AB" w:rsidRDefault="003246FB" w:rsidP="003246FB">
            <w:pPr>
              <w:ind w:left="-44" w:right="-67"/>
              <w:jc w:val="center"/>
              <w:rPr>
                <w:rFonts w:ascii="Arial Narrow" w:hAnsi="Arial Narrow"/>
                <w:sz w:val="20"/>
                <w:szCs w:val="20"/>
              </w:rPr>
            </w:pPr>
            <w:r w:rsidRPr="00A62150">
              <w:rPr>
                <w:rFonts w:ascii="Arial Narrow" w:hAnsi="Arial Narrow"/>
                <w:sz w:val="20"/>
                <w:szCs w:val="20"/>
              </w:rPr>
              <w:t>703/4555 (15.4%)</w:t>
            </w:r>
          </w:p>
        </w:tc>
        <w:tc>
          <w:tcPr>
            <w:tcW w:w="804" w:type="pct"/>
            <w:shd w:val="clear" w:color="auto" w:fill="auto"/>
            <w:vAlign w:val="center"/>
          </w:tcPr>
          <w:p w14:paraId="2A594751" w14:textId="6439EBFE" w:rsidR="003246FB" w:rsidRPr="002718AB" w:rsidRDefault="003246FB" w:rsidP="003246FB">
            <w:pPr>
              <w:ind w:left="-44" w:right="-67"/>
              <w:jc w:val="center"/>
              <w:rPr>
                <w:rFonts w:ascii="Arial Narrow" w:hAnsi="Arial Narrow"/>
                <w:sz w:val="20"/>
                <w:szCs w:val="20"/>
              </w:rPr>
            </w:pPr>
            <w:r w:rsidRPr="00A62150">
              <w:rPr>
                <w:rFonts w:ascii="Arial Narrow" w:hAnsi="Arial Narrow"/>
                <w:sz w:val="20"/>
                <w:szCs w:val="20"/>
              </w:rPr>
              <w:t>861/4547 (18.9%)</w:t>
            </w:r>
          </w:p>
        </w:tc>
        <w:tc>
          <w:tcPr>
            <w:tcW w:w="804" w:type="pct"/>
            <w:shd w:val="clear" w:color="auto" w:fill="auto"/>
            <w:vAlign w:val="center"/>
          </w:tcPr>
          <w:p w14:paraId="3E11C8F1" w14:textId="1D1F59D3" w:rsidR="003246FB" w:rsidRPr="002718AB" w:rsidRDefault="003246FB" w:rsidP="003246FB">
            <w:pPr>
              <w:ind w:left="-44" w:right="-67"/>
              <w:jc w:val="center"/>
              <w:rPr>
                <w:rFonts w:ascii="Arial Narrow" w:hAnsi="Arial Narrow"/>
                <w:sz w:val="20"/>
                <w:szCs w:val="20"/>
              </w:rPr>
            </w:pPr>
            <w:r w:rsidRPr="00A62150">
              <w:rPr>
                <w:rFonts w:ascii="Arial Narrow" w:hAnsi="Arial Narrow"/>
                <w:sz w:val="20"/>
                <w:szCs w:val="20"/>
              </w:rPr>
              <w:t>6.05 (5.61; 6.51)</w:t>
            </w:r>
          </w:p>
        </w:tc>
        <w:tc>
          <w:tcPr>
            <w:tcW w:w="805" w:type="pct"/>
            <w:shd w:val="clear" w:color="auto" w:fill="auto"/>
            <w:vAlign w:val="center"/>
          </w:tcPr>
          <w:p w14:paraId="4B568936" w14:textId="56C5B25E" w:rsidR="003246FB" w:rsidRPr="002718AB" w:rsidRDefault="003246FB" w:rsidP="003246FB">
            <w:pPr>
              <w:ind w:left="-44" w:right="-67"/>
              <w:jc w:val="center"/>
              <w:rPr>
                <w:rFonts w:ascii="Arial Narrow" w:hAnsi="Arial Narrow"/>
                <w:sz w:val="20"/>
                <w:szCs w:val="20"/>
              </w:rPr>
            </w:pPr>
            <w:r w:rsidRPr="00A62150">
              <w:rPr>
                <w:rFonts w:ascii="Arial Narrow" w:hAnsi="Arial Narrow"/>
                <w:sz w:val="20"/>
                <w:szCs w:val="20"/>
              </w:rPr>
              <w:t>7.42 (6.93; 7.92)</w:t>
            </w:r>
          </w:p>
        </w:tc>
        <w:tc>
          <w:tcPr>
            <w:tcW w:w="842" w:type="pct"/>
            <w:shd w:val="clear" w:color="auto" w:fill="auto"/>
            <w:vAlign w:val="center"/>
          </w:tcPr>
          <w:p w14:paraId="51DAB748" w14:textId="79589B42" w:rsidR="003246FB" w:rsidRPr="002718AB" w:rsidRDefault="003246FB" w:rsidP="003246FB">
            <w:pPr>
              <w:ind w:left="-44" w:right="-67"/>
              <w:jc w:val="center"/>
              <w:rPr>
                <w:rFonts w:ascii="Arial Narrow" w:hAnsi="Arial Narrow"/>
                <w:b/>
                <w:bCs/>
                <w:sz w:val="20"/>
                <w:szCs w:val="20"/>
              </w:rPr>
            </w:pPr>
            <w:r w:rsidRPr="00A62150">
              <w:rPr>
                <w:rFonts w:ascii="Arial Narrow" w:hAnsi="Arial Narrow"/>
                <w:b/>
                <w:bCs/>
                <w:sz w:val="20"/>
                <w:szCs w:val="20"/>
              </w:rPr>
              <w:t>0.82 (0.74,0.90)</w:t>
            </w:r>
          </w:p>
        </w:tc>
      </w:tr>
      <w:tr w:rsidR="003246FB" w:rsidRPr="00145B7B" w14:paraId="50B4A61D" w14:textId="77777777" w:rsidTr="004E2A40">
        <w:tc>
          <w:tcPr>
            <w:tcW w:w="5000" w:type="pct"/>
            <w:gridSpan w:val="6"/>
            <w:shd w:val="clear" w:color="auto" w:fill="auto"/>
            <w:vAlign w:val="center"/>
          </w:tcPr>
          <w:p w14:paraId="3A93BC89" w14:textId="3CBBE2AA" w:rsidR="003246FB" w:rsidRPr="002718AB" w:rsidRDefault="003246FB" w:rsidP="003246FB">
            <w:pPr>
              <w:ind w:left="-44" w:right="-67"/>
              <w:jc w:val="left"/>
              <w:rPr>
                <w:rFonts w:ascii="Arial Narrow" w:hAnsi="Arial Narrow"/>
                <w:b/>
                <w:bCs/>
                <w:sz w:val="20"/>
                <w:szCs w:val="20"/>
              </w:rPr>
            </w:pPr>
            <w:r w:rsidRPr="002718AB">
              <w:rPr>
                <w:rFonts w:ascii="Arial Narrow" w:hAnsi="Arial Narrow"/>
                <w:b/>
                <w:sz w:val="20"/>
                <w:szCs w:val="20"/>
              </w:rPr>
              <w:t>Composite renal events (including ≥ 57% decrease in eGFR)</w:t>
            </w:r>
            <w:r w:rsidR="00EA2578">
              <w:rPr>
                <w:rFonts w:ascii="Arial Narrow" w:hAnsi="Arial Narrow"/>
                <w:b/>
                <w:sz w:val="20"/>
                <w:szCs w:val="20"/>
                <w:vertAlign w:val="superscript"/>
              </w:rPr>
              <w:t>d</w:t>
            </w:r>
          </w:p>
        </w:tc>
      </w:tr>
      <w:tr w:rsidR="00507698" w:rsidRPr="00145B7B" w14:paraId="323602E5" w14:textId="77777777" w:rsidTr="004E2A40">
        <w:tc>
          <w:tcPr>
            <w:tcW w:w="941" w:type="pct"/>
            <w:tcBorders>
              <w:right w:val="single" w:sz="4" w:space="0" w:color="auto"/>
            </w:tcBorders>
            <w:shd w:val="clear" w:color="auto" w:fill="auto"/>
            <w:vAlign w:val="center"/>
          </w:tcPr>
          <w:p w14:paraId="3D559847" w14:textId="700ABAC3" w:rsidR="00507698" w:rsidRPr="002718AB" w:rsidRDefault="00D458F2" w:rsidP="00507698">
            <w:pPr>
              <w:ind w:right="-107"/>
              <w:jc w:val="left"/>
              <w:rPr>
                <w:rFonts w:ascii="Arial Narrow" w:hAnsi="Arial Narrow"/>
                <w:sz w:val="20"/>
                <w:szCs w:val="20"/>
              </w:rPr>
            </w:pPr>
            <w:r>
              <w:rPr>
                <w:rFonts w:ascii="Arial Narrow" w:hAnsi="Arial Narrow"/>
                <w:sz w:val="20"/>
                <w:szCs w:val="20"/>
              </w:rPr>
              <w:t xml:space="preserve">FIDELITIY </w:t>
            </w:r>
            <w:r w:rsidR="00507698">
              <w:rPr>
                <w:rFonts w:ascii="Arial Narrow" w:hAnsi="Arial Narrow"/>
                <w:sz w:val="20"/>
                <w:szCs w:val="20"/>
              </w:rPr>
              <w:t>(FAS)</w:t>
            </w:r>
            <w:r w:rsidR="00507698">
              <w:rPr>
                <w:rFonts w:ascii="Arial Narrow" w:hAnsi="Arial Narrow"/>
                <w:sz w:val="20"/>
                <w:szCs w:val="20"/>
                <w:vertAlign w:val="superscript"/>
              </w:rPr>
              <w:t>b</w:t>
            </w:r>
          </w:p>
        </w:tc>
        <w:tc>
          <w:tcPr>
            <w:tcW w:w="804" w:type="pct"/>
            <w:tcBorders>
              <w:left w:val="single" w:sz="4" w:space="0" w:color="auto"/>
            </w:tcBorders>
            <w:shd w:val="clear" w:color="auto" w:fill="auto"/>
            <w:vAlign w:val="center"/>
          </w:tcPr>
          <w:p w14:paraId="17BFAB4B" w14:textId="15A822E9"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360/6519 (5.5%)</w:t>
            </w:r>
          </w:p>
        </w:tc>
        <w:tc>
          <w:tcPr>
            <w:tcW w:w="804" w:type="pct"/>
            <w:shd w:val="clear" w:color="auto" w:fill="auto"/>
            <w:vAlign w:val="center"/>
          </w:tcPr>
          <w:p w14:paraId="2F1B2B5F" w14:textId="6E4FF39F"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465/6507 (7.1%)</w:t>
            </w:r>
          </w:p>
        </w:tc>
        <w:tc>
          <w:tcPr>
            <w:tcW w:w="804" w:type="pct"/>
            <w:shd w:val="clear" w:color="auto" w:fill="auto"/>
            <w:vAlign w:val="center"/>
          </w:tcPr>
          <w:p w14:paraId="405BAE28" w14:textId="0C4216B2"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1.96 (1.77; 2.17)</w:t>
            </w:r>
          </w:p>
        </w:tc>
        <w:tc>
          <w:tcPr>
            <w:tcW w:w="805" w:type="pct"/>
            <w:shd w:val="clear" w:color="auto" w:fill="auto"/>
            <w:vAlign w:val="center"/>
          </w:tcPr>
          <w:p w14:paraId="18351BC9" w14:textId="5E6D6EEC"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2.55 (2.33; 2.79)</w:t>
            </w:r>
          </w:p>
        </w:tc>
        <w:tc>
          <w:tcPr>
            <w:tcW w:w="842" w:type="pct"/>
            <w:shd w:val="clear" w:color="auto" w:fill="auto"/>
            <w:vAlign w:val="center"/>
          </w:tcPr>
          <w:p w14:paraId="4877AD09" w14:textId="27453FC8" w:rsidR="00507698" w:rsidRPr="002718AB" w:rsidRDefault="00507698" w:rsidP="00507698">
            <w:pPr>
              <w:ind w:left="-44" w:right="-67"/>
              <w:jc w:val="center"/>
              <w:rPr>
                <w:rFonts w:ascii="Arial Narrow" w:hAnsi="Arial Narrow"/>
                <w:b/>
                <w:bCs/>
                <w:sz w:val="20"/>
                <w:szCs w:val="20"/>
              </w:rPr>
            </w:pPr>
            <w:r w:rsidRPr="000F650F">
              <w:rPr>
                <w:rFonts w:ascii="Arial Narrow" w:hAnsi="Arial Narrow"/>
                <w:b/>
                <w:bCs/>
                <w:sz w:val="20"/>
                <w:szCs w:val="20"/>
              </w:rPr>
              <w:t>0.77 (0.67,0.88)</w:t>
            </w:r>
          </w:p>
        </w:tc>
      </w:tr>
      <w:tr w:rsidR="00507698" w:rsidRPr="00145B7B" w14:paraId="1F93BA2A" w14:textId="77777777" w:rsidTr="004E2A40">
        <w:tc>
          <w:tcPr>
            <w:tcW w:w="941" w:type="pct"/>
            <w:tcBorders>
              <w:right w:val="single" w:sz="4" w:space="0" w:color="auto"/>
            </w:tcBorders>
            <w:shd w:val="clear" w:color="auto" w:fill="auto"/>
            <w:vAlign w:val="center"/>
          </w:tcPr>
          <w:p w14:paraId="5D19CFC0" w14:textId="556B2CFB" w:rsidR="00507698" w:rsidRPr="002718AB" w:rsidRDefault="00507698" w:rsidP="00507698">
            <w:pPr>
              <w:ind w:right="-107"/>
              <w:jc w:val="left"/>
              <w:rPr>
                <w:rFonts w:ascii="Arial Narrow" w:hAnsi="Arial Narrow"/>
                <w:sz w:val="20"/>
                <w:szCs w:val="20"/>
              </w:rPr>
            </w:pPr>
            <w:r w:rsidRPr="001B11F9">
              <w:rPr>
                <w:rFonts w:ascii="Arial Narrow" w:hAnsi="Arial Narrow"/>
                <w:sz w:val="20"/>
                <w:szCs w:val="20"/>
              </w:rPr>
              <w:t xml:space="preserve">UACR </w:t>
            </w:r>
            <w:r>
              <w:rPr>
                <w:rFonts w:ascii="Arial Narrow" w:hAnsi="Arial Narrow"/>
                <w:sz w:val="20"/>
                <w:szCs w:val="20"/>
              </w:rPr>
              <w:t>≥ </w:t>
            </w:r>
            <w:r w:rsidRPr="001B11F9">
              <w:rPr>
                <w:rFonts w:ascii="Arial Narrow" w:hAnsi="Arial Narrow"/>
                <w:sz w:val="20"/>
                <w:szCs w:val="20"/>
              </w:rPr>
              <w:t>200 mg/g</w:t>
            </w:r>
          </w:p>
        </w:tc>
        <w:tc>
          <w:tcPr>
            <w:tcW w:w="804" w:type="pct"/>
            <w:tcBorders>
              <w:left w:val="single" w:sz="4" w:space="0" w:color="auto"/>
            </w:tcBorders>
            <w:shd w:val="clear" w:color="auto" w:fill="auto"/>
            <w:vAlign w:val="center"/>
          </w:tcPr>
          <w:p w14:paraId="4243DA4F" w14:textId="2592EC4D"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331/4879 (6.8%)</w:t>
            </w:r>
          </w:p>
        </w:tc>
        <w:tc>
          <w:tcPr>
            <w:tcW w:w="804" w:type="pct"/>
            <w:shd w:val="clear" w:color="auto" w:fill="auto"/>
            <w:vAlign w:val="center"/>
          </w:tcPr>
          <w:p w14:paraId="401ACF35" w14:textId="107FFE3F"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442/4871 (9.1%)</w:t>
            </w:r>
          </w:p>
        </w:tc>
        <w:tc>
          <w:tcPr>
            <w:tcW w:w="804" w:type="pct"/>
            <w:shd w:val="clear" w:color="auto" w:fill="auto"/>
            <w:vAlign w:val="center"/>
          </w:tcPr>
          <w:p w14:paraId="5F8BFB2B" w14:textId="19497A2D"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2.56 (2.29; 2.84)</w:t>
            </w:r>
          </w:p>
        </w:tc>
        <w:tc>
          <w:tcPr>
            <w:tcW w:w="805" w:type="pct"/>
            <w:shd w:val="clear" w:color="auto" w:fill="auto"/>
            <w:vAlign w:val="center"/>
          </w:tcPr>
          <w:p w14:paraId="182F9570" w14:textId="32E0C82C"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3.42 (3.11; 3.75)</w:t>
            </w:r>
          </w:p>
        </w:tc>
        <w:tc>
          <w:tcPr>
            <w:tcW w:w="842" w:type="pct"/>
            <w:shd w:val="clear" w:color="auto" w:fill="auto"/>
            <w:vAlign w:val="center"/>
          </w:tcPr>
          <w:p w14:paraId="7484A3FB" w14:textId="746BFFD2" w:rsidR="00507698" w:rsidRPr="002718AB" w:rsidRDefault="00507698" w:rsidP="00507698">
            <w:pPr>
              <w:ind w:left="-44" w:right="-67"/>
              <w:jc w:val="center"/>
              <w:rPr>
                <w:rFonts w:ascii="Arial Narrow" w:hAnsi="Arial Narrow"/>
                <w:b/>
                <w:bCs/>
                <w:sz w:val="20"/>
                <w:szCs w:val="20"/>
              </w:rPr>
            </w:pPr>
            <w:r w:rsidRPr="000F650F">
              <w:rPr>
                <w:rFonts w:ascii="Arial Narrow" w:hAnsi="Arial Narrow"/>
                <w:b/>
                <w:bCs/>
                <w:sz w:val="20"/>
                <w:szCs w:val="20"/>
              </w:rPr>
              <w:t>0.75 (0.65,0.86)</w:t>
            </w:r>
          </w:p>
        </w:tc>
      </w:tr>
      <w:tr w:rsidR="00507698" w:rsidRPr="00145B7B" w14:paraId="705D6A9E" w14:textId="77777777" w:rsidTr="004E2A40">
        <w:tc>
          <w:tcPr>
            <w:tcW w:w="941" w:type="pct"/>
            <w:tcBorders>
              <w:right w:val="single" w:sz="4" w:space="0" w:color="auto"/>
            </w:tcBorders>
            <w:shd w:val="clear" w:color="auto" w:fill="auto"/>
            <w:vAlign w:val="center"/>
          </w:tcPr>
          <w:p w14:paraId="53E904FD" w14:textId="77777777" w:rsidR="0071655C" w:rsidRDefault="00507698" w:rsidP="00507698">
            <w:pPr>
              <w:ind w:right="-107"/>
              <w:jc w:val="left"/>
              <w:rPr>
                <w:rFonts w:ascii="Arial Narrow" w:hAnsi="Arial Narrow"/>
                <w:sz w:val="20"/>
                <w:szCs w:val="20"/>
              </w:rPr>
            </w:pPr>
            <w:r w:rsidRPr="001B11F9">
              <w:rPr>
                <w:rFonts w:ascii="Arial Narrow" w:hAnsi="Arial Narrow"/>
                <w:sz w:val="20"/>
                <w:szCs w:val="20"/>
              </w:rPr>
              <w:t xml:space="preserve">UACR </w:t>
            </w:r>
            <w:r>
              <w:rPr>
                <w:rFonts w:ascii="Arial Narrow" w:hAnsi="Arial Narrow"/>
                <w:sz w:val="20"/>
                <w:szCs w:val="20"/>
              </w:rPr>
              <w:t>≥ </w:t>
            </w:r>
            <w:r w:rsidRPr="001B11F9">
              <w:rPr>
                <w:rFonts w:ascii="Arial Narrow" w:hAnsi="Arial Narrow"/>
                <w:sz w:val="20"/>
                <w:szCs w:val="20"/>
              </w:rPr>
              <w:t xml:space="preserve">200 mg/g </w:t>
            </w:r>
          </w:p>
          <w:p w14:paraId="015998FB" w14:textId="2209254F" w:rsidR="00507698" w:rsidRPr="002718AB" w:rsidRDefault="0071655C" w:rsidP="00507698">
            <w:pPr>
              <w:ind w:right="-107"/>
              <w:jc w:val="left"/>
              <w:rPr>
                <w:rFonts w:ascii="Arial Narrow" w:hAnsi="Arial Narrow"/>
                <w:sz w:val="20"/>
                <w:szCs w:val="20"/>
              </w:rPr>
            </w:pPr>
            <w:r>
              <w:rPr>
                <w:rFonts w:ascii="Arial Narrow" w:hAnsi="Arial Narrow"/>
                <w:sz w:val="20"/>
                <w:szCs w:val="20"/>
              </w:rPr>
              <w:t>+</w:t>
            </w:r>
            <w:r w:rsidRPr="001B11F9">
              <w:rPr>
                <w:rFonts w:ascii="Arial Narrow" w:hAnsi="Arial Narrow"/>
                <w:sz w:val="20"/>
                <w:szCs w:val="20"/>
              </w:rPr>
              <w:t xml:space="preserve"> </w:t>
            </w:r>
            <w:r>
              <w:rPr>
                <w:rFonts w:ascii="Arial Narrow" w:hAnsi="Arial Narrow"/>
                <w:sz w:val="20"/>
                <w:szCs w:val="20"/>
              </w:rPr>
              <w:t xml:space="preserve">baseline </w:t>
            </w:r>
            <w:r w:rsidRPr="001B11F9">
              <w:rPr>
                <w:rFonts w:ascii="Arial Narrow" w:hAnsi="Arial Narrow"/>
                <w:sz w:val="20"/>
                <w:szCs w:val="20"/>
              </w:rPr>
              <w:t>SGLT2i</w:t>
            </w:r>
          </w:p>
        </w:tc>
        <w:tc>
          <w:tcPr>
            <w:tcW w:w="804" w:type="pct"/>
            <w:tcBorders>
              <w:left w:val="single" w:sz="4" w:space="0" w:color="auto"/>
            </w:tcBorders>
            <w:shd w:val="clear" w:color="auto" w:fill="auto"/>
            <w:vAlign w:val="center"/>
          </w:tcPr>
          <w:p w14:paraId="654E7FBE" w14:textId="1EE8A474"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7/324 (2.2%)</w:t>
            </w:r>
          </w:p>
        </w:tc>
        <w:tc>
          <w:tcPr>
            <w:tcW w:w="804" w:type="pct"/>
            <w:shd w:val="clear" w:color="auto" w:fill="auto"/>
            <w:vAlign w:val="center"/>
          </w:tcPr>
          <w:p w14:paraId="0F877C76" w14:textId="5DF9BD05"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17/324 (5.2%)</w:t>
            </w:r>
          </w:p>
        </w:tc>
        <w:tc>
          <w:tcPr>
            <w:tcW w:w="804" w:type="pct"/>
            <w:shd w:val="clear" w:color="auto" w:fill="auto"/>
            <w:vAlign w:val="center"/>
          </w:tcPr>
          <w:p w14:paraId="5BBE710A" w14:textId="50D56293"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0.78 (0.32; 1.46)</w:t>
            </w:r>
          </w:p>
        </w:tc>
        <w:tc>
          <w:tcPr>
            <w:tcW w:w="805" w:type="pct"/>
            <w:shd w:val="clear" w:color="auto" w:fill="auto"/>
            <w:vAlign w:val="center"/>
          </w:tcPr>
          <w:p w14:paraId="340372FC" w14:textId="2533819D"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2.00 (1.16; 3.05)</w:t>
            </w:r>
          </w:p>
        </w:tc>
        <w:tc>
          <w:tcPr>
            <w:tcW w:w="842" w:type="pct"/>
            <w:shd w:val="clear" w:color="auto" w:fill="auto"/>
            <w:vAlign w:val="center"/>
          </w:tcPr>
          <w:p w14:paraId="035F0C09" w14:textId="44002034" w:rsidR="00507698" w:rsidRPr="002718AB" w:rsidRDefault="00507698" w:rsidP="00507698">
            <w:pPr>
              <w:ind w:left="-44" w:right="-67"/>
              <w:jc w:val="center"/>
              <w:rPr>
                <w:rFonts w:ascii="Arial Narrow" w:hAnsi="Arial Narrow"/>
                <w:b/>
                <w:bCs/>
                <w:sz w:val="20"/>
                <w:szCs w:val="20"/>
              </w:rPr>
            </w:pPr>
            <w:r w:rsidRPr="000F650F">
              <w:rPr>
                <w:rFonts w:ascii="Arial Narrow" w:hAnsi="Arial Narrow"/>
                <w:b/>
                <w:bCs/>
                <w:sz w:val="20"/>
                <w:szCs w:val="20"/>
              </w:rPr>
              <w:t>0.33 (0.13,0.87)</w:t>
            </w:r>
          </w:p>
        </w:tc>
      </w:tr>
      <w:tr w:rsidR="00507698" w:rsidRPr="00145B7B" w14:paraId="785ADC0E" w14:textId="77777777" w:rsidTr="004E2A40">
        <w:tc>
          <w:tcPr>
            <w:tcW w:w="941" w:type="pct"/>
            <w:tcBorders>
              <w:bottom w:val="single" w:sz="4" w:space="0" w:color="auto"/>
              <w:right w:val="single" w:sz="4" w:space="0" w:color="auto"/>
            </w:tcBorders>
            <w:shd w:val="clear" w:color="auto" w:fill="auto"/>
            <w:vAlign w:val="center"/>
          </w:tcPr>
          <w:p w14:paraId="01ED397B" w14:textId="77777777" w:rsidR="00507698" w:rsidRDefault="00507698" w:rsidP="00507698">
            <w:pPr>
              <w:ind w:right="-107"/>
              <w:jc w:val="left"/>
              <w:rPr>
                <w:rFonts w:ascii="Arial Narrow" w:hAnsi="Arial Narrow"/>
                <w:sz w:val="20"/>
                <w:szCs w:val="20"/>
              </w:rPr>
            </w:pPr>
            <w:r w:rsidRPr="001B11F9">
              <w:rPr>
                <w:rFonts w:ascii="Arial Narrow" w:hAnsi="Arial Narrow"/>
                <w:sz w:val="20"/>
                <w:szCs w:val="20"/>
              </w:rPr>
              <w:t xml:space="preserve">UACR </w:t>
            </w:r>
            <w:r>
              <w:rPr>
                <w:rFonts w:ascii="Arial Narrow" w:hAnsi="Arial Narrow"/>
                <w:sz w:val="20"/>
                <w:szCs w:val="20"/>
              </w:rPr>
              <w:t>≥ </w:t>
            </w:r>
            <w:r w:rsidRPr="001B11F9">
              <w:rPr>
                <w:rFonts w:ascii="Arial Narrow" w:hAnsi="Arial Narrow"/>
                <w:sz w:val="20"/>
                <w:szCs w:val="20"/>
              </w:rPr>
              <w:t xml:space="preserve">200 mg/g </w:t>
            </w:r>
          </w:p>
          <w:p w14:paraId="4AD015D3" w14:textId="67DAF68A" w:rsidR="00507698" w:rsidRPr="002718AB" w:rsidRDefault="0071655C" w:rsidP="00507698">
            <w:pPr>
              <w:ind w:right="-107"/>
              <w:jc w:val="left"/>
              <w:rPr>
                <w:rFonts w:ascii="Arial Narrow" w:hAnsi="Arial Narrow"/>
                <w:sz w:val="20"/>
                <w:szCs w:val="20"/>
              </w:rPr>
            </w:pPr>
            <w:r>
              <w:rPr>
                <w:rFonts w:ascii="Arial Narrow" w:hAnsi="Arial Narrow"/>
                <w:sz w:val="20"/>
                <w:szCs w:val="20"/>
              </w:rPr>
              <w:t>no</w:t>
            </w:r>
            <w:r w:rsidRPr="001B11F9">
              <w:rPr>
                <w:rFonts w:ascii="Arial Narrow" w:hAnsi="Arial Narrow"/>
                <w:sz w:val="20"/>
                <w:szCs w:val="20"/>
              </w:rPr>
              <w:t xml:space="preserve"> </w:t>
            </w:r>
            <w:r>
              <w:rPr>
                <w:rFonts w:ascii="Arial Narrow" w:hAnsi="Arial Narrow"/>
                <w:sz w:val="20"/>
                <w:szCs w:val="20"/>
              </w:rPr>
              <w:t xml:space="preserve">baseline </w:t>
            </w:r>
            <w:r w:rsidRPr="001B11F9">
              <w:rPr>
                <w:rFonts w:ascii="Arial Narrow" w:hAnsi="Arial Narrow"/>
                <w:sz w:val="20"/>
                <w:szCs w:val="20"/>
              </w:rPr>
              <w:t>SGLT2i</w:t>
            </w:r>
          </w:p>
        </w:tc>
        <w:tc>
          <w:tcPr>
            <w:tcW w:w="804" w:type="pct"/>
            <w:tcBorders>
              <w:left w:val="single" w:sz="4" w:space="0" w:color="auto"/>
              <w:bottom w:val="single" w:sz="4" w:space="0" w:color="auto"/>
            </w:tcBorders>
            <w:shd w:val="clear" w:color="auto" w:fill="auto"/>
            <w:vAlign w:val="center"/>
          </w:tcPr>
          <w:p w14:paraId="2BE2252F" w14:textId="1C1D0DD3"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324/4555 (7.1%)</w:t>
            </w:r>
          </w:p>
        </w:tc>
        <w:tc>
          <w:tcPr>
            <w:tcW w:w="804" w:type="pct"/>
            <w:tcBorders>
              <w:bottom w:val="single" w:sz="4" w:space="0" w:color="auto"/>
            </w:tcBorders>
            <w:shd w:val="clear" w:color="auto" w:fill="auto"/>
            <w:vAlign w:val="center"/>
          </w:tcPr>
          <w:p w14:paraId="1DB93446" w14:textId="21A8098F"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425/4547 (9.3%)</w:t>
            </w:r>
          </w:p>
        </w:tc>
        <w:tc>
          <w:tcPr>
            <w:tcW w:w="804" w:type="pct"/>
            <w:tcBorders>
              <w:bottom w:val="single" w:sz="4" w:space="0" w:color="auto"/>
            </w:tcBorders>
            <w:shd w:val="clear" w:color="auto" w:fill="auto"/>
            <w:vAlign w:val="center"/>
          </w:tcPr>
          <w:p w14:paraId="65171DBF" w14:textId="46836560"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2.69 (2.40; 2.99)</w:t>
            </w:r>
          </w:p>
        </w:tc>
        <w:tc>
          <w:tcPr>
            <w:tcW w:w="805" w:type="pct"/>
            <w:tcBorders>
              <w:bottom w:val="single" w:sz="4" w:space="0" w:color="auto"/>
            </w:tcBorders>
            <w:shd w:val="clear" w:color="auto" w:fill="auto"/>
            <w:vAlign w:val="center"/>
          </w:tcPr>
          <w:p w14:paraId="42DD0AB1" w14:textId="39D4F715" w:rsidR="00507698" w:rsidRPr="002718AB" w:rsidRDefault="00507698" w:rsidP="00507698">
            <w:pPr>
              <w:ind w:left="-44" w:right="-67"/>
              <w:jc w:val="center"/>
              <w:rPr>
                <w:rFonts w:ascii="Arial Narrow" w:hAnsi="Arial Narrow"/>
                <w:sz w:val="20"/>
                <w:szCs w:val="20"/>
              </w:rPr>
            </w:pPr>
            <w:r w:rsidRPr="00781C1B">
              <w:rPr>
                <w:rFonts w:ascii="Arial Narrow" w:hAnsi="Arial Narrow"/>
                <w:sz w:val="20"/>
                <w:szCs w:val="20"/>
              </w:rPr>
              <w:t>3.52 (3.20; 3.87)</w:t>
            </w:r>
          </w:p>
        </w:tc>
        <w:tc>
          <w:tcPr>
            <w:tcW w:w="842" w:type="pct"/>
            <w:tcBorders>
              <w:bottom w:val="single" w:sz="4" w:space="0" w:color="auto"/>
            </w:tcBorders>
            <w:shd w:val="clear" w:color="auto" w:fill="auto"/>
            <w:vAlign w:val="center"/>
          </w:tcPr>
          <w:p w14:paraId="34F00E21" w14:textId="3A17A6FD" w:rsidR="00507698" w:rsidRPr="002718AB" w:rsidRDefault="00507698" w:rsidP="00507698">
            <w:pPr>
              <w:ind w:left="-44" w:right="-67"/>
              <w:jc w:val="center"/>
              <w:rPr>
                <w:rFonts w:ascii="Arial Narrow" w:hAnsi="Arial Narrow"/>
                <w:b/>
                <w:bCs/>
                <w:sz w:val="20"/>
                <w:szCs w:val="20"/>
              </w:rPr>
            </w:pPr>
            <w:r w:rsidRPr="000F650F">
              <w:rPr>
                <w:rFonts w:ascii="Arial Narrow" w:hAnsi="Arial Narrow"/>
                <w:b/>
                <w:bCs/>
                <w:sz w:val="20"/>
                <w:szCs w:val="20"/>
              </w:rPr>
              <w:t>0.77 (0.67,0.89)</w:t>
            </w:r>
          </w:p>
        </w:tc>
      </w:tr>
    </w:tbl>
    <w:p w14:paraId="039645C6" w14:textId="46CB1C54" w:rsidR="00E85CD1" w:rsidRDefault="00E85CD1" w:rsidP="00827E25">
      <w:pPr>
        <w:pStyle w:val="TableFooter"/>
      </w:pPr>
      <w:r>
        <w:t>Source: Table 54, p81</w:t>
      </w:r>
      <w:r w:rsidR="00507698">
        <w:t xml:space="preserve">, </w:t>
      </w:r>
      <w:r w:rsidR="0071655C">
        <w:t>Table 56, p84, and Table 57, p86 of the resubmission</w:t>
      </w:r>
      <w:r>
        <w:t>.</w:t>
      </w:r>
    </w:p>
    <w:p w14:paraId="36FF5DE6" w14:textId="41D7AF82" w:rsidR="00E85CD1" w:rsidRDefault="00E85CD1" w:rsidP="00827E25">
      <w:pPr>
        <w:pStyle w:val="TableFooter"/>
      </w:pPr>
      <w:r w:rsidRPr="001B11F9">
        <w:t xml:space="preserve">Abbreviations: CI, confidence interval; CV, cardiovascular; </w:t>
      </w:r>
      <w:r>
        <w:t xml:space="preserve">FAS, full analysis set; </w:t>
      </w:r>
      <w:r w:rsidRPr="001B11F9">
        <w:t>SGLT2i, sodium-glucose cotransporter</w:t>
      </w:r>
      <w:r>
        <w:t> </w:t>
      </w:r>
      <w:r w:rsidRPr="001B11F9">
        <w:t>2 inhibitor; UACR, urine albumin-creatinine ratio.</w:t>
      </w:r>
    </w:p>
    <w:p w14:paraId="0AE29A97" w14:textId="77777777" w:rsidR="00EA2578" w:rsidRDefault="00EA2578" w:rsidP="00827E25">
      <w:pPr>
        <w:pStyle w:val="TableFooter"/>
      </w:pPr>
      <w:r>
        <w:rPr>
          <w:vertAlign w:val="superscript"/>
        </w:rPr>
        <w:t>a</w:t>
      </w:r>
      <w:r>
        <w:t xml:space="preserve"> Composite of the </w:t>
      </w:r>
      <w:r w:rsidRPr="00332A40">
        <w:t>time to cardiovascular death, non-fatal myocardial infarction, non-fatal stroke, or hospitalisation due to heart failure</w:t>
      </w:r>
    </w:p>
    <w:p w14:paraId="23A7E13C" w14:textId="7A47D84C" w:rsidR="00827E25" w:rsidRDefault="00827E25" w:rsidP="00827E25">
      <w:pPr>
        <w:pStyle w:val="TableFooter"/>
      </w:pPr>
      <w:r>
        <w:rPr>
          <w:vertAlign w:val="superscript"/>
        </w:rPr>
        <w:t>b</w:t>
      </w:r>
      <w:r>
        <w:t xml:space="preserve"> Previously considered by the PBAC. </w:t>
      </w:r>
    </w:p>
    <w:p w14:paraId="325155C5" w14:textId="4C6042BB" w:rsidR="00EA2578" w:rsidRDefault="00827E25" w:rsidP="00827E25">
      <w:pPr>
        <w:pStyle w:val="TableFooter"/>
      </w:pPr>
      <w:r>
        <w:rPr>
          <w:vertAlign w:val="superscript"/>
        </w:rPr>
        <w:t>c</w:t>
      </w:r>
      <w:r w:rsidR="00EA2578">
        <w:rPr>
          <w:vertAlign w:val="superscript"/>
        </w:rPr>
        <w:t xml:space="preserve"> </w:t>
      </w:r>
      <w:r w:rsidR="00EA2578">
        <w:t xml:space="preserve">Composite of the </w:t>
      </w:r>
      <w:r w:rsidR="00EA2578" w:rsidRPr="00625C2A">
        <w:t>time to kidney failure, sustained decrease of eGFR greater or equal to 40% from baseline over at least 4 weeks, or renal death</w:t>
      </w:r>
      <w:r w:rsidR="004D3A68">
        <w:t>.</w:t>
      </w:r>
    </w:p>
    <w:p w14:paraId="755421E8" w14:textId="23ECDBA6" w:rsidR="00EA2578" w:rsidRPr="00332A40" w:rsidRDefault="00827E25" w:rsidP="00827E25">
      <w:pPr>
        <w:pStyle w:val="TableFooter"/>
      </w:pPr>
      <w:r>
        <w:rPr>
          <w:vertAlign w:val="superscript"/>
        </w:rPr>
        <w:t>d</w:t>
      </w:r>
      <w:r w:rsidR="00EA2578">
        <w:rPr>
          <w:vertAlign w:val="superscript"/>
        </w:rPr>
        <w:t xml:space="preserve"> </w:t>
      </w:r>
      <w:r w:rsidR="00EA2578">
        <w:t xml:space="preserve">Composite of the </w:t>
      </w:r>
      <w:r w:rsidR="00EA2578" w:rsidRPr="006C5B7F">
        <w:t xml:space="preserve">time to kidney failure, sustained decrease of eGFR greater or equal to </w:t>
      </w:r>
      <w:r w:rsidR="00EA2578">
        <w:t>57</w:t>
      </w:r>
      <w:r w:rsidR="00EA2578" w:rsidRPr="006C5B7F">
        <w:t>% from baseline over at least 4 weeks, or renal death</w:t>
      </w:r>
      <w:r w:rsidR="004D3A68">
        <w:t>.</w:t>
      </w:r>
    </w:p>
    <w:p w14:paraId="487CA591" w14:textId="3DF5EC64" w:rsidR="0046272C" w:rsidRDefault="00EA2578" w:rsidP="00234E2D">
      <w:pPr>
        <w:pStyle w:val="TableFooter"/>
      </w:pPr>
      <w:r w:rsidRPr="00C623FC">
        <w:t xml:space="preserve">Note: </w:t>
      </w:r>
      <w:r>
        <w:t>Result in bold</w:t>
      </w:r>
      <w:r w:rsidRPr="00C623FC">
        <w:t xml:space="preserve"> statistically significant</w:t>
      </w:r>
      <w:r>
        <w:t>.</w:t>
      </w:r>
    </w:p>
    <w:p w14:paraId="62895304" w14:textId="26BE3D80" w:rsidR="009132EA" w:rsidRDefault="00B72BB8" w:rsidP="00D86231">
      <w:pPr>
        <w:pStyle w:val="COMexecsumnumberedpara"/>
      </w:pPr>
      <w:r>
        <w:t xml:space="preserve">The results for the </w:t>
      </w:r>
      <w:r w:rsidRPr="00C623FC">
        <w:t>cardiovascular and renal (40% or 57% eGFR threshold) composite outcomes</w:t>
      </w:r>
      <w:r w:rsidRPr="002718AB">
        <w:t xml:space="preserve"> </w:t>
      </w:r>
      <w:r w:rsidRPr="00F4257B">
        <w:t xml:space="preserve">in </w:t>
      </w:r>
      <w:r>
        <w:t xml:space="preserve">the </w:t>
      </w:r>
      <w:r w:rsidRPr="00F4257B">
        <w:t xml:space="preserve">FIDELITY </w:t>
      </w:r>
      <w:r w:rsidRPr="00F4257B">
        <w:rPr>
          <w:i/>
          <w:iCs/>
        </w:rPr>
        <w:t xml:space="preserve">post hoc </w:t>
      </w:r>
      <w:r w:rsidRPr="00F4257B">
        <w:t>subgroup</w:t>
      </w:r>
      <w:r>
        <w:t>s</w:t>
      </w:r>
      <w:r w:rsidRPr="00F4257B">
        <w:t xml:space="preserve"> </w:t>
      </w:r>
      <w:r>
        <w:t xml:space="preserve">with baseline </w:t>
      </w:r>
      <w:r w:rsidRPr="008115B0">
        <w:t xml:space="preserve">UACR ≥ 200 mg/g </w:t>
      </w:r>
      <w:r>
        <w:t>with or without SGLT2i use, were generally consistent with the overall FIDELITY pooled population</w:t>
      </w:r>
      <w:r w:rsidR="00954E7A" w:rsidRPr="00FD6033">
        <w:t>.</w:t>
      </w:r>
      <w:r w:rsidR="002C0537">
        <w:t xml:space="preserve"> </w:t>
      </w:r>
    </w:p>
    <w:p w14:paraId="13BD6DED" w14:textId="30AB4D28" w:rsidR="00954E7A" w:rsidRDefault="002C0537" w:rsidP="00D86231">
      <w:pPr>
        <w:pStyle w:val="COMexecsumnumberedpara"/>
      </w:pPr>
      <w:r w:rsidRPr="00842145">
        <w:rPr>
          <w:iCs/>
        </w:rPr>
        <w:t>Given the small number of patients in the FIDELITY subgroup with baseline UACR ≥</w:t>
      </w:r>
      <w:r w:rsidR="00F70153" w:rsidRPr="00842145">
        <w:rPr>
          <w:iCs/>
        </w:rPr>
        <w:t> </w:t>
      </w:r>
      <w:r w:rsidRPr="00842145">
        <w:rPr>
          <w:iCs/>
        </w:rPr>
        <w:t>200</w:t>
      </w:r>
      <w:r w:rsidR="00F70153" w:rsidRPr="00842145">
        <w:rPr>
          <w:iCs/>
        </w:rPr>
        <w:t> </w:t>
      </w:r>
      <w:r w:rsidRPr="00842145">
        <w:rPr>
          <w:iCs/>
        </w:rPr>
        <w:t xml:space="preserve">mg/g and SGLT2i use (n=324 in each treatment arm), and the small numbers of events, the results for the </w:t>
      </w:r>
      <w:r w:rsidRPr="006309B4">
        <w:rPr>
          <w:i/>
          <w:iCs/>
        </w:rPr>
        <w:t>post hoc</w:t>
      </w:r>
      <w:r w:rsidRPr="00842145">
        <w:rPr>
          <w:iCs/>
        </w:rPr>
        <w:t xml:space="preserve"> subgroup analyses should be interpreted with caution.</w:t>
      </w:r>
    </w:p>
    <w:p w14:paraId="61AF30D8" w14:textId="5611D01D" w:rsidR="00954E7A" w:rsidRDefault="004125BF" w:rsidP="00D86231">
      <w:pPr>
        <w:pStyle w:val="COMexecsumnumberedpara"/>
      </w:pPr>
      <w:r>
        <w:t xml:space="preserve">The </w:t>
      </w:r>
      <w:r w:rsidRPr="000C2890">
        <w:rPr>
          <w:i/>
          <w:iCs/>
        </w:rPr>
        <w:t>post hoc</w:t>
      </w:r>
      <w:r>
        <w:t xml:space="preserve"> subgroup with baseline </w:t>
      </w:r>
      <w:r w:rsidRPr="008115B0">
        <w:t xml:space="preserve">UACR ≥ 200 mg/g </w:t>
      </w:r>
      <w:r>
        <w:t xml:space="preserve">and SGLT2i use showed a lower baseline risk of composite cardiovascular and non-fatal cardiovascular events and renal events compared to the overall FIDELITY pooled population and the </w:t>
      </w:r>
      <w:r w:rsidRPr="00E36253">
        <w:rPr>
          <w:i/>
          <w:iCs/>
        </w:rPr>
        <w:t>post hoc</w:t>
      </w:r>
      <w:r>
        <w:t xml:space="preserve"> subgroup with UACR </w:t>
      </w:r>
      <w:r w:rsidRPr="008115B0">
        <w:t>≥ 200 mg/g</w:t>
      </w:r>
      <w:r w:rsidR="00954E7A" w:rsidRPr="00FD6033">
        <w:t>.</w:t>
      </w:r>
    </w:p>
    <w:p w14:paraId="1452C351" w14:textId="0AA386D9" w:rsidR="00B60939" w:rsidRPr="00C9624D" w:rsidRDefault="00B60939" w:rsidP="00D86231">
      <w:pPr>
        <w:pStyle w:val="COMH2-non-numbered"/>
      </w:pPr>
      <w:bookmarkStart w:id="20" w:name="_Toc124857604"/>
      <w:r w:rsidRPr="00C9624D">
        <w:t>Comparative harms</w:t>
      </w:r>
      <w:bookmarkEnd w:id="17"/>
      <w:bookmarkEnd w:id="20"/>
    </w:p>
    <w:p w14:paraId="2363D284" w14:textId="6B69B102" w:rsidR="004C6A4E" w:rsidRDefault="004C6A4E" w:rsidP="004C6A4E">
      <w:pPr>
        <w:pStyle w:val="COMexecsumnumberedpara"/>
      </w:pPr>
      <w:r>
        <w:fldChar w:fldCharType="begin"/>
      </w:r>
      <w:r>
        <w:instrText xml:space="preserve"> REF _Ref124165852 \h </w:instrText>
      </w:r>
      <w:r>
        <w:fldChar w:fldCharType="separate"/>
      </w:r>
      <w:r w:rsidR="005562EE">
        <w:t xml:space="preserve">Table </w:t>
      </w:r>
      <w:r w:rsidR="005562EE">
        <w:rPr>
          <w:noProof/>
        </w:rPr>
        <w:t>7</w:t>
      </w:r>
      <w:r>
        <w:fldChar w:fldCharType="end"/>
      </w:r>
      <w:r>
        <w:t xml:space="preserve"> summarises the</w:t>
      </w:r>
      <w:r w:rsidRPr="00C623FC">
        <w:t xml:space="preserve"> adverse events reported in the FIDELIO-DKD and FIGARO-DKD trials</w:t>
      </w:r>
      <w:r w:rsidRPr="00FD6033">
        <w:t>.</w:t>
      </w:r>
    </w:p>
    <w:p w14:paraId="478FD05E" w14:textId="3F3F2929" w:rsidR="004C6A4E" w:rsidRPr="00C623FC" w:rsidRDefault="004C6A4E" w:rsidP="004C6A4E">
      <w:pPr>
        <w:pStyle w:val="COMTableheadingrow"/>
      </w:pPr>
      <w:bookmarkStart w:id="21" w:name="_Ref124165852"/>
      <w:r>
        <w:t xml:space="preserve">Table </w:t>
      </w:r>
      <w:r>
        <w:fldChar w:fldCharType="begin"/>
      </w:r>
      <w:r>
        <w:instrText xml:space="preserve"> SEQ Table \* ARABIC </w:instrText>
      </w:r>
      <w:r>
        <w:fldChar w:fldCharType="separate"/>
      </w:r>
      <w:r w:rsidR="005562EE">
        <w:rPr>
          <w:noProof/>
        </w:rPr>
        <w:t>7</w:t>
      </w:r>
      <w:r>
        <w:rPr>
          <w:noProof/>
        </w:rPr>
        <w:fldChar w:fldCharType="end"/>
      </w:r>
      <w:bookmarkEnd w:id="21"/>
      <w:r>
        <w:t>:</w:t>
      </w:r>
      <w:r w:rsidRPr="003C2DE2">
        <w:t xml:space="preserve"> </w:t>
      </w:r>
      <w:r w:rsidRPr="00C623FC">
        <w:t>Overall summary of adverse events in the included studies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1582"/>
        <w:gridCol w:w="1582"/>
        <w:gridCol w:w="1582"/>
        <w:gridCol w:w="1583"/>
      </w:tblGrid>
      <w:tr w:rsidR="004C6A4E" w:rsidRPr="00C623FC" w14:paraId="6C010F09" w14:textId="77777777" w:rsidTr="00002A0D">
        <w:trPr>
          <w:tblHeader/>
        </w:trPr>
        <w:tc>
          <w:tcPr>
            <w:tcW w:w="2688" w:type="dxa"/>
            <w:vMerge w:val="restart"/>
            <w:tcBorders>
              <w:top w:val="single" w:sz="4" w:space="0" w:color="auto"/>
              <w:left w:val="single" w:sz="4" w:space="0" w:color="auto"/>
              <w:right w:val="single" w:sz="4" w:space="0" w:color="auto"/>
            </w:tcBorders>
            <w:vAlign w:val="center"/>
          </w:tcPr>
          <w:p w14:paraId="73398BC0" w14:textId="77777777" w:rsidR="004C6A4E" w:rsidRPr="00C623FC" w:rsidRDefault="004C6A4E" w:rsidP="00002A0D">
            <w:pPr>
              <w:pStyle w:val="TableText0"/>
              <w:widowControl w:val="0"/>
              <w:rPr>
                <w:b/>
                <w:bCs w:val="0"/>
              </w:rPr>
            </w:pPr>
            <w:r w:rsidRPr="00C623FC">
              <w:rPr>
                <w:b/>
                <w:bCs w:val="0"/>
              </w:rPr>
              <w:t>Treatment emergent adverse events</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01B32A48" w14:textId="77777777" w:rsidR="004C6A4E" w:rsidRPr="00C623FC" w:rsidRDefault="004C6A4E" w:rsidP="00002A0D">
            <w:pPr>
              <w:pStyle w:val="TableText0"/>
              <w:widowControl w:val="0"/>
              <w:jc w:val="center"/>
              <w:rPr>
                <w:b/>
              </w:rPr>
            </w:pPr>
            <w:r w:rsidRPr="00C623FC">
              <w:rPr>
                <w:b/>
              </w:rPr>
              <w:t>FIDELIO-DKD</w:t>
            </w:r>
          </w:p>
          <w:p w14:paraId="5169C46D" w14:textId="77777777" w:rsidR="004C6A4E" w:rsidRPr="00C623FC" w:rsidRDefault="004C6A4E" w:rsidP="00002A0D">
            <w:pPr>
              <w:pStyle w:val="TableText0"/>
              <w:widowControl w:val="0"/>
              <w:jc w:val="center"/>
              <w:rPr>
                <w:b/>
              </w:rPr>
            </w:pPr>
            <w:r w:rsidRPr="00C623FC">
              <w:rPr>
                <w:b/>
              </w:rPr>
              <w:t>(mean 32 month treatment duration)</w:t>
            </w:r>
          </w:p>
        </w:tc>
        <w:tc>
          <w:tcPr>
            <w:tcW w:w="3165" w:type="dxa"/>
            <w:gridSpan w:val="2"/>
            <w:tcBorders>
              <w:top w:val="single" w:sz="4" w:space="0" w:color="auto"/>
              <w:left w:val="single" w:sz="4" w:space="0" w:color="auto"/>
              <w:right w:val="single" w:sz="4" w:space="0" w:color="auto"/>
            </w:tcBorders>
            <w:vAlign w:val="center"/>
          </w:tcPr>
          <w:p w14:paraId="61A1733F" w14:textId="77777777" w:rsidR="004C6A4E" w:rsidRPr="00C623FC" w:rsidRDefault="004C6A4E" w:rsidP="00002A0D">
            <w:pPr>
              <w:pStyle w:val="TableText0"/>
              <w:widowControl w:val="0"/>
              <w:jc w:val="center"/>
              <w:rPr>
                <w:b/>
              </w:rPr>
            </w:pPr>
            <w:r w:rsidRPr="00C623FC">
              <w:rPr>
                <w:b/>
              </w:rPr>
              <w:t>FIGARO-DKD</w:t>
            </w:r>
          </w:p>
          <w:p w14:paraId="09CF2D14" w14:textId="77777777" w:rsidR="004C6A4E" w:rsidRPr="00C623FC" w:rsidRDefault="004C6A4E" w:rsidP="00002A0D">
            <w:pPr>
              <w:pStyle w:val="TableText0"/>
              <w:widowControl w:val="0"/>
              <w:jc w:val="center"/>
              <w:rPr>
                <w:b/>
              </w:rPr>
            </w:pPr>
            <w:r w:rsidRPr="00C623FC">
              <w:rPr>
                <w:b/>
              </w:rPr>
              <w:t>(mean 40 month treatment duration)</w:t>
            </w:r>
          </w:p>
        </w:tc>
      </w:tr>
      <w:tr w:rsidR="004C6A4E" w:rsidRPr="00C623FC" w14:paraId="2AA33A8F" w14:textId="77777777" w:rsidTr="00002A0D">
        <w:trPr>
          <w:tblHeader/>
        </w:trPr>
        <w:tc>
          <w:tcPr>
            <w:tcW w:w="2688" w:type="dxa"/>
            <w:vMerge/>
            <w:tcBorders>
              <w:left w:val="single" w:sz="4" w:space="0" w:color="auto"/>
              <w:bottom w:val="single" w:sz="4" w:space="0" w:color="auto"/>
              <w:right w:val="single" w:sz="4" w:space="0" w:color="auto"/>
            </w:tcBorders>
            <w:vAlign w:val="center"/>
          </w:tcPr>
          <w:p w14:paraId="7FAAC400" w14:textId="77777777" w:rsidR="004C6A4E" w:rsidRPr="00C623FC" w:rsidRDefault="004C6A4E" w:rsidP="00002A0D">
            <w:pPr>
              <w:pStyle w:val="TableText0"/>
              <w:widowControl w:val="0"/>
              <w:jc w:val="center"/>
              <w:rPr>
                <w:b/>
                <w:bCs w:val="0"/>
              </w:rPr>
            </w:pPr>
          </w:p>
        </w:tc>
        <w:tc>
          <w:tcPr>
            <w:tcW w:w="1582" w:type="dxa"/>
            <w:tcBorders>
              <w:top w:val="single" w:sz="4" w:space="0" w:color="auto"/>
              <w:left w:val="single" w:sz="4" w:space="0" w:color="auto"/>
              <w:bottom w:val="single" w:sz="4" w:space="0" w:color="auto"/>
              <w:right w:val="single" w:sz="4" w:space="0" w:color="auto"/>
            </w:tcBorders>
            <w:vAlign w:val="center"/>
          </w:tcPr>
          <w:p w14:paraId="552E3E64" w14:textId="77777777" w:rsidR="004C6A4E" w:rsidRPr="00C623FC" w:rsidRDefault="004C6A4E" w:rsidP="00002A0D">
            <w:pPr>
              <w:pStyle w:val="TableText0"/>
              <w:widowControl w:val="0"/>
              <w:jc w:val="center"/>
              <w:rPr>
                <w:b/>
              </w:rPr>
            </w:pPr>
            <w:r w:rsidRPr="00C623FC">
              <w:rPr>
                <w:b/>
              </w:rPr>
              <w:t>Finerenone</w:t>
            </w:r>
          </w:p>
          <w:p w14:paraId="6A1C6F0C" w14:textId="77777777" w:rsidR="004C6A4E" w:rsidRPr="00C623FC" w:rsidRDefault="004C6A4E" w:rsidP="00002A0D">
            <w:pPr>
              <w:pStyle w:val="TableText0"/>
              <w:widowControl w:val="0"/>
              <w:jc w:val="center"/>
              <w:rPr>
                <w:b/>
              </w:rPr>
            </w:pPr>
            <w:r w:rsidRPr="00C623FC">
              <w:rPr>
                <w:b/>
              </w:rPr>
              <w:t>N = 2,827</w:t>
            </w:r>
          </w:p>
        </w:tc>
        <w:tc>
          <w:tcPr>
            <w:tcW w:w="1582" w:type="dxa"/>
            <w:tcBorders>
              <w:top w:val="single" w:sz="4" w:space="0" w:color="auto"/>
              <w:left w:val="single" w:sz="4" w:space="0" w:color="auto"/>
              <w:bottom w:val="single" w:sz="4" w:space="0" w:color="auto"/>
              <w:right w:val="single" w:sz="4" w:space="0" w:color="auto"/>
            </w:tcBorders>
            <w:vAlign w:val="center"/>
          </w:tcPr>
          <w:p w14:paraId="5FDD0EB4" w14:textId="77777777" w:rsidR="004C6A4E" w:rsidRPr="00C623FC" w:rsidRDefault="004C6A4E" w:rsidP="00002A0D">
            <w:pPr>
              <w:pStyle w:val="TableText0"/>
              <w:widowControl w:val="0"/>
              <w:jc w:val="center"/>
              <w:rPr>
                <w:b/>
              </w:rPr>
            </w:pPr>
            <w:r w:rsidRPr="00C623FC">
              <w:rPr>
                <w:b/>
              </w:rPr>
              <w:t>Placebo</w:t>
            </w:r>
          </w:p>
          <w:p w14:paraId="3E89E615" w14:textId="77777777" w:rsidR="004C6A4E" w:rsidRPr="00C623FC" w:rsidRDefault="004C6A4E" w:rsidP="00002A0D">
            <w:pPr>
              <w:pStyle w:val="TableText0"/>
              <w:widowControl w:val="0"/>
              <w:jc w:val="center"/>
              <w:rPr>
                <w:b/>
              </w:rPr>
            </w:pPr>
            <w:r w:rsidRPr="00C623FC">
              <w:rPr>
                <w:b/>
              </w:rPr>
              <w:t>N = 2,831</w:t>
            </w:r>
          </w:p>
        </w:tc>
        <w:tc>
          <w:tcPr>
            <w:tcW w:w="1582" w:type="dxa"/>
            <w:tcBorders>
              <w:left w:val="single" w:sz="4" w:space="0" w:color="auto"/>
              <w:bottom w:val="single" w:sz="4" w:space="0" w:color="auto"/>
              <w:right w:val="single" w:sz="4" w:space="0" w:color="auto"/>
            </w:tcBorders>
            <w:vAlign w:val="center"/>
          </w:tcPr>
          <w:p w14:paraId="4B4C9389" w14:textId="77777777" w:rsidR="004C6A4E" w:rsidRPr="00C623FC" w:rsidRDefault="004C6A4E" w:rsidP="00002A0D">
            <w:pPr>
              <w:pStyle w:val="TableText0"/>
              <w:widowControl w:val="0"/>
              <w:jc w:val="center"/>
              <w:rPr>
                <w:b/>
              </w:rPr>
            </w:pPr>
            <w:r w:rsidRPr="00C623FC">
              <w:rPr>
                <w:b/>
              </w:rPr>
              <w:t>Finerenone</w:t>
            </w:r>
          </w:p>
          <w:p w14:paraId="53C4DBCA" w14:textId="77777777" w:rsidR="004C6A4E" w:rsidRPr="00C623FC" w:rsidRDefault="004C6A4E" w:rsidP="00002A0D">
            <w:pPr>
              <w:pStyle w:val="TableText0"/>
              <w:widowControl w:val="0"/>
              <w:jc w:val="center"/>
              <w:rPr>
                <w:b/>
              </w:rPr>
            </w:pPr>
            <w:r w:rsidRPr="00C623FC">
              <w:rPr>
                <w:b/>
              </w:rPr>
              <w:t>N = 3,683</w:t>
            </w:r>
          </w:p>
        </w:tc>
        <w:tc>
          <w:tcPr>
            <w:tcW w:w="1583" w:type="dxa"/>
            <w:tcBorders>
              <w:left w:val="single" w:sz="4" w:space="0" w:color="auto"/>
              <w:bottom w:val="single" w:sz="4" w:space="0" w:color="auto"/>
              <w:right w:val="single" w:sz="4" w:space="0" w:color="auto"/>
            </w:tcBorders>
            <w:vAlign w:val="center"/>
          </w:tcPr>
          <w:p w14:paraId="4230B93D" w14:textId="77777777" w:rsidR="004C6A4E" w:rsidRPr="00C623FC" w:rsidRDefault="004C6A4E" w:rsidP="00002A0D">
            <w:pPr>
              <w:pStyle w:val="TableText0"/>
              <w:widowControl w:val="0"/>
              <w:jc w:val="center"/>
              <w:rPr>
                <w:b/>
              </w:rPr>
            </w:pPr>
            <w:r w:rsidRPr="00C623FC">
              <w:rPr>
                <w:b/>
              </w:rPr>
              <w:t>Placebo</w:t>
            </w:r>
          </w:p>
          <w:p w14:paraId="623F1F5E" w14:textId="77777777" w:rsidR="004C6A4E" w:rsidRPr="00C623FC" w:rsidRDefault="004C6A4E" w:rsidP="00002A0D">
            <w:pPr>
              <w:pStyle w:val="TableText0"/>
              <w:widowControl w:val="0"/>
              <w:jc w:val="center"/>
              <w:rPr>
                <w:b/>
                <w:vertAlign w:val="superscript"/>
              </w:rPr>
            </w:pPr>
            <w:r w:rsidRPr="00C623FC">
              <w:rPr>
                <w:b/>
              </w:rPr>
              <w:t>N = 3,658</w:t>
            </w:r>
          </w:p>
        </w:tc>
      </w:tr>
      <w:tr w:rsidR="004C6A4E" w:rsidRPr="00C623FC" w14:paraId="17D1628E" w14:textId="77777777" w:rsidTr="00002A0D">
        <w:trPr>
          <w:trHeight w:val="70"/>
        </w:trPr>
        <w:tc>
          <w:tcPr>
            <w:tcW w:w="2688" w:type="dxa"/>
            <w:tcBorders>
              <w:top w:val="single" w:sz="4" w:space="0" w:color="auto"/>
              <w:left w:val="single" w:sz="4" w:space="0" w:color="auto"/>
              <w:bottom w:val="single" w:sz="4" w:space="0" w:color="auto"/>
              <w:right w:val="single" w:sz="4" w:space="0" w:color="auto"/>
            </w:tcBorders>
            <w:vAlign w:val="center"/>
          </w:tcPr>
          <w:p w14:paraId="530A3885" w14:textId="77777777" w:rsidR="004C6A4E" w:rsidRPr="00C623FC" w:rsidRDefault="004C6A4E" w:rsidP="00002A0D">
            <w:pPr>
              <w:pStyle w:val="TableText0"/>
              <w:widowControl w:val="0"/>
            </w:pPr>
            <w:r w:rsidRPr="00C623FC">
              <w:t>Any adverse event</w:t>
            </w:r>
          </w:p>
        </w:tc>
        <w:tc>
          <w:tcPr>
            <w:tcW w:w="1582" w:type="dxa"/>
            <w:tcBorders>
              <w:top w:val="single" w:sz="4" w:space="0" w:color="auto"/>
              <w:left w:val="single" w:sz="4" w:space="0" w:color="auto"/>
              <w:bottom w:val="single" w:sz="4" w:space="0" w:color="auto"/>
              <w:right w:val="single" w:sz="4" w:space="0" w:color="auto"/>
            </w:tcBorders>
            <w:vAlign w:val="center"/>
          </w:tcPr>
          <w:p w14:paraId="4A27257A" w14:textId="77777777" w:rsidR="004C6A4E" w:rsidRPr="00C623FC" w:rsidRDefault="004C6A4E" w:rsidP="00002A0D">
            <w:pPr>
              <w:pStyle w:val="TableText0"/>
              <w:widowControl w:val="0"/>
              <w:jc w:val="center"/>
            </w:pPr>
            <w:r w:rsidRPr="00C623FC">
              <w:t>2,468 (87.3%)</w:t>
            </w:r>
          </w:p>
        </w:tc>
        <w:tc>
          <w:tcPr>
            <w:tcW w:w="1582" w:type="dxa"/>
            <w:tcBorders>
              <w:top w:val="single" w:sz="4" w:space="0" w:color="auto"/>
              <w:left w:val="single" w:sz="4" w:space="0" w:color="auto"/>
              <w:bottom w:val="single" w:sz="4" w:space="0" w:color="auto"/>
              <w:right w:val="single" w:sz="4" w:space="0" w:color="auto"/>
            </w:tcBorders>
            <w:vAlign w:val="center"/>
          </w:tcPr>
          <w:p w14:paraId="5AD58705" w14:textId="77777777" w:rsidR="004C6A4E" w:rsidRPr="00C623FC" w:rsidRDefault="004C6A4E" w:rsidP="00002A0D">
            <w:pPr>
              <w:pStyle w:val="TableText0"/>
              <w:widowControl w:val="0"/>
              <w:jc w:val="center"/>
            </w:pPr>
            <w:r w:rsidRPr="00C623FC">
              <w:t>2,478 (87.5%)</w:t>
            </w:r>
          </w:p>
        </w:tc>
        <w:tc>
          <w:tcPr>
            <w:tcW w:w="1582" w:type="dxa"/>
            <w:tcBorders>
              <w:top w:val="single" w:sz="4" w:space="0" w:color="auto"/>
              <w:left w:val="single" w:sz="4" w:space="0" w:color="auto"/>
              <w:right w:val="single" w:sz="4" w:space="0" w:color="auto"/>
            </w:tcBorders>
            <w:vAlign w:val="center"/>
          </w:tcPr>
          <w:p w14:paraId="4CA9B284" w14:textId="77777777" w:rsidR="004C6A4E" w:rsidRPr="00C623FC" w:rsidRDefault="004C6A4E" w:rsidP="00002A0D">
            <w:pPr>
              <w:pStyle w:val="TableText0"/>
              <w:widowControl w:val="0"/>
              <w:jc w:val="center"/>
            </w:pPr>
            <w:r w:rsidRPr="00C623FC">
              <w:t>3,134 (85.1%)</w:t>
            </w:r>
          </w:p>
        </w:tc>
        <w:tc>
          <w:tcPr>
            <w:tcW w:w="1583" w:type="dxa"/>
            <w:tcBorders>
              <w:top w:val="single" w:sz="4" w:space="0" w:color="auto"/>
              <w:left w:val="single" w:sz="4" w:space="0" w:color="auto"/>
              <w:right w:val="single" w:sz="4" w:space="0" w:color="auto"/>
            </w:tcBorders>
            <w:vAlign w:val="center"/>
          </w:tcPr>
          <w:p w14:paraId="25325AC8" w14:textId="77777777" w:rsidR="004C6A4E" w:rsidRPr="00C623FC" w:rsidRDefault="004C6A4E" w:rsidP="00002A0D">
            <w:pPr>
              <w:pStyle w:val="TableText0"/>
              <w:widowControl w:val="0"/>
              <w:jc w:val="center"/>
            </w:pPr>
            <w:r w:rsidRPr="00C623FC">
              <w:t>3,129 (85.5%)</w:t>
            </w:r>
          </w:p>
        </w:tc>
      </w:tr>
      <w:tr w:rsidR="004C6A4E" w:rsidRPr="00C623FC" w14:paraId="67798C91" w14:textId="77777777" w:rsidTr="00002A0D">
        <w:trPr>
          <w:trHeight w:val="70"/>
        </w:trPr>
        <w:tc>
          <w:tcPr>
            <w:tcW w:w="2688" w:type="dxa"/>
            <w:tcBorders>
              <w:top w:val="single" w:sz="4" w:space="0" w:color="auto"/>
              <w:left w:val="single" w:sz="4" w:space="0" w:color="auto"/>
              <w:bottom w:val="single" w:sz="4" w:space="0" w:color="auto"/>
              <w:right w:val="single" w:sz="4" w:space="0" w:color="auto"/>
            </w:tcBorders>
            <w:vAlign w:val="center"/>
          </w:tcPr>
          <w:p w14:paraId="56BEA864" w14:textId="77777777" w:rsidR="004C6A4E" w:rsidRPr="00C623FC" w:rsidRDefault="004C6A4E" w:rsidP="00002A0D">
            <w:pPr>
              <w:pStyle w:val="TableText0"/>
              <w:widowControl w:val="0"/>
            </w:pPr>
            <w:r w:rsidRPr="00C623FC">
              <w:t>Treatment-related adverse event</w:t>
            </w:r>
          </w:p>
        </w:tc>
        <w:tc>
          <w:tcPr>
            <w:tcW w:w="1582" w:type="dxa"/>
            <w:tcBorders>
              <w:top w:val="single" w:sz="4" w:space="0" w:color="auto"/>
              <w:left w:val="single" w:sz="4" w:space="0" w:color="auto"/>
              <w:bottom w:val="single" w:sz="4" w:space="0" w:color="auto"/>
              <w:right w:val="single" w:sz="4" w:space="0" w:color="auto"/>
            </w:tcBorders>
            <w:vAlign w:val="center"/>
          </w:tcPr>
          <w:p w14:paraId="6B4EF71E" w14:textId="77777777" w:rsidR="004C6A4E" w:rsidRPr="00C623FC" w:rsidRDefault="004C6A4E" w:rsidP="00002A0D">
            <w:pPr>
              <w:pStyle w:val="TableText0"/>
              <w:widowControl w:val="0"/>
              <w:jc w:val="center"/>
            </w:pPr>
            <w:r w:rsidRPr="00C623FC">
              <w:t>646 (22.9%)</w:t>
            </w:r>
          </w:p>
        </w:tc>
        <w:tc>
          <w:tcPr>
            <w:tcW w:w="1582" w:type="dxa"/>
            <w:tcBorders>
              <w:top w:val="single" w:sz="4" w:space="0" w:color="auto"/>
              <w:left w:val="single" w:sz="4" w:space="0" w:color="auto"/>
              <w:bottom w:val="single" w:sz="4" w:space="0" w:color="auto"/>
              <w:right w:val="single" w:sz="4" w:space="0" w:color="auto"/>
            </w:tcBorders>
            <w:vAlign w:val="center"/>
          </w:tcPr>
          <w:p w14:paraId="4F6B1E3A" w14:textId="77777777" w:rsidR="004C6A4E" w:rsidRPr="00C623FC" w:rsidRDefault="004C6A4E" w:rsidP="00002A0D">
            <w:pPr>
              <w:pStyle w:val="TableText0"/>
              <w:widowControl w:val="0"/>
              <w:jc w:val="center"/>
            </w:pPr>
            <w:r w:rsidRPr="00C623FC">
              <w:t>449 (15.9%)</w:t>
            </w:r>
          </w:p>
        </w:tc>
        <w:tc>
          <w:tcPr>
            <w:tcW w:w="1582" w:type="dxa"/>
            <w:tcBorders>
              <w:left w:val="single" w:sz="4" w:space="0" w:color="auto"/>
              <w:bottom w:val="single" w:sz="4" w:space="0" w:color="auto"/>
              <w:right w:val="single" w:sz="4" w:space="0" w:color="auto"/>
            </w:tcBorders>
            <w:vAlign w:val="center"/>
          </w:tcPr>
          <w:p w14:paraId="5B73794D" w14:textId="77777777" w:rsidR="004C6A4E" w:rsidRPr="00C623FC" w:rsidRDefault="004C6A4E" w:rsidP="00002A0D">
            <w:pPr>
              <w:pStyle w:val="TableText0"/>
              <w:widowControl w:val="0"/>
              <w:jc w:val="center"/>
            </w:pPr>
            <w:r w:rsidRPr="00C623FC">
              <w:t>560 (15.2%)</w:t>
            </w:r>
          </w:p>
        </w:tc>
        <w:tc>
          <w:tcPr>
            <w:tcW w:w="1583" w:type="dxa"/>
            <w:tcBorders>
              <w:left w:val="single" w:sz="4" w:space="0" w:color="auto"/>
              <w:bottom w:val="single" w:sz="4" w:space="0" w:color="auto"/>
              <w:right w:val="single" w:sz="4" w:space="0" w:color="auto"/>
            </w:tcBorders>
            <w:vAlign w:val="center"/>
          </w:tcPr>
          <w:p w14:paraId="78015DD4" w14:textId="77777777" w:rsidR="004C6A4E" w:rsidRPr="00C623FC" w:rsidRDefault="004C6A4E" w:rsidP="00002A0D">
            <w:pPr>
              <w:pStyle w:val="TableText0"/>
              <w:widowControl w:val="0"/>
              <w:jc w:val="center"/>
            </w:pPr>
            <w:r w:rsidRPr="00C623FC">
              <w:t>413 (11.3%)</w:t>
            </w:r>
          </w:p>
        </w:tc>
      </w:tr>
      <w:tr w:rsidR="004C6A4E" w:rsidRPr="00C623FC" w14:paraId="41F52B39" w14:textId="77777777" w:rsidTr="00002A0D">
        <w:trPr>
          <w:trHeight w:val="70"/>
        </w:trPr>
        <w:tc>
          <w:tcPr>
            <w:tcW w:w="2688" w:type="dxa"/>
            <w:tcBorders>
              <w:top w:val="single" w:sz="4" w:space="0" w:color="auto"/>
              <w:left w:val="single" w:sz="4" w:space="0" w:color="auto"/>
              <w:bottom w:val="single" w:sz="4" w:space="0" w:color="auto"/>
              <w:right w:val="single" w:sz="4" w:space="0" w:color="auto"/>
            </w:tcBorders>
            <w:vAlign w:val="center"/>
          </w:tcPr>
          <w:p w14:paraId="3D128EF0" w14:textId="77777777" w:rsidR="004C6A4E" w:rsidRPr="00C623FC" w:rsidRDefault="004C6A4E" w:rsidP="00002A0D">
            <w:pPr>
              <w:pStyle w:val="TableText0"/>
              <w:keepNext w:val="0"/>
              <w:widowControl w:val="0"/>
            </w:pPr>
            <w:r w:rsidRPr="00C623FC">
              <w:t>Serious adverse event</w:t>
            </w:r>
          </w:p>
        </w:tc>
        <w:tc>
          <w:tcPr>
            <w:tcW w:w="1582" w:type="dxa"/>
            <w:tcBorders>
              <w:top w:val="single" w:sz="4" w:space="0" w:color="auto"/>
              <w:left w:val="single" w:sz="4" w:space="0" w:color="auto"/>
              <w:bottom w:val="single" w:sz="4" w:space="0" w:color="auto"/>
              <w:right w:val="single" w:sz="4" w:space="0" w:color="auto"/>
            </w:tcBorders>
            <w:vAlign w:val="center"/>
          </w:tcPr>
          <w:p w14:paraId="0C02551F" w14:textId="77777777" w:rsidR="004C6A4E" w:rsidRPr="00C623FC" w:rsidRDefault="004C6A4E" w:rsidP="00002A0D">
            <w:pPr>
              <w:pStyle w:val="TableText0"/>
              <w:keepNext w:val="0"/>
              <w:widowControl w:val="0"/>
              <w:jc w:val="center"/>
            </w:pPr>
            <w:r w:rsidRPr="00C623FC">
              <w:t>902 (31.9%)</w:t>
            </w:r>
          </w:p>
        </w:tc>
        <w:tc>
          <w:tcPr>
            <w:tcW w:w="1582" w:type="dxa"/>
            <w:tcBorders>
              <w:top w:val="single" w:sz="4" w:space="0" w:color="auto"/>
              <w:left w:val="single" w:sz="4" w:space="0" w:color="auto"/>
              <w:bottom w:val="single" w:sz="4" w:space="0" w:color="auto"/>
              <w:right w:val="single" w:sz="4" w:space="0" w:color="auto"/>
            </w:tcBorders>
            <w:vAlign w:val="center"/>
          </w:tcPr>
          <w:p w14:paraId="5088481F" w14:textId="77777777" w:rsidR="004C6A4E" w:rsidRPr="00C623FC" w:rsidRDefault="004C6A4E" w:rsidP="00002A0D">
            <w:pPr>
              <w:pStyle w:val="TableText0"/>
              <w:keepNext w:val="0"/>
              <w:widowControl w:val="0"/>
              <w:jc w:val="center"/>
            </w:pPr>
            <w:r w:rsidRPr="00C623FC">
              <w:t>971 (34.3%)</w:t>
            </w:r>
          </w:p>
        </w:tc>
        <w:tc>
          <w:tcPr>
            <w:tcW w:w="1582" w:type="dxa"/>
            <w:tcBorders>
              <w:left w:val="single" w:sz="4" w:space="0" w:color="auto"/>
              <w:bottom w:val="single" w:sz="4" w:space="0" w:color="auto"/>
              <w:right w:val="single" w:sz="4" w:space="0" w:color="auto"/>
            </w:tcBorders>
            <w:vAlign w:val="center"/>
          </w:tcPr>
          <w:p w14:paraId="1743C081" w14:textId="77777777" w:rsidR="004C6A4E" w:rsidRPr="00C623FC" w:rsidRDefault="004C6A4E" w:rsidP="00002A0D">
            <w:pPr>
              <w:pStyle w:val="TableText0"/>
              <w:keepNext w:val="0"/>
              <w:widowControl w:val="0"/>
              <w:jc w:val="center"/>
            </w:pPr>
            <w:r w:rsidRPr="00C623FC">
              <w:t>1,158 (31.4%)</w:t>
            </w:r>
          </w:p>
        </w:tc>
        <w:tc>
          <w:tcPr>
            <w:tcW w:w="1583" w:type="dxa"/>
            <w:tcBorders>
              <w:left w:val="single" w:sz="4" w:space="0" w:color="auto"/>
              <w:bottom w:val="single" w:sz="4" w:space="0" w:color="auto"/>
              <w:right w:val="single" w:sz="4" w:space="0" w:color="auto"/>
            </w:tcBorders>
            <w:vAlign w:val="center"/>
          </w:tcPr>
          <w:p w14:paraId="1D3CD647" w14:textId="77777777" w:rsidR="004C6A4E" w:rsidRPr="00C623FC" w:rsidRDefault="004C6A4E" w:rsidP="00002A0D">
            <w:pPr>
              <w:pStyle w:val="TableText0"/>
              <w:keepNext w:val="0"/>
              <w:widowControl w:val="0"/>
              <w:jc w:val="center"/>
            </w:pPr>
            <w:r w:rsidRPr="00C623FC">
              <w:t>1,215 (33.2%)</w:t>
            </w:r>
          </w:p>
        </w:tc>
      </w:tr>
      <w:tr w:rsidR="004C6A4E" w:rsidRPr="00C623FC" w14:paraId="1A8223B0" w14:textId="77777777" w:rsidTr="00002A0D">
        <w:trPr>
          <w:trHeight w:val="70"/>
        </w:trPr>
        <w:tc>
          <w:tcPr>
            <w:tcW w:w="2688" w:type="dxa"/>
            <w:tcBorders>
              <w:top w:val="single" w:sz="4" w:space="0" w:color="auto"/>
              <w:left w:val="single" w:sz="4" w:space="0" w:color="auto"/>
              <w:bottom w:val="single" w:sz="4" w:space="0" w:color="auto"/>
              <w:right w:val="single" w:sz="4" w:space="0" w:color="auto"/>
            </w:tcBorders>
            <w:vAlign w:val="center"/>
          </w:tcPr>
          <w:p w14:paraId="758803D8" w14:textId="77777777" w:rsidR="004C6A4E" w:rsidRPr="00C623FC" w:rsidRDefault="004C6A4E" w:rsidP="00002A0D">
            <w:pPr>
              <w:pStyle w:val="TableText0"/>
              <w:keepNext w:val="0"/>
              <w:widowControl w:val="0"/>
            </w:pPr>
            <w:r w:rsidRPr="00C623FC">
              <w:t>Adverse events leading to discontinuation</w:t>
            </w:r>
          </w:p>
        </w:tc>
        <w:tc>
          <w:tcPr>
            <w:tcW w:w="1582" w:type="dxa"/>
            <w:tcBorders>
              <w:top w:val="single" w:sz="4" w:space="0" w:color="auto"/>
              <w:left w:val="single" w:sz="4" w:space="0" w:color="auto"/>
              <w:bottom w:val="single" w:sz="4" w:space="0" w:color="auto"/>
              <w:right w:val="single" w:sz="4" w:space="0" w:color="auto"/>
            </w:tcBorders>
            <w:vAlign w:val="center"/>
          </w:tcPr>
          <w:p w14:paraId="7E086303" w14:textId="77777777" w:rsidR="004C6A4E" w:rsidRPr="00C623FC" w:rsidRDefault="004C6A4E" w:rsidP="00002A0D">
            <w:pPr>
              <w:pStyle w:val="TableText0"/>
              <w:keepNext w:val="0"/>
              <w:widowControl w:val="0"/>
              <w:jc w:val="center"/>
            </w:pPr>
            <w:r w:rsidRPr="00C623FC">
              <w:t>207 (7.3%)</w:t>
            </w:r>
          </w:p>
        </w:tc>
        <w:tc>
          <w:tcPr>
            <w:tcW w:w="1582" w:type="dxa"/>
            <w:tcBorders>
              <w:top w:val="single" w:sz="4" w:space="0" w:color="auto"/>
              <w:left w:val="single" w:sz="4" w:space="0" w:color="auto"/>
              <w:bottom w:val="single" w:sz="4" w:space="0" w:color="auto"/>
              <w:right w:val="single" w:sz="4" w:space="0" w:color="auto"/>
            </w:tcBorders>
            <w:vAlign w:val="center"/>
          </w:tcPr>
          <w:p w14:paraId="22CB5983" w14:textId="77777777" w:rsidR="004C6A4E" w:rsidRPr="00C623FC" w:rsidRDefault="004C6A4E" w:rsidP="00002A0D">
            <w:pPr>
              <w:pStyle w:val="TableText0"/>
              <w:keepNext w:val="0"/>
              <w:widowControl w:val="0"/>
              <w:jc w:val="center"/>
            </w:pPr>
            <w:r w:rsidRPr="00C623FC">
              <w:t>168 (5.9%)</w:t>
            </w:r>
          </w:p>
        </w:tc>
        <w:tc>
          <w:tcPr>
            <w:tcW w:w="1582" w:type="dxa"/>
            <w:tcBorders>
              <w:left w:val="single" w:sz="4" w:space="0" w:color="auto"/>
              <w:right w:val="single" w:sz="4" w:space="0" w:color="auto"/>
            </w:tcBorders>
            <w:vAlign w:val="center"/>
          </w:tcPr>
          <w:p w14:paraId="6E35ADF6" w14:textId="77777777" w:rsidR="004C6A4E" w:rsidRPr="00C623FC" w:rsidRDefault="004C6A4E" w:rsidP="00002A0D">
            <w:pPr>
              <w:pStyle w:val="TableText0"/>
              <w:keepNext w:val="0"/>
              <w:widowControl w:val="0"/>
              <w:jc w:val="center"/>
            </w:pPr>
            <w:r w:rsidRPr="00C623FC">
              <w:t>207 (5.6%)</w:t>
            </w:r>
          </w:p>
        </w:tc>
        <w:tc>
          <w:tcPr>
            <w:tcW w:w="1583" w:type="dxa"/>
            <w:tcBorders>
              <w:left w:val="single" w:sz="4" w:space="0" w:color="auto"/>
              <w:right w:val="single" w:sz="4" w:space="0" w:color="auto"/>
            </w:tcBorders>
            <w:vAlign w:val="center"/>
          </w:tcPr>
          <w:p w14:paraId="1C5F9920" w14:textId="77777777" w:rsidR="004C6A4E" w:rsidRPr="00C623FC" w:rsidRDefault="004C6A4E" w:rsidP="00002A0D">
            <w:pPr>
              <w:pStyle w:val="TableText0"/>
              <w:keepNext w:val="0"/>
              <w:widowControl w:val="0"/>
              <w:jc w:val="center"/>
            </w:pPr>
            <w:r w:rsidRPr="00C623FC">
              <w:t>183 (5.0%)</w:t>
            </w:r>
          </w:p>
        </w:tc>
      </w:tr>
      <w:tr w:rsidR="004C6A4E" w:rsidRPr="00C623FC" w14:paraId="1D3D1EDC" w14:textId="77777777" w:rsidTr="00002A0D">
        <w:trPr>
          <w:trHeight w:val="70"/>
        </w:trPr>
        <w:tc>
          <w:tcPr>
            <w:tcW w:w="2688" w:type="dxa"/>
            <w:tcBorders>
              <w:top w:val="single" w:sz="4" w:space="0" w:color="auto"/>
              <w:left w:val="single" w:sz="4" w:space="0" w:color="auto"/>
              <w:bottom w:val="single" w:sz="4" w:space="0" w:color="auto"/>
              <w:right w:val="single" w:sz="4" w:space="0" w:color="auto"/>
            </w:tcBorders>
            <w:vAlign w:val="center"/>
          </w:tcPr>
          <w:p w14:paraId="0D9FE039" w14:textId="77777777" w:rsidR="004C6A4E" w:rsidRPr="00C623FC" w:rsidRDefault="004C6A4E" w:rsidP="00002A0D">
            <w:pPr>
              <w:pStyle w:val="TableText0"/>
              <w:keepNext w:val="0"/>
              <w:widowControl w:val="0"/>
            </w:pPr>
            <w:r w:rsidRPr="00C623FC">
              <w:t>Adverse events leading to death</w:t>
            </w:r>
          </w:p>
        </w:tc>
        <w:tc>
          <w:tcPr>
            <w:tcW w:w="1582" w:type="dxa"/>
            <w:tcBorders>
              <w:top w:val="single" w:sz="4" w:space="0" w:color="auto"/>
              <w:left w:val="single" w:sz="4" w:space="0" w:color="auto"/>
              <w:bottom w:val="single" w:sz="4" w:space="0" w:color="auto"/>
              <w:right w:val="single" w:sz="4" w:space="0" w:color="auto"/>
            </w:tcBorders>
            <w:vAlign w:val="center"/>
          </w:tcPr>
          <w:p w14:paraId="4969908C" w14:textId="77777777" w:rsidR="004C6A4E" w:rsidRPr="00C623FC" w:rsidRDefault="004C6A4E" w:rsidP="00002A0D">
            <w:pPr>
              <w:pStyle w:val="TableText0"/>
              <w:keepNext w:val="0"/>
              <w:widowControl w:val="0"/>
              <w:jc w:val="center"/>
            </w:pPr>
            <w:r w:rsidRPr="00C623FC">
              <w:t>31 (1.1%)</w:t>
            </w:r>
          </w:p>
        </w:tc>
        <w:tc>
          <w:tcPr>
            <w:tcW w:w="1582" w:type="dxa"/>
            <w:tcBorders>
              <w:top w:val="single" w:sz="4" w:space="0" w:color="auto"/>
              <w:left w:val="single" w:sz="4" w:space="0" w:color="auto"/>
              <w:bottom w:val="single" w:sz="4" w:space="0" w:color="auto"/>
              <w:right w:val="single" w:sz="4" w:space="0" w:color="auto"/>
            </w:tcBorders>
            <w:vAlign w:val="center"/>
          </w:tcPr>
          <w:p w14:paraId="71DB1A48" w14:textId="77777777" w:rsidR="004C6A4E" w:rsidRPr="00C623FC" w:rsidRDefault="004C6A4E" w:rsidP="00002A0D">
            <w:pPr>
              <w:pStyle w:val="TableText0"/>
              <w:keepNext w:val="0"/>
              <w:widowControl w:val="0"/>
              <w:jc w:val="center"/>
            </w:pPr>
            <w:r w:rsidRPr="00C623FC">
              <w:t>51 (1.8%)</w:t>
            </w:r>
          </w:p>
        </w:tc>
        <w:tc>
          <w:tcPr>
            <w:tcW w:w="1582" w:type="dxa"/>
            <w:tcBorders>
              <w:left w:val="single" w:sz="4" w:space="0" w:color="auto"/>
              <w:right w:val="single" w:sz="4" w:space="0" w:color="auto"/>
            </w:tcBorders>
            <w:vAlign w:val="center"/>
          </w:tcPr>
          <w:p w14:paraId="7D8C2AAC" w14:textId="77777777" w:rsidR="004C6A4E" w:rsidRPr="00C623FC" w:rsidRDefault="004C6A4E" w:rsidP="00002A0D">
            <w:pPr>
              <w:pStyle w:val="TableText0"/>
              <w:keepNext w:val="0"/>
              <w:widowControl w:val="0"/>
              <w:jc w:val="center"/>
            </w:pPr>
            <w:r w:rsidRPr="00C623FC">
              <w:t>79 (2.1%)</w:t>
            </w:r>
          </w:p>
        </w:tc>
        <w:tc>
          <w:tcPr>
            <w:tcW w:w="1583" w:type="dxa"/>
            <w:tcBorders>
              <w:left w:val="single" w:sz="4" w:space="0" w:color="auto"/>
              <w:right w:val="single" w:sz="4" w:space="0" w:color="auto"/>
            </w:tcBorders>
            <w:vAlign w:val="center"/>
          </w:tcPr>
          <w:p w14:paraId="054E05B2" w14:textId="77777777" w:rsidR="004C6A4E" w:rsidRPr="00C623FC" w:rsidRDefault="004C6A4E" w:rsidP="00002A0D">
            <w:pPr>
              <w:pStyle w:val="TableText0"/>
              <w:keepNext w:val="0"/>
              <w:widowControl w:val="0"/>
              <w:jc w:val="center"/>
            </w:pPr>
            <w:r w:rsidRPr="00C623FC">
              <w:t>100 (2.7%)</w:t>
            </w:r>
          </w:p>
        </w:tc>
      </w:tr>
      <w:tr w:rsidR="004C6A4E" w:rsidRPr="00C623FC" w14:paraId="3AE6C8D1" w14:textId="77777777" w:rsidTr="00002A0D">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4CD5A34E" w14:textId="77777777" w:rsidR="004C6A4E" w:rsidRPr="00C623FC" w:rsidRDefault="004C6A4E" w:rsidP="00002A0D">
            <w:pPr>
              <w:pStyle w:val="TableText0"/>
              <w:keepNext w:val="0"/>
              <w:widowControl w:val="0"/>
              <w:rPr>
                <w:b/>
                <w:bCs w:val="0"/>
              </w:rPr>
            </w:pPr>
            <w:r w:rsidRPr="00C623FC">
              <w:rPr>
                <w:b/>
                <w:bCs w:val="0"/>
              </w:rPr>
              <w:t>Adverse events of interest</w:t>
            </w:r>
          </w:p>
        </w:tc>
      </w:tr>
      <w:tr w:rsidR="004C6A4E" w:rsidRPr="00C623FC" w14:paraId="2BF60565" w14:textId="77777777" w:rsidTr="00002A0D">
        <w:trPr>
          <w:trHeight w:val="70"/>
        </w:trPr>
        <w:tc>
          <w:tcPr>
            <w:tcW w:w="2688" w:type="dxa"/>
            <w:tcBorders>
              <w:top w:val="single" w:sz="4" w:space="0" w:color="auto"/>
              <w:left w:val="single" w:sz="4" w:space="0" w:color="auto"/>
              <w:bottom w:val="single" w:sz="4" w:space="0" w:color="auto"/>
              <w:right w:val="single" w:sz="4" w:space="0" w:color="auto"/>
            </w:tcBorders>
            <w:vAlign w:val="center"/>
          </w:tcPr>
          <w:p w14:paraId="42B2DFD4" w14:textId="77777777" w:rsidR="004C6A4E" w:rsidRPr="00073AA7" w:rsidRDefault="004C6A4E" w:rsidP="00002A0D">
            <w:pPr>
              <w:pStyle w:val="TableText0"/>
              <w:keepNext w:val="0"/>
              <w:widowControl w:val="0"/>
            </w:pPr>
            <w:r w:rsidRPr="00073AA7">
              <w:t>Hyperkalaemia</w:t>
            </w:r>
          </w:p>
        </w:tc>
        <w:tc>
          <w:tcPr>
            <w:tcW w:w="1582" w:type="dxa"/>
            <w:tcBorders>
              <w:top w:val="single" w:sz="4" w:space="0" w:color="auto"/>
              <w:left w:val="single" w:sz="4" w:space="0" w:color="auto"/>
              <w:bottom w:val="single" w:sz="4" w:space="0" w:color="auto"/>
              <w:right w:val="single" w:sz="4" w:space="0" w:color="auto"/>
            </w:tcBorders>
            <w:vAlign w:val="center"/>
          </w:tcPr>
          <w:p w14:paraId="6341A30D" w14:textId="77777777" w:rsidR="004C6A4E" w:rsidRPr="00073AA7" w:rsidRDefault="004C6A4E" w:rsidP="00002A0D">
            <w:pPr>
              <w:pStyle w:val="TableText0"/>
              <w:keepNext w:val="0"/>
              <w:widowControl w:val="0"/>
              <w:jc w:val="center"/>
            </w:pPr>
            <w:r w:rsidRPr="00073AA7">
              <w:t>516 (18.3%)</w:t>
            </w:r>
          </w:p>
        </w:tc>
        <w:tc>
          <w:tcPr>
            <w:tcW w:w="1582" w:type="dxa"/>
            <w:tcBorders>
              <w:top w:val="single" w:sz="4" w:space="0" w:color="auto"/>
              <w:left w:val="single" w:sz="4" w:space="0" w:color="auto"/>
              <w:bottom w:val="single" w:sz="4" w:space="0" w:color="auto"/>
              <w:right w:val="single" w:sz="4" w:space="0" w:color="auto"/>
            </w:tcBorders>
            <w:vAlign w:val="center"/>
          </w:tcPr>
          <w:p w14:paraId="68191E29" w14:textId="77777777" w:rsidR="004C6A4E" w:rsidRPr="00073AA7" w:rsidRDefault="004C6A4E" w:rsidP="00002A0D">
            <w:pPr>
              <w:pStyle w:val="TableText0"/>
              <w:keepNext w:val="0"/>
              <w:widowControl w:val="0"/>
              <w:jc w:val="center"/>
            </w:pPr>
            <w:r w:rsidRPr="00073AA7">
              <w:t>255 (9.0%)</w:t>
            </w:r>
          </w:p>
        </w:tc>
        <w:tc>
          <w:tcPr>
            <w:tcW w:w="1582" w:type="dxa"/>
            <w:tcBorders>
              <w:left w:val="single" w:sz="4" w:space="0" w:color="auto"/>
              <w:right w:val="single" w:sz="4" w:space="0" w:color="auto"/>
            </w:tcBorders>
            <w:vAlign w:val="center"/>
          </w:tcPr>
          <w:p w14:paraId="26A6EF13" w14:textId="77777777" w:rsidR="004C6A4E" w:rsidRPr="00073AA7" w:rsidRDefault="004C6A4E" w:rsidP="00002A0D">
            <w:pPr>
              <w:pStyle w:val="TableText0"/>
              <w:keepNext w:val="0"/>
              <w:widowControl w:val="0"/>
              <w:jc w:val="center"/>
            </w:pPr>
            <w:r w:rsidRPr="00073AA7">
              <w:t>396 (10.8%)</w:t>
            </w:r>
          </w:p>
        </w:tc>
        <w:tc>
          <w:tcPr>
            <w:tcW w:w="1583" w:type="dxa"/>
            <w:tcBorders>
              <w:left w:val="single" w:sz="4" w:space="0" w:color="auto"/>
              <w:right w:val="single" w:sz="4" w:space="0" w:color="auto"/>
            </w:tcBorders>
            <w:vAlign w:val="center"/>
          </w:tcPr>
          <w:p w14:paraId="6D2E801F" w14:textId="77777777" w:rsidR="004C6A4E" w:rsidRPr="00073AA7" w:rsidRDefault="004C6A4E" w:rsidP="00002A0D">
            <w:pPr>
              <w:pStyle w:val="TableText0"/>
              <w:keepNext w:val="0"/>
              <w:widowControl w:val="0"/>
              <w:jc w:val="center"/>
            </w:pPr>
            <w:r w:rsidRPr="00073AA7">
              <w:t>193 (5.3%)</w:t>
            </w:r>
          </w:p>
        </w:tc>
      </w:tr>
      <w:tr w:rsidR="004C6A4E" w:rsidRPr="00C623FC" w14:paraId="301BCB8F" w14:textId="77777777" w:rsidTr="00002A0D">
        <w:trPr>
          <w:trHeight w:val="70"/>
        </w:trPr>
        <w:tc>
          <w:tcPr>
            <w:tcW w:w="2688" w:type="dxa"/>
            <w:tcBorders>
              <w:top w:val="single" w:sz="4" w:space="0" w:color="auto"/>
              <w:left w:val="single" w:sz="4" w:space="0" w:color="auto"/>
              <w:bottom w:val="single" w:sz="4" w:space="0" w:color="auto"/>
              <w:right w:val="single" w:sz="4" w:space="0" w:color="auto"/>
            </w:tcBorders>
            <w:vAlign w:val="center"/>
          </w:tcPr>
          <w:p w14:paraId="1839CF55" w14:textId="77777777" w:rsidR="004C6A4E" w:rsidRPr="00073AA7" w:rsidRDefault="004C6A4E" w:rsidP="00002A0D">
            <w:pPr>
              <w:pStyle w:val="TableText0"/>
              <w:keepNext w:val="0"/>
              <w:widowControl w:val="0"/>
            </w:pPr>
            <w:r w:rsidRPr="00073AA7">
              <w:t>Hyperkalaemia leading to hospitalisation</w:t>
            </w:r>
          </w:p>
        </w:tc>
        <w:tc>
          <w:tcPr>
            <w:tcW w:w="1582" w:type="dxa"/>
            <w:tcBorders>
              <w:top w:val="single" w:sz="4" w:space="0" w:color="auto"/>
              <w:left w:val="single" w:sz="4" w:space="0" w:color="auto"/>
              <w:bottom w:val="single" w:sz="4" w:space="0" w:color="auto"/>
              <w:right w:val="single" w:sz="4" w:space="0" w:color="auto"/>
            </w:tcBorders>
            <w:vAlign w:val="center"/>
          </w:tcPr>
          <w:p w14:paraId="7CD3A8F9" w14:textId="77777777" w:rsidR="004C6A4E" w:rsidRPr="00073AA7" w:rsidRDefault="004C6A4E" w:rsidP="00002A0D">
            <w:pPr>
              <w:pStyle w:val="TableText0"/>
              <w:keepNext w:val="0"/>
              <w:widowControl w:val="0"/>
              <w:jc w:val="center"/>
            </w:pPr>
            <w:r w:rsidRPr="00073AA7">
              <w:t>40 (1.4%)</w:t>
            </w:r>
          </w:p>
        </w:tc>
        <w:tc>
          <w:tcPr>
            <w:tcW w:w="1582" w:type="dxa"/>
            <w:tcBorders>
              <w:top w:val="single" w:sz="4" w:space="0" w:color="auto"/>
              <w:left w:val="single" w:sz="4" w:space="0" w:color="auto"/>
              <w:bottom w:val="single" w:sz="4" w:space="0" w:color="auto"/>
              <w:right w:val="single" w:sz="4" w:space="0" w:color="auto"/>
            </w:tcBorders>
            <w:vAlign w:val="center"/>
          </w:tcPr>
          <w:p w14:paraId="5F064208" w14:textId="77777777" w:rsidR="004C6A4E" w:rsidRPr="00073AA7" w:rsidRDefault="004C6A4E" w:rsidP="00002A0D">
            <w:pPr>
              <w:pStyle w:val="TableText0"/>
              <w:keepNext w:val="0"/>
              <w:widowControl w:val="0"/>
              <w:jc w:val="center"/>
            </w:pPr>
            <w:r w:rsidRPr="00073AA7">
              <w:t>8 (0.3%)</w:t>
            </w:r>
          </w:p>
        </w:tc>
        <w:tc>
          <w:tcPr>
            <w:tcW w:w="1582" w:type="dxa"/>
            <w:tcBorders>
              <w:left w:val="single" w:sz="4" w:space="0" w:color="auto"/>
              <w:right w:val="single" w:sz="4" w:space="0" w:color="auto"/>
            </w:tcBorders>
            <w:vAlign w:val="center"/>
          </w:tcPr>
          <w:p w14:paraId="0E200433" w14:textId="77777777" w:rsidR="004C6A4E" w:rsidRPr="00073AA7" w:rsidRDefault="004C6A4E" w:rsidP="00002A0D">
            <w:pPr>
              <w:pStyle w:val="TableText0"/>
              <w:keepNext w:val="0"/>
              <w:widowControl w:val="0"/>
              <w:jc w:val="center"/>
            </w:pPr>
            <w:r w:rsidRPr="00073AA7">
              <w:t>21 (0.6%)</w:t>
            </w:r>
          </w:p>
        </w:tc>
        <w:tc>
          <w:tcPr>
            <w:tcW w:w="1583" w:type="dxa"/>
            <w:tcBorders>
              <w:left w:val="single" w:sz="4" w:space="0" w:color="auto"/>
              <w:right w:val="single" w:sz="4" w:space="0" w:color="auto"/>
            </w:tcBorders>
            <w:vAlign w:val="center"/>
          </w:tcPr>
          <w:p w14:paraId="7D4DE374" w14:textId="77777777" w:rsidR="004C6A4E" w:rsidRPr="00073AA7" w:rsidRDefault="004C6A4E" w:rsidP="00002A0D">
            <w:pPr>
              <w:pStyle w:val="TableText0"/>
              <w:keepNext w:val="0"/>
              <w:widowControl w:val="0"/>
              <w:jc w:val="center"/>
            </w:pPr>
            <w:r w:rsidRPr="00073AA7">
              <w:t>2 (&lt;0.1%)</w:t>
            </w:r>
          </w:p>
        </w:tc>
      </w:tr>
      <w:tr w:rsidR="004C6A4E" w:rsidRPr="00C623FC" w14:paraId="5B56E866" w14:textId="77777777" w:rsidTr="00002A0D">
        <w:trPr>
          <w:trHeight w:val="70"/>
        </w:trPr>
        <w:tc>
          <w:tcPr>
            <w:tcW w:w="2688" w:type="dxa"/>
            <w:tcBorders>
              <w:top w:val="single" w:sz="4" w:space="0" w:color="auto"/>
              <w:left w:val="single" w:sz="4" w:space="0" w:color="auto"/>
              <w:bottom w:val="single" w:sz="4" w:space="0" w:color="auto"/>
              <w:right w:val="single" w:sz="4" w:space="0" w:color="auto"/>
            </w:tcBorders>
            <w:vAlign w:val="center"/>
          </w:tcPr>
          <w:p w14:paraId="355CEE83" w14:textId="77777777" w:rsidR="004C6A4E" w:rsidRPr="00073AA7" w:rsidRDefault="004C6A4E" w:rsidP="00002A0D">
            <w:pPr>
              <w:pStyle w:val="TableText0"/>
              <w:keepNext w:val="0"/>
              <w:widowControl w:val="0"/>
              <w:rPr>
                <w:vertAlign w:val="superscript"/>
              </w:rPr>
            </w:pPr>
            <w:r w:rsidRPr="00073AA7">
              <w:t>Acute kidney injury</w:t>
            </w:r>
            <w:r w:rsidRPr="00073AA7">
              <w:rPr>
                <w:vertAlign w:val="superscript"/>
              </w:rPr>
              <w:t>a</w:t>
            </w:r>
          </w:p>
        </w:tc>
        <w:tc>
          <w:tcPr>
            <w:tcW w:w="1582" w:type="dxa"/>
            <w:tcBorders>
              <w:top w:val="single" w:sz="4" w:space="0" w:color="auto"/>
              <w:left w:val="single" w:sz="4" w:space="0" w:color="auto"/>
              <w:bottom w:val="single" w:sz="4" w:space="0" w:color="auto"/>
              <w:right w:val="single" w:sz="4" w:space="0" w:color="auto"/>
            </w:tcBorders>
            <w:vAlign w:val="center"/>
          </w:tcPr>
          <w:p w14:paraId="4936EEF5" w14:textId="77777777" w:rsidR="004C6A4E" w:rsidRPr="00073AA7" w:rsidRDefault="004C6A4E" w:rsidP="00002A0D">
            <w:pPr>
              <w:pStyle w:val="TableText0"/>
              <w:keepNext w:val="0"/>
              <w:widowControl w:val="0"/>
              <w:jc w:val="center"/>
            </w:pPr>
            <w:r w:rsidRPr="00073AA7">
              <w:t>129 (4.6%)</w:t>
            </w:r>
          </w:p>
        </w:tc>
        <w:tc>
          <w:tcPr>
            <w:tcW w:w="1582" w:type="dxa"/>
            <w:tcBorders>
              <w:top w:val="single" w:sz="4" w:space="0" w:color="auto"/>
              <w:left w:val="single" w:sz="4" w:space="0" w:color="auto"/>
              <w:bottom w:val="single" w:sz="4" w:space="0" w:color="auto"/>
              <w:right w:val="single" w:sz="4" w:space="0" w:color="auto"/>
            </w:tcBorders>
            <w:vAlign w:val="center"/>
          </w:tcPr>
          <w:p w14:paraId="5B79FEE6" w14:textId="77777777" w:rsidR="004C6A4E" w:rsidRPr="00073AA7" w:rsidRDefault="004C6A4E" w:rsidP="00002A0D">
            <w:pPr>
              <w:pStyle w:val="TableText0"/>
              <w:keepNext w:val="0"/>
              <w:widowControl w:val="0"/>
              <w:jc w:val="center"/>
            </w:pPr>
            <w:r w:rsidRPr="00073AA7">
              <w:t>136 (4.8%)</w:t>
            </w:r>
          </w:p>
        </w:tc>
        <w:tc>
          <w:tcPr>
            <w:tcW w:w="1582" w:type="dxa"/>
            <w:tcBorders>
              <w:left w:val="single" w:sz="4" w:space="0" w:color="auto"/>
              <w:right w:val="single" w:sz="4" w:space="0" w:color="auto"/>
            </w:tcBorders>
            <w:vAlign w:val="center"/>
          </w:tcPr>
          <w:p w14:paraId="7234ABD9" w14:textId="77777777" w:rsidR="004C6A4E" w:rsidRPr="00073AA7" w:rsidRDefault="004C6A4E" w:rsidP="00002A0D">
            <w:pPr>
              <w:pStyle w:val="TableText0"/>
              <w:keepNext w:val="0"/>
              <w:widowControl w:val="0"/>
              <w:jc w:val="center"/>
            </w:pPr>
            <w:r w:rsidRPr="00073AA7">
              <w:t>91 (2.5%)</w:t>
            </w:r>
          </w:p>
        </w:tc>
        <w:tc>
          <w:tcPr>
            <w:tcW w:w="1583" w:type="dxa"/>
            <w:tcBorders>
              <w:left w:val="single" w:sz="4" w:space="0" w:color="auto"/>
              <w:right w:val="single" w:sz="4" w:space="0" w:color="auto"/>
            </w:tcBorders>
            <w:vAlign w:val="center"/>
          </w:tcPr>
          <w:p w14:paraId="69B18C0E" w14:textId="77777777" w:rsidR="004C6A4E" w:rsidRPr="00073AA7" w:rsidRDefault="004C6A4E" w:rsidP="00002A0D">
            <w:pPr>
              <w:pStyle w:val="TableText0"/>
              <w:keepNext w:val="0"/>
              <w:widowControl w:val="0"/>
              <w:jc w:val="center"/>
            </w:pPr>
            <w:r w:rsidRPr="00073AA7">
              <w:t>98 (2.7%)</w:t>
            </w:r>
          </w:p>
        </w:tc>
      </w:tr>
      <w:tr w:rsidR="004C6A4E" w:rsidRPr="00C623FC" w14:paraId="7420E1D9" w14:textId="77777777" w:rsidTr="00002A0D">
        <w:trPr>
          <w:trHeight w:val="70"/>
        </w:trPr>
        <w:tc>
          <w:tcPr>
            <w:tcW w:w="2688" w:type="dxa"/>
            <w:tcBorders>
              <w:top w:val="single" w:sz="4" w:space="0" w:color="auto"/>
              <w:left w:val="single" w:sz="4" w:space="0" w:color="auto"/>
              <w:bottom w:val="single" w:sz="4" w:space="0" w:color="auto"/>
              <w:right w:val="single" w:sz="4" w:space="0" w:color="auto"/>
            </w:tcBorders>
            <w:vAlign w:val="center"/>
          </w:tcPr>
          <w:p w14:paraId="301E7FCD" w14:textId="77777777" w:rsidR="004C6A4E" w:rsidRPr="00073AA7" w:rsidRDefault="004C6A4E" w:rsidP="00002A0D">
            <w:pPr>
              <w:pStyle w:val="TableText0"/>
              <w:keepNext w:val="0"/>
              <w:widowControl w:val="0"/>
            </w:pPr>
            <w:r w:rsidRPr="00073AA7">
              <w:t>Decreased glomerular filtration rate</w:t>
            </w:r>
          </w:p>
        </w:tc>
        <w:tc>
          <w:tcPr>
            <w:tcW w:w="1582" w:type="dxa"/>
            <w:tcBorders>
              <w:top w:val="single" w:sz="4" w:space="0" w:color="auto"/>
              <w:left w:val="single" w:sz="4" w:space="0" w:color="auto"/>
              <w:bottom w:val="single" w:sz="4" w:space="0" w:color="auto"/>
              <w:right w:val="single" w:sz="4" w:space="0" w:color="auto"/>
            </w:tcBorders>
            <w:vAlign w:val="center"/>
          </w:tcPr>
          <w:p w14:paraId="1D19A0C9" w14:textId="77777777" w:rsidR="004C6A4E" w:rsidRPr="00073AA7" w:rsidRDefault="004C6A4E" w:rsidP="00002A0D">
            <w:pPr>
              <w:pStyle w:val="TableText0"/>
              <w:keepNext w:val="0"/>
              <w:widowControl w:val="0"/>
              <w:jc w:val="center"/>
            </w:pPr>
            <w:r w:rsidRPr="00073AA7">
              <w:t>179 (6.3%)</w:t>
            </w:r>
          </w:p>
        </w:tc>
        <w:tc>
          <w:tcPr>
            <w:tcW w:w="1582" w:type="dxa"/>
            <w:tcBorders>
              <w:top w:val="single" w:sz="4" w:space="0" w:color="auto"/>
              <w:left w:val="single" w:sz="4" w:space="0" w:color="auto"/>
              <w:bottom w:val="single" w:sz="4" w:space="0" w:color="auto"/>
              <w:right w:val="single" w:sz="4" w:space="0" w:color="auto"/>
            </w:tcBorders>
            <w:vAlign w:val="center"/>
          </w:tcPr>
          <w:p w14:paraId="7B39F32B" w14:textId="77777777" w:rsidR="004C6A4E" w:rsidRPr="00073AA7" w:rsidRDefault="004C6A4E" w:rsidP="00002A0D">
            <w:pPr>
              <w:pStyle w:val="TableText0"/>
              <w:keepNext w:val="0"/>
              <w:widowControl w:val="0"/>
              <w:jc w:val="center"/>
            </w:pPr>
            <w:r w:rsidRPr="00073AA7">
              <w:t>133 (4.7%)</w:t>
            </w:r>
          </w:p>
        </w:tc>
        <w:tc>
          <w:tcPr>
            <w:tcW w:w="1582" w:type="dxa"/>
            <w:tcBorders>
              <w:left w:val="single" w:sz="4" w:space="0" w:color="auto"/>
              <w:right w:val="single" w:sz="4" w:space="0" w:color="auto"/>
            </w:tcBorders>
            <w:vAlign w:val="center"/>
          </w:tcPr>
          <w:p w14:paraId="7932A2A4" w14:textId="77777777" w:rsidR="004C6A4E" w:rsidRPr="00073AA7" w:rsidRDefault="004C6A4E" w:rsidP="00002A0D">
            <w:pPr>
              <w:pStyle w:val="TableText0"/>
              <w:keepNext w:val="0"/>
              <w:widowControl w:val="0"/>
              <w:jc w:val="center"/>
            </w:pPr>
            <w:r w:rsidRPr="00073AA7">
              <w:t>169 (4.6%)</w:t>
            </w:r>
          </w:p>
        </w:tc>
        <w:tc>
          <w:tcPr>
            <w:tcW w:w="1583" w:type="dxa"/>
            <w:tcBorders>
              <w:left w:val="single" w:sz="4" w:space="0" w:color="auto"/>
              <w:right w:val="single" w:sz="4" w:space="0" w:color="auto"/>
            </w:tcBorders>
            <w:vAlign w:val="center"/>
          </w:tcPr>
          <w:p w14:paraId="26966EAE" w14:textId="77777777" w:rsidR="004C6A4E" w:rsidRPr="00073AA7" w:rsidRDefault="004C6A4E" w:rsidP="00002A0D">
            <w:pPr>
              <w:pStyle w:val="TableText0"/>
              <w:keepNext w:val="0"/>
              <w:widowControl w:val="0"/>
              <w:jc w:val="center"/>
            </w:pPr>
            <w:r w:rsidRPr="00073AA7">
              <w:t>141 (3.9%)</w:t>
            </w:r>
          </w:p>
        </w:tc>
      </w:tr>
    </w:tbl>
    <w:p w14:paraId="2C853D77" w14:textId="77777777" w:rsidR="004C6A4E" w:rsidRDefault="004C6A4E" w:rsidP="004C6A4E">
      <w:pPr>
        <w:pStyle w:val="TableFooter"/>
      </w:pPr>
      <w:r w:rsidRPr="00C623FC">
        <w:t>Source: Table 4</w:t>
      </w:r>
      <w:r>
        <w:t xml:space="preserve">4, </w:t>
      </w:r>
      <w:r w:rsidRPr="00C623FC">
        <w:t>p</w:t>
      </w:r>
      <w:r>
        <w:t>69</w:t>
      </w:r>
      <w:r w:rsidRPr="00C623FC">
        <w:t>, Table 4</w:t>
      </w:r>
      <w:r>
        <w:t>5, p70 and Table 46, p71</w:t>
      </w:r>
      <w:r w:rsidRPr="00C623FC">
        <w:t xml:space="preserve"> of the </w:t>
      </w:r>
      <w:r>
        <w:t>re</w:t>
      </w:r>
      <w:r w:rsidRPr="00C623FC">
        <w:t>submission; Table 10-22</w:t>
      </w:r>
      <w:r>
        <w:t xml:space="preserve">, </w:t>
      </w:r>
      <w:r w:rsidRPr="00C623FC">
        <w:t>p175</w:t>
      </w:r>
      <w:r>
        <w:t xml:space="preserve"> </w:t>
      </w:r>
      <w:r w:rsidRPr="00C623FC">
        <w:t xml:space="preserve">of the FIDELIO-DKD </w:t>
      </w:r>
      <w:r>
        <w:t>CSR</w:t>
      </w:r>
      <w:r w:rsidRPr="00C623FC">
        <w:t>; Table 10-2</w:t>
      </w:r>
      <w:r>
        <w:t xml:space="preserve">, </w:t>
      </w:r>
      <w:r w:rsidRPr="00C623FC">
        <w:t xml:space="preserve">p201 of the FIGARO-DKD </w:t>
      </w:r>
      <w:r>
        <w:t>CSR.</w:t>
      </w:r>
    </w:p>
    <w:p w14:paraId="0E93CCFC" w14:textId="77777777" w:rsidR="004C6A4E" w:rsidRDefault="004C6A4E" w:rsidP="004C6A4E">
      <w:pPr>
        <w:pStyle w:val="TableFooter"/>
      </w:pPr>
      <w:r>
        <w:t xml:space="preserve">Abbreviations: </w:t>
      </w:r>
      <w:r w:rsidRPr="00C623FC">
        <w:t>eGFR, estimated glomerular filtration rate</w:t>
      </w:r>
      <w:r>
        <w:t>; TEAE, t</w:t>
      </w:r>
      <w:r w:rsidRPr="007052F9">
        <w:t>reatment emergent adverse events</w:t>
      </w:r>
      <w:r>
        <w:t>.</w:t>
      </w:r>
    </w:p>
    <w:p w14:paraId="572B8F5A" w14:textId="77777777" w:rsidR="004C6A4E" w:rsidRDefault="004C6A4E" w:rsidP="004C6A4E">
      <w:pPr>
        <w:pStyle w:val="TableFooter"/>
      </w:pPr>
      <w:r>
        <w:rPr>
          <w:vertAlign w:val="superscript"/>
        </w:rPr>
        <w:t>a</w:t>
      </w:r>
      <w:r>
        <w:t xml:space="preserve"> Patients with treatment-emergent worsening of renal function or eGFR laboratory values, and any worsening of renal function TEAE leading to hospitalisation or permanent discontinuation of study drug.</w:t>
      </w:r>
      <w:r w:rsidRPr="003834CF">
        <w:t xml:space="preserve"> </w:t>
      </w:r>
    </w:p>
    <w:p w14:paraId="3D274530" w14:textId="77777777" w:rsidR="004C6A4E" w:rsidRDefault="004C6A4E" w:rsidP="004C6A4E">
      <w:pPr>
        <w:pStyle w:val="TableFooter"/>
      </w:pPr>
      <w:r>
        <w:t>Note: Hyperkalaemia: serum potassium &gt; 5.5 mmol/L.</w:t>
      </w:r>
    </w:p>
    <w:p w14:paraId="269625F2" w14:textId="77777777" w:rsidR="004C6A4E" w:rsidRDefault="004C6A4E" w:rsidP="004C6A4E">
      <w:pPr>
        <w:pStyle w:val="COMexecsumnumberedpara"/>
      </w:pPr>
      <w:r w:rsidRPr="00C623FC">
        <w:t>Treatment with finerenone was associated with an increased incidence of treatment-related adverse events and adverse events leading to discontinuation compared to placebo</w:t>
      </w:r>
      <w:r>
        <w:t xml:space="preserve">. </w:t>
      </w:r>
      <w:r w:rsidRPr="00C623FC">
        <w:t>Adverse events occurring more frequently in the finerenone arm included hyperkalaemia, decreased glomerular filtration rate, hypotension, hyperuricaemia, pruritis and increased blood potassium</w:t>
      </w:r>
      <w:r w:rsidRPr="00FD6033">
        <w:t>.</w:t>
      </w:r>
    </w:p>
    <w:p w14:paraId="02058785" w14:textId="27B66B19" w:rsidR="004C6A4E" w:rsidRDefault="004C6A4E" w:rsidP="004C6A4E">
      <w:pPr>
        <w:pStyle w:val="COMexecsumnumberedpara"/>
      </w:pPr>
      <w:bookmarkStart w:id="22" w:name="_Ref126836845"/>
      <w:r>
        <w:t>Hyperkalaemia was reported more frequently in patients treated with finerenone and f</w:t>
      </w:r>
      <w:r w:rsidRPr="00C623FC">
        <w:t>inerenone treatment was associated with a decreased incidence of serious adverse events compared to placebo primarily due to a reduction in pneumonia and complications associated with underlying disease.</w:t>
      </w:r>
      <w:r>
        <w:t xml:space="preserve"> </w:t>
      </w:r>
      <w:r w:rsidRPr="00842145">
        <w:rPr>
          <w:iCs/>
        </w:rPr>
        <w:t>At the July 2022 meeting, the PBAC considered that the reduction in serious adverse events was partly driven by a reduction in complications associated with diabetic kidney disease, and that the risk of hyperkalaemia was likely to be greater outside the tightly controlled environment of a clinical trial (paras 6.31 and 7.8, Finerenone PSD, July 2022 PBAC meeting)</w:t>
      </w:r>
      <w:r w:rsidRPr="00FD6033">
        <w:t>.</w:t>
      </w:r>
      <w:bookmarkEnd w:id="22"/>
    </w:p>
    <w:p w14:paraId="09D3B60C" w14:textId="77ED17C7" w:rsidR="000A4D8A" w:rsidRDefault="004C6A4E" w:rsidP="000A4D8A">
      <w:pPr>
        <w:pStyle w:val="COMexecsumnumberedpara"/>
      </w:pPr>
      <w:r>
        <w:t xml:space="preserve">In the subgroup with </w:t>
      </w:r>
      <w:r w:rsidRPr="00812B8C">
        <w:t>baseline UACR</w:t>
      </w:r>
      <w:r w:rsidR="008D49D8">
        <w:t> </w:t>
      </w:r>
      <w:r w:rsidRPr="00812B8C">
        <w:t>≥</w:t>
      </w:r>
      <w:r w:rsidR="008D49D8">
        <w:t> </w:t>
      </w:r>
      <w:r w:rsidRPr="00812B8C">
        <w:t>200</w:t>
      </w:r>
      <w:r w:rsidR="008D49D8">
        <w:t> </w:t>
      </w:r>
      <w:r w:rsidRPr="00812B8C">
        <w:t>mg/g and SGLT2i use</w:t>
      </w:r>
      <w:r>
        <w:t>,</w:t>
      </w:r>
      <w:r w:rsidRPr="00812B8C">
        <w:t xml:space="preserve"> </w:t>
      </w:r>
      <w:r>
        <w:t>t</w:t>
      </w:r>
      <w:r w:rsidRPr="00C623FC">
        <w:t>reatment with finerenone was associated with an increased incidence of treatment-related adverse events</w:t>
      </w:r>
      <w:r>
        <w:t xml:space="preserve">, </w:t>
      </w:r>
      <w:r w:rsidRPr="0000146C">
        <w:t>hyperkalaemia and drug related hyperkalaemia</w:t>
      </w:r>
      <w:r w:rsidRPr="00C623FC">
        <w:t xml:space="preserve"> compared to placebo</w:t>
      </w:r>
      <w:r>
        <w:t>, and were generally consistent with the overall FIDELITY pooled population</w:t>
      </w:r>
      <w:r w:rsidR="000A4D8A">
        <w:t xml:space="preserve"> </w:t>
      </w:r>
      <w:r w:rsidR="000A4D8A" w:rsidRPr="009B20C0">
        <w:rPr>
          <w:iCs/>
        </w:rPr>
        <w:t>(</w:t>
      </w:r>
      <w:r w:rsidR="000A4D8A" w:rsidRPr="009B20C0">
        <w:rPr>
          <w:iCs/>
        </w:rPr>
        <w:fldChar w:fldCharType="begin"/>
      </w:r>
      <w:r w:rsidR="000A4D8A" w:rsidRPr="009B20C0">
        <w:rPr>
          <w:iCs/>
        </w:rPr>
        <w:instrText xml:space="preserve"> REF _Ref126911630 \h </w:instrText>
      </w:r>
      <w:r w:rsidR="00A657E4" w:rsidRPr="009B20C0">
        <w:rPr>
          <w:iCs/>
        </w:rPr>
        <w:instrText xml:space="preserve"> \* MERGEFORMAT </w:instrText>
      </w:r>
      <w:r w:rsidR="000A4D8A" w:rsidRPr="009B20C0">
        <w:rPr>
          <w:iCs/>
        </w:rPr>
      </w:r>
      <w:r w:rsidR="000A4D8A" w:rsidRPr="009B20C0">
        <w:rPr>
          <w:iCs/>
        </w:rPr>
        <w:fldChar w:fldCharType="separate"/>
      </w:r>
      <w:r w:rsidR="005562EE" w:rsidRPr="009B20C0">
        <w:rPr>
          <w:iCs/>
        </w:rPr>
        <w:t xml:space="preserve">Table </w:t>
      </w:r>
      <w:r w:rsidR="005562EE">
        <w:rPr>
          <w:iCs/>
          <w:noProof/>
        </w:rPr>
        <w:t>8</w:t>
      </w:r>
      <w:r w:rsidR="000A4D8A" w:rsidRPr="009B20C0">
        <w:rPr>
          <w:iCs/>
        </w:rPr>
        <w:fldChar w:fldCharType="end"/>
      </w:r>
      <w:r w:rsidR="007D1750" w:rsidRPr="009B20C0">
        <w:rPr>
          <w:iCs/>
        </w:rPr>
        <w:t xml:space="preserve"> and </w:t>
      </w:r>
      <w:r w:rsidR="007D1750" w:rsidRPr="009B20C0">
        <w:rPr>
          <w:iCs/>
        </w:rPr>
        <w:fldChar w:fldCharType="begin"/>
      </w:r>
      <w:r w:rsidR="007D1750" w:rsidRPr="009B20C0">
        <w:rPr>
          <w:iCs/>
        </w:rPr>
        <w:instrText xml:space="preserve"> REF _Ref126912027 \h </w:instrText>
      </w:r>
      <w:r w:rsidR="00A657E4" w:rsidRPr="009B20C0">
        <w:rPr>
          <w:iCs/>
        </w:rPr>
        <w:instrText xml:space="preserve"> \* MERGEFORMAT </w:instrText>
      </w:r>
      <w:r w:rsidR="007D1750" w:rsidRPr="009B20C0">
        <w:rPr>
          <w:iCs/>
        </w:rPr>
      </w:r>
      <w:r w:rsidR="007D1750" w:rsidRPr="009B20C0">
        <w:rPr>
          <w:iCs/>
        </w:rPr>
        <w:fldChar w:fldCharType="separate"/>
      </w:r>
      <w:r w:rsidR="005562EE" w:rsidRPr="009B20C0">
        <w:rPr>
          <w:iCs/>
        </w:rPr>
        <w:t xml:space="preserve">Table </w:t>
      </w:r>
      <w:r w:rsidR="005562EE">
        <w:rPr>
          <w:iCs/>
          <w:noProof/>
        </w:rPr>
        <w:t>9</w:t>
      </w:r>
      <w:r w:rsidR="007D1750" w:rsidRPr="009B20C0">
        <w:rPr>
          <w:iCs/>
        </w:rPr>
        <w:fldChar w:fldCharType="end"/>
      </w:r>
      <w:r w:rsidR="000A4D8A" w:rsidRPr="009B20C0">
        <w:rPr>
          <w:iCs/>
        </w:rPr>
        <w:t>)</w:t>
      </w:r>
      <w:r w:rsidRPr="009B20C0">
        <w:rPr>
          <w:iCs/>
        </w:rPr>
        <w:t>.</w:t>
      </w:r>
      <w:r>
        <w:t xml:space="preserve"> </w:t>
      </w:r>
      <w:r w:rsidRPr="0000146C">
        <w:t xml:space="preserve">However, there were smaller proportions of patients with hyperkalaemia related adverse events in the </w:t>
      </w:r>
      <w:r w:rsidRPr="0000146C">
        <w:rPr>
          <w:i/>
          <w:iCs/>
        </w:rPr>
        <w:t xml:space="preserve">post hoc </w:t>
      </w:r>
      <w:r w:rsidRPr="0000146C">
        <w:t xml:space="preserve">subgroup with UACR ≥ 200 mg/g and SGLT2i use, compared to the overall FIDELITY pooled </w:t>
      </w:r>
      <w:r w:rsidR="000A4D8A" w:rsidRPr="0000146C">
        <w:t>population.</w:t>
      </w:r>
    </w:p>
    <w:p w14:paraId="581BF539" w14:textId="3B21D176" w:rsidR="000A4D8A" w:rsidRPr="009B20C0" w:rsidRDefault="000A4D8A" w:rsidP="000A4D8A">
      <w:pPr>
        <w:pStyle w:val="COMTableheadingrow"/>
        <w:rPr>
          <w:iCs/>
        </w:rPr>
      </w:pPr>
      <w:bookmarkStart w:id="23" w:name="_Ref126911630"/>
      <w:r w:rsidRPr="009B20C0">
        <w:rPr>
          <w:iCs/>
        </w:rPr>
        <w:t xml:space="preserve">Table </w:t>
      </w:r>
      <w:r w:rsidRPr="009B20C0">
        <w:rPr>
          <w:iCs/>
        </w:rPr>
        <w:fldChar w:fldCharType="begin"/>
      </w:r>
      <w:r w:rsidRPr="009B20C0">
        <w:rPr>
          <w:iCs/>
        </w:rPr>
        <w:instrText xml:space="preserve"> SEQ Table \* ARABIC </w:instrText>
      </w:r>
      <w:r w:rsidRPr="009B20C0">
        <w:rPr>
          <w:iCs/>
        </w:rPr>
        <w:fldChar w:fldCharType="separate"/>
      </w:r>
      <w:r w:rsidR="005562EE">
        <w:rPr>
          <w:iCs/>
          <w:noProof/>
        </w:rPr>
        <w:t>8</w:t>
      </w:r>
      <w:r w:rsidRPr="009B20C0">
        <w:rPr>
          <w:iCs/>
          <w:noProof/>
        </w:rPr>
        <w:fldChar w:fldCharType="end"/>
      </w:r>
      <w:bookmarkEnd w:id="23"/>
      <w:r w:rsidRPr="009B20C0">
        <w:rPr>
          <w:iCs/>
        </w:rPr>
        <w:t xml:space="preserve">: Summary of key adverse events in the FIDELITY pooled analysis post hoc subgroup (baseline UACR ≥ 200 mg/g and SGLT2i use; SAS)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3"/>
        <w:gridCol w:w="1149"/>
        <w:gridCol w:w="1151"/>
        <w:gridCol w:w="1149"/>
        <w:gridCol w:w="1149"/>
        <w:gridCol w:w="1149"/>
        <w:gridCol w:w="1147"/>
      </w:tblGrid>
      <w:tr w:rsidR="000A4D8A" w:rsidRPr="009B20C0" w14:paraId="30F45D08" w14:textId="77777777" w:rsidTr="008546F3">
        <w:trPr>
          <w:trHeight w:val="143"/>
          <w:tblHeader/>
        </w:trPr>
        <w:tc>
          <w:tcPr>
            <w:tcW w:w="1177" w:type="pct"/>
            <w:vMerge w:val="restart"/>
            <w:vAlign w:val="center"/>
          </w:tcPr>
          <w:p w14:paraId="439B5D9B" w14:textId="77777777" w:rsidR="000A4D8A" w:rsidRPr="009B20C0" w:rsidRDefault="000A4D8A" w:rsidP="008546F3">
            <w:pPr>
              <w:pStyle w:val="Tableheadingrow"/>
              <w:tabs>
                <w:tab w:val="right" w:pos="2155"/>
              </w:tabs>
              <w:jc w:val="center"/>
              <w:rPr>
                <w:iCs/>
                <w:lang w:val="en-AU"/>
              </w:rPr>
            </w:pPr>
            <w:r w:rsidRPr="009B20C0">
              <w:rPr>
                <w:iCs/>
                <w:lang w:val="en-AU"/>
              </w:rPr>
              <w:t>Baseline characteristic</w:t>
            </w:r>
          </w:p>
        </w:tc>
        <w:tc>
          <w:tcPr>
            <w:tcW w:w="1275" w:type="pct"/>
            <w:gridSpan w:val="2"/>
            <w:vMerge w:val="restart"/>
            <w:vAlign w:val="center"/>
          </w:tcPr>
          <w:p w14:paraId="3A62CB3E" w14:textId="77777777" w:rsidR="000A4D8A" w:rsidRPr="009B20C0" w:rsidRDefault="000A4D8A" w:rsidP="008546F3">
            <w:pPr>
              <w:pStyle w:val="Tableheadingrow"/>
              <w:keepNext w:val="0"/>
              <w:jc w:val="center"/>
              <w:rPr>
                <w:iCs/>
                <w:lang w:val="en-AU"/>
              </w:rPr>
            </w:pPr>
            <w:r w:rsidRPr="009B20C0">
              <w:rPr>
                <w:iCs/>
                <w:lang w:val="en-AU"/>
              </w:rPr>
              <w:t xml:space="preserve">FIDELITY </w:t>
            </w:r>
          </w:p>
          <w:p w14:paraId="7B1BCB62" w14:textId="77777777" w:rsidR="000A4D8A" w:rsidRPr="009B20C0" w:rsidRDefault="000A4D8A" w:rsidP="008546F3">
            <w:pPr>
              <w:pStyle w:val="Tableheadingrow"/>
              <w:keepNext w:val="0"/>
              <w:jc w:val="center"/>
              <w:rPr>
                <w:iCs/>
                <w:lang w:val="en-AU"/>
              </w:rPr>
            </w:pPr>
            <w:r w:rsidRPr="009B20C0">
              <w:rPr>
                <w:iCs/>
                <w:lang w:val="en-AU"/>
              </w:rPr>
              <w:t>(FAS)</w:t>
            </w:r>
          </w:p>
        </w:tc>
        <w:tc>
          <w:tcPr>
            <w:tcW w:w="2547" w:type="pct"/>
            <w:gridSpan w:val="4"/>
          </w:tcPr>
          <w:p w14:paraId="745661D7" w14:textId="77777777" w:rsidR="000A4D8A" w:rsidRPr="009B20C0" w:rsidRDefault="000A4D8A" w:rsidP="008546F3">
            <w:pPr>
              <w:pStyle w:val="Tableheadingrow"/>
              <w:keepNext w:val="0"/>
              <w:jc w:val="center"/>
              <w:rPr>
                <w:iCs/>
                <w:lang w:val="en-AU"/>
              </w:rPr>
            </w:pPr>
            <w:r w:rsidRPr="009B20C0">
              <w:rPr>
                <w:iCs/>
                <w:lang w:val="en-AU"/>
              </w:rPr>
              <w:t>FIDELITY post hoc subgroup</w:t>
            </w:r>
          </w:p>
        </w:tc>
      </w:tr>
      <w:tr w:rsidR="000A4D8A" w:rsidRPr="009B20C0" w14:paraId="65B8BCD2" w14:textId="77777777" w:rsidTr="008546F3">
        <w:trPr>
          <w:trHeight w:val="142"/>
          <w:tblHeader/>
        </w:trPr>
        <w:tc>
          <w:tcPr>
            <w:tcW w:w="1177" w:type="pct"/>
            <w:vMerge/>
            <w:vAlign w:val="center"/>
          </w:tcPr>
          <w:p w14:paraId="29A1D359" w14:textId="77777777" w:rsidR="000A4D8A" w:rsidRPr="009B20C0" w:rsidRDefault="000A4D8A" w:rsidP="008546F3">
            <w:pPr>
              <w:pStyle w:val="Tableheadingrow"/>
              <w:tabs>
                <w:tab w:val="right" w:pos="2155"/>
              </w:tabs>
              <w:jc w:val="center"/>
              <w:rPr>
                <w:iCs/>
                <w:lang w:val="en-AU"/>
              </w:rPr>
            </w:pPr>
          </w:p>
        </w:tc>
        <w:tc>
          <w:tcPr>
            <w:tcW w:w="1275" w:type="pct"/>
            <w:gridSpan w:val="2"/>
            <w:vMerge/>
            <w:vAlign w:val="center"/>
          </w:tcPr>
          <w:p w14:paraId="4035D633" w14:textId="77777777" w:rsidR="000A4D8A" w:rsidRPr="009B20C0" w:rsidRDefault="000A4D8A" w:rsidP="008546F3">
            <w:pPr>
              <w:pStyle w:val="Tableheadingrow"/>
              <w:keepNext w:val="0"/>
              <w:jc w:val="center"/>
              <w:rPr>
                <w:iCs/>
                <w:lang w:val="en-AU"/>
              </w:rPr>
            </w:pPr>
          </w:p>
        </w:tc>
        <w:tc>
          <w:tcPr>
            <w:tcW w:w="1274" w:type="pct"/>
            <w:gridSpan w:val="2"/>
          </w:tcPr>
          <w:p w14:paraId="6C672656" w14:textId="77777777" w:rsidR="000A4D8A" w:rsidRPr="009B20C0" w:rsidRDefault="000A4D8A" w:rsidP="008546F3">
            <w:pPr>
              <w:pStyle w:val="Tableheadingrow"/>
              <w:keepNext w:val="0"/>
              <w:jc w:val="center"/>
              <w:rPr>
                <w:iCs/>
                <w:lang w:val="en-AU"/>
              </w:rPr>
            </w:pPr>
            <w:r w:rsidRPr="009B20C0">
              <w:rPr>
                <w:iCs/>
              </w:rPr>
              <w:t>UACR ≥ 200 mg/g +SGLT2i</w:t>
            </w:r>
          </w:p>
        </w:tc>
        <w:tc>
          <w:tcPr>
            <w:tcW w:w="1273" w:type="pct"/>
            <w:gridSpan w:val="2"/>
          </w:tcPr>
          <w:p w14:paraId="4C3699D7" w14:textId="77777777" w:rsidR="000A4D8A" w:rsidRPr="009B20C0" w:rsidRDefault="000A4D8A" w:rsidP="008546F3">
            <w:pPr>
              <w:pStyle w:val="Tableheadingrow"/>
              <w:keepNext w:val="0"/>
              <w:jc w:val="center"/>
              <w:rPr>
                <w:iCs/>
                <w:lang w:val="en-AU"/>
              </w:rPr>
            </w:pPr>
            <w:r w:rsidRPr="009B20C0">
              <w:rPr>
                <w:iCs/>
                <w:lang w:val="en-AU"/>
              </w:rPr>
              <w:t>Complement</w:t>
            </w:r>
          </w:p>
        </w:tc>
      </w:tr>
      <w:tr w:rsidR="000A4D8A" w:rsidRPr="009B20C0" w14:paraId="05A8177E" w14:textId="77777777" w:rsidTr="008546F3">
        <w:trPr>
          <w:tblHeader/>
        </w:trPr>
        <w:tc>
          <w:tcPr>
            <w:tcW w:w="1177" w:type="pct"/>
            <w:vMerge/>
            <w:vAlign w:val="center"/>
          </w:tcPr>
          <w:p w14:paraId="7B30BDD2" w14:textId="77777777" w:rsidR="000A4D8A" w:rsidRPr="009B20C0" w:rsidRDefault="000A4D8A" w:rsidP="008546F3">
            <w:pPr>
              <w:pStyle w:val="Tableheadingrow"/>
              <w:keepNext w:val="0"/>
              <w:tabs>
                <w:tab w:val="right" w:pos="2155"/>
              </w:tabs>
              <w:jc w:val="center"/>
              <w:rPr>
                <w:iCs/>
                <w:lang w:val="en-AU"/>
              </w:rPr>
            </w:pPr>
          </w:p>
        </w:tc>
        <w:tc>
          <w:tcPr>
            <w:tcW w:w="637" w:type="pct"/>
          </w:tcPr>
          <w:p w14:paraId="17EF12F5" w14:textId="77777777" w:rsidR="000A4D8A" w:rsidRPr="009B20C0" w:rsidRDefault="000A4D8A" w:rsidP="008546F3">
            <w:pPr>
              <w:pStyle w:val="Tableheadingrow"/>
              <w:keepNext w:val="0"/>
              <w:jc w:val="center"/>
              <w:rPr>
                <w:iCs/>
                <w:lang w:val="en-AU"/>
              </w:rPr>
            </w:pPr>
            <w:r w:rsidRPr="009B20C0">
              <w:rPr>
                <w:iCs/>
                <w:lang w:val="en-AU"/>
              </w:rPr>
              <w:t>Finerenone</w:t>
            </w:r>
          </w:p>
          <w:p w14:paraId="49B7099C" w14:textId="77777777" w:rsidR="000A4D8A" w:rsidRPr="009B20C0" w:rsidRDefault="000A4D8A" w:rsidP="008546F3">
            <w:pPr>
              <w:pStyle w:val="Tableheadingrow"/>
              <w:keepNext w:val="0"/>
              <w:jc w:val="center"/>
              <w:rPr>
                <w:iCs/>
                <w:lang w:val="en-AU"/>
              </w:rPr>
            </w:pPr>
            <w:r w:rsidRPr="009B20C0">
              <w:rPr>
                <w:iCs/>
                <w:lang w:val="en-AU"/>
              </w:rPr>
              <w:t>N = 6,510</w:t>
            </w:r>
          </w:p>
        </w:tc>
        <w:tc>
          <w:tcPr>
            <w:tcW w:w="638" w:type="pct"/>
          </w:tcPr>
          <w:p w14:paraId="0DF87FE4" w14:textId="77777777" w:rsidR="000A4D8A" w:rsidRPr="009B20C0" w:rsidRDefault="000A4D8A" w:rsidP="008546F3">
            <w:pPr>
              <w:pStyle w:val="Tableheadingrow"/>
              <w:keepNext w:val="0"/>
              <w:jc w:val="center"/>
              <w:rPr>
                <w:iCs/>
                <w:lang w:val="en-AU"/>
              </w:rPr>
            </w:pPr>
            <w:r w:rsidRPr="009B20C0">
              <w:rPr>
                <w:iCs/>
                <w:lang w:val="en-AU"/>
              </w:rPr>
              <w:t>Placebo</w:t>
            </w:r>
          </w:p>
          <w:p w14:paraId="114EF59E" w14:textId="77777777" w:rsidR="000A4D8A" w:rsidRPr="009B20C0" w:rsidRDefault="000A4D8A" w:rsidP="008546F3">
            <w:pPr>
              <w:pStyle w:val="Tableheadingrow"/>
              <w:keepNext w:val="0"/>
              <w:jc w:val="center"/>
              <w:rPr>
                <w:iCs/>
                <w:lang w:val="en-AU"/>
              </w:rPr>
            </w:pPr>
            <w:r w:rsidRPr="009B20C0">
              <w:rPr>
                <w:iCs/>
                <w:lang w:val="en-AU"/>
              </w:rPr>
              <w:t>N = 6,489</w:t>
            </w:r>
          </w:p>
        </w:tc>
        <w:tc>
          <w:tcPr>
            <w:tcW w:w="637" w:type="pct"/>
          </w:tcPr>
          <w:p w14:paraId="1D31732F" w14:textId="77777777" w:rsidR="000A4D8A" w:rsidRPr="009B20C0" w:rsidRDefault="000A4D8A" w:rsidP="008546F3">
            <w:pPr>
              <w:pStyle w:val="Tableheadingrow"/>
              <w:keepNext w:val="0"/>
              <w:jc w:val="center"/>
              <w:rPr>
                <w:iCs/>
                <w:lang w:val="en-AU"/>
              </w:rPr>
            </w:pPr>
            <w:r w:rsidRPr="009B20C0">
              <w:rPr>
                <w:iCs/>
                <w:lang w:val="en-AU"/>
              </w:rPr>
              <w:t>Finerenone</w:t>
            </w:r>
          </w:p>
          <w:p w14:paraId="0D1CA22D" w14:textId="77777777" w:rsidR="000A4D8A" w:rsidRPr="009B20C0" w:rsidRDefault="000A4D8A" w:rsidP="008546F3">
            <w:pPr>
              <w:pStyle w:val="Tableheadingrow"/>
              <w:keepNext w:val="0"/>
              <w:jc w:val="center"/>
              <w:rPr>
                <w:iCs/>
                <w:lang w:val="en-AU"/>
              </w:rPr>
            </w:pPr>
            <w:r w:rsidRPr="009B20C0">
              <w:rPr>
                <w:iCs/>
                <w:lang w:val="en-AU"/>
              </w:rPr>
              <w:t>N = 324</w:t>
            </w:r>
          </w:p>
        </w:tc>
        <w:tc>
          <w:tcPr>
            <w:tcW w:w="637" w:type="pct"/>
          </w:tcPr>
          <w:p w14:paraId="1E86527F" w14:textId="77777777" w:rsidR="000A4D8A" w:rsidRPr="009B20C0" w:rsidRDefault="000A4D8A" w:rsidP="008546F3">
            <w:pPr>
              <w:pStyle w:val="Tableheadingrow"/>
              <w:keepNext w:val="0"/>
              <w:jc w:val="center"/>
              <w:rPr>
                <w:iCs/>
                <w:lang w:val="en-AU"/>
              </w:rPr>
            </w:pPr>
            <w:r w:rsidRPr="009B20C0">
              <w:rPr>
                <w:iCs/>
                <w:lang w:val="en-AU"/>
              </w:rPr>
              <w:t xml:space="preserve">Placebo </w:t>
            </w:r>
          </w:p>
          <w:p w14:paraId="221783D1" w14:textId="77777777" w:rsidR="000A4D8A" w:rsidRPr="009B20C0" w:rsidRDefault="000A4D8A" w:rsidP="008546F3">
            <w:pPr>
              <w:pStyle w:val="Tableheadingrow"/>
              <w:keepNext w:val="0"/>
              <w:jc w:val="center"/>
              <w:rPr>
                <w:iCs/>
                <w:lang w:val="en-AU"/>
              </w:rPr>
            </w:pPr>
            <w:r w:rsidRPr="009B20C0">
              <w:rPr>
                <w:iCs/>
                <w:lang w:val="en-AU"/>
              </w:rPr>
              <w:t>N = 324</w:t>
            </w:r>
          </w:p>
        </w:tc>
        <w:tc>
          <w:tcPr>
            <w:tcW w:w="637" w:type="pct"/>
          </w:tcPr>
          <w:p w14:paraId="7B28ACCF" w14:textId="77777777" w:rsidR="000A4D8A" w:rsidRPr="009B20C0" w:rsidRDefault="000A4D8A" w:rsidP="008546F3">
            <w:pPr>
              <w:pStyle w:val="Tableheadingrow"/>
              <w:keepNext w:val="0"/>
              <w:jc w:val="center"/>
              <w:rPr>
                <w:iCs/>
                <w:lang w:val="en-AU"/>
              </w:rPr>
            </w:pPr>
            <w:r w:rsidRPr="009B20C0">
              <w:rPr>
                <w:iCs/>
                <w:lang w:val="en-AU"/>
              </w:rPr>
              <w:t>Finerenone</w:t>
            </w:r>
          </w:p>
          <w:p w14:paraId="627A70C4" w14:textId="77777777" w:rsidR="000A4D8A" w:rsidRPr="009B20C0" w:rsidRDefault="000A4D8A" w:rsidP="008546F3">
            <w:pPr>
              <w:pStyle w:val="Tableheadingrow"/>
              <w:keepNext w:val="0"/>
              <w:jc w:val="center"/>
              <w:rPr>
                <w:iCs/>
                <w:lang w:val="en-AU"/>
              </w:rPr>
            </w:pPr>
            <w:r w:rsidRPr="009B20C0">
              <w:rPr>
                <w:iCs/>
                <w:lang w:val="en-AU"/>
              </w:rPr>
              <w:t>N = 6,186</w:t>
            </w:r>
          </w:p>
        </w:tc>
        <w:tc>
          <w:tcPr>
            <w:tcW w:w="636" w:type="pct"/>
          </w:tcPr>
          <w:p w14:paraId="0E44FAE1" w14:textId="77777777" w:rsidR="000A4D8A" w:rsidRPr="009B20C0" w:rsidRDefault="000A4D8A" w:rsidP="008546F3">
            <w:pPr>
              <w:pStyle w:val="Tableheadingrow"/>
              <w:keepNext w:val="0"/>
              <w:jc w:val="center"/>
              <w:rPr>
                <w:iCs/>
                <w:lang w:val="en-AU"/>
              </w:rPr>
            </w:pPr>
            <w:r w:rsidRPr="009B20C0">
              <w:rPr>
                <w:iCs/>
                <w:lang w:val="en-AU"/>
              </w:rPr>
              <w:t xml:space="preserve">Placebo </w:t>
            </w:r>
          </w:p>
          <w:p w14:paraId="07593DE4" w14:textId="77777777" w:rsidR="000A4D8A" w:rsidRPr="009B20C0" w:rsidRDefault="000A4D8A" w:rsidP="008546F3">
            <w:pPr>
              <w:pStyle w:val="Tableheadingrow"/>
              <w:keepNext w:val="0"/>
              <w:jc w:val="center"/>
              <w:rPr>
                <w:iCs/>
                <w:lang w:val="en-AU"/>
              </w:rPr>
            </w:pPr>
            <w:r w:rsidRPr="009B20C0">
              <w:rPr>
                <w:iCs/>
                <w:lang w:val="en-AU"/>
              </w:rPr>
              <w:t>N = 6,165</w:t>
            </w:r>
          </w:p>
        </w:tc>
      </w:tr>
      <w:tr w:rsidR="000A4D8A" w:rsidRPr="009B20C0" w14:paraId="4D6110CF" w14:textId="77777777" w:rsidTr="008546F3">
        <w:tc>
          <w:tcPr>
            <w:tcW w:w="1177" w:type="pct"/>
          </w:tcPr>
          <w:p w14:paraId="1C99F113" w14:textId="77777777" w:rsidR="000A4D8A" w:rsidRPr="009B20C0" w:rsidRDefault="000A4D8A" w:rsidP="008546F3">
            <w:pPr>
              <w:pStyle w:val="TableText0"/>
              <w:keepNext w:val="0"/>
              <w:tabs>
                <w:tab w:val="right" w:pos="2155"/>
              </w:tabs>
              <w:rPr>
                <w:iCs/>
              </w:rPr>
            </w:pPr>
            <w:r w:rsidRPr="009B20C0">
              <w:rPr>
                <w:iCs/>
                <w:szCs w:val="20"/>
              </w:rPr>
              <w:t>Any adverse event</w:t>
            </w:r>
          </w:p>
        </w:tc>
        <w:tc>
          <w:tcPr>
            <w:tcW w:w="637" w:type="pct"/>
            <w:shd w:val="clear" w:color="auto" w:fill="auto"/>
            <w:vAlign w:val="center"/>
          </w:tcPr>
          <w:p w14:paraId="58C23780" w14:textId="77777777" w:rsidR="000A4D8A" w:rsidRPr="009B20C0" w:rsidRDefault="000A4D8A" w:rsidP="008546F3">
            <w:pPr>
              <w:pStyle w:val="TableText0"/>
              <w:keepNext w:val="0"/>
              <w:jc w:val="center"/>
              <w:rPr>
                <w:rFonts w:cs="Calibri"/>
                <w:iCs/>
                <w:szCs w:val="20"/>
              </w:rPr>
            </w:pPr>
            <w:r w:rsidRPr="009B20C0">
              <w:rPr>
                <w:iCs/>
              </w:rPr>
              <w:t>5,602 (86.1%)</w:t>
            </w:r>
          </w:p>
        </w:tc>
        <w:tc>
          <w:tcPr>
            <w:tcW w:w="638" w:type="pct"/>
            <w:shd w:val="clear" w:color="auto" w:fill="auto"/>
            <w:vAlign w:val="center"/>
          </w:tcPr>
          <w:p w14:paraId="2DD7FBEC" w14:textId="77777777" w:rsidR="000A4D8A" w:rsidRPr="009B20C0" w:rsidRDefault="000A4D8A" w:rsidP="008546F3">
            <w:pPr>
              <w:pStyle w:val="TableText0"/>
              <w:keepNext w:val="0"/>
              <w:jc w:val="center"/>
              <w:rPr>
                <w:rFonts w:cs="Calibri"/>
                <w:iCs/>
                <w:szCs w:val="20"/>
              </w:rPr>
            </w:pPr>
            <w:r w:rsidRPr="009B20C0">
              <w:rPr>
                <w:iCs/>
              </w:rPr>
              <w:t>5,607 (86.4%)</w:t>
            </w:r>
          </w:p>
        </w:tc>
        <w:tc>
          <w:tcPr>
            <w:tcW w:w="637" w:type="pct"/>
            <w:shd w:val="clear" w:color="auto" w:fill="auto"/>
            <w:vAlign w:val="center"/>
          </w:tcPr>
          <w:p w14:paraId="51E85F14" w14:textId="77777777" w:rsidR="000A4D8A" w:rsidRPr="009B20C0" w:rsidRDefault="000A4D8A" w:rsidP="008546F3">
            <w:pPr>
              <w:pStyle w:val="TableText0"/>
              <w:keepNext w:val="0"/>
              <w:jc w:val="center"/>
              <w:rPr>
                <w:iCs/>
              </w:rPr>
            </w:pPr>
            <w:r w:rsidRPr="009B20C0">
              <w:rPr>
                <w:iCs/>
                <w:szCs w:val="20"/>
              </w:rPr>
              <w:t>290 (89.5%)</w:t>
            </w:r>
          </w:p>
        </w:tc>
        <w:tc>
          <w:tcPr>
            <w:tcW w:w="637" w:type="pct"/>
            <w:shd w:val="clear" w:color="auto" w:fill="auto"/>
            <w:vAlign w:val="center"/>
          </w:tcPr>
          <w:p w14:paraId="5A947401" w14:textId="77777777" w:rsidR="000A4D8A" w:rsidRPr="009B20C0" w:rsidRDefault="000A4D8A" w:rsidP="008546F3">
            <w:pPr>
              <w:pStyle w:val="TableText0"/>
              <w:keepNext w:val="0"/>
              <w:jc w:val="center"/>
              <w:rPr>
                <w:iCs/>
              </w:rPr>
            </w:pPr>
            <w:r w:rsidRPr="009B20C0">
              <w:rPr>
                <w:iCs/>
                <w:szCs w:val="20"/>
              </w:rPr>
              <w:t>277 (85.5%)</w:t>
            </w:r>
          </w:p>
        </w:tc>
        <w:tc>
          <w:tcPr>
            <w:tcW w:w="637" w:type="pct"/>
            <w:shd w:val="clear" w:color="auto" w:fill="auto"/>
            <w:vAlign w:val="center"/>
          </w:tcPr>
          <w:p w14:paraId="0C33403B" w14:textId="77777777" w:rsidR="000A4D8A" w:rsidRPr="009B20C0" w:rsidRDefault="000A4D8A" w:rsidP="008546F3">
            <w:pPr>
              <w:pStyle w:val="TableText0"/>
              <w:keepNext w:val="0"/>
              <w:jc w:val="center"/>
              <w:rPr>
                <w:iCs/>
              </w:rPr>
            </w:pPr>
            <w:r w:rsidRPr="009B20C0">
              <w:rPr>
                <w:iCs/>
              </w:rPr>
              <w:t>5,312 (85.9%)</w:t>
            </w:r>
          </w:p>
        </w:tc>
        <w:tc>
          <w:tcPr>
            <w:tcW w:w="636" w:type="pct"/>
            <w:shd w:val="clear" w:color="auto" w:fill="auto"/>
            <w:vAlign w:val="center"/>
          </w:tcPr>
          <w:p w14:paraId="2533C032" w14:textId="77777777" w:rsidR="000A4D8A" w:rsidRPr="009B20C0" w:rsidRDefault="000A4D8A" w:rsidP="008546F3">
            <w:pPr>
              <w:pStyle w:val="TableText0"/>
              <w:keepNext w:val="0"/>
              <w:jc w:val="center"/>
              <w:rPr>
                <w:iCs/>
              </w:rPr>
            </w:pPr>
            <w:r w:rsidRPr="009B20C0">
              <w:rPr>
                <w:iCs/>
              </w:rPr>
              <w:t>5,330 (86.5%)</w:t>
            </w:r>
          </w:p>
        </w:tc>
      </w:tr>
      <w:tr w:rsidR="000A4D8A" w:rsidRPr="009B20C0" w14:paraId="356B5C3E" w14:textId="77777777" w:rsidTr="008546F3">
        <w:tc>
          <w:tcPr>
            <w:tcW w:w="1177" w:type="pct"/>
          </w:tcPr>
          <w:p w14:paraId="1FCEBC74" w14:textId="77777777" w:rsidR="000A4D8A" w:rsidRPr="009B20C0" w:rsidRDefault="000A4D8A" w:rsidP="008546F3">
            <w:pPr>
              <w:pStyle w:val="TableText0"/>
              <w:keepNext w:val="0"/>
              <w:tabs>
                <w:tab w:val="right" w:pos="2155"/>
              </w:tabs>
              <w:rPr>
                <w:iCs/>
              </w:rPr>
            </w:pPr>
            <w:r w:rsidRPr="009B20C0">
              <w:rPr>
                <w:iCs/>
                <w:szCs w:val="20"/>
              </w:rPr>
              <w:t xml:space="preserve">Treatment related adverse events </w:t>
            </w:r>
          </w:p>
        </w:tc>
        <w:tc>
          <w:tcPr>
            <w:tcW w:w="637" w:type="pct"/>
            <w:shd w:val="clear" w:color="auto" w:fill="auto"/>
            <w:vAlign w:val="center"/>
          </w:tcPr>
          <w:p w14:paraId="59206D27" w14:textId="77777777" w:rsidR="000A4D8A" w:rsidRPr="009B20C0" w:rsidRDefault="000A4D8A" w:rsidP="008546F3">
            <w:pPr>
              <w:pStyle w:val="TableText0"/>
              <w:keepNext w:val="0"/>
              <w:jc w:val="center"/>
              <w:rPr>
                <w:rFonts w:cs="Calibri"/>
                <w:iCs/>
                <w:szCs w:val="20"/>
              </w:rPr>
            </w:pPr>
            <w:r w:rsidRPr="009B20C0">
              <w:rPr>
                <w:iCs/>
              </w:rPr>
              <w:t>1,206 (18.5%)</w:t>
            </w:r>
          </w:p>
        </w:tc>
        <w:tc>
          <w:tcPr>
            <w:tcW w:w="638" w:type="pct"/>
            <w:shd w:val="clear" w:color="auto" w:fill="auto"/>
            <w:vAlign w:val="center"/>
          </w:tcPr>
          <w:p w14:paraId="4C086827" w14:textId="77777777" w:rsidR="000A4D8A" w:rsidRPr="009B20C0" w:rsidRDefault="000A4D8A" w:rsidP="008546F3">
            <w:pPr>
              <w:pStyle w:val="TableText0"/>
              <w:keepNext w:val="0"/>
              <w:jc w:val="center"/>
              <w:rPr>
                <w:rFonts w:cs="Calibri"/>
                <w:iCs/>
                <w:szCs w:val="20"/>
              </w:rPr>
            </w:pPr>
            <w:r w:rsidRPr="009B20C0">
              <w:rPr>
                <w:iCs/>
              </w:rPr>
              <w:t>862 (13.3%)</w:t>
            </w:r>
          </w:p>
        </w:tc>
        <w:tc>
          <w:tcPr>
            <w:tcW w:w="637" w:type="pct"/>
            <w:shd w:val="clear" w:color="auto" w:fill="auto"/>
            <w:vAlign w:val="center"/>
          </w:tcPr>
          <w:p w14:paraId="79908B16" w14:textId="77777777" w:rsidR="000A4D8A" w:rsidRPr="009B20C0" w:rsidRDefault="000A4D8A" w:rsidP="008546F3">
            <w:pPr>
              <w:pStyle w:val="TableText0"/>
              <w:keepNext w:val="0"/>
              <w:jc w:val="center"/>
              <w:rPr>
                <w:iCs/>
              </w:rPr>
            </w:pPr>
            <w:r w:rsidRPr="009B20C0">
              <w:rPr>
                <w:iCs/>
                <w:szCs w:val="20"/>
              </w:rPr>
              <w:t>51 (15.7%)</w:t>
            </w:r>
          </w:p>
        </w:tc>
        <w:tc>
          <w:tcPr>
            <w:tcW w:w="637" w:type="pct"/>
            <w:shd w:val="clear" w:color="auto" w:fill="auto"/>
            <w:vAlign w:val="center"/>
          </w:tcPr>
          <w:p w14:paraId="3934D2EA" w14:textId="77777777" w:rsidR="000A4D8A" w:rsidRPr="009B20C0" w:rsidRDefault="000A4D8A" w:rsidP="008546F3">
            <w:pPr>
              <w:pStyle w:val="TableText0"/>
              <w:keepNext w:val="0"/>
              <w:jc w:val="center"/>
              <w:rPr>
                <w:iCs/>
              </w:rPr>
            </w:pPr>
            <w:r w:rsidRPr="009B20C0">
              <w:rPr>
                <w:iCs/>
                <w:szCs w:val="20"/>
              </w:rPr>
              <w:t>27 (8.3%)</w:t>
            </w:r>
          </w:p>
        </w:tc>
        <w:tc>
          <w:tcPr>
            <w:tcW w:w="637" w:type="pct"/>
            <w:shd w:val="clear" w:color="auto" w:fill="auto"/>
            <w:vAlign w:val="center"/>
          </w:tcPr>
          <w:p w14:paraId="3A8C21AA" w14:textId="77777777" w:rsidR="000A4D8A" w:rsidRPr="009B20C0" w:rsidRDefault="000A4D8A" w:rsidP="008546F3">
            <w:pPr>
              <w:pStyle w:val="TableText0"/>
              <w:keepNext w:val="0"/>
              <w:jc w:val="center"/>
              <w:rPr>
                <w:iCs/>
              </w:rPr>
            </w:pPr>
            <w:r w:rsidRPr="009B20C0">
              <w:rPr>
                <w:iCs/>
              </w:rPr>
              <w:t>1155 (18.7%)</w:t>
            </w:r>
          </w:p>
        </w:tc>
        <w:tc>
          <w:tcPr>
            <w:tcW w:w="636" w:type="pct"/>
            <w:shd w:val="clear" w:color="auto" w:fill="auto"/>
            <w:vAlign w:val="center"/>
          </w:tcPr>
          <w:p w14:paraId="2CF45B9D" w14:textId="77777777" w:rsidR="000A4D8A" w:rsidRPr="009B20C0" w:rsidRDefault="000A4D8A" w:rsidP="008546F3">
            <w:pPr>
              <w:pStyle w:val="TableText0"/>
              <w:keepNext w:val="0"/>
              <w:jc w:val="center"/>
              <w:rPr>
                <w:iCs/>
              </w:rPr>
            </w:pPr>
            <w:r w:rsidRPr="009B20C0">
              <w:rPr>
                <w:iCs/>
              </w:rPr>
              <w:t>835 (13.5%)</w:t>
            </w:r>
          </w:p>
        </w:tc>
      </w:tr>
      <w:tr w:rsidR="000A4D8A" w:rsidRPr="009B20C0" w14:paraId="0B34342E" w14:textId="77777777" w:rsidTr="008546F3">
        <w:tc>
          <w:tcPr>
            <w:tcW w:w="1177" w:type="pct"/>
          </w:tcPr>
          <w:p w14:paraId="72BE97ED" w14:textId="77777777" w:rsidR="000A4D8A" w:rsidRPr="009B20C0" w:rsidRDefault="000A4D8A" w:rsidP="008546F3">
            <w:pPr>
              <w:pStyle w:val="TableText0"/>
              <w:keepNext w:val="0"/>
              <w:tabs>
                <w:tab w:val="right" w:pos="2155"/>
              </w:tabs>
              <w:rPr>
                <w:iCs/>
              </w:rPr>
            </w:pPr>
            <w:r w:rsidRPr="009B20C0">
              <w:rPr>
                <w:iCs/>
                <w:szCs w:val="20"/>
              </w:rPr>
              <w:t>Adverse events leading to discontinuation</w:t>
            </w:r>
          </w:p>
        </w:tc>
        <w:tc>
          <w:tcPr>
            <w:tcW w:w="637" w:type="pct"/>
            <w:shd w:val="clear" w:color="auto" w:fill="auto"/>
            <w:vAlign w:val="center"/>
          </w:tcPr>
          <w:p w14:paraId="14D76466" w14:textId="77777777" w:rsidR="000A4D8A" w:rsidRPr="009B20C0" w:rsidRDefault="000A4D8A" w:rsidP="008546F3">
            <w:pPr>
              <w:pStyle w:val="TableText0"/>
              <w:keepNext w:val="0"/>
              <w:jc w:val="center"/>
              <w:rPr>
                <w:rFonts w:cs="Calibri"/>
                <w:iCs/>
                <w:szCs w:val="20"/>
              </w:rPr>
            </w:pPr>
            <w:r w:rsidRPr="009B20C0">
              <w:rPr>
                <w:iCs/>
              </w:rPr>
              <w:t>414 (6.4%)</w:t>
            </w:r>
          </w:p>
        </w:tc>
        <w:tc>
          <w:tcPr>
            <w:tcW w:w="638" w:type="pct"/>
            <w:shd w:val="clear" w:color="auto" w:fill="auto"/>
            <w:vAlign w:val="center"/>
          </w:tcPr>
          <w:p w14:paraId="263355ED" w14:textId="77777777" w:rsidR="000A4D8A" w:rsidRPr="009B20C0" w:rsidRDefault="000A4D8A" w:rsidP="008546F3">
            <w:pPr>
              <w:pStyle w:val="TableText0"/>
              <w:keepNext w:val="0"/>
              <w:jc w:val="center"/>
              <w:rPr>
                <w:rFonts w:cs="Calibri"/>
                <w:iCs/>
                <w:szCs w:val="20"/>
              </w:rPr>
            </w:pPr>
            <w:r w:rsidRPr="009B20C0">
              <w:rPr>
                <w:iCs/>
              </w:rPr>
              <w:t>351 (5.4%)</w:t>
            </w:r>
          </w:p>
        </w:tc>
        <w:tc>
          <w:tcPr>
            <w:tcW w:w="637" w:type="pct"/>
            <w:shd w:val="clear" w:color="auto" w:fill="auto"/>
            <w:vAlign w:val="center"/>
          </w:tcPr>
          <w:p w14:paraId="1A7439C5" w14:textId="77777777" w:rsidR="000A4D8A" w:rsidRPr="009B20C0" w:rsidRDefault="000A4D8A" w:rsidP="008546F3">
            <w:pPr>
              <w:pStyle w:val="TableText0"/>
              <w:keepNext w:val="0"/>
              <w:jc w:val="center"/>
              <w:rPr>
                <w:iCs/>
              </w:rPr>
            </w:pPr>
            <w:r w:rsidRPr="009B20C0">
              <w:rPr>
                <w:iCs/>
                <w:szCs w:val="20"/>
              </w:rPr>
              <w:t>13 (4.0%)</w:t>
            </w:r>
          </w:p>
        </w:tc>
        <w:tc>
          <w:tcPr>
            <w:tcW w:w="637" w:type="pct"/>
            <w:shd w:val="clear" w:color="auto" w:fill="auto"/>
            <w:vAlign w:val="center"/>
          </w:tcPr>
          <w:p w14:paraId="77D8F7C8" w14:textId="77777777" w:rsidR="000A4D8A" w:rsidRPr="009B20C0" w:rsidRDefault="000A4D8A" w:rsidP="008546F3">
            <w:pPr>
              <w:pStyle w:val="TableText0"/>
              <w:keepNext w:val="0"/>
              <w:jc w:val="center"/>
              <w:rPr>
                <w:iCs/>
              </w:rPr>
            </w:pPr>
            <w:r w:rsidRPr="009B20C0">
              <w:rPr>
                <w:iCs/>
                <w:szCs w:val="20"/>
              </w:rPr>
              <w:t>15 (4.6%)</w:t>
            </w:r>
          </w:p>
        </w:tc>
        <w:tc>
          <w:tcPr>
            <w:tcW w:w="637" w:type="pct"/>
            <w:shd w:val="clear" w:color="auto" w:fill="auto"/>
            <w:vAlign w:val="center"/>
          </w:tcPr>
          <w:p w14:paraId="59A69CDB" w14:textId="77777777" w:rsidR="000A4D8A" w:rsidRPr="009B20C0" w:rsidRDefault="000A4D8A" w:rsidP="008546F3">
            <w:pPr>
              <w:pStyle w:val="TableText0"/>
              <w:keepNext w:val="0"/>
              <w:jc w:val="center"/>
              <w:rPr>
                <w:iCs/>
              </w:rPr>
            </w:pPr>
            <w:r w:rsidRPr="009B20C0">
              <w:rPr>
                <w:iCs/>
              </w:rPr>
              <w:t>401 (6.5%)</w:t>
            </w:r>
          </w:p>
        </w:tc>
        <w:tc>
          <w:tcPr>
            <w:tcW w:w="636" w:type="pct"/>
            <w:shd w:val="clear" w:color="auto" w:fill="auto"/>
            <w:vAlign w:val="center"/>
          </w:tcPr>
          <w:p w14:paraId="67DC584B" w14:textId="77777777" w:rsidR="000A4D8A" w:rsidRPr="009B20C0" w:rsidRDefault="000A4D8A" w:rsidP="008546F3">
            <w:pPr>
              <w:pStyle w:val="TableText0"/>
              <w:keepNext w:val="0"/>
              <w:jc w:val="center"/>
              <w:rPr>
                <w:iCs/>
              </w:rPr>
            </w:pPr>
            <w:r w:rsidRPr="009B20C0">
              <w:rPr>
                <w:iCs/>
              </w:rPr>
              <w:t>336 (5.5%)</w:t>
            </w:r>
          </w:p>
        </w:tc>
      </w:tr>
      <w:tr w:rsidR="000A4D8A" w:rsidRPr="009B20C0" w14:paraId="7169FE8D" w14:textId="77777777" w:rsidTr="008546F3">
        <w:tc>
          <w:tcPr>
            <w:tcW w:w="1177" w:type="pct"/>
          </w:tcPr>
          <w:p w14:paraId="6CC270A5" w14:textId="77777777" w:rsidR="000A4D8A" w:rsidRPr="009B20C0" w:rsidRDefault="000A4D8A" w:rsidP="008546F3">
            <w:pPr>
              <w:pStyle w:val="TableText0"/>
              <w:keepNext w:val="0"/>
              <w:tabs>
                <w:tab w:val="right" w:pos="2155"/>
              </w:tabs>
              <w:rPr>
                <w:iCs/>
              </w:rPr>
            </w:pPr>
            <w:r w:rsidRPr="009B20C0">
              <w:rPr>
                <w:iCs/>
                <w:szCs w:val="20"/>
              </w:rPr>
              <w:t>Serious adverse events</w:t>
            </w:r>
          </w:p>
        </w:tc>
        <w:tc>
          <w:tcPr>
            <w:tcW w:w="637" w:type="pct"/>
            <w:shd w:val="clear" w:color="auto" w:fill="auto"/>
            <w:vAlign w:val="center"/>
          </w:tcPr>
          <w:p w14:paraId="7A686306" w14:textId="77777777" w:rsidR="000A4D8A" w:rsidRPr="009B20C0" w:rsidRDefault="000A4D8A" w:rsidP="008546F3">
            <w:pPr>
              <w:pStyle w:val="TableText0"/>
              <w:keepNext w:val="0"/>
              <w:jc w:val="center"/>
              <w:rPr>
                <w:rFonts w:cs="Calibri"/>
                <w:iCs/>
                <w:szCs w:val="20"/>
              </w:rPr>
            </w:pPr>
            <w:r w:rsidRPr="009B20C0">
              <w:rPr>
                <w:iCs/>
              </w:rPr>
              <w:t>2,060 (31.6%)</w:t>
            </w:r>
          </w:p>
        </w:tc>
        <w:tc>
          <w:tcPr>
            <w:tcW w:w="638" w:type="pct"/>
            <w:shd w:val="clear" w:color="auto" w:fill="auto"/>
            <w:vAlign w:val="center"/>
          </w:tcPr>
          <w:p w14:paraId="11ABCB67" w14:textId="77777777" w:rsidR="000A4D8A" w:rsidRPr="009B20C0" w:rsidRDefault="000A4D8A" w:rsidP="008546F3">
            <w:pPr>
              <w:pStyle w:val="TableText0"/>
              <w:keepNext w:val="0"/>
              <w:jc w:val="center"/>
              <w:rPr>
                <w:rFonts w:cs="Calibri"/>
                <w:iCs/>
                <w:szCs w:val="20"/>
              </w:rPr>
            </w:pPr>
            <w:r w:rsidRPr="009B20C0">
              <w:rPr>
                <w:iCs/>
              </w:rPr>
              <w:t>2,186 (33.7%)</w:t>
            </w:r>
          </w:p>
        </w:tc>
        <w:tc>
          <w:tcPr>
            <w:tcW w:w="637" w:type="pct"/>
            <w:shd w:val="clear" w:color="auto" w:fill="auto"/>
            <w:vAlign w:val="center"/>
          </w:tcPr>
          <w:p w14:paraId="06A6E964" w14:textId="77777777" w:rsidR="000A4D8A" w:rsidRPr="009B20C0" w:rsidRDefault="000A4D8A" w:rsidP="008546F3">
            <w:pPr>
              <w:pStyle w:val="TableText0"/>
              <w:keepNext w:val="0"/>
              <w:jc w:val="center"/>
              <w:rPr>
                <w:iCs/>
              </w:rPr>
            </w:pPr>
            <w:r w:rsidRPr="009B20C0">
              <w:rPr>
                <w:iCs/>
                <w:szCs w:val="20"/>
              </w:rPr>
              <w:t>101 (31.2%)</w:t>
            </w:r>
          </w:p>
        </w:tc>
        <w:tc>
          <w:tcPr>
            <w:tcW w:w="637" w:type="pct"/>
            <w:shd w:val="clear" w:color="auto" w:fill="auto"/>
            <w:vAlign w:val="center"/>
          </w:tcPr>
          <w:p w14:paraId="4C5452EE" w14:textId="77777777" w:rsidR="000A4D8A" w:rsidRPr="009B20C0" w:rsidRDefault="000A4D8A" w:rsidP="008546F3">
            <w:pPr>
              <w:pStyle w:val="TableText0"/>
              <w:keepNext w:val="0"/>
              <w:jc w:val="center"/>
              <w:rPr>
                <w:iCs/>
              </w:rPr>
            </w:pPr>
            <w:r w:rsidRPr="009B20C0">
              <w:rPr>
                <w:iCs/>
                <w:szCs w:val="20"/>
              </w:rPr>
              <w:t>94 (29.0%)</w:t>
            </w:r>
          </w:p>
        </w:tc>
        <w:tc>
          <w:tcPr>
            <w:tcW w:w="637" w:type="pct"/>
            <w:shd w:val="clear" w:color="auto" w:fill="auto"/>
            <w:vAlign w:val="center"/>
          </w:tcPr>
          <w:p w14:paraId="59FE57BD" w14:textId="77777777" w:rsidR="000A4D8A" w:rsidRPr="009B20C0" w:rsidRDefault="000A4D8A" w:rsidP="008546F3">
            <w:pPr>
              <w:pStyle w:val="TableText0"/>
              <w:keepNext w:val="0"/>
              <w:jc w:val="center"/>
              <w:rPr>
                <w:iCs/>
              </w:rPr>
            </w:pPr>
            <w:r w:rsidRPr="009B20C0">
              <w:rPr>
                <w:iCs/>
              </w:rPr>
              <w:t>1,959 (31.7%)</w:t>
            </w:r>
          </w:p>
        </w:tc>
        <w:tc>
          <w:tcPr>
            <w:tcW w:w="636" w:type="pct"/>
            <w:shd w:val="clear" w:color="auto" w:fill="auto"/>
            <w:vAlign w:val="center"/>
          </w:tcPr>
          <w:p w14:paraId="0D78E15A" w14:textId="77777777" w:rsidR="000A4D8A" w:rsidRPr="009B20C0" w:rsidRDefault="000A4D8A" w:rsidP="008546F3">
            <w:pPr>
              <w:pStyle w:val="TableText0"/>
              <w:keepNext w:val="0"/>
              <w:jc w:val="center"/>
              <w:rPr>
                <w:iCs/>
              </w:rPr>
            </w:pPr>
            <w:r w:rsidRPr="009B20C0">
              <w:rPr>
                <w:iCs/>
              </w:rPr>
              <w:t>2,092 (33.9%)</w:t>
            </w:r>
          </w:p>
        </w:tc>
      </w:tr>
      <w:tr w:rsidR="000A4D8A" w:rsidRPr="009B20C0" w14:paraId="746BCE80" w14:textId="77777777" w:rsidTr="008546F3">
        <w:tc>
          <w:tcPr>
            <w:tcW w:w="1177" w:type="pct"/>
          </w:tcPr>
          <w:p w14:paraId="0A5764A8" w14:textId="77777777" w:rsidR="000A4D8A" w:rsidRPr="009B20C0" w:rsidRDefault="000A4D8A" w:rsidP="008546F3">
            <w:pPr>
              <w:pStyle w:val="TableText0"/>
              <w:keepNext w:val="0"/>
              <w:tabs>
                <w:tab w:val="right" w:pos="2155"/>
              </w:tabs>
              <w:rPr>
                <w:iCs/>
              </w:rPr>
            </w:pPr>
            <w:r w:rsidRPr="009B20C0">
              <w:rPr>
                <w:iCs/>
                <w:szCs w:val="20"/>
              </w:rPr>
              <w:t xml:space="preserve">Treatment related serious adverse events </w:t>
            </w:r>
          </w:p>
        </w:tc>
        <w:tc>
          <w:tcPr>
            <w:tcW w:w="637" w:type="pct"/>
            <w:shd w:val="clear" w:color="auto" w:fill="auto"/>
            <w:vAlign w:val="center"/>
          </w:tcPr>
          <w:p w14:paraId="55BD3734" w14:textId="77777777" w:rsidR="000A4D8A" w:rsidRPr="009B20C0" w:rsidRDefault="000A4D8A" w:rsidP="008546F3">
            <w:pPr>
              <w:pStyle w:val="TableText0"/>
              <w:keepNext w:val="0"/>
              <w:jc w:val="center"/>
              <w:rPr>
                <w:iCs/>
              </w:rPr>
            </w:pPr>
            <w:r w:rsidRPr="009B20C0">
              <w:rPr>
                <w:iCs/>
              </w:rPr>
              <w:t>83 (1.3%)</w:t>
            </w:r>
          </w:p>
        </w:tc>
        <w:tc>
          <w:tcPr>
            <w:tcW w:w="638" w:type="pct"/>
            <w:shd w:val="clear" w:color="auto" w:fill="auto"/>
            <w:vAlign w:val="center"/>
          </w:tcPr>
          <w:p w14:paraId="56FBAC3E" w14:textId="77777777" w:rsidR="000A4D8A" w:rsidRPr="009B20C0" w:rsidRDefault="000A4D8A" w:rsidP="008546F3">
            <w:pPr>
              <w:pStyle w:val="TableText0"/>
              <w:keepNext w:val="0"/>
              <w:jc w:val="center"/>
              <w:rPr>
                <w:iCs/>
              </w:rPr>
            </w:pPr>
            <w:r w:rsidRPr="009B20C0">
              <w:rPr>
                <w:iCs/>
              </w:rPr>
              <w:t>61 (0.9%)</w:t>
            </w:r>
          </w:p>
        </w:tc>
        <w:tc>
          <w:tcPr>
            <w:tcW w:w="637" w:type="pct"/>
            <w:shd w:val="clear" w:color="auto" w:fill="auto"/>
            <w:vAlign w:val="center"/>
          </w:tcPr>
          <w:p w14:paraId="100BA503" w14:textId="77777777" w:rsidR="000A4D8A" w:rsidRPr="009B20C0" w:rsidRDefault="000A4D8A" w:rsidP="008546F3">
            <w:pPr>
              <w:pStyle w:val="TableText0"/>
              <w:keepNext w:val="0"/>
              <w:jc w:val="center"/>
              <w:rPr>
                <w:iCs/>
              </w:rPr>
            </w:pPr>
            <w:r w:rsidRPr="009B20C0">
              <w:rPr>
                <w:iCs/>
                <w:szCs w:val="20"/>
              </w:rPr>
              <w:t>2 (0.6%)</w:t>
            </w:r>
          </w:p>
        </w:tc>
        <w:tc>
          <w:tcPr>
            <w:tcW w:w="637" w:type="pct"/>
            <w:shd w:val="clear" w:color="auto" w:fill="auto"/>
            <w:vAlign w:val="center"/>
          </w:tcPr>
          <w:p w14:paraId="29C61971" w14:textId="77777777" w:rsidR="000A4D8A" w:rsidRPr="009B20C0" w:rsidRDefault="000A4D8A" w:rsidP="008546F3">
            <w:pPr>
              <w:pStyle w:val="TableText0"/>
              <w:keepNext w:val="0"/>
              <w:jc w:val="center"/>
              <w:rPr>
                <w:iCs/>
              </w:rPr>
            </w:pPr>
            <w:r w:rsidRPr="009B20C0">
              <w:rPr>
                <w:iCs/>
                <w:szCs w:val="20"/>
              </w:rPr>
              <w:t xml:space="preserve">0 </w:t>
            </w:r>
          </w:p>
        </w:tc>
        <w:tc>
          <w:tcPr>
            <w:tcW w:w="637" w:type="pct"/>
            <w:shd w:val="clear" w:color="auto" w:fill="auto"/>
            <w:vAlign w:val="center"/>
          </w:tcPr>
          <w:p w14:paraId="2FCAC41E" w14:textId="77777777" w:rsidR="000A4D8A" w:rsidRPr="009B20C0" w:rsidRDefault="000A4D8A" w:rsidP="008546F3">
            <w:pPr>
              <w:pStyle w:val="TableText0"/>
              <w:keepNext w:val="0"/>
              <w:jc w:val="center"/>
              <w:rPr>
                <w:iCs/>
              </w:rPr>
            </w:pPr>
            <w:r w:rsidRPr="009B20C0">
              <w:rPr>
                <w:iCs/>
              </w:rPr>
              <w:t>81 (1.3%)</w:t>
            </w:r>
          </w:p>
        </w:tc>
        <w:tc>
          <w:tcPr>
            <w:tcW w:w="636" w:type="pct"/>
            <w:shd w:val="clear" w:color="auto" w:fill="auto"/>
            <w:vAlign w:val="center"/>
          </w:tcPr>
          <w:p w14:paraId="10D271FE" w14:textId="77777777" w:rsidR="000A4D8A" w:rsidRPr="009B20C0" w:rsidRDefault="000A4D8A" w:rsidP="008546F3">
            <w:pPr>
              <w:pStyle w:val="TableText0"/>
              <w:keepNext w:val="0"/>
              <w:jc w:val="center"/>
              <w:rPr>
                <w:iCs/>
              </w:rPr>
            </w:pPr>
            <w:r w:rsidRPr="009B20C0">
              <w:rPr>
                <w:iCs/>
              </w:rPr>
              <w:t>61 (1.0%)</w:t>
            </w:r>
          </w:p>
        </w:tc>
      </w:tr>
      <w:tr w:rsidR="000A4D8A" w:rsidRPr="009B20C0" w14:paraId="544EDB6A" w14:textId="77777777" w:rsidTr="008546F3">
        <w:tc>
          <w:tcPr>
            <w:tcW w:w="1177" w:type="pct"/>
          </w:tcPr>
          <w:p w14:paraId="66DDEB4D" w14:textId="77777777" w:rsidR="000A4D8A" w:rsidRPr="009B20C0" w:rsidRDefault="000A4D8A" w:rsidP="008546F3">
            <w:pPr>
              <w:pStyle w:val="TableText0"/>
              <w:keepNext w:val="0"/>
              <w:tabs>
                <w:tab w:val="right" w:pos="2155"/>
              </w:tabs>
              <w:rPr>
                <w:iCs/>
              </w:rPr>
            </w:pPr>
            <w:r w:rsidRPr="009B20C0">
              <w:rPr>
                <w:iCs/>
                <w:szCs w:val="20"/>
              </w:rPr>
              <w:t xml:space="preserve">Serious adverse events leading to discontinuation </w:t>
            </w:r>
          </w:p>
        </w:tc>
        <w:tc>
          <w:tcPr>
            <w:tcW w:w="637" w:type="pct"/>
            <w:shd w:val="clear" w:color="auto" w:fill="auto"/>
            <w:vAlign w:val="center"/>
          </w:tcPr>
          <w:p w14:paraId="6A98CAE7" w14:textId="77777777" w:rsidR="000A4D8A" w:rsidRPr="009B20C0" w:rsidRDefault="000A4D8A" w:rsidP="008546F3">
            <w:pPr>
              <w:pStyle w:val="TableText0"/>
              <w:keepNext w:val="0"/>
              <w:jc w:val="center"/>
              <w:rPr>
                <w:iCs/>
              </w:rPr>
            </w:pPr>
            <w:r w:rsidRPr="009B20C0">
              <w:rPr>
                <w:iCs/>
              </w:rPr>
              <w:t>145 (2.2%)</w:t>
            </w:r>
          </w:p>
        </w:tc>
        <w:tc>
          <w:tcPr>
            <w:tcW w:w="638" w:type="pct"/>
            <w:shd w:val="clear" w:color="auto" w:fill="auto"/>
            <w:vAlign w:val="center"/>
          </w:tcPr>
          <w:p w14:paraId="02ACE945" w14:textId="77777777" w:rsidR="000A4D8A" w:rsidRPr="009B20C0" w:rsidRDefault="000A4D8A" w:rsidP="008546F3">
            <w:pPr>
              <w:pStyle w:val="TableText0"/>
              <w:keepNext w:val="0"/>
              <w:jc w:val="center"/>
              <w:rPr>
                <w:iCs/>
              </w:rPr>
            </w:pPr>
            <w:r w:rsidRPr="009B20C0">
              <w:rPr>
                <w:iCs/>
              </w:rPr>
              <w:t>154 (2.4%)</w:t>
            </w:r>
          </w:p>
        </w:tc>
        <w:tc>
          <w:tcPr>
            <w:tcW w:w="637" w:type="pct"/>
            <w:shd w:val="clear" w:color="auto" w:fill="auto"/>
            <w:vAlign w:val="center"/>
          </w:tcPr>
          <w:p w14:paraId="3E7DBE61" w14:textId="77777777" w:rsidR="000A4D8A" w:rsidRPr="009B20C0" w:rsidRDefault="000A4D8A" w:rsidP="008546F3">
            <w:pPr>
              <w:pStyle w:val="TableText0"/>
              <w:keepNext w:val="0"/>
              <w:jc w:val="center"/>
              <w:rPr>
                <w:iCs/>
              </w:rPr>
            </w:pPr>
            <w:r w:rsidRPr="009B20C0">
              <w:rPr>
                <w:iCs/>
                <w:szCs w:val="20"/>
              </w:rPr>
              <w:t>5 (1.5%)</w:t>
            </w:r>
          </w:p>
        </w:tc>
        <w:tc>
          <w:tcPr>
            <w:tcW w:w="637" w:type="pct"/>
            <w:shd w:val="clear" w:color="auto" w:fill="auto"/>
            <w:vAlign w:val="center"/>
          </w:tcPr>
          <w:p w14:paraId="78FD5F90" w14:textId="77777777" w:rsidR="000A4D8A" w:rsidRPr="009B20C0" w:rsidRDefault="000A4D8A" w:rsidP="008546F3">
            <w:pPr>
              <w:pStyle w:val="TableText0"/>
              <w:keepNext w:val="0"/>
              <w:jc w:val="center"/>
              <w:rPr>
                <w:iCs/>
              </w:rPr>
            </w:pPr>
            <w:r w:rsidRPr="009B20C0">
              <w:rPr>
                <w:iCs/>
                <w:szCs w:val="20"/>
              </w:rPr>
              <w:t>4 (1.2%)</w:t>
            </w:r>
          </w:p>
        </w:tc>
        <w:tc>
          <w:tcPr>
            <w:tcW w:w="637" w:type="pct"/>
            <w:shd w:val="clear" w:color="auto" w:fill="auto"/>
            <w:vAlign w:val="center"/>
          </w:tcPr>
          <w:p w14:paraId="2B47FD5E" w14:textId="77777777" w:rsidR="000A4D8A" w:rsidRPr="009B20C0" w:rsidRDefault="000A4D8A" w:rsidP="008546F3">
            <w:pPr>
              <w:pStyle w:val="TableText0"/>
              <w:keepNext w:val="0"/>
              <w:jc w:val="center"/>
              <w:rPr>
                <w:iCs/>
              </w:rPr>
            </w:pPr>
            <w:r w:rsidRPr="009B20C0">
              <w:rPr>
                <w:iCs/>
              </w:rPr>
              <w:t>140 (2.3%)</w:t>
            </w:r>
          </w:p>
        </w:tc>
        <w:tc>
          <w:tcPr>
            <w:tcW w:w="636" w:type="pct"/>
            <w:shd w:val="clear" w:color="auto" w:fill="auto"/>
            <w:vAlign w:val="center"/>
          </w:tcPr>
          <w:p w14:paraId="03CFC1EA" w14:textId="77777777" w:rsidR="000A4D8A" w:rsidRPr="009B20C0" w:rsidRDefault="000A4D8A" w:rsidP="008546F3">
            <w:pPr>
              <w:pStyle w:val="TableText0"/>
              <w:keepNext w:val="0"/>
              <w:jc w:val="center"/>
              <w:rPr>
                <w:iCs/>
              </w:rPr>
            </w:pPr>
            <w:r w:rsidRPr="009B20C0">
              <w:rPr>
                <w:iCs/>
              </w:rPr>
              <w:t>150 (2.4%)</w:t>
            </w:r>
          </w:p>
        </w:tc>
      </w:tr>
    </w:tbl>
    <w:p w14:paraId="70444E31" w14:textId="77777777" w:rsidR="000A4D8A" w:rsidRPr="009B20C0" w:rsidRDefault="000A4D8A" w:rsidP="000A4D8A">
      <w:pPr>
        <w:pStyle w:val="TableFooter"/>
        <w:rPr>
          <w:iCs/>
        </w:rPr>
      </w:pPr>
      <w:r w:rsidRPr="009B20C0">
        <w:rPr>
          <w:iCs/>
        </w:rPr>
        <w:t>Source: Table 51, p77, and Table 59, p89 of the resubmission.</w:t>
      </w:r>
    </w:p>
    <w:p w14:paraId="0778A218" w14:textId="5E540412" w:rsidR="000A4D8A" w:rsidRPr="009B20C0" w:rsidRDefault="000A4D8A" w:rsidP="000A4D8A">
      <w:pPr>
        <w:pStyle w:val="TableFooter"/>
        <w:rPr>
          <w:iCs/>
        </w:rPr>
      </w:pPr>
      <w:r w:rsidRPr="009B20C0">
        <w:rPr>
          <w:iCs/>
        </w:rPr>
        <w:t xml:space="preserve">Abbreviations: </w:t>
      </w:r>
      <w:r w:rsidR="007D1750" w:rsidRPr="009B20C0">
        <w:rPr>
          <w:iCs/>
        </w:rPr>
        <w:t xml:space="preserve">FAS, full analysis set; </w:t>
      </w:r>
      <w:r w:rsidRPr="009B20C0">
        <w:rPr>
          <w:iCs/>
        </w:rPr>
        <w:t>SAS, safety analysis set; SGLT2i, sodium glucose co-transporter 2 inhibitor; UACR, urinary albumin-creatinine ratio.</w:t>
      </w:r>
    </w:p>
    <w:p w14:paraId="4A596AE6" w14:textId="33D80850" w:rsidR="007D1750" w:rsidRPr="009B20C0" w:rsidRDefault="007D1750" w:rsidP="007D1750">
      <w:pPr>
        <w:pStyle w:val="COMTableheadingrow"/>
        <w:rPr>
          <w:iCs/>
        </w:rPr>
      </w:pPr>
      <w:bookmarkStart w:id="24" w:name="_Ref126912027"/>
      <w:r w:rsidRPr="009B20C0">
        <w:rPr>
          <w:iCs/>
        </w:rPr>
        <w:t xml:space="preserve">Table </w:t>
      </w:r>
      <w:r w:rsidRPr="009B20C0">
        <w:rPr>
          <w:iCs/>
        </w:rPr>
        <w:fldChar w:fldCharType="begin"/>
      </w:r>
      <w:r w:rsidRPr="009B20C0">
        <w:rPr>
          <w:iCs/>
        </w:rPr>
        <w:instrText xml:space="preserve"> SEQ Table \* ARABIC </w:instrText>
      </w:r>
      <w:r w:rsidRPr="009B20C0">
        <w:rPr>
          <w:iCs/>
        </w:rPr>
        <w:fldChar w:fldCharType="separate"/>
      </w:r>
      <w:r w:rsidR="005562EE">
        <w:rPr>
          <w:iCs/>
          <w:noProof/>
        </w:rPr>
        <w:t>9</w:t>
      </w:r>
      <w:r w:rsidRPr="009B20C0">
        <w:rPr>
          <w:iCs/>
          <w:noProof/>
        </w:rPr>
        <w:fldChar w:fldCharType="end"/>
      </w:r>
      <w:bookmarkEnd w:id="24"/>
      <w:r w:rsidRPr="009B20C0">
        <w:rPr>
          <w:iCs/>
        </w:rPr>
        <w:t>: Summary of hyperkalaemia related adverse events in the FIDELITY pooled analysis post hoc subgroup (baseline UACR ≥ 200 mg/g and SGLT2i use), and complement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1"/>
        <w:gridCol w:w="1144"/>
        <w:gridCol w:w="1147"/>
        <w:gridCol w:w="1143"/>
        <w:gridCol w:w="1143"/>
        <w:gridCol w:w="1143"/>
        <w:gridCol w:w="1136"/>
      </w:tblGrid>
      <w:tr w:rsidR="007D1750" w:rsidRPr="009B20C0" w14:paraId="1775886C" w14:textId="77777777" w:rsidTr="008546F3">
        <w:trPr>
          <w:trHeight w:val="143"/>
          <w:tblHeader/>
        </w:trPr>
        <w:tc>
          <w:tcPr>
            <w:tcW w:w="1198" w:type="pct"/>
            <w:vMerge w:val="restart"/>
            <w:vAlign w:val="center"/>
          </w:tcPr>
          <w:p w14:paraId="6366E453" w14:textId="77777777" w:rsidR="007D1750" w:rsidRPr="009B20C0" w:rsidRDefault="007D1750" w:rsidP="008546F3">
            <w:pPr>
              <w:pStyle w:val="Tableheadingrow"/>
              <w:tabs>
                <w:tab w:val="right" w:pos="2155"/>
              </w:tabs>
              <w:jc w:val="center"/>
              <w:rPr>
                <w:iCs/>
                <w:lang w:val="en-AU"/>
              </w:rPr>
            </w:pPr>
            <w:r w:rsidRPr="009B20C0">
              <w:rPr>
                <w:iCs/>
                <w:lang w:val="en-AU"/>
              </w:rPr>
              <w:t>Baseline characteristic</w:t>
            </w:r>
          </w:p>
        </w:tc>
        <w:tc>
          <w:tcPr>
            <w:tcW w:w="1270" w:type="pct"/>
            <w:gridSpan w:val="2"/>
            <w:vMerge w:val="restart"/>
            <w:vAlign w:val="center"/>
          </w:tcPr>
          <w:p w14:paraId="7D523E22" w14:textId="77777777" w:rsidR="007D1750" w:rsidRPr="009B20C0" w:rsidRDefault="007D1750" w:rsidP="008546F3">
            <w:pPr>
              <w:pStyle w:val="Tableheadingrow"/>
              <w:keepNext w:val="0"/>
              <w:jc w:val="center"/>
              <w:rPr>
                <w:iCs/>
                <w:lang w:val="en-AU"/>
              </w:rPr>
            </w:pPr>
            <w:r w:rsidRPr="009B20C0">
              <w:rPr>
                <w:iCs/>
                <w:lang w:val="en-AU"/>
              </w:rPr>
              <w:t xml:space="preserve">FIDELITY </w:t>
            </w:r>
          </w:p>
          <w:p w14:paraId="57269377" w14:textId="77777777" w:rsidR="007D1750" w:rsidRPr="009B20C0" w:rsidRDefault="007D1750" w:rsidP="008546F3">
            <w:pPr>
              <w:pStyle w:val="Tableheadingrow"/>
              <w:keepNext w:val="0"/>
              <w:jc w:val="center"/>
              <w:rPr>
                <w:iCs/>
                <w:lang w:val="en-AU"/>
              </w:rPr>
            </w:pPr>
            <w:r w:rsidRPr="009B20C0">
              <w:rPr>
                <w:iCs/>
                <w:lang w:val="en-AU"/>
              </w:rPr>
              <w:t>(FAS)</w:t>
            </w:r>
          </w:p>
        </w:tc>
        <w:tc>
          <w:tcPr>
            <w:tcW w:w="2531" w:type="pct"/>
            <w:gridSpan w:val="4"/>
          </w:tcPr>
          <w:p w14:paraId="7DF41278" w14:textId="77777777" w:rsidR="007D1750" w:rsidRPr="009B20C0" w:rsidRDefault="007D1750" w:rsidP="008546F3">
            <w:pPr>
              <w:pStyle w:val="Tableheadingrow"/>
              <w:keepNext w:val="0"/>
              <w:jc w:val="center"/>
              <w:rPr>
                <w:iCs/>
                <w:lang w:val="en-AU"/>
              </w:rPr>
            </w:pPr>
            <w:r w:rsidRPr="009B20C0">
              <w:rPr>
                <w:iCs/>
                <w:lang w:val="en-AU"/>
              </w:rPr>
              <w:t>FIDELITY post hoc subgroup</w:t>
            </w:r>
          </w:p>
        </w:tc>
      </w:tr>
      <w:tr w:rsidR="007D1750" w:rsidRPr="009B20C0" w14:paraId="134F7755" w14:textId="77777777" w:rsidTr="008546F3">
        <w:trPr>
          <w:trHeight w:val="142"/>
          <w:tblHeader/>
        </w:trPr>
        <w:tc>
          <w:tcPr>
            <w:tcW w:w="1198" w:type="pct"/>
            <w:vMerge/>
            <w:vAlign w:val="center"/>
          </w:tcPr>
          <w:p w14:paraId="12FF5068" w14:textId="77777777" w:rsidR="007D1750" w:rsidRPr="009B20C0" w:rsidRDefault="007D1750" w:rsidP="008546F3">
            <w:pPr>
              <w:pStyle w:val="Tableheadingrow"/>
              <w:tabs>
                <w:tab w:val="right" w:pos="2155"/>
              </w:tabs>
              <w:jc w:val="center"/>
              <w:rPr>
                <w:iCs/>
                <w:lang w:val="en-AU"/>
              </w:rPr>
            </w:pPr>
          </w:p>
        </w:tc>
        <w:tc>
          <w:tcPr>
            <w:tcW w:w="1270" w:type="pct"/>
            <w:gridSpan w:val="2"/>
            <w:vMerge/>
            <w:vAlign w:val="center"/>
          </w:tcPr>
          <w:p w14:paraId="67BC6FF5" w14:textId="77777777" w:rsidR="007D1750" w:rsidRPr="009B20C0" w:rsidRDefault="007D1750" w:rsidP="008546F3">
            <w:pPr>
              <w:pStyle w:val="Tableheadingrow"/>
              <w:keepNext w:val="0"/>
              <w:jc w:val="center"/>
              <w:rPr>
                <w:iCs/>
                <w:lang w:val="en-AU"/>
              </w:rPr>
            </w:pPr>
          </w:p>
        </w:tc>
        <w:tc>
          <w:tcPr>
            <w:tcW w:w="1268" w:type="pct"/>
            <w:gridSpan w:val="2"/>
          </w:tcPr>
          <w:p w14:paraId="43200376" w14:textId="77777777" w:rsidR="007D1750" w:rsidRPr="009B20C0" w:rsidRDefault="007D1750" w:rsidP="008546F3">
            <w:pPr>
              <w:pStyle w:val="Tableheadingrow"/>
              <w:keepNext w:val="0"/>
              <w:jc w:val="center"/>
              <w:rPr>
                <w:iCs/>
                <w:lang w:val="en-AU"/>
              </w:rPr>
            </w:pPr>
            <w:r w:rsidRPr="009B20C0">
              <w:rPr>
                <w:iCs/>
              </w:rPr>
              <w:t>UACR ≥ 200 mg/g +SGLT2i</w:t>
            </w:r>
          </w:p>
        </w:tc>
        <w:tc>
          <w:tcPr>
            <w:tcW w:w="1264" w:type="pct"/>
            <w:gridSpan w:val="2"/>
          </w:tcPr>
          <w:p w14:paraId="3E31B091" w14:textId="77777777" w:rsidR="007D1750" w:rsidRPr="009B20C0" w:rsidRDefault="007D1750" w:rsidP="008546F3">
            <w:pPr>
              <w:pStyle w:val="Tableheadingrow"/>
              <w:keepNext w:val="0"/>
              <w:jc w:val="center"/>
              <w:rPr>
                <w:iCs/>
                <w:lang w:val="en-AU"/>
              </w:rPr>
            </w:pPr>
            <w:r w:rsidRPr="009B20C0">
              <w:rPr>
                <w:iCs/>
                <w:lang w:val="en-AU"/>
              </w:rPr>
              <w:t>Complement</w:t>
            </w:r>
          </w:p>
        </w:tc>
      </w:tr>
      <w:tr w:rsidR="007D1750" w:rsidRPr="009B20C0" w14:paraId="2B1D7C43" w14:textId="77777777" w:rsidTr="008546F3">
        <w:trPr>
          <w:tblHeader/>
        </w:trPr>
        <w:tc>
          <w:tcPr>
            <w:tcW w:w="1198" w:type="pct"/>
            <w:vMerge/>
            <w:vAlign w:val="center"/>
          </w:tcPr>
          <w:p w14:paraId="6AA1A462" w14:textId="77777777" w:rsidR="007D1750" w:rsidRPr="009B20C0" w:rsidRDefault="007D1750" w:rsidP="008546F3">
            <w:pPr>
              <w:pStyle w:val="Tableheadingrow"/>
              <w:keepNext w:val="0"/>
              <w:tabs>
                <w:tab w:val="right" w:pos="2155"/>
              </w:tabs>
              <w:jc w:val="center"/>
              <w:rPr>
                <w:iCs/>
                <w:lang w:val="en-AU"/>
              </w:rPr>
            </w:pPr>
          </w:p>
        </w:tc>
        <w:tc>
          <w:tcPr>
            <w:tcW w:w="634" w:type="pct"/>
          </w:tcPr>
          <w:p w14:paraId="562C3FC2" w14:textId="77777777" w:rsidR="007D1750" w:rsidRPr="009B20C0" w:rsidRDefault="007D1750" w:rsidP="008546F3">
            <w:pPr>
              <w:pStyle w:val="Tableheadingrow"/>
              <w:keepNext w:val="0"/>
              <w:jc w:val="center"/>
              <w:rPr>
                <w:iCs/>
                <w:lang w:val="en-AU"/>
              </w:rPr>
            </w:pPr>
            <w:r w:rsidRPr="009B20C0">
              <w:rPr>
                <w:iCs/>
                <w:lang w:val="en-AU"/>
              </w:rPr>
              <w:t>Finerenone</w:t>
            </w:r>
          </w:p>
          <w:p w14:paraId="7A96CE7D" w14:textId="77777777" w:rsidR="007D1750" w:rsidRPr="009B20C0" w:rsidRDefault="007D1750" w:rsidP="008546F3">
            <w:pPr>
              <w:pStyle w:val="Tableheadingrow"/>
              <w:keepNext w:val="0"/>
              <w:jc w:val="center"/>
              <w:rPr>
                <w:iCs/>
                <w:lang w:val="en-AU"/>
              </w:rPr>
            </w:pPr>
            <w:r w:rsidRPr="009B20C0">
              <w:rPr>
                <w:iCs/>
                <w:lang w:val="en-AU"/>
              </w:rPr>
              <w:t>N = 6,519</w:t>
            </w:r>
          </w:p>
        </w:tc>
        <w:tc>
          <w:tcPr>
            <w:tcW w:w="636" w:type="pct"/>
          </w:tcPr>
          <w:p w14:paraId="067C8986" w14:textId="77777777" w:rsidR="007D1750" w:rsidRPr="009B20C0" w:rsidRDefault="007D1750" w:rsidP="008546F3">
            <w:pPr>
              <w:pStyle w:val="Tableheadingrow"/>
              <w:keepNext w:val="0"/>
              <w:jc w:val="center"/>
              <w:rPr>
                <w:iCs/>
                <w:lang w:val="en-AU"/>
              </w:rPr>
            </w:pPr>
            <w:r w:rsidRPr="009B20C0">
              <w:rPr>
                <w:iCs/>
                <w:lang w:val="en-AU"/>
              </w:rPr>
              <w:t>Placebo</w:t>
            </w:r>
          </w:p>
          <w:p w14:paraId="72B493BF" w14:textId="77777777" w:rsidR="007D1750" w:rsidRPr="009B20C0" w:rsidRDefault="007D1750" w:rsidP="008546F3">
            <w:pPr>
              <w:pStyle w:val="Tableheadingrow"/>
              <w:keepNext w:val="0"/>
              <w:jc w:val="center"/>
              <w:rPr>
                <w:iCs/>
                <w:lang w:val="en-AU"/>
              </w:rPr>
            </w:pPr>
            <w:r w:rsidRPr="009B20C0">
              <w:rPr>
                <w:iCs/>
                <w:lang w:val="en-AU"/>
              </w:rPr>
              <w:t>N = 6,507</w:t>
            </w:r>
          </w:p>
        </w:tc>
        <w:tc>
          <w:tcPr>
            <w:tcW w:w="634" w:type="pct"/>
          </w:tcPr>
          <w:p w14:paraId="1494FDD3" w14:textId="77777777" w:rsidR="007D1750" w:rsidRPr="009B20C0" w:rsidRDefault="007D1750" w:rsidP="008546F3">
            <w:pPr>
              <w:pStyle w:val="Tableheadingrow"/>
              <w:keepNext w:val="0"/>
              <w:jc w:val="center"/>
              <w:rPr>
                <w:iCs/>
                <w:lang w:val="en-AU"/>
              </w:rPr>
            </w:pPr>
            <w:r w:rsidRPr="009B20C0">
              <w:rPr>
                <w:iCs/>
                <w:lang w:val="en-AU"/>
              </w:rPr>
              <w:t>Finerenone</w:t>
            </w:r>
          </w:p>
          <w:p w14:paraId="32DA4FCF" w14:textId="77777777" w:rsidR="007D1750" w:rsidRPr="009B20C0" w:rsidRDefault="007D1750" w:rsidP="008546F3">
            <w:pPr>
              <w:pStyle w:val="Tableheadingrow"/>
              <w:keepNext w:val="0"/>
              <w:jc w:val="center"/>
              <w:rPr>
                <w:iCs/>
                <w:lang w:val="en-AU"/>
              </w:rPr>
            </w:pPr>
            <w:r w:rsidRPr="009B20C0">
              <w:rPr>
                <w:iCs/>
                <w:lang w:val="en-AU"/>
              </w:rPr>
              <w:t>N = 324</w:t>
            </w:r>
          </w:p>
        </w:tc>
        <w:tc>
          <w:tcPr>
            <w:tcW w:w="634" w:type="pct"/>
          </w:tcPr>
          <w:p w14:paraId="7C348EF6" w14:textId="77777777" w:rsidR="007D1750" w:rsidRPr="009B20C0" w:rsidRDefault="007D1750" w:rsidP="008546F3">
            <w:pPr>
              <w:pStyle w:val="Tableheadingrow"/>
              <w:keepNext w:val="0"/>
              <w:jc w:val="center"/>
              <w:rPr>
                <w:iCs/>
                <w:lang w:val="en-AU"/>
              </w:rPr>
            </w:pPr>
            <w:r w:rsidRPr="009B20C0">
              <w:rPr>
                <w:iCs/>
                <w:lang w:val="en-AU"/>
              </w:rPr>
              <w:t xml:space="preserve">Placebo </w:t>
            </w:r>
          </w:p>
          <w:p w14:paraId="075D809C" w14:textId="77777777" w:rsidR="007D1750" w:rsidRPr="009B20C0" w:rsidRDefault="007D1750" w:rsidP="008546F3">
            <w:pPr>
              <w:pStyle w:val="Tableheadingrow"/>
              <w:keepNext w:val="0"/>
              <w:jc w:val="center"/>
              <w:rPr>
                <w:iCs/>
                <w:lang w:val="en-AU"/>
              </w:rPr>
            </w:pPr>
            <w:r w:rsidRPr="009B20C0">
              <w:rPr>
                <w:iCs/>
                <w:lang w:val="en-AU"/>
              </w:rPr>
              <w:t>N = 324</w:t>
            </w:r>
          </w:p>
        </w:tc>
        <w:tc>
          <w:tcPr>
            <w:tcW w:w="634" w:type="pct"/>
          </w:tcPr>
          <w:p w14:paraId="291BA349" w14:textId="77777777" w:rsidR="007D1750" w:rsidRPr="009B20C0" w:rsidRDefault="007D1750" w:rsidP="008546F3">
            <w:pPr>
              <w:pStyle w:val="Tableheadingrow"/>
              <w:keepNext w:val="0"/>
              <w:jc w:val="center"/>
              <w:rPr>
                <w:iCs/>
                <w:lang w:val="en-AU"/>
              </w:rPr>
            </w:pPr>
            <w:r w:rsidRPr="009B20C0">
              <w:rPr>
                <w:iCs/>
                <w:lang w:val="en-AU"/>
              </w:rPr>
              <w:t>Finerenone</w:t>
            </w:r>
          </w:p>
          <w:p w14:paraId="2453ED5B" w14:textId="77777777" w:rsidR="007D1750" w:rsidRPr="009B20C0" w:rsidRDefault="007D1750" w:rsidP="008546F3">
            <w:pPr>
              <w:pStyle w:val="Tableheadingrow"/>
              <w:keepNext w:val="0"/>
              <w:jc w:val="center"/>
              <w:rPr>
                <w:iCs/>
                <w:lang w:val="en-AU"/>
              </w:rPr>
            </w:pPr>
            <w:r w:rsidRPr="009B20C0">
              <w:rPr>
                <w:iCs/>
                <w:lang w:val="en-AU"/>
              </w:rPr>
              <w:t>N = 6,195</w:t>
            </w:r>
          </w:p>
        </w:tc>
        <w:tc>
          <w:tcPr>
            <w:tcW w:w="630" w:type="pct"/>
          </w:tcPr>
          <w:p w14:paraId="42C57AA0" w14:textId="77777777" w:rsidR="007D1750" w:rsidRPr="009B20C0" w:rsidRDefault="007D1750" w:rsidP="008546F3">
            <w:pPr>
              <w:pStyle w:val="Tableheadingrow"/>
              <w:keepNext w:val="0"/>
              <w:jc w:val="center"/>
              <w:rPr>
                <w:iCs/>
                <w:lang w:val="en-AU"/>
              </w:rPr>
            </w:pPr>
            <w:r w:rsidRPr="009B20C0">
              <w:rPr>
                <w:iCs/>
                <w:lang w:val="en-AU"/>
              </w:rPr>
              <w:t xml:space="preserve">Placebo </w:t>
            </w:r>
          </w:p>
          <w:p w14:paraId="2CFE194D" w14:textId="77777777" w:rsidR="007D1750" w:rsidRPr="009B20C0" w:rsidRDefault="007D1750" w:rsidP="008546F3">
            <w:pPr>
              <w:pStyle w:val="Tableheadingrow"/>
              <w:keepNext w:val="0"/>
              <w:jc w:val="center"/>
              <w:rPr>
                <w:iCs/>
                <w:lang w:val="en-AU"/>
              </w:rPr>
            </w:pPr>
            <w:r w:rsidRPr="009B20C0">
              <w:rPr>
                <w:iCs/>
                <w:lang w:val="en-AU"/>
              </w:rPr>
              <w:t>N = 6,183</w:t>
            </w:r>
          </w:p>
        </w:tc>
      </w:tr>
      <w:tr w:rsidR="007D1750" w:rsidRPr="009B20C0" w14:paraId="07C638AE" w14:textId="77777777" w:rsidTr="008546F3">
        <w:tc>
          <w:tcPr>
            <w:tcW w:w="1198" w:type="pct"/>
            <w:vAlign w:val="center"/>
          </w:tcPr>
          <w:p w14:paraId="2534CF4A" w14:textId="77777777" w:rsidR="007D1750" w:rsidRPr="009B20C0" w:rsidRDefault="007D1750" w:rsidP="008546F3">
            <w:pPr>
              <w:pStyle w:val="TableText0"/>
              <w:keepNext w:val="0"/>
              <w:tabs>
                <w:tab w:val="right" w:pos="2155"/>
              </w:tabs>
              <w:rPr>
                <w:iCs/>
              </w:rPr>
            </w:pPr>
            <w:bookmarkStart w:id="25" w:name="_Hlk123210280"/>
            <w:r w:rsidRPr="009B20C0">
              <w:rPr>
                <w:rFonts w:cs="Calibri"/>
                <w:iCs/>
                <w:szCs w:val="20"/>
              </w:rPr>
              <w:t>Investigator-reported hyperkalaemia</w:t>
            </w:r>
          </w:p>
        </w:tc>
        <w:tc>
          <w:tcPr>
            <w:tcW w:w="634" w:type="pct"/>
            <w:shd w:val="clear" w:color="auto" w:fill="auto"/>
            <w:vAlign w:val="center"/>
          </w:tcPr>
          <w:p w14:paraId="7600FF27" w14:textId="77777777" w:rsidR="007D1750" w:rsidRPr="009B20C0" w:rsidRDefault="007D1750" w:rsidP="008546F3">
            <w:pPr>
              <w:pStyle w:val="TableText0"/>
              <w:keepNext w:val="0"/>
              <w:jc w:val="center"/>
              <w:rPr>
                <w:rFonts w:cs="Calibri"/>
                <w:iCs/>
                <w:szCs w:val="20"/>
              </w:rPr>
            </w:pPr>
            <w:r w:rsidRPr="009B20C0">
              <w:rPr>
                <w:rFonts w:cs="Calibri"/>
                <w:iCs/>
                <w:szCs w:val="20"/>
              </w:rPr>
              <w:t>912 (14.0%)</w:t>
            </w:r>
          </w:p>
        </w:tc>
        <w:tc>
          <w:tcPr>
            <w:tcW w:w="636" w:type="pct"/>
            <w:shd w:val="clear" w:color="auto" w:fill="auto"/>
            <w:vAlign w:val="center"/>
          </w:tcPr>
          <w:p w14:paraId="1F4980FE" w14:textId="77777777" w:rsidR="007D1750" w:rsidRPr="009B20C0" w:rsidRDefault="007D1750" w:rsidP="008546F3">
            <w:pPr>
              <w:pStyle w:val="TableText0"/>
              <w:keepNext w:val="0"/>
              <w:jc w:val="center"/>
              <w:rPr>
                <w:rFonts w:cs="Calibri"/>
                <w:iCs/>
                <w:szCs w:val="20"/>
              </w:rPr>
            </w:pPr>
            <w:r w:rsidRPr="009B20C0">
              <w:rPr>
                <w:rFonts w:cs="Calibri"/>
                <w:iCs/>
                <w:szCs w:val="20"/>
              </w:rPr>
              <w:t>448 (6.9%)</w:t>
            </w:r>
          </w:p>
        </w:tc>
        <w:tc>
          <w:tcPr>
            <w:tcW w:w="634" w:type="pct"/>
            <w:shd w:val="clear" w:color="auto" w:fill="auto"/>
            <w:vAlign w:val="center"/>
          </w:tcPr>
          <w:p w14:paraId="61E653A2" w14:textId="77777777" w:rsidR="007D1750" w:rsidRPr="009B20C0" w:rsidRDefault="007D1750" w:rsidP="008546F3">
            <w:pPr>
              <w:pStyle w:val="TableText0"/>
              <w:keepNext w:val="0"/>
              <w:jc w:val="center"/>
              <w:rPr>
                <w:iCs/>
              </w:rPr>
            </w:pPr>
            <w:r w:rsidRPr="009B20C0">
              <w:rPr>
                <w:rFonts w:cs="Calibri"/>
                <w:iCs/>
                <w:szCs w:val="20"/>
              </w:rPr>
              <w:t>32 (9.9%)</w:t>
            </w:r>
          </w:p>
        </w:tc>
        <w:tc>
          <w:tcPr>
            <w:tcW w:w="634" w:type="pct"/>
            <w:shd w:val="clear" w:color="auto" w:fill="auto"/>
            <w:vAlign w:val="center"/>
          </w:tcPr>
          <w:p w14:paraId="5C235301" w14:textId="77777777" w:rsidR="007D1750" w:rsidRPr="009B20C0" w:rsidRDefault="007D1750" w:rsidP="008546F3">
            <w:pPr>
              <w:pStyle w:val="TableText0"/>
              <w:keepNext w:val="0"/>
              <w:jc w:val="center"/>
              <w:rPr>
                <w:iCs/>
              </w:rPr>
            </w:pPr>
            <w:r w:rsidRPr="009B20C0">
              <w:rPr>
                <w:rFonts w:cs="Calibri"/>
                <w:iCs/>
                <w:szCs w:val="20"/>
              </w:rPr>
              <w:t>6 (1.9%)</w:t>
            </w:r>
          </w:p>
        </w:tc>
        <w:tc>
          <w:tcPr>
            <w:tcW w:w="634" w:type="pct"/>
            <w:shd w:val="clear" w:color="auto" w:fill="auto"/>
            <w:vAlign w:val="center"/>
          </w:tcPr>
          <w:p w14:paraId="52342F72" w14:textId="77777777" w:rsidR="007D1750" w:rsidRPr="009B20C0" w:rsidRDefault="007D1750" w:rsidP="008546F3">
            <w:pPr>
              <w:pStyle w:val="TableText0"/>
              <w:keepNext w:val="0"/>
              <w:jc w:val="center"/>
              <w:rPr>
                <w:iCs/>
              </w:rPr>
            </w:pPr>
            <w:r w:rsidRPr="009B20C0">
              <w:rPr>
                <w:rFonts w:cs="Calibri"/>
                <w:iCs/>
                <w:szCs w:val="20"/>
              </w:rPr>
              <w:t>880 (14.2%)</w:t>
            </w:r>
          </w:p>
        </w:tc>
        <w:tc>
          <w:tcPr>
            <w:tcW w:w="630" w:type="pct"/>
            <w:shd w:val="clear" w:color="auto" w:fill="auto"/>
            <w:vAlign w:val="center"/>
          </w:tcPr>
          <w:p w14:paraId="370CF956" w14:textId="77777777" w:rsidR="007D1750" w:rsidRPr="009B20C0" w:rsidRDefault="007D1750" w:rsidP="008546F3">
            <w:pPr>
              <w:pStyle w:val="TableText0"/>
              <w:keepNext w:val="0"/>
              <w:jc w:val="center"/>
              <w:rPr>
                <w:iCs/>
              </w:rPr>
            </w:pPr>
            <w:r w:rsidRPr="009B20C0">
              <w:rPr>
                <w:rFonts w:cs="Calibri"/>
                <w:iCs/>
                <w:szCs w:val="20"/>
              </w:rPr>
              <w:t>442 (7.2%)</w:t>
            </w:r>
          </w:p>
        </w:tc>
      </w:tr>
      <w:tr w:rsidR="007D1750" w:rsidRPr="009B20C0" w14:paraId="602DF9D7" w14:textId="77777777" w:rsidTr="008546F3">
        <w:tc>
          <w:tcPr>
            <w:tcW w:w="1198" w:type="pct"/>
            <w:vAlign w:val="center"/>
          </w:tcPr>
          <w:p w14:paraId="5A7915EB" w14:textId="77777777" w:rsidR="007D1750" w:rsidRPr="009B20C0" w:rsidRDefault="007D1750" w:rsidP="008546F3">
            <w:pPr>
              <w:pStyle w:val="TableText0"/>
              <w:keepNext w:val="0"/>
              <w:tabs>
                <w:tab w:val="right" w:pos="2155"/>
              </w:tabs>
              <w:rPr>
                <w:iCs/>
              </w:rPr>
            </w:pPr>
            <w:r w:rsidRPr="009B20C0">
              <w:rPr>
                <w:rFonts w:cs="Calibri"/>
                <w:iCs/>
                <w:szCs w:val="20"/>
              </w:rPr>
              <w:t>Drug related hyperkalaemia</w:t>
            </w:r>
          </w:p>
        </w:tc>
        <w:tc>
          <w:tcPr>
            <w:tcW w:w="634" w:type="pct"/>
            <w:shd w:val="clear" w:color="auto" w:fill="auto"/>
            <w:vAlign w:val="center"/>
          </w:tcPr>
          <w:p w14:paraId="724AC6BD" w14:textId="77777777" w:rsidR="007D1750" w:rsidRPr="009B20C0" w:rsidRDefault="007D1750" w:rsidP="008546F3">
            <w:pPr>
              <w:pStyle w:val="TableText0"/>
              <w:keepNext w:val="0"/>
              <w:jc w:val="center"/>
              <w:rPr>
                <w:rFonts w:cs="Calibri"/>
                <w:iCs/>
                <w:szCs w:val="20"/>
              </w:rPr>
            </w:pPr>
            <w:r w:rsidRPr="009B20C0">
              <w:rPr>
                <w:rFonts w:cs="Calibri"/>
                <w:iCs/>
                <w:szCs w:val="20"/>
              </w:rPr>
              <w:t>573 (8.8%)</w:t>
            </w:r>
          </w:p>
        </w:tc>
        <w:tc>
          <w:tcPr>
            <w:tcW w:w="636" w:type="pct"/>
            <w:shd w:val="clear" w:color="auto" w:fill="auto"/>
            <w:vAlign w:val="center"/>
          </w:tcPr>
          <w:p w14:paraId="39B72FDB" w14:textId="77777777" w:rsidR="007D1750" w:rsidRPr="009B20C0" w:rsidRDefault="007D1750" w:rsidP="008546F3">
            <w:pPr>
              <w:pStyle w:val="TableText0"/>
              <w:keepNext w:val="0"/>
              <w:jc w:val="center"/>
              <w:rPr>
                <w:rFonts w:cs="Calibri"/>
                <w:iCs/>
                <w:szCs w:val="20"/>
              </w:rPr>
            </w:pPr>
            <w:r w:rsidRPr="009B20C0">
              <w:rPr>
                <w:rFonts w:cs="Calibri"/>
                <w:iCs/>
                <w:szCs w:val="20"/>
              </w:rPr>
              <w:t>249 (3.8%)</w:t>
            </w:r>
          </w:p>
        </w:tc>
        <w:tc>
          <w:tcPr>
            <w:tcW w:w="634" w:type="pct"/>
            <w:shd w:val="clear" w:color="auto" w:fill="auto"/>
            <w:vAlign w:val="center"/>
          </w:tcPr>
          <w:p w14:paraId="43B3AD50" w14:textId="77777777" w:rsidR="007D1750" w:rsidRPr="009B20C0" w:rsidRDefault="007D1750" w:rsidP="008546F3">
            <w:pPr>
              <w:pStyle w:val="TableText0"/>
              <w:keepNext w:val="0"/>
              <w:jc w:val="center"/>
              <w:rPr>
                <w:iCs/>
              </w:rPr>
            </w:pPr>
            <w:r w:rsidRPr="009B20C0">
              <w:rPr>
                <w:rFonts w:cs="Calibri"/>
                <w:iCs/>
                <w:szCs w:val="20"/>
              </w:rPr>
              <w:t>18 (5.6%)</w:t>
            </w:r>
          </w:p>
        </w:tc>
        <w:tc>
          <w:tcPr>
            <w:tcW w:w="634" w:type="pct"/>
            <w:shd w:val="clear" w:color="auto" w:fill="auto"/>
            <w:vAlign w:val="center"/>
          </w:tcPr>
          <w:p w14:paraId="5F0CBE36" w14:textId="77777777" w:rsidR="007D1750" w:rsidRPr="009B20C0" w:rsidRDefault="007D1750" w:rsidP="008546F3">
            <w:pPr>
              <w:pStyle w:val="TableText0"/>
              <w:keepNext w:val="0"/>
              <w:jc w:val="center"/>
              <w:rPr>
                <w:iCs/>
              </w:rPr>
            </w:pPr>
            <w:r w:rsidRPr="009B20C0">
              <w:rPr>
                <w:rFonts w:cs="Calibri"/>
                <w:iCs/>
                <w:szCs w:val="20"/>
              </w:rPr>
              <w:t>3 (0.9%)</w:t>
            </w:r>
          </w:p>
        </w:tc>
        <w:tc>
          <w:tcPr>
            <w:tcW w:w="634" w:type="pct"/>
            <w:shd w:val="clear" w:color="auto" w:fill="auto"/>
            <w:vAlign w:val="center"/>
          </w:tcPr>
          <w:p w14:paraId="06EA09E4" w14:textId="77777777" w:rsidR="007D1750" w:rsidRPr="009B20C0" w:rsidRDefault="007D1750" w:rsidP="008546F3">
            <w:pPr>
              <w:pStyle w:val="TableText0"/>
              <w:keepNext w:val="0"/>
              <w:jc w:val="center"/>
              <w:rPr>
                <w:iCs/>
              </w:rPr>
            </w:pPr>
            <w:r w:rsidRPr="009B20C0">
              <w:rPr>
                <w:rFonts w:cs="Calibri"/>
                <w:iCs/>
                <w:szCs w:val="20"/>
              </w:rPr>
              <w:t>555 (9.0%)</w:t>
            </w:r>
          </w:p>
        </w:tc>
        <w:tc>
          <w:tcPr>
            <w:tcW w:w="630" w:type="pct"/>
            <w:shd w:val="clear" w:color="auto" w:fill="auto"/>
            <w:vAlign w:val="center"/>
          </w:tcPr>
          <w:p w14:paraId="5B8A355C" w14:textId="77777777" w:rsidR="007D1750" w:rsidRPr="009B20C0" w:rsidRDefault="007D1750" w:rsidP="008546F3">
            <w:pPr>
              <w:pStyle w:val="TableText0"/>
              <w:keepNext w:val="0"/>
              <w:jc w:val="center"/>
              <w:rPr>
                <w:iCs/>
              </w:rPr>
            </w:pPr>
            <w:r w:rsidRPr="009B20C0">
              <w:rPr>
                <w:rFonts w:cs="Calibri"/>
                <w:iCs/>
                <w:szCs w:val="20"/>
              </w:rPr>
              <w:t>246 (4.0%)</w:t>
            </w:r>
          </w:p>
        </w:tc>
      </w:tr>
      <w:tr w:rsidR="007D1750" w:rsidRPr="009B20C0" w14:paraId="044D6057" w14:textId="77777777" w:rsidTr="008546F3">
        <w:tc>
          <w:tcPr>
            <w:tcW w:w="1198" w:type="pct"/>
            <w:vAlign w:val="center"/>
          </w:tcPr>
          <w:p w14:paraId="5ED68AC4" w14:textId="77777777" w:rsidR="007D1750" w:rsidRPr="009B20C0" w:rsidRDefault="007D1750" w:rsidP="008546F3">
            <w:pPr>
              <w:pStyle w:val="TableText0"/>
              <w:keepNext w:val="0"/>
              <w:tabs>
                <w:tab w:val="right" w:pos="2155"/>
              </w:tabs>
              <w:rPr>
                <w:iCs/>
              </w:rPr>
            </w:pPr>
            <w:r w:rsidRPr="009B20C0">
              <w:rPr>
                <w:rFonts w:cs="Calibri"/>
                <w:iCs/>
                <w:szCs w:val="20"/>
              </w:rPr>
              <w:t>Permanent discontinuation due to hyperkalaemia</w:t>
            </w:r>
          </w:p>
        </w:tc>
        <w:tc>
          <w:tcPr>
            <w:tcW w:w="634" w:type="pct"/>
            <w:shd w:val="clear" w:color="auto" w:fill="auto"/>
            <w:vAlign w:val="center"/>
          </w:tcPr>
          <w:p w14:paraId="67965CFD" w14:textId="77777777" w:rsidR="007D1750" w:rsidRPr="009B20C0" w:rsidRDefault="007D1750" w:rsidP="008546F3">
            <w:pPr>
              <w:pStyle w:val="TableText0"/>
              <w:keepNext w:val="0"/>
              <w:jc w:val="center"/>
              <w:rPr>
                <w:rFonts w:cs="Calibri"/>
                <w:iCs/>
                <w:szCs w:val="20"/>
              </w:rPr>
            </w:pPr>
            <w:r w:rsidRPr="009B20C0">
              <w:rPr>
                <w:rFonts w:cs="Calibri"/>
                <w:iCs/>
                <w:szCs w:val="20"/>
              </w:rPr>
              <w:t>110 (1.7%)</w:t>
            </w:r>
          </w:p>
        </w:tc>
        <w:tc>
          <w:tcPr>
            <w:tcW w:w="636" w:type="pct"/>
            <w:shd w:val="clear" w:color="auto" w:fill="auto"/>
            <w:vAlign w:val="center"/>
          </w:tcPr>
          <w:p w14:paraId="0E7A434F" w14:textId="77777777" w:rsidR="007D1750" w:rsidRPr="009B20C0" w:rsidRDefault="007D1750" w:rsidP="008546F3">
            <w:pPr>
              <w:pStyle w:val="TableText0"/>
              <w:keepNext w:val="0"/>
              <w:jc w:val="center"/>
              <w:rPr>
                <w:rFonts w:cs="Calibri"/>
                <w:iCs/>
                <w:szCs w:val="20"/>
              </w:rPr>
            </w:pPr>
            <w:r w:rsidRPr="009B20C0">
              <w:rPr>
                <w:rFonts w:cs="Calibri"/>
                <w:iCs/>
                <w:szCs w:val="20"/>
              </w:rPr>
              <w:t>38 (0.6%)</w:t>
            </w:r>
          </w:p>
        </w:tc>
        <w:tc>
          <w:tcPr>
            <w:tcW w:w="634" w:type="pct"/>
            <w:shd w:val="clear" w:color="auto" w:fill="auto"/>
            <w:vAlign w:val="center"/>
          </w:tcPr>
          <w:p w14:paraId="0374E8AC" w14:textId="77777777" w:rsidR="007D1750" w:rsidRPr="009B20C0" w:rsidRDefault="007D1750" w:rsidP="008546F3">
            <w:pPr>
              <w:pStyle w:val="TableText0"/>
              <w:keepNext w:val="0"/>
              <w:jc w:val="center"/>
              <w:rPr>
                <w:iCs/>
              </w:rPr>
            </w:pPr>
            <w:r w:rsidRPr="009B20C0">
              <w:rPr>
                <w:rFonts w:cs="Calibri"/>
                <w:iCs/>
                <w:szCs w:val="20"/>
              </w:rPr>
              <w:t>3 (0.9%)</w:t>
            </w:r>
          </w:p>
        </w:tc>
        <w:tc>
          <w:tcPr>
            <w:tcW w:w="634" w:type="pct"/>
            <w:shd w:val="clear" w:color="auto" w:fill="auto"/>
            <w:vAlign w:val="center"/>
          </w:tcPr>
          <w:p w14:paraId="370EC016" w14:textId="77777777" w:rsidR="007D1750" w:rsidRPr="009B20C0" w:rsidRDefault="007D1750" w:rsidP="008546F3">
            <w:pPr>
              <w:pStyle w:val="TableText0"/>
              <w:keepNext w:val="0"/>
              <w:jc w:val="center"/>
              <w:rPr>
                <w:iCs/>
              </w:rPr>
            </w:pPr>
            <w:r w:rsidRPr="009B20C0">
              <w:rPr>
                <w:rFonts w:cs="Calibri"/>
                <w:iCs/>
                <w:szCs w:val="20"/>
              </w:rPr>
              <w:t>2 (0.6%)</w:t>
            </w:r>
          </w:p>
        </w:tc>
        <w:tc>
          <w:tcPr>
            <w:tcW w:w="634" w:type="pct"/>
            <w:shd w:val="clear" w:color="auto" w:fill="auto"/>
            <w:vAlign w:val="center"/>
          </w:tcPr>
          <w:p w14:paraId="4BEBEF46" w14:textId="77777777" w:rsidR="007D1750" w:rsidRPr="009B20C0" w:rsidRDefault="007D1750" w:rsidP="008546F3">
            <w:pPr>
              <w:pStyle w:val="TableText0"/>
              <w:keepNext w:val="0"/>
              <w:jc w:val="center"/>
              <w:rPr>
                <w:iCs/>
              </w:rPr>
            </w:pPr>
            <w:r w:rsidRPr="009B20C0">
              <w:rPr>
                <w:rFonts w:cs="Calibri"/>
                <w:iCs/>
                <w:szCs w:val="20"/>
              </w:rPr>
              <w:t>107 (1.7%)</w:t>
            </w:r>
          </w:p>
        </w:tc>
        <w:tc>
          <w:tcPr>
            <w:tcW w:w="630" w:type="pct"/>
            <w:shd w:val="clear" w:color="auto" w:fill="auto"/>
            <w:vAlign w:val="center"/>
          </w:tcPr>
          <w:p w14:paraId="35471DC2" w14:textId="77777777" w:rsidR="007D1750" w:rsidRPr="009B20C0" w:rsidRDefault="007D1750" w:rsidP="008546F3">
            <w:pPr>
              <w:pStyle w:val="TableText0"/>
              <w:keepNext w:val="0"/>
              <w:jc w:val="center"/>
              <w:rPr>
                <w:iCs/>
              </w:rPr>
            </w:pPr>
            <w:r w:rsidRPr="009B20C0">
              <w:rPr>
                <w:rFonts w:cs="Calibri"/>
                <w:iCs/>
                <w:szCs w:val="20"/>
              </w:rPr>
              <w:t>36 (0.6%)</w:t>
            </w:r>
          </w:p>
        </w:tc>
      </w:tr>
      <w:bookmarkEnd w:id="25"/>
      <w:tr w:rsidR="007D1750" w:rsidRPr="009B20C0" w14:paraId="4CD860C1" w14:textId="77777777" w:rsidTr="008546F3">
        <w:tc>
          <w:tcPr>
            <w:tcW w:w="1198" w:type="pct"/>
            <w:vAlign w:val="center"/>
          </w:tcPr>
          <w:p w14:paraId="27759A50" w14:textId="77777777" w:rsidR="007D1750" w:rsidRPr="009B20C0" w:rsidRDefault="007D1750" w:rsidP="008546F3">
            <w:pPr>
              <w:pStyle w:val="TableText0"/>
              <w:keepNext w:val="0"/>
              <w:tabs>
                <w:tab w:val="right" w:pos="2155"/>
              </w:tabs>
              <w:rPr>
                <w:iCs/>
              </w:rPr>
            </w:pPr>
            <w:r w:rsidRPr="009B20C0">
              <w:rPr>
                <w:rFonts w:cs="Calibri"/>
                <w:iCs/>
                <w:szCs w:val="20"/>
              </w:rPr>
              <w:t>Serious hyperkalaemia</w:t>
            </w:r>
          </w:p>
        </w:tc>
        <w:tc>
          <w:tcPr>
            <w:tcW w:w="634" w:type="pct"/>
            <w:shd w:val="clear" w:color="auto" w:fill="auto"/>
            <w:vAlign w:val="center"/>
          </w:tcPr>
          <w:p w14:paraId="65ADA515" w14:textId="77777777" w:rsidR="007D1750" w:rsidRPr="009B20C0" w:rsidRDefault="007D1750" w:rsidP="008546F3">
            <w:pPr>
              <w:pStyle w:val="TableText0"/>
              <w:keepNext w:val="0"/>
              <w:jc w:val="center"/>
              <w:rPr>
                <w:rFonts w:cs="Calibri"/>
                <w:iCs/>
                <w:szCs w:val="20"/>
              </w:rPr>
            </w:pPr>
            <w:r w:rsidRPr="009B20C0">
              <w:rPr>
                <w:rFonts w:cs="Calibri"/>
                <w:iCs/>
                <w:szCs w:val="20"/>
              </w:rPr>
              <w:t>69 (1.1%)</w:t>
            </w:r>
          </w:p>
        </w:tc>
        <w:tc>
          <w:tcPr>
            <w:tcW w:w="636" w:type="pct"/>
            <w:shd w:val="clear" w:color="auto" w:fill="auto"/>
            <w:vAlign w:val="center"/>
          </w:tcPr>
          <w:p w14:paraId="51A31568" w14:textId="77777777" w:rsidR="007D1750" w:rsidRPr="009B20C0" w:rsidRDefault="007D1750" w:rsidP="008546F3">
            <w:pPr>
              <w:pStyle w:val="TableText0"/>
              <w:keepNext w:val="0"/>
              <w:jc w:val="center"/>
              <w:rPr>
                <w:rFonts w:cs="Calibri"/>
                <w:iCs/>
                <w:szCs w:val="20"/>
              </w:rPr>
            </w:pPr>
            <w:r w:rsidRPr="009B20C0">
              <w:rPr>
                <w:rFonts w:cs="Calibri"/>
                <w:iCs/>
                <w:szCs w:val="20"/>
              </w:rPr>
              <w:t>16 (0.2%)</w:t>
            </w:r>
          </w:p>
        </w:tc>
        <w:tc>
          <w:tcPr>
            <w:tcW w:w="634" w:type="pct"/>
            <w:shd w:val="clear" w:color="auto" w:fill="auto"/>
            <w:vAlign w:val="center"/>
          </w:tcPr>
          <w:p w14:paraId="78791D81" w14:textId="77777777" w:rsidR="007D1750" w:rsidRPr="009B20C0" w:rsidRDefault="007D1750" w:rsidP="008546F3">
            <w:pPr>
              <w:pStyle w:val="TableText0"/>
              <w:keepNext w:val="0"/>
              <w:jc w:val="center"/>
              <w:rPr>
                <w:iCs/>
              </w:rPr>
            </w:pPr>
            <w:r w:rsidRPr="009B20C0">
              <w:rPr>
                <w:rFonts w:cs="Calibri"/>
                <w:iCs/>
                <w:szCs w:val="20"/>
              </w:rPr>
              <w:t>1 (0.3%)</w:t>
            </w:r>
          </w:p>
        </w:tc>
        <w:tc>
          <w:tcPr>
            <w:tcW w:w="634" w:type="pct"/>
            <w:shd w:val="clear" w:color="auto" w:fill="auto"/>
            <w:vAlign w:val="center"/>
          </w:tcPr>
          <w:p w14:paraId="596DDF30" w14:textId="77777777" w:rsidR="007D1750" w:rsidRPr="009B20C0" w:rsidRDefault="007D1750" w:rsidP="008546F3">
            <w:pPr>
              <w:pStyle w:val="TableText0"/>
              <w:keepNext w:val="0"/>
              <w:jc w:val="center"/>
              <w:rPr>
                <w:iCs/>
              </w:rPr>
            </w:pPr>
            <w:r w:rsidRPr="009B20C0">
              <w:rPr>
                <w:rFonts w:cs="Calibri"/>
                <w:iCs/>
                <w:szCs w:val="20"/>
              </w:rPr>
              <w:t xml:space="preserve">0 </w:t>
            </w:r>
          </w:p>
        </w:tc>
        <w:tc>
          <w:tcPr>
            <w:tcW w:w="634" w:type="pct"/>
            <w:shd w:val="clear" w:color="auto" w:fill="auto"/>
            <w:vAlign w:val="center"/>
          </w:tcPr>
          <w:p w14:paraId="6718220E" w14:textId="77777777" w:rsidR="007D1750" w:rsidRPr="009B20C0" w:rsidRDefault="007D1750" w:rsidP="008546F3">
            <w:pPr>
              <w:pStyle w:val="TableText0"/>
              <w:keepNext w:val="0"/>
              <w:jc w:val="center"/>
              <w:rPr>
                <w:iCs/>
              </w:rPr>
            </w:pPr>
            <w:r w:rsidRPr="009B20C0">
              <w:rPr>
                <w:rFonts w:cs="Calibri"/>
                <w:iCs/>
                <w:szCs w:val="20"/>
              </w:rPr>
              <w:t>68 (1.1%)</w:t>
            </w:r>
          </w:p>
        </w:tc>
        <w:tc>
          <w:tcPr>
            <w:tcW w:w="630" w:type="pct"/>
            <w:shd w:val="clear" w:color="auto" w:fill="auto"/>
            <w:vAlign w:val="center"/>
          </w:tcPr>
          <w:p w14:paraId="23DF6953" w14:textId="77777777" w:rsidR="007D1750" w:rsidRPr="009B20C0" w:rsidRDefault="007D1750" w:rsidP="008546F3">
            <w:pPr>
              <w:pStyle w:val="TableText0"/>
              <w:keepNext w:val="0"/>
              <w:jc w:val="center"/>
              <w:rPr>
                <w:iCs/>
              </w:rPr>
            </w:pPr>
            <w:r w:rsidRPr="009B20C0">
              <w:rPr>
                <w:rFonts w:cs="Calibri"/>
                <w:iCs/>
                <w:szCs w:val="20"/>
              </w:rPr>
              <w:t>16 (0.3%)</w:t>
            </w:r>
          </w:p>
        </w:tc>
      </w:tr>
      <w:tr w:rsidR="007D1750" w:rsidRPr="009B20C0" w14:paraId="232A5495" w14:textId="77777777" w:rsidTr="008546F3">
        <w:tc>
          <w:tcPr>
            <w:tcW w:w="1198" w:type="pct"/>
            <w:vAlign w:val="center"/>
          </w:tcPr>
          <w:p w14:paraId="2404B085" w14:textId="77777777" w:rsidR="007D1750" w:rsidRPr="009B20C0" w:rsidRDefault="007D1750" w:rsidP="008546F3">
            <w:pPr>
              <w:pStyle w:val="TableText0"/>
              <w:keepNext w:val="0"/>
              <w:tabs>
                <w:tab w:val="right" w:pos="2155"/>
              </w:tabs>
              <w:rPr>
                <w:iCs/>
              </w:rPr>
            </w:pPr>
            <w:r w:rsidRPr="009B20C0">
              <w:rPr>
                <w:rFonts w:cs="Calibri"/>
                <w:iCs/>
                <w:szCs w:val="20"/>
              </w:rPr>
              <w:t>Drug-related serious hyperkalaemia</w:t>
            </w:r>
          </w:p>
        </w:tc>
        <w:tc>
          <w:tcPr>
            <w:tcW w:w="634" w:type="pct"/>
            <w:shd w:val="clear" w:color="auto" w:fill="auto"/>
            <w:vAlign w:val="center"/>
          </w:tcPr>
          <w:p w14:paraId="62F4A113" w14:textId="77777777" w:rsidR="007D1750" w:rsidRPr="009B20C0" w:rsidRDefault="007D1750" w:rsidP="008546F3">
            <w:pPr>
              <w:pStyle w:val="TableText0"/>
              <w:keepNext w:val="0"/>
              <w:jc w:val="center"/>
              <w:rPr>
                <w:rFonts w:cs="Calibri"/>
                <w:iCs/>
                <w:szCs w:val="20"/>
              </w:rPr>
            </w:pPr>
            <w:r w:rsidRPr="009B20C0">
              <w:rPr>
                <w:rFonts w:cs="Calibri"/>
                <w:iCs/>
                <w:szCs w:val="20"/>
              </w:rPr>
              <w:t>43 (0.7%)</w:t>
            </w:r>
          </w:p>
        </w:tc>
        <w:tc>
          <w:tcPr>
            <w:tcW w:w="636" w:type="pct"/>
            <w:shd w:val="clear" w:color="auto" w:fill="auto"/>
            <w:vAlign w:val="center"/>
          </w:tcPr>
          <w:p w14:paraId="5DD45009" w14:textId="77777777" w:rsidR="007D1750" w:rsidRPr="009B20C0" w:rsidRDefault="007D1750" w:rsidP="008546F3">
            <w:pPr>
              <w:pStyle w:val="TableText0"/>
              <w:keepNext w:val="0"/>
              <w:jc w:val="center"/>
              <w:rPr>
                <w:rFonts w:cs="Calibri"/>
                <w:iCs/>
                <w:szCs w:val="20"/>
              </w:rPr>
            </w:pPr>
            <w:r w:rsidRPr="009B20C0">
              <w:rPr>
                <w:rFonts w:cs="Calibri"/>
                <w:iCs/>
                <w:szCs w:val="20"/>
              </w:rPr>
              <w:t>8 (0.1%)</w:t>
            </w:r>
          </w:p>
        </w:tc>
        <w:tc>
          <w:tcPr>
            <w:tcW w:w="634" w:type="pct"/>
            <w:shd w:val="clear" w:color="auto" w:fill="auto"/>
            <w:vAlign w:val="center"/>
          </w:tcPr>
          <w:p w14:paraId="350F45F5" w14:textId="77777777" w:rsidR="007D1750" w:rsidRPr="009B20C0" w:rsidRDefault="007D1750" w:rsidP="008546F3">
            <w:pPr>
              <w:pStyle w:val="TableText0"/>
              <w:keepNext w:val="0"/>
              <w:jc w:val="center"/>
              <w:rPr>
                <w:iCs/>
              </w:rPr>
            </w:pPr>
            <w:r w:rsidRPr="009B20C0">
              <w:rPr>
                <w:rFonts w:cs="Calibri"/>
                <w:iCs/>
                <w:szCs w:val="20"/>
              </w:rPr>
              <w:t>1 (0.3%)</w:t>
            </w:r>
          </w:p>
        </w:tc>
        <w:tc>
          <w:tcPr>
            <w:tcW w:w="634" w:type="pct"/>
            <w:shd w:val="clear" w:color="auto" w:fill="auto"/>
            <w:vAlign w:val="center"/>
          </w:tcPr>
          <w:p w14:paraId="25FB95EE" w14:textId="77777777" w:rsidR="007D1750" w:rsidRPr="009B20C0" w:rsidRDefault="007D1750" w:rsidP="008546F3">
            <w:pPr>
              <w:pStyle w:val="TableText0"/>
              <w:keepNext w:val="0"/>
              <w:jc w:val="center"/>
              <w:rPr>
                <w:iCs/>
              </w:rPr>
            </w:pPr>
            <w:r w:rsidRPr="009B20C0">
              <w:rPr>
                <w:rFonts w:cs="Calibri"/>
                <w:iCs/>
                <w:szCs w:val="20"/>
              </w:rPr>
              <w:t xml:space="preserve">0 </w:t>
            </w:r>
          </w:p>
        </w:tc>
        <w:tc>
          <w:tcPr>
            <w:tcW w:w="634" w:type="pct"/>
            <w:shd w:val="clear" w:color="auto" w:fill="auto"/>
            <w:vAlign w:val="center"/>
          </w:tcPr>
          <w:p w14:paraId="3FB3A1B4" w14:textId="77777777" w:rsidR="007D1750" w:rsidRPr="009B20C0" w:rsidRDefault="007D1750" w:rsidP="008546F3">
            <w:pPr>
              <w:pStyle w:val="TableText0"/>
              <w:keepNext w:val="0"/>
              <w:jc w:val="center"/>
              <w:rPr>
                <w:iCs/>
              </w:rPr>
            </w:pPr>
            <w:r w:rsidRPr="009B20C0">
              <w:rPr>
                <w:rFonts w:cs="Calibri"/>
                <w:iCs/>
                <w:szCs w:val="20"/>
              </w:rPr>
              <w:t>42 (0.7%)</w:t>
            </w:r>
          </w:p>
        </w:tc>
        <w:tc>
          <w:tcPr>
            <w:tcW w:w="630" w:type="pct"/>
            <w:shd w:val="clear" w:color="auto" w:fill="auto"/>
            <w:vAlign w:val="center"/>
          </w:tcPr>
          <w:p w14:paraId="694F52DA" w14:textId="77777777" w:rsidR="007D1750" w:rsidRPr="009B20C0" w:rsidRDefault="007D1750" w:rsidP="008546F3">
            <w:pPr>
              <w:pStyle w:val="TableText0"/>
              <w:keepNext w:val="0"/>
              <w:jc w:val="center"/>
              <w:rPr>
                <w:iCs/>
              </w:rPr>
            </w:pPr>
            <w:r w:rsidRPr="009B20C0">
              <w:rPr>
                <w:rFonts w:cs="Calibri"/>
                <w:iCs/>
                <w:szCs w:val="20"/>
              </w:rPr>
              <w:t>8 (0.1%)</w:t>
            </w:r>
          </w:p>
        </w:tc>
      </w:tr>
      <w:tr w:rsidR="007D1750" w:rsidRPr="009B20C0" w14:paraId="5A545DFE" w14:textId="77777777" w:rsidTr="008546F3">
        <w:tc>
          <w:tcPr>
            <w:tcW w:w="1198" w:type="pct"/>
            <w:vAlign w:val="center"/>
          </w:tcPr>
          <w:p w14:paraId="29FB945F" w14:textId="77777777" w:rsidR="007D1750" w:rsidRPr="009B20C0" w:rsidRDefault="007D1750" w:rsidP="008546F3">
            <w:pPr>
              <w:pStyle w:val="TableText0"/>
              <w:keepNext w:val="0"/>
              <w:tabs>
                <w:tab w:val="right" w:pos="2155"/>
              </w:tabs>
              <w:rPr>
                <w:iCs/>
              </w:rPr>
            </w:pPr>
            <w:r w:rsidRPr="009B20C0">
              <w:rPr>
                <w:rFonts w:cs="Calibri"/>
                <w:iCs/>
                <w:szCs w:val="20"/>
              </w:rPr>
              <w:t>Serious hyperkalaemia leading to discontinuation</w:t>
            </w:r>
          </w:p>
        </w:tc>
        <w:tc>
          <w:tcPr>
            <w:tcW w:w="634" w:type="pct"/>
            <w:shd w:val="clear" w:color="auto" w:fill="auto"/>
            <w:vAlign w:val="center"/>
          </w:tcPr>
          <w:p w14:paraId="3377DBDA" w14:textId="77777777" w:rsidR="007D1750" w:rsidRPr="009B20C0" w:rsidRDefault="007D1750" w:rsidP="008546F3">
            <w:pPr>
              <w:pStyle w:val="TableText0"/>
              <w:keepNext w:val="0"/>
              <w:jc w:val="center"/>
              <w:rPr>
                <w:rFonts w:cs="Calibri"/>
                <w:iCs/>
                <w:szCs w:val="20"/>
              </w:rPr>
            </w:pPr>
            <w:r w:rsidRPr="009B20C0">
              <w:rPr>
                <w:rFonts w:cs="Calibri"/>
                <w:iCs/>
                <w:szCs w:val="20"/>
              </w:rPr>
              <w:t>NR</w:t>
            </w:r>
          </w:p>
        </w:tc>
        <w:tc>
          <w:tcPr>
            <w:tcW w:w="636" w:type="pct"/>
            <w:shd w:val="clear" w:color="auto" w:fill="auto"/>
            <w:vAlign w:val="center"/>
          </w:tcPr>
          <w:p w14:paraId="1839FDC9" w14:textId="77777777" w:rsidR="007D1750" w:rsidRPr="009B20C0" w:rsidRDefault="007D1750" w:rsidP="008546F3">
            <w:pPr>
              <w:pStyle w:val="TableText0"/>
              <w:keepNext w:val="0"/>
              <w:jc w:val="center"/>
              <w:rPr>
                <w:rFonts w:cs="Calibri"/>
                <w:iCs/>
                <w:szCs w:val="20"/>
              </w:rPr>
            </w:pPr>
            <w:r w:rsidRPr="009B20C0">
              <w:rPr>
                <w:rFonts w:cs="Calibri"/>
                <w:iCs/>
                <w:szCs w:val="20"/>
              </w:rPr>
              <w:t>NR</w:t>
            </w:r>
          </w:p>
        </w:tc>
        <w:tc>
          <w:tcPr>
            <w:tcW w:w="634" w:type="pct"/>
            <w:shd w:val="clear" w:color="auto" w:fill="auto"/>
            <w:vAlign w:val="center"/>
          </w:tcPr>
          <w:p w14:paraId="03C9B55B" w14:textId="77777777" w:rsidR="007D1750" w:rsidRPr="009B20C0" w:rsidRDefault="007D1750" w:rsidP="008546F3">
            <w:pPr>
              <w:pStyle w:val="TableText0"/>
              <w:keepNext w:val="0"/>
              <w:jc w:val="center"/>
              <w:rPr>
                <w:iCs/>
              </w:rPr>
            </w:pPr>
            <w:r w:rsidRPr="009B20C0">
              <w:rPr>
                <w:rFonts w:cs="Calibri"/>
                <w:iCs/>
                <w:szCs w:val="20"/>
              </w:rPr>
              <w:t>1 (0.3%)</w:t>
            </w:r>
          </w:p>
        </w:tc>
        <w:tc>
          <w:tcPr>
            <w:tcW w:w="634" w:type="pct"/>
            <w:shd w:val="clear" w:color="auto" w:fill="auto"/>
            <w:vAlign w:val="center"/>
          </w:tcPr>
          <w:p w14:paraId="6C3F1369" w14:textId="77777777" w:rsidR="007D1750" w:rsidRPr="009B20C0" w:rsidRDefault="007D1750" w:rsidP="008546F3">
            <w:pPr>
              <w:pStyle w:val="TableText0"/>
              <w:keepNext w:val="0"/>
              <w:jc w:val="center"/>
              <w:rPr>
                <w:iCs/>
              </w:rPr>
            </w:pPr>
            <w:r w:rsidRPr="009B20C0">
              <w:rPr>
                <w:rFonts w:cs="Calibri"/>
                <w:iCs/>
                <w:szCs w:val="20"/>
              </w:rPr>
              <w:t>0</w:t>
            </w:r>
          </w:p>
        </w:tc>
        <w:tc>
          <w:tcPr>
            <w:tcW w:w="634" w:type="pct"/>
            <w:shd w:val="clear" w:color="auto" w:fill="auto"/>
            <w:vAlign w:val="center"/>
          </w:tcPr>
          <w:p w14:paraId="4AD89B8E" w14:textId="77777777" w:rsidR="007D1750" w:rsidRPr="009B20C0" w:rsidRDefault="007D1750" w:rsidP="008546F3">
            <w:pPr>
              <w:pStyle w:val="TableText0"/>
              <w:keepNext w:val="0"/>
              <w:jc w:val="center"/>
              <w:rPr>
                <w:iCs/>
              </w:rPr>
            </w:pPr>
            <w:r w:rsidRPr="009B20C0">
              <w:rPr>
                <w:rFonts w:cs="Calibri"/>
                <w:iCs/>
                <w:szCs w:val="20"/>
              </w:rPr>
              <w:t>9 (0.1%)</w:t>
            </w:r>
          </w:p>
        </w:tc>
        <w:tc>
          <w:tcPr>
            <w:tcW w:w="630" w:type="pct"/>
            <w:shd w:val="clear" w:color="auto" w:fill="auto"/>
            <w:vAlign w:val="center"/>
          </w:tcPr>
          <w:p w14:paraId="72D46C87" w14:textId="77777777" w:rsidR="007D1750" w:rsidRPr="009B20C0" w:rsidRDefault="007D1750" w:rsidP="008546F3">
            <w:pPr>
              <w:pStyle w:val="TableText0"/>
              <w:keepNext w:val="0"/>
              <w:jc w:val="center"/>
              <w:rPr>
                <w:iCs/>
              </w:rPr>
            </w:pPr>
            <w:r w:rsidRPr="009B20C0">
              <w:rPr>
                <w:rFonts w:cs="Calibri"/>
                <w:iCs/>
                <w:szCs w:val="20"/>
              </w:rPr>
              <w:t>2 (&lt;0.1%)</w:t>
            </w:r>
          </w:p>
        </w:tc>
      </w:tr>
      <w:tr w:rsidR="007D1750" w:rsidRPr="009B20C0" w14:paraId="2C4F48D6" w14:textId="77777777" w:rsidTr="008546F3">
        <w:tc>
          <w:tcPr>
            <w:tcW w:w="1198" w:type="pct"/>
            <w:vAlign w:val="center"/>
          </w:tcPr>
          <w:p w14:paraId="71A6C94A" w14:textId="77777777" w:rsidR="007D1750" w:rsidRPr="009B20C0" w:rsidRDefault="007D1750" w:rsidP="008546F3">
            <w:pPr>
              <w:pStyle w:val="TableText0"/>
              <w:keepNext w:val="0"/>
              <w:tabs>
                <w:tab w:val="right" w:pos="2155"/>
              </w:tabs>
              <w:rPr>
                <w:iCs/>
              </w:rPr>
            </w:pPr>
            <w:r w:rsidRPr="009B20C0">
              <w:rPr>
                <w:rFonts w:cs="Calibri"/>
                <w:iCs/>
                <w:szCs w:val="20"/>
              </w:rPr>
              <w:t>Serious hyperkalaemia leading to hospitalisation</w:t>
            </w:r>
          </w:p>
        </w:tc>
        <w:tc>
          <w:tcPr>
            <w:tcW w:w="634" w:type="pct"/>
            <w:shd w:val="clear" w:color="auto" w:fill="auto"/>
            <w:vAlign w:val="center"/>
          </w:tcPr>
          <w:p w14:paraId="26850AEE" w14:textId="77777777" w:rsidR="007D1750" w:rsidRPr="009B20C0" w:rsidRDefault="007D1750" w:rsidP="008546F3">
            <w:pPr>
              <w:pStyle w:val="TableText0"/>
              <w:keepNext w:val="0"/>
              <w:jc w:val="center"/>
              <w:rPr>
                <w:rFonts w:cs="Calibri"/>
                <w:iCs/>
                <w:szCs w:val="20"/>
              </w:rPr>
            </w:pPr>
            <w:r w:rsidRPr="009B20C0">
              <w:rPr>
                <w:rFonts w:cs="Calibri"/>
                <w:iCs/>
                <w:szCs w:val="20"/>
              </w:rPr>
              <w:t>61 (0.9%)</w:t>
            </w:r>
          </w:p>
        </w:tc>
        <w:tc>
          <w:tcPr>
            <w:tcW w:w="636" w:type="pct"/>
            <w:shd w:val="clear" w:color="auto" w:fill="auto"/>
            <w:vAlign w:val="center"/>
          </w:tcPr>
          <w:p w14:paraId="5901076E" w14:textId="77777777" w:rsidR="007D1750" w:rsidRPr="009B20C0" w:rsidRDefault="007D1750" w:rsidP="008546F3">
            <w:pPr>
              <w:pStyle w:val="TableText0"/>
              <w:keepNext w:val="0"/>
              <w:jc w:val="center"/>
              <w:rPr>
                <w:rFonts w:cs="Calibri"/>
                <w:iCs/>
                <w:szCs w:val="20"/>
              </w:rPr>
            </w:pPr>
            <w:r w:rsidRPr="009B20C0">
              <w:rPr>
                <w:rFonts w:cs="Calibri"/>
                <w:iCs/>
                <w:szCs w:val="20"/>
              </w:rPr>
              <w:t>10 (0.2%)</w:t>
            </w:r>
          </w:p>
        </w:tc>
        <w:tc>
          <w:tcPr>
            <w:tcW w:w="634" w:type="pct"/>
            <w:shd w:val="clear" w:color="auto" w:fill="auto"/>
            <w:vAlign w:val="center"/>
          </w:tcPr>
          <w:p w14:paraId="1786DEEE" w14:textId="77777777" w:rsidR="007D1750" w:rsidRPr="009B20C0" w:rsidRDefault="007D1750" w:rsidP="008546F3">
            <w:pPr>
              <w:pStyle w:val="TableText0"/>
              <w:keepNext w:val="0"/>
              <w:jc w:val="center"/>
              <w:rPr>
                <w:iCs/>
              </w:rPr>
            </w:pPr>
            <w:r w:rsidRPr="009B20C0">
              <w:rPr>
                <w:rFonts w:cs="Calibri"/>
                <w:iCs/>
                <w:szCs w:val="20"/>
              </w:rPr>
              <w:t>1 (0.3%)</w:t>
            </w:r>
          </w:p>
        </w:tc>
        <w:tc>
          <w:tcPr>
            <w:tcW w:w="634" w:type="pct"/>
            <w:shd w:val="clear" w:color="auto" w:fill="auto"/>
            <w:vAlign w:val="center"/>
          </w:tcPr>
          <w:p w14:paraId="2C230D61" w14:textId="77777777" w:rsidR="007D1750" w:rsidRPr="009B20C0" w:rsidRDefault="007D1750" w:rsidP="008546F3">
            <w:pPr>
              <w:pStyle w:val="TableText0"/>
              <w:keepNext w:val="0"/>
              <w:jc w:val="center"/>
              <w:rPr>
                <w:iCs/>
              </w:rPr>
            </w:pPr>
            <w:r w:rsidRPr="009B20C0">
              <w:rPr>
                <w:rFonts w:cs="Calibri"/>
                <w:iCs/>
                <w:szCs w:val="20"/>
              </w:rPr>
              <w:t>0</w:t>
            </w:r>
          </w:p>
        </w:tc>
        <w:tc>
          <w:tcPr>
            <w:tcW w:w="634" w:type="pct"/>
            <w:shd w:val="clear" w:color="auto" w:fill="auto"/>
            <w:vAlign w:val="center"/>
          </w:tcPr>
          <w:p w14:paraId="57C50F90" w14:textId="77777777" w:rsidR="007D1750" w:rsidRPr="009B20C0" w:rsidRDefault="007D1750" w:rsidP="008546F3">
            <w:pPr>
              <w:pStyle w:val="TableText0"/>
              <w:keepNext w:val="0"/>
              <w:jc w:val="center"/>
              <w:rPr>
                <w:iCs/>
              </w:rPr>
            </w:pPr>
            <w:r w:rsidRPr="009B20C0">
              <w:rPr>
                <w:rFonts w:cs="Calibri"/>
                <w:iCs/>
                <w:szCs w:val="20"/>
              </w:rPr>
              <w:t>60 (1.0%)</w:t>
            </w:r>
          </w:p>
        </w:tc>
        <w:tc>
          <w:tcPr>
            <w:tcW w:w="630" w:type="pct"/>
            <w:shd w:val="clear" w:color="auto" w:fill="auto"/>
            <w:vAlign w:val="center"/>
          </w:tcPr>
          <w:p w14:paraId="3DF2F289" w14:textId="77777777" w:rsidR="007D1750" w:rsidRPr="009B20C0" w:rsidRDefault="007D1750" w:rsidP="008546F3">
            <w:pPr>
              <w:pStyle w:val="TableText0"/>
              <w:keepNext w:val="0"/>
              <w:jc w:val="center"/>
              <w:rPr>
                <w:iCs/>
              </w:rPr>
            </w:pPr>
            <w:r w:rsidRPr="009B20C0">
              <w:rPr>
                <w:rFonts w:cs="Calibri"/>
                <w:iCs/>
                <w:szCs w:val="20"/>
              </w:rPr>
              <w:t>10 (0.2%)</w:t>
            </w:r>
          </w:p>
        </w:tc>
      </w:tr>
      <w:tr w:rsidR="007D1750" w:rsidRPr="009B20C0" w14:paraId="5B83BB03" w14:textId="77777777" w:rsidTr="008546F3">
        <w:tc>
          <w:tcPr>
            <w:tcW w:w="1198" w:type="pct"/>
            <w:vAlign w:val="center"/>
          </w:tcPr>
          <w:p w14:paraId="78AA1620" w14:textId="77777777" w:rsidR="007D1750" w:rsidRPr="009B20C0" w:rsidRDefault="007D1750" w:rsidP="008546F3">
            <w:pPr>
              <w:pStyle w:val="TableText0"/>
              <w:keepNext w:val="0"/>
              <w:tabs>
                <w:tab w:val="right" w:pos="2155"/>
              </w:tabs>
              <w:rPr>
                <w:iCs/>
              </w:rPr>
            </w:pPr>
            <w:r w:rsidRPr="009B20C0">
              <w:rPr>
                <w:rFonts w:cs="Calibri"/>
                <w:iCs/>
                <w:szCs w:val="20"/>
              </w:rPr>
              <w:t>Fatal serious hyperkalaemia</w:t>
            </w:r>
          </w:p>
        </w:tc>
        <w:tc>
          <w:tcPr>
            <w:tcW w:w="634" w:type="pct"/>
            <w:shd w:val="clear" w:color="auto" w:fill="auto"/>
            <w:vAlign w:val="center"/>
          </w:tcPr>
          <w:p w14:paraId="301FC868" w14:textId="77777777" w:rsidR="007D1750" w:rsidRPr="009B20C0" w:rsidRDefault="007D1750" w:rsidP="008546F3">
            <w:pPr>
              <w:pStyle w:val="TableText0"/>
              <w:keepNext w:val="0"/>
              <w:jc w:val="center"/>
              <w:rPr>
                <w:rFonts w:cs="Calibri"/>
                <w:iCs/>
                <w:szCs w:val="20"/>
              </w:rPr>
            </w:pPr>
            <w:r w:rsidRPr="009B20C0">
              <w:rPr>
                <w:rFonts w:cs="Calibri"/>
                <w:iCs/>
                <w:szCs w:val="20"/>
              </w:rPr>
              <w:t>0</w:t>
            </w:r>
          </w:p>
        </w:tc>
        <w:tc>
          <w:tcPr>
            <w:tcW w:w="636" w:type="pct"/>
            <w:shd w:val="clear" w:color="auto" w:fill="auto"/>
            <w:vAlign w:val="center"/>
          </w:tcPr>
          <w:p w14:paraId="4E57FE25" w14:textId="77777777" w:rsidR="007D1750" w:rsidRPr="009B20C0" w:rsidRDefault="007D1750" w:rsidP="008546F3">
            <w:pPr>
              <w:pStyle w:val="TableText0"/>
              <w:keepNext w:val="0"/>
              <w:jc w:val="center"/>
              <w:rPr>
                <w:rFonts w:cs="Calibri"/>
                <w:iCs/>
                <w:szCs w:val="20"/>
              </w:rPr>
            </w:pPr>
            <w:r w:rsidRPr="009B20C0">
              <w:rPr>
                <w:rFonts w:cs="Calibri"/>
                <w:iCs/>
                <w:szCs w:val="20"/>
              </w:rPr>
              <w:t>0</w:t>
            </w:r>
          </w:p>
        </w:tc>
        <w:tc>
          <w:tcPr>
            <w:tcW w:w="634" w:type="pct"/>
            <w:shd w:val="clear" w:color="auto" w:fill="auto"/>
            <w:vAlign w:val="center"/>
          </w:tcPr>
          <w:p w14:paraId="20BDAC68" w14:textId="77777777" w:rsidR="007D1750" w:rsidRPr="009B20C0" w:rsidRDefault="007D1750" w:rsidP="008546F3">
            <w:pPr>
              <w:pStyle w:val="TableText0"/>
              <w:keepNext w:val="0"/>
              <w:jc w:val="center"/>
              <w:rPr>
                <w:iCs/>
              </w:rPr>
            </w:pPr>
            <w:r w:rsidRPr="009B20C0">
              <w:rPr>
                <w:rFonts w:cs="Calibri"/>
                <w:iCs/>
                <w:szCs w:val="20"/>
              </w:rPr>
              <w:t>0</w:t>
            </w:r>
          </w:p>
        </w:tc>
        <w:tc>
          <w:tcPr>
            <w:tcW w:w="634" w:type="pct"/>
            <w:shd w:val="clear" w:color="auto" w:fill="auto"/>
            <w:vAlign w:val="center"/>
          </w:tcPr>
          <w:p w14:paraId="278BD8E4" w14:textId="77777777" w:rsidR="007D1750" w:rsidRPr="009B20C0" w:rsidRDefault="007D1750" w:rsidP="008546F3">
            <w:pPr>
              <w:pStyle w:val="TableText0"/>
              <w:keepNext w:val="0"/>
              <w:jc w:val="center"/>
              <w:rPr>
                <w:iCs/>
              </w:rPr>
            </w:pPr>
            <w:r w:rsidRPr="009B20C0">
              <w:rPr>
                <w:rFonts w:cs="Calibri"/>
                <w:iCs/>
                <w:szCs w:val="20"/>
              </w:rPr>
              <w:t>0</w:t>
            </w:r>
          </w:p>
        </w:tc>
        <w:tc>
          <w:tcPr>
            <w:tcW w:w="634" w:type="pct"/>
            <w:shd w:val="clear" w:color="auto" w:fill="auto"/>
            <w:vAlign w:val="center"/>
          </w:tcPr>
          <w:p w14:paraId="3B0C64C4" w14:textId="77777777" w:rsidR="007D1750" w:rsidRPr="009B20C0" w:rsidRDefault="007D1750" w:rsidP="008546F3">
            <w:pPr>
              <w:pStyle w:val="TableText0"/>
              <w:keepNext w:val="0"/>
              <w:jc w:val="center"/>
              <w:rPr>
                <w:iCs/>
                <w:vertAlign w:val="superscript"/>
              </w:rPr>
            </w:pPr>
            <w:r w:rsidRPr="009B20C0">
              <w:rPr>
                <w:rFonts w:cs="Calibri"/>
                <w:iCs/>
                <w:szCs w:val="20"/>
              </w:rPr>
              <w:t>0</w:t>
            </w:r>
            <w:r w:rsidRPr="009B20C0">
              <w:rPr>
                <w:rFonts w:cs="Calibri"/>
                <w:iCs/>
                <w:szCs w:val="20"/>
                <w:vertAlign w:val="superscript"/>
              </w:rPr>
              <w:t>a</w:t>
            </w:r>
          </w:p>
        </w:tc>
        <w:tc>
          <w:tcPr>
            <w:tcW w:w="630" w:type="pct"/>
            <w:shd w:val="clear" w:color="auto" w:fill="auto"/>
            <w:vAlign w:val="center"/>
          </w:tcPr>
          <w:p w14:paraId="6582870C" w14:textId="77777777" w:rsidR="007D1750" w:rsidRPr="009B20C0" w:rsidRDefault="007D1750" w:rsidP="008546F3">
            <w:pPr>
              <w:pStyle w:val="TableText0"/>
              <w:keepNext w:val="0"/>
              <w:jc w:val="center"/>
              <w:rPr>
                <w:iCs/>
                <w:vertAlign w:val="superscript"/>
              </w:rPr>
            </w:pPr>
            <w:r w:rsidRPr="009B20C0">
              <w:rPr>
                <w:rFonts w:cs="Calibri"/>
                <w:iCs/>
                <w:szCs w:val="20"/>
              </w:rPr>
              <w:t>0</w:t>
            </w:r>
            <w:r w:rsidRPr="009B20C0">
              <w:rPr>
                <w:rFonts w:cs="Calibri"/>
                <w:iCs/>
                <w:szCs w:val="20"/>
                <w:vertAlign w:val="superscript"/>
              </w:rPr>
              <w:t>a</w:t>
            </w:r>
          </w:p>
        </w:tc>
      </w:tr>
    </w:tbl>
    <w:p w14:paraId="67AA5241" w14:textId="77777777" w:rsidR="007D1750" w:rsidRPr="009B20C0" w:rsidRDefault="007D1750" w:rsidP="007D1750">
      <w:pPr>
        <w:pStyle w:val="TableFooter"/>
        <w:rPr>
          <w:iCs/>
        </w:rPr>
      </w:pPr>
      <w:r w:rsidRPr="009B20C0">
        <w:rPr>
          <w:iCs/>
        </w:rPr>
        <w:t>Source: Table 53, p79 and Table 60, pp91-92 of the resubmission.</w:t>
      </w:r>
    </w:p>
    <w:p w14:paraId="0C228499" w14:textId="39BF10B5" w:rsidR="007D1750" w:rsidRPr="009B20C0" w:rsidRDefault="007D1750" w:rsidP="007D1750">
      <w:pPr>
        <w:pStyle w:val="TableFooter"/>
        <w:rPr>
          <w:iCs/>
        </w:rPr>
      </w:pPr>
      <w:r w:rsidRPr="009B20C0">
        <w:rPr>
          <w:iCs/>
        </w:rPr>
        <w:t>Abbreviations: FAS, full analysis set; NR, not reported; SGLT2i, sodium glucose co-transporter 2 inhibitor; UACR, urinary albumin-creatinine ratio.</w:t>
      </w:r>
    </w:p>
    <w:p w14:paraId="23459429" w14:textId="77777777" w:rsidR="007D1750" w:rsidRPr="009B20C0" w:rsidRDefault="007D1750" w:rsidP="007D1750">
      <w:pPr>
        <w:pStyle w:val="TableFooter"/>
        <w:rPr>
          <w:iCs/>
        </w:rPr>
      </w:pPr>
      <w:r w:rsidRPr="009B20C0">
        <w:rPr>
          <w:iCs/>
          <w:vertAlign w:val="superscript"/>
        </w:rPr>
        <w:t>a</w:t>
      </w:r>
      <w:r w:rsidRPr="009B20C0">
        <w:rPr>
          <w:iCs/>
        </w:rPr>
        <w:t xml:space="preserve"> Fatal serious hyperkalaemia events attributed to the post hoc subgroup complement (finerenone n=</w:t>
      </w:r>
      <w:r w:rsidRPr="009B20C0">
        <w:rPr>
          <w:rFonts w:cs="Calibri"/>
          <w:iCs/>
          <w:szCs w:val="20"/>
        </w:rPr>
        <w:t>4, &lt;0.1%; placebo n=5, &lt;0.1%)</w:t>
      </w:r>
      <w:r w:rsidRPr="009B20C0">
        <w:rPr>
          <w:iCs/>
        </w:rPr>
        <w:t>, reported in error</w:t>
      </w:r>
      <w:r w:rsidRPr="009B20C0">
        <w:rPr>
          <w:rFonts w:cs="Calibri"/>
          <w:iCs/>
          <w:szCs w:val="20"/>
        </w:rPr>
        <w:t>, reported in Table 3/6 of ‘Additional subgroup analyses.doc’ as life threatening serious hyperkalaemia adverse events.</w:t>
      </w:r>
    </w:p>
    <w:p w14:paraId="31AE7C44" w14:textId="10111113" w:rsidR="004C6A4E" w:rsidRDefault="004C6A4E" w:rsidP="004C6A4E">
      <w:pPr>
        <w:pStyle w:val="COMexecsumnumberedpara"/>
      </w:pPr>
      <w:r>
        <w:t xml:space="preserve">The results of the </w:t>
      </w:r>
      <w:r w:rsidRPr="005901ED">
        <w:rPr>
          <w:i/>
          <w:iCs/>
        </w:rPr>
        <w:t>post hoc</w:t>
      </w:r>
      <w:r w:rsidRPr="00702264">
        <w:t xml:space="preserve"> </w:t>
      </w:r>
      <w:r>
        <w:t xml:space="preserve">subgroup analysis </w:t>
      </w:r>
      <w:r w:rsidR="0063539D">
        <w:t xml:space="preserve">of hyperkalaemia outcomes </w:t>
      </w:r>
      <w:r>
        <w:t>by eGFR show that lower baseline eGFR was associated with a higher incidence of hyperkalaemia, with larger proportions of patients treated with finerenone experiencing hyperkalaemia compared to placebo.</w:t>
      </w:r>
    </w:p>
    <w:p w14:paraId="6C51215A" w14:textId="3F3A622F" w:rsidR="001D37B2" w:rsidRPr="001D37B2" w:rsidRDefault="004C6A4E" w:rsidP="001D37B2">
      <w:pPr>
        <w:pStyle w:val="COMexecsumnumberedpara"/>
      </w:pPr>
      <w:bookmarkStart w:id="26" w:name="_Ref126836867"/>
      <w:r>
        <w:t xml:space="preserve">Results of the </w:t>
      </w:r>
      <w:r w:rsidRPr="004C6A4E">
        <w:rPr>
          <w:i/>
          <w:iCs/>
        </w:rPr>
        <w:t>post hoc</w:t>
      </w:r>
      <w:r>
        <w:t xml:space="preserve"> subgroup analysis </w:t>
      </w:r>
      <w:r w:rsidR="00F37780">
        <w:t xml:space="preserve">of hyperkalaemia outcomes </w:t>
      </w:r>
      <w:r>
        <w:t>by UACR</w:t>
      </w:r>
      <w:r w:rsidR="00196EAC">
        <w:t xml:space="preserve"> </w:t>
      </w:r>
      <w:r>
        <w:t xml:space="preserve">show smaller proportions of patients </w:t>
      </w:r>
      <w:r w:rsidRPr="004C6A4E">
        <w:rPr>
          <w:szCs w:val="20"/>
        </w:rPr>
        <w:t>in both treatment arms experienced drug-related hyperkalaemia</w:t>
      </w:r>
      <w:r>
        <w:t xml:space="preserve"> in the subgroup with baseline </w:t>
      </w:r>
      <w:r w:rsidRPr="004C6A4E">
        <w:rPr>
          <w:szCs w:val="20"/>
        </w:rPr>
        <w:t xml:space="preserve">UACR ≥ 200 mg/g and SGLT2i use compared to the overall FIDELITY pooled population and other </w:t>
      </w:r>
      <w:r w:rsidR="000A4D8A" w:rsidRPr="004C6A4E">
        <w:rPr>
          <w:szCs w:val="20"/>
        </w:rPr>
        <w:t>subgroups</w:t>
      </w:r>
      <w:r w:rsidR="000A51DD">
        <w:rPr>
          <w:szCs w:val="20"/>
        </w:rPr>
        <w:t xml:space="preserve"> </w:t>
      </w:r>
      <w:r w:rsidR="000A51DD" w:rsidRPr="009B20C0">
        <w:rPr>
          <w:iCs/>
          <w:szCs w:val="20"/>
        </w:rPr>
        <w:t>(</w:t>
      </w:r>
      <w:r w:rsidR="000A51DD" w:rsidRPr="009B20C0">
        <w:rPr>
          <w:iCs/>
          <w:szCs w:val="20"/>
        </w:rPr>
        <w:fldChar w:fldCharType="begin"/>
      </w:r>
      <w:r w:rsidR="000A51DD" w:rsidRPr="009B20C0">
        <w:rPr>
          <w:iCs/>
          <w:szCs w:val="20"/>
        </w:rPr>
        <w:instrText xml:space="preserve"> REF _Ref127361011 \h </w:instrText>
      </w:r>
      <w:r w:rsidR="000A51DD" w:rsidRPr="009B20C0">
        <w:rPr>
          <w:iCs/>
          <w:szCs w:val="20"/>
        </w:rPr>
      </w:r>
      <w:r w:rsidR="000A51DD" w:rsidRPr="009B20C0">
        <w:rPr>
          <w:iCs/>
          <w:szCs w:val="20"/>
        </w:rPr>
        <w:fldChar w:fldCharType="separate"/>
      </w:r>
      <w:r w:rsidR="005562EE" w:rsidRPr="009B20C0">
        <w:rPr>
          <w:iCs/>
        </w:rPr>
        <w:t xml:space="preserve">Table </w:t>
      </w:r>
      <w:r w:rsidR="005562EE">
        <w:rPr>
          <w:iCs/>
          <w:noProof/>
        </w:rPr>
        <w:t>10</w:t>
      </w:r>
      <w:r w:rsidR="000A51DD" w:rsidRPr="009B20C0">
        <w:rPr>
          <w:iCs/>
          <w:szCs w:val="20"/>
        </w:rPr>
        <w:fldChar w:fldCharType="end"/>
      </w:r>
      <w:r w:rsidR="000A51DD" w:rsidRPr="009B20C0">
        <w:rPr>
          <w:iCs/>
          <w:szCs w:val="20"/>
        </w:rPr>
        <w:t>)</w:t>
      </w:r>
      <w:r w:rsidR="000A4D8A" w:rsidRPr="004C6A4E">
        <w:rPr>
          <w:szCs w:val="20"/>
        </w:rPr>
        <w:t>.</w:t>
      </w:r>
      <w:bookmarkEnd w:id="26"/>
    </w:p>
    <w:p w14:paraId="03F81C3D" w14:textId="3A6E2F97" w:rsidR="001D37B2" w:rsidRPr="009B20C0" w:rsidRDefault="001D37B2" w:rsidP="001D37B2">
      <w:pPr>
        <w:pStyle w:val="COMTableheadingrow"/>
        <w:rPr>
          <w:iCs/>
        </w:rPr>
      </w:pPr>
      <w:bookmarkStart w:id="27" w:name="_Ref127361011"/>
      <w:bookmarkStart w:id="28" w:name="_Ref127361005"/>
      <w:r w:rsidRPr="009B20C0">
        <w:rPr>
          <w:iCs/>
        </w:rPr>
        <w:t xml:space="preserve">Table </w:t>
      </w:r>
      <w:r w:rsidRPr="009B20C0">
        <w:rPr>
          <w:iCs/>
        </w:rPr>
        <w:fldChar w:fldCharType="begin"/>
      </w:r>
      <w:r w:rsidRPr="009B20C0">
        <w:rPr>
          <w:iCs/>
        </w:rPr>
        <w:instrText xml:space="preserve"> SEQ Table \* ARABIC </w:instrText>
      </w:r>
      <w:r w:rsidRPr="009B20C0">
        <w:rPr>
          <w:iCs/>
        </w:rPr>
        <w:fldChar w:fldCharType="separate"/>
      </w:r>
      <w:r w:rsidR="005562EE">
        <w:rPr>
          <w:iCs/>
          <w:noProof/>
        </w:rPr>
        <w:t>10</w:t>
      </w:r>
      <w:r w:rsidRPr="009B20C0">
        <w:rPr>
          <w:iCs/>
          <w:noProof/>
        </w:rPr>
        <w:fldChar w:fldCharType="end"/>
      </w:r>
      <w:bookmarkEnd w:id="27"/>
      <w:r w:rsidRPr="009B20C0">
        <w:rPr>
          <w:iCs/>
        </w:rPr>
        <w:t>: Hyperkalaemia events by baseline UACR subgroups in FIDELITY (post hoc analyses; SAS)</w:t>
      </w:r>
      <w:bookmarkEnd w:id="2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020"/>
        <w:gridCol w:w="3020"/>
      </w:tblGrid>
      <w:tr w:rsidR="001D37B2" w:rsidRPr="009B20C0" w14:paraId="670404AA" w14:textId="77777777" w:rsidTr="008546F3">
        <w:trPr>
          <w:tblHeader/>
        </w:trPr>
        <w:tc>
          <w:tcPr>
            <w:tcW w:w="2977" w:type="dxa"/>
            <w:vMerge w:val="restart"/>
            <w:tcBorders>
              <w:top w:val="single" w:sz="4" w:space="0" w:color="auto"/>
              <w:left w:val="single" w:sz="4" w:space="0" w:color="auto"/>
              <w:right w:val="single" w:sz="4" w:space="0" w:color="auto"/>
            </w:tcBorders>
            <w:vAlign w:val="center"/>
          </w:tcPr>
          <w:p w14:paraId="60600522" w14:textId="77777777" w:rsidR="001D37B2" w:rsidRPr="009B20C0" w:rsidRDefault="001D37B2" w:rsidP="008546F3">
            <w:pPr>
              <w:pStyle w:val="TableText0"/>
              <w:widowControl w:val="0"/>
              <w:tabs>
                <w:tab w:val="right" w:pos="3613"/>
              </w:tabs>
              <w:rPr>
                <w:b/>
                <w:bCs w:val="0"/>
                <w:iCs/>
              </w:rPr>
            </w:pPr>
          </w:p>
        </w:tc>
        <w:tc>
          <w:tcPr>
            <w:tcW w:w="6040" w:type="dxa"/>
            <w:gridSpan w:val="2"/>
            <w:tcBorders>
              <w:top w:val="single" w:sz="4" w:space="0" w:color="auto"/>
              <w:left w:val="single" w:sz="4" w:space="0" w:color="auto"/>
              <w:bottom w:val="single" w:sz="4" w:space="0" w:color="auto"/>
              <w:right w:val="single" w:sz="4" w:space="0" w:color="auto"/>
            </w:tcBorders>
            <w:vAlign w:val="center"/>
          </w:tcPr>
          <w:p w14:paraId="5EB1D34C" w14:textId="77777777" w:rsidR="001D37B2" w:rsidRPr="009B20C0" w:rsidRDefault="001D37B2" w:rsidP="008546F3">
            <w:pPr>
              <w:pStyle w:val="TableText0"/>
              <w:widowControl w:val="0"/>
              <w:jc w:val="center"/>
              <w:rPr>
                <w:b/>
                <w:iCs/>
              </w:rPr>
            </w:pPr>
            <w:r w:rsidRPr="009B20C0">
              <w:rPr>
                <w:b/>
                <w:iCs/>
              </w:rPr>
              <w:t xml:space="preserve">FIDELITY </w:t>
            </w:r>
          </w:p>
        </w:tc>
      </w:tr>
      <w:tr w:rsidR="001D37B2" w:rsidRPr="009B20C0" w14:paraId="78DE0243" w14:textId="77777777" w:rsidTr="008546F3">
        <w:trPr>
          <w:tblHeader/>
        </w:trPr>
        <w:tc>
          <w:tcPr>
            <w:tcW w:w="2977" w:type="dxa"/>
            <w:vMerge/>
            <w:tcBorders>
              <w:left w:val="single" w:sz="4" w:space="0" w:color="auto"/>
              <w:bottom w:val="single" w:sz="4" w:space="0" w:color="auto"/>
              <w:right w:val="single" w:sz="4" w:space="0" w:color="auto"/>
            </w:tcBorders>
            <w:vAlign w:val="center"/>
          </w:tcPr>
          <w:p w14:paraId="2033E9D7" w14:textId="77777777" w:rsidR="001D37B2" w:rsidRPr="009B20C0" w:rsidRDefault="001D37B2" w:rsidP="008546F3">
            <w:pPr>
              <w:pStyle w:val="TableText0"/>
              <w:widowControl w:val="0"/>
              <w:tabs>
                <w:tab w:val="right" w:pos="3613"/>
              </w:tabs>
              <w:jc w:val="center"/>
              <w:rPr>
                <w:b/>
                <w:bCs w:val="0"/>
                <w:iCs/>
              </w:rPr>
            </w:pPr>
          </w:p>
        </w:tc>
        <w:tc>
          <w:tcPr>
            <w:tcW w:w="3020" w:type="dxa"/>
            <w:tcBorders>
              <w:top w:val="single" w:sz="4" w:space="0" w:color="auto"/>
              <w:left w:val="single" w:sz="4" w:space="0" w:color="auto"/>
              <w:bottom w:val="single" w:sz="4" w:space="0" w:color="auto"/>
              <w:right w:val="single" w:sz="4" w:space="0" w:color="auto"/>
            </w:tcBorders>
            <w:vAlign w:val="center"/>
          </w:tcPr>
          <w:p w14:paraId="029EAF28" w14:textId="77777777" w:rsidR="001D37B2" w:rsidRPr="009B20C0" w:rsidRDefault="001D37B2" w:rsidP="008546F3">
            <w:pPr>
              <w:pStyle w:val="TableText0"/>
              <w:widowControl w:val="0"/>
              <w:jc w:val="center"/>
              <w:rPr>
                <w:b/>
                <w:iCs/>
              </w:rPr>
            </w:pPr>
            <w:r w:rsidRPr="009B20C0">
              <w:rPr>
                <w:b/>
                <w:iCs/>
              </w:rPr>
              <w:t>Finerenone</w:t>
            </w:r>
          </w:p>
          <w:p w14:paraId="1CB2410A" w14:textId="77777777" w:rsidR="001D37B2" w:rsidRPr="009B20C0" w:rsidRDefault="001D37B2" w:rsidP="008546F3">
            <w:pPr>
              <w:pStyle w:val="TableText0"/>
              <w:widowControl w:val="0"/>
              <w:jc w:val="center"/>
              <w:rPr>
                <w:b/>
                <w:iCs/>
              </w:rPr>
            </w:pPr>
            <w:r w:rsidRPr="009B20C0">
              <w:rPr>
                <w:b/>
                <w:iCs/>
              </w:rPr>
              <w:t>n/N (%)</w:t>
            </w:r>
          </w:p>
        </w:tc>
        <w:tc>
          <w:tcPr>
            <w:tcW w:w="3020" w:type="dxa"/>
            <w:tcBorders>
              <w:top w:val="single" w:sz="4" w:space="0" w:color="auto"/>
              <w:left w:val="single" w:sz="4" w:space="0" w:color="auto"/>
              <w:bottom w:val="single" w:sz="4" w:space="0" w:color="auto"/>
              <w:right w:val="single" w:sz="4" w:space="0" w:color="auto"/>
            </w:tcBorders>
            <w:vAlign w:val="center"/>
          </w:tcPr>
          <w:p w14:paraId="7D75D640" w14:textId="77777777" w:rsidR="001D37B2" w:rsidRPr="009B20C0" w:rsidRDefault="001D37B2" w:rsidP="008546F3">
            <w:pPr>
              <w:pStyle w:val="TableText0"/>
              <w:widowControl w:val="0"/>
              <w:jc w:val="center"/>
              <w:rPr>
                <w:b/>
                <w:iCs/>
              </w:rPr>
            </w:pPr>
            <w:r w:rsidRPr="009B20C0">
              <w:rPr>
                <w:b/>
                <w:iCs/>
              </w:rPr>
              <w:t xml:space="preserve">Placebo </w:t>
            </w:r>
          </w:p>
          <w:p w14:paraId="2CA9603E" w14:textId="77777777" w:rsidR="001D37B2" w:rsidRPr="009B20C0" w:rsidRDefault="001D37B2" w:rsidP="008546F3">
            <w:pPr>
              <w:pStyle w:val="TableText0"/>
              <w:widowControl w:val="0"/>
              <w:jc w:val="center"/>
              <w:rPr>
                <w:b/>
                <w:iCs/>
              </w:rPr>
            </w:pPr>
            <w:r w:rsidRPr="009B20C0">
              <w:rPr>
                <w:b/>
                <w:iCs/>
              </w:rPr>
              <w:t>n/N (%)</w:t>
            </w:r>
          </w:p>
        </w:tc>
      </w:tr>
      <w:tr w:rsidR="001D37B2" w:rsidRPr="009B20C0" w14:paraId="280E0E1B" w14:textId="77777777" w:rsidTr="008546F3">
        <w:trPr>
          <w:trHeight w:val="70"/>
        </w:trPr>
        <w:tc>
          <w:tcPr>
            <w:tcW w:w="9017" w:type="dxa"/>
            <w:gridSpan w:val="3"/>
            <w:tcBorders>
              <w:top w:val="single" w:sz="4" w:space="0" w:color="auto"/>
              <w:left w:val="single" w:sz="4" w:space="0" w:color="auto"/>
              <w:bottom w:val="single" w:sz="4" w:space="0" w:color="auto"/>
              <w:right w:val="single" w:sz="4" w:space="0" w:color="auto"/>
            </w:tcBorders>
          </w:tcPr>
          <w:p w14:paraId="7809B913" w14:textId="77777777" w:rsidR="001D37B2" w:rsidRPr="009B20C0" w:rsidRDefault="001D37B2" w:rsidP="008546F3">
            <w:pPr>
              <w:pStyle w:val="TableText0"/>
              <w:widowControl w:val="0"/>
              <w:tabs>
                <w:tab w:val="right" w:pos="3613"/>
              </w:tabs>
              <w:rPr>
                <w:b/>
                <w:bCs w:val="0"/>
                <w:iCs/>
                <w:szCs w:val="20"/>
              </w:rPr>
            </w:pPr>
            <w:r w:rsidRPr="009B20C0">
              <w:rPr>
                <w:b/>
                <w:bCs w:val="0"/>
                <w:iCs/>
                <w:szCs w:val="20"/>
              </w:rPr>
              <w:t>Drug-related hyperkalaemia</w:t>
            </w:r>
          </w:p>
        </w:tc>
      </w:tr>
      <w:tr w:rsidR="001D37B2" w:rsidRPr="009B20C0" w14:paraId="57A6FFF1"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E3FF38E" w14:textId="77777777" w:rsidR="001D37B2" w:rsidRPr="009B20C0" w:rsidRDefault="001D37B2" w:rsidP="008546F3">
            <w:pPr>
              <w:pStyle w:val="TableText0"/>
              <w:widowControl w:val="0"/>
              <w:tabs>
                <w:tab w:val="right" w:pos="3613"/>
              </w:tabs>
              <w:rPr>
                <w:iCs/>
                <w:szCs w:val="20"/>
              </w:rPr>
            </w:pPr>
            <w:r w:rsidRPr="009B20C0">
              <w:rPr>
                <w:iCs/>
                <w:szCs w:val="20"/>
              </w:rPr>
              <w:t>Overall</w:t>
            </w:r>
          </w:p>
        </w:tc>
        <w:tc>
          <w:tcPr>
            <w:tcW w:w="3020" w:type="dxa"/>
            <w:tcBorders>
              <w:top w:val="single" w:sz="4" w:space="0" w:color="auto"/>
              <w:left w:val="single" w:sz="4" w:space="0" w:color="auto"/>
              <w:bottom w:val="single" w:sz="4" w:space="0" w:color="auto"/>
              <w:right w:val="single" w:sz="4" w:space="0" w:color="auto"/>
            </w:tcBorders>
            <w:shd w:val="clear" w:color="auto" w:fill="auto"/>
          </w:tcPr>
          <w:p w14:paraId="366F6EF2" w14:textId="77777777" w:rsidR="001D37B2" w:rsidRPr="009B20C0" w:rsidRDefault="001D37B2" w:rsidP="008546F3">
            <w:pPr>
              <w:pStyle w:val="TableText0"/>
              <w:widowControl w:val="0"/>
              <w:tabs>
                <w:tab w:val="right" w:pos="3613"/>
              </w:tabs>
              <w:jc w:val="center"/>
              <w:rPr>
                <w:iCs/>
                <w:szCs w:val="20"/>
              </w:rPr>
            </w:pPr>
            <w:r w:rsidRPr="009B20C0">
              <w:rPr>
                <w:iCs/>
              </w:rPr>
              <w:t>573/6,510 (8.8%)</w:t>
            </w:r>
          </w:p>
        </w:tc>
        <w:tc>
          <w:tcPr>
            <w:tcW w:w="3020" w:type="dxa"/>
            <w:tcBorders>
              <w:top w:val="single" w:sz="4" w:space="0" w:color="auto"/>
              <w:left w:val="single" w:sz="4" w:space="0" w:color="auto"/>
              <w:bottom w:val="single" w:sz="4" w:space="0" w:color="auto"/>
              <w:right w:val="single" w:sz="4" w:space="0" w:color="auto"/>
            </w:tcBorders>
            <w:shd w:val="clear" w:color="auto" w:fill="auto"/>
          </w:tcPr>
          <w:p w14:paraId="6C000404" w14:textId="77777777" w:rsidR="001D37B2" w:rsidRPr="009B20C0" w:rsidRDefault="001D37B2" w:rsidP="008546F3">
            <w:pPr>
              <w:pStyle w:val="TableText0"/>
              <w:widowControl w:val="0"/>
              <w:tabs>
                <w:tab w:val="right" w:pos="3613"/>
              </w:tabs>
              <w:jc w:val="center"/>
              <w:rPr>
                <w:iCs/>
                <w:szCs w:val="20"/>
              </w:rPr>
            </w:pPr>
            <w:r w:rsidRPr="009B20C0">
              <w:rPr>
                <w:iCs/>
              </w:rPr>
              <w:t>249/6,489 (3.8%)</w:t>
            </w:r>
          </w:p>
        </w:tc>
      </w:tr>
      <w:tr w:rsidR="001D37B2" w:rsidRPr="009B20C0" w14:paraId="723B1853"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CB5AF5F" w14:textId="77777777" w:rsidR="001D37B2" w:rsidRPr="009B20C0" w:rsidRDefault="001D37B2" w:rsidP="008546F3">
            <w:pPr>
              <w:pStyle w:val="TableText0"/>
              <w:widowControl w:val="0"/>
              <w:tabs>
                <w:tab w:val="right" w:pos="3613"/>
              </w:tabs>
              <w:rPr>
                <w:iCs/>
                <w:szCs w:val="20"/>
              </w:rPr>
            </w:pPr>
            <w:r w:rsidRPr="009B20C0">
              <w:rPr>
                <w:iCs/>
                <w:szCs w:val="20"/>
              </w:rPr>
              <w:t>Baseline UACR ≥ 200 mg/g</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21159BCA" w14:textId="77777777" w:rsidR="001D37B2" w:rsidRPr="009B20C0" w:rsidRDefault="001D37B2" w:rsidP="008546F3">
            <w:pPr>
              <w:pStyle w:val="TableText0"/>
              <w:widowControl w:val="0"/>
              <w:tabs>
                <w:tab w:val="right" w:pos="3613"/>
              </w:tabs>
              <w:jc w:val="center"/>
              <w:rPr>
                <w:iCs/>
              </w:rPr>
            </w:pPr>
            <w:r w:rsidRPr="009B20C0">
              <w:rPr>
                <w:iCs/>
              </w:rPr>
              <w:t>429/4,873 (8.8%)</w:t>
            </w:r>
          </w:p>
        </w:tc>
        <w:tc>
          <w:tcPr>
            <w:tcW w:w="3020" w:type="dxa"/>
            <w:tcBorders>
              <w:left w:val="single" w:sz="4" w:space="0" w:color="auto"/>
              <w:bottom w:val="single" w:sz="4" w:space="0" w:color="auto"/>
              <w:right w:val="single" w:sz="4" w:space="0" w:color="auto"/>
            </w:tcBorders>
            <w:shd w:val="clear" w:color="auto" w:fill="auto"/>
            <w:vAlign w:val="center"/>
          </w:tcPr>
          <w:p w14:paraId="55066AC6" w14:textId="77777777" w:rsidR="001D37B2" w:rsidRPr="009B20C0" w:rsidRDefault="001D37B2" w:rsidP="008546F3">
            <w:pPr>
              <w:pStyle w:val="TableText0"/>
              <w:widowControl w:val="0"/>
              <w:tabs>
                <w:tab w:val="right" w:pos="3613"/>
              </w:tabs>
              <w:jc w:val="center"/>
              <w:rPr>
                <w:iCs/>
              </w:rPr>
            </w:pPr>
            <w:r w:rsidRPr="009B20C0">
              <w:rPr>
                <w:iCs/>
              </w:rPr>
              <w:t>193/4,860 (4.0%)</w:t>
            </w:r>
          </w:p>
        </w:tc>
      </w:tr>
      <w:tr w:rsidR="001D37B2" w:rsidRPr="009B20C0" w14:paraId="1CE6401F"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602125A8" w14:textId="77777777" w:rsidR="001D37B2" w:rsidRPr="009B20C0" w:rsidRDefault="001D37B2" w:rsidP="008546F3">
            <w:pPr>
              <w:pStyle w:val="TableText0"/>
              <w:widowControl w:val="0"/>
              <w:tabs>
                <w:tab w:val="right" w:pos="3613"/>
              </w:tabs>
              <w:rPr>
                <w:iCs/>
                <w:szCs w:val="20"/>
              </w:rPr>
            </w:pPr>
            <w:r w:rsidRPr="009B20C0">
              <w:rPr>
                <w:iCs/>
                <w:szCs w:val="20"/>
              </w:rPr>
              <w:t>Complement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72AE8175" w14:textId="77777777" w:rsidR="001D37B2" w:rsidRPr="009B20C0" w:rsidRDefault="001D37B2" w:rsidP="008546F3">
            <w:pPr>
              <w:pStyle w:val="TableText0"/>
              <w:widowControl w:val="0"/>
              <w:tabs>
                <w:tab w:val="right" w:pos="3613"/>
              </w:tabs>
              <w:jc w:val="center"/>
              <w:rPr>
                <w:iCs/>
              </w:rPr>
            </w:pPr>
            <w:r w:rsidRPr="009B20C0">
              <w:rPr>
                <w:iCs/>
              </w:rPr>
              <w:t>144/1,637 (8.8%)</w:t>
            </w:r>
          </w:p>
        </w:tc>
        <w:tc>
          <w:tcPr>
            <w:tcW w:w="3020" w:type="dxa"/>
            <w:tcBorders>
              <w:left w:val="single" w:sz="4" w:space="0" w:color="auto"/>
              <w:bottom w:val="single" w:sz="4" w:space="0" w:color="auto"/>
              <w:right w:val="single" w:sz="4" w:space="0" w:color="auto"/>
            </w:tcBorders>
            <w:shd w:val="clear" w:color="auto" w:fill="auto"/>
            <w:vAlign w:val="center"/>
          </w:tcPr>
          <w:p w14:paraId="2BA96722" w14:textId="77777777" w:rsidR="001D37B2" w:rsidRPr="009B20C0" w:rsidRDefault="001D37B2" w:rsidP="008546F3">
            <w:pPr>
              <w:pStyle w:val="TableText0"/>
              <w:widowControl w:val="0"/>
              <w:tabs>
                <w:tab w:val="right" w:pos="3613"/>
              </w:tabs>
              <w:jc w:val="center"/>
              <w:rPr>
                <w:iCs/>
              </w:rPr>
            </w:pPr>
            <w:r w:rsidRPr="009B20C0">
              <w:rPr>
                <w:iCs/>
              </w:rPr>
              <w:t>56/1,629 (3.4%)</w:t>
            </w:r>
          </w:p>
        </w:tc>
      </w:tr>
      <w:tr w:rsidR="001D37B2" w:rsidRPr="009B20C0" w14:paraId="32BEAF88"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836A4A7" w14:textId="77777777" w:rsidR="001D37B2" w:rsidRPr="009B20C0" w:rsidRDefault="001D37B2" w:rsidP="008546F3">
            <w:pPr>
              <w:pStyle w:val="TableText0"/>
              <w:widowControl w:val="0"/>
              <w:tabs>
                <w:tab w:val="right" w:pos="3613"/>
              </w:tabs>
              <w:rPr>
                <w:iCs/>
                <w:szCs w:val="20"/>
              </w:rPr>
            </w:pPr>
            <w:r w:rsidRPr="009B20C0">
              <w:rPr>
                <w:iCs/>
                <w:szCs w:val="20"/>
              </w:rPr>
              <w:t>Baseline UACR ≥ 200 mg/g +SGLT2i</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735767C4" w14:textId="77777777" w:rsidR="001D37B2" w:rsidRPr="009B20C0" w:rsidRDefault="001D37B2" w:rsidP="008546F3">
            <w:pPr>
              <w:pStyle w:val="TableText0"/>
              <w:widowControl w:val="0"/>
              <w:tabs>
                <w:tab w:val="right" w:pos="3613"/>
              </w:tabs>
              <w:jc w:val="center"/>
              <w:rPr>
                <w:iCs/>
              </w:rPr>
            </w:pPr>
            <w:r w:rsidRPr="009B20C0">
              <w:rPr>
                <w:iCs/>
              </w:rPr>
              <w:t>18/324 (5.6%)</w:t>
            </w:r>
          </w:p>
        </w:tc>
        <w:tc>
          <w:tcPr>
            <w:tcW w:w="3020" w:type="dxa"/>
            <w:tcBorders>
              <w:left w:val="single" w:sz="4" w:space="0" w:color="auto"/>
              <w:bottom w:val="single" w:sz="4" w:space="0" w:color="auto"/>
              <w:right w:val="single" w:sz="4" w:space="0" w:color="auto"/>
            </w:tcBorders>
            <w:shd w:val="clear" w:color="auto" w:fill="auto"/>
            <w:vAlign w:val="center"/>
          </w:tcPr>
          <w:p w14:paraId="7B34C6E1" w14:textId="77777777" w:rsidR="001D37B2" w:rsidRPr="009B20C0" w:rsidRDefault="001D37B2" w:rsidP="008546F3">
            <w:pPr>
              <w:pStyle w:val="TableText0"/>
              <w:widowControl w:val="0"/>
              <w:tabs>
                <w:tab w:val="right" w:pos="3613"/>
              </w:tabs>
              <w:jc w:val="center"/>
              <w:rPr>
                <w:iCs/>
              </w:rPr>
            </w:pPr>
            <w:r w:rsidRPr="009B20C0">
              <w:rPr>
                <w:iCs/>
              </w:rPr>
              <w:t>3/324 (0.9%)</w:t>
            </w:r>
          </w:p>
        </w:tc>
      </w:tr>
      <w:tr w:rsidR="001D37B2" w:rsidRPr="009B20C0" w14:paraId="6515BEE2"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860CFBE" w14:textId="77777777" w:rsidR="001D37B2" w:rsidRPr="009B20C0" w:rsidRDefault="001D37B2" w:rsidP="008546F3">
            <w:pPr>
              <w:pStyle w:val="TableText0"/>
              <w:widowControl w:val="0"/>
              <w:tabs>
                <w:tab w:val="right" w:pos="3613"/>
              </w:tabs>
              <w:rPr>
                <w:iCs/>
                <w:szCs w:val="20"/>
              </w:rPr>
            </w:pPr>
            <w:r w:rsidRPr="009B20C0">
              <w:rPr>
                <w:iCs/>
                <w:szCs w:val="20"/>
              </w:rPr>
              <w:t>Complement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150E95FA" w14:textId="77777777" w:rsidR="001D37B2" w:rsidRPr="009B20C0" w:rsidRDefault="001D37B2" w:rsidP="008546F3">
            <w:pPr>
              <w:pStyle w:val="TableText0"/>
              <w:widowControl w:val="0"/>
              <w:tabs>
                <w:tab w:val="right" w:pos="3613"/>
              </w:tabs>
              <w:jc w:val="center"/>
              <w:rPr>
                <w:iCs/>
              </w:rPr>
            </w:pPr>
            <w:r w:rsidRPr="009B20C0">
              <w:rPr>
                <w:iCs/>
              </w:rPr>
              <w:t>555/6,186 (9.0%)</w:t>
            </w:r>
          </w:p>
        </w:tc>
        <w:tc>
          <w:tcPr>
            <w:tcW w:w="3020" w:type="dxa"/>
            <w:tcBorders>
              <w:left w:val="single" w:sz="4" w:space="0" w:color="auto"/>
              <w:bottom w:val="single" w:sz="4" w:space="0" w:color="auto"/>
              <w:right w:val="single" w:sz="4" w:space="0" w:color="auto"/>
            </w:tcBorders>
            <w:shd w:val="clear" w:color="auto" w:fill="auto"/>
            <w:vAlign w:val="center"/>
          </w:tcPr>
          <w:p w14:paraId="6B9C4526" w14:textId="77777777" w:rsidR="001D37B2" w:rsidRPr="009B20C0" w:rsidRDefault="001D37B2" w:rsidP="008546F3">
            <w:pPr>
              <w:pStyle w:val="TableText0"/>
              <w:widowControl w:val="0"/>
              <w:tabs>
                <w:tab w:val="right" w:pos="3613"/>
              </w:tabs>
              <w:jc w:val="center"/>
              <w:rPr>
                <w:iCs/>
              </w:rPr>
            </w:pPr>
            <w:r w:rsidRPr="009B20C0">
              <w:rPr>
                <w:iCs/>
              </w:rPr>
              <w:t>246/6,165 (4.0%)</w:t>
            </w:r>
          </w:p>
        </w:tc>
      </w:tr>
      <w:tr w:rsidR="001D37B2" w:rsidRPr="009B20C0" w14:paraId="1C406376" w14:textId="77777777" w:rsidTr="008546F3">
        <w:trPr>
          <w:trHeight w:val="70"/>
        </w:trPr>
        <w:tc>
          <w:tcPr>
            <w:tcW w:w="9017" w:type="dxa"/>
            <w:gridSpan w:val="3"/>
            <w:tcBorders>
              <w:top w:val="single" w:sz="4" w:space="0" w:color="auto"/>
              <w:left w:val="single" w:sz="4" w:space="0" w:color="auto"/>
              <w:bottom w:val="single" w:sz="4" w:space="0" w:color="auto"/>
              <w:right w:val="single" w:sz="4" w:space="0" w:color="auto"/>
            </w:tcBorders>
            <w:shd w:val="clear" w:color="auto" w:fill="auto"/>
          </w:tcPr>
          <w:p w14:paraId="0E48DC84" w14:textId="77777777" w:rsidR="001D37B2" w:rsidRPr="009B20C0" w:rsidRDefault="001D37B2" w:rsidP="008546F3">
            <w:pPr>
              <w:pStyle w:val="TableText0"/>
              <w:widowControl w:val="0"/>
              <w:tabs>
                <w:tab w:val="right" w:pos="3613"/>
              </w:tabs>
              <w:rPr>
                <w:b/>
                <w:bCs w:val="0"/>
                <w:iCs/>
                <w:szCs w:val="20"/>
              </w:rPr>
            </w:pPr>
            <w:bookmarkStart w:id="29" w:name="_Hlk123308232"/>
            <w:r w:rsidRPr="009B20C0">
              <w:rPr>
                <w:b/>
                <w:bCs w:val="0"/>
                <w:iCs/>
                <w:szCs w:val="20"/>
              </w:rPr>
              <w:t>Serious hyperkalaemia leading to hospitalisation</w:t>
            </w:r>
            <w:bookmarkEnd w:id="29"/>
          </w:p>
        </w:tc>
      </w:tr>
      <w:tr w:rsidR="001D37B2" w:rsidRPr="009B20C0" w14:paraId="2FF96AF2"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6D345F7C" w14:textId="77777777" w:rsidR="001D37B2" w:rsidRPr="009B20C0" w:rsidRDefault="001D37B2" w:rsidP="008546F3">
            <w:pPr>
              <w:pStyle w:val="TableText0"/>
              <w:widowControl w:val="0"/>
              <w:tabs>
                <w:tab w:val="right" w:pos="3613"/>
              </w:tabs>
              <w:rPr>
                <w:iCs/>
                <w:szCs w:val="20"/>
              </w:rPr>
            </w:pPr>
            <w:r w:rsidRPr="009B20C0">
              <w:rPr>
                <w:iCs/>
                <w:szCs w:val="20"/>
              </w:rPr>
              <w:t>Overall</w:t>
            </w:r>
          </w:p>
        </w:tc>
        <w:tc>
          <w:tcPr>
            <w:tcW w:w="3020" w:type="dxa"/>
            <w:tcBorders>
              <w:top w:val="single" w:sz="4" w:space="0" w:color="auto"/>
              <w:left w:val="single" w:sz="4" w:space="0" w:color="auto"/>
              <w:bottom w:val="single" w:sz="4" w:space="0" w:color="auto"/>
              <w:right w:val="single" w:sz="4" w:space="0" w:color="auto"/>
            </w:tcBorders>
            <w:shd w:val="clear" w:color="auto" w:fill="auto"/>
          </w:tcPr>
          <w:p w14:paraId="0D400C0A" w14:textId="77777777" w:rsidR="001D37B2" w:rsidRPr="009B20C0" w:rsidRDefault="001D37B2" w:rsidP="008546F3">
            <w:pPr>
              <w:pStyle w:val="TableText0"/>
              <w:widowControl w:val="0"/>
              <w:tabs>
                <w:tab w:val="right" w:pos="3613"/>
              </w:tabs>
              <w:jc w:val="center"/>
              <w:rPr>
                <w:iCs/>
                <w:szCs w:val="20"/>
              </w:rPr>
            </w:pPr>
            <w:r w:rsidRPr="009B20C0">
              <w:rPr>
                <w:iCs/>
              </w:rPr>
              <w:t>61/6,519 (0.9%)</w:t>
            </w:r>
          </w:p>
        </w:tc>
        <w:tc>
          <w:tcPr>
            <w:tcW w:w="3020" w:type="dxa"/>
            <w:tcBorders>
              <w:top w:val="single" w:sz="4" w:space="0" w:color="auto"/>
              <w:left w:val="single" w:sz="4" w:space="0" w:color="auto"/>
              <w:bottom w:val="single" w:sz="4" w:space="0" w:color="auto"/>
              <w:right w:val="single" w:sz="4" w:space="0" w:color="auto"/>
            </w:tcBorders>
            <w:shd w:val="clear" w:color="auto" w:fill="auto"/>
          </w:tcPr>
          <w:p w14:paraId="6D1A9600" w14:textId="77777777" w:rsidR="001D37B2" w:rsidRPr="009B20C0" w:rsidRDefault="001D37B2" w:rsidP="008546F3">
            <w:pPr>
              <w:pStyle w:val="TableText0"/>
              <w:widowControl w:val="0"/>
              <w:tabs>
                <w:tab w:val="right" w:pos="3613"/>
              </w:tabs>
              <w:jc w:val="center"/>
              <w:rPr>
                <w:iCs/>
                <w:szCs w:val="20"/>
              </w:rPr>
            </w:pPr>
            <w:r w:rsidRPr="009B20C0">
              <w:rPr>
                <w:iCs/>
              </w:rPr>
              <w:t>10/6,507 (0.2%)</w:t>
            </w:r>
          </w:p>
        </w:tc>
      </w:tr>
      <w:tr w:rsidR="001D37B2" w:rsidRPr="009B20C0" w14:paraId="4C6BADB9"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0E88A3F4" w14:textId="77777777" w:rsidR="001D37B2" w:rsidRPr="009B20C0" w:rsidRDefault="001D37B2" w:rsidP="008546F3">
            <w:pPr>
              <w:pStyle w:val="TableText0"/>
              <w:widowControl w:val="0"/>
              <w:tabs>
                <w:tab w:val="right" w:pos="3613"/>
              </w:tabs>
              <w:rPr>
                <w:iCs/>
                <w:szCs w:val="20"/>
              </w:rPr>
            </w:pPr>
            <w:r w:rsidRPr="009B20C0">
              <w:rPr>
                <w:iCs/>
                <w:szCs w:val="20"/>
              </w:rPr>
              <w:t>Baseline UACR ≥ 200 mg/g</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2B06798B" w14:textId="77777777" w:rsidR="001D37B2" w:rsidRPr="009B20C0" w:rsidRDefault="001D37B2" w:rsidP="008546F3">
            <w:pPr>
              <w:pStyle w:val="TableText0"/>
              <w:widowControl w:val="0"/>
              <w:tabs>
                <w:tab w:val="right" w:pos="3613"/>
              </w:tabs>
              <w:jc w:val="center"/>
              <w:rPr>
                <w:iCs/>
              </w:rPr>
            </w:pPr>
            <w:r w:rsidRPr="009B20C0">
              <w:rPr>
                <w:iCs/>
              </w:rPr>
              <w:t>45/4,873 (0.9%)</w:t>
            </w:r>
          </w:p>
        </w:tc>
        <w:tc>
          <w:tcPr>
            <w:tcW w:w="3020" w:type="dxa"/>
            <w:tcBorders>
              <w:left w:val="single" w:sz="4" w:space="0" w:color="auto"/>
              <w:bottom w:val="single" w:sz="4" w:space="0" w:color="auto"/>
              <w:right w:val="single" w:sz="4" w:space="0" w:color="auto"/>
            </w:tcBorders>
            <w:shd w:val="clear" w:color="auto" w:fill="auto"/>
            <w:vAlign w:val="center"/>
          </w:tcPr>
          <w:p w14:paraId="3271A24A" w14:textId="77777777" w:rsidR="001D37B2" w:rsidRPr="009B20C0" w:rsidRDefault="001D37B2" w:rsidP="008546F3">
            <w:pPr>
              <w:pStyle w:val="TableText0"/>
              <w:widowControl w:val="0"/>
              <w:tabs>
                <w:tab w:val="right" w:pos="3613"/>
              </w:tabs>
              <w:jc w:val="center"/>
              <w:rPr>
                <w:iCs/>
              </w:rPr>
            </w:pPr>
            <w:r w:rsidRPr="009B20C0">
              <w:rPr>
                <w:iCs/>
              </w:rPr>
              <w:t>8/4,860 (0.2%)</w:t>
            </w:r>
          </w:p>
        </w:tc>
      </w:tr>
      <w:tr w:rsidR="001D37B2" w:rsidRPr="009B20C0" w14:paraId="695FAAEE"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9F47EED" w14:textId="77777777" w:rsidR="001D37B2" w:rsidRPr="009B20C0" w:rsidRDefault="001D37B2" w:rsidP="008546F3">
            <w:pPr>
              <w:pStyle w:val="TableText0"/>
              <w:widowControl w:val="0"/>
              <w:tabs>
                <w:tab w:val="right" w:pos="3613"/>
              </w:tabs>
              <w:rPr>
                <w:iCs/>
                <w:szCs w:val="20"/>
              </w:rPr>
            </w:pPr>
            <w:r w:rsidRPr="009B20C0">
              <w:rPr>
                <w:iCs/>
                <w:szCs w:val="20"/>
              </w:rPr>
              <w:t>Complement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13B63972" w14:textId="77777777" w:rsidR="001D37B2" w:rsidRPr="009B20C0" w:rsidRDefault="001D37B2" w:rsidP="008546F3">
            <w:pPr>
              <w:pStyle w:val="TableText0"/>
              <w:widowControl w:val="0"/>
              <w:tabs>
                <w:tab w:val="right" w:pos="3613"/>
              </w:tabs>
              <w:jc w:val="center"/>
              <w:rPr>
                <w:iCs/>
              </w:rPr>
            </w:pPr>
            <w:r w:rsidRPr="009B20C0">
              <w:rPr>
                <w:iCs/>
              </w:rPr>
              <w:t>16/1,637 (1.0%)</w:t>
            </w:r>
          </w:p>
        </w:tc>
        <w:tc>
          <w:tcPr>
            <w:tcW w:w="3020" w:type="dxa"/>
            <w:tcBorders>
              <w:left w:val="single" w:sz="4" w:space="0" w:color="auto"/>
              <w:bottom w:val="single" w:sz="4" w:space="0" w:color="auto"/>
              <w:right w:val="single" w:sz="4" w:space="0" w:color="auto"/>
            </w:tcBorders>
            <w:shd w:val="clear" w:color="auto" w:fill="auto"/>
            <w:vAlign w:val="center"/>
          </w:tcPr>
          <w:p w14:paraId="50C67ABE" w14:textId="77777777" w:rsidR="001D37B2" w:rsidRPr="009B20C0" w:rsidRDefault="001D37B2" w:rsidP="008546F3">
            <w:pPr>
              <w:pStyle w:val="TableText0"/>
              <w:widowControl w:val="0"/>
              <w:tabs>
                <w:tab w:val="right" w:pos="3613"/>
              </w:tabs>
              <w:jc w:val="center"/>
              <w:rPr>
                <w:iCs/>
              </w:rPr>
            </w:pPr>
            <w:r w:rsidRPr="009B20C0">
              <w:rPr>
                <w:iCs/>
              </w:rPr>
              <w:t>2/1,629 (0.1%)</w:t>
            </w:r>
          </w:p>
        </w:tc>
      </w:tr>
      <w:tr w:rsidR="001D37B2" w:rsidRPr="009B20C0" w14:paraId="7DC2F702"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62D597C" w14:textId="77777777" w:rsidR="001D37B2" w:rsidRPr="009B20C0" w:rsidRDefault="001D37B2" w:rsidP="008546F3">
            <w:pPr>
              <w:pStyle w:val="TableText0"/>
              <w:widowControl w:val="0"/>
              <w:tabs>
                <w:tab w:val="right" w:pos="3613"/>
              </w:tabs>
              <w:rPr>
                <w:iCs/>
                <w:szCs w:val="20"/>
              </w:rPr>
            </w:pPr>
            <w:r w:rsidRPr="009B20C0">
              <w:rPr>
                <w:iCs/>
                <w:szCs w:val="20"/>
              </w:rPr>
              <w:t>Baseline UACR ≥ 200 mg/g +SGLT2i</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64CEA889" w14:textId="77777777" w:rsidR="001D37B2" w:rsidRPr="009B20C0" w:rsidRDefault="001D37B2" w:rsidP="008546F3">
            <w:pPr>
              <w:pStyle w:val="TableText0"/>
              <w:widowControl w:val="0"/>
              <w:tabs>
                <w:tab w:val="right" w:pos="3613"/>
              </w:tabs>
              <w:jc w:val="center"/>
              <w:rPr>
                <w:iCs/>
              </w:rPr>
            </w:pPr>
            <w:r w:rsidRPr="009B20C0">
              <w:rPr>
                <w:iCs/>
              </w:rPr>
              <w:t>1/324 (0.3%)</w:t>
            </w:r>
          </w:p>
        </w:tc>
        <w:tc>
          <w:tcPr>
            <w:tcW w:w="3020" w:type="dxa"/>
            <w:tcBorders>
              <w:left w:val="single" w:sz="4" w:space="0" w:color="auto"/>
              <w:bottom w:val="single" w:sz="4" w:space="0" w:color="auto"/>
              <w:right w:val="single" w:sz="4" w:space="0" w:color="auto"/>
            </w:tcBorders>
            <w:shd w:val="clear" w:color="auto" w:fill="auto"/>
            <w:vAlign w:val="center"/>
          </w:tcPr>
          <w:p w14:paraId="67247C57" w14:textId="77777777" w:rsidR="001D37B2" w:rsidRPr="009B20C0" w:rsidRDefault="001D37B2" w:rsidP="008546F3">
            <w:pPr>
              <w:pStyle w:val="TableText0"/>
              <w:widowControl w:val="0"/>
              <w:tabs>
                <w:tab w:val="right" w:pos="3613"/>
              </w:tabs>
              <w:jc w:val="center"/>
              <w:rPr>
                <w:iCs/>
              </w:rPr>
            </w:pPr>
            <w:r w:rsidRPr="009B20C0">
              <w:rPr>
                <w:iCs/>
              </w:rPr>
              <w:t>0</w:t>
            </w:r>
          </w:p>
        </w:tc>
      </w:tr>
      <w:tr w:rsidR="001D37B2" w:rsidRPr="009B20C0" w14:paraId="1DCC0AEE"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B8B0D06" w14:textId="77777777" w:rsidR="001D37B2" w:rsidRPr="009B20C0" w:rsidRDefault="001D37B2" w:rsidP="008546F3">
            <w:pPr>
              <w:pStyle w:val="TableText0"/>
              <w:widowControl w:val="0"/>
              <w:tabs>
                <w:tab w:val="right" w:pos="3613"/>
              </w:tabs>
              <w:rPr>
                <w:iCs/>
                <w:szCs w:val="20"/>
              </w:rPr>
            </w:pPr>
            <w:r w:rsidRPr="009B20C0">
              <w:rPr>
                <w:iCs/>
                <w:szCs w:val="20"/>
              </w:rPr>
              <w:t>Complement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607F7E69" w14:textId="77777777" w:rsidR="001D37B2" w:rsidRPr="009B20C0" w:rsidRDefault="001D37B2" w:rsidP="008546F3">
            <w:pPr>
              <w:pStyle w:val="TableText0"/>
              <w:widowControl w:val="0"/>
              <w:tabs>
                <w:tab w:val="right" w:pos="3613"/>
              </w:tabs>
              <w:jc w:val="center"/>
              <w:rPr>
                <w:iCs/>
              </w:rPr>
            </w:pPr>
            <w:r w:rsidRPr="009B20C0">
              <w:rPr>
                <w:iCs/>
              </w:rPr>
              <w:t>60/6,186 (1.0%)</w:t>
            </w:r>
          </w:p>
        </w:tc>
        <w:tc>
          <w:tcPr>
            <w:tcW w:w="3020" w:type="dxa"/>
            <w:tcBorders>
              <w:left w:val="single" w:sz="4" w:space="0" w:color="auto"/>
              <w:bottom w:val="single" w:sz="4" w:space="0" w:color="auto"/>
              <w:right w:val="single" w:sz="4" w:space="0" w:color="auto"/>
            </w:tcBorders>
            <w:shd w:val="clear" w:color="auto" w:fill="auto"/>
            <w:vAlign w:val="center"/>
          </w:tcPr>
          <w:p w14:paraId="16217D2E" w14:textId="77777777" w:rsidR="001D37B2" w:rsidRPr="009B20C0" w:rsidRDefault="001D37B2" w:rsidP="008546F3">
            <w:pPr>
              <w:pStyle w:val="TableText0"/>
              <w:widowControl w:val="0"/>
              <w:tabs>
                <w:tab w:val="right" w:pos="3613"/>
              </w:tabs>
              <w:jc w:val="center"/>
              <w:rPr>
                <w:iCs/>
              </w:rPr>
            </w:pPr>
            <w:r w:rsidRPr="009B20C0">
              <w:rPr>
                <w:iCs/>
              </w:rPr>
              <w:t>10/6,165 (0.2%)</w:t>
            </w:r>
          </w:p>
        </w:tc>
      </w:tr>
      <w:tr w:rsidR="001D37B2" w:rsidRPr="009B20C0" w14:paraId="2A73B159" w14:textId="77777777" w:rsidTr="008546F3">
        <w:trPr>
          <w:trHeight w:val="70"/>
        </w:trPr>
        <w:tc>
          <w:tcPr>
            <w:tcW w:w="9017" w:type="dxa"/>
            <w:gridSpan w:val="3"/>
            <w:tcBorders>
              <w:top w:val="single" w:sz="4" w:space="0" w:color="auto"/>
              <w:left w:val="single" w:sz="4" w:space="0" w:color="auto"/>
              <w:bottom w:val="single" w:sz="4" w:space="0" w:color="auto"/>
              <w:right w:val="single" w:sz="4" w:space="0" w:color="auto"/>
            </w:tcBorders>
            <w:shd w:val="clear" w:color="auto" w:fill="auto"/>
          </w:tcPr>
          <w:p w14:paraId="37CC0F4C" w14:textId="77777777" w:rsidR="001D37B2" w:rsidRPr="009B20C0" w:rsidRDefault="001D37B2" w:rsidP="008546F3">
            <w:pPr>
              <w:pStyle w:val="TableText0"/>
              <w:widowControl w:val="0"/>
              <w:tabs>
                <w:tab w:val="right" w:pos="3613"/>
              </w:tabs>
              <w:rPr>
                <w:b/>
                <w:bCs w:val="0"/>
                <w:iCs/>
                <w:szCs w:val="20"/>
              </w:rPr>
            </w:pPr>
            <w:r w:rsidRPr="009B20C0">
              <w:rPr>
                <w:b/>
                <w:bCs w:val="0"/>
                <w:iCs/>
                <w:szCs w:val="20"/>
              </w:rPr>
              <w:t>Serious hyperkalaemia leading to discontinuation</w:t>
            </w:r>
          </w:p>
        </w:tc>
      </w:tr>
      <w:tr w:rsidR="001D37B2" w:rsidRPr="009B20C0" w14:paraId="342FBA03"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3677BE6" w14:textId="77777777" w:rsidR="001D37B2" w:rsidRPr="009B20C0" w:rsidRDefault="001D37B2" w:rsidP="008546F3">
            <w:pPr>
              <w:pStyle w:val="TableText0"/>
              <w:widowControl w:val="0"/>
              <w:tabs>
                <w:tab w:val="right" w:pos="3613"/>
              </w:tabs>
              <w:rPr>
                <w:iCs/>
                <w:szCs w:val="20"/>
              </w:rPr>
            </w:pPr>
            <w:r w:rsidRPr="009B20C0">
              <w:rPr>
                <w:iCs/>
                <w:szCs w:val="20"/>
              </w:rPr>
              <w:t>Overall</w:t>
            </w:r>
          </w:p>
        </w:tc>
        <w:tc>
          <w:tcPr>
            <w:tcW w:w="3020" w:type="dxa"/>
            <w:tcBorders>
              <w:top w:val="single" w:sz="4" w:space="0" w:color="auto"/>
              <w:left w:val="single" w:sz="4" w:space="0" w:color="auto"/>
              <w:bottom w:val="single" w:sz="4" w:space="0" w:color="auto"/>
              <w:right w:val="single" w:sz="4" w:space="0" w:color="auto"/>
            </w:tcBorders>
            <w:shd w:val="clear" w:color="auto" w:fill="auto"/>
          </w:tcPr>
          <w:p w14:paraId="2408F4DB" w14:textId="77777777" w:rsidR="001D37B2" w:rsidRPr="009B20C0" w:rsidRDefault="001D37B2" w:rsidP="008546F3">
            <w:pPr>
              <w:pStyle w:val="TableText0"/>
              <w:widowControl w:val="0"/>
              <w:tabs>
                <w:tab w:val="right" w:pos="3613"/>
              </w:tabs>
              <w:jc w:val="center"/>
              <w:rPr>
                <w:iCs/>
              </w:rPr>
            </w:pPr>
            <w:r w:rsidRPr="009B20C0">
              <w:rPr>
                <w:iCs/>
              </w:rPr>
              <w:t>10/6,519 (0.2%)</w:t>
            </w:r>
          </w:p>
        </w:tc>
        <w:tc>
          <w:tcPr>
            <w:tcW w:w="3020" w:type="dxa"/>
            <w:tcBorders>
              <w:top w:val="single" w:sz="4" w:space="0" w:color="auto"/>
              <w:left w:val="single" w:sz="4" w:space="0" w:color="auto"/>
              <w:bottom w:val="single" w:sz="4" w:space="0" w:color="auto"/>
              <w:right w:val="single" w:sz="4" w:space="0" w:color="auto"/>
            </w:tcBorders>
            <w:shd w:val="clear" w:color="auto" w:fill="auto"/>
          </w:tcPr>
          <w:p w14:paraId="06A64849" w14:textId="77777777" w:rsidR="001D37B2" w:rsidRPr="009B20C0" w:rsidRDefault="001D37B2" w:rsidP="008546F3">
            <w:pPr>
              <w:pStyle w:val="TableText0"/>
              <w:widowControl w:val="0"/>
              <w:tabs>
                <w:tab w:val="right" w:pos="3613"/>
              </w:tabs>
              <w:jc w:val="center"/>
              <w:rPr>
                <w:iCs/>
              </w:rPr>
            </w:pPr>
            <w:r w:rsidRPr="009B20C0">
              <w:rPr>
                <w:iCs/>
              </w:rPr>
              <w:t>2/6,507 (&lt;0.1%)</w:t>
            </w:r>
          </w:p>
        </w:tc>
      </w:tr>
      <w:tr w:rsidR="001D37B2" w:rsidRPr="009B20C0" w14:paraId="27038A53"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5FFE659" w14:textId="77777777" w:rsidR="001D37B2" w:rsidRPr="009B20C0" w:rsidRDefault="001D37B2" w:rsidP="008546F3">
            <w:pPr>
              <w:pStyle w:val="TableText0"/>
              <w:widowControl w:val="0"/>
              <w:tabs>
                <w:tab w:val="right" w:pos="3613"/>
              </w:tabs>
              <w:rPr>
                <w:iCs/>
                <w:szCs w:val="20"/>
              </w:rPr>
            </w:pPr>
            <w:r w:rsidRPr="009B20C0">
              <w:rPr>
                <w:iCs/>
                <w:szCs w:val="20"/>
              </w:rPr>
              <w:t>Baseline UACR ≥ 200 mg/g</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6534B554" w14:textId="77777777" w:rsidR="001D37B2" w:rsidRPr="009B20C0" w:rsidRDefault="001D37B2" w:rsidP="008546F3">
            <w:pPr>
              <w:pStyle w:val="TableText0"/>
              <w:widowControl w:val="0"/>
              <w:tabs>
                <w:tab w:val="right" w:pos="3613"/>
              </w:tabs>
              <w:jc w:val="center"/>
              <w:rPr>
                <w:iCs/>
              </w:rPr>
            </w:pPr>
            <w:r w:rsidRPr="009B20C0">
              <w:rPr>
                <w:iCs/>
              </w:rPr>
              <w:t>7/4,873 (0.1%)</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321D3EEB" w14:textId="77777777" w:rsidR="001D37B2" w:rsidRPr="009B20C0" w:rsidRDefault="001D37B2" w:rsidP="008546F3">
            <w:pPr>
              <w:pStyle w:val="TableText0"/>
              <w:widowControl w:val="0"/>
              <w:tabs>
                <w:tab w:val="right" w:pos="3613"/>
              </w:tabs>
              <w:jc w:val="center"/>
              <w:rPr>
                <w:iCs/>
              </w:rPr>
            </w:pPr>
            <w:r w:rsidRPr="009B20C0">
              <w:rPr>
                <w:iCs/>
              </w:rPr>
              <w:t>2/4,860 (&lt;0.1%)</w:t>
            </w:r>
          </w:p>
        </w:tc>
      </w:tr>
      <w:tr w:rsidR="001D37B2" w:rsidRPr="009B20C0" w14:paraId="09C8C852"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DDE5A88" w14:textId="77777777" w:rsidR="001D37B2" w:rsidRPr="009B20C0" w:rsidRDefault="001D37B2" w:rsidP="008546F3">
            <w:pPr>
              <w:pStyle w:val="TableText0"/>
              <w:widowControl w:val="0"/>
              <w:tabs>
                <w:tab w:val="right" w:pos="3613"/>
              </w:tabs>
              <w:rPr>
                <w:iCs/>
                <w:szCs w:val="20"/>
              </w:rPr>
            </w:pPr>
            <w:r w:rsidRPr="009B20C0">
              <w:rPr>
                <w:iCs/>
                <w:szCs w:val="20"/>
              </w:rPr>
              <w:t>Complement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6643FF14" w14:textId="77777777" w:rsidR="001D37B2" w:rsidRPr="009B20C0" w:rsidRDefault="001D37B2" w:rsidP="008546F3">
            <w:pPr>
              <w:pStyle w:val="TableText0"/>
              <w:widowControl w:val="0"/>
              <w:tabs>
                <w:tab w:val="right" w:pos="3613"/>
              </w:tabs>
              <w:jc w:val="center"/>
              <w:rPr>
                <w:iCs/>
              </w:rPr>
            </w:pPr>
            <w:r w:rsidRPr="009B20C0">
              <w:rPr>
                <w:iCs/>
              </w:rPr>
              <w:t>3/1,637 (0.2%)</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599D7CC7" w14:textId="77777777" w:rsidR="001D37B2" w:rsidRPr="009B20C0" w:rsidRDefault="001D37B2" w:rsidP="008546F3">
            <w:pPr>
              <w:pStyle w:val="TableText0"/>
              <w:widowControl w:val="0"/>
              <w:tabs>
                <w:tab w:val="right" w:pos="3613"/>
              </w:tabs>
              <w:jc w:val="center"/>
              <w:rPr>
                <w:iCs/>
              </w:rPr>
            </w:pPr>
            <w:r w:rsidRPr="009B20C0">
              <w:rPr>
                <w:iCs/>
              </w:rPr>
              <w:t>0</w:t>
            </w:r>
          </w:p>
        </w:tc>
      </w:tr>
      <w:tr w:rsidR="001D37B2" w:rsidRPr="009B20C0" w14:paraId="3C40E808"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6B9A616" w14:textId="77777777" w:rsidR="001D37B2" w:rsidRPr="009B20C0" w:rsidRDefault="001D37B2" w:rsidP="008546F3">
            <w:pPr>
              <w:pStyle w:val="TableText0"/>
              <w:widowControl w:val="0"/>
              <w:tabs>
                <w:tab w:val="right" w:pos="3613"/>
              </w:tabs>
              <w:rPr>
                <w:iCs/>
                <w:szCs w:val="20"/>
              </w:rPr>
            </w:pPr>
            <w:r w:rsidRPr="009B20C0">
              <w:rPr>
                <w:iCs/>
                <w:szCs w:val="20"/>
              </w:rPr>
              <w:t>Baseline UACR ≥ 200 mg/g +SGLT2i</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4B2591F4" w14:textId="77777777" w:rsidR="001D37B2" w:rsidRPr="009B20C0" w:rsidRDefault="001D37B2" w:rsidP="008546F3">
            <w:pPr>
              <w:pStyle w:val="TableText0"/>
              <w:widowControl w:val="0"/>
              <w:tabs>
                <w:tab w:val="right" w:pos="3613"/>
              </w:tabs>
              <w:jc w:val="center"/>
              <w:rPr>
                <w:iCs/>
              </w:rPr>
            </w:pPr>
            <w:r w:rsidRPr="009B20C0">
              <w:rPr>
                <w:iCs/>
              </w:rPr>
              <w:t>1/324 (0.3%)</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7B5D1022" w14:textId="77777777" w:rsidR="001D37B2" w:rsidRPr="009B20C0" w:rsidRDefault="001D37B2" w:rsidP="008546F3">
            <w:pPr>
              <w:pStyle w:val="TableText0"/>
              <w:widowControl w:val="0"/>
              <w:tabs>
                <w:tab w:val="right" w:pos="3613"/>
              </w:tabs>
              <w:jc w:val="center"/>
              <w:rPr>
                <w:iCs/>
              </w:rPr>
            </w:pPr>
            <w:r w:rsidRPr="009B20C0">
              <w:rPr>
                <w:iCs/>
              </w:rPr>
              <w:t>0</w:t>
            </w:r>
          </w:p>
        </w:tc>
      </w:tr>
      <w:tr w:rsidR="001D37B2" w:rsidRPr="009B20C0" w14:paraId="693D690B" w14:textId="77777777" w:rsidTr="008546F3">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112422A" w14:textId="77777777" w:rsidR="001D37B2" w:rsidRPr="009B20C0" w:rsidRDefault="001D37B2" w:rsidP="008546F3">
            <w:pPr>
              <w:pStyle w:val="TableText0"/>
              <w:widowControl w:val="0"/>
              <w:tabs>
                <w:tab w:val="right" w:pos="3613"/>
              </w:tabs>
              <w:rPr>
                <w:iCs/>
                <w:szCs w:val="20"/>
              </w:rPr>
            </w:pPr>
            <w:r w:rsidRPr="009B20C0">
              <w:rPr>
                <w:iCs/>
                <w:szCs w:val="20"/>
              </w:rPr>
              <w:t>Complement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54811521" w14:textId="77777777" w:rsidR="001D37B2" w:rsidRPr="009B20C0" w:rsidRDefault="001D37B2" w:rsidP="008546F3">
            <w:pPr>
              <w:pStyle w:val="TableText0"/>
              <w:widowControl w:val="0"/>
              <w:tabs>
                <w:tab w:val="right" w:pos="3613"/>
              </w:tabs>
              <w:jc w:val="center"/>
              <w:rPr>
                <w:iCs/>
              </w:rPr>
            </w:pPr>
            <w:r w:rsidRPr="009B20C0">
              <w:rPr>
                <w:iCs/>
              </w:rPr>
              <w:t>9/6,186 (0.1%)</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771484F4" w14:textId="77777777" w:rsidR="001D37B2" w:rsidRPr="009B20C0" w:rsidRDefault="001D37B2" w:rsidP="008546F3">
            <w:pPr>
              <w:pStyle w:val="TableText0"/>
              <w:widowControl w:val="0"/>
              <w:tabs>
                <w:tab w:val="right" w:pos="3613"/>
              </w:tabs>
              <w:jc w:val="center"/>
              <w:rPr>
                <w:iCs/>
              </w:rPr>
            </w:pPr>
            <w:r w:rsidRPr="009B20C0">
              <w:rPr>
                <w:iCs/>
              </w:rPr>
              <w:t>2/6,165 (&lt;0.1%)</w:t>
            </w:r>
          </w:p>
        </w:tc>
      </w:tr>
    </w:tbl>
    <w:p w14:paraId="73F3B41E" w14:textId="77777777" w:rsidR="001D37B2" w:rsidRPr="009B20C0" w:rsidRDefault="001D37B2" w:rsidP="001D37B2">
      <w:pPr>
        <w:pStyle w:val="TableFooter"/>
        <w:rPr>
          <w:iCs/>
        </w:rPr>
      </w:pPr>
      <w:r w:rsidRPr="009B20C0">
        <w:rPr>
          <w:iCs/>
        </w:rPr>
        <w:t>Source: Tables 61, pp94-95 of the resubmission.</w:t>
      </w:r>
    </w:p>
    <w:p w14:paraId="6751DD08" w14:textId="77777777" w:rsidR="001D37B2" w:rsidRPr="009B20C0" w:rsidRDefault="001D37B2" w:rsidP="001D37B2">
      <w:pPr>
        <w:pStyle w:val="TableFooter"/>
        <w:rPr>
          <w:iCs/>
        </w:rPr>
      </w:pPr>
      <w:r w:rsidRPr="009B20C0">
        <w:rPr>
          <w:iCs/>
        </w:rPr>
        <w:t>Abbreviations: SAS, safety analysis set; SGLT2i, sodium glucose co-transporter 2 inhibitor; UACR, urinary albumin-creatinine ratio.</w:t>
      </w:r>
    </w:p>
    <w:p w14:paraId="4A9958BE" w14:textId="77777777" w:rsidR="001D37B2" w:rsidRPr="009B20C0" w:rsidRDefault="001D37B2" w:rsidP="001D37B2">
      <w:pPr>
        <w:pStyle w:val="TableFooter"/>
        <w:rPr>
          <w:iCs/>
        </w:rPr>
      </w:pPr>
      <w:r w:rsidRPr="009B20C0">
        <w:rPr>
          <w:iCs/>
        </w:rPr>
        <w:t>Note: Hyperkalaemia: serum potassium &gt; 5.5 mmol/L. Severe hyperkalaemia: serum potassium &gt; 6.0 mmol/L.</w:t>
      </w:r>
    </w:p>
    <w:p w14:paraId="04908C7F" w14:textId="415B9B7D" w:rsidR="007F1017" w:rsidRPr="00C9624D" w:rsidRDefault="007F1017" w:rsidP="00D86231">
      <w:pPr>
        <w:pStyle w:val="COMH2-non-numbered"/>
      </w:pPr>
      <w:bookmarkStart w:id="30" w:name="_Toc22897643"/>
      <w:bookmarkStart w:id="31" w:name="_Toc124857605"/>
      <w:r w:rsidRPr="00C9624D">
        <w:t>Benefits/harms</w:t>
      </w:r>
      <w:bookmarkEnd w:id="30"/>
      <w:bookmarkEnd w:id="31"/>
    </w:p>
    <w:p w14:paraId="5FC80F57" w14:textId="77777777" w:rsidR="000466C3" w:rsidRPr="00C623FC" w:rsidRDefault="000466C3" w:rsidP="000466C3">
      <w:pPr>
        <w:pStyle w:val="ExecSumBodyText"/>
        <w:numPr>
          <w:ilvl w:val="1"/>
          <w:numId w:val="1"/>
        </w:numPr>
        <w:ind w:left="709" w:hanging="709"/>
        <w:contextualSpacing/>
      </w:pPr>
      <w:r w:rsidRPr="00C623FC">
        <w:t>Based on the FIDELITY analysis, for every 1,000 patients treated with finerenone in comparison with placebo over 3 years:</w:t>
      </w:r>
    </w:p>
    <w:p w14:paraId="19015852" w14:textId="77777777" w:rsidR="000466C3" w:rsidRPr="00C623FC" w:rsidRDefault="000466C3" w:rsidP="00F772E6">
      <w:pPr>
        <w:pStyle w:val="ExecSumBodyText"/>
        <w:numPr>
          <w:ilvl w:val="0"/>
          <w:numId w:val="14"/>
        </w:numPr>
        <w:ind w:left="1066" w:hanging="357"/>
        <w:contextualSpacing/>
      </w:pPr>
      <w:r w:rsidRPr="00C623FC">
        <w:t>There would be 17 fewer cardiovascular events (primarily hospitalisation for heart failure).</w:t>
      </w:r>
    </w:p>
    <w:p w14:paraId="63A601DA" w14:textId="77777777" w:rsidR="000466C3" w:rsidRPr="00C623FC" w:rsidRDefault="000466C3" w:rsidP="00F772E6">
      <w:pPr>
        <w:pStyle w:val="ExecSumBodyText"/>
        <w:numPr>
          <w:ilvl w:val="0"/>
          <w:numId w:val="14"/>
        </w:numPr>
        <w:ind w:left="1066" w:hanging="357"/>
        <w:contextualSpacing/>
      </w:pPr>
      <w:r w:rsidRPr="00C623FC">
        <w:t>There would be 22 fewer renal events (primarily sustained worsening of kidney function).</w:t>
      </w:r>
    </w:p>
    <w:p w14:paraId="72A1EDA5" w14:textId="77777777" w:rsidR="000466C3" w:rsidRPr="00C623FC" w:rsidRDefault="000466C3" w:rsidP="00F772E6">
      <w:pPr>
        <w:pStyle w:val="ExecSumBodyText"/>
        <w:numPr>
          <w:ilvl w:val="0"/>
          <w:numId w:val="14"/>
        </w:numPr>
      </w:pPr>
      <w:r w:rsidRPr="00C623FC">
        <w:t>There would be 71 additional patients experiencing a hyperkalaemia event with 7 requiring hospitalisation.</w:t>
      </w:r>
    </w:p>
    <w:p w14:paraId="33696279" w14:textId="68A2684D" w:rsidR="002E1071" w:rsidRPr="002E1071" w:rsidRDefault="004D5C83" w:rsidP="00D2155B">
      <w:pPr>
        <w:pStyle w:val="COMexecsumnumberedpara"/>
      </w:pPr>
      <w:r>
        <w:t xml:space="preserve">Benefits and harms </w:t>
      </w:r>
      <w:r w:rsidR="00572EDE">
        <w:t>were</w:t>
      </w:r>
      <w:r>
        <w:t xml:space="preserve"> not </w:t>
      </w:r>
      <w:r w:rsidR="00424570">
        <w:t xml:space="preserve">presented for the </w:t>
      </w:r>
      <w:r w:rsidR="00424570">
        <w:rPr>
          <w:i/>
          <w:iCs/>
        </w:rPr>
        <w:t xml:space="preserve">post hoc </w:t>
      </w:r>
      <w:r w:rsidR="00424570" w:rsidRPr="00424570">
        <w:rPr>
          <w:szCs w:val="20"/>
        </w:rPr>
        <w:t xml:space="preserve">FIDELITY </w:t>
      </w:r>
      <w:r w:rsidR="00424570">
        <w:t xml:space="preserve">subgroup with baseline </w:t>
      </w:r>
      <w:r w:rsidR="00424570" w:rsidRPr="004C6A4E">
        <w:rPr>
          <w:szCs w:val="20"/>
        </w:rPr>
        <w:t>UACR ≥ 200 mg/g and SGLT2i use</w:t>
      </w:r>
      <w:r w:rsidR="00424570">
        <w:rPr>
          <w:szCs w:val="20"/>
        </w:rPr>
        <w:t xml:space="preserve">, given the small number of </w:t>
      </w:r>
      <w:r w:rsidR="00424570" w:rsidRPr="00424570">
        <w:rPr>
          <w:szCs w:val="20"/>
        </w:rPr>
        <w:t>patients in the subgroup, and the small numbers of events</w:t>
      </w:r>
      <w:r w:rsidR="00424570">
        <w:rPr>
          <w:szCs w:val="20"/>
        </w:rPr>
        <w:t>.</w:t>
      </w:r>
    </w:p>
    <w:p w14:paraId="7A1772B6" w14:textId="23BB3145" w:rsidR="00B60939" w:rsidRPr="00C9624D" w:rsidRDefault="00B60939" w:rsidP="00E9094A">
      <w:pPr>
        <w:pStyle w:val="COMH2-non-numbered"/>
      </w:pPr>
      <w:bookmarkStart w:id="32" w:name="_Toc22897644"/>
      <w:bookmarkStart w:id="33" w:name="_Toc124857606"/>
      <w:r w:rsidRPr="00C9624D">
        <w:t>Clinical claim</w:t>
      </w:r>
      <w:bookmarkEnd w:id="32"/>
      <w:bookmarkEnd w:id="33"/>
    </w:p>
    <w:p w14:paraId="289EAA5E" w14:textId="16D91B30" w:rsidR="007C70FF" w:rsidRDefault="00C7761B" w:rsidP="00E9094A">
      <w:pPr>
        <w:pStyle w:val="COMexecsumnumberedpara"/>
        <w:rPr>
          <w:color w:val="0066FF"/>
        </w:rPr>
      </w:pPr>
      <w:r w:rsidRPr="00D13A3E">
        <w:t xml:space="preserve">The </w:t>
      </w:r>
      <w:r>
        <w:t>re</w:t>
      </w:r>
      <w:r w:rsidRPr="00D13A3E">
        <w:t>submission describe</w:t>
      </w:r>
      <w:r>
        <w:t>d</w:t>
      </w:r>
      <w:r w:rsidRPr="00D13A3E">
        <w:t xml:space="preserve"> </w:t>
      </w:r>
      <w:r>
        <w:t>finerenone</w:t>
      </w:r>
      <w:r w:rsidRPr="00D13A3E">
        <w:t xml:space="preserve"> as </w:t>
      </w:r>
      <w:r>
        <w:t xml:space="preserve">superior </w:t>
      </w:r>
      <w:r w:rsidRPr="00D13A3E">
        <w:t xml:space="preserve">in terms of effectiveness </w:t>
      </w:r>
      <w:r>
        <w:t>and inferior</w:t>
      </w:r>
      <w:r w:rsidRPr="00D13A3E">
        <w:t xml:space="preserve"> in terms of safety </w:t>
      </w:r>
      <w:r>
        <w:t>compared to standard of care</w:t>
      </w:r>
      <w:r w:rsidRPr="00D13A3E">
        <w:t>.</w:t>
      </w:r>
      <w:r>
        <w:t xml:space="preserve"> </w:t>
      </w:r>
      <w:r w:rsidR="008A67DE" w:rsidRPr="009B20C0">
        <w:t>The ESC considered these</w:t>
      </w:r>
      <w:r w:rsidR="008A67DE" w:rsidRPr="00842145">
        <w:rPr>
          <w:iCs/>
        </w:rPr>
        <w:t xml:space="preserve"> </w:t>
      </w:r>
      <w:r w:rsidRPr="00842145">
        <w:rPr>
          <w:iCs/>
        </w:rPr>
        <w:t>claim</w:t>
      </w:r>
      <w:r w:rsidR="00AB6B32" w:rsidRPr="00842145">
        <w:rPr>
          <w:iCs/>
        </w:rPr>
        <w:t>s</w:t>
      </w:r>
      <w:r w:rsidRPr="00842145">
        <w:rPr>
          <w:iCs/>
        </w:rPr>
        <w:t xml:space="preserve"> appeared reasonable based on the data presented in the resubmission</w:t>
      </w:r>
      <w:r w:rsidR="000A51DD">
        <w:rPr>
          <w:iCs/>
        </w:rPr>
        <w:t>.</w:t>
      </w:r>
    </w:p>
    <w:p w14:paraId="54D3A82D" w14:textId="790A8D24" w:rsidR="005F7588" w:rsidRDefault="00C7761B" w:rsidP="00BC07BC">
      <w:pPr>
        <w:pStyle w:val="COMexecsumnumberedpara"/>
      </w:pPr>
      <w:r>
        <w:t xml:space="preserve">The resubmission </w:t>
      </w:r>
      <w:r w:rsidRPr="00E01C49">
        <w:t xml:space="preserve">noted that </w:t>
      </w:r>
      <w:r>
        <w:t xml:space="preserve">the </w:t>
      </w:r>
      <w:r w:rsidRPr="00E01C49">
        <w:t>hyperkal</w:t>
      </w:r>
      <w:r>
        <w:t>a</w:t>
      </w:r>
      <w:r w:rsidRPr="00E01C49">
        <w:t>emia</w:t>
      </w:r>
      <w:r>
        <w:t xml:space="preserve"> </w:t>
      </w:r>
      <w:r w:rsidRPr="00E01C49">
        <w:t xml:space="preserve">risk </w:t>
      </w:r>
      <w:r>
        <w:t xml:space="preserve">associated with finerenone </w:t>
      </w:r>
      <w:r w:rsidRPr="00E01C49">
        <w:t>can be managed by routine clinical monitoring.</w:t>
      </w:r>
      <w:r w:rsidRPr="00842145">
        <w:t xml:space="preserve"> However, the finerenone trials managed the risk of hyperkalaemia through a combination of careful patient selection, intensive monitoring and dose adjustments (down-titrations and dose interruptions) as well as increased use of potassium lowering agents. The PBAC previously considered that the risk of hyperkalaemia was likely to be greater outside the tightly controlled clinical trial environment (para 6.31, Finerenone PSD, July PBAC meeting).</w:t>
      </w:r>
      <w:r w:rsidR="00021BC2" w:rsidRPr="009B20C0">
        <w:t xml:space="preserve"> </w:t>
      </w:r>
      <w:r w:rsidR="002F029B" w:rsidRPr="009B20C0">
        <w:t>The</w:t>
      </w:r>
      <w:r w:rsidR="00021BC2" w:rsidRPr="009B20C0">
        <w:t xml:space="preserve"> P</w:t>
      </w:r>
      <w:r w:rsidR="002A4D82">
        <w:t>re-Sub-Committee Response (P</w:t>
      </w:r>
      <w:r w:rsidR="00021BC2" w:rsidRPr="009B20C0">
        <w:t>SCR</w:t>
      </w:r>
      <w:r w:rsidR="002A4D82">
        <w:t>)</w:t>
      </w:r>
      <w:r w:rsidR="00021BC2" w:rsidRPr="009B20C0">
        <w:t xml:space="preserve"> </w:t>
      </w:r>
      <w:r w:rsidR="008A574E" w:rsidRPr="009B20C0">
        <w:t>highlighted</w:t>
      </w:r>
      <w:r w:rsidR="00021BC2" w:rsidRPr="009B20C0">
        <w:t xml:space="preserve"> that</w:t>
      </w:r>
      <w:r w:rsidR="0073528C" w:rsidRPr="009B20C0">
        <w:t xml:space="preserve"> </w:t>
      </w:r>
      <w:r w:rsidR="004E7A54" w:rsidRPr="009B20C0">
        <w:t xml:space="preserve">the </w:t>
      </w:r>
      <w:r w:rsidR="0073528C" w:rsidRPr="009B20C0">
        <w:t xml:space="preserve">concomitant use of finerenone with a SGLT2i </w:t>
      </w:r>
      <w:r w:rsidR="00C00A7D" w:rsidRPr="009B20C0">
        <w:t>appears to</w:t>
      </w:r>
      <w:r w:rsidR="0073528C" w:rsidRPr="009B20C0">
        <w:t xml:space="preserve"> offer</w:t>
      </w:r>
      <w:r w:rsidR="002F029B" w:rsidRPr="009B20C0">
        <w:t xml:space="preserve"> some</w:t>
      </w:r>
      <w:r w:rsidR="0073528C" w:rsidRPr="009B20C0">
        <w:t xml:space="preserve"> protection against hyperkalemic events </w:t>
      </w:r>
      <w:r w:rsidR="00021BC2" w:rsidRPr="009B20C0">
        <w:t xml:space="preserve">compared with treatment without a </w:t>
      </w:r>
      <w:bookmarkStart w:id="34" w:name="_Hlk126927225"/>
      <w:r w:rsidR="00021BC2" w:rsidRPr="009B20C0">
        <w:t>SGLT2i</w:t>
      </w:r>
      <w:r w:rsidR="0073528C" w:rsidRPr="009B20C0">
        <w:t xml:space="preserve"> </w:t>
      </w:r>
      <w:bookmarkEnd w:id="34"/>
      <w:r w:rsidR="0073528C" w:rsidRPr="009B20C0">
        <w:t>in the pivotal trials</w:t>
      </w:r>
      <w:r w:rsidR="00021BC2" w:rsidRPr="009B20C0">
        <w:t xml:space="preserve">. </w:t>
      </w:r>
      <w:r w:rsidR="00BC07BC" w:rsidRPr="009B20C0">
        <w:t xml:space="preserve">However, the ESC noted the small patient numbers in the UACR </w:t>
      </w:r>
      <w:r w:rsidR="00BC07BC" w:rsidRPr="009B20C0">
        <w:rPr>
          <w:rFonts w:cstheme="minorHAnsi"/>
        </w:rPr>
        <w:t>≥</w:t>
      </w:r>
      <w:r w:rsidR="00BC07BC" w:rsidRPr="009B20C0">
        <w:t xml:space="preserve"> 200 mg/g and SGLT2i use subgroup and considered there was </w:t>
      </w:r>
      <w:r w:rsidR="000A51DD" w:rsidRPr="009B20C0">
        <w:t>limited</w:t>
      </w:r>
      <w:r w:rsidR="00BC07BC" w:rsidRPr="009B20C0">
        <w:t xml:space="preserve"> evidence to suggest that the risk of hyperkalaemia differed for the </w:t>
      </w:r>
      <w:r w:rsidR="000A51DD" w:rsidRPr="009B20C0">
        <w:t>SGLT2i use subgroup</w:t>
      </w:r>
      <w:r w:rsidR="00BC07BC" w:rsidRPr="009B20C0">
        <w:t xml:space="preserve"> patient population compared with the overall patient population. The PSCR also </w:t>
      </w:r>
      <w:r w:rsidR="00AA2BC1" w:rsidRPr="009B20C0">
        <w:t>reiterated that the</w:t>
      </w:r>
      <w:r w:rsidR="00021BC2" w:rsidRPr="009B20C0">
        <w:t xml:space="preserve"> </w:t>
      </w:r>
      <w:r w:rsidR="00BC07BC" w:rsidRPr="009B20C0">
        <w:t>product information (</w:t>
      </w:r>
      <w:r w:rsidR="00AA2BC1" w:rsidRPr="009B20C0">
        <w:t>PI</w:t>
      </w:r>
      <w:r w:rsidR="00BC07BC" w:rsidRPr="009B20C0">
        <w:t>)</w:t>
      </w:r>
      <w:r w:rsidR="00AA2BC1" w:rsidRPr="009B20C0">
        <w:t xml:space="preserve"> for finerenone outlines protocols for</w:t>
      </w:r>
      <w:r w:rsidR="004461B7" w:rsidRPr="009B20C0">
        <w:t xml:space="preserve"> patient selection,</w:t>
      </w:r>
      <w:r w:rsidR="00AA2BC1" w:rsidRPr="009B20C0">
        <w:t xml:space="preserve"> monitoring and management of hyperkalaemia and </w:t>
      </w:r>
      <w:r w:rsidR="003A760D" w:rsidRPr="009B20C0">
        <w:t>argued that</w:t>
      </w:r>
      <w:r w:rsidR="00AA2BC1" w:rsidRPr="009B20C0">
        <w:t xml:space="preserve"> ESC previously considered that Australian physicians are well versed in the monitoring and management of hyperkalaemia (para 6.51, finerenone ESC Advice, July 2022 PBAC submission)</w:t>
      </w:r>
      <w:r w:rsidR="004E7A54" w:rsidRPr="009B20C0">
        <w:t xml:space="preserve">. </w:t>
      </w:r>
      <w:r w:rsidR="00BC07BC" w:rsidRPr="009B20C0">
        <w:t xml:space="preserve">The ESC considered that the finerenone patient population remain at an increased risk of hyperkalaemia compared with placebo and the risk of hyperkalaemia outside a controlled clinical trial environment </w:t>
      </w:r>
      <w:r w:rsidR="000A51DD" w:rsidRPr="009B20C0">
        <w:t xml:space="preserve">was </w:t>
      </w:r>
      <w:r w:rsidR="00BC07BC" w:rsidRPr="009B20C0">
        <w:t xml:space="preserve">unknown. The ESC also considered it remained unclear whether physicians would up titrate to the higher finerenone dose in clinical practice due to concerns over the risk of hyperkalaemia and whether suboptimal dosing of finerenone may result. </w:t>
      </w:r>
      <w:r w:rsidR="002E728F">
        <w:t xml:space="preserve">The pre-PBAC response argued that </w:t>
      </w:r>
      <w:r w:rsidR="00E10466">
        <w:t xml:space="preserve">potassium management in the clinical trial was at the discretion of the physician and therefore likely aligns with real world clinical management. Furthermore, based on </w:t>
      </w:r>
      <w:r w:rsidR="003466BD">
        <w:t>exposure</w:t>
      </w:r>
      <w:r w:rsidR="0069235E">
        <w:t xml:space="preserve"> data</w:t>
      </w:r>
      <w:r w:rsidR="003466BD">
        <w:t xml:space="preserve"> between July 2021 and July 2022</w:t>
      </w:r>
      <w:r w:rsidR="00E10466">
        <w:t xml:space="preserve"> </w:t>
      </w:r>
      <w:r w:rsidR="003466BD">
        <w:t xml:space="preserve">(17,649 patient years) the cumulative rate of hyperkalaemia related AEs was lower than </w:t>
      </w:r>
      <w:r w:rsidR="0069235E">
        <w:t xml:space="preserve">the rates </w:t>
      </w:r>
      <w:r w:rsidR="003466BD">
        <w:t xml:space="preserve">reported in the FIDELITY pooled analysis (0.25 per 100 patient years versus 5.84 per 100 patient years). </w:t>
      </w:r>
    </w:p>
    <w:p w14:paraId="42F20A70" w14:textId="50057F7B" w:rsidR="007E449E" w:rsidRPr="00CE42B4" w:rsidRDefault="007E449E" w:rsidP="007E449E">
      <w:pPr>
        <w:widowControl w:val="0"/>
        <w:numPr>
          <w:ilvl w:val="1"/>
          <w:numId w:val="1"/>
        </w:numPr>
        <w:spacing w:after="120"/>
        <w:ind w:left="720" w:hanging="720"/>
        <w:rPr>
          <w:rFonts w:asciiTheme="minorHAnsi" w:hAnsiTheme="minorHAnsi"/>
          <w:snapToGrid w:val="0"/>
          <w:szCs w:val="20"/>
        </w:rPr>
      </w:pPr>
      <w:bookmarkStart w:id="35"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superior comparative effectiveness was reasonable.</w:t>
      </w:r>
    </w:p>
    <w:p w14:paraId="3C01C943" w14:textId="4152820C" w:rsidR="007E449E" w:rsidRPr="007E449E" w:rsidRDefault="007E449E" w:rsidP="007E449E">
      <w:pPr>
        <w:widowControl w:val="0"/>
        <w:numPr>
          <w:ilvl w:val="1"/>
          <w:numId w:val="1"/>
        </w:numPr>
        <w:spacing w:after="120"/>
        <w:ind w:left="720" w:hanging="720"/>
        <w:rPr>
          <w:rFonts w:asciiTheme="minorHAnsi" w:hAnsiTheme="minorHAnsi"/>
          <w:snapToGrid w:val="0"/>
          <w:szCs w:val="20"/>
        </w:rPr>
      </w:pPr>
      <w:r w:rsidRPr="00CE42B4">
        <w:rPr>
          <w:rFonts w:asciiTheme="minorHAnsi" w:hAnsiTheme="minorHAnsi"/>
          <w:snapToGrid w:val="0"/>
          <w:szCs w:val="20"/>
        </w:rPr>
        <w:t>The PBAC considered that the claim of inferior comparative safety was reasonable.</w:t>
      </w:r>
      <w:bookmarkEnd w:id="35"/>
    </w:p>
    <w:p w14:paraId="74A1172E" w14:textId="128C170E" w:rsidR="00B60939" w:rsidRPr="00C9624D" w:rsidRDefault="00B60939" w:rsidP="00E9094A">
      <w:pPr>
        <w:pStyle w:val="COMH2-non-numbered"/>
      </w:pPr>
      <w:bookmarkStart w:id="36" w:name="_Toc22897645"/>
      <w:bookmarkStart w:id="37" w:name="_Toc124857607"/>
      <w:r w:rsidRPr="00C9624D">
        <w:t>Economic analysis</w:t>
      </w:r>
      <w:bookmarkEnd w:id="36"/>
      <w:bookmarkEnd w:id="37"/>
      <w:r w:rsidR="00491B3A" w:rsidRPr="00C9624D">
        <w:t xml:space="preserve"> </w:t>
      </w:r>
    </w:p>
    <w:p w14:paraId="14C1E8F9" w14:textId="0945DDE4" w:rsidR="00275C5A" w:rsidRPr="0042214A" w:rsidRDefault="00565D18" w:rsidP="00641FB3">
      <w:pPr>
        <w:pStyle w:val="COMexecsumnumberedpara"/>
        <w:rPr>
          <w:b/>
          <w:bCs/>
          <w:color w:val="0066FF"/>
          <w:lang w:val="en-US"/>
        </w:rPr>
      </w:pPr>
      <w:r w:rsidRPr="00F35FA0">
        <w:t>The resubmission presented a stepped economic evaluation of finerenone compared to placebo for the treatment of patients with diabetic kidney disease with high/very high albuminuria and SGLT2</w:t>
      </w:r>
      <w:r w:rsidR="00D96222">
        <w:t xml:space="preserve">i </w:t>
      </w:r>
      <w:r w:rsidRPr="00F35FA0">
        <w:t>use, unless contraindicated or intolerant. The economic evaluation was based on the pooled FIDELITY analysis, with additional modelled data. The economic evaluation was presented as a cost-utility/cost-effectiveness analysis.</w:t>
      </w:r>
    </w:p>
    <w:p w14:paraId="6DEE3D95" w14:textId="77777777" w:rsidR="00D96222" w:rsidRPr="00F35FA0" w:rsidRDefault="00D96222" w:rsidP="00D96222">
      <w:pPr>
        <w:pStyle w:val="COMexecsumnumberedpara"/>
        <w:spacing w:after="0"/>
        <w:rPr>
          <w:b/>
          <w:bCs/>
        </w:rPr>
      </w:pPr>
      <w:r w:rsidRPr="00F35FA0">
        <w:t>Compared with the July 2022 submission, the main changes to the economic evaluation include:</w:t>
      </w:r>
    </w:p>
    <w:p w14:paraId="67BD7C94" w14:textId="419D4913" w:rsidR="00D96222" w:rsidRDefault="00D96222" w:rsidP="00804897">
      <w:pPr>
        <w:pStyle w:val="COMexecsummbulletlist"/>
        <w:ind w:hanging="357"/>
        <w:contextualSpacing/>
      </w:pPr>
      <w:r w:rsidRPr="00073A58">
        <w:t>Updated baseline patient characteristics and baseline risks to reflect the proposed place in therapy.</w:t>
      </w:r>
    </w:p>
    <w:p w14:paraId="6B6138EB" w14:textId="77777777" w:rsidR="00D96222" w:rsidRPr="0037593F" w:rsidRDefault="00D96222" w:rsidP="00804897">
      <w:pPr>
        <w:pStyle w:val="COMexecsummbulletlist"/>
        <w:ind w:hanging="357"/>
        <w:contextualSpacing/>
      </w:pPr>
      <w:r w:rsidRPr="007D210F">
        <w:t>T</w:t>
      </w:r>
      <w:r>
        <w:t>he risk of transplant in dialysis patients is</w:t>
      </w:r>
      <w:r w:rsidRPr="007D210F">
        <w:t xml:space="preserve"> based on Australian d</w:t>
      </w:r>
      <w:r>
        <w:t xml:space="preserve">ata </w:t>
      </w:r>
      <w:r w:rsidRPr="007D210F">
        <w:t>(ANZDATA 2020)</w:t>
      </w:r>
      <w:r>
        <w:t>, rather than the FIDELITY pooled analysis</w:t>
      </w:r>
      <w:r w:rsidRPr="007D210F">
        <w:t xml:space="preserve">. </w:t>
      </w:r>
    </w:p>
    <w:p w14:paraId="0BD17294" w14:textId="77777777" w:rsidR="00D96222" w:rsidRPr="0037593F" w:rsidRDefault="00D96222" w:rsidP="00804897">
      <w:pPr>
        <w:pStyle w:val="COMexecsummbulletlist"/>
        <w:ind w:hanging="357"/>
        <w:contextualSpacing/>
      </w:pPr>
      <w:r w:rsidRPr="0037593F">
        <w:t>Only heart failure hospitalisation events are modelled, compared with a composite of myocardial infarction, stroke and heart failure hospitalisation events in the previous submission</w:t>
      </w:r>
      <w:r>
        <w:t>, reflected in updates to first and subsequent heart failure hospitalisation baseline risks, treatment effects, costs and utilities</w:t>
      </w:r>
      <w:r w:rsidRPr="0037593F">
        <w:t>.</w:t>
      </w:r>
    </w:p>
    <w:p w14:paraId="7D255E1F" w14:textId="07E8E1FA" w:rsidR="00D96222" w:rsidRDefault="00D96222" w:rsidP="00804897">
      <w:pPr>
        <w:pStyle w:val="COMexecsummbulletlist"/>
        <w:ind w:hanging="357"/>
        <w:contextualSpacing/>
      </w:pPr>
      <w:r w:rsidRPr="007D210F">
        <w:t xml:space="preserve">Hyperkalaemia risks have been estimated by CKD stage, compared with the July 2022 submission which estimated </w:t>
      </w:r>
      <w:r w:rsidR="00D13F1E">
        <w:t xml:space="preserve">hyperkalaemia </w:t>
      </w:r>
      <w:r w:rsidRPr="007D210F">
        <w:t>risks independently of CKD stage.</w:t>
      </w:r>
      <w:r>
        <w:t xml:space="preserve"> Discontinuations due to hyperkalaemia events have been added.</w:t>
      </w:r>
    </w:p>
    <w:p w14:paraId="1D98BA9C" w14:textId="77777777" w:rsidR="00D96222" w:rsidRDefault="00D96222" w:rsidP="00804897">
      <w:pPr>
        <w:pStyle w:val="COMexecsummbulletlist"/>
        <w:ind w:hanging="357"/>
        <w:contextualSpacing/>
      </w:pPr>
      <w:r>
        <w:t xml:space="preserve">Finerenone treatment adherence of </w:t>
      </w:r>
      <w:r w:rsidRPr="006D7DEF">
        <w:t>91.74</w:t>
      </w:r>
      <w:r>
        <w:t>% has been included (perfect adherence was assumed in the July 2022 submission) for consistency with the budget impact model.</w:t>
      </w:r>
    </w:p>
    <w:p w14:paraId="073BA327" w14:textId="77777777" w:rsidR="00D96222" w:rsidRDefault="00D96222" w:rsidP="00804897">
      <w:pPr>
        <w:pStyle w:val="COMexecsummbulletlist"/>
        <w:ind w:hanging="357"/>
        <w:contextualSpacing/>
      </w:pPr>
      <w:r>
        <w:t>Dialysis costs have been revised to remove double counting of costs for dialysis surgery.</w:t>
      </w:r>
    </w:p>
    <w:p w14:paraId="4C962CE1" w14:textId="457F00CD" w:rsidR="00D96222" w:rsidRDefault="00D96222" w:rsidP="00804897">
      <w:pPr>
        <w:pStyle w:val="COMexecsummbulletlist"/>
        <w:ind w:hanging="357"/>
        <w:contextualSpacing/>
      </w:pPr>
      <w:r>
        <w:t>SGLT2</w:t>
      </w:r>
      <w:r w:rsidR="00D13F1E">
        <w:t>i</w:t>
      </w:r>
      <w:r w:rsidR="006C2773">
        <w:t xml:space="preserve"> </w:t>
      </w:r>
      <w:r>
        <w:t xml:space="preserve">use has been updated from </w:t>
      </w:r>
      <w:r w:rsidRPr="00D021A7">
        <w:t>10.2</w:t>
      </w:r>
      <w:r>
        <w:t xml:space="preserve">% to </w:t>
      </w:r>
      <w:r w:rsidRPr="00D021A7">
        <w:t>94.5</w:t>
      </w:r>
      <w:r>
        <w:t>% to reflect concomitant use.</w:t>
      </w:r>
    </w:p>
    <w:p w14:paraId="639F8E4A" w14:textId="17E9A7FD" w:rsidR="0042214A" w:rsidRDefault="00D96222" w:rsidP="00804897">
      <w:pPr>
        <w:pStyle w:val="COMexecsummbulletlist"/>
        <w:ind w:hanging="357"/>
        <w:contextualSpacing/>
      </w:pPr>
      <w:r>
        <w:t>Where required, costs have been inflated using the AIHW Total Health Price Index instead of the CPI used in the July 2022 submission.</w:t>
      </w:r>
    </w:p>
    <w:p w14:paraId="7E0399C4" w14:textId="0512C63F" w:rsidR="008C72AB" w:rsidRPr="0042214A" w:rsidRDefault="008C72AB" w:rsidP="008C72AB">
      <w:pPr>
        <w:pStyle w:val="COMexecsumnumberedpara"/>
        <w:rPr>
          <w:b/>
          <w:bCs/>
          <w:color w:val="0066FF"/>
          <w:lang w:val="en-US"/>
        </w:rPr>
      </w:pPr>
      <w:r w:rsidRPr="00E52E77">
        <w:fldChar w:fldCharType="begin"/>
      </w:r>
      <w:r w:rsidRPr="00E52E77">
        <w:instrText xml:space="preserve"> REF _Ref124008675 \h </w:instrText>
      </w:r>
      <w:r w:rsidRPr="00E52E77">
        <w:fldChar w:fldCharType="separate"/>
      </w:r>
      <w:r w:rsidR="005562EE" w:rsidRPr="007D210F">
        <w:t xml:space="preserve">Table </w:t>
      </w:r>
      <w:r w:rsidR="005562EE">
        <w:rPr>
          <w:noProof/>
        </w:rPr>
        <w:t>11</w:t>
      </w:r>
      <w:r w:rsidRPr="00E52E77">
        <w:fldChar w:fldCharType="end"/>
      </w:r>
      <w:r w:rsidRPr="00E52E77">
        <w:t xml:space="preserve"> presents the key components of the economic evaluation</w:t>
      </w:r>
      <w:r w:rsidRPr="00F35FA0">
        <w:t>.</w:t>
      </w:r>
    </w:p>
    <w:p w14:paraId="456A311E" w14:textId="0DD8819C" w:rsidR="00766F70" w:rsidRDefault="00766F70" w:rsidP="00766F70">
      <w:pPr>
        <w:pStyle w:val="COMtablefigcaption"/>
      </w:pPr>
      <w:bookmarkStart w:id="38" w:name="_Ref124008675"/>
      <w:r w:rsidRPr="007D210F">
        <w:t xml:space="preserve">Table </w:t>
      </w:r>
      <w:r w:rsidR="005562EE">
        <w:fldChar w:fldCharType="begin"/>
      </w:r>
      <w:r w:rsidR="005562EE">
        <w:instrText xml:space="preserve"> SEQ Table \* ARABIC </w:instrText>
      </w:r>
      <w:r w:rsidR="005562EE">
        <w:fldChar w:fldCharType="separate"/>
      </w:r>
      <w:r w:rsidR="005562EE">
        <w:rPr>
          <w:noProof/>
        </w:rPr>
        <w:t>11</w:t>
      </w:r>
      <w:r w:rsidR="005562EE">
        <w:rPr>
          <w:noProof/>
        </w:rPr>
        <w:fldChar w:fldCharType="end"/>
      </w:r>
      <w:bookmarkEnd w:id="38"/>
      <w:r w:rsidRPr="007D210F">
        <w:t xml:space="preserve">: </w:t>
      </w:r>
      <w:r>
        <w:t>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34"/>
        <w:gridCol w:w="7181"/>
      </w:tblGrid>
      <w:tr w:rsidR="00766F70" w:rsidRPr="007D210F" w14:paraId="110E4D62" w14:textId="77777777" w:rsidTr="004E2A40">
        <w:trPr>
          <w:tblHeader/>
        </w:trPr>
        <w:tc>
          <w:tcPr>
            <w:tcW w:w="1017" w:type="pct"/>
            <w:shd w:val="clear" w:color="auto" w:fill="auto"/>
          </w:tcPr>
          <w:p w14:paraId="15EB25AA" w14:textId="77777777" w:rsidR="00766F70" w:rsidRPr="007D210F" w:rsidRDefault="00766F70" w:rsidP="004E2A40">
            <w:pPr>
              <w:pStyle w:val="TableText0"/>
              <w:keepNext w:val="0"/>
              <w:rPr>
                <w:b/>
              </w:rPr>
            </w:pPr>
            <w:r w:rsidRPr="007D210F">
              <w:rPr>
                <w:b/>
              </w:rPr>
              <w:t xml:space="preserve">Component </w:t>
            </w:r>
          </w:p>
        </w:tc>
        <w:tc>
          <w:tcPr>
            <w:tcW w:w="3983" w:type="pct"/>
            <w:shd w:val="clear" w:color="auto" w:fill="auto"/>
          </w:tcPr>
          <w:p w14:paraId="7910B575" w14:textId="77777777" w:rsidR="00766F70" w:rsidRPr="007D210F" w:rsidRDefault="00766F70" w:rsidP="004E2A40">
            <w:pPr>
              <w:pStyle w:val="TableText0"/>
              <w:keepNext w:val="0"/>
              <w:rPr>
                <w:b/>
              </w:rPr>
            </w:pPr>
            <w:r w:rsidRPr="007D210F">
              <w:rPr>
                <w:b/>
              </w:rPr>
              <w:t>Description</w:t>
            </w:r>
          </w:p>
        </w:tc>
      </w:tr>
      <w:tr w:rsidR="00766F70" w:rsidRPr="007D210F" w14:paraId="32D46E39" w14:textId="77777777" w:rsidTr="004E2A40">
        <w:tc>
          <w:tcPr>
            <w:tcW w:w="1017" w:type="pct"/>
            <w:shd w:val="clear" w:color="auto" w:fill="auto"/>
            <w:vAlign w:val="center"/>
          </w:tcPr>
          <w:p w14:paraId="6CBB5016" w14:textId="77777777" w:rsidR="00766F70" w:rsidRPr="007D210F" w:rsidRDefault="00766F70" w:rsidP="004E2A40">
            <w:pPr>
              <w:pStyle w:val="TableText0"/>
              <w:keepNext w:val="0"/>
            </w:pPr>
            <w:r w:rsidRPr="007D210F">
              <w:t>Treatments</w:t>
            </w:r>
          </w:p>
        </w:tc>
        <w:tc>
          <w:tcPr>
            <w:tcW w:w="3983" w:type="pct"/>
            <w:shd w:val="clear" w:color="auto" w:fill="auto"/>
            <w:vAlign w:val="center"/>
          </w:tcPr>
          <w:p w14:paraId="68FC51A1" w14:textId="6561BC29" w:rsidR="00766F70" w:rsidRPr="007D210F" w:rsidRDefault="00766F70" w:rsidP="004E2A40">
            <w:pPr>
              <w:pStyle w:val="TableText0"/>
              <w:keepNext w:val="0"/>
              <w:rPr>
                <w:rFonts w:ascii="Times" w:eastAsia="Times New Roman" w:hAnsi="Times" w:cs="Times New Roman"/>
                <w:szCs w:val="20"/>
              </w:rPr>
            </w:pPr>
            <w:r w:rsidRPr="007D210F">
              <w:t>Finerenone; placebo</w:t>
            </w:r>
            <w:r w:rsidR="00B466FC">
              <w:t>.</w:t>
            </w:r>
          </w:p>
        </w:tc>
      </w:tr>
      <w:tr w:rsidR="00766F70" w:rsidRPr="007D210F" w14:paraId="0EB5B2E6" w14:textId="77777777" w:rsidTr="004E2A40">
        <w:tc>
          <w:tcPr>
            <w:tcW w:w="1017" w:type="pct"/>
            <w:shd w:val="clear" w:color="auto" w:fill="auto"/>
            <w:vAlign w:val="center"/>
          </w:tcPr>
          <w:p w14:paraId="1A95474B" w14:textId="77777777" w:rsidR="00766F70" w:rsidRPr="007D210F" w:rsidRDefault="00766F70" w:rsidP="004E2A40">
            <w:pPr>
              <w:pStyle w:val="TableText0"/>
              <w:keepNext w:val="0"/>
              <w:rPr>
                <w:rFonts w:ascii="Times" w:eastAsia="Times New Roman" w:hAnsi="Times" w:cs="Times New Roman"/>
                <w:szCs w:val="20"/>
              </w:rPr>
            </w:pPr>
            <w:r w:rsidRPr="007D210F">
              <w:t>Time horizon</w:t>
            </w:r>
          </w:p>
        </w:tc>
        <w:tc>
          <w:tcPr>
            <w:tcW w:w="3983" w:type="pct"/>
            <w:shd w:val="clear" w:color="auto" w:fill="auto"/>
            <w:vAlign w:val="center"/>
          </w:tcPr>
          <w:p w14:paraId="6BDCBFC4" w14:textId="513124E8" w:rsidR="00766F70" w:rsidRPr="007D210F" w:rsidRDefault="00766F70" w:rsidP="004E2A40">
            <w:pPr>
              <w:pStyle w:val="TableText0"/>
              <w:keepNext w:val="0"/>
              <w:rPr>
                <w:rFonts w:ascii="Times" w:eastAsia="Times New Roman" w:hAnsi="Times" w:cs="Times New Roman"/>
                <w:szCs w:val="20"/>
              </w:rPr>
            </w:pPr>
            <w:r w:rsidRPr="007D210F">
              <w:t>15 years</w:t>
            </w:r>
            <w:r w:rsidR="00B466FC">
              <w:t>.</w:t>
            </w:r>
          </w:p>
        </w:tc>
      </w:tr>
      <w:tr w:rsidR="00766F70" w:rsidRPr="007D210F" w14:paraId="109E6DD0" w14:textId="77777777" w:rsidTr="004E2A40">
        <w:tc>
          <w:tcPr>
            <w:tcW w:w="1017" w:type="pct"/>
            <w:shd w:val="clear" w:color="auto" w:fill="auto"/>
            <w:vAlign w:val="center"/>
          </w:tcPr>
          <w:p w14:paraId="6B9CDC39" w14:textId="77777777" w:rsidR="00766F70" w:rsidRPr="007D210F" w:rsidRDefault="00766F70" w:rsidP="004E2A40">
            <w:pPr>
              <w:pStyle w:val="TableText0"/>
              <w:keepNext w:val="0"/>
            </w:pPr>
            <w:r w:rsidRPr="007D210F">
              <w:t>Outcomes</w:t>
            </w:r>
          </w:p>
        </w:tc>
        <w:tc>
          <w:tcPr>
            <w:tcW w:w="3983" w:type="pct"/>
            <w:shd w:val="clear" w:color="auto" w:fill="auto"/>
            <w:vAlign w:val="center"/>
          </w:tcPr>
          <w:p w14:paraId="7BB95929" w14:textId="034A371E" w:rsidR="00766F70" w:rsidRPr="007D210F" w:rsidRDefault="00766F70" w:rsidP="004E2A40">
            <w:pPr>
              <w:pStyle w:val="TableText0"/>
              <w:keepNext w:val="0"/>
            </w:pPr>
            <w:r w:rsidRPr="007D210F">
              <w:t>Patients free of renal failure and/or cardiovascular events; quality adjusted life years</w:t>
            </w:r>
            <w:r w:rsidR="00B466FC">
              <w:t>.</w:t>
            </w:r>
          </w:p>
        </w:tc>
      </w:tr>
      <w:tr w:rsidR="00766F70" w:rsidRPr="007D210F" w14:paraId="18A72EBA" w14:textId="77777777" w:rsidTr="004E2A40">
        <w:tc>
          <w:tcPr>
            <w:tcW w:w="1017" w:type="pct"/>
            <w:shd w:val="clear" w:color="auto" w:fill="auto"/>
            <w:vAlign w:val="center"/>
          </w:tcPr>
          <w:p w14:paraId="28E7780A" w14:textId="77777777" w:rsidR="00766F70" w:rsidRPr="007D210F" w:rsidRDefault="00766F70" w:rsidP="004E2A40">
            <w:pPr>
              <w:pStyle w:val="TableText0"/>
              <w:keepNext w:val="0"/>
              <w:rPr>
                <w:rFonts w:ascii="Times" w:eastAsia="Times New Roman" w:hAnsi="Times" w:cs="Times New Roman"/>
                <w:szCs w:val="20"/>
              </w:rPr>
            </w:pPr>
            <w:r w:rsidRPr="007D210F">
              <w:t>Methods used to generate results</w:t>
            </w:r>
          </w:p>
        </w:tc>
        <w:tc>
          <w:tcPr>
            <w:tcW w:w="3983" w:type="pct"/>
            <w:shd w:val="clear" w:color="auto" w:fill="auto"/>
            <w:vAlign w:val="center"/>
          </w:tcPr>
          <w:p w14:paraId="52F4E94E" w14:textId="5C1DEE42" w:rsidR="00766F70" w:rsidRPr="007D210F" w:rsidRDefault="00766F70" w:rsidP="004E2A40">
            <w:pPr>
              <w:pStyle w:val="TableText0"/>
              <w:keepNext w:val="0"/>
            </w:pPr>
            <w:r w:rsidRPr="007D210F">
              <w:t>Markov state-transition cohort model</w:t>
            </w:r>
            <w:r w:rsidR="00B466FC">
              <w:t>.</w:t>
            </w:r>
          </w:p>
        </w:tc>
      </w:tr>
      <w:tr w:rsidR="00766F70" w:rsidRPr="007D210F" w14:paraId="58996E43" w14:textId="77777777" w:rsidTr="004E2A40">
        <w:tc>
          <w:tcPr>
            <w:tcW w:w="1017" w:type="pct"/>
            <w:shd w:val="clear" w:color="auto" w:fill="auto"/>
            <w:vAlign w:val="center"/>
          </w:tcPr>
          <w:p w14:paraId="60B863CB" w14:textId="77777777" w:rsidR="00766F70" w:rsidRPr="007D210F" w:rsidRDefault="00766F70" w:rsidP="004E2A40">
            <w:pPr>
              <w:pStyle w:val="TableText0"/>
              <w:keepNext w:val="0"/>
              <w:rPr>
                <w:rFonts w:ascii="Times" w:eastAsia="Times New Roman" w:hAnsi="Times" w:cs="Times New Roman"/>
                <w:szCs w:val="20"/>
              </w:rPr>
            </w:pPr>
            <w:r w:rsidRPr="007D210F">
              <w:t>Health states</w:t>
            </w:r>
          </w:p>
        </w:tc>
        <w:tc>
          <w:tcPr>
            <w:tcW w:w="3983" w:type="pct"/>
            <w:shd w:val="clear" w:color="auto" w:fill="auto"/>
            <w:vAlign w:val="center"/>
          </w:tcPr>
          <w:p w14:paraId="1CD954DD" w14:textId="498E4E4D" w:rsidR="00766F70" w:rsidRPr="007D210F" w:rsidRDefault="00766F70" w:rsidP="004E2A40">
            <w:pPr>
              <w:pStyle w:val="TableText0"/>
              <w:keepNext w:val="0"/>
            </w:pPr>
            <w:r w:rsidRPr="007D210F">
              <w:t>24 health states based on severity of kidney disease (CKD 1/2, CKD 3, CKD 4, CKD 5, acute/chronic dialysis, acute/chronic transplantation), the presence or absence of a heart failure hospitalisation event and the presence or absence of a history of heart failure hospitalisation events. The model also includes two death states; cardiovascular death and background mortality</w:t>
            </w:r>
            <w:r w:rsidR="00B466FC">
              <w:t>.</w:t>
            </w:r>
            <w:r w:rsidR="00E11F34">
              <w:t xml:space="preserve"> </w:t>
            </w:r>
          </w:p>
        </w:tc>
      </w:tr>
      <w:tr w:rsidR="00766F70" w:rsidRPr="007D210F" w14:paraId="665FB2B6" w14:textId="77777777" w:rsidTr="004E2A40">
        <w:tc>
          <w:tcPr>
            <w:tcW w:w="1017" w:type="pct"/>
            <w:shd w:val="clear" w:color="auto" w:fill="auto"/>
            <w:vAlign w:val="center"/>
          </w:tcPr>
          <w:p w14:paraId="1127E13A" w14:textId="77777777" w:rsidR="00766F70" w:rsidRPr="007D210F" w:rsidRDefault="00766F70" w:rsidP="004E2A40">
            <w:pPr>
              <w:pStyle w:val="TableText0"/>
              <w:keepNext w:val="0"/>
              <w:rPr>
                <w:rFonts w:ascii="Times" w:eastAsia="Times New Roman" w:hAnsi="Times" w:cs="Times New Roman"/>
                <w:szCs w:val="20"/>
              </w:rPr>
            </w:pPr>
            <w:r w:rsidRPr="007D210F">
              <w:t>Cycle length</w:t>
            </w:r>
          </w:p>
        </w:tc>
        <w:tc>
          <w:tcPr>
            <w:tcW w:w="3983" w:type="pct"/>
            <w:shd w:val="clear" w:color="auto" w:fill="auto"/>
            <w:vAlign w:val="center"/>
          </w:tcPr>
          <w:p w14:paraId="41F81C3A" w14:textId="25CC563B" w:rsidR="00766F70" w:rsidRPr="007D210F" w:rsidRDefault="00766F70" w:rsidP="004E2A40">
            <w:pPr>
              <w:pStyle w:val="TableText0"/>
              <w:keepNext w:val="0"/>
            </w:pPr>
            <w:r w:rsidRPr="007D210F">
              <w:t>4 months</w:t>
            </w:r>
            <w:r w:rsidR="00B466FC">
              <w:t>.</w:t>
            </w:r>
          </w:p>
        </w:tc>
      </w:tr>
      <w:tr w:rsidR="00766F70" w:rsidRPr="007D210F" w14:paraId="616E7B0F" w14:textId="77777777" w:rsidTr="004E2A40">
        <w:tc>
          <w:tcPr>
            <w:tcW w:w="1017" w:type="pct"/>
            <w:shd w:val="clear" w:color="auto" w:fill="auto"/>
            <w:vAlign w:val="center"/>
          </w:tcPr>
          <w:p w14:paraId="0057E190" w14:textId="77777777" w:rsidR="00766F70" w:rsidRPr="007D210F" w:rsidRDefault="00766F70" w:rsidP="004E2A40">
            <w:pPr>
              <w:pStyle w:val="TableText0"/>
              <w:keepNext w:val="0"/>
            </w:pPr>
            <w:r w:rsidRPr="007D210F">
              <w:t>Patient characteristics</w:t>
            </w:r>
          </w:p>
          <w:p w14:paraId="467504F0" w14:textId="77777777" w:rsidR="00766F70" w:rsidRPr="007D210F" w:rsidRDefault="00766F70" w:rsidP="004E2A40">
            <w:pPr>
              <w:pStyle w:val="TableText0"/>
              <w:keepNext w:val="0"/>
            </w:pPr>
            <w:r w:rsidRPr="007D210F">
              <w:t>and circumstances of use</w:t>
            </w:r>
          </w:p>
        </w:tc>
        <w:tc>
          <w:tcPr>
            <w:tcW w:w="3983" w:type="pct"/>
            <w:shd w:val="clear" w:color="auto" w:fill="auto"/>
            <w:vAlign w:val="center"/>
          </w:tcPr>
          <w:p w14:paraId="124B4ACD" w14:textId="3DEBF9DB" w:rsidR="00766F70" w:rsidRDefault="00766F70" w:rsidP="004E2A40">
            <w:pPr>
              <w:pStyle w:val="TableText0"/>
            </w:pPr>
            <w:r w:rsidRPr="007D210F">
              <w:t xml:space="preserve">Mean age, proportion male and baseline distribution across CKD stages was estimated based on the FIDELITY </w:t>
            </w:r>
            <w:r w:rsidRPr="007901BD">
              <w:rPr>
                <w:i/>
                <w:iCs/>
              </w:rPr>
              <w:t>post hoc</w:t>
            </w:r>
            <w:r>
              <w:t xml:space="preserve"> </w:t>
            </w:r>
            <w:r w:rsidRPr="007D210F">
              <w:t>subgroup of patients with UACR</w:t>
            </w:r>
            <w:r w:rsidR="00C11747">
              <w:t> </w:t>
            </w:r>
            <w:r w:rsidRPr="007D210F">
              <w:t>≥</w:t>
            </w:r>
            <w:r w:rsidR="00C11747">
              <w:t> </w:t>
            </w:r>
            <w:r w:rsidRPr="007D210F">
              <w:t>200</w:t>
            </w:r>
            <w:r w:rsidR="00C11747">
              <w:t> </w:t>
            </w:r>
            <w:r w:rsidRPr="007D210F">
              <w:t>mg/g</w:t>
            </w:r>
            <w:r>
              <w:t xml:space="preserve"> (6.6% with SGLT2</w:t>
            </w:r>
            <w:r w:rsidR="002177FA">
              <w:t>i</w:t>
            </w:r>
            <w:r>
              <w:t xml:space="preserve"> use)</w:t>
            </w:r>
            <w:r w:rsidRPr="007D210F">
              <w:t>.</w:t>
            </w:r>
          </w:p>
          <w:p w14:paraId="6D8153A4" w14:textId="77777777" w:rsidR="00766F70" w:rsidRDefault="00766F70" w:rsidP="004E2A40">
            <w:pPr>
              <w:pStyle w:val="TableText0"/>
            </w:pPr>
          </w:p>
          <w:p w14:paraId="1572AB20" w14:textId="77777777" w:rsidR="00766F70" w:rsidRPr="007D210F" w:rsidRDefault="00766F70" w:rsidP="004E2A40">
            <w:pPr>
              <w:pStyle w:val="TableText0"/>
            </w:pPr>
            <w:r w:rsidRPr="007D210F">
              <w:t>The model assumed that patients had no prior history of heart failure hospitalisation.</w:t>
            </w:r>
          </w:p>
          <w:p w14:paraId="6B1B9781" w14:textId="77777777" w:rsidR="00766F70" w:rsidRPr="007D210F" w:rsidRDefault="00766F70" w:rsidP="004E2A40">
            <w:pPr>
              <w:pStyle w:val="TableText0"/>
            </w:pPr>
          </w:p>
          <w:p w14:paraId="1C902880" w14:textId="467F21FC" w:rsidR="00766F70" w:rsidRPr="007D210F" w:rsidRDefault="00766F70" w:rsidP="004E2A40">
            <w:pPr>
              <w:pStyle w:val="TableText0"/>
              <w:keepNext w:val="0"/>
            </w:pPr>
            <w:r w:rsidRPr="007D210F">
              <w:t>Finerenone adherence and persistence estimates were based on the FIDELITY whole study population. The use of background therapies was estimated based on the baseline use of medications from the FIDELITY whole study population, adjusted for increased use of SGLT2</w:t>
            </w:r>
            <w:r w:rsidR="00C11747">
              <w:t xml:space="preserve">i medicines </w:t>
            </w:r>
            <w:r w:rsidRPr="007D210F">
              <w:t>(based on the DAPA-CKD trial).</w:t>
            </w:r>
          </w:p>
        </w:tc>
      </w:tr>
      <w:tr w:rsidR="00766F70" w:rsidRPr="007D210F" w14:paraId="4B13B061" w14:textId="77777777" w:rsidTr="004E2A40">
        <w:tc>
          <w:tcPr>
            <w:tcW w:w="1017" w:type="pct"/>
            <w:shd w:val="clear" w:color="auto" w:fill="auto"/>
            <w:vAlign w:val="center"/>
          </w:tcPr>
          <w:p w14:paraId="6673D001" w14:textId="77777777" w:rsidR="00766F70" w:rsidRPr="007D210F" w:rsidRDefault="00766F70" w:rsidP="004E2A40">
            <w:pPr>
              <w:pStyle w:val="TableText0"/>
              <w:keepNext w:val="0"/>
            </w:pPr>
            <w:r w:rsidRPr="007D210F">
              <w:t xml:space="preserve">Transition probabilities </w:t>
            </w:r>
          </w:p>
        </w:tc>
        <w:tc>
          <w:tcPr>
            <w:tcW w:w="3983" w:type="pct"/>
            <w:shd w:val="clear" w:color="auto" w:fill="auto"/>
            <w:vAlign w:val="center"/>
          </w:tcPr>
          <w:p w14:paraId="03FFA33D" w14:textId="5F563A5B" w:rsidR="00766F70" w:rsidRPr="007D210F" w:rsidRDefault="00766F70" w:rsidP="004E2A40">
            <w:pPr>
              <w:pStyle w:val="TableText0"/>
              <w:keepNext w:val="0"/>
              <w:widowControl w:val="0"/>
              <w:spacing w:after="120"/>
              <w:rPr>
                <w:szCs w:val="20"/>
              </w:rPr>
            </w:pPr>
            <w:r w:rsidRPr="007D210F">
              <w:rPr>
                <w:szCs w:val="20"/>
              </w:rPr>
              <w:t>Placebo CKD health state transitions, heart failure hospitalisation risks and the risk of cardiovascular death were based on individual patient data from the FIDELITY pooled analysis subgroup of patients with baseline UACR</w:t>
            </w:r>
            <w:r w:rsidR="00C11747">
              <w:rPr>
                <w:szCs w:val="20"/>
              </w:rPr>
              <w:t> </w:t>
            </w:r>
            <w:r w:rsidRPr="007D210F">
              <w:rPr>
                <w:szCs w:val="20"/>
              </w:rPr>
              <w:t>≥</w:t>
            </w:r>
            <w:r w:rsidR="00C11747">
              <w:rPr>
                <w:szCs w:val="20"/>
              </w:rPr>
              <w:t> </w:t>
            </w:r>
            <w:r w:rsidRPr="007D210F">
              <w:rPr>
                <w:szCs w:val="20"/>
              </w:rPr>
              <w:t>200</w:t>
            </w:r>
            <w:r w:rsidR="00C11747">
              <w:rPr>
                <w:szCs w:val="20"/>
              </w:rPr>
              <w:t> </w:t>
            </w:r>
            <w:r w:rsidRPr="007D210F">
              <w:rPr>
                <w:szCs w:val="20"/>
              </w:rPr>
              <w:t>mg/g without SGLT2</w:t>
            </w:r>
            <w:r w:rsidR="00C11747">
              <w:rPr>
                <w:szCs w:val="20"/>
              </w:rPr>
              <w:t xml:space="preserve">i </w:t>
            </w:r>
            <w:r w:rsidRPr="007D210F">
              <w:rPr>
                <w:szCs w:val="20"/>
              </w:rPr>
              <w:t xml:space="preserve">use, adjusted for SGLT2 inhibitor treatment effects (from the DAPA-CKD trial type 2 diabetes subgroup) in the proportion of patients not intolerant to treatment (based on the DAPA-CKD trial). Transitions between the dialysis and transplant states were based on the transplant rate in Australian dialysis patients (ANZDATA 2020). </w:t>
            </w:r>
          </w:p>
          <w:p w14:paraId="01260BB8" w14:textId="21EAA3E7" w:rsidR="00766F70" w:rsidRPr="007D210F" w:rsidRDefault="00766F70" w:rsidP="004E2A40">
            <w:pPr>
              <w:pStyle w:val="TableText0"/>
              <w:keepNext w:val="0"/>
              <w:widowControl w:val="0"/>
              <w:spacing w:after="120"/>
              <w:rPr>
                <w:szCs w:val="20"/>
              </w:rPr>
            </w:pPr>
            <w:r w:rsidRPr="007D210F">
              <w:rPr>
                <w:szCs w:val="20"/>
              </w:rPr>
              <w:t>The risk</w:t>
            </w:r>
            <w:r>
              <w:rPr>
                <w:szCs w:val="20"/>
              </w:rPr>
              <w:t>s</w:t>
            </w:r>
            <w:r w:rsidRPr="007D210F">
              <w:rPr>
                <w:szCs w:val="20"/>
              </w:rPr>
              <w:t xml:space="preserve"> of hyperkalaemia events w</w:t>
            </w:r>
            <w:r>
              <w:rPr>
                <w:szCs w:val="20"/>
              </w:rPr>
              <w:t>ere</w:t>
            </w:r>
            <w:r w:rsidRPr="007D210F">
              <w:rPr>
                <w:szCs w:val="20"/>
              </w:rPr>
              <w:t xml:space="preserve"> based on individual patient data from the FIDELITY pooled analysis subgroup of patients with baseline UACR</w:t>
            </w:r>
            <w:r w:rsidR="00C11747">
              <w:rPr>
                <w:szCs w:val="20"/>
              </w:rPr>
              <w:t> </w:t>
            </w:r>
            <w:r w:rsidRPr="007D210F">
              <w:rPr>
                <w:szCs w:val="20"/>
              </w:rPr>
              <w:t>≥</w:t>
            </w:r>
            <w:r w:rsidR="00C11747">
              <w:rPr>
                <w:szCs w:val="20"/>
              </w:rPr>
              <w:t> </w:t>
            </w:r>
            <w:r w:rsidRPr="007D210F">
              <w:rPr>
                <w:szCs w:val="20"/>
              </w:rPr>
              <w:t>200</w:t>
            </w:r>
            <w:r w:rsidR="00C11747">
              <w:rPr>
                <w:szCs w:val="20"/>
              </w:rPr>
              <w:t> </w:t>
            </w:r>
            <w:r w:rsidRPr="007D210F">
              <w:rPr>
                <w:szCs w:val="20"/>
              </w:rPr>
              <w:t xml:space="preserve">mg/g </w:t>
            </w:r>
            <w:r w:rsidRPr="007D210F">
              <w:t>without SGLT2</w:t>
            </w:r>
            <w:r w:rsidR="00C11747">
              <w:t xml:space="preserve">i </w:t>
            </w:r>
            <w:r w:rsidRPr="007D210F">
              <w:t>use, with no adjustment for SGLT2</w:t>
            </w:r>
            <w:r w:rsidR="00C11747">
              <w:t xml:space="preserve">i </w:t>
            </w:r>
            <w:r w:rsidRPr="007D210F">
              <w:t>treatment effects.</w:t>
            </w:r>
          </w:p>
          <w:p w14:paraId="2B9C39EF" w14:textId="77777777" w:rsidR="00766F70" w:rsidRPr="007D210F" w:rsidRDefault="00766F70" w:rsidP="004E2A40">
            <w:pPr>
              <w:pStyle w:val="TableText0"/>
              <w:keepNext w:val="0"/>
              <w:widowControl w:val="0"/>
              <w:spacing w:after="120"/>
              <w:rPr>
                <w:szCs w:val="20"/>
              </w:rPr>
            </w:pPr>
            <w:r w:rsidRPr="007D210F">
              <w:rPr>
                <w:szCs w:val="20"/>
              </w:rPr>
              <w:t xml:space="preserve">The risk of background mortality was based on Australian life tables adjusted to exclude </w:t>
            </w:r>
            <w:r>
              <w:rPr>
                <w:szCs w:val="20"/>
              </w:rPr>
              <w:t>cardiovascular</w:t>
            </w:r>
            <w:r w:rsidRPr="007D210F">
              <w:rPr>
                <w:szCs w:val="20"/>
              </w:rPr>
              <w:t xml:space="preserve"> causes of death with additional mortality multipliers applied from the published literature.</w:t>
            </w:r>
          </w:p>
          <w:p w14:paraId="2367401F" w14:textId="77777777" w:rsidR="00766F70" w:rsidRPr="007D210F" w:rsidRDefault="00766F70" w:rsidP="004E2A40">
            <w:pPr>
              <w:pStyle w:val="TableText0"/>
              <w:keepNext w:val="0"/>
              <w:widowControl w:val="0"/>
              <w:rPr>
                <w:szCs w:val="20"/>
              </w:rPr>
            </w:pPr>
            <w:r w:rsidRPr="007D210F">
              <w:rPr>
                <w:szCs w:val="20"/>
              </w:rPr>
              <w:t xml:space="preserve">Finerenone treatment effects were estimated based on pre-specified and </w:t>
            </w:r>
            <w:r w:rsidRPr="007D210F">
              <w:rPr>
                <w:i/>
                <w:szCs w:val="20"/>
              </w:rPr>
              <w:t>post hoc</w:t>
            </w:r>
            <w:r w:rsidRPr="007D210F">
              <w:rPr>
                <w:szCs w:val="20"/>
              </w:rPr>
              <w:t xml:space="preserve"> analyses of the FIDELITY FAS pooled data with additional assumptions. Treatment effects were assumed to remain constant over time while on treatment. The risk of treatment discontinuation was also based on the pooled FIDELITY analysis assuming that the rate of discontinuation remains constant over time. Patients discontinuing finerenone treatment were assumed to have the same risk as placebo patients.</w:t>
            </w:r>
          </w:p>
        </w:tc>
      </w:tr>
      <w:tr w:rsidR="00766F70" w:rsidRPr="007D210F" w14:paraId="2D354755" w14:textId="77777777" w:rsidTr="004E2A40">
        <w:tc>
          <w:tcPr>
            <w:tcW w:w="1017" w:type="pct"/>
            <w:shd w:val="clear" w:color="auto" w:fill="auto"/>
            <w:vAlign w:val="center"/>
          </w:tcPr>
          <w:p w14:paraId="4D624387" w14:textId="77777777" w:rsidR="00766F70" w:rsidRPr="007D210F" w:rsidRDefault="00766F70" w:rsidP="004E2A40">
            <w:pPr>
              <w:pStyle w:val="TableText0"/>
              <w:keepNext w:val="0"/>
            </w:pPr>
            <w:r w:rsidRPr="007D210F">
              <w:t>Utility values</w:t>
            </w:r>
          </w:p>
        </w:tc>
        <w:tc>
          <w:tcPr>
            <w:tcW w:w="3983" w:type="pct"/>
            <w:shd w:val="clear" w:color="auto" w:fill="auto"/>
            <w:vAlign w:val="center"/>
          </w:tcPr>
          <w:p w14:paraId="4DC582BC" w14:textId="77777777" w:rsidR="00766F70" w:rsidRPr="007D210F" w:rsidRDefault="00766F70" w:rsidP="004E2A40">
            <w:pPr>
              <w:pStyle w:val="TableText0"/>
              <w:keepNext w:val="0"/>
              <w:widowControl w:val="0"/>
              <w:rPr>
                <w:szCs w:val="20"/>
              </w:rPr>
            </w:pPr>
            <w:r>
              <w:rPr>
                <w:rFonts w:eastAsia="Calibri"/>
              </w:rPr>
              <w:t>U</w:t>
            </w:r>
            <w:r w:rsidRPr="007D210F">
              <w:rPr>
                <w:rFonts w:eastAsia="Calibri"/>
              </w:rPr>
              <w:t xml:space="preserve">tility/disutility </w:t>
            </w:r>
            <w:r>
              <w:rPr>
                <w:rFonts w:eastAsia="Calibri"/>
              </w:rPr>
              <w:t xml:space="preserve">values were unchanged in the resubmission; </w:t>
            </w:r>
            <w:r w:rsidRPr="007D210F">
              <w:rPr>
                <w:rFonts w:eastAsia="Calibri"/>
              </w:rPr>
              <w:t xml:space="preserve">derived from a </w:t>
            </w:r>
            <w:r w:rsidRPr="007D210F">
              <w:rPr>
                <w:rFonts w:eastAsia="Calibri"/>
                <w:i/>
              </w:rPr>
              <w:t>post hoc</w:t>
            </w:r>
            <w:r w:rsidRPr="007D210F">
              <w:rPr>
                <w:rFonts w:eastAsia="Calibri"/>
              </w:rPr>
              <w:t xml:space="preserve"> analysis of EQ-5D-5L utility data from the pooled FIDELITY analysis.</w:t>
            </w:r>
            <w:r>
              <w:rPr>
                <w:rFonts w:eastAsia="Calibri"/>
              </w:rPr>
              <w:t xml:space="preserve"> </w:t>
            </w:r>
          </w:p>
        </w:tc>
      </w:tr>
      <w:tr w:rsidR="00766F70" w:rsidRPr="007D210F" w14:paraId="7375DB8F" w14:textId="77777777" w:rsidTr="004E2A40">
        <w:tc>
          <w:tcPr>
            <w:tcW w:w="1017" w:type="pct"/>
            <w:shd w:val="clear" w:color="auto" w:fill="auto"/>
            <w:vAlign w:val="center"/>
          </w:tcPr>
          <w:p w14:paraId="6FFE43F8" w14:textId="77777777" w:rsidR="00766F70" w:rsidRPr="007D210F" w:rsidRDefault="00766F70" w:rsidP="004E2A40">
            <w:pPr>
              <w:pStyle w:val="TableText0"/>
              <w:keepNext w:val="0"/>
            </w:pPr>
            <w:r w:rsidRPr="007D210F">
              <w:t>Costs</w:t>
            </w:r>
          </w:p>
        </w:tc>
        <w:tc>
          <w:tcPr>
            <w:tcW w:w="3983" w:type="pct"/>
            <w:shd w:val="clear" w:color="auto" w:fill="auto"/>
            <w:vAlign w:val="center"/>
          </w:tcPr>
          <w:p w14:paraId="088274DD" w14:textId="77777777" w:rsidR="00766F70" w:rsidRPr="007D210F" w:rsidRDefault="00766F70" w:rsidP="004E2A40">
            <w:pPr>
              <w:pStyle w:val="TableText0"/>
              <w:keepNext w:val="0"/>
              <w:spacing w:after="120"/>
            </w:pPr>
            <w:r w:rsidRPr="007D210F">
              <w:t>Finerenone drugs costs were estimated based on the proposed price and adherence based on the pooled FIDELITY analysis.</w:t>
            </w:r>
          </w:p>
          <w:p w14:paraId="0FC9E7D4" w14:textId="40B7777C" w:rsidR="00766F70" w:rsidRPr="007D210F" w:rsidRDefault="00766F70" w:rsidP="004E2A40">
            <w:pPr>
              <w:pStyle w:val="TableText0"/>
              <w:keepNext w:val="0"/>
              <w:spacing w:after="120"/>
            </w:pPr>
            <w:r w:rsidRPr="007D210F">
              <w:t>Background therapy costs were estimated based on the utilisation of different drug classes in the pooled FIDELITY analysis with costs estimated for a representative member of each drug class using published PBS prices. The proportion of patients using an SGLT2</w:t>
            </w:r>
            <w:r w:rsidR="00C11747">
              <w:t xml:space="preserve">i </w:t>
            </w:r>
            <w:r w:rsidRPr="007D210F">
              <w:t>was updated to account for the revised proposed restriction requiring finerenone treatment in combination with an SGLT2</w:t>
            </w:r>
            <w:r w:rsidR="00C11747">
              <w:t xml:space="preserve">i </w:t>
            </w:r>
            <w:r w:rsidRPr="007D210F">
              <w:t>unless medically contraindicated or intolerant. The proportion of patients intolerant or contraindicated to SGLT2</w:t>
            </w:r>
            <w:r w:rsidR="00C11747">
              <w:t xml:space="preserve">i medicines </w:t>
            </w:r>
            <w:r w:rsidRPr="007D210F">
              <w:t>was based on the incidence of adverse events leading to dapagliflozin discontinuation in the DAPA-CKD trial (Heerspink 2020).</w:t>
            </w:r>
          </w:p>
          <w:p w14:paraId="4FCF6391" w14:textId="77777777" w:rsidR="00766F70" w:rsidRPr="007D210F" w:rsidRDefault="00766F70" w:rsidP="004E2A40">
            <w:pPr>
              <w:pStyle w:val="TableText0"/>
              <w:keepNext w:val="0"/>
              <w:spacing w:after="120"/>
            </w:pPr>
            <w:r w:rsidRPr="007D210F">
              <w:t>The cost of hyperkalaemia without hospitalisation was based MBS costs assuming that patients would require a specialist visit and a serum potassium test. The cost of hyperkalaemia with hospitalisation was based on AR-DRG cost weights.</w:t>
            </w:r>
          </w:p>
          <w:p w14:paraId="622B8A50" w14:textId="77777777" w:rsidR="00766F70" w:rsidRPr="007D210F" w:rsidRDefault="00766F70" w:rsidP="004E2A40">
            <w:pPr>
              <w:pStyle w:val="TableText0"/>
              <w:keepNext w:val="0"/>
              <w:spacing w:after="120"/>
            </w:pPr>
            <w:r w:rsidRPr="007D210F">
              <w:t>The cost of acute heart failure was based on AR-DRG cost weights. The resubmission assumed no chronic costs for heart failure patients.</w:t>
            </w:r>
          </w:p>
          <w:p w14:paraId="3B661AB2" w14:textId="77777777" w:rsidR="00766F70" w:rsidRPr="007D210F" w:rsidRDefault="00766F70" w:rsidP="004E2A40">
            <w:pPr>
              <w:pStyle w:val="TableText0"/>
              <w:keepNext w:val="0"/>
              <w:spacing w:after="120"/>
            </w:pPr>
            <w:r w:rsidRPr="007D210F">
              <w:t xml:space="preserve">The costs of CKD health states (CKD 1/2,3,4,5) were based on published estimates for diabetic kidney disease from an Australian costing study (Wyld 2015). The costs of acute/chronic dialysis were estimated based on previously published data from NSW Health (NSW Dialysis Costing Studies, 2009). The costs of transplantation were updated from a modelled economic analysis of diabetes, hypertension, and chronic kidney disease management in Australia (Howard 2010) and a published comparative modelled analysis of dialysis and transplantation in Australia (Wong 2012). </w:t>
            </w:r>
          </w:p>
          <w:p w14:paraId="571AED43" w14:textId="77777777" w:rsidR="00766F70" w:rsidRPr="007D210F" w:rsidRDefault="00766F70" w:rsidP="004E2A40">
            <w:pPr>
              <w:pStyle w:val="TableText0"/>
              <w:keepNext w:val="0"/>
              <w:spacing w:after="120"/>
            </w:pPr>
            <w:r w:rsidRPr="007D210F">
              <w:t>The cost of cardiovascular death was assumed to be the same as a non-fatal heart failure event. The resubmission assumed no costs associated with background mortality.</w:t>
            </w:r>
          </w:p>
          <w:p w14:paraId="3F0D11EF" w14:textId="77777777" w:rsidR="00766F70" w:rsidRPr="007D210F" w:rsidRDefault="00766F70" w:rsidP="004E2A40">
            <w:pPr>
              <w:pStyle w:val="TableText0"/>
              <w:keepNext w:val="0"/>
              <w:widowControl w:val="0"/>
              <w:rPr>
                <w:szCs w:val="20"/>
              </w:rPr>
            </w:pPr>
            <w:r w:rsidRPr="007D210F">
              <w:t>Costs estimated in the resubmission were inflated to 2020 values using the AIHW Total Health Price Index.</w:t>
            </w:r>
          </w:p>
        </w:tc>
      </w:tr>
    </w:tbl>
    <w:p w14:paraId="0B74DFB5" w14:textId="37E54D2C" w:rsidR="00766F70" w:rsidRPr="007D210F" w:rsidRDefault="00766F70" w:rsidP="00766F70">
      <w:pPr>
        <w:pStyle w:val="COMTablefooter"/>
      </w:pPr>
      <w:r w:rsidRPr="007D210F">
        <w:t>Source: Table 68, p112-114 of the resubmission</w:t>
      </w:r>
      <w:r>
        <w:t>.</w:t>
      </w:r>
    </w:p>
    <w:p w14:paraId="184EF3D1" w14:textId="67AB7646" w:rsidR="00804897" w:rsidRPr="00766F70" w:rsidRDefault="00766F70" w:rsidP="00766F70">
      <w:pPr>
        <w:pStyle w:val="COMTablefooter"/>
      </w:pPr>
      <w:r w:rsidRPr="007D210F">
        <w:t>Abbreviations: CKD, chronic kidney disease; FAS, full analysis set; SGLT2</w:t>
      </w:r>
      <w:r>
        <w:t>i</w:t>
      </w:r>
      <w:r w:rsidRPr="007D210F">
        <w:t xml:space="preserve">, </w:t>
      </w:r>
      <w:r w:rsidRPr="00766F70">
        <w:rPr>
          <w:rStyle w:val="Emphasis"/>
          <w:i w:val="0"/>
          <w:iCs w:val="0"/>
        </w:rPr>
        <w:t>sodium-glucose co-transporter-2 inhibitor</w:t>
      </w:r>
      <w:r w:rsidRPr="00766F70">
        <w:t>; UACR</w:t>
      </w:r>
      <w:r w:rsidRPr="007D210F">
        <w:t>, urinary albumin-to-creatinine ratio</w:t>
      </w:r>
      <w:r>
        <w:t>.</w:t>
      </w:r>
    </w:p>
    <w:p w14:paraId="59CDF679" w14:textId="77777777" w:rsidR="00494BE5" w:rsidRPr="00494BE5" w:rsidRDefault="002D304B" w:rsidP="00494BE5">
      <w:pPr>
        <w:pStyle w:val="COMexecsumnumberedpara"/>
        <w:rPr>
          <w:color w:val="0066FF"/>
        </w:rPr>
      </w:pPr>
      <w:r w:rsidRPr="008662BD">
        <w:rPr>
          <w:snapToGrid/>
        </w:rPr>
        <w:t>All patients began the model with various levels of renal impairment (CKD 1/2, CKD 3, CKD 4) with the assumption of no prior history of heart failure hospitalisation. During each cycle of the Markov model, patients could remain in their current health state, experience progression/regression of renal impairment, initiate dialysis or transplantation, experience a non-fatal heart failure hospitalisation event, or die from cardiovascular or background mortality. Patients experiencing a non-fatal heart failure hospitalisation or initiating dialysis/transplantation transition to a corresponding chronic disease state in the next cycle. Patients in both treatment arms could also experience hyperkalaemia events with or without hospitalisation in any cycle. Patients in the finerenone arm could discontinue treatment in any cycle and adopt the same risks as the placebo arm.</w:t>
      </w:r>
    </w:p>
    <w:p w14:paraId="04B96D6F" w14:textId="6999E724" w:rsidR="005A438B" w:rsidRPr="00FC1D21" w:rsidRDefault="00494BE5" w:rsidP="005A438B">
      <w:pPr>
        <w:pStyle w:val="COMexecsumnumberedpara"/>
        <w:rPr>
          <w:color w:val="0066FF"/>
        </w:rPr>
      </w:pPr>
      <w:r w:rsidRPr="00494BE5">
        <w:rPr>
          <w:snapToGrid/>
        </w:rPr>
        <w:t xml:space="preserve">Baseline patient characteristics used in the model, based on the FIDELITY </w:t>
      </w:r>
      <w:r w:rsidRPr="00916F8A">
        <w:rPr>
          <w:i/>
          <w:iCs/>
          <w:snapToGrid/>
        </w:rPr>
        <w:t>post hoc</w:t>
      </w:r>
      <w:r w:rsidRPr="00494BE5">
        <w:rPr>
          <w:snapToGrid/>
        </w:rPr>
        <w:t xml:space="preserve"> UACR ≥ 200 mg/g subgroup</w:t>
      </w:r>
      <w:r>
        <w:rPr>
          <w:snapToGrid/>
        </w:rPr>
        <w:t>,</w:t>
      </w:r>
      <w:r w:rsidRPr="00494BE5">
        <w:rPr>
          <w:snapToGrid/>
        </w:rPr>
        <w:t xml:space="preserve"> are unlikely to reflect the proposed PBS population given only 6.6% of patients in the subgroup were using SGLT2i medicines, and it is highly likely that broader SGLT2i use will select a population with a different distribution between CKD stages to the modelled population.</w:t>
      </w:r>
      <w:r>
        <w:rPr>
          <w:snapToGrid/>
        </w:rPr>
        <w:t xml:space="preserve"> </w:t>
      </w:r>
      <w:r w:rsidR="008C00F2" w:rsidRPr="009B20C0">
        <w:t>The PSCR argued that based on an analysis of the OneNil dataset and the consideration that the target population are using an SGLT2i (unless medically contraindicated or intolerant) the proposed PBS population will likely have more severe renal disease compared to the patient population modelled in the economic evaluation. Given</w:t>
      </w:r>
      <w:r w:rsidR="00AD5FC8" w:rsidRPr="009B20C0">
        <w:t xml:space="preserve"> that</w:t>
      </w:r>
      <w:r w:rsidR="008C00F2" w:rsidRPr="009B20C0">
        <w:t xml:space="preserve"> the cost-effectiveness of finerenone improves for patients with more sever</w:t>
      </w:r>
      <w:r w:rsidR="00C522DD" w:rsidRPr="009B20C0">
        <w:t>e</w:t>
      </w:r>
      <w:r w:rsidR="008C00F2" w:rsidRPr="009B20C0">
        <w:t xml:space="preserve"> baseline renal disease, the PSCR considered that the baseline distribution across CKD stages in the economic model is conservative</w:t>
      </w:r>
      <w:r w:rsidR="00916F8A" w:rsidRPr="009B20C0">
        <w:t xml:space="preserve"> (see </w:t>
      </w:r>
      <w:r w:rsidR="00916F8A" w:rsidRPr="009B20C0">
        <w:fldChar w:fldCharType="begin"/>
      </w:r>
      <w:r w:rsidR="00916F8A" w:rsidRPr="009B20C0">
        <w:instrText xml:space="preserve"> REF _Ref124170717 \h  \* MERGEFORMAT </w:instrText>
      </w:r>
      <w:r w:rsidR="00916F8A" w:rsidRPr="009B20C0">
        <w:fldChar w:fldCharType="separate"/>
      </w:r>
      <w:r w:rsidR="005562EE" w:rsidRPr="00FE6731">
        <w:t xml:space="preserve">Table </w:t>
      </w:r>
      <w:r w:rsidR="005562EE">
        <w:rPr>
          <w:noProof/>
        </w:rPr>
        <w:t>15</w:t>
      </w:r>
      <w:r w:rsidR="00916F8A" w:rsidRPr="009B20C0">
        <w:fldChar w:fldCharType="end"/>
      </w:r>
      <w:r w:rsidR="00916F8A" w:rsidRPr="009B20C0">
        <w:t>)</w:t>
      </w:r>
      <w:r w:rsidR="008C00F2" w:rsidRPr="009B20C0">
        <w:t>.</w:t>
      </w:r>
      <w:r w:rsidR="00E964F2" w:rsidRPr="009B20C0">
        <w:t xml:space="preserve"> </w:t>
      </w:r>
      <w:r w:rsidR="00916F8A" w:rsidRPr="009B20C0">
        <w:t>The ESC noted the evaluation had concluded analyses of the OneNil database were poorly supported and unlikely to be representative of the target PBS population. Although it is likely that patients using an SGLT2 inhibitor would have more severe renal disease, any treatment effect of SGLT2 inhibitors (prior to the modelled baseline) is not accounted for.</w:t>
      </w:r>
    </w:p>
    <w:p w14:paraId="58B69206" w14:textId="56B998DB" w:rsidR="00245C52" w:rsidRPr="00245C52" w:rsidRDefault="00A37819" w:rsidP="00245C52">
      <w:pPr>
        <w:pStyle w:val="COMexecsumnumberedpara"/>
        <w:rPr>
          <w:color w:val="0066FF"/>
        </w:rPr>
      </w:pPr>
      <w:bookmarkStart w:id="39" w:name="_Ref129947388"/>
      <w:r w:rsidRPr="00790C41">
        <w:rPr>
          <w:snapToGrid/>
        </w:rPr>
        <w:t>In response to PBAC concerns that the model structure did not appropriately account for the relationship between renal disease progression, risk of hyperkalaemia and treatment discontinuation (para 7.10, Finerenone PSD, July 2022 PBAC meeting), the resubmission revised the risks of hyperkalaemia to vary by CKD stage and introduced treatment discontinuation due to hyperkalaemia. The resubmission also estimated risks of subsequent heart failure hospitalisation by CKD stage (the July 2022 submission assumed a constant risk of subsequent cardiovascular events</w:t>
      </w:r>
      <w:r>
        <w:rPr>
          <w:snapToGrid/>
        </w:rPr>
        <w:t xml:space="preserve"> independent of CKD stage</w:t>
      </w:r>
      <w:r w:rsidRPr="00790C41">
        <w:rPr>
          <w:snapToGrid/>
        </w:rPr>
        <w:t xml:space="preserve">). </w:t>
      </w:r>
      <w:r w:rsidRPr="00F610EC">
        <w:rPr>
          <w:snapToGrid/>
        </w:rPr>
        <w:t xml:space="preserve">Risks of overall treatment discontinuation are unchanged, however, and are assumed to be independent of CKD stage. </w:t>
      </w:r>
      <w:r w:rsidRPr="00F610EC">
        <w:rPr>
          <w:iCs/>
          <w:snapToGrid/>
        </w:rPr>
        <w:t>This is inconsistent with the clinical data which suggest higher discontinuation rates in patients with more severe renal impairment.</w:t>
      </w:r>
      <w:r w:rsidR="00F610EC">
        <w:rPr>
          <w:iCs/>
          <w:snapToGrid/>
        </w:rPr>
        <w:t xml:space="preserve"> </w:t>
      </w:r>
      <w:r w:rsidR="00F610EC" w:rsidRPr="009B20C0">
        <w:t xml:space="preserve">The PSCR argued that </w:t>
      </w:r>
      <w:r w:rsidR="00F36A3C" w:rsidRPr="009B20C0">
        <w:t>rates of treatment discontinuation increase with CKD stage, based on the increasing risk of hyperkalaemia related discontinuation</w:t>
      </w:r>
      <w:r w:rsidR="00245C52" w:rsidRPr="009B20C0">
        <w:t xml:space="preserve"> (</w:t>
      </w:r>
      <w:r w:rsidR="00245C52" w:rsidRPr="009B20C0">
        <w:rPr>
          <w:snapToGrid/>
        </w:rPr>
        <w:t>4-monthly probability of treatment discontinuation CKD1/2 = 0.09%; CKD3 = 0.39%; CKD4 = 0.69%; CKD5/no RRT = 1.24%).</w:t>
      </w:r>
      <w:r w:rsidR="000E36CC" w:rsidRPr="009B20C0">
        <w:rPr>
          <w:snapToGrid/>
        </w:rPr>
        <w:t xml:space="preserve"> The ESC considered that the inclusion of hyperkalaemia-related discontinuation based on CKD stage only partly addresses the previous matter of </w:t>
      </w:r>
      <w:r w:rsidR="000E36CC" w:rsidRPr="009B20C0">
        <w:t xml:space="preserve">concern </w:t>
      </w:r>
      <w:r w:rsidR="000A5D93" w:rsidRPr="009B20C0">
        <w:t>and considered that the assumption of a constant risk of finerenone treatment discontinuation independent of CKD stage does not account for the relationship between renal disease progression and treatment discontinuation.</w:t>
      </w:r>
      <w:r w:rsidR="00C401CA">
        <w:t xml:space="preserve"> The </w:t>
      </w:r>
      <w:r w:rsidR="006F6716">
        <w:t xml:space="preserve">pre-PBAC response provided a revised economic model </w:t>
      </w:r>
      <w:r w:rsidR="00D652E5">
        <w:t>in response to</w:t>
      </w:r>
      <w:r w:rsidR="0069235E">
        <w:t xml:space="preserve"> the</w:t>
      </w:r>
      <w:r w:rsidR="00D652E5">
        <w:t xml:space="preserve"> ESC advice above </w:t>
      </w:r>
      <w:r w:rsidR="00362719">
        <w:t>by</w:t>
      </w:r>
      <w:r w:rsidR="006F6716">
        <w:t xml:space="preserve"> </w:t>
      </w:r>
      <w:r w:rsidR="00C401CA">
        <w:t>increas</w:t>
      </w:r>
      <w:r w:rsidR="00362719">
        <w:t>ing</w:t>
      </w:r>
      <w:r w:rsidR="008B301E">
        <w:t xml:space="preserve"> </w:t>
      </w:r>
      <w:r w:rsidR="00362719">
        <w:t>probabilities</w:t>
      </w:r>
      <w:r w:rsidR="00362719" w:rsidDel="00362719">
        <w:t xml:space="preserve"> </w:t>
      </w:r>
      <w:r w:rsidR="00362719">
        <w:t xml:space="preserve">of background risk of </w:t>
      </w:r>
      <w:r w:rsidR="001A0338">
        <w:t xml:space="preserve">discontinuation </w:t>
      </w:r>
      <w:r w:rsidR="00362719">
        <w:t xml:space="preserve">by an additional non-specific 10% in each CKD stage </w:t>
      </w:r>
      <w:r w:rsidR="00D652E5">
        <w:t>(submission base case</w:t>
      </w:r>
      <w:r w:rsidR="009E4DC9">
        <w:t>:</w:t>
      </w:r>
      <w:r w:rsidR="00D652E5">
        <w:t xml:space="preserve"> </w:t>
      </w:r>
      <w:r w:rsidR="001A0338">
        <w:t>CKD1/2 = 3.48%, CKD3 = 3.78%, CKD4 = 4.08%</w:t>
      </w:r>
      <w:r w:rsidR="00D652E5">
        <w:t>;</w:t>
      </w:r>
      <w:r w:rsidR="001A0338">
        <w:t xml:space="preserve"> </w:t>
      </w:r>
      <w:r w:rsidR="00D652E5">
        <w:t>pre-PBAC response</w:t>
      </w:r>
      <w:r w:rsidR="009E4DC9">
        <w:t>:</w:t>
      </w:r>
      <w:r w:rsidR="001A0338">
        <w:t xml:space="preserve"> CKD5 = 4.63%</w:t>
      </w:r>
      <w:r w:rsidR="00D652E5">
        <w:t>;</w:t>
      </w:r>
      <w:r w:rsidR="001A0338">
        <w:t xml:space="preserve"> CKD1/2 = 3.48%, CKD3 = 4.12%, CKD4 = 4.76%, and CKD5 = 5.64%</w:t>
      </w:r>
      <w:r w:rsidR="00D652E5">
        <w:t>)</w:t>
      </w:r>
      <w:r w:rsidR="001A0338">
        <w:t>.</w:t>
      </w:r>
      <w:bookmarkEnd w:id="39"/>
      <w:r w:rsidR="001A0338">
        <w:t xml:space="preserve"> </w:t>
      </w:r>
    </w:p>
    <w:p w14:paraId="3E29310F" w14:textId="382311E2" w:rsidR="009549B0" w:rsidRPr="00E7775D" w:rsidRDefault="009549B0" w:rsidP="008C5739">
      <w:pPr>
        <w:pStyle w:val="COMexecsumnumberedpara"/>
        <w:rPr>
          <w:color w:val="0066FF"/>
        </w:rPr>
      </w:pPr>
      <w:r w:rsidRPr="00F30B24">
        <w:rPr>
          <w:iCs/>
          <w:snapToGrid/>
        </w:rPr>
        <w:t>At the July</w:t>
      </w:r>
      <w:r w:rsidRPr="00842145">
        <w:rPr>
          <w:iCs/>
          <w:snapToGrid/>
        </w:rPr>
        <w:t xml:space="preserve"> 2022 meeting, the PBAC considered that it was inappropriate for the submission to have assumed independent finerenone treatment effects for progression to CKD stage 5 and progression to dialysis, given that both treatment effects share a high degree of overlap (para 7.10, Finerenone PSD, July 2022 PBAC meeting).</w:t>
      </w:r>
      <w:r w:rsidRPr="00C444DB">
        <w:rPr>
          <w:snapToGrid/>
        </w:rPr>
        <w:t xml:space="preserve"> </w:t>
      </w:r>
      <w:r w:rsidRPr="00134CFF">
        <w:t xml:space="preserve">To address PBAC’s concern, the resubmission presented the results of a </w:t>
      </w:r>
      <w:r w:rsidRPr="00134CFF">
        <w:rPr>
          <w:i/>
          <w:iCs/>
        </w:rPr>
        <w:t>post hoc</w:t>
      </w:r>
      <w:r w:rsidRPr="00134CFF">
        <w:t xml:space="preserve"> analysis of time to dialysis after a patient had reached CKD </w:t>
      </w:r>
      <w:r>
        <w:t xml:space="preserve">stage </w:t>
      </w:r>
      <w:r w:rsidRPr="00134CFF">
        <w:t>5 (eGFR</w:t>
      </w:r>
      <w:r w:rsidR="00FB76CE">
        <w:t> </w:t>
      </w:r>
      <w:r w:rsidRPr="00134CFF">
        <w:t>&lt;</w:t>
      </w:r>
      <w:r w:rsidR="00FB76CE">
        <w:t> </w:t>
      </w:r>
      <w:r w:rsidRPr="00134CFF">
        <w:t>15 mL/min/1.73 m</w:t>
      </w:r>
      <w:r w:rsidRPr="00134CFF">
        <w:rPr>
          <w:vertAlign w:val="superscript"/>
        </w:rPr>
        <w:t>2</w:t>
      </w:r>
      <w:r w:rsidRPr="00134CFF">
        <w:t xml:space="preserve">). The results based on the </w:t>
      </w:r>
      <w:r w:rsidR="00FB76CE">
        <w:t xml:space="preserve">overall </w:t>
      </w:r>
      <w:r w:rsidRPr="00134CFF">
        <w:t xml:space="preserve">FIDELITY pooled population are summarised in </w:t>
      </w:r>
      <w:r>
        <w:fldChar w:fldCharType="begin"/>
      </w:r>
      <w:r>
        <w:instrText xml:space="preserve"> REF _Ref124098545 \h </w:instrText>
      </w:r>
      <w:r>
        <w:fldChar w:fldCharType="separate"/>
      </w:r>
      <w:r w:rsidR="005562EE" w:rsidRPr="007D210F">
        <w:t xml:space="preserve">Figure </w:t>
      </w:r>
      <w:r w:rsidR="005562EE">
        <w:rPr>
          <w:noProof/>
        </w:rPr>
        <w:t>1</w:t>
      </w:r>
      <w:r>
        <w:fldChar w:fldCharType="end"/>
      </w:r>
      <w:r>
        <w:t xml:space="preserve"> below</w:t>
      </w:r>
      <w:r w:rsidRPr="00134CFF">
        <w:t>.</w:t>
      </w:r>
      <w:r>
        <w:t xml:space="preserve"> </w:t>
      </w:r>
      <w:r w:rsidRPr="00156147">
        <w:t>The resubmission also presented results based on the UACR</w:t>
      </w:r>
      <w:r w:rsidR="00FB76CE">
        <w:t> </w:t>
      </w:r>
      <w:r w:rsidRPr="00156147">
        <w:t>≥</w:t>
      </w:r>
      <w:r w:rsidR="00FB76CE">
        <w:t> </w:t>
      </w:r>
      <w:r w:rsidRPr="00156147">
        <w:t>200 mg/g subgroup, with results for the UACR</w:t>
      </w:r>
      <w:r w:rsidR="00FB76CE">
        <w:t> </w:t>
      </w:r>
      <w:r w:rsidRPr="00156147">
        <w:t>≥</w:t>
      </w:r>
      <w:r w:rsidR="00FB76CE">
        <w:t> </w:t>
      </w:r>
      <w:r w:rsidRPr="00156147">
        <w:t>200</w:t>
      </w:r>
      <w:r w:rsidR="00FB76CE">
        <w:t> </w:t>
      </w:r>
      <w:r w:rsidRPr="00156147">
        <w:t>mg/g with SGLT2</w:t>
      </w:r>
      <w:r w:rsidR="00FB76CE">
        <w:t xml:space="preserve">i </w:t>
      </w:r>
      <w:r w:rsidRPr="00156147">
        <w:t>use and UACR ≥ 200 mg/g without SLGT2</w:t>
      </w:r>
      <w:r w:rsidR="00FB76CE">
        <w:t xml:space="preserve">i </w:t>
      </w:r>
      <w:r w:rsidRPr="00156147">
        <w:t>use subgroups provided in Attachment 11 to the resubmission.</w:t>
      </w:r>
    </w:p>
    <w:p w14:paraId="7D1D01AF" w14:textId="2513DEC2" w:rsidR="00E7775D" w:rsidRDefault="00E7775D" w:rsidP="00E7775D">
      <w:pPr>
        <w:pStyle w:val="COMTableheadingrow"/>
      </w:pPr>
      <w:bookmarkStart w:id="40" w:name="_Ref124098545"/>
      <w:r w:rsidRPr="007D210F">
        <w:t xml:space="preserve">Figure </w:t>
      </w:r>
      <w:r>
        <w:fldChar w:fldCharType="begin"/>
      </w:r>
      <w:r>
        <w:instrText xml:space="preserve"> SEQ Figure \* ARABIC </w:instrText>
      </w:r>
      <w:r>
        <w:fldChar w:fldCharType="separate"/>
      </w:r>
      <w:r w:rsidR="005562EE">
        <w:rPr>
          <w:noProof/>
        </w:rPr>
        <w:t>1</w:t>
      </w:r>
      <w:r>
        <w:rPr>
          <w:noProof/>
        </w:rPr>
        <w:fldChar w:fldCharType="end"/>
      </w:r>
      <w:bookmarkEnd w:id="40"/>
      <w:r w:rsidRPr="007D210F">
        <w:t>: Time to dialysis in patients who progress to CKD 5</w:t>
      </w:r>
    </w:p>
    <w:p w14:paraId="5CD6A47D" w14:textId="77777777" w:rsidR="00E7775D" w:rsidRDefault="00E7775D" w:rsidP="00E7775D">
      <w:pPr>
        <w:keepNext/>
      </w:pPr>
      <w:r w:rsidRPr="000B5801">
        <w:rPr>
          <w:noProof/>
        </w:rPr>
        <w:drawing>
          <wp:inline distT="0" distB="0" distL="0" distR="0" wp14:anchorId="08BA0E26" wp14:editId="74B7735D">
            <wp:extent cx="5681980" cy="3639820"/>
            <wp:effectExtent l="0" t="0" r="0" b="0"/>
            <wp:docPr id="10" name="Picture 10" descr="Figure 1: Time to dialysis in patients who progress to CK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1: Time to dialysis in patients who progress to CKD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980" cy="3639820"/>
                    </a:xfrm>
                    <a:prstGeom prst="rect">
                      <a:avLst/>
                    </a:prstGeom>
                    <a:noFill/>
                  </pic:spPr>
                </pic:pic>
              </a:graphicData>
            </a:graphic>
          </wp:inline>
        </w:drawing>
      </w:r>
    </w:p>
    <w:tbl>
      <w:tblPr>
        <w:tblStyle w:val="TableGrid"/>
        <w:tblW w:w="5000" w:type="pct"/>
        <w:tblLook w:val="04A0" w:firstRow="1" w:lastRow="0" w:firstColumn="1" w:lastColumn="0" w:noHBand="0" w:noVBand="1"/>
      </w:tblPr>
      <w:tblGrid>
        <w:gridCol w:w="564"/>
        <w:gridCol w:w="845"/>
        <w:gridCol w:w="845"/>
        <w:gridCol w:w="845"/>
        <w:gridCol w:w="846"/>
        <w:gridCol w:w="845"/>
        <w:gridCol w:w="845"/>
        <w:gridCol w:w="846"/>
        <w:gridCol w:w="845"/>
        <w:gridCol w:w="845"/>
        <w:gridCol w:w="846"/>
      </w:tblGrid>
      <w:tr w:rsidR="00E7775D" w:rsidRPr="007D210F" w14:paraId="5D764BDA" w14:textId="77777777" w:rsidTr="004E2A40">
        <w:tc>
          <w:tcPr>
            <w:tcW w:w="9017" w:type="dxa"/>
            <w:gridSpan w:val="11"/>
          </w:tcPr>
          <w:p w14:paraId="31712A73" w14:textId="77777777" w:rsidR="00E7775D" w:rsidRPr="007D210F" w:rsidRDefault="00E7775D" w:rsidP="004E2A40">
            <w:pPr>
              <w:pStyle w:val="Default"/>
              <w:keepNext/>
              <w:keepLines/>
              <w:rPr>
                <w:rFonts w:ascii="Arial Narrow" w:hAnsi="Arial Narrow"/>
                <w:sz w:val="20"/>
                <w:szCs w:val="20"/>
              </w:rPr>
            </w:pPr>
            <w:r w:rsidRPr="007D210F">
              <w:rPr>
                <w:rFonts w:ascii="Arial Narrow" w:hAnsi="Arial Narrow"/>
                <w:sz w:val="20"/>
                <w:szCs w:val="20"/>
              </w:rPr>
              <w:t>Number of subjects</w:t>
            </w:r>
          </w:p>
        </w:tc>
      </w:tr>
      <w:tr w:rsidR="00E7775D" w:rsidRPr="007D210F" w14:paraId="2DFD9983" w14:textId="77777777" w:rsidTr="004E2A40">
        <w:tc>
          <w:tcPr>
            <w:tcW w:w="564" w:type="dxa"/>
          </w:tcPr>
          <w:p w14:paraId="1E48CE60" w14:textId="77777777" w:rsidR="00E7775D" w:rsidRPr="007D210F" w:rsidRDefault="00E7775D" w:rsidP="004E2A40">
            <w:pPr>
              <w:pStyle w:val="Default"/>
              <w:keepNext/>
              <w:keepLines/>
              <w:rPr>
                <w:rFonts w:ascii="Arial Narrow" w:hAnsi="Arial Narrow"/>
                <w:sz w:val="20"/>
                <w:szCs w:val="20"/>
              </w:rPr>
            </w:pPr>
            <w:r w:rsidRPr="007D210F">
              <w:rPr>
                <w:rFonts w:ascii="Arial Narrow" w:hAnsi="Arial Narrow"/>
                <w:sz w:val="20"/>
                <w:szCs w:val="20"/>
              </w:rPr>
              <w:t>FIN</w:t>
            </w:r>
          </w:p>
        </w:tc>
        <w:tc>
          <w:tcPr>
            <w:tcW w:w="845" w:type="dxa"/>
          </w:tcPr>
          <w:p w14:paraId="6A220D18"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280</w:t>
            </w:r>
          </w:p>
        </w:tc>
        <w:tc>
          <w:tcPr>
            <w:tcW w:w="845" w:type="dxa"/>
          </w:tcPr>
          <w:p w14:paraId="375D31DA"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152</w:t>
            </w:r>
          </w:p>
        </w:tc>
        <w:tc>
          <w:tcPr>
            <w:tcW w:w="845" w:type="dxa"/>
          </w:tcPr>
          <w:p w14:paraId="0D4E53C3"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104</w:t>
            </w:r>
          </w:p>
        </w:tc>
        <w:tc>
          <w:tcPr>
            <w:tcW w:w="846" w:type="dxa"/>
          </w:tcPr>
          <w:p w14:paraId="10F011F8"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64</w:t>
            </w:r>
          </w:p>
        </w:tc>
        <w:tc>
          <w:tcPr>
            <w:tcW w:w="845" w:type="dxa"/>
          </w:tcPr>
          <w:p w14:paraId="64EE1E6C"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46</w:t>
            </w:r>
          </w:p>
        </w:tc>
        <w:tc>
          <w:tcPr>
            <w:tcW w:w="845" w:type="dxa"/>
          </w:tcPr>
          <w:p w14:paraId="1E121271"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26</w:t>
            </w:r>
          </w:p>
        </w:tc>
        <w:tc>
          <w:tcPr>
            <w:tcW w:w="846" w:type="dxa"/>
          </w:tcPr>
          <w:p w14:paraId="365A4089"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23</w:t>
            </w:r>
          </w:p>
        </w:tc>
        <w:tc>
          <w:tcPr>
            <w:tcW w:w="845" w:type="dxa"/>
          </w:tcPr>
          <w:p w14:paraId="3F6A862F"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13</w:t>
            </w:r>
          </w:p>
        </w:tc>
        <w:tc>
          <w:tcPr>
            <w:tcW w:w="845" w:type="dxa"/>
          </w:tcPr>
          <w:p w14:paraId="74AA9EAD"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13</w:t>
            </w:r>
          </w:p>
        </w:tc>
        <w:tc>
          <w:tcPr>
            <w:tcW w:w="846" w:type="dxa"/>
          </w:tcPr>
          <w:p w14:paraId="50963860"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13</w:t>
            </w:r>
          </w:p>
        </w:tc>
      </w:tr>
      <w:tr w:rsidR="00E7775D" w:rsidRPr="007D210F" w14:paraId="7B4A2D61" w14:textId="77777777" w:rsidTr="004E2A40">
        <w:tc>
          <w:tcPr>
            <w:tcW w:w="564" w:type="dxa"/>
          </w:tcPr>
          <w:p w14:paraId="74F6F9DF" w14:textId="77777777" w:rsidR="00E7775D" w:rsidRPr="007D210F" w:rsidRDefault="00E7775D" w:rsidP="004E2A40">
            <w:pPr>
              <w:pStyle w:val="Default"/>
              <w:keepNext/>
              <w:keepLines/>
              <w:rPr>
                <w:rFonts w:ascii="Arial Narrow" w:hAnsi="Arial Narrow"/>
                <w:sz w:val="20"/>
                <w:szCs w:val="20"/>
              </w:rPr>
            </w:pPr>
            <w:r w:rsidRPr="007D210F">
              <w:rPr>
                <w:rFonts w:ascii="Arial Narrow" w:hAnsi="Arial Narrow"/>
                <w:sz w:val="20"/>
                <w:szCs w:val="20"/>
              </w:rPr>
              <w:t>PBO</w:t>
            </w:r>
          </w:p>
        </w:tc>
        <w:tc>
          <w:tcPr>
            <w:tcW w:w="845" w:type="dxa"/>
          </w:tcPr>
          <w:p w14:paraId="41DCE48F"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317</w:t>
            </w:r>
          </w:p>
        </w:tc>
        <w:tc>
          <w:tcPr>
            <w:tcW w:w="845" w:type="dxa"/>
          </w:tcPr>
          <w:p w14:paraId="5239283A"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202</w:t>
            </w:r>
          </w:p>
        </w:tc>
        <w:tc>
          <w:tcPr>
            <w:tcW w:w="845" w:type="dxa"/>
          </w:tcPr>
          <w:p w14:paraId="75C91095"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124</w:t>
            </w:r>
          </w:p>
        </w:tc>
        <w:tc>
          <w:tcPr>
            <w:tcW w:w="846" w:type="dxa"/>
          </w:tcPr>
          <w:p w14:paraId="3D8E2A53"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70</w:t>
            </w:r>
          </w:p>
        </w:tc>
        <w:tc>
          <w:tcPr>
            <w:tcW w:w="845" w:type="dxa"/>
          </w:tcPr>
          <w:p w14:paraId="11FA9848"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40</w:t>
            </w:r>
          </w:p>
        </w:tc>
        <w:tc>
          <w:tcPr>
            <w:tcW w:w="845" w:type="dxa"/>
          </w:tcPr>
          <w:p w14:paraId="55B0CBBC"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16</w:t>
            </w:r>
          </w:p>
        </w:tc>
        <w:tc>
          <w:tcPr>
            <w:tcW w:w="846" w:type="dxa"/>
          </w:tcPr>
          <w:p w14:paraId="7A84D35E"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16</w:t>
            </w:r>
          </w:p>
        </w:tc>
        <w:tc>
          <w:tcPr>
            <w:tcW w:w="845" w:type="dxa"/>
          </w:tcPr>
          <w:p w14:paraId="54ADC8D0"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8</w:t>
            </w:r>
          </w:p>
        </w:tc>
        <w:tc>
          <w:tcPr>
            <w:tcW w:w="845" w:type="dxa"/>
          </w:tcPr>
          <w:p w14:paraId="29FDC395"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8</w:t>
            </w:r>
          </w:p>
        </w:tc>
        <w:tc>
          <w:tcPr>
            <w:tcW w:w="846" w:type="dxa"/>
          </w:tcPr>
          <w:p w14:paraId="0744F3D0"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2</w:t>
            </w:r>
          </w:p>
        </w:tc>
      </w:tr>
      <w:tr w:rsidR="00E7775D" w:rsidRPr="007D210F" w14:paraId="2B8C5603" w14:textId="77777777" w:rsidTr="004E2A40">
        <w:tc>
          <w:tcPr>
            <w:tcW w:w="9017" w:type="dxa"/>
            <w:gridSpan w:val="11"/>
          </w:tcPr>
          <w:p w14:paraId="67BBD2A1" w14:textId="77777777" w:rsidR="00E7775D" w:rsidRPr="007D210F" w:rsidRDefault="00E7775D" w:rsidP="004E2A40">
            <w:pPr>
              <w:pStyle w:val="Default"/>
              <w:keepNext/>
              <w:keepLines/>
              <w:rPr>
                <w:rFonts w:ascii="Arial Narrow" w:hAnsi="Arial Narrow"/>
                <w:sz w:val="20"/>
                <w:szCs w:val="20"/>
              </w:rPr>
            </w:pPr>
            <w:r w:rsidRPr="007D210F">
              <w:rPr>
                <w:rFonts w:ascii="Arial Narrow" w:hAnsi="Arial Narrow"/>
                <w:sz w:val="20"/>
                <w:szCs w:val="20"/>
              </w:rPr>
              <w:t>Cumulative number with dialysis event</w:t>
            </w:r>
          </w:p>
        </w:tc>
      </w:tr>
      <w:tr w:rsidR="00E7775D" w:rsidRPr="007D210F" w14:paraId="1FF63898" w14:textId="77777777" w:rsidTr="004E2A40">
        <w:tc>
          <w:tcPr>
            <w:tcW w:w="564" w:type="dxa"/>
          </w:tcPr>
          <w:p w14:paraId="41CC7DAB" w14:textId="77777777" w:rsidR="00E7775D" w:rsidRPr="007D210F" w:rsidRDefault="00E7775D" w:rsidP="004E2A40">
            <w:pPr>
              <w:pStyle w:val="Default"/>
              <w:keepNext/>
              <w:keepLines/>
              <w:rPr>
                <w:rFonts w:ascii="Arial Narrow" w:hAnsi="Arial Narrow"/>
                <w:sz w:val="20"/>
                <w:szCs w:val="20"/>
              </w:rPr>
            </w:pPr>
            <w:r w:rsidRPr="007D210F">
              <w:rPr>
                <w:rFonts w:ascii="Arial Narrow" w:hAnsi="Arial Narrow"/>
                <w:sz w:val="20"/>
                <w:szCs w:val="20"/>
              </w:rPr>
              <w:t>FIN</w:t>
            </w:r>
          </w:p>
        </w:tc>
        <w:tc>
          <w:tcPr>
            <w:tcW w:w="845" w:type="dxa"/>
          </w:tcPr>
          <w:p w14:paraId="5CFDD506"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0</w:t>
            </w:r>
          </w:p>
        </w:tc>
        <w:tc>
          <w:tcPr>
            <w:tcW w:w="845" w:type="dxa"/>
          </w:tcPr>
          <w:p w14:paraId="10E22119"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36</w:t>
            </w:r>
          </w:p>
        </w:tc>
        <w:tc>
          <w:tcPr>
            <w:tcW w:w="845" w:type="dxa"/>
          </w:tcPr>
          <w:p w14:paraId="4E1C6E5C"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50</w:t>
            </w:r>
          </w:p>
        </w:tc>
        <w:tc>
          <w:tcPr>
            <w:tcW w:w="846" w:type="dxa"/>
          </w:tcPr>
          <w:p w14:paraId="33C294B1"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65</w:t>
            </w:r>
          </w:p>
        </w:tc>
        <w:tc>
          <w:tcPr>
            <w:tcW w:w="845" w:type="dxa"/>
          </w:tcPr>
          <w:p w14:paraId="4ACF18E6"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71</w:t>
            </w:r>
          </w:p>
        </w:tc>
        <w:tc>
          <w:tcPr>
            <w:tcW w:w="845" w:type="dxa"/>
          </w:tcPr>
          <w:p w14:paraId="05FB1E27"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74</w:t>
            </w:r>
          </w:p>
        </w:tc>
        <w:tc>
          <w:tcPr>
            <w:tcW w:w="846" w:type="dxa"/>
          </w:tcPr>
          <w:p w14:paraId="0DC0758B"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75</w:t>
            </w:r>
          </w:p>
        </w:tc>
        <w:tc>
          <w:tcPr>
            <w:tcW w:w="845" w:type="dxa"/>
          </w:tcPr>
          <w:p w14:paraId="2B6A11E4"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77</w:t>
            </w:r>
          </w:p>
        </w:tc>
        <w:tc>
          <w:tcPr>
            <w:tcW w:w="845" w:type="dxa"/>
          </w:tcPr>
          <w:p w14:paraId="1F3D1ABE"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77</w:t>
            </w:r>
          </w:p>
        </w:tc>
        <w:tc>
          <w:tcPr>
            <w:tcW w:w="846" w:type="dxa"/>
          </w:tcPr>
          <w:p w14:paraId="0637A65F"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77</w:t>
            </w:r>
          </w:p>
        </w:tc>
      </w:tr>
      <w:tr w:rsidR="00E7775D" w:rsidRPr="007D210F" w14:paraId="1B1B6B40" w14:textId="77777777" w:rsidTr="004E2A40">
        <w:tc>
          <w:tcPr>
            <w:tcW w:w="564" w:type="dxa"/>
          </w:tcPr>
          <w:p w14:paraId="43E5EDE5" w14:textId="77777777" w:rsidR="00E7775D" w:rsidRPr="007D210F" w:rsidRDefault="00E7775D" w:rsidP="004E2A40">
            <w:pPr>
              <w:pStyle w:val="Default"/>
              <w:keepNext/>
              <w:keepLines/>
              <w:rPr>
                <w:rFonts w:ascii="Arial Narrow" w:hAnsi="Arial Narrow"/>
                <w:sz w:val="20"/>
                <w:szCs w:val="20"/>
              </w:rPr>
            </w:pPr>
            <w:r w:rsidRPr="007D210F">
              <w:rPr>
                <w:rFonts w:ascii="Arial Narrow" w:hAnsi="Arial Narrow"/>
                <w:sz w:val="20"/>
                <w:szCs w:val="20"/>
              </w:rPr>
              <w:t>PBO</w:t>
            </w:r>
          </w:p>
        </w:tc>
        <w:tc>
          <w:tcPr>
            <w:tcW w:w="845" w:type="dxa"/>
          </w:tcPr>
          <w:p w14:paraId="66E43963"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0</w:t>
            </w:r>
          </w:p>
        </w:tc>
        <w:tc>
          <w:tcPr>
            <w:tcW w:w="845" w:type="dxa"/>
          </w:tcPr>
          <w:p w14:paraId="5C7A8AF1"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29</w:t>
            </w:r>
          </w:p>
        </w:tc>
        <w:tc>
          <w:tcPr>
            <w:tcW w:w="845" w:type="dxa"/>
          </w:tcPr>
          <w:p w14:paraId="643122AE"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67</w:t>
            </w:r>
          </w:p>
        </w:tc>
        <w:tc>
          <w:tcPr>
            <w:tcW w:w="846" w:type="dxa"/>
          </w:tcPr>
          <w:p w14:paraId="4C0C52F7"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93</w:t>
            </w:r>
          </w:p>
        </w:tc>
        <w:tc>
          <w:tcPr>
            <w:tcW w:w="845" w:type="dxa"/>
          </w:tcPr>
          <w:p w14:paraId="0FD79AD6"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104</w:t>
            </w:r>
          </w:p>
        </w:tc>
        <w:tc>
          <w:tcPr>
            <w:tcW w:w="845" w:type="dxa"/>
          </w:tcPr>
          <w:p w14:paraId="5D5BB3B2"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110</w:t>
            </w:r>
          </w:p>
        </w:tc>
        <w:tc>
          <w:tcPr>
            <w:tcW w:w="846" w:type="dxa"/>
          </w:tcPr>
          <w:p w14:paraId="22099719"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110</w:t>
            </w:r>
          </w:p>
        </w:tc>
        <w:tc>
          <w:tcPr>
            <w:tcW w:w="845" w:type="dxa"/>
          </w:tcPr>
          <w:p w14:paraId="64F64EFB"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112</w:t>
            </w:r>
          </w:p>
        </w:tc>
        <w:tc>
          <w:tcPr>
            <w:tcW w:w="845" w:type="dxa"/>
          </w:tcPr>
          <w:p w14:paraId="5840D62A"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112</w:t>
            </w:r>
          </w:p>
        </w:tc>
        <w:tc>
          <w:tcPr>
            <w:tcW w:w="846" w:type="dxa"/>
          </w:tcPr>
          <w:p w14:paraId="4A64E113" w14:textId="77777777" w:rsidR="00E7775D" w:rsidRPr="007D210F" w:rsidRDefault="00E7775D" w:rsidP="004E2A40">
            <w:pPr>
              <w:pStyle w:val="Default"/>
              <w:keepNext/>
              <w:keepLines/>
              <w:jc w:val="center"/>
              <w:rPr>
                <w:rFonts w:ascii="Arial Narrow" w:hAnsi="Arial Narrow"/>
                <w:sz w:val="20"/>
                <w:szCs w:val="20"/>
              </w:rPr>
            </w:pPr>
            <w:r w:rsidRPr="007D210F">
              <w:rPr>
                <w:rFonts w:ascii="Arial Narrow" w:hAnsi="Arial Narrow"/>
                <w:sz w:val="20"/>
                <w:szCs w:val="20"/>
              </w:rPr>
              <w:t>113</w:t>
            </w:r>
          </w:p>
        </w:tc>
      </w:tr>
    </w:tbl>
    <w:p w14:paraId="05EE2575" w14:textId="3145EC55" w:rsidR="00E7775D" w:rsidRPr="007D210F" w:rsidRDefault="00E7775D" w:rsidP="00E7775D">
      <w:pPr>
        <w:pStyle w:val="COMTablefooter"/>
      </w:pPr>
      <w:r w:rsidRPr="007D210F">
        <w:t>Source: Figure 30, p172 of the resubmission and New episode of dialysis spreadsheet, Attachment 11 of the resubmission</w:t>
      </w:r>
      <w:r>
        <w:t>.</w:t>
      </w:r>
    </w:p>
    <w:p w14:paraId="4EB714E1" w14:textId="0CA501E2" w:rsidR="00E7775D" w:rsidRPr="00E7775D" w:rsidRDefault="00E7775D" w:rsidP="00E7775D">
      <w:pPr>
        <w:pStyle w:val="COMTablefooter"/>
      </w:pPr>
      <w:r w:rsidRPr="007D210F">
        <w:t xml:space="preserve">Abbreviations: </w:t>
      </w:r>
      <w:r>
        <w:t xml:space="preserve">CI, confidence interval; </w:t>
      </w:r>
      <w:r w:rsidRPr="007D210F">
        <w:t>CKD, chronic kidney disease; FAS, full analysis set; FIN, finerenone; PBO, placebo</w:t>
      </w:r>
      <w:r>
        <w:t>.</w:t>
      </w:r>
    </w:p>
    <w:p w14:paraId="0893F91A" w14:textId="383880D6" w:rsidR="00E1166E" w:rsidRPr="00842145" w:rsidRDefault="00E1166E" w:rsidP="00E1166E">
      <w:pPr>
        <w:pStyle w:val="COMexecsumnumberedpara"/>
        <w:rPr>
          <w:iCs/>
          <w:snapToGrid/>
        </w:rPr>
      </w:pPr>
      <w:r w:rsidRPr="00D278CA">
        <w:rPr>
          <w:snapToGrid/>
        </w:rPr>
        <w:t>The analysis indicated that after an initial increase in progression to dialysis</w:t>
      </w:r>
      <w:r w:rsidR="004C1373">
        <w:rPr>
          <w:snapToGrid/>
        </w:rPr>
        <w:t xml:space="preserve"> </w:t>
      </w:r>
      <w:r w:rsidR="004C1373" w:rsidRPr="00D278CA">
        <w:rPr>
          <w:snapToGrid/>
        </w:rPr>
        <w:t>compared with placebo</w:t>
      </w:r>
      <w:r w:rsidRPr="00D278CA">
        <w:rPr>
          <w:snapToGrid/>
        </w:rPr>
        <w:t>, finerenone treatment was associated with a delay in progression to dialysis compared with placebo</w:t>
      </w:r>
      <w:r w:rsidR="004C1373">
        <w:rPr>
          <w:snapToGrid/>
        </w:rPr>
        <w:t xml:space="preserve"> beyond 8 months</w:t>
      </w:r>
      <w:r w:rsidRPr="00D278CA">
        <w:rPr>
          <w:snapToGrid/>
        </w:rPr>
        <w:t>, although confidence intervals are overlapping.</w:t>
      </w:r>
    </w:p>
    <w:p w14:paraId="2FC8163D" w14:textId="77777777" w:rsidR="00E1166E" w:rsidRPr="00842145" w:rsidRDefault="00E1166E" w:rsidP="00E1166E">
      <w:pPr>
        <w:pStyle w:val="COMexecsumnumberedpara"/>
        <w:rPr>
          <w:iCs/>
          <w:snapToGrid/>
        </w:rPr>
      </w:pPr>
      <w:r w:rsidRPr="00842145">
        <w:rPr>
          <w:iCs/>
          <w:snapToGrid/>
        </w:rPr>
        <w:t>Limited details were presented on the analysis and the data could not be validated during the evaluation. The number of placebo arm patients proceeding to dialysis from CKD stage 5 (N=113), was higher than the number based on FIDELITY individual patient data presented in the July 2022 submission (N=82). It was unclear whether the number of patients at each time point represented patients actively receiving treatment or whether they were based on randomised treatment regardless of active treatment status. Additionally, there is substantial loss of data within a very short period of this analyses with no documentation of reasons for censoring and unclear outcomes of missing patients.</w:t>
      </w:r>
    </w:p>
    <w:p w14:paraId="2A09FA0D" w14:textId="40DF700D" w:rsidR="00E1166E" w:rsidRPr="00842145" w:rsidRDefault="00E1166E" w:rsidP="00E1166E">
      <w:pPr>
        <w:pStyle w:val="COMexecsumnumberedpara"/>
        <w:rPr>
          <w:iCs/>
          <w:snapToGrid/>
        </w:rPr>
      </w:pPr>
      <w:bookmarkStart w:id="41" w:name="_Ref129947015"/>
      <w:r w:rsidRPr="00842145">
        <w:rPr>
          <w:iCs/>
          <w:snapToGrid/>
        </w:rPr>
        <w:t>The results presented in the resubmission were suggestive of a treatment effect for finerenone on progression to dialysis from CKD stage 5, however, the magnitude of any treatment benefit is unclear. The economic model assumes fully independent treatment effects for progression from CKD stages 1-4 to stage 5 (eGFR &lt; 15 mL/min/1.73 m</w:t>
      </w:r>
      <w:r w:rsidRPr="00842145">
        <w:rPr>
          <w:iCs/>
          <w:snapToGrid/>
          <w:vertAlign w:val="superscript"/>
        </w:rPr>
        <w:t>2</w:t>
      </w:r>
      <w:r w:rsidRPr="00842145">
        <w:rPr>
          <w:iCs/>
          <w:snapToGrid/>
        </w:rPr>
        <w:t>) and CKD stages 1-5 to dialysis, with the treatment effect estimates not accounting for overlap between the estimates. The treatment effect applied to transitions from CKD stage 1-4 to CKD stage 5 without dialysis/transplantation included patients with and without progression to dialysis/transplant. The treatment effect applied to transitions from CKD stage 1-4 to dialysis and CKD stage 5 to dialysis included patients with and without a sustained decrease in eGFR to &lt; 15 mL/min/1.73 m</w:t>
      </w:r>
      <w:r w:rsidRPr="00842145">
        <w:rPr>
          <w:iCs/>
          <w:snapToGrid/>
          <w:vertAlign w:val="superscript"/>
        </w:rPr>
        <w:t>2</w:t>
      </w:r>
      <w:r w:rsidRPr="00842145">
        <w:rPr>
          <w:iCs/>
          <w:snapToGrid/>
        </w:rPr>
        <w:t>. The magnitude of treatment effect accounting for the overlap in outcomes for each of these transitions is unclear.</w:t>
      </w:r>
      <w:r w:rsidR="0073308E">
        <w:rPr>
          <w:iCs/>
          <w:snapToGrid/>
        </w:rPr>
        <w:t xml:space="preserve"> </w:t>
      </w:r>
      <w:r w:rsidR="0073308E" w:rsidRPr="009B20C0">
        <w:t>The PSCR (2-3) acknowledged that the data informing the transitions from CKD stage 1-4 to CKD stage 5 and from CKD stage 1-5 to dialysis were based on overlapping populations</w:t>
      </w:r>
      <w:r w:rsidR="000A5D93" w:rsidRPr="009B20C0">
        <w:t xml:space="preserve">, </w:t>
      </w:r>
      <w:r w:rsidR="0073308E" w:rsidRPr="009B20C0">
        <w:t>however it argued that the impact of any overlap was likely to be small.</w:t>
      </w:r>
      <w:r w:rsidR="005F219F" w:rsidRPr="009B20C0">
        <w:t xml:space="preserve"> The ESC considered that that the assumption of independent treatment effect estimates, not adjusted for overlap, </w:t>
      </w:r>
      <w:r w:rsidR="000A5D93" w:rsidRPr="009B20C0">
        <w:t>applied to transitions from CKD stage 1-4 to CKD stage 5 and from CKD stage 1-5 to dialysis in the base case analysis is not appropriate as it overestimates the magnitude of effect for finerenone.</w:t>
      </w:r>
      <w:bookmarkEnd w:id="41"/>
    </w:p>
    <w:p w14:paraId="5BCAA108" w14:textId="77777777" w:rsidR="00E1166E" w:rsidRDefault="00E1166E" w:rsidP="00E1166E">
      <w:pPr>
        <w:pStyle w:val="COMexecsumnumberedpara"/>
        <w:rPr>
          <w:snapToGrid/>
        </w:rPr>
      </w:pPr>
      <w:r>
        <w:rPr>
          <w:snapToGrid/>
        </w:rPr>
        <w:t xml:space="preserve">Although </w:t>
      </w:r>
      <w:r w:rsidRPr="00C444DB">
        <w:rPr>
          <w:snapToGrid/>
        </w:rPr>
        <w:t>no changes have been made to finerenone treatment effects on renal outcomes in the resubmission, the model has been revised to allow separate finerenone treatment effects to be applied to transitions from CKD stage 1-4 to dialysis and from CKD stage 5 to dialysis, so that any uncertainty regarding overlapping treatment effects can be explored.</w:t>
      </w:r>
    </w:p>
    <w:p w14:paraId="0790A7B8" w14:textId="56DA7944" w:rsidR="00E1166E" w:rsidRDefault="00E1166E" w:rsidP="00E1166E">
      <w:pPr>
        <w:pStyle w:val="COMexecsumnumberedpara"/>
        <w:rPr>
          <w:iCs/>
          <w:snapToGrid/>
        </w:rPr>
      </w:pPr>
      <w:r w:rsidRPr="0050300E">
        <w:rPr>
          <w:snapToGrid/>
        </w:rPr>
        <w:t xml:space="preserve">The resubmission stated that clinician input was sought to address ESC concerns that once CKD </w:t>
      </w:r>
      <w:r>
        <w:rPr>
          <w:snapToGrid/>
        </w:rPr>
        <w:t xml:space="preserve">stage </w:t>
      </w:r>
      <w:r w:rsidRPr="0050300E">
        <w:rPr>
          <w:snapToGrid/>
        </w:rPr>
        <w:t xml:space="preserve">5 </w:t>
      </w:r>
      <w:r>
        <w:rPr>
          <w:snapToGrid/>
        </w:rPr>
        <w:t xml:space="preserve">is </w:t>
      </w:r>
      <w:r w:rsidRPr="0050300E">
        <w:rPr>
          <w:snapToGrid/>
        </w:rPr>
        <w:t xml:space="preserve">reached, the decision to commence dialysis is often a patient decision or related to access and is unlikely to be influenced by finerenone use in practice (Table 13, Finerenone PSD, July 2022 PBAC meeting). The resubmission stated that the feedback was based on two specialist workshops conducted in October 2022 including nephrologists and endocrinologists from Melbourne and Sydney. The advice was that progression to dialysis could be affected by treatment and that the treatment effect observed in CKD 5 patients in the trial was plausible. </w:t>
      </w:r>
      <w:r w:rsidRPr="00842145">
        <w:rPr>
          <w:iCs/>
          <w:snapToGrid/>
        </w:rPr>
        <w:t>No further information was provided on the expert opinion, and it was unclear what data were presented to the specialists.</w:t>
      </w:r>
    </w:p>
    <w:p w14:paraId="166AF7AD" w14:textId="2929E114" w:rsidR="009642CD" w:rsidRPr="00842145" w:rsidRDefault="009642CD" w:rsidP="00E1166E">
      <w:pPr>
        <w:pStyle w:val="COMexecsumnumberedpara"/>
        <w:rPr>
          <w:iCs/>
          <w:snapToGrid/>
        </w:rPr>
      </w:pPr>
      <w:bookmarkStart w:id="42" w:name="_Ref130297623"/>
      <w:r>
        <w:rPr>
          <w:iCs/>
          <w:snapToGrid/>
        </w:rPr>
        <w:t xml:space="preserve">The pre-PBAC response provided a revised economic model </w:t>
      </w:r>
      <w:r w:rsidR="00D652E5">
        <w:rPr>
          <w:iCs/>
          <w:snapToGrid/>
        </w:rPr>
        <w:t xml:space="preserve">in response to the ESC advice above </w:t>
      </w:r>
      <w:r>
        <w:rPr>
          <w:iCs/>
          <w:snapToGrid/>
        </w:rPr>
        <w:t>with equal rates of progression from CKD 5 to dialysis</w:t>
      </w:r>
      <w:r w:rsidR="00774B20">
        <w:rPr>
          <w:iCs/>
          <w:snapToGrid/>
        </w:rPr>
        <w:t xml:space="preserve"> in both arms of the model (</w:t>
      </w:r>
      <w:r w:rsidR="009B274A">
        <w:rPr>
          <w:iCs/>
          <w:snapToGrid/>
        </w:rPr>
        <w:t>hazard ratio [</w:t>
      </w:r>
      <w:r w:rsidR="00774B20">
        <w:rPr>
          <w:iCs/>
          <w:snapToGrid/>
        </w:rPr>
        <w:t>HR</w:t>
      </w:r>
      <w:r w:rsidR="009B274A">
        <w:rPr>
          <w:iCs/>
          <w:snapToGrid/>
        </w:rPr>
        <w:t>]</w:t>
      </w:r>
      <w:r w:rsidR="00774B20">
        <w:rPr>
          <w:iCs/>
          <w:snapToGrid/>
        </w:rPr>
        <w:t xml:space="preserve"> = 1)</w:t>
      </w:r>
      <w:r>
        <w:rPr>
          <w:iCs/>
          <w:snapToGrid/>
        </w:rPr>
        <w:t>.</w:t>
      </w:r>
      <w:bookmarkEnd w:id="42"/>
      <w:r w:rsidR="006F6716">
        <w:rPr>
          <w:iCs/>
          <w:snapToGrid/>
        </w:rPr>
        <w:t xml:space="preserve"> </w:t>
      </w:r>
    </w:p>
    <w:p w14:paraId="0F59F18A" w14:textId="7AB81B94" w:rsidR="00E1166E" w:rsidRPr="0004648B" w:rsidRDefault="0004648B" w:rsidP="008C5739">
      <w:pPr>
        <w:pStyle w:val="COMexecsumnumberedpara"/>
        <w:rPr>
          <w:color w:val="0066FF"/>
        </w:rPr>
      </w:pPr>
      <w:r w:rsidRPr="009D3859">
        <w:t xml:space="preserve">Key drivers of the economic model are summarised in </w:t>
      </w:r>
      <w:r w:rsidR="00225FE3">
        <w:fldChar w:fldCharType="begin"/>
      </w:r>
      <w:r w:rsidR="00225FE3">
        <w:instrText xml:space="preserve"> REF _Ref124170632 \h </w:instrText>
      </w:r>
      <w:r w:rsidR="00225FE3">
        <w:fldChar w:fldCharType="separate"/>
      </w:r>
      <w:r w:rsidR="005562EE" w:rsidRPr="007D210F">
        <w:t xml:space="preserve">Table </w:t>
      </w:r>
      <w:r w:rsidR="005562EE">
        <w:rPr>
          <w:noProof/>
        </w:rPr>
        <w:t>12</w:t>
      </w:r>
      <w:r w:rsidR="00225FE3">
        <w:fldChar w:fldCharType="end"/>
      </w:r>
      <w:r w:rsidRPr="009D3859">
        <w:t>.</w:t>
      </w:r>
    </w:p>
    <w:p w14:paraId="0F23AE50" w14:textId="5570FD10" w:rsidR="00E70780" w:rsidRPr="007D210F" w:rsidRDefault="00E70780" w:rsidP="00E70780">
      <w:pPr>
        <w:pStyle w:val="COMtablefigcaption"/>
      </w:pPr>
      <w:bookmarkStart w:id="43" w:name="_Ref124170632"/>
      <w:r w:rsidRPr="007D210F">
        <w:t xml:space="preserve">Table </w:t>
      </w:r>
      <w:r w:rsidR="005562EE">
        <w:fldChar w:fldCharType="begin"/>
      </w:r>
      <w:r w:rsidR="005562EE">
        <w:instrText xml:space="preserve"> SEQ Table \* ARABIC </w:instrText>
      </w:r>
      <w:r w:rsidR="005562EE">
        <w:fldChar w:fldCharType="separate"/>
      </w:r>
      <w:r w:rsidR="005562EE">
        <w:rPr>
          <w:noProof/>
        </w:rPr>
        <w:t>12</w:t>
      </w:r>
      <w:r w:rsidR="005562EE">
        <w:rPr>
          <w:noProof/>
        </w:rPr>
        <w:fldChar w:fldCharType="end"/>
      </w:r>
      <w:bookmarkEnd w:id="43"/>
      <w:r w:rsidRPr="007D210F">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5529"/>
        <w:gridCol w:w="1933"/>
      </w:tblGrid>
      <w:tr w:rsidR="00E70780" w:rsidRPr="007D210F" w14:paraId="086CFA88" w14:textId="77777777" w:rsidTr="000A5D93">
        <w:trPr>
          <w:tblHeader/>
        </w:trPr>
        <w:tc>
          <w:tcPr>
            <w:tcW w:w="862" w:type="pct"/>
            <w:shd w:val="clear" w:color="auto" w:fill="auto"/>
            <w:vAlign w:val="center"/>
          </w:tcPr>
          <w:p w14:paraId="66E2F79F" w14:textId="77777777" w:rsidR="00E70780" w:rsidRPr="007D210F" w:rsidRDefault="00E70780" w:rsidP="004E2A40">
            <w:pPr>
              <w:pStyle w:val="COMTableheadingrow"/>
              <w:keepNext w:val="0"/>
              <w:jc w:val="center"/>
              <w:rPr>
                <w:lang w:val="en-AU"/>
              </w:rPr>
            </w:pPr>
            <w:r w:rsidRPr="007D210F">
              <w:rPr>
                <w:lang w:val="en-AU"/>
              </w:rPr>
              <w:t>Description</w:t>
            </w:r>
          </w:p>
        </w:tc>
        <w:tc>
          <w:tcPr>
            <w:tcW w:w="3066" w:type="pct"/>
            <w:shd w:val="clear" w:color="auto" w:fill="auto"/>
            <w:vAlign w:val="center"/>
          </w:tcPr>
          <w:p w14:paraId="2C427052" w14:textId="77777777" w:rsidR="00E70780" w:rsidRPr="007D210F" w:rsidRDefault="00E70780" w:rsidP="004E2A40">
            <w:pPr>
              <w:pStyle w:val="COMTableheadingrow"/>
              <w:keepNext w:val="0"/>
              <w:jc w:val="center"/>
              <w:rPr>
                <w:lang w:val="en-AU"/>
              </w:rPr>
            </w:pPr>
            <w:r w:rsidRPr="007D210F">
              <w:rPr>
                <w:lang w:val="en-AU"/>
              </w:rPr>
              <w:t>Method/Value</w:t>
            </w:r>
          </w:p>
        </w:tc>
        <w:tc>
          <w:tcPr>
            <w:tcW w:w="1072" w:type="pct"/>
            <w:shd w:val="clear" w:color="auto" w:fill="auto"/>
            <w:vAlign w:val="center"/>
          </w:tcPr>
          <w:p w14:paraId="0BDBC04D" w14:textId="77777777" w:rsidR="00E70780" w:rsidRPr="007D210F" w:rsidRDefault="00E70780" w:rsidP="004E2A40">
            <w:pPr>
              <w:pStyle w:val="COMTableheadingrow"/>
              <w:keepNext w:val="0"/>
              <w:jc w:val="center"/>
              <w:rPr>
                <w:lang w:val="en-AU"/>
              </w:rPr>
            </w:pPr>
            <w:r w:rsidRPr="007D210F">
              <w:rPr>
                <w:lang w:val="en-AU"/>
              </w:rPr>
              <w:t>Impact</w:t>
            </w:r>
          </w:p>
        </w:tc>
      </w:tr>
      <w:tr w:rsidR="00E70780" w:rsidRPr="00842145" w14:paraId="0E305735" w14:textId="77777777" w:rsidTr="000A5D93">
        <w:tc>
          <w:tcPr>
            <w:tcW w:w="862" w:type="pct"/>
            <w:shd w:val="clear" w:color="auto" w:fill="auto"/>
            <w:vAlign w:val="center"/>
          </w:tcPr>
          <w:p w14:paraId="57D3DB7E" w14:textId="77777777" w:rsidR="00E70780" w:rsidRPr="00842145" w:rsidRDefault="00E70780" w:rsidP="004E2A40">
            <w:pPr>
              <w:pStyle w:val="COMTabletext"/>
              <w:keepNext w:val="0"/>
            </w:pPr>
            <w:r w:rsidRPr="00842145">
              <w:t>Baseline patient characteristics</w:t>
            </w:r>
          </w:p>
        </w:tc>
        <w:tc>
          <w:tcPr>
            <w:tcW w:w="3066" w:type="pct"/>
            <w:shd w:val="clear" w:color="auto" w:fill="auto"/>
            <w:vAlign w:val="center"/>
          </w:tcPr>
          <w:p w14:paraId="7598516E" w14:textId="7414CDE9" w:rsidR="00E70780" w:rsidRPr="00842145" w:rsidRDefault="00E70780" w:rsidP="004E2A40">
            <w:pPr>
              <w:pStyle w:val="COMTabletext"/>
              <w:keepNext w:val="0"/>
            </w:pPr>
            <w:r w:rsidRPr="00842145">
              <w:t>Baseline patient characteristics in the economic model (age, proportion male, distribution between CKD stages) were based on FIDELITY UACR ≥ 200 mg/g subgroup.</w:t>
            </w:r>
          </w:p>
          <w:p w14:paraId="6F78CEF0" w14:textId="77777777" w:rsidR="00E70780" w:rsidRPr="00842145" w:rsidRDefault="00E70780" w:rsidP="004E2A40">
            <w:pPr>
              <w:pStyle w:val="COMTabletext"/>
              <w:keepNext w:val="0"/>
              <w:rPr>
                <w:iCs/>
              </w:rPr>
            </w:pPr>
          </w:p>
          <w:p w14:paraId="08A7AF46" w14:textId="799D7511" w:rsidR="00E70780" w:rsidRPr="00842145" w:rsidRDefault="00E70780" w:rsidP="004E2A40">
            <w:pPr>
              <w:pStyle w:val="COMTabletext"/>
              <w:keepNext w:val="0"/>
              <w:rPr>
                <w:iCs/>
              </w:rPr>
            </w:pPr>
            <w:r w:rsidRPr="00842145">
              <w:rPr>
                <w:iCs/>
              </w:rPr>
              <w:t>The use of the FIDELITY UACR ≥ 200 mg/g subgroup as the source of baseline characteristics (with only 6.6% of patients using SGLT</w:t>
            </w:r>
            <w:r w:rsidR="00533F34" w:rsidRPr="00842145">
              <w:rPr>
                <w:iCs/>
              </w:rPr>
              <w:t>2</w:t>
            </w:r>
            <w:r w:rsidRPr="00842145">
              <w:rPr>
                <w:iCs/>
              </w:rPr>
              <w:t>i</w:t>
            </w:r>
            <w:r w:rsidR="00533F34" w:rsidRPr="00842145">
              <w:rPr>
                <w:iCs/>
              </w:rPr>
              <w:t xml:space="preserve"> medicines</w:t>
            </w:r>
            <w:r w:rsidRPr="00842145">
              <w:rPr>
                <w:iCs/>
              </w:rPr>
              <w:t>) assumed that the use of SGLT2i medicines would not affect the baseline characteristics of patients (i.e. baseline distribution of CKD health states) which was inconsistent with the available data from the target subgroup and inconsistent with the modelled treatment effects for SGLT2</w:t>
            </w:r>
            <w:r w:rsidR="00533F34" w:rsidRPr="00842145">
              <w:rPr>
                <w:iCs/>
              </w:rPr>
              <w:t xml:space="preserve">i medicines </w:t>
            </w:r>
            <w:r w:rsidRPr="00842145">
              <w:rPr>
                <w:iCs/>
              </w:rPr>
              <w:t>applied in the model. Overall, it is highly likely that SGLT2</w:t>
            </w:r>
            <w:r w:rsidR="00533F34" w:rsidRPr="00842145">
              <w:rPr>
                <w:iCs/>
              </w:rPr>
              <w:t xml:space="preserve">i </w:t>
            </w:r>
            <w:r w:rsidRPr="00842145">
              <w:rPr>
                <w:iCs/>
              </w:rPr>
              <w:t>use will select a population with different characteristics to the modelled population.</w:t>
            </w:r>
          </w:p>
          <w:p w14:paraId="23FBBB11" w14:textId="77777777" w:rsidR="00E70780" w:rsidRPr="00842145" w:rsidRDefault="00E70780" w:rsidP="004E2A40">
            <w:pPr>
              <w:pStyle w:val="COMTabletext"/>
              <w:keepNext w:val="0"/>
              <w:rPr>
                <w:iCs/>
              </w:rPr>
            </w:pPr>
          </w:p>
          <w:p w14:paraId="0B443C38" w14:textId="688D827C" w:rsidR="00E70780" w:rsidRPr="00842145" w:rsidRDefault="00E70780" w:rsidP="004E2A40">
            <w:pPr>
              <w:pStyle w:val="COMTabletext"/>
              <w:keepNext w:val="0"/>
              <w:rPr>
                <w:iCs/>
                <w:szCs w:val="20"/>
              </w:rPr>
            </w:pPr>
            <w:r w:rsidRPr="00842145">
              <w:rPr>
                <w:iCs/>
              </w:rPr>
              <w:t>Additionally, the impact of quota sampling in the FIDELIO-DKD and FIGARO-DKD trials, which limited the proportion of the trial population with certain patient characteristics (e.g. eGFR</w:t>
            </w:r>
            <w:r w:rsidR="00533F34" w:rsidRPr="00842145">
              <w:rPr>
                <w:iCs/>
              </w:rPr>
              <w:t> </w:t>
            </w:r>
            <w:r w:rsidRPr="00842145">
              <w:rPr>
                <w:iCs/>
              </w:rPr>
              <w:t>≥</w:t>
            </w:r>
            <w:r w:rsidR="00533F34" w:rsidRPr="00842145">
              <w:rPr>
                <w:iCs/>
              </w:rPr>
              <w:t> </w:t>
            </w:r>
            <w:r w:rsidRPr="00842145">
              <w:rPr>
                <w:iCs/>
              </w:rPr>
              <w:t>60 to &lt;</w:t>
            </w:r>
            <w:r w:rsidR="00533F34" w:rsidRPr="00842145">
              <w:rPr>
                <w:iCs/>
              </w:rPr>
              <w:t> </w:t>
            </w:r>
            <w:r w:rsidRPr="00842145">
              <w:rPr>
                <w:iCs/>
              </w:rPr>
              <w:t>75</w:t>
            </w:r>
            <w:r w:rsidR="00533F34" w:rsidRPr="00842145">
              <w:rPr>
                <w:iCs/>
              </w:rPr>
              <w:t> </w:t>
            </w:r>
            <w:r w:rsidRPr="00842145">
              <w:rPr>
                <w:iCs/>
              </w:rPr>
              <w:t>mL/min/1.73</w:t>
            </w:r>
            <w:r w:rsidR="00533F34" w:rsidRPr="00842145">
              <w:rPr>
                <w:iCs/>
              </w:rPr>
              <w:t> </w:t>
            </w:r>
            <w:r w:rsidRPr="00842145">
              <w:rPr>
                <w:iCs/>
              </w:rPr>
              <w:t>m</w:t>
            </w:r>
            <w:r w:rsidRPr="00842145">
              <w:rPr>
                <w:iCs/>
                <w:vertAlign w:val="superscript"/>
              </w:rPr>
              <w:t>2</w:t>
            </w:r>
            <w:r w:rsidRPr="00842145">
              <w:rPr>
                <w:iCs/>
              </w:rPr>
              <w:t xml:space="preserve"> and very high albuminuria), on the </w:t>
            </w:r>
            <w:r w:rsidRPr="00842145">
              <w:t>post hoc</w:t>
            </w:r>
            <w:r w:rsidRPr="00842145">
              <w:rPr>
                <w:iCs/>
              </w:rPr>
              <w:t xml:space="preserve"> subgroups with UACR</w:t>
            </w:r>
            <w:r w:rsidR="00533F34" w:rsidRPr="00842145">
              <w:rPr>
                <w:iCs/>
              </w:rPr>
              <w:t xml:space="preserve"> </w:t>
            </w:r>
            <w:r w:rsidRPr="00842145">
              <w:rPr>
                <w:iCs/>
              </w:rPr>
              <w:t>≥</w:t>
            </w:r>
            <w:r w:rsidR="00533F34" w:rsidRPr="00842145">
              <w:rPr>
                <w:iCs/>
              </w:rPr>
              <w:t> </w:t>
            </w:r>
            <w:r w:rsidRPr="00842145">
              <w:rPr>
                <w:iCs/>
              </w:rPr>
              <w:t>200</w:t>
            </w:r>
            <w:r w:rsidR="00533F34" w:rsidRPr="00842145">
              <w:rPr>
                <w:iCs/>
              </w:rPr>
              <w:t> </w:t>
            </w:r>
            <w:r w:rsidRPr="00842145">
              <w:rPr>
                <w:iCs/>
              </w:rPr>
              <w:t>mg/g is unclear.</w:t>
            </w:r>
          </w:p>
        </w:tc>
        <w:tc>
          <w:tcPr>
            <w:tcW w:w="1072" w:type="pct"/>
            <w:shd w:val="clear" w:color="auto" w:fill="auto"/>
            <w:vAlign w:val="center"/>
          </w:tcPr>
          <w:p w14:paraId="53C6D6EE" w14:textId="19BEC932" w:rsidR="00E813F4" w:rsidRPr="00A22B8C" w:rsidRDefault="00E70780" w:rsidP="00A22B8C">
            <w:pPr>
              <w:pStyle w:val="COMTabletext"/>
              <w:keepNext w:val="0"/>
              <w:jc w:val="center"/>
            </w:pPr>
            <w:r w:rsidRPr="00842145">
              <w:t>High, favours finerenone</w:t>
            </w:r>
          </w:p>
        </w:tc>
      </w:tr>
      <w:tr w:rsidR="00E70780" w:rsidRPr="00842145" w14:paraId="02CE389E" w14:textId="77777777" w:rsidTr="000A5D93">
        <w:tc>
          <w:tcPr>
            <w:tcW w:w="862" w:type="pct"/>
            <w:shd w:val="clear" w:color="auto" w:fill="auto"/>
            <w:vAlign w:val="center"/>
          </w:tcPr>
          <w:p w14:paraId="6F8E518F" w14:textId="77777777" w:rsidR="00E70780" w:rsidRPr="00842145" w:rsidRDefault="00E70780" w:rsidP="004E2A40">
            <w:pPr>
              <w:pStyle w:val="COMTabletext"/>
              <w:keepNext w:val="0"/>
            </w:pPr>
            <w:r w:rsidRPr="00842145">
              <w:t>Subsequent heart failure hospitalisation</w:t>
            </w:r>
          </w:p>
        </w:tc>
        <w:tc>
          <w:tcPr>
            <w:tcW w:w="3066" w:type="pct"/>
            <w:shd w:val="clear" w:color="auto" w:fill="auto"/>
            <w:vAlign w:val="center"/>
          </w:tcPr>
          <w:p w14:paraId="41DBDBD3" w14:textId="0774D4F9" w:rsidR="00E70780" w:rsidRPr="00842145" w:rsidRDefault="00E70780" w:rsidP="004E2A40">
            <w:pPr>
              <w:pStyle w:val="COMTabletext"/>
              <w:keepNext w:val="0"/>
            </w:pPr>
            <w:r w:rsidRPr="00842145">
              <w:t>Risks of subsequent heart failure hospitalisation were derived by adjusting transition probabilities in patients in the FIDELITY UACR</w:t>
            </w:r>
            <w:r w:rsidR="00533F34" w:rsidRPr="00842145">
              <w:t xml:space="preserve"> </w:t>
            </w:r>
            <w:r w:rsidRPr="00842145">
              <w:t>≥</w:t>
            </w:r>
            <w:r w:rsidR="00533F34" w:rsidRPr="00842145">
              <w:t> </w:t>
            </w:r>
            <w:r w:rsidRPr="00842145">
              <w:t>200</w:t>
            </w:r>
            <w:r w:rsidR="00533F34" w:rsidRPr="00842145">
              <w:t> </w:t>
            </w:r>
            <w:r w:rsidRPr="00842145">
              <w:t>mg/g SLGT2</w:t>
            </w:r>
            <w:r w:rsidR="00533F34" w:rsidRPr="00842145">
              <w:t xml:space="preserve">i </w:t>
            </w:r>
            <w:r w:rsidRPr="00842145">
              <w:t>non-user subgroup by SGLT2</w:t>
            </w:r>
            <w:r w:rsidR="00533F34" w:rsidRPr="00842145">
              <w:t xml:space="preserve">i </w:t>
            </w:r>
            <w:r w:rsidRPr="00842145">
              <w:t>treatment effects in the proportion of patients using SGLT2</w:t>
            </w:r>
            <w:r w:rsidR="00E570C7" w:rsidRPr="00842145">
              <w:t>i medicines</w:t>
            </w:r>
            <w:r w:rsidRPr="00842145">
              <w:t>.</w:t>
            </w:r>
          </w:p>
          <w:p w14:paraId="2A8D17AD" w14:textId="77777777" w:rsidR="00E70780" w:rsidRPr="00842145" w:rsidRDefault="00E70780" w:rsidP="004E2A40">
            <w:pPr>
              <w:pStyle w:val="COMTabletext"/>
              <w:keepNext w:val="0"/>
              <w:rPr>
                <w:iCs/>
              </w:rPr>
            </w:pPr>
          </w:p>
          <w:p w14:paraId="01D22284" w14:textId="2C7AA64F" w:rsidR="00E70780" w:rsidRPr="00842145" w:rsidRDefault="00E70780" w:rsidP="004E2A40">
            <w:pPr>
              <w:pStyle w:val="COMTabletext"/>
              <w:keepNext w:val="0"/>
              <w:rPr>
                <w:iCs/>
              </w:rPr>
            </w:pPr>
            <w:r w:rsidRPr="00842145">
              <w:rPr>
                <w:iCs/>
              </w:rPr>
              <w:t>A calculation error (which did not adequately account for the numbers of patients at risk) resulted in a significant overestimation of subsequent heart failure hospitalisation events in the FIDELITY UACR</w:t>
            </w:r>
            <w:r w:rsidR="00E570C7" w:rsidRPr="00842145">
              <w:rPr>
                <w:iCs/>
              </w:rPr>
              <w:t> </w:t>
            </w:r>
            <w:r w:rsidRPr="00842145">
              <w:rPr>
                <w:iCs/>
              </w:rPr>
              <w:t>≥</w:t>
            </w:r>
            <w:r w:rsidR="00E570C7" w:rsidRPr="00842145">
              <w:rPr>
                <w:iCs/>
              </w:rPr>
              <w:t> </w:t>
            </w:r>
            <w:r w:rsidRPr="00842145">
              <w:rPr>
                <w:iCs/>
              </w:rPr>
              <w:t>200</w:t>
            </w:r>
            <w:r w:rsidR="00E570C7" w:rsidRPr="00842145">
              <w:rPr>
                <w:iCs/>
              </w:rPr>
              <w:t> </w:t>
            </w:r>
            <w:r w:rsidRPr="00842145">
              <w:rPr>
                <w:iCs/>
              </w:rPr>
              <w:t>mg/g SLGT2</w:t>
            </w:r>
            <w:r w:rsidR="00E570C7" w:rsidRPr="00842145">
              <w:rPr>
                <w:iCs/>
              </w:rPr>
              <w:t xml:space="preserve">i </w:t>
            </w:r>
            <w:r w:rsidRPr="00842145">
              <w:rPr>
                <w:iCs/>
              </w:rPr>
              <w:t>non-user subgroup (4-monthly risks 19.4% to 43.9%).</w:t>
            </w:r>
            <w:r w:rsidR="006915BB" w:rsidRPr="009B20C0">
              <w:t xml:space="preserve"> </w:t>
            </w:r>
            <w:r w:rsidR="00A22B8C" w:rsidRPr="009B20C0">
              <w:t>The PSCR</w:t>
            </w:r>
            <w:r w:rsidR="002A4D82">
              <w:t xml:space="preserve"> </w:t>
            </w:r>
            <w:r w:rsidR="00A22B8C" w:rsidRPr="009B20C0">
              <w:t>acknowledged an error was made in the economic evaluation and accept</w:t>
            </w:r>
            <w:r w:rsidR="000A5D93" w:rsidRPr="009B20C0">
              <w:t>ed</w:t>
            </w:r>
            <w:r w:rsidR="00A22B8C" w:rsidRPr="009B20C0">
              <w:t xml:space="preserve"> the results of the revised base case.</w:t>
            </w:r>
          </w:p>
          <w:p w14:paraId="7582CD2F" w14:textId="77777777" w:rsidR="00E70780" w:rsidRPr="00842145" w:rsidRDefault="00E70780" w:rsidP="004E2A40">
            <w:pPr>
              <w:pStyle w:val="COMTabletext"/>
              <w:keepNext w:val="0"/>
              <w:rPr>
                <w:iCs/>
              </w:rPr>
            </w:pPr>
          </w:p>
          <w:p w14:paraId="36067CDD" w14:textId="108EC13E" w:rsidR="00E70780" w:rsidRPr="00842145" w:rsidRDefault="00E70780" w:rsidP="004E2A40">
            <w:pPr>
              <w:pStyle w:val="COMTabletext"/>
              <w:keepNext w:val="0"/>
            </w:pPr>
            <w:r w:rsidRPr="00842145">
              <w:rPr>
                <w:iCs/>
              </w:rPr>
              <w:t>Based on FIDELITY individual patient data, 103 subsequent heart failure hospitalisations occurred in the 4,547 placebo arm patients in the UACR</w:t>
            </w:r>
            <w:r w:rsidR="00E570C7" w:rsidRPr="00842145">
              <w:rPr>
                <w:iCs/>
              </w:rPr>
              <w:t> </w:t>
            </w:r>
            <w:r w:rsidRPr="00842145">
              <w:rPr>
                <w:iCs/>
              </w:rPr>
              <w:t>≥</w:t>
            </w:r>
            <w:r w:rsidR="00E570C7" w:rsidRPr="00842145">
              <w:rPr>
                <w:iCs/>
              </w:rPr>
              <w:t> </w:t>
            </w:r>
            <w:r w:rsidRPr="00842145">
              <w:rPr>
                <w:iCs/>
              </w:rPr>
              <w:t>200</w:t>
            </w:r>
            <w:r w:rsidR="00E570C7" w:rsidRPr="00842145">
              <w:rPr>
                <w:iCs/>
              </w:rPr>
              <w:t> </w:t>
            </w:r>
            <w:r w:rsidRPr="00842145">
              <w:rPr>
                <w:iCs/>
              </w:rPr>
              <w:t>mg/g SGLT2</w:t>
            </w:r>
            <w:r w:rsidR="00E570C7" w:rsidRPr="00842145">
              <w:rPr>
                <w:iCs/>
              </w:rPr>
              <w:t xml:space="preserve">i </w:t>
            </w:r>
            <w:r w:rsidRPr="00842145">
              <w:rPr>
                <w:iCs/>
              </w:rPr>
              <w:t>non-user subgroup over 56 months. The model (with SGLT2</w:t>
            </w:r>
            <w:r w:rsidR="00E570C7" w:rsidRPr="00842145">
              <w:rPr>
                <w:iCs/>
              </w:rPr>
              <w:t xml:space="preserve">i </w:t>
            </w:r>
            <w:r w:rsidRPr="00842145">
              <w:rPr>
                <w:iCs/>
              </w:rPr>
              <w:t>treatment effects removed) estimated that 775 heart failure hospitalisations would occur over the same time period in a cohort of 4,547 patients. Using alternative risks calculated during the evaluation (4-monthly risks 1.48% to 13.8%) resulted in 119 events in the cohort of 4,547 patients based on the FIDELITY UACR</w:t>
            </w:r>
            <w:r w:rsidR="00E570C7" w:rsidRPr="00842145">
              <w:rPr>
                <w:iCs/>
              </w:rPr>
              <w:t> </w:t>
            </w:r>
            <w:r w:rsidRPr="00842145">
              <w:rPr>
                <w:iCs/>
              </w:rPr>
              <w:t>≥</w:t>
            </w:r>
            <w:r w:rsidR="00E570C7" w:rsidRPr="00842145">
              <w:rPr>
                <w:iCs/>
              </w:rPr>
              <w:t> </w:t>
            </w:r>
            <w:r w:rsidRPr="00842145">
              <w:rPr>
                <w:iCs/>
              </w:rPr>
              <w:t>200 mg/g SLGT2</w:t>
            </w:r>
            <w:r w:rsidR="00E570C7" w:rsidRPr="00842145">
              <w:rPr>
                <w:iCs/>
              </w:rPr>
              <w:t>i</w:t>
            </w:r>
            <w:r w:rsidRPr="00842145">
              <w:rPr>
                <w:iCs/>
              </w:rPr>
              <w:t xml:space="preserve"> non-user subgroup over 56 months, more consistent with the FIDELITY individual patient data.</w:t>
            </w:r>
          </w:p>
        </w:tc>
        <w:tc>
          <w:tcPr>
            <w:tcW w:w="1072" w:type="pct"/>
            <w:shd w:val="clear" w:color="auto" w:fill="auto"/>
            <w:vAlign w:val="center"/>
          </w:tcPr>
          <w:p w14:paraId="31F0ED59" w14:textId="77777777" w:rsidR="00E70780" w:rsidRPr="00842145" w:rsidRDefault="00E70780" w:rsidP="004E2A40">
            <w:pPr>
              <w:pStyle w:val="COMTabletext"/>
              <w:keepNext w:val="0"/>
              <w:jc w:val="center"/>
              <w:rPr>
                <w:iCs/>
              </w:rPr>
            </w:pPr>
            <w:r w:rsidRPr="00842145">
              <w:rPr>
                <w:iCs/>
              </w:rPr>
              <w:t>High, favours finerenone</w:t>
            </w:r>
          </w:p>
        </w:tc>
      </w:tr>
      <w:tr w:rsidR="00E70780" w:rsidRPr="00842145" w14:paraId="4E3FC40E" w14:textId="77777777" w:rsidTr="000A5D93">
        <w:tc>
          <w:tcPr>
            <w:tcW w:w="862" w:type="pct"/>
            <w:shd w:val="clear" w:color="auto" w:fill="auto"/>
            <w:vAlign w:val="center"/>
          </w:tcPr>
          <w:p w14:paraId="3C5EAB3D" w14:textId="77777777" w:rsidR="00E70780" w:rsidRPr="00842145" w:rsidRDefault="00E70780" w:rsidP="004E2A40">
            <w:pPr>
              <w:pStyle w:val="COMTabletext"/>
              <w:keepNext w:val="0"/>
            </w:pPr>
            <w:r w:rsidRPr="00842145">
              <w:t>Finerenone treatment effects</w:t>
            </w:r>
          </w:p>
        </w:tc>
        <w:tc>
          <w:tcPr>
            <w:tcW w:w="3066" w:type="pct"/>
            <w:shd w:val="clear" w:color="auto" w:fill="auto"/>
            <w:vAlign w:val="center"/>
          </w:tcPr>
          <w:p w14:paraId="16DC1297" w14:textId="5E06AD51" w:rsidR="00E70780" w:rsidRPr="00842145" w:rsidRDefault="00E70780" w:rsidP="004E2A40">
            <w:pPr>
              <w:jc w:val="left"/>
              <w:rPr>
                <w:rFonts w:ascii="Arial Narrow" w:hAnsi="Arial Narrow"/>
                <w:sz w:val="20"/>
                <w:szCs w:val="20"/>
              </w:rPr>
            </w:pPr>
            <w:r w:rsidRPr="00842145">
              <w:rPr>
                <w:rFonts w:ascii="Arial Narrow" w:hAnsi="Arial Narrow"/>
                <w:iCs/>
                <w:sz w:val="20"/>
                <w:szCs w:val="20"/>
              </w:rPr>
              <w:t xml:space="preserve">The PBAC previously considered that it was inappropriate for the July 2022 submission to have assumed independent finerenone treatment effects for progression to CKD </w:t>
            </w:r>
            <w:r w:rsidR="00E570C7" w:rsidRPr="00842145">
              <w:rPr>
                <w:rFonts w:ascii="Arial Narrow" w:hAnsi="Arial Narrow"/>
                <w:iCs/>
                <w:sz w:val="20"/>
                <w:szCs w:val="20"/>
              </w:rPr>
              <w:t xml:space="preserve">stage </w:t>
            </w:r>
            <w:r w:rsidRPr="00842145">
              <w:rPr>
                <w:rFonts w:ascii="Arial Narrow" w:hAnsi="Arial Narrow"/>
                <w:iCs/>
                <w:sz w:val="20"/>
                <w:szCs w:val="20"/>
              </w:rPr>
              <w:t>5 and progression to dialysis, given that both treatment effects share a high degree of overlap (para 7.10, Finerenone PSD, July 2022 PBAC meeting).</w:t>
            </w:r>
            <w:r w:rsidRPr="00842145">
              <w:rPr>
                <w:rFonts w:ascii="Arial Narrow" w:hAnsi="Arial Narrow"/>
                <w:sz w:val="20"/>
                <w:szCs w:val="20"/>
              </w:rPr>
              <w:t xml:space="preserve"> </w:t>
            </w:r>
          </w:p>
          <w:p w14:paraId="13C1E3A7" w14:textId="77777777" w:rsidR="00E70780" w:rsidRPr="00842145" w:rsidRDefault="00E70780" w:rsidP="004E2A40">
            <w:pPr>
              <w:jc w:val="left"/>
              <w:rPr>
                <w:rFonts w:ascii="Arial Narrow" w:hAnsi="Arial Narrow"/>
                <w:sz w:val="20"/>
                <w:szCs w:val="20"/>
              </w:rPr>
            </w:pPr>
          </w:p>
          <w:p w14:paraId="10474B5F" w14:textId="310AE6FB" w:rsidR="00E70780" w:rsidRPr="00842145" w:rsidRDefault="00E70780" w:rsidP="004E2A40">
            <w:pPr>
              <w:jc w:val="left"/>
              <w:rPr>
                <w:rFonts w:ascii="Arial Narrow" w:hAnsi="Arial Narrow"/>
                <w:sz w:val="20"/>
                <w:szCs w:val="20"/>
              </w:rPr>
            </w:pPr>
            <w:r w:rsidRPr="00842145">
              <w:rPr>
                <w:rFonts w:ascii="Arial Narrow" w:hAnsi="Arial Narrow"/>
                <w:sz w:val="20"/>
                <w:szCs w:val="20"/>
              </w:rPr>
              <w:t xml:space="preserve">The resubmission argued that separate treatment effects were supported by the clinical data (see </w:t>
            </w:r>
            <w:r w:rsidRPr="00842145">
              <w:rPr>
                <w:rFonts w:ascii="Arial Narrow" w:hAnsi="Arial Narrow"/>
                <w:sz w:val="20"/>
                <w:szCs w:val="20"/>
              </w:rPr>
              <w:fldChar w:fldCharType="begin"/>
            </w:r>
            <w:r w:rsidRPr="00842145">
              <w:rPr>
                <w:rFonts w:ascii="Arial Narrow" w:hAnsi="Arial Narrow"/>
                <w:sz w:val="20"/>
                <w:szCs w:val="20"/>
              </w:rPr>
              <w:instrText xml:space="preserve"> REF _Ref124098545 \h  \* MERGEFORMAT </w:instrText>
            </w:r>
            <w:r w:rsidRPr="00842145">
              <w:rPr>
                <w:rFonts w:ascii="Arial Narrow" w:hAnsi="Arial Narrow"/>
                <w:sz w:val="20"/>
                <w:szCs w:val="20"/>
              </w:rPr>
            </w:r>
            <w:r w:rsidRPr="00842145">
              <w:rPr>
                <w:rFonts w:ascii="Arial Narrow" w:hAnsi="Arial Narrow"/>
                <w:sz w:val="20"/>
                <w:szCs w:val="20"/>
              </w:rPr>
              <w:fldChar w:fldCharType="separate"/>
            </w:r>
            <w:r w:rsidR="005562EE" w:rsidRPr="005562EE">
              <w:rPr>
                <w:rFonts w:ascii="Arial Narrow" w:hAnsi="Arial Narrow"/>
                <w:sz w:val="20"/>
                <w:szCs w:val="20"/>
              </w:rPr>
              <w:t xml:space="preserve">Figure </w:t>
            </w:r>
            <w:r w:rsidR="005562EE" w:rsidRPr="005562EE">
              <w:rPr>
                <w:rFonts w:ascii="Arial Narrow" w:hAnsi="Arial Narrow"/>
                <w:noProof/>
                <w:sz w:val="20"/>
                <w:szCs w:val="20"/>
              </w:rPr>
              <w:t>1</w:t>
            </w:r>
            <w:r w:rsidRPr="00842145">
              <w:rPr>
                <w:rFonts w:ascii="Arial Narrow" w:hAnsi="Arial Narrow"/>
                <w:sz w:val="20"/>
                <w:szCs w:val="20"/>
              </w:rPr>
              <w:fldChar w:fldCharType="end"/>
            </w:r>
            <w:r w:rsidRPr="00842145">
              <w:rPr>
                <w:rFonts w:ascii="Arial Narrow" w:hAnsi="Arial Narrow"/>
                <w:sz w:val="20"/>
                <w:szCs w:val="20"/>
              </w:rPr>
              <w:t xml:space="preserve"> above) and no changes have been made to finerenone treatment effects on renal outcomes in the resubmission.</w:t>
            </w:r>
          </w:p>
          <w:p w14:paraId="1A233CDA" w14:textId="77777777" w:rsidR="00E70780" w:rsidRPr="00842145" w:rsidRDefault="00E70780" w:rsidP="004E2A40">
            <w:pPr>
              <w:jc w:val="left"/>
              <w:rPr>
                <w:rFonts w:ascii="Arial Narrow" w:hAnsi="Arial Narrow"/>
                <w:sz w:val="20"/>
                <w:szCs w:val="20"/>
              </w:rPr>
            </w:pPr>
          </w:p>
          <w:p w14:paraId="54E239A8" w14:textId="1CD1DDC0" w:rsidR="00E70780" w:rsidRPr="00F30B24" w:rsidRDefault="00E70780" w:rsidP="004E2A40">
            <w:pPr>
              <w:jc w:val="left"/>
              <w:rPr>
                <w:rFonts w:ascii="Arial Narrow" w:hAnsi="Arial Narrow"/>
                <w:iCs/>
                <w:sz w:val="20"/>
                <w:szCs w:val="20"/>
              </w:rPr>
            </w:pPr>
            <w:r w:rsidRPr="00842145">
              <w:rPr>
                <w:rFonts w:ascii="Arial Narrow" w:hAnsi="Arial Narrow"/>
                <w:iCs/>
                <w:sz w:val="20"/>
                <w:szCs w:val="20"/>
              </w:rPr>
              <w:t xml:space="preserve">The data presented in the resubmission were suggestive of a treatment effect for finerenone on progression to dialysis from CKD stage 5. However, the treatment effect estimates applied to transitions from CKD stage 1-4 to CKD </w:t>
            </w:r>
            <w:r w:rsidR="00E570C7" w:rsidRPr="00842145">
              <w:rPr>
                <w:rFonts w:ascii="Arial Narrow" w:hAnsi="Arial Narrow"/>
                <w:iCs/>
                <w:sz w:val="20"/>
                <w:szCs w:val="20"/>
              </w:rPr>
              <w:t xml:space="preserve">stage </w:t>
            </w:r>
            <w:r w:rsidRPr="00842145">
              <w:rPr>
                <w:rFonts w:ascii="Arial Narrow" w:hAnsi="Arial Narrow"/>
                <w:iCs/>
                <w:sz w:val="20"/>
                <w:szCs w:val="20"/>
              </w:rPr>
              <w:t xml:space="preserve">5 and from CKD stage 1-5 to dialysis have not been adjusted to account for the overlap between estimates. Accounting for the overlap in outcomes for each of these transitions is likely to result in a smaller magnitude of effect for finerenone. </w:t>
            </w:r>
            <w:r w:rsidR="00F30B24">
              <w:rPr>
                <w:rFonts w:ascii="Arial Narrow" w:hAnsi="Arial Narrow"/>
                <w:iCs/>
                <w:sz w:val="20"/>
                <w:szCs w:val="20"/>
              </w:rPr>
              <w:t xml:space="preserve">The assumption was revised in the pre-PBAC response (see paragraph </w:t>
            </w:r>
            <w:r w:rsidR="00F30B24">
              <w:rPr>
                <w:rFonts w:ascii="Arial Narrow" w:hAnsi="Arial Narrow"/>
                <w:iCs/>
                <w:sz w:val="20"/>
                <w:szCs w:val="20"/>
              </w:rPr>
              <w:fldChar w:fldCharType="begin"/>
            </w:r>
            <w:r w:rsidR="00F30B24">
              <w:rPr>
                <w:rFonts w:ascii="Arial Narrow" w:hAnsi="Arial Narrow"/>
                <w:iCs/>
                <w:sz w:val="20"/>
                <w:szCs w:val="20"/>
              </w:rPr>
              <w:instrText xml:space="preserve"> REF _Ref130297623 \r \h </w:instrText>
            </w:r>
            <w:r w:rsidR="00F30B24">
              <w:rPr>
                <w:rFonts w:ascii="Arial Narrow" w:hAnsi="Arial Narrow"/>
                <w:iCs/>
                <w:sz w:val="20"/>
                <w:szCs w:val="20"/>
              </w:rPr>
            </w:r>
            <w:r w:rsidR="00F30B24">
              <w:rPr>
                <w:rFonts w:ascii="Arial Narrow" w:hAnsi="Arial Narrow"/>
                <w:iCs/>
                <w:sz w:val="20"/>
                <w:szCs w:val="20"/>
              </w:rPr>
              <w:fldChar w:fldCharType="separate"/>
            </w:r>
            <w:r w:rsidR="005562EE">
              <w:rPr>
                <w:rFonts w:ascii="Arial Narrow" w:hAnsi="Arial Narrow"/>
                <w:iCs/>
                <w:sz w:val="20"/>
                <w:szCs w:val="20"/>
              </w:rPr>
              <w:t>6.49</w:t>
            </w:r>
            <w:r w:rsidR="00F30B24">
              <w:rPr>
                <w:rFonts w:ascii="Arial Narrow" w:hAnsi="Arial Narrow"/>
                <w:iCs/>
                <w:sz w:val="20"/>
                <w:szCs w:val="20"/>
              </w:rPr>
              <w:fldChar w:fldCharType="end"/>
            </w:r>
            <w:r w:rsidR="00F30B24">
              <w:rPr>
                <w:rFonts w:ascii="Arial Narrow" w:hAnsi="Arial Narrow"/>
                <w:iCs/>
                <w:sz w:val="20"/>
                <w:szCs w:val="20"/>
              </w:rPr>
              <w:t>)</w:t>
            </w:r>
          </w:p>
        </w:tc>
        <w:tc>
          <w:tcPr>
            <w:tcW w:w="1072" w:type="pct"/>
            <w:shd w:val="clear" w:color="auto" w:fill="auto"/>
            <w:vAlign w:val="center"/>
          </w:tcPr>
          <w:p w14:paraId="05CAC04B" w14:textId="77777777" w:rsidR="00E70780" w:rsidRPr="00842145" w:rsidRDefault="00E70780" w:rsidP="004E2A40">
            <w:pPr>
              <w:pStyle w:val="COMTabletext"/>
              <w:keepNext w:val="0"/>
              <w:jc w:val="center"/>
              <w:rPr>
                <w:iCs/>
              </w:rPr>
            </w:pPr>
            <w:r w:rsidRPr="00842145">
              <w:rPr>
                <w:iCs/>
              </w:rPr>
              <w:t>High, favours finerenone</w:t>
            </w:r>
          </w:p>
        </w:tc>
      </w:tr>
      <w:tr w:rsidR="00E70780" w:rsidRPr="00842145" w14:paraId="59F4925D" w14:textId="77777777" w:rsidTr="000A5D93">
        <w:trPr>
          <w:trHeight w:val="1377"/>
        </w:trPr>
        <w:tc>
          <w:tcPr>
            <w:tcW w:w="862" w:type="pct"/>
            <w:shd w:val="clear" w:color="auto" w:fill="auto"/>
            <w:vAlign w:val="center"/>
          </w:tcPr>
          <w:p w14:paraId="7F511982" w14:textId="77777777" w:rsidR="00E70780" w:rsidRPr="00842145" w:rsidRDefault="00E70780" w:rsidP="004E2A40">
            <w:pPr>
              <w:pStyle w:val="COMTabletext"/>
              <w:keepNext w:val="0"/>
            </w:pPr>
            <w:r w:rsidRPr="00842145">
              <w:t>Finerenone treatment discontinuation</w:t>
            </w:r>
          </w:p>
        </w:tc>
        <w:tc>
          <w:tcPr>
            <w:tcW w:w="3066" w:type="pct"/>
            <w:shd w:val="clear" w:color="auto" w:fill="auto"/>
            <w:vAlign w:val="center"/>
          </w:tcPr>
          <w:p w14:paraId="654C9AEB" w14:textId="77777777" w:rsidR="00E70780" w:rsidRPr="00842145" w:rsidRDefault="00E70780" w:rsidP="004E2A40">
            <w:pPr>
              <w:rPr>
                <w:rFonts w:ascii="Arial Narrow" w:hAnsi="Arial Narrow"/>
                <w:iCs/>
                <w:sz w:val="20"/>
                <w:szCs w:val="20"/>
              </w:rPr>
            </w:pPr>
            <w:r w:rsidRPr="00842145">
              <w:rPr>
                <w:rFonts w:ascii="Arial Narrow" w:hAnsi="Arial Narrow"/>
                <w:sz w:val="20"/>
                <w:szCs w:val="20"/>
              </w:rPr>
              <w:t>The economic analysis used a constant risk of finerenone treatment discontinuation (3.4% per 4-month cycle), based on data from the finerenone arm of the FIDELITY pooled analysis.</w:t>
            </w:r>
            <w:r w:rsidRPr="00842145">
              <w:rPr>
                <w:rFonts w:ascii="Arial Narrow" w:hAnsi="Arial Narrow"/>
                <w:iCs/>
                <w:sz w:val="20"/>
                <w:szCs w:val="20"/>
              </w:rPr>
              <w:t xml:space="preserve"> This was unchanged from the July 2022 submission. </w:t>
            </w:r>
          </w:p>
          <w:p w14:paraId="46E00B9A" w14:textId="77777777" w:rsidR="00E70780" w:rsidRPr="00842145" w:rsidRDefault="00E70780" w:rsidP="004E2A40">
            <w:pPr>
              <w:rPr>
                <w:rFonts w:ascii="Arial Narrow" w:hAnsi="Arial Narrow"/>
                <w:iCs/>
                <w:sz w:val="20"/>
                <w:szCs w:val="20"/>
              </w:rPr>
            </w:pPr>
          </w:p>
          <w:p w14:paraId="1C29F1CF" w14:textId="149BE1CA" w:rsidR="00E70780" w:rsidRPr="00842145" w:rsidRDefault="00E70780" w:rsidP="004E2A40">
            <w:r w:rsidRPr="00842145">
              <w:rPr>
                <w:rFonts w:ascii="Arial Narrow" w:hAnsi="Arial Narrow"/>
                <w:iCs/>
                <w:sz w:val="20"/>
                <w:szCs w:val="20"/>
              </w:rPr>
              <w:t>The PBAC previously considered that varying finerenone treatment discontinuation by CKD stage would reflect clinical practice, whereby treatment discontinuation becomes more likely as renal function impairment progresses (para 7.10, Finerenone PSD, July 2022 PBAC meeting). The impact of varying finerenone treatment discontinuation by CKD stage was not able to be assessed during the evaluation.</w:t>
            </w:r>
            <w:r w:rsidRPr="00842145">
              <w:t xml:space="preserve"> </w:t>
            </w:r>
            <w:r w:rsidR="00F30B24" w:rsidRPr="00F30B24">
              <w:rPr>
                <w:rFonts w:ascii="Arial Narrow" w:hAnsi="Arial Narrow"/>
                <w:iCs/>
                <w:sz w:val="20"/>
                <w:szCs w:val="20"/>
              </w:rPr>
              <w:t xml:space="preserve">The discontinuation rate was revised in the pre-PBAC response (see paragraph </w:t>
            </w:r>
            <w:r w:rsidR="00F30B24" w:rsidRPr="00F30B24">
              <w:rPr>
                <w:rFonts w:ascii="Arial Narrow" w:hAnsi="Arial Narrow"/>
                <w:iCs/>
                <w:sz w:val="20"/>
                <w:szCs w:val="20"/>
              </w:rPr>
              <w:fldChar w:fldCharType="begin"/>
            </w:r>
            <w:r w:rsidR="00F30B24" w:rsidRPr="00F30B24">
              <w:rPr>
                <w:rFonts w:ascii="Arial Narrow" w:hAnsi="Arial Narrow"/>
                <w:iCs/>
                <w:sz w:val="20"/>
                <w:szCs w:val="20"/>
              </w:rPr>
              <w:instrText xml:space="preserve"> REF _Ref129947388 \r \h </w:instrText>
            </w:r>
            <w:r w:rsidR="00F30B24">
              <w:rPr>
                <w:rFonts w:ascii="Arial Narrow" w:hAnsi="Arial Narrow"/>
                <w:iCs/>
                <w:sz w:val="20"/>
                <w:szCs w:val="20"/>
              </w:rPr>
              <w:instrText xml:space="preserve"> \* MERGEFORMAT </w:instrText>
            </w:r>
            <w:r w:rsidR="00F30B24" w:rsidRPr="00F30B24">
              <w:rPr>
                <w:rFonts w:ascii="Arial Narrow" w:hAnsi="Arial Narrow"/>
                <w:iCs/>
                <w:sz w:val="20"/>
                <w:szCs w:val="20"/>
              </w:rPr>
            </w:r>
            <w:r w:rsidR="00F30B24" w:rsidRPr="00F30B24">
              <w:rPr>
                <w:rFonts w:ascii="Arial Narrow" w:hAnsi="Arial Narrow"/>
                <w:iCs/>
                <w:sz w:val="20"/>
                <w:szCs w:val="20"/>
              </w:rPr>
              <w:fldChar w:fldCharType="separate"/>
            </w:r>
            <w:r w:rsidR="005562EE">
              <w:rPr>
                <w:rFonts w:ascii="Arial Narrow" w:hAnsi="Arial Narrow"/>
                <w:iCs/>
                <w:sz w:val="20"/>
                <w:szCs w:val="20"/>
              </w:rPr>
              <w:t>6.42</w:t>
            </w:r>
            <w:r w:rsidR="00F30B24" w:rsidRPr="00F30B24">
              <w:rPr>
                <w:rFonts w:ascii="Arial Narrow" w:hAnsi="Arial Narrow"/>
                <w:iCs/>
                <w:sz w:val="20"/>
                <w:szCs w:val="20"/>
              </w:rPr>
              <w:fldChar w:fldCharType="end"/>
            </w:r>
            <w:r w:rsidR="00F30B24" w:rsidRPr="00F30B24">
              <w:rPr>
                <w:rFonts w:ascii="Arial Narrow" w:hAnsi="Arial Narrow"/>
                <w:iCs/>
                <w:sz w:val="20"/>
                <w:szCs w:val="20"/>
              </w:rPr>
              <w:t>)</w:t>
            </w:r>
          </w:p>
        </w:tc>
        <w:tc>
          <w:tcPr>
            <w:tcW w:w="1072" w:type="pct"/>
            <w:shd w:val="clear" w:color="auto" w:fill="auto"/>
            <w:vAlign w:val="center"/>
          </w:tcPr>
          <w:p w14:paraId="102E4408" w14:textId="77777777" w:rsidR="00E70780" w:rsidRPr="00842145" w:rsidRDefault="00E70780" w:rsidP="004E2A40">
            <w:pPr>
              <w:pStyle w:val="COMTabletext"/>
              <w:keepNext w:val="0"/>
              <w:jc w:val="center"/>
              <w:rPr>
                <w:iCs/>
              </w:rPr>
            </w:pPr>
            <w:r w:rsidRPr="00842145">
              <w:rPr>
                <w:iCs/>
              </w:rPr>
              <w:t>Unclear impact</w:t>
            </w:r>
          </w:p>
        </w:tc>
      </w:tr>
    </w:tbl>
    <w:p w14:paraId="169FE11D" w14:textId="5FCBEF96" w:rsidR="00E70780" w:rsidRPr="00375BA4" w:rsidRDefault="00E70780" w:rsidP="00E70780">
      <w:pPr>
        <w:pStyle w:val="COMTablefooter"/>
      </w:pPr>
      <w:r w:rsidRPr="00375BA4">
        <w:t>Source: Constructed during the evaluation</w:t>
      </w:r>
      <w:r w:rsidR="00E570C7">
        <w:t>.</w:t>
      </w:r>
    </w:p>
    <w:p w14:paraId="2ED62FFD" w14:textId="053C1A26" w:rsidR="0004648B" w:rsidRPr="00CE712B" w:rsidRDefault="00E70780" w:rsidP="00CE712B">
      <w:pPr>
        <w:pStyle w:val="COMTablefooter"/>
      </w:pPr>
      <w:r w:rsidRPr="00375BA4">
        <w:t>Abbreviations: SGLT2</w:t>
      </w:r>
      <w:r w:rsidR="00E570C7">
        <w:t>i</w:t>
      </w:r>
      <w:r w:rsidRPr="00375BA4">
        <w:t>, sodium-glucose co-transporter-2</w:t>
      </w:r>
      <w:r w:rsidR="00E570C7">
        <w:t xml:space="preserve"> inhibitor</w:t>
      </w:r>
      <w:r w:rsidRPr="00375BA4">
        <w:t>; UACR, urinary albumin-to-creatinine ratio</w:t>
      </w:r>
      <w:r w:rsidR="00E570C7">
        <w:t>.</w:t>
      </w:r>
    </w:p>
    <w:p w14:paraId="465C92A0" w14:textId="4CD68D31" w:rsidR="00CE712B" w:rsidRPr="00DE6480" w:rsidRDefault="00CE712B" w:rsidP="00CE712B">
      <w:pPr>
        <w:pStyle w:val="COMexecsumnumberedpara"/>
        <w:rPr>
          <w:snapToGrid/>
        </w:rPr>
      </w:pPr>
      <w:r w:rsidRPr="007D6507">
        <w:rPr>
          <w:snapToGrid/>
        </w:rPr>
        <w:t>The ESC considered the health state utility values used in the July 2022 model were high compared to other values reported in the literature, considered the relativities between the trial-based utilities to be implausible in some cases, and advised they be replaced by values obtained from the literature (para 6.38</w:t>
      </w:r>
      <w:r>
        <w:rPr>
          <w:snapToGrid/>
        </w:rPr>
        <w:t>,</w:t>
      </w:r>
      <w:r w:rsidRPr="007D6507">
        <w:rPr>
          <w:snapToGrid/>
        </w:rPr>
        <w:t xml:space="preserve"> Finerenone PSD, July 2022 PBAC meeting).</w:t>
      </w:r>
      <w:r>
        <w:rPr>
          <w:snapToGrid/>
        </w:rPr>
        <w:t xml:space="preserve"> The u</w:t>
      </w:r>
      <w:r w:rsidRPr="00505A20">
        <w:rPr>
          <w:snapToGrid/>
        </w:rPr>
        <w:t>tilities used in the base case economic evaluation are unchanged from the July 2022 submission.</w:t>
      </w:r>
      <w:r>
        <w:rPr>
          <w:snapToGrid/>
        </w:rPr>
        <w:t xml:space="preserve"> However, </w:t>
      </w:r>
      <w:r w:rsidRPr="00472D9C">
        <w:rPr>
          <w:snapToGrid/>
        </w:rPr>
        <w:t xml:space="preserve">estimates from </w:t>
      </w:r>
      <w:r>
        <w:rPr>
          <w:snapToGrid/>
        </w:rPr>
        <w:t xml:space="preserve">a </w:t>
      </w:r>
      <w:r w:rsidRPr="007D210F">
        <w:t>systematic review of health utility values across different CKD stages and renal replacement therapies</w:t>
      </w:r>
      <w:r w:rsidRPr="00472D9C">
        <w:rPr>
          <w:snapToGrid/>
        </w:rPr>
        <w:t xml:space="preserve"> </w:t>
      </w:r>
      <w:r>
        <w:rPr>
          <w:snapToGrid/>
        </w:rPr>
        <w:t>(</w:t>
      </w:r>
      <w:r w:rsidRPr="00472D9C">
        <w:rPr>
          <w:snapToGrid/>
        </w:rPr>
        <w:t>Cooper 2020</w:t>
      </w:r>
      <w:r>
        <w:rPr>
          <w:snapToGrid/>
        </w:rPr>
        <w:t>) were</w:t>
      </w:r>
      <w:r w:rsidRPr="00472D9C">
        <w:rPr>
          <w:snapToGrid/>
        </w:rPr>
        <w:t xml:space="preserve"> used in a sensitivity analysis. </w:t>
      </w:r>
      <w:r w:rsidRPr="00842145">
        <w:rPr>
          <w:iCs/>
        </w:rPr>
        <w:t>The utility/disutility estimates had a minimal impact on the economic analysis.</w:t>
      </w:r>
    </w:p>
    <w:p w14:paraId="6871D100" w14:textId="3B54C724" w:rsidR="00CE712B" w:rsidRPr="00FC1D21" w:rsidRDefault="00CE712B" w:rsidP="00FC1D21">
      <w:pPr>
        <w:pStyle w:val="COMexecsumnumberedpara"/>
        <w:rPr>
          <w:iCs/>
        </w:rPr>
      </w:pPr>
      <w:r w:rsidRPr="0044151A">
        <w:rPr>
          <w:iCs/>
        </w:rPr>
        <w:t>At the July 20</w:t>
      </w:r>
      <w:r w:rsidRPr="00842145">
        <w:rPr>
          <w:iCs/>
        </w:rPr>
        <w:t>22 meeting, the PBAC considered that the submission’s base case (</w:t>
      </w:r>
      <w:r w:rsidR="00FC1D21" w:rsidRPr="00FC1D21">
        <w:rPr>
          <w:iCs/>
        </w:rPr>
        <w:t xml:space="preserve">$5,000 to &lt; $15,000 </w:t>
      </w:r>
      <w:r w:rsidRPr="00FC1D21">
        <w:rPr>
          <w:iCs/>
        </w:rPr>
        <w:t xml:space="preserve">per QALY gained) was optimistic and the alternative base case conducted during the evaluation (removing dialysis access surgery costs, using the AIHW total health price index to inflate dialysis cost estimates, and removing the finerenone treatment effect on progression to dialysis), with an ICER of </w:t>
      </w:r>
      <w:r w:rsidR="00FC1D21" w:rsidRPr="00FC1D21">
        <w:rPr>
          <w:iCs/>
        </w:rPr>
        <w:t xml:space="preserve">$55,000 to &lt; $75,000 </w:t>
      </w:r>
      <w:r w:rsidRPr="00FC1D21">
        <w:rPr>
          <w:iCs/>
        </w:rPr>
        <w:t>per QALY gained, remained uncertain and was a likely underestimate. The PBAC considered that finerenone as an add-on to standard of care including an SGLT2i, was unlikely to be cost-effective at a price greater than that accepted for dapagliflozin for CKD (para 7.9, Finerenone PSD, July 2022 PBAC meeting).</w:t>
      </w:r>
    </w:p>
    <w:p w14:paraId="716BD4C6" w14:textId="5D55A671" w:rsidR="00CE712B" w:rsidRPr="00842145" w:rsidRDefault="00CE712B" w:rsidP="00CE712B">
      <w:pPr>
        <w:pStyle w:val="COMexecsumnumberedpara"/>
        <w:spacing w:after="0"/>
        <w:rPr>
          <w:iCs/>
        </w:rPr>
      </w:pPr>
      <w:r w:rsidRPr="00842145">
        <w:rPr>
          <w:iCs/>
        </w:rPr>
        <w:t>The PBAC considered the model’s structure and inputs were optimistic, citing the following issues (para 7.10, Finerenone PSD, July 2022 PBAC meeting):</w:t>
      </w:r>
    </w:p>
    <w:p w14:paraId="50CE9FB9" w14:textId="1EA0C901" w:rsidR="00CE712B" w:rsidRPr="00842145" w:rsidRDefault="00CE712B" w:rsidP="00CE712B">
      <w:pPr>
        <w:pStyle w:val="COMexecsummbulletlist"/>
        <w:spacing w:after="0"/>
        <w:ind w:left="1077" w:hanging="357"/>
        <w:rPr>
          <w:iCs/>
        </w:rPr>
      </w:pPr>
      <w:r w:rsidRPr="00842145">
        <w:rPr>
          <w:iCs/>
        </w:rPr>
        <w:t>the pooled FIDELITY analysis did not reflect the proposed PBS population with very high albuminuria and expected use of SGLT2i medicines.</w:t>
      </w:r>
    </w:p>
    <w:p w14:paraId="21D25659" w14:textId="77777777" w:rsidR="00CE712B" w:rsidRPr="00842145" w:rsidRDefault="00CE712B" w:rsidP="00CE712B">
      <w:pPr>
        <w:pStyle w:val="COMexecsummbulletlist"/>
        <w:spacing w:after="0"/>
        <w:ind w:left="1077" w:hanging="357"/>
        <w:rPr>
          <w:iCs/>
        </w:rPr>
      </w:pPr>
      <w:r w:rsidRPr="00842145">
        <w:rPr>
          <w:iCs/>
        </w:rPr>
        <w:t>the submission assumed independent treatment effects for progression to CKD stage 5 and progression to dialysis.</w:t>
      </w:r>
    </w:p>
    <w:p w14:paraId="1D475B84" w14:textId="77777777" w:rsidR="00CE712B" w:rsidRPr="00842145" w:rsidRDefault="00CE712B" w:rsidP="00CE712B">
      <w:pPr>
        <w:pStyle w:val="COMexecsummbulletlist"/>
        <w:spacing w:after="0"/>
        <w:ind w:left="1077" w:hanging="357"/>
        <w:rPr>
          <w:iCs/>
        </w:rPr>
      </w:pPr>
      <w:r w:rsidRPr="00842145">
        <w:rPr>
          <w:iCs/>
        </w:rPr>
        <w:t>the finerenone treatment effect on the composite cardiovascular outcome was not supported.</w:t>
      </w:r>
    </w:p>
    <w:p w14:paraId="558E9FDB" w14:textId="77777777" w:rsidR="00CE712B" w:rsidRPr="00842145" w:rsidRDefault="00CE712B" w:rsidP="00CE712B">
      <w:pPr>
        <w:pStyle w:val="COMexecsummbulletlist"/>
        <w:spacing w:after="0"/>
        <w:ind w:left="1077" w:hanging="357"/>
        <w:rPr>
          <w:iCs/>
        </w:rPr>
      </w:pPr>
      <w:r w:rsidRPr="00842145">
        <w:rPr>
          <w:iCs/>
        </w:rPr>
        <w:t>the model did not appropriately account for the relationship between renal disease progression, risk of hyperkalaemia and treatment discontinuation.</w:t>
      </w:r>
    </w:p>
    <w:p w14:paraId="5B978AA5" w14:textId="77777777" w:rsidR="00CE712B" w:rsidRPr="00842145" w:rsidRDefault="00CE712B" w:rsidP="00CE712B">
      <w:pPr>
        <w:pStyle w:val="COMexecsummbulletlist"/>
        <w:ind w:left="1077" w:hanging="357"/>
        <w:rPr>
          <w:iCs/>
        </w:rPr>
      </w:pPr>
      <w:r w:rsidRPr="00842145">
        <w:rPr>
          <w:iCs/>
        </w:rPr>
        <w:t>the costs of dialysis were overestimated.</w:t>
      </w:r>
    </w:p>
    <w:p w14:paraId="5FAEBFF8" w14:textId="3E68813A" w:rsidR="00CE712B" w:rsidRPr="008E3E35" w:rsidRDefault="00CE712B" w:rsidP="00FC1D21">
      <w:pPr>
        <w:pStyle w:val="COMexecsumnumberedpara"/>
      </w:pPr>
      <w:r w:rsidRPr="008E3E35">
        <w:t>The resubmission argued that the model had been revised in line with PBAC advice, the revised ICER (</w:t>
      </w:r>
      <w:r w:rsidR="00FC1D21" w:rsidRPr="00FC1D21">
        <w:t xml:space="preserve">$5,000 to &lt; $15,000 </w:t>
      </w:r>
      <w:r w:rsidRPr="008E3E35">
        <w:t>per QALY gained) can be considered cost-effective and the proposed listing of finerenone in a targeted CKD population provides reasonable justification for a higher price than for dapagliflozin for CKD.</w:t>
      </w:r>
    </w:p>
    <w:p w14:paraId="01B205D9" w14:textId="3536C3C2" w:rsidR="003C0E07" w:rsidRDefault="003C0E07" w:rsidP="00CE712B">
      <w:pPr>
        <w:pStyle w:val="COMexecsumnumberedpara"/>
        <w:rPr>
          <w:iCs/>
        </w:rPr>
      </w:pPr>
      <w:r w:rsidRPr="009B20C0">
        <w:t>The ESC considered that a</w:t>
      </w:r>
      <w:r w:rsidR="00CE712B" w:rsidRPr="009B20C0">
        <w:t>lthough</w:t>
      </w:r>
      <w:r w:rsidR="00CE712B" w:rsidRPr="00842145">
        <w:rPr>
          <w:iCs/>
        </w:rPr>
        <w:t xml:space="preserve"> the resubmission addressed a number of the issues identified by the PBAC, the resubmission’s model significantly overestimated subsequent heart failure hospitalisation, and a number of uncertainties</w:t>
      </w:r>
      <w:r w:rsidR="00930208">
        <w:rPr>
          <w:iCs/>
        </w:rPr>
        <w:t xml:space="preserve"> </w:t>
      </w:r>
      <w:r w:rsidR="00930208" w:rsidRPr="009B20C0">
        <w:t>were not addressed in the resubmission</w:t>
      </w:r>
      <w:r w:rsidRPr="009B20C0">
        <w:t>, including</w:t>
      </w:r>
      <w:r>
        <w:rPr>
          <w:iCs/>
        </w:rPr>
        <w:t xml:space="preserve">: </w:t>
      </w:r>
    </w:p>
    <w:p w14:paraId="4502C6A5" w14:textId="0BEA9633" w:rsidR="003C0E07" w:rsidRDefault="00CE712B" w:rsidP="003C0E07">
      <w:pPr>
        <w:pStyle w:val="COMexecsumnumberedpara"/>
        <w:numPr>
          <w:ilvl w:val="0"/>
          <w:numId w:val="26"/>
        </w:numPr>
        <w:rPr>
          <w:iCs/>
        </w:rPr>
      </w:pPr>
      <w:r w:rsidRPr="00842145">
        <w:rPr>
          <w:iCs/>
        </w:rPr>
        <w:t>uncertainty regarding baseline patient characteristics</w:t>
      </w:r>
      <w:r w:rsidR="00930208">
        <w:rPr>
          <w:iCs/>
        </w:rPr>
        <w:t xml:space="preserve"> </w:t>
      </w:r>
      <w:r w:rsidR="00930208" w:rsidRPr="009B20C0">
        <w:t>(based on the FIDELITY UACR ≥ 200 mg/g SGLT2i non-user subgroup, adjusted for SGLT2i treatment effects [DAPA-CKD trial diabetes subgroup]);</w:t>
      </w:r>
    </w:p>
    <w:p w14:paraId="0396A975" w14:textId="4190C73E" w:rsidR="003C0E07" w:rsidRDefault="00CE712B" w:rsidP="003C0E07">
      <w:pPr>
        <w:pStyle w:val="COMexecsumnumberedpara"/>
        <w:numPr>
          <w:ilvl w:val="0"/>
          <w:numId w:val="26"/>
        </w:numPr>
        <w:rPr>
          <w:iCs/>
        </w:rPr>
      </w:pPr>
      <w:r w:rsidRPr="00842145">
        <w:rPr>
          <w:iCs/>
        </w:rPr>
        <w:t>the assumed independent treatment effects for progression to CKD stage 5 and progression to dialysis</w:t>
      </w:r>
      <w:r w:rsidR="0044151A">
        <w:rPr>
          <w:iCs/>
        </w:rPr>
        <w:t xml:space="preserve"> </w:t>
      </w:r>
      <w:r w:rsidR="0044151A" w:rsidRPr="009B20C0">
        <w:t>unadjusted for overlap</w:t>
      </w:r>
      <w:r w:rsidR="00930208">
        <w:rPr>
          <w:iCs/>
        </w:rPr>
        <w:t>;</w:t>
      </w:r>
    </w:p>
    <w:p w14:paraId="7126CBA2" w14:textId="7F4C79C3" w:rsidR="00930208" w:rsidRPr="009B20C0" w:rsidRDefault="00930208" w:rsidP="003C0E07">
      <w:pPr>
        <w:pStyle w:val="COMexecsumnumberedpara"/>
        <w:numPr>
          <w:ilvl w:val="0"/>
          <w:numId w:val="26"/>
        </w:numPr>
      </w:pPr>
      <w:r w:rsidRPr="009B20C0">
        <w:t xml:space="preserve">uncertainty of magnitude of treatment benefit </w:t>
      </w:r>
      <w:r w:rsidR="000A5D93" w:rsidRPr="009B20C0">
        <w:t xml:space="preserve">of finerenone </w:t>
      </w:r>
      <w:r w:rsidRPr="009B20C0">
        <w:t>for patients receiving an SGLT2i (based on the FIDELITY whole study (FAS) population); and</w:t>
      </w:r>
    </w:p>
    <w:p w14:paraId="4E0779BD" w14:textId="248E5CE2" w:rsidR="00CE712B" w:rsidRPr="00842145" w:rsidRDefault="000A5D93" w:rsidP="00930208">
      <w:pPr>
        <w:pStyle w:val="COMexecsumnumberedpara"/>
        <w:numPr>
          <w:ilvl w:val="0"/>
          <w:numId w:val="26"/>
        </w:numPr>
        <w:rPr>
          <w:iCs/>
        </w:rPr>
      </w:pPr>
      <w:r w:rsidRPr="009B20C0">
        <w:t xml:space="preserve">the overall </w:t>
      </w:r>
      <w:r w:rsidR="00930208" w:rsidRPr="009B20C0">
        <w:t xml:space="preserve">finerenone treatment discontinuation </w:t>
      </w:r>
      <w:r w:rsidR="0044151A" w:rsidRPr="009B20C0">
        <w:t>wa</w:t>
      </w:r>
      <w:r w:rsidR="00930208" w:rsidRPr="009B20C0">
        <w:t>s assumed to be independent of CKD stage</w:t>
      </w:r>
      <w:r w:rsidR="00930208">
        <w:rPr>
          <w:iCs/>
        </w:rPr>
        <w:t>.</w:t>
      </w:r>
    </w:p>
    <w:p w14:paraId="0EFE219F" w14:textId="09F4705D" w:rsidR="00CE712B" w:rsidRPr="00842145" w:rsidRDefault="00CE712B" w:rsidP="00CE712B">
      <w:pPr>
        <w:pStyle w:val="COMexecsumnumberedpara"/>
        <w:rPr>
          <w:iCs/>
          <w:color w:val="0066FF"/>
        </w:rPr>
      </w:pPr>
      <w:bookmarkStart w:id="44" w:name="_Ref129778258"/>
      <w:r w:rsidRPr="00842145">
        <w:rPr>
          <w:iCs/>
        </w:rPr>
        <w:t xml:space="preserve">During the evaluation, a revised base case was calculated correcting for the overestimation of subsequent heart failure hospitalisation events and correcting an error that applied finerenone treatment effects on subsequent heart failure hospitalisation to patients who had discontinued treatment. The results of the revised analysis </w:t>
      </w:r>
      <w:r w:rsidR="0069235E">
        <w:rPr>
          <w:iCs/>
        </w:rPr>
        <w:t xml:space="preserve">as presented in the resubmission </w:t>
      </w:r>
      <w:r w:rsidRPr="00842145">
        <w:rPr>
          <w:iCs/>
        </w:rPr>
        <w:t xml:space="preserve">are summarised in </w:t>
      </w:r>
      <w:r w:rsidR="00225FE3" w:rsidRPr="00842145">
        <w:rPr>
          <w:iCs/>
        </w:rPr>
        <w:fldChar w:fldCharType="begin"/>
      </w:r>
      <w:r w:rsidR="00225FE3" w:rsidRPr="00842145">
        <w:rPr>
          <w:iCs/>
        </w:rPr>
        <w:instrText xml:space="preserve"> REF _Ref124170672 \h  \* MERGEFORMAT </w:instrText>
      </w:r>
      <w:r w:rsidR="00225FE3" w:rsidRPr="00842145">
        <w:rPr>
          <w:iCs/>
        </w:rPr>
      </w:r>
      <w:r w:rsidR="00225FE3" w:rsidRPr="00842145">
        <w:rPr>
          <w:iCs/>
        </w:rPr>
        <w:fldChar w:fldCharType="separate"/>
      </w:r>
      <w:r w:rsidR="005562EE" w:rsidRPr="005562EE">
        <w:rPr>
          <w:iCs/>
        </w:rPr>
        <w:t xml:space="preserve">Table </w:t>
      </w:r>
      <w:r w:rsidR="005562EE" w:rsidRPr="005562EE">
        <w:rPr>
          <w:iCs/>
          <w:noProof/>
        </w:rPr>
        <w:t>13</w:t>
      </w:r>
      <w:r w:rsidR="00225FE3" w:rsidRPr="00842145">
        <w:rPr>
          <w:iCs/>
        </w:rPr>
        <w:fldChar w:fldCharType="end"/>
      </w:r>
      <w:r w:rsidR="00B86B6D" w:rsidRPr="00842145">
        <w:rPr>
          <w:iCs/>
        </w:rPr>
        <w:t>.</w:t>
      </w:r>
      <w:r w:rsidR="00464C7A">
        <w:rPr>
          <w:iCs/>
        </w:rPr>
        <w:t xml:space="preserve"> </w:t>
      </w:r>
      <w:r w:rsidR="00464C7A" w:rsidRPr="009B20C0">
        <w:t>The PSCR</w:t>
      </w:r>
      <w:r w:rsidR="002A4D82">
        <w:t xml:space="preserve"> </w:t>
      </w:r>
      <w:r w:rsidR="00464C7A" w:rsidRPr="009B20C0">
        <w:t>acknowledged an error was made in the economic evaluation and accept</w:t>
      </w:r>
      <w:r w:rsidR="000A5D93" w:rsidRPr="009B20C0">
        <w:t>ed</w:t>
      </w:r>
      <w:r w:rsidR="00464C7A" w:rsidRPr="009B20C0">
        <w:t xml:space="preserve"> the results of the revised base case.</w:t>
      </w:r>
      <w:bookmarkEnd w:id="44"/>
    </w:p>
    <w:p w14:paraId="16EF6A39" w14:textId="34AE2B5A" w:rsidR="0025264A" w:rsidRDefault="0025264A" w:rsidP="002A4D82">
      <w:pPr>
        <w:pStyle w:val="COMtablefigcaption"/>
        <w:keepLines/>
      </w:pPr>
      <w:bookmarkStart w:id="45" w:name="_Ref124170672"/>
      <w:r w:rsidRPr="007D210F">
        <w:t xml:space="preserve">Table </w:t>
      </w:r>
      <w:r w:rsidR="005562EE">
        <w:fldChar w:fldCharType="begin"/>
      </w:r>
      <w:r w:rsidR="005562EE">
        <w:instrText xml:space="preserve"> SEQ Table \* ARABIC </w:instrText>
      </w:r>
      <w:r w:rsidR="005562EE">
        <w:fldChar w:fldCharType="separate"/>
      </w:r>
      <w:r w:rsidR="005562EE">
        <w:rPr>
          <w:noProof/>
        </w:rPr>
        <w:t>13</w:t>
      </w:r>
      <w:r w:rsidR="005562EE">
        <w:rPr>
          <w:noProof/>
        </w:rPr>
        <w:fldChar w:fldCharType="end"/>
      </w:r>
      <w:bookmarkEnd w:id="45"/>
      <w:r w:rsidRPr="007D210F">
        <w:t>: Results of the economic evaluation</w:t>
      </w:r>
      <w:r w:rsidR="0069235E">
        <w:t xml:space="preserve"> as presented in the resubmission</w:t>
      </w:r>
    </w:p>
    <w:tbl>
      <w:tblPr>
        <w:tblStyle w:val="TableGrid"/>
        <w:tblW w:w="0" w:type="auto"/>
        <w:tblLook w:val="04A0" w:firstRow="1" w:lastRow="0" w:firstColumn="1" w:lastColumn="0" w:noHBand="0" w:noVBand="1"/>
      </w:tblPr>
      <w:tblGrid>
        <w:gridCol w:w="2254"/>
        <w:gridCol w:w="2254"/>
        <w:gridCol w:w="2254"/>
        <w:gridCol w:w="2255"/>
      </w:tblGrid>
      <w:tr w:rsidR="0025264A" w14:paraId="10EEB50F" w14:textId="77777777" w:rsidTr="00320A42">
        <w:tc>
          <w:tcPr>
            <w:tcW w:w="2254" w:type="dxa"/>
          </w:tcPr>
          <w:p w14:paraId="79CABBFC" w14:textId="77777777" w:rsidR="0025264A" w:rsidRPr="00BB3F0B" w:rsidRDefault="0025264A" w:rsidP="002A4D82">
            <w:pPr>
              <w:keepNext/>
              <w:keepLines/>
              <w:rPr>
                <w:rFonts w:ascii="Arial Narrow" w:hAnsi="Arial Narrow"/>
                <w:sz w:val="20"/>
                <w:szCs w:val="20"/>
              </w:rPr>
            </w:pPr>
          </w:p>
        </w:tc>
        <w:tc>
          <w:tcPr>
            <w:tcW w:w="2254" w:type="dxa"/>
            <w:tcBorders>
              <w:bottom w:val="single" w:sz="4" w:space="0" w:color="auto"/>
            </w:tcBorders>
            <w:vAlign w:val="center"/>
          </w:tcPr>
          <w:p w14:paraId="719AA3FC" w14:textId="77777777" w:rsidR="0025264A" w:rsidRPr="00BB3F0B" w:rsidRDefault="0025264A" w:rsidP="002A4D82">
            <w:pPr>
              <w:keepNext/>
              <w:keepLines/>
              <w:jc w:val="center"/>
              <w:rPr>
                <w:rFonts w:ascii="Arial Narrow" w:hAnsi="Arial Narrow"/>
                <w:sz w:val="20"/>
                <w:szCs w:val="20"/>
              </w:rPr>
            </w:pPr>
            <w:r w:rsidRPr="00BB3F0B">
              <w:rPr>
                <w:rFonts w:ascii="Arial Narrow" w:hAnsi="Arial Narrow"/>
                <w:b/>
                <w:sz w:val="20"/>
                <w:szCs w:val="20"/>
              </w:rPr>
              <w:t>Finerenone</w:t>
            </w:r>
          </w:p>
        </w:tc>
        <w:tc>
          <w:tcPr>
            <w:tcW w:w="2254" w:type="dxa"/>
            <w:vAlign w:val="center"/>
          </w:tcPr>
          <w:p w14:paraId="5491FB0C" w14:textId="77777777" w:rsidR="0025264A" w:rsidRPr="00BB3F0B" w:rsidRDefault="0025264A" w:rsidP="002A4D82">
            <w:pPr>
              <w:keepNext/>
              <w:keepLines/>
              <w:jc w:val="center"/>
              <w:rPr>
                <w:rFonts w:ascii="Arial Narrow" w:hAnsi="Arial Narrow"/>
                <w:sz w:val="20"/>
                <w:szCs w:val="20"/>
              </w:rPr>
            </w:pPr>
            <w:r w:rsidRPr="00BB3F0B">
              <w:rPr>
                <w:rFonts w:ascii="Arial Narrow" w:hAnsi="Arial Narrow"/>
                <w:b/>
                <w:sz w:val="20"/>
                <w:szCs w:val="20"/>
              </w:rPr>
              <w:t>Placebo</w:t>
            </w:r>
          </w:p>
        </w:tc>
        <w:tc>
          <w:tcPr>
            <w:tcW w:w="2255" w:type="dxa"/>
            <w:tcBorders>
              <w:bottom w:val="single" w:sz="4" w:space="0" w:color="auto"/>
            </w:tcBorders>
            <w:vAlign w:val="center"/>
          </w:tcPr>
          <w:p w14:paraId="7F58E8FA" w14:textId="77777777" w:rsidR="0025264A" w:rsidRPr="00BB3F0B" w:rsidRDefault="0025264A" w:rsidP="002A4D82">
            <w:pPr>
              <w:pStyle w:val="TableText0"/>
              <w:keepLines/>
              <w:jc w:val="center"/>
              <w:rPr>
                <w:szCs w:val="20"/>
              </w:rPr>
            </w:pPr>
            <w:r w:rsidRPr="00BB3F0B">
              <w:rPr>
                <w:b/>
                <w:szCs w:val="20"/>
              </w:rPr>
              <w:t>Increment</w:t>
            </w:r>
          </w:p>
        </w:tc>
      </w:tr>
      <w:tr w:rsidR="0025264A" w:rsidRPr="00842145" w14:paraId="2AE021BE" w14:textId="77777777" w:rsidTr="00320A42">
        <w:tc>
          <w:tcPr>
            <w:tcW w:w="2254" w:type="dxa"/>
          </w:tcPr>
          <w:p w14:paraId="30A4CC34" w14:textId="1280762E" w:rsidR="0025264A" w:rsidRPr="00842145" w:rsidRDefault="0025264A" w:rsidP="002A4D82">
            <w:pPr>
              <w:keepNext/>
              <w:keepLines/>
              <w:rPr>
                <w:rFonts w:ascii="Arial Narrow" w:hAnsi="Arial Narrow"/>
                <w:sz w:val="20"/>
                <w:szCs w:val="20"/>
              </w:rPr>
            </w:pPr>
            <w:r w:rsidRPr="00842145">
              <w:rPr>
                <w:rFonts w:ascii="Arial Narrow" w:hAnsi="Arial Narrow"/>
                <w:sz w:val="20"/>
                <w:szCs w:val="20"/>
              </w:rPr>
              <w:t>Costs</w:t>
            </w:r>
            <w:r w:rsidR="00BF136E">
              <w:rPr>
                <w:rFonts w:ascii="Arial Narrow" w:hAnsi="Arial Narrow"/>
                <w:sz w:val="20"/>
                <w:szCs w:val="20"/>
              </w:rPr>
              <w:t xml:space="preserve"> ($)</w:t>
            </w:r>
          </w:p>
        </w:tc>
        <w:tc>
          <w:tcPr>
            <w:tcW w:w="2254" w:type="dxa"/>
            <w:shd w:val="solid" w:color="000000" w:fill="000000"/>
            <w:vAlign w:val="center"/>
          </w:tcPr>
          <w:p w14:paraId="3D3AB2DE" w14:textId="61610ED3" w:rsidR="0025264A" w:rsidRPr="00BF136E" w:rsidRDefault="00320A42" w:rsidP="002A4D82">
            <w:pPr>
              <w:keepNext/>
              <w:keepLines/>
              <w:jc w:val="center"/>
              <w:rPr>
                <w:rFonts w:ascii="Arial Narrow" w:hAnsi="Arial Narrow"/>
                <w:iCs/>
                <w:sz w:val="20"/>
                <w:szCs w:val="20"/>
                <w:highlight w:val="darkGray"/>
              </w:rPr>
            </w:pPr>
            <w:r w:rsidRPr="00320A42">
              <w:rPr>
                <w:rFonts w:ascii="Arial Narrow" w:hAnsi="Arial Narrow"/>
                <w:iCs/>
                <w:color w:val="000000"/>
                <w:sz w:val="20"/>
                <w:szCs w:val="20"/>
                <w14:textFill>
                  <w14:solidFill>
                    <w14:srgbClr w14:val="000000">
                      <w14:alpha w14:val="100000"/>
                    </w14:srgbClr>
                  </w14:solidFill>
                </w14:textFill>
              </w:rPr>
              <w:t>|</w:t>
            </w:r>
          </w:p>
        </w:tc>
        <w:tc>
          <w:tcPr>
            <w:tcW w:w="2254" w:type="dxa"/>
            <w:vAlign w:val="center"/>
          </w:tcPr>
          <w:p w14:paraId="0FECCF89" w14:textId="77777777" w:rsidR="0025264A" w:rsidRPr="00842145" w:rsidRDefault="0025264A" w:rsidP="002A4D82">
            <w:pPr>
              <w:keepNext/>
              <w:keepLines/>
              <w:jc w:val="center"/>
              <w:rPr>
                <w:rFonts w:ascii="Arial Narrow" w:hAnsi="Arial Narrow"/>
                <w:iCs/>
                <w:sz w:val="20"/>
                <w:szCs w:val="20"/>
              </w:rPr>
            </w:pPr>
            <w:r w:rsidRPr="00842145">
              <w:rPr>
                <w:rFonts w:ascii="Arial Narrow" w:hAnsi="Arial Narrow"/>
                <w:iCs/>
                <w:sz w:val="20"/>
                <w:szCs w:val="20"/>
              </w:rPr>
              <w:t>$97,405</w:t>
            </w:r>
          </w:p>
        </w:tc>
        <w:tc>
          <w:tcPr>
            <w:tcW w:w="2255" w:type="dxa"/>
            <w:shd w:val="solid" w:color="000000" w:fill="000000"/>
            <w:vAlign w:val="center"/>
          </w:tcPr>
          <w:p w14:paraId="0AE268EE" w14:textId="1478E0AD" w:rsidR="0025264A" w:rsidRPr="00BF136E" w:rsidRDefault="00320A42" w:rsidP="002A4D82">
            <w:pPr>
              <w:keepNext/>
              <w:keepLines/>
              <w:jc w:val="center"/>
              <w:rPr>
                <w:rFonts w:ascii="Arial Narrow" w:hAnsi="Arial Narrow"/>
                <w:iCs/>
                <w:sz w:val="20"/>
                <w:szCs w:val="20"/>
                <w:highlight w:val="darkGray"/>
              </w:rPr>
            </w:pPr>
            <w:r w:rsidRPr="00320A42">
              <w:rPr>
                <w:rFonts w:ascii="Arial Narrow" w:hAnsi="Arial Narrow"/>
                <w:iCs/>
                <w:color w:val="000000"/>
                <w:sz w:val="20"/>
                <w:szCs w:val="20"/>
                <w14:textFill>
                  <w14:solidFill>
                    <w14:srgbClr w14:val="000000">
                      <w14:alpha w14:val="100000"/>
                    </w14:srgbClr>
                  </w14:solidFill>
                </w14:textFill>
              </w:rPr>
              <w:t>|</w:t>
            </w:r>
          </w:p>
        </w:tc>
      </w:tr>
      <w:tr w:rsidR="0025264A" w:rsidRPr="00842145" w14:paraId="7BC31B52" w14:textId="77777777" w:rsidTr="004E2A40">
        <w:tc>
          <w:tcPr>
            <w:tcW w:w="2254" w:type="dxa"/>
          </w:tcPr>
          <w:p w14:paraId="737B4119" w14:textId="77777777" w:rsidR="0025264A" w:rsidRPr="00842145" w:rsidRDefault="0025264A" w:rsidP="002A4D82">
            <w:pPr>
              <w:keepNext/>
              <w:rPr>
                <w:rFonts w:ascii="Arial Narrow" w:hAnsi="Arial Narrow"/>
                <w:sz w:val="20"/>
                <w:szCs w:val="20"/>
              </w:rPr>
            </w:pPr>
            <w:r w:rsidRPr="00842145">
              <w:rPr>
                <w:rFonts w:ascii="Arial Narrow" w:hAnsi="Arial Narrow"/>
                <w:sz w:val="20"/>
                <w:szCs w:val="20"/>
              </w:rPr>
              <w:t>QALYs</w:t>
            </w:r>
          </w:p>
        </w:tc>
        <w:tc>
          <w:tcPr>
            <w:tcW w:w="2254" w:type="dxa"/>
            <w:vAlign w:val="center"/>
          </w:tcPr>
          <w:p w14:paraId="5A7D5C6F" w14:textId="77777777" w:rsidR="0025264A" w:rsidRPr="00842145" w:rsidRDefault="0025264A" w:rsidP="002A4D82">
            <w:pPr>
              <w:keepNext/>
              <w:jc w:val="center"/>
              <w:rPr>
                <w:rFonts w:ascii="Arial Narrow" w:hAnsi="Arial Narrow"/>
                <w:iCs/>
                <w:sz w:val="20"/>
                <w:szCs w:val="20"/>
              </w:rPr>
            </w:pPr>
            <w:r w:rsidRPr="00842145">
              <w:rPr>
                <w:rFonts w:ascii="Arial Narrow" w:hAnsi="Arial Narrow"/>
                <w:iCs/>
                <w:sz w:val="20"/>
                <w:szCs w:val="20"/>
              </w:rPr>
              <w:t>6.4317</w:t>
            </w:r>
          </w:p>
        </w:tc>
        <w:tc>
          <w:tcPr>
            <w:tcW w:w="2254" w:type="dxa"/>
            <w:vAlign w:val="center"/>
          </w:tcPr>
          <w:p w14:paraId="164FEE03" w14:textId="77777777" w:rsidR="0025264A" w:rsidRPr="00842145" w:rsidRDefault="0025264A" w:rsidP="002A4D82">
            <w:pPr>
              <w:keepNext/>
              <w:jc w:val="center"/>
              <w:rPr>
                <w:rFonts w:ascii="Arial Narrow" w:hAnsi="Arial Narrow"/>
                <w:iCs/>
                <w:sz w:val="20"/>
                <w:szCs w:val="20"/>
              </w:rPr>
            </w:pPr>
            <w:r w:rsidRPr="00842145">
              <w:rPr>
                <w:rFonts w:ascii="Arial Narrow" w:hAnsi="Arial Narrow"/>
                <w:iCs/>
                <w:sz w:val="20"/>
                <w:szCs w:val="20"/>
              </w:rPr>
              <w:t>6.3723</w:t>
            </w:r>
          </w:p>
        </w:tc>
        <w:tc>
          <w:tcPr>
            <w:tcW w:w="2255" w:type="dxa"/>
            <w:vAlign w:val="center"/>
          </w:tcPr>
          <w:p w14:paraId="136A9AD8" w14:textId="77777777" w:rsidR="0025264A" w:rsidRPr="00842145" w:rsidRDefault="0025264A" w:rsidP="002A4D82">
            <w:pPr>
              <w:keepNext/>
              <w:jc w:val="center"/>
              <w:rPr>
                <w:rFonts w:ascii="Arial Narrow" w:hAnsi="Arial Narrow"/>
                <w:iCs/>
                <w:sz w:val="20"/>
                <w:szCs w:val="20"/>
              </w:rPr>
            </w:pPr>
            <w:r w:rsidRPr="00842145">
              <w:rPr>
                <w:rFonts w:ascii="Arial Narrow" w:hAnsi="Arial Narrow"/>
                <w:iCs/>
                <w:sz w:val="20"/>
                <w:szCs w:val="20"/>
              </w:rPr>
              <w:t>0.0594</w:t>
            </w:r>
          </w:p>
        </w:tc>
      </w:tr>
      <w:tr w:rsidR="0025264A" w:rsidRPr="00842145" w14:paraId="398EDE55" w14:textId="77777777" w:rsidTr="004E2A40">
        <w:tc>
          <w:tcPr>
            <w:tcW w:w="6762" w:type="dxa"/>
            <w:gridSpan w:val="3"/>
          </w:tcPr>
          <w:p w14:paraId="06FC043D" w14:textId="77777777" w:rsidR="0025264A" w:rsidRPr="00842145" w:rsidRDefault="0025264A" w:rsidP="002A4D82">
            <w:pPr>
              <w:keepNext/>
              <w:rPr>
                <w:rFonts w:ascii="Arial Narrow" w:hAnsi="Arial Narrow"/>
                <w:sz w:val="20"/>
                <w:szCs w:val="20"/>
              </w:rPr>
            </w:pPr>
            <w:r w:rsidRPr="00842145">
              <w:rPr>
                <w:rFonts w:ascii="Arial Narrow" w:hAnsi="Arial Narrow"/>
                <w:sz w:val="20"/>
                <w:szCs w:val="20"/>
              </w:rPr>
              <w:t>Incremental cost per QALY gained</w:t>
            </w:r>
          </w:p>
        </w:tc>
        <w:tc>
          <w:tcPr>
            <w:tcW w:w="2255" w:type="dxa"/>
            <w:vAlign w:val="center"/>
          </w:tcPr>
          <w:p w14:paraId="0D3B5DEC" w14:textId="1A5026EF" w:rsidR="0025264A" w:rsidRPr="00842145" w:rsidRDefault="00320A42" w:rsidP="002A4D82">
            <w:pPr>
              <w:keepNext/>
              <w:jc w:val="center"/>
              <w:rPr>
                <w:rFonts w:ascii="Arial Narrow" w:hAnsi="Arial Narrow"/>
                <w:iCs/>
                <w:sz w:val="20"/>
                <w:szCs w:val="20"/>
              </w:rPr>
            </w:pPr>
            <w:r w:rsidRPr="00320A42">
              <w:rPr>
                <w:rFonts w:ascii="Arial Narrow" w:hAnsi="Arial Narrow"/>
                <w:iCs/>
                <w:color w:val="000000"/>
                <w:sz w:val="20"/>
                <w:szCs w:val="20"/>
                <w:shd w:val="solid" w:color="000000" w:fill="000000"/>
                <w14:textFill>
                  <w14:solidFill>
                    <w14:srgbClr w14:val="000000">
                      <w14:alpha w14:val="100000"/>
                    </w14:srgbClr>
                  </w14:solidFill>
                </w14:textFill>
              </w:rPr>
              <w:t>|</w:t>
            </w:r>
            <w:r w:rsidR="00BF136E" w:rsidRPr="00BF136E">
              <w:rPr>
                <w:rFonts w:ascii="Arial Narrow" w:hAnsi="Arial Narrow"/>
                <w:iCs/>
                <w:sz w:val="20"/>
                <w:szCs w:val="20"/>
                <w:vertAlign w:val="superscript"/>
              </w:rPr>
              <w:t>1</w:t>
            </w:r>
          </w:p>
        </w:tc>
      </w:tr>
    </w:tbl>
    <w:p w14:paraId="38F4342D" w14:textId="2D7EBE6D" w:rsidR="0025264A" w:rsidRDefault="0025264A" w:rsidP="002A4D82">
      <w:pPr>
        <w:pStyle w:val="COMTablefooter"/>
        <w:keepNext/>
        <w:rPr>
          <w:szCs w:val="18"/>
        </w:rPr>
      </w:pPr>
      <w:r w:rsidRPr="00857089">
        <w:rPr>
          <w:szCs w:val="18"/>
        </w:rPr>
        <w:t>Source: Constructed during the evaluation using the ‘Section_3_model</w:t>
      </w:r>
      <w:r w:rsidR="00AD4AC9">
        <w:rPr>
          <w:szCs w:val="18"/>
        </w:rPr>
        <w:t>.xlsx</w:t>
      </w:r>
      <w:r w:rsidRPr="00857089">
        <w:rPr>
          <w:szCs w:val="18"/>
        </w:rPr>
        <w:t>’ spreadsheet provided with the resubmission</w:t>
      </w:r>
      <w:r>
        <w:rPr>
          <w:szCs w:val="18"/>
        </w:rPr>
        <w:t>.</w:t>
      </w:r>
    </w:p>
    <w:p w14:paraId="0B827F43" w14:textId="7BEFAC5F" w:rsidR="0025264A" w:rsidRDefault="0025264A" w:rsidP="002A4D82">
      <w:pPr>
        <w:pStyle w:val="COMTablefooter"/>
        <w:keepNext/>
        <w:rPr>
          <w:szCs w:val="18"/>
        </w:rPr>
      </w:pPr>
      <w:r>
        <w:rPr>
          <w:szCs w:val="18"/>
        </w:rPr>
        <w:t>Abbreviation: QALY, quality adjusted life year.</w:t>
      </w:r>
    </w:p>
    <w:p w14:paraId="70EB3059" w14:textId="50C8361E" w:rsidR="0025264A" w:rsidRDefault="0025264A" w:rsidP="00BF136E">
      <w:pPr>
        <w:pStyle w:val="COMTablefooter"/>
        <w:keepNext/>
        <w:spacing w:after="0"/>
        <w:rPr>
          <w:szCs w:val="18"/>
        </w:rPr>
      </w:pPr>
      <w:r>
        <w:rPr>
          <w:szCs w:val="18"/>
        </w:rPr>
        <w:t xml:space="preserve">Note: </w:t>
      </w:r>
      <w:r w:rsidRPr="00857089">
        <w:rPr>
          <w:szCs w:val="18"/>
        </w:rPr>
        <w:t>Th</w:t>
      </w:r>
      <w:r>
        <w:rPr>
          <w:szCs w:val="18"/>
        </w:rPr>
        <w:t>e analysis uses alternative subsequent heart failure hospitalisation risks calculated during the evaluation</w:t>
      </w:r>
      <w:r w:rsidR="00214648">
        <w:rPr>
          <w:szCs w:val="18"/>
        </w:rPr>
        <w:t xml:space="preserve"> </w:t>
      </w:r>
      <w:r>
        <w:rPr>
          <w:szCs w:val="18"/>
        </w:rPr>
        <w:t>and</w:t>
      </w:r>
      <w:r w:rsidRPr="00857089">
        <w:rPr>
          <w:szCs w:val="18"/>
        </w:rPr>
        <w:t xml:space="preserve"> corrects an error in the model </w:t>
      </w:r>
      <w:r>
        <w:rPr>
          <w:szCs w:val="18"/>
        </w:rPr>
        <w:t xml:space="preserve">spreadsheet </w:t>
      </w:r>
      <w:r w:rsidRPr="00857089">
        <w:rPr>
          <w:szCs w:val="18"/>
        </w:rPr>
        <w:t xml:space="preserve">which applied finerenone treatment effects on subsequent heart failure hospitalisations to patients who had discontinued treatment (column CC of the </w:t>
      </w:r>
      <w:r w:rsidR="00A7352D">
        <w:rPr>
          <w:szCs w:val="18"/>
        </w:rPr>
        <w:t>‘</w:t>
      </w:r>
      <w:r w:rsidRPr="00857089">
        <w:rPr>
          <w:szCs w:val="18"/>
        </w:rPr>
        <w:t>FIN Trace</w:t>
      </w:r>
      <w:r w:rsidR="00A7352D">
        <w:rPr>
          <w:szCs w:val="18"/>
        </w:rPr>
        <w:t>’</w:t>
      </w:r>
      <w:r w:rsidRPr="00857089">
        <w:rPr>
          <w:szCs w:val="18"/>
        </w:rPr>
        <w:t xml:space="preserve"> </w:t>
      </w:r>
      <w:r w:rsidR="00A7352D">
        <w:rPr>
          <w:szCs w:val="18"/>
        </w:rPr>
        <w:t>spread</w:t>
      </w:r>
      <w:r w:rsidRPr="00857089">
        <w:rPr>
          <w:szCs w:val="18"/>
        </w:rPr>
        <w:t xml:space="preserve">sheet of the </w:t>
      </w:r>
      <w:r w:rsidR="00A7352D">
        <w:rPr>
          <w:szCs w:val="18"/>
        </w:rPr>
        <w:t>‘</w:t>
      </w:r>
      <w:r w:rsidRPr="00857089">
        <w:rPr>
          <w:szCs w:val="18"/>
        </w:rPr>
        <w:t>Section_3_model</w:t>
      </w:r>
      <w:r w:rsidR="00A7352D">
        <w:rPr>
          <w:szCs w:val="18"/>
        </w:rPr>
        <w:t>.xlsx’ economic model</w:t>
      </w:r>
      <w:r>
        <w:rPr>
          <w:szCs w:val="18"/>
        </w:rPr>
        <w:t>).</w:t>
      </w:r>
    </w:p>
    <w:p w14:paraId="0BF8126E" w14:textId="77777777" w:rsidR="00BF136E" w:rsidRPr="009A6D58" w:rsidRDefault="00BF136E" w:rsidP="00BF136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BD0FFF5" w14:textId="6B1BA677" w:rsidR="00BF136E" w:rsidRDefault="00BF136E" w:rsidP="00C74B13">
      <w:pPr>
        <w:pStyle w:val="COMexecsumnumberedpara"/>
        <w:numPr>
          <w:ilvl w:val="0"/>
          <w:numId w:val="0"/>
        </w:numPr>
        <w:ind w:left="720" w:hanging="7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FC1D21" w:rsidRPr="00FC1D21">
        <w:rPr>
          <w:rFonts w:ascii="Arial Narrow" w:hAnsi="Arial Narrow"/>
          <w:i/>
          <w:sz w:val="18"/>
          <w:szCs w:val="18"/>
        </w:rPr>
        <w:t>$25,000 to &lt; $35,000</w:t>
      </w:r>
    </w:p>
    <w:p w14:paraId="03F9550B" w14:textId="09285A13" w:rsidR="008E47BE" w:rsidRPr="00FC1D21" w:rsidRDefault="008E47BE" w:rsidP="00BF136E">
      <w:pPr>
        <w:pStyle w:val="COMexecsumnumberedpara"/>
        <w:rPr>
          <w:iCs/>
        </w:rPr>
      </w:pPr>
      <w:r w:rsidRPr="00842145">
        <w:rPr>
          <w:iCs/>
        </w:rPr>
        <w:t>Based on the revised base case</w:t>
      </w:r>
      <w:r w:rsidR="0069235E">
        <w:rPr>
          <w:iCs/>
        </w:rPr>
        <w:t xml:space="preserve"> of the resubmission</w:t>
      </w:r>
      <w:r w:rsidRPr="00842145">
        <w:rPr>
          <w:iCs/>
        </w:rPr>
        <w:t xml:space="preserve">, treatment with finerenone was associated with an incremental cost per QALY gained of </w:t>
      </w:r>
      <w:r w:rsidR="00BF136E" w:rsidRPr="00BF136E">
        <w:rPr>
          <w:iCs/>
        </w:rPr>
        <w:t>$25,000 to &lt; $35,000</w:t>
      </w:r>
      <w:r w:rsidR="00BF136E">
        <w:rPr>
          <w:iCs/>
        </w:rPr>
        <w:t xml:space="preserve"> </w:t>
      </w:r>
      <w:r w:rsidRPr="00FC1D21">
        <w:rPr>
          <w:iCs/>
        </w:rPr>
        <w:t xml:space="preserve">compared to placebo for the management of diabetic kidney disease in patients with high/very high albuminuria and SGLT2 inhibitor use, unless contraindicated or intolerant. This compares with the base case estimate presented in the resubmission of </w:t>
      </w:r>
      <w:r w:rsidR="00BF136E" w:rsidRPr="00FC1D21">
        <w:rPr>
          <w:iCs/>
        </w:rPr>
        <w:t xml:space="preserve">$5,000 to &lt; $15,000 </w:t>
      </w:r>
      <w:r w:rsidRPr="00FC1D21">
        <w:rPr>
          <w:iCs/>
        </w:rPr>
        <w:t xml:space="preserve">per QALY gained. </w:t>
      </w:r>
    </w:p>
    <w:p w14:paraId="0F4037DA" w14:textId="77777777" w:rsidR="008E47BE" w:rsidRDefault="008E47BE" w:rsidP="008E47BE">
      <w:pPr>
        <w:pStyle w:val="COMexecsumnumberedpara"/>
      </w:pPr>
      <w:r w:rsidRPr="008432A8">
        <w:t>In the model, 92% of incremental QALYs; 51% of finerenone drug costs; 89% of incremental disease management costs (background medication, health state and adverse event costs); and 88% of cost offsets (due to decreased costs for dialysis, transplantation, and cardiovascular events) were accrued in the extrapolated period beyond 3 years.</w:t>
      </w:r>
    </w:p>
    <w:p w14:paraId="2DAB6A28" w14:textId="77777777" w:rsidR="008E47BE" w:rsidRPr="00691335" w:rsidRDefault="008E47BE" w:rsidP="008E47BE">
      <w:pPr>
        <w:pStyle w:val="COMexecsumnumberedpara"/>
        <w:spacing w:after="0"/>
      </w:pPr>
      <w:r w:rsidRPr="00691335">
        <w:t xml:space="preserve">For every 1,000 patients treated with finerenone versus placebo and followed up for 15 years, the economic evaluation </w:t>
      </w:r>
      <w:r>
        <w:t xml:space="preserve">revised during the evaluation </w:t>
      </w:r>
      <w:r w:rsidRPr="00691335">
        <w:t xml:space="preserve">(without discounting) estimated that there would be: </w:t>
      </w:r>
    </w:p>
    <w:p w14:paraId="241450B5" w14:textId="79763A8C" w:rsidR="008E47BE" w:rsidRDefault="008E47BE" w:rsidP="008E47BE">
      <w:pPr>
        <w:pStyle w:val="COMexecsummbulletlist"/>
        <w:spacing w:after="0"/>
        <w:ind w:left="1077" w:hanging="357"/>
      </w:pPr>
      <w:r>
        <w:t>Additional finerenone drug costs of $</w:t>
      </w:r>
      <w:r w:rsidR="00320A42" w:rsidRPr="005562EE">
        <w:rPr>
          <w:color w:val="000000"/>
          <w:w w:val="15"/>
          <w:shd w:val="solid" w:color="000000" w:fill="000000"/>
          <w:fitText w:val="-20" w:id="-1233442040"/>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40"/>
          <w14:textFill>
            <w14:solidFill>
              <w14:srgbClr w14:val="000000">
                <w14:alpha w14:val="100000"/>
              </w14:srgbClr>
            </w14:solidFill>
          </w14:textFill>
        </w:rPr>
        <w:t>|</w:t>
      </w:r>
      <w:r w:rsidR="00320A42" w:rsidRPr="00320A42">
        <w:t xml:space="preserve"> </w:t>
      </w:r>
      <w:r w:rsidR="00320A42" w:rsidRPr="005562EE">
        <w:rPr>
          <w:color w:val="000000"/>
          <w:w w:val="15"/>
          <w:shd w:val="solid" w:color="000000" w:fill="000000"/>
          <w:fitText w:val="-20" w:id="-1233442039"/>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39"/>
          <w14:textFill>
            <w14:solidFill>
              <w14:srgbClr w14:val="000000">
                <w14:alpha w14:val="100000"/>
              </w14:srgbClr>
            </w14:solidFill>
          </w14:textFill>
        </w:rPr>
        <w:t>|</w:t>
      </w:r>
      <w:r>
        <w:t xml:space="preserve"> with additional disease management costs of $</w:t>
      </w:r>
      <w:r w:rsidR="00320A42" w:rsidRPr="005562EE">
        <w:rPr>
          <w:color w:val="000000"/>
          <w:w w:val="15"/>
          <w:shd w:val="solid" w:color="000000" w:fill="000000"/>
          <w:fitText w:val="-20" w:id="-1233442038"/>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38"/>
          <w14:textFill>
            <w14:solidFill>
              <w14:srgbClr w14:val="000000">
                <w14:alpha w14:val="100000"/>
              </w14:srgbClr>
            </w14:solidFill>
          </w14:textFill>
        </w:rPr>
        <w:t>|</w:t>
      </w:r>
      <w:r w:rsidR="00320A42" w:rsidRPr="00320A42">
        <w:t xml:space="preserve"> </w:t>
      </w:r>
      <w:r w:rsidR="00320A42" w:rsidRPr="005562EE">
        <w:rPr>
          <w:color w:val="000000"/>
          <w:w w:val="15"/>
          <w:shd w:val="solid" w:color="000000" w:fill="000000"/>
          <w:fitText w:val="-20" w:id="-1233442037"/>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37"/>
          <w14:textFill>
            <w14:solidFill>
              <w14:srgbClr w14:val="000000">
                <w14:alpha w14:val="100000"/>
              </w14:srgbClr>
            </w14:solidFill>
          </w14:textFill>
        </w:rPr>
        <w:t>|</w:t>
      </w:r>
      <w:r>
        <w:t xml:space="preserve"> (background medications, health state costs and adverse events).</w:t>
      </w:r>
    </w:p>
    <w:p w14:paraId="3A68F0DE" w14:textId="77777777" w:rsidR="008E47BE" w:rsidRDefault="008E47BE" w:rsidP="008E47BE">
      <w:pPr>
        <w:pStyle w:val="COMexecsummbulletlist"/>
        <w:spacing w:after="0"/>
        <w:ind w:left="1077" w:hanging="357"/>
      </w:pPr>
      <w:r>
        <w:t xml:space="preserve">Decreased incidence of dialysis (14 fewer initiations), transplant (4 fewer transplants), heart failure hospitalisation (44 fewer events), fatal cardiovascular events (8 fewer deaths) and other deaths (4 fewer deaths). </w:t>
      </w:r>
    </w:p>
    <w:p w14:paraId="66ED4891" w14:textId="77777777" w:rsidR="008E47BE" w:rsidRDefault="008E47BE" w:rsidP="008E47BE">
      <w:pPr>
        <w:pStyle w:val="COMexecsummbulletlist"/>
        <w:spacing w:after="0"/>
        <w:ind w:left="1077" w:hanging="357"/>
      </w:pPr>
      <w:r>
        <w:t>Increased incidence of hyperkalaemia without hospitalisation (224 events) and hyperkalaemia with hospitalisation (22 events).</w:t>
      </w:r>
    </w:p>
    <w:p w14:paraId="3805CD4D" w14:textId="438DFFD9" w:rsidR="008E47BE" w:rsidRDefault="008E47BE" w:rsidP="008E47BE">
      <w:pPr>
        <w:pStyle w:val="COMexecsummbulletlist"/>
        <w:ind w:left="1077" w:hanging="357"/>
      </w:pPr>
      <w:r>
        <w:t>Decreased costs for dialysis ($</w:t>
      </w:r>
      <w:r w:rsidR="00320A42" w:rsidRPr="005562EE">
        <w:rPr>
          <w:color w:val="000000"/>
          <w:w w:val="15"/>
          <w:shd w:val="solid" w:color="000000" w:fill="000000"/>
          <w:fitText w:val="-20" w:id="-1233442036"/>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36"/>
          <w14:textFill>
            <w14:solidFill>
              <w14:srgbClr w14:val="000000">
                <w14:alpha w14:val="100000"/>
              </w14:srgbClr>
            </w14:solidFill>
          </w14:textFill>
        </w:rPr>
        <w:t>|</w:t>
      </w:r>
      <w:r w:rsidR="00320A42" w:rsidRPr="00320A42">
        <w:t xml:space="preserve"> </w:t>
      </w:r>
      <w:r w:rsidR="00320A42" w:rsidRPr="005562EE">
        <w:rPr>
          <w:color w:val="000000"/>
          <w:w w:val="15"/>
          <w:shd w:val="solid" w:color="000000" w:fill="000000"/>
          <w:fitText w:val="-20" w:id="-1233442035"/>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35"/>
          <w14:textFill>
            <w14:solidFill>
              <w14:srgbClr w14:val="000000">
                <w14:alpha w14:val="100000"/>
              </w14:srgbClr>
            </w14:solidFill>
          </w14:textFill>
        </w:rPr>
        <w:t>|</w:t>
      </w:r>
      <w:r>
        <w:t>), transplantation ($</w:t>
      </w:r>
      <w:r w:rsidR="00320A42" w:rsidRPr="005562EE">
        <w:rPr>
          <w:color w:val="000000"/>
          <w:w w:val="15"/>
          <w:shd w:val="solid" w:color="000000" w:fill="000000"/>
          <w:fitText w:val="-20" w:id="-1233442034"/>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34"/>
          <w14:textFill>
            <w14:solidFill>
              <w14:srgbClr w14:val="000000">
                <w14:alpha w14:val="100000"/>
              </w14:srgbClr>
            </w14:solidFill>
          </w14:textFill>
        </w:rPr>
        <w:t>|</w:t>
      </w:r>
      <w:r w:rsidR="00320A42" w:rsidRPr="00320A42">
        <w:t xml:space="preserve"> </w:t>
      </w:r>
      <w:r w:rsidR="00320A42" w:rsidRPr="005562EE">
        <w:rPr>
          <w:color w:val="000000"/>
          <w:w w:val="15"/>
          <w:shd w:val="solid" w:color="000000" w:fill="000000"/>
          <w:fitText w:val="-20" w:id="-1233442033"/>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33"/>
          <w14:textFill>
            <w14:solidFill>
              <w14:srgbClr w14:val="000000">
                <w14:alpha w14:val="100000"/>
              </w14:srgbClr>
            </w14:solidFill>
          </w14:textFill>
        </w:rPr>
        <w:t>|</w:t>
      </w:r>
      <w:r>
        <w:t>), and cardiovascular events ($</w:t>
      </w:r>
      <w:r w:rsidR="00320A42" w:rsidRPr="005562EE">
        <w:rPr>
          <w:color w:val="000000"/>
          <w:w w:val="15"/>
          <w:shd w:val="solid" w:color="000000" w:fill="000000"/>
          <w:fitText w:val="-20" w:id="-1233442032"/>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32"/>
          <w14:textFill>
            <w14:solidFill>
              <w14:srgbClr w14:val="000000">
                <w14:alpha w14:val="100000"/>
              </w14:srgbClr>
            </w14:solidFill>
          </w14:textFill>
        </w:rPr>
        <w:t>|</w:t>
      </w:r>
      <w:r w:rsidR="00320A42" w:rsidRPr="00320A42">
        <w:t xml:space="preserve"> </w:t>
      </w:r>
      <w:r w:rsidR="00320A42" w:rsidRPr="005562EE">
        <w:rPr>
          <w:color w:val="000000"/>
          <w:w w:val="15"/>
          <w:shd w:val="solid" w:color="000000" w:fill="000000"/>
          <w:fitText w:val="-20" w:id="-1233442048"/>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48"/>
          <w14:textFill>
            <w14:solidFill>
              <w14:srgbClr w14:val="000000">
                <w14:alpha w14:val="100000"/>
              </w14:srgbClr>
            </w14:solidFill>
          </w14:textFill>
        </w:rPr>
        <w:t>|</w:t>
      </w:r>
      <w:r>
        <w:t>).</w:t>
      </w:r>
    </w:p>
    <w:p w14:paraId="7EEE844F" w14:textId="5AE45612" w:rsidR="008A576B" w:rsidRDefault="00E25E14" w:rsidP="00E25E14">
      <w:pPr>
        <w:pStyle w:val="COMexecsumnumberedpara"/>
      </w:pPr>
      <w:r>
        <w:t>As noted above, the</w:t>
      </w:r>
      <w:r w:rsidR="008A576B">
        <w:t xml:space="preserve"> pre-PBAC response provided a revised economic model</w:t>
      </w:r>
      <w:r>
        <w:t xml:space="preserve"> with amendment</w:t>
      </w:r>
      <w:r w:rsidR="0069235E">
        <w:t>s</w:t>
      </w:r>
      <w:r>
        <w:t xml:space="preserve"> to the HR applied to patients transitioning from CKD 5 to dialysis (HR = 0.819 to HR = 1) and the 4-monthly probabilities for treatment discontinuation by CKD stage (submission base case</w:t>
      </w:r>
      <w:r w:rsidR="009E4DC9">
        <w:t xml:space="preserve"> :</w:t>
      </w:r>
      <w:r>
        <w:t xml:space="preserve"> CKD1/2 = 3.48%, CKD3 = 3.78%, CKD4 = 4.08%; pre-PBAC response</w:t>
      </w:r>
      <w:r w:rsidR="009E4DC9">
        <w:t>:</w:t>
      </w:r>
      <w:r>
        <w:t xml:space="preserve"> CKD5 = 4.63%; </w:t>
      </w:r>
      <w:r w:rsidR="009E4DC9">
        <w:t xml:space="preserve">pre-PBAC response: </w:t>
      </w:r>
      <w:r>
        <w:t xml:space="preserve">CKD1/2 = 3.48%, CKD3 = 4.12%, CKD4 = 4.76%, and CKD5 = 5.64%). </w:t>
      </w:r>
      <w:r w:rsidR="009B274A">
        <w:t>The</w:t>
      </w:r>
      <w:r>
        <w:t xml:space="preserve"> pre-PBAC response also </w:t>
      </w:r>
      <w:r w:rsidR="009B274A">
        <w:t>proposed a price reduction for finerenone from $</w:t>
      </w:r>
      <w:r w:rsidR="00320A42" w:rsidRPr="005562EE">
        <w:rPr>
          <w:color w:val="000000"/>
          <w:w w:val="15"/>
          <w:shd w:val="solid" w:color="000000" w:fill="000000"/>
          <w:fitText w:val="-20" w:id="-1233442047"/>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47"/>
          <w14:textFill>
            <w14:solidFill>
              <w14:srgbClr w14:val="000000">
                <w14:alpha w14:val="100000"/>
              </w14:srgbClr>
            </w14:solidFill>
          </w14:textFill>
        </w:rPr>
        <w:t>|</w:t>
      </w:r>
      <w:r w:rsidR="009B274A">
        <w:t xml:space="preserve"> AEMP to $</w:t>
      </w:r>
      <w:r w:rsidR="00320A42" w:rsidRPr="005562EE">
        <w:rPr>
          <w:color w:val="000000"/>
          <w:w w:val="15"/>
          <w:shd w:val="solid" w:color="000000" w:fill="000000"/>
          <w:fitText w:val="-20" w:id="-1233442046"/>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2046"/>
          <w14:textFill>
            <w14:solidFill>
              <w14:srgbClr w14:val="000000">
                <w14:alpha w14:val="100000"/>
              </w14:srgbClr>
            </w14:solidFill>
          </w14:textFill>
        </w:rPr>
        <w:t>|</w:t>
      </w:r>
      <w:r w:rsidR="009E4DC9">
        <w:t xml:space="preserve"> AEMP</w:t>
      </w:r>
      <w:r w:rsidR="009B274A">
        <w:t xml:space="preserve">. The resulting cost-effectiveness results are provided in </w:t>
      </w:r>
      <w:r w:rsidR="008430C0">
        <w:fldChar w:fldCharType="begin"/>
      </w:r>
      <w:r w:rsidR="008430C0">
        <w:instrText xml:space="preserve"> REF _Ref129776809 \h </w:instrText>
      </w:r>
      <w:r w:rsidR="008430C0">
        <w:fldChar w:fldCharType="separate"/>
      </w:r>
      <w:r w:rsidR="005562EE" w:rsidRPr="007D210F">
        <w:t xml:space="preserve">Table </w:t>
      </w:r>
      <w:r w:rsidR="005562EE">
        <w:rPr>
          <w:noProof/>
        </w:rPr>
        <w:t>14</w:t>
      </w:r>
      <w:r w:rsidR="008430C0">
        <w:fldChar w:fldCharType="end"/>
      </w:r>
      <w:r w:rsidR="008430C0">
        <w:t>.</w:t>
      </w:r>
      <w:r w:rsidR="006B0DB5">
        <w:t xml:space="preserve"> It is noted that the revised economic model also corrected </w:t>
      </w:r>
      <w:r w:rsidR="004B23A9">
        <w:t xml:space="preserve">the </w:t>
      </w:r>
      <w:r w:rsidR="006B0DB5">
        <w:t>error identified during evaluation (see paragraph</w:t>
      </w:r>
      <w:r w:rsidR="00A7352D">
        <w:t xml:space="preserve"> </w:t>
      </w:r>
      <w:r w:rsidR="00A7352D">
        <w:fldChar w:fldCharType="begin"/>
      </w:r>
      <w:r w:rsidR="00A7352D">
        <w:instrText xml:space="preserve"> REF _Ref129778258 \r \h </w:instrText>
      </w:r>
      <w:r w:rsidR="00A7352D">
        <w:fldChar w:fldCharType="separate"/>
      </w:r>
      <w:r w:rsidR="005562EE">
        <w:t>6.56</w:t>
      </w:r>
      <w:r w:rsidR="00A7352D">
        <w:fldChar w:fldCharType="end"/>
      </w:r>
      <w:r w:rsidR="00A7352D">
        <w:t xml:space="preserve">). </w:t>
      </w:r>
    </w:p>
    <w:p w14:paraId="4ADEDBEF" w14:textId="736DE09B" w:rsidR="009B274A" w:rsidRDefault="009B274A" w:rsidP="009B274A">
      <w:pPr>
        <w:pStyle w:val="COMtablefigcaption"/>
        <w:keepLines/>
      </w:pPr>
      <w:bookmarkStart w:id="46" w:name="_Ref129776809"/>
      <w:bookmarkStart w:id="47" w:name="_Ref129776806"/>
      <w:r w:rsidRPr="007D210F">
        <w:t xml:space="preserve">Table </w:t>
      </w:r>
      <w:r w:rsidR="005562EE">
        <w:fldChar w:fldCharType="begin"/>
      </w:r>
      <w:r w:rsidR="005562EE">
        <w:instrText xml:space="preserve"> SEQ Table \* ARABIC </w:instrText>
      </w:r>
      <w:r w:rsidR="005562EE">
        <w:fldChar w:fldCharType="separate"/>
      </w:r>
      <w:r w:rsidR="005562EE">
        <w:rPr>
          <w:noProof/>
        </w:rPr>
        <w:t>14</w:t>
      </w:r>
      <w:r w:rsidR="005562EE">
        <w:rPr>
          <w:noProof/>
        </w:rPr>
        <w:fldChar w:fldCharType="end"/>
      </w:r>
      <w:bookmarkEnd w:id="46"/>
      <w:r w:rsidRPr="007D210F">
        <w:t>: Results of the</w:t>
      </w:r>
      <w:r w:rsidR="008430C0">
        <w:t xml:space="preserve"> updated</w:t>
      </w:r>
      <w:r w:rsidRPr="007D210F">
        <w:t xml:space="preserve"> economic evaluation</w:t>
      </w:r>
      <w:bookmarkEnd w:id="47"/>
      <w:r w:rsidR="008430C0">
        <w:t xml:space="preserve"> provided in the pre-PBAC response</w:t>
      </w:r>
    </w:p>
    <w:tbl>
      <w:tblPr>
        <w:tblStyle w:val="TableGrid"/>
        <w:tblW w:w="0" w:type="auto"/>
        <w:tblLook w:val="04A0" w:firstRow="1" w:lastRow="0" w:firstColumn="1" w:lastColumn="0" w:noHBand="0" w:noVBand="1"/>
      </w:tblPr>
      <w:tblGrid>
        <w:gridCol w:w="2254"/>
        <w:gridCol w:w="2254"/>
        <w:gridCol w:w="2254"/>
        <w:gridCol w:w="2255"/>
      </w:tblGrid>
      <w:tr w:rsidR="009B274A" w14:paraId="779EC538" w14:textId="77777777" w:rsidTr="00320A42">
        <w:tc>
          <w:tcPr>
            <w:tcW w:w="2254" w:type="dxa"/>
          </w:tcPr>
          <w:p w14:paraId="62A82C49" w14:textId="77777777" w:rsidR="009B274A" w:rsidRPr="00BB3F0B" w:rsidRDefault="009B274A" w:rsidP="00C44208">
            <w:pPr>
              <w:keepNext/>
              <w:keepLines/>
              <w:rPr>
                <w:rFonts w:ascii="Arial Narrow" w:hAnsi="Arial Narrow"/>
                <w:sz w:val="20"/>
                <w:szCs w:val="20"/>
              </w:rPr>
            </w:pPr>
          </w:p>
        </w:tc>
        <w:tc>
          <w:tcPr>
            <w:tcW w:w="2254" w:type="dxa"/>
            <w:tcBorders>
              <w:bottom w:val="single" w:sz="4" w:space="0" w:color="auto"/>
            </w:tcBorders>
            <w:vAlign w:val="center"/>
          </w:tcPr>
          <w:p w14:paraId="68B7E78D" w14:textId="77777777" w:rsidR="009B274A" w:rsidRPr="00BB3F0B" w:rsidRDefault="009B274A" w:rsidP="00C44208">
            <w:pPr>
              <w:keepNext/>
              <w:keepLines/>
              <w:jc w:val="center"/>
              <w:rPr>
                <w:rFonts w:ascii="Arial Narrow" w:hAnsi="Arial Narrow"/>
                <w:sz w:val="20"/>
                <w:szCs w:val="20"/>
              </w:rPr>
            </w:pPr>
            <w:r w:rsidRPr="00BB3F0B">
              <w:rPr>
                <w:rFonts w:ascii="Arial Narrow" w:hAnsi="Arial Narrow"/>
                <w:b/>
                <w:sz w:val="20"/>
                <w:szCs w:val="20"/>
              </w:rPr>
              <w:t>Finerenone</w:t>
            </w:r>
          </w:p>
        </w:tc>
        <w:tc>
          <w:tcPr>
            <w:tcW w:w="2254" w:type="dxa"/>
            <w:vAlign w:val="center"/>
          </w:tcPr>
          <w:p w14:paraId="723AEFCD" w14:textId="77777777" w:rsidR="009B274A" w:rsidRPr="00BB3F0B" w:rsidRDefault="009B274A" w:rsidP="00C44208">
            <w:pPr>
              <w:keepNext/>
              <w:keepLines/>
              <w:jc w:val="center"/>
              <w:rPr>
                <w:rFonts w:ascii="Arial Narrow" w:hAnsi="Arial Narrow"/>
                <w:sz w:val="20"/>
                <w:szCs w:val="20"/>
              </w:rPr>
            </w:pPr>
            <w:r w:rsidRPr="00BB3F0B">
              <w:rPr>
                <w:rFonts w:ascii="Arial Narrow" w:hAnsi="Arial Narrow"/>
                <w:b/>
                <w:sz w:val="20"/>
                <w:szCs w:val="20"/>
              </w:rPr>
              <w:t>Placebo</w:t>
            </w:r>
          </w:p>
        </w:tc>
        <w:tc>
          <w:tcPr>
            <w:tcW w:w="2255" w:type="dxa"/>
            <w:tcBorders>
              <w:bottom w:val="single" w:sz="4" w:space="0" w:color="auto"/>
            </w:tcBorders>
            <w:vAlign w:val="center"/>
          </w:tcPr>
          <w:p w14:paraId="5A0E74AC" w14:textId="77777777" w:rsidR="009B274A" w:rsidRPr="00BB3F0B" w:rsidRDefault="009B274A" w:rsidP="00C44208">
            <w:pPr>
              <w:pStyle w:val="TableText0"/>
              <w:keepLines/>
              <w:jc w:val="center"/>
              <w:rPr>
                <w:szCs w:val="20"/>
              </w:rPr>
            </w:pPr>
            <w:r w:rsidRPr="00BB3F0B">
              <w:rPr>
                <w:b/>
                <w:szCs w:val="20"/>
              </w:rPr>
              <w:t>Increment</w:t>
            </w:r>
          </w:p>
        </w:tc>
      </w:tr>
      <w:tr w:rsidR="009B274A" w:rsidRPr="00842145" w14:paraId="22526D21" w14:textId="77777777" w:rsidTr="00320A42">
        <w:tc>
          <w:tcPr>
            <w:tcW w:w="2254" w:type="dxa"/>
          </w:tcPr>
          <w:p w14:paraId="2100F446" w14:textId="1E452553" w:rsidR="009B274A" w:rsidRPr="00842145" w:rsidRDefault="009B274A" w:rsidP="00C44208">
            <w:pPr>
              <w:keepNext/>
              <w:keepLines/>
              <w:rPr>
                <w:rFonts w:ascii="Arial Narrow" w:hAnsi="Arial Narrow"/>
                <w:sz w:val="20"/>
                <w:szCs w:val="20"/>
              </w:rPr>
            </w:pPr>
            <w:r w:rsidRPr="00842145">
              <w:rPr>
                <w:rFonts w:ascii="Arial Narrow" w:hAnsi="Arial Narrow"/>
                <w:sz w:val="20"/>
                <w:szCs w:val="20"/>
              </w:rPr>
              <w:t>Costs</w:t>
            </w:r>
            <w:r w:rsidR="00BF136E">
              <w:rPr>
                <w:rFonts w:ascii="Arial Narrow" w:hAnsi="Arial Narrow"/>
                <w:sz w:val="20"/>
                <w:szCs w:val="20"/>
              </w:rPr>
              <w:t xml:space="preserve"> ($)</w:t>
            </w:r>
          </w:p>
        </w:tc>
        <w:tc>
          <w:tcPr>
            <w:tcW w:w="2254" w:type="dxa"/>
            <w:shd w:val="solid" w:color="000000" w:fill="000000"/>
            <w:vAlign w:val="center"/>
          </w:tcPr>
          <w:p w14:paraId="3CA7EFE1" w14:textId="19FB3447" w:rsidR="009B274A" w:rsidRPr="00842145" w:rsidRDefault="00320A42" w:rsidP="00C44208">
            <w:pPr>
              <w:keepNext/>
              <w:keepLines/>
              <w:jc w:val="center"/>
              <w:rPr>
                <w:rFonts w:ascii="Arial Narrow" w:hAnsi="Arial Narrow"/>
                <w:iCs/>
                <w:sz w:val="20"/>
                <w:szCs w:val="20"/>
              </w:rPr>
            </w:pPr>
            <w:r w:rsidRPr="00320A42">
              <w:rPr>
                <w:rFonts w:ascii="Arial Narrow" w:hAnsi="Arial Narrow"/>
                <w:iCs/>
                <w:color w:val="000000"/>
                <w:sz w:val="20"/>
                <w:szCs w:val="20"/>
                <w14:textFill>
                  <w14:solidFill>
                    <w14:srgbClr w14:val="000000">
                      <w14:alpha w14:val="100000"/>
                    </w14:srgbClr>
                  </w14:solidFill>
                </w14:textFill>
              </w:rPr>
              <w:t>|</w:t>
            </w:r>
          </w:p>
        </w:tc>
        <w:tc>
          <w:tcPr>
            <w:tcW w:w="2254" w:type="dxa"/>
            <w:vAlign w:val="center"/>
          </w:tcPr>
          <w:p w14:paraId="11AA6B66" w14:textId="1517CCEF" w:rsidR="009B274A" w:rsidRPr="00842145" w:rsidRDefault="008430C0" w:rsidP="00C44208">
            <w:pPr>
              <w:keepNext/>
              <w:keepLines/>
              <w:jc w:val="center"/>
              <w:rPr>
                <w:rFonts w:ascii="Arial Narrow" w:hAnsi="Arial Narrow"/>
                <w:iCs/>
                <w:sz w:val="20"/>
                <w:szCs w:val="20"/>
              </w:rPr>
            </w:pPr>
            <w:r>
              <w:rPr>
                <w:rFonts w:ascii="Arial Narrow" w:hAnsi="Arial Narrow"/>
                <w:iCs/>
                <w:sz w:val="20"/>
                <w:szCs w:val="20"/>
              </w:rPr>
              <w:t>$100,988</w:t>
            </w:r>
          </w:p>
        </w:tc>
        <w:tc>
          <w:tcPr>
            <w:tcW w:w="2255" w:type="dxa"/>
            <w:shd w:val="solid" w:color="000000" w:fill="000000"/>
            <w:vAlign w:val="center"/>
          </w:tcPr>
          <w:p w14:paraId="51E6E7AB" w14:textId="6D370B00" w:rsidR="009B274A" w:rsidRPr="00842145" w:rsidRDefault="00320A42" w:rsidP="00C44208">
            <w:pPr>
              <w:keepNext/>
              <w:keepLines/>
              <w:jc w:val="center"/>
              <w:rPr>
                <w:rFonts w:ascii="Arial Narrow" w:hAnsi="Arial Narrow"/>
                <w:iCs/>
                <w:sz w:val="20"/>
                <w:szCs w:val="20"/>
              </w:rPr>
            </w:pPr>
            <w:r w:rsidRPr="00320A42">
              <w:rPr>
                <w:rFonts w:ascii="Arial Narrow" w:hAnsi="Arial Narrow"/>
                <w:iCs/>
                <w:color w:val="000000"/>
                <w:sz w:val="20"/>
                <w:szCs w:val="20"/>
                <w14:textFill>
                  <w14:solidFill>
                    <w14:srgbClr w14:val="000000">
                      <w14:alpha w14:val="100000"/>
                    </w14:srgbClr>
                  </w14:solidFill>
                </w14:textFill>
              </w:rPr>
              <w:t>|</w:t>
            </w:r>
          </w:p>
        </w:tc>
      </w:tr>
      <w:tr w:rsidR="009B274A" w:rsidRPr="00842145" w14:paraId="0E86918D" w14:textId="77777777" w:rsidTr="00C44208">
        <w:tc>
          <w:tcPr>
            <w:tcW w:w="2254" w:type="dxa"/>
          </w:tcPr>
          <w:p w14:paraId="4F3154F1" w14:textId="77777777" w:rsidR="009B274A" w:rsidRPr="00842145" w:rsidRDefault="009B274A" w:rsidP="00C44208">
            <w:pPr>
              <w:rPr>
                <w:rFonts w:ascii="Arial Narrow" w:hAnsi="Arial Narrow"/>
                <w:sz w:val="20"/>
                <w:szCs w:val="20"/>
              </w:rPr>
            </w:pPr>
            <w:r w:rsidRPr="00842145">
              <w:rPr>
                <w:rFonts w:ascii="Arial Narrow" w:hAnsi="Arial Narrow"/>
                <w:sz w:val="20"/>
                <w:szCs w:val="20"/>
              </w:rPr>
              <w:t>QALYs</w:t>
            </w:r>
          </w:p>
        </w:tc>
        <w:tc>
          <w:tcPr>
            <w:tcW w:w="2254" w:type="dxa"/>
            <w:vAlign w:val="center"/>
          </w:tcPr>
          <w:p w14:paraId="3294861B" w14:textId="2CD64408" w:rsidR="009B274A" w:rsidRPr="00842145" w:rsidRDefault="008430C0" w:rsidP="00C44208">
            <w:pPr>
              <w:jc w:val="center"/>
              <w:rPr>
                <w:rFonts w:ascii="Arial Narrow" w:hAnsi="Arial Narrow"/>
                <w:iCs/>
                <w:sz w:val="20"/>
                <w:szCs w:val="20"/>
              </w:rPr>
            </w:pPr>
            <w:r>
              <w:rPr>
                <w:rFonts w:ascii="Arial Narrow" w:hAnsi="Arial Narrow"/>
                <w:iCs/>
                <w:sz w:val="20"/>
                <w:szCs w:val="20"/>
              </w:rPr>
              <w:t>6.414</w:t>
            </w:r>
          </w:p>
        </w:tc>
        <w:tc>
          <w:tcPr>
            <w:tcW w:w="2254" w:type="dxa"/>
            <w:vAlign w:val="center"/>
          </w:tcPr>
          <w:p w14:paraId="06E98A83" w14:textId="2B484ECA" w:rsidR="009B274A" w:rsidRPr="00842145" w:rsidRDefault="008430C0" w:rsidP="00C44208">
            <w:pPr>
              <w:jc w:val="center"/>
              <w:rPr>
                <w:rFonts w:ascii="Arial Narrow" w:hAnsi="Arial Narrow"/>
                <w:iCs/>
                <w:sz w:val="20"/>
                <w:szCs w:val="20"/>
              </w:rPr>
            </w:pPr>
            <w:r>
              <w:rPr>
                <w:rFonts w:ascii="Arial Narrow" w:hAnsi="Arial Narrow"/>
                <w:iCs/>
                <w:sz w:val="20"/>
                <w:szCs w:val="20"/>
              </w:rPr>
              <w:t>6.365</w:t>
            </w:r>
          </w:p>
        </w:tc>
        <w:tc>
          <w:tcPr>
            <w:tcW w:w="2255" w:type="dxa"/>
            <w:vAlign w:val="center"/>
          </w:tcPr>
          <w:p w14:paraId="487368C1" w14:textId="48757E0E" w:rsidR="009B274A" w:rsidRPr="00842145" w:rsidRDefault="008430C0" w:rsidP="00C44208">
            <w:pPr>
              <w:jc w:val="center"/>
              <w:rPr>
                <w:rFonts w:ascii="Arial Narrow" w:hAnsi="Arial Narrow"/>
                <w:iCs/>
                <w:sz w:val="20"/>
                <w:szCs w:val="20"/>
              </w:rPr>
            </w:pPr>
            <w:r>
              <w:rPr>
                <w:rFonts w:ascii="Arial Narrow" w:hAnsi="Arial Narrow"/>
                <w:iCs/>
                <w:sz w:val="20"/>
                <w:szCs w:val="20"/>
              </w:rPr>
              <w:t>0.049</w:t>
            </w:r>
          </w:p>
        </w:tc>
      </w:tr>
      <w:tr w:rsidR="009B274A" w:rsidRPr="00842145" w14:paraId="4C1FAB19" w14:textId="77777777" w:rsidTr="00C44208">
        <w:tc>
          <w:tcPr>
            <w:tcW w:w="6762" w:type="dxa"/>
            <w:gridSpan w:val="3"/>
          </w:tcPr>
          <w:p w14:paraId="5B8A951A" w14:textId="77777777" w:rsidR="009B274A" w:rsidRPr="00842145" w:rsidRDefault="009B274A" w:rsidP="00C44208">
            <w:pPr>
              <w:rPr>
                <w:rFonts w:ascii="Arial Narrow" w:hAnsi="Arial Narrow"/>
                <w:sz w:val="20"/>
                <w:szCs w:val="20"/>
              </w:rPr>
            </w:pPr>
            <w:r w:rsidRPr="00842145">
              <w:rPr>
                <w:rFonts w:ascii="Arial Narrow" w:hAnsi="Arial Narrow"/>
                <w:sz w:val="20"/>
                <w:szCs w:val="20"/>
              </w:rPr>
              <w:t>Incremental cost per QALY gained</w:t>
            </w:r>
          </w:p>
        </w:tc>
        <w:tc>
          <w:tcPr>
            <w:tcW w:w="2255" w:type="dxa"/>
            <w:vAlign w:val="center"/>
          </w:tcPr>
          <w:p w14:paraId="6E870034" w14:textId="6E6C8360" w:rsidR="009B274A" w:rsidRPr="00842145" w:rsidRDefault="00320A42" w:rsidP="00C44208">
            <w:pPr>
              <w:jc w:val="center"/>
              <w:rPr>
                <w:rFonts w:ascii="Arial Narrow" w:hAnsi="Arial Narrow"/>
                <w:iCs/>
                <w:sz w:val="20"/>
                <w:szCs w:val="20"/>
              </w:rPr>
            </w:pPr>
            <w:r w:rsidRPr="00320A42">
              <w:rPr>
                <w:rFonts w:ascii="Arial Narrow" w:hAnsi="Arial Narrow"/>
                <w:iCs/>
                <w:color w:val="000000"/>
                <w:sz w:val="20"/>
                <w:szCs w:val="20"/>
                <w:shd w:val="solid" w:color="000000" w:fill="000000"/>
                <w14:textFill>
                  <w14:solidFill>
                    <w14:srgbClr w14:val="000000">
                      <w14:alpha w14:val="100000"/>
                    </w14:srgbClr>
                  </w14:solidFill>
                </w14:textFill>
              </w:rPr>
              <w:t>|</w:t>
            </w:r>
            <w:r w:rsidR="00BF136E" w:rsidRPr="00BF136E">
              <w:rPr>
                <w:rFonts w:ascii="Arial Narrow" w:hAnsi="Arial Narrow"/>
                <w:iCs/>
                <w:sz w:val="20"/>
                <w:szCs w:val="20"/>
                <w:vertAlign w:val="superscript"/>
              </w:rPr>
              <w:t>1</w:t>
            </w:r>
          </w:p>
        </w:tc>
      </w:tr>
    </w:tbl>
    <w:p w14:paraId="75F3C09C" w14:textId="4A296F54" w:rsidR="009B274A" w:rsidRPr="009B274A" w:rsidRDefault="009B274A" w:rsidP="009B274A">
      <w:pPr>
        <w:pStyle w:val="COMTablefooter"/>
        <w:rPr>
          <w:szCs w:val="18"/>
        </w:rPr>
      </w:pPr>
      <w:r w:rsidRPr="009B274A">
        <w:rPr>
          <w:szCs w:val="18"/>
        </w:rPr>
        <w:t xml:space="preserve">Source: </w:t>
      </w:r>
      <w:r w:rsidR="008430C0">
        <w:rPr>
          <w:szCs w:val="18"/>
        </w:rPr>
        <w:t>‘</w:t>
      </w:r>
      <w:r w:rsidR="00824C42" w:rsidRPr="00824C42">
        <w:rPr>
          <w:szCs w:val="18"/>
        </w:rPr>
        <w:t>Item 7.07 Pre PBAC Response finerenone (Kerendia) Section_3_model_new base case_ revised</w:t>
      </w:r>
      <w:r w:rsidR="00824C42">
        <w:rPr>
          <w:szCs w:val="18"/>
        </w:rPr>
        <w:t>.xlsm’, provided in the pre-PBAC response</w:t>
      </w:r>
    </w:p>
    <w:p w14:paraId="4FB1270D" w14:textId="0EB6E955" w:rsidR="009B274A" w:rsidRDefault="009B274A" w:rsidP="00BF136E">
      <w:pPr>
        <w:pStyle w:val="COMTablefooter"/>
        <w:spacing w:after="0"/>
        <w:rPr>
          <w:szCs w:val="18"/>
        </w:rPr>
      </w:pPr>
      <w:r w:rsidRPr="009B274A">
        <w:rPr>
          <w:szCs w:val="18"/>
        </w:rPr>
        <w:t>Abbreviation: QALY, quality adjusted life year</w:t>
      </w:r>
    </w:p>
    <w:p w14:paraId="290D108F" w14:textId="77777777" w:rsidR="00BF136E" w:rsidRPr="009A6D58" w:rsidRDefault="00BF136E" w:rsidP="00BF136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A22185B" w14:textId="42061450" w:rsidR="00BF136E" w:rsidRPr="00BF136E" w:rsidRDefault="00BF136E" w:rsidP="00BF136E">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F136E">
        <w:rPr>
          <w:rFonts w:ascii="Arial Narrow" w:hAnsi="Arial Narrow"/>
          <w:i/>
          <w:sz w:val="18"/>
          <w:szCs w:val="18"/>
        </w:rPr>
        <w:t>$5,000 to &lt; $15,000</w:t>
      </w:r>
    </w:p>
    <w:p w14:paraId="0B9F93E4" w14:textId="28882118" w:rsidR="008E47BE" w:rsidRPr="00842145" w:rsidRDefault="008E47BE" w:rsidP="008E47BE">
      <w:pPr>
        <w:pStyle w:val="COMexecsumnumberedpara"/>
        <w:rPr>
          <w:iCs/>
          <w:color w:val="0066FF"/>
        </w:rPr>
      </w:pPr>
      <w:r w:rsidRPr="009458F0">
        <w:t xml:space="preserve">The results of sensitivity analyses conducted using the resubmission’s base case are presented in Table 108, pp180-182 of the resubmission. </w:t>
      </w:r>
      <w:r w:rsidRPr="00842145">
        <w:rPr>
          <w:iCs/>
        </w:rPr>
        <w:t xml:space="preserve">Key sensitivity analyses conducted during the evaluation based on the revised base case are summarised in </w:t>
      </w:r>
      <w:r w:rsidR="00225FE3" w:rsidRPr="00842145">
        <w:rPr>
          <w:iCs/>
        </w:rPr>
        <w:fldChar w:fldCharType="begin"/>
      </w:r>
      <w:r w:rsidR="00225FE3" w:rsidRPr="00842145">
        <w:rPr>
          <w:iCs/>
        </w:rPr>
        <w:instrText xml:space="preserve"> REF _Ref124170717 \h  \* MERGEFORMAT </w:instrText>
      </w:r>
      <w:r w:rsidR="00225FE3" w:rsidRPr="00842145">
        <w:rPr>
          <w:iCs/>
        </w:rPr>
      </w:r>
      <w:r w:rsidR="00225FE3" w:rsidRPr="00842145">
        <w:rPr>
          <w:iCs/>
        </w:rPr>
        <w:fldChar w:fldCharType="separate"/>
      </w:r>
      <w:r w:rsidR="005562EE" w:rsidRPr="005562EE">
        <w:rPr>
          <w:iCs/>
        </w:rPr>
        <w:t xml:space="preserve">Table </w:t>
      </w:r>
      <w:r w:rsidR="005562EE" w:rsidRPr="005562EE">
        <w:rPr>
          <w:iCs/>
          <w:noProof/>
        </w:rPr>
        <w:t>15</w:t>
      </w:r>
      <w:r w:rsidR="00225FE3" w:rsidRPr="00842145">
        <w:rPr>
          <w:iCs/>
        </w:rPr>
        <w:fldChar w:fldCharType="end"/>
      </w:r>
      <w:r w:rsidRPr="00842145">
        <w:rPr>
          <w:iCs/>
        </w:rPr>
        <w:t>.</w:t>
      </w:r>
    </w:p>
    <w:p w14:paraId="0C2C8F5F" w14:textId="38F10701" w:rsidR="008449E6" w:rsidRPr="00FE6731" w:rsidRDefault="008449E6" w:rsidP="008E3E35">
      <w:pPr>
        <w:pStyle w:val="COMTableheadingrow"/>
      </w:pPr>
      <w:bookmarkStart w:id="48" w:name="_Ref124170717"/>
      <w:r w:rsidRPr="00FE6731">
        <w:t xml:space="preserve">Table </w:t>
      </w:r>
      <w:r w:rsidRPr="00FE6731">
        <w:fldChar w:fldCharType="begin"/>
      </w:r>
      <w:r w:rsidRPr="00FE6731">
        <w:instrText xml:space="preserve"> SEQ Table \* ARABIC </w:instrText>
      </w:r>
      <w:r w:rsidRPr="00FE6731">
        <w:fldChar w:fldCharType="separate"/>
      </w:r>
      <w:r w:rsidR="005562EE">
        <w:rPr>
          <w:noProof/>
        </w:rPr>
        <w:t>15</w:t>
      </w:r>
      <w:r w:rsidRPr="00FE6731">
        <w:fldChar w:fldCharType="end"/>
      </w:r>
      <w:bookmarkEnd w:id="48"/>
      <w:r w:rsidRPr="00FE6731">
        <w:t>: Results of sensitivity analyses</w:t>
      </w:r>
      <w:r w:rsidR="0069235E">
        <w:t xml:space="preserve"> (conducted using the resubmission’s base case)</w:t>
      </w:r>
    </w:p>
    <w:tbl>
      <w:tblPr>
        <w:tblStyle w:val="TableGrid"/>
        <w:tblW w:w="5000" w:type="pct"/>
        <w:tblCellMar>
          <w:left w:w="57" w:type="dxa"/>
          <w:right w:w="57" w:type="dxa"/>
        </w:tblCellMar>
        <w:tblLook w:val="04A0" w:firstRow="1" w:lastRow="0" w:firstColumn="1" w:lastColumn="0" w:noHBand="0" w:noVBand="1"/>
      </w:tblPr>
      <w:tblGrid>
        <w:gridCol w:w="3725"/>
        <w:gridCol w:w="1342"/>
        <w:gridCol w:w="1342"/>
        <w:gridCol w:w="1286"/>
        <w:gridCol w:w="1322"/>
      </w:tblGrid>
      <w:tr w:rsidR="002D578D" w:rsidRPr="007D210F" w14:paraId="3F195317" w14:textId="77777777" w:rsidTr="00320A42">
        <w:trPr>
          <w:tblHeader/>
        </w:trPr>
        <w:tc>
          <w:tcPr>
            <w:tcW w:w="2066" w:type="pct"/>
            <w:vAlign w:val="center"/>
          </w:tcPr>
          <w:p w14:paraId="2484F652" w14:textId="77777777" w:rsidR="002D578D" w:rsidRPr="007D210F" w:rsidRDefault="002D578D" w:rsidP="008E3E35">
            <w:pPr>
              <w:pStyle w:val="COMTableheadingrow"/>
              <w:rPr>
                <w:lang w:val="en-AU"/>
              </w:rPr>
            </w:pPr>
            <w:r w:rsidRPr="007D210F">
              <w:rPr>
                <w:lang w:val="en-AU"/>
              </w:rPr>
              <w:t>Analyses</w:t>
            </w:r>
          </w:p>
        </w:tc>
        <w:tc>
          <w:tcPr>
            <w:tcW w:w="744" w:type="pct"/>
            <w:tcBorders>
              <w:bottom w:val="single" w:sz="4" w:space="0" w:color="auto"/>
            </w:tcBorders>
            <w:vAlign w:val="center"/>
          </w:tcPr>
          <w:p w14:paraId="1BEA7438" w14:textId="73A4C743" w:rsidR="002D578D" w:rsidRPr="007D210F" w:rsidRDefault="002D578D" w:rsidP="008E3E35">
            <w:pPr>
              <w:pStyle w:val="COMTableheadingrow"/>
              <w:jc w:val="center"/>
              <w:rPr>
                <w:lang w:val="en-AU"/>
              </w:rPr>
            </w:pPr>
            <w:r w:rsidRPr="007D210F">
              <w:rPr>
                <w:lang w:val="en-AU"/>
              </w:rPr>
              <w:t>Incremental cost</w:t>
            </w:r>
            <w:r w:rsidR="00BF136E">
              <w:rPr>
                <w:lang w:val="en-AU"/>
              </w:rPr>
              <w:t xml:space="preserve"> ($)</w:t>
            </w:r>
          </w:p>
        </w:tc>
        <w:tc>
          <w:tcPr>
            <w:tcW w:w="744" w:type="pct"/>
            <w:vAlign w:val="center"/>
          </w:tcPr>
          <w:p w14:paraId="0C794650" w14:textId="77777777" w:rsidR="002D578D" w:rsidRPr="007D210F" w:rsidRDefault="002D578D" w:rsidP="008E3E35">
            <w:pPr>
              <w:pStyle w:val="COMTableheadingrow"/>
              <w:jc w:val="center"/>
              <w:rPr>
                <w:lang w:val="en-AU"/>
              </w:rPr>
            </w:pPr>
            <w:r w:rsidRPr="007D210F">
              <w:rPr>
                <w:lang w:val="en-AU"/>
              </w:rPr>
              <w:t>Incremental QALYs</w:t>
            </w:r>
          </w:p>
        </w:tc>
        <w:tc>
          <w:tcPr>
            <w:tcW w:w="713" w:type="pct"/>
            <w:vAlign w:val="center"/>
          </w:tcPr>
          <w:p w14:paraId="238B26DB" w14:textId="77777777" w:rsidR="002D578D" w:rsidRPr="007D210F" w:rsidRDefault="002D578D" w:rsidP="008E3E35">
            <w:pPr>
              <w:pStyle w:val="COMTableheadingrow"/>
              <w:jc w:val="center"/>
              <w:rPr>
                <w:lang w:val="en-AU"/>
              </w:rPr>
            </w:pPr>
            <w:r w:rsidRPr="007D210F">
              <w:rPr>
                <w:lang w:val="en-AU"/>
              </w:rPr>
              <w:t>ICER</w:t>
            </w:r>
          </w:p>
        </w:tc>
        <w:tc>
          <w:tcPr>
            <w:tcW w:w="733" w:type="pct"/>
            <w:vAlign w:val="center"/>
          </w:tcPr>
          <w:p w14:paraId="2C5E7773" w14:textId="77777777" w:rsidR="002D578D" w:rsidRPr="007D210F" w:rsidRDefault="002D578D" w:rsidP="008E3E35">
            <w:pPr>
              <w:pStyle w:val="COMTableheadingrow"/>
              <w:jc w:val="center"/>
              <w:rPr>
                <w:lang w:val="en-AU"/>
              </w:rPr>
            </w:pPr>
            <w:r w:rsidRPr="007D210F">
              <w:rPr>
                <w:lang w:val="en-AU"/>
              </w:rPr>
              <w:t>% change from base case</w:t>
            </w:r>
          </w:p>
        </w:tc>
      </w:tr>
      <w:tr w:rsidR="002D578D" w:rsidRPr="007D210F" w14:paraId="0E8F0CC7" w14:textId="77777777" w:rsidTr="00320A42">
        <w:tc>
          <w:tcPr>
            <w:tcW w:w="2066" w:type="pct"/>
          </w:tcPr>
          <w:p w14:paraId="49956ACD" w14:textId="77777777" w:rsidR="002D578D" w:rsidRPr="007D210F" w:rsidRDefault="002D578D" w:rsidP="008E3E35">
            <w:pPr>
              <w:pStyle w:val="COMTableheadingrow"/>
              <w:rPr>
                <w:lang w:val="en-AU"/>
              </w:rPr>
            </w:pPr>
            <w:r w:rsidRPr="007D210F">
              <w:rPr>
                <w:lang w:val="en-AU"/>
              </w:rPr>
              <w:t>Base case</w:t>
            </w:r>
          </w:p>
        </w:tc>
        <w:tc>
          <w:tcPr>
            <w:tcW w:w="744" w:type="pct"/>
            <w:tcBorders>
              <w:bottom w:val="single" w:sz="4" w:space="0" w:color="auto"/>
            </w:tcBorders>
            <w:shd w:val="solid" w:color="000000" w:fill="000000"/>
            <w:vAlign w:val="center"/>
          </w:tcPr>
          <w:p w14:paraId="042F2553" w14:textId="756A0FE2" w:rsidR="002D578D" w:rsidRPr="00BF136E" w:rsidRDefault="00320A42" w:rsidP="008E3E35">
            <w:pPr>
              <w:pStyle w:val="COMTableheadingrow"/>
              <w:jc w:val="center"/>
              <w:rPr>
                <w:highlight w:val="darkGray"/>
                <w:lang w:val="en-AU"/>
              </w:rPr>
            </w:pPr>
            <w:r w:rsidRPr="00320A42">
              <w:rPr>
                <w:rFonts w:cs="Arial"/>
                <w:iCs/>
                <w:color w:val="000000"/>
                <w:szCs w:val="20"/>
                <w14:textFill>
                  <w14:solidFill>
                    <w14:srgbClr w14:val="000000">
                      <w14:alpha w14:val="100000"/>
                    </w14:srgbClr>
                  </w14:solidFill>
                </w14:textFill>
              </w:rPr>
              <w:t>|</w:t>
            </w:r>
          </w:p>
        </w:tc>
        <w:tc>
          <w:tcPr>
            <w:tcW w:w="744" w:type="pct"/>
            <w:vAlign w:val="center"/>
          </w:tcPr>
          <w:p w14:paraId="1FB79561" w14:textId="77777777" w:rsidR="002D578D" w:rsidRPr="007D210F" w:rsidRDefault="002D578D" w:rsidP="008E3E35">
            <w:pPr>
              <w:pStyle w:val="COMTableheadingrow"/>
              <w:jc w:val="center"/>
              <w:rPr>
                <w:lang w:val="en-AU"/>
              </w:rPr>
            </w:pPr>
            <w:r w:rsidRPr="00842145">
              <w:rPr>
                <w:rFonts w:cs="Arial"/>
                <w:iCs/>
                <w:szCs w:val="20"/>
              </w:rPr>
              <w:t>0.0594</w:t>
            </w:r>
          </w:p>
        </w:tc>
        <w:tc>
          <w:tcPr>
            <w:tcW w:w="713" w:type="pct"/>
            <w:vAlign w:val="center"/>
          </w:tcPr>
          <w:p w14:paraId="60EA74DD" w14:textId="5FAE5EA2" w:rsidR="002D578D" w:rsidRPr="00BF136E" w:rsidRDefault="00320A42" w:rsidP="008E3E35">
            <w:pPr>
              <w:pStyle w:val="COMTableheadingrow"/>
              <w:jc w:val="center"/>
              <w:rPr>
                <w:b w:val="0"/>
                <w:bCs/>
                <w:highlight w:val="darkGray"/>
                <w:lang w:val="en-AU"/>
              </w:rPr>
            </w:pPr>
            <w:r w:rsidRPr="00320A42">
              <w:rPr>
                <w:rFonts w:cs="Arial" w:hint="eastAsia"/>
                <w:iCs/>
                <w:color w:val="000000"/>
                <w:w w:val="15"/>
                <w:szCs w:val="20"/>
                <w:shd w:val="solid" w:color="000000" w:fill="000000"/>
                <w:fitText w:val="45" w:id="-1233442045"/>
                <w14:textFill>
                  <w14:solidFill>
                    <w14:srgbClr w14:val="000000">
                      <w14:alpha w14:val="100000"/>
                    </w14:srgbClr>
                  </w14:solidFill>
                </w14:textFill>
              </w:rPr>
              <w:t xml:space="preserve">　</w:t>
            </w:r>
            <w:r w:rsidRPr="00320A42">
              <w:rPr>
                <w:rFonts w:cs="Arial"/>
                <w:iCs/>
                <w:color w:val="000000"/>
                <w:w w:val="15"/>
                <w:szCs w:val="20"/>
                <w:shd w:val="solid" w:color="000000" w:fill="000000"/>
                <w:fitText w:val="45" w:id="-1233442045"/>
                <w14:textFill>
                  <w14:solidFill>
                    <w14:srgbClr w14:val="000000">
                      <w14:alpha w14:val="100000"/>
                    </w14:srgbClr>
                  </w14:solidFill>
                </w14:textFill>
              </w:rPr>
              <w:t>|</w:t>
            </w:r>
            <w:r w:rsidRPr="00320A42">
              <w:rPr>
                <w:rFonts w:cs="Arial" w:hint="eastAsia"/>
                <w:iCs/>
                <w:color w:val="000000"/>
                <w:spacing w:val="-21"/>
                <w:w w:val="15"/>
                <w:szCs w:val="20"/>
                <w:shd w:val="solid" w:color="000000" w:fill="000000"/>
                <w:fitText w:val="45" w:id="-1233442045"/>
                <w14:textFill>
                  <w14:solidFill>
                    <w14:srgbClr w14:val="000000">
                      <w14:alpha w14:val="100000"/>
                    </w14:srgbClr>
                  </w14:solidFill>
                </w14:textFill>
              </w:rPr>
              <w:t xml:space="preserve">　</w:t>
            </w:r>
            <w:r w:rsidR="00BF136E" w:rsidRPr="00BF136E">
              <w:rPr>
                <w:rFonts w:cs="Arial"/>
                <w:b w:val="0"/>
                <w:bCs/>
                <w:iCs/>
                <w:szCs w:val="20"/>
                <w:vertAlign w:val="superscript"/>
              </w:rPr>
              <w:t>1</w:t>
            </w:r>
          </w:p>
        </w:tc>
        <w:tc>
          <w:tcPr>
            <w:tcW w:w="733" w:type="pct"/>
            <w:vAlign w:val="center"/>
          </w:tcPr>
          <w:p w14:paraId="1D923F31" w14:textId="77777777" w:rsidR="002D578D" w:rsidRPr="007D210F" w:rsidRDefault="002D578D" w:rsidP="008E3E35">
            <w:pPr>
              <w:pStyle w:val="COMTableheadingrow"/>
              <w:jc w:val="center"/>
              <w:rPr>
                <w:lang w:val="en-AU"/>
              </w:rPr>
            </w:pPr>
            <w:r w:rsidRPr="007D210F">
              <w:rPr>
                <w:lang w:val="en-AU"/>
              </w:rPr>
              <w:t>-</w:t>
            </w:r>
          </w:p>
        </w:tc>
      </w:tr>
      <w:tr w:rsidR="002D578D" w:rsidRPr="00842145" w14:paraId="74DDB8FA" w14:textId="77777777" w:rsidTr="00320A42">
        <w:tc>
          <w:tcPr>
            <w:tcW w:w="2066" w:type="pct"/>
          </w:tcPr>
          <w:p w14:paraId="5B88B8F6" w14:textId="5D1218B5" w:rsidR="002D578D" w:rsidRPr="00842145" w:rsidRDefault="002D578D" w:rsidP="002D578D">
            <w:pPr>
              <w:pStyle w:val="COMTableheadingrow"/>
              <w:keepNext w:val="0"/>
              <w:rPr>
                <w:b w:val="0"/>
                <w:bCs/>
                <w:lang w:val="en-AU"/>
              </w:rPr>
            </w:pPr>
            <w:r w:rsidRPr="00842145">
              <w:rPr>
                <w:b w:val="0"/>
                <w:bCs/>
                <w:lang w:val="en-AU"/>
              </w:rPr>
              <w:t>- 0% costs and outcomes</w:t>
            </w:r>
          </w:p>
        </w:tc>
        <w:tc>
          <w:tcPr>
            <w:tcW w:w="744" w:type="pct"/>
            <w:tcBorders>
              <w:bottom w:val="single" w:sz="4" w:space="0" w:color="auto"/>
            </w:tcBorders>
            <w:shd w:val="solid" w:color="000000" w:fill="000000"/>
            <w:vAlign w:val="center"/>
          </w:tcPr>
          <w:p w14:paraId="73F7707E" w14:textId="22C113DF" w:rsidR="002D578D" w:rsidRPr="00BF136E" w:rsidRDefault="00320A42" w:rsidP="002D578D">
            <w:pPr>
              <w:pStyle w:val="COMTableheadingrow"/>
              <w:keepNext w:val="0"/>
              <w:jc w:val="center"/>
              <w:rPr>
                <w:rFonts w:cs="Calibri"/>
                <w:b w:val="0"/>
                <w:bCs/>
                <w:iCs/>
                <w:color w:val="000000"/>
                <w:szCs w:val="20"/>
                <w:highlight w:val="darkGray"/>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76A37DE4" w14:textId="4B6587D7" w:rsidR="002D578D" w:rsidRPr="00842145" w:rsidRDefault="002D578D" w:rsidP="002D578D">
            <w:pPr>
              <w:pStyle w:val="COMTableheadingrow"/>
              <w:keepNext w:val="0"/>
              <w:jc w:val="center"/>
              <w:rPr>
                <w:rFonts w:cs="Calibri"/>
                <w:b w:val="0"/>
                <w:bCs/>
                <w:iCs/>
                <w:color w:val="000000"/>
                <w:szCs w:val="20"/>
              </w:rPr>
            </w:pPr>
            <w:r w:rsidRPr="00842145">
              <w:rPr>
                <w:rFonts w:cs="Calibri"/>
                <w:b w:val="0"/>
                <w:bCs/>
                <w:iCs/>
                <w:color w:val="000000"/>
                <w:szCs w:val="20"/>
              </w:rPr>
              <w:t>0.0915</w:t>
            </w:r>
          </w:p>
        </w:tc>
        <w:tc>
          <w:tcPr>
            <w:tcW w:w="713" w:type="pct"/>
            <w:vAlign w:val="center"/>
          </w:tcPr>
          <w:p w14:paraId="79219839" w14:textId="33C02F30" w:rsidR="002D578D" w:rsidRPr="00BF136E" w:rsidRDefault="00320A42" w:rsidP="002D578D">
            <w:pPr>
              <w:pStyle w:val="COMTableheadingrow"/>
              <w:keepNext w:val="0"/>
              <w:jc w:val="center"/>
              <w:rPr>
                <w:rFonts w:cs="Calibri"/>
                <w:b w:val="0"/>
                <w:bCs/>
                <w:iCs/>
                <w:color w:val="000000"/>
                <w:szCs w:val="20"/>
                <w:highlight w:val="darkGray"/>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2</w:t>
            </w:r>
          </w:p>
        </w:tc>
        <w:tc>
          <w:tcPr>
            <w:tcW w:w="733" w:type="pct"/>
            <w:vAlign w:val="bottom"/>
          </w:tcPr>
          <w:p w14:paraId="18D9C16A" w14:textId="0A478F4C" w:rsidR="002D578D" w:rsidRPr="00842145" w:rsidRDefault="002D578D" w:rsidP="002D578D">
            <w:pPr>
              <w:pStyle w:val="COMTableheadingrow"/>
              <w:keepNext w:val="0"/>
              <w:jc w:val="center"/>
              <w:rPr>
                <w:rFonts w:cs="Calibri"/>
                <w:b w:val="0"/>
                <w:bCs/>
                <w:iCs/>
                <w:color w:val="000000"/>
                <w:szCs w:val="20"/>
              </w:rPr>
            </w:pPr>
            <w:r w:rsidRPr="00842145">
              <w:rPr>
                <w:rFonts w:cs="Calibri"/>
                <w:b w:val="0"/>
                <w:bCs/>
                <w:iCs/>
                <w:color w:val="000000"/>
                <w:szCs w:val="20"/>
              </w:rPr>
              <w:t>-40%</w:t>
            </w:r>
          </w:p>
        </w:tc>
      </w:tr>
      <w:tr w:rsidR="002D578D" w:rsidRPr="00842145" w14:paraId="5A5ADECB" w14:textId="77777777" w:rsidTr="00320A42">
        <w:tc>
          <w:tcPr>
            <w:tcW w:w="2066" w:type="pct"/>
          </w:tcPr>
          <w:p w14:paraId="3FF7DD83" w14:textId="35F76CE9" w:rsidR="002D578D" w:rsidRPr="00842145" w:rsidRDefault="002D578D" w:rsidP="004E2A40">
            <w:pPr>
              <w:pStyle w:val="COMTableheadingrow"/>
              <w:keepNext w:val="0"/>
              <w:rPr>
                <w:b w:val="0"/>
                <w:bCs/>
                <w:lang w:val="en-AU"/>
              </w:rPr>
            </w:pPr>
            <w:r w:rsidRPr="00842145">
              <w:rPr>
                <w:b w:val="0"/>
                <w:bCs/>
                <w:lang w:val="en-AU"/>
              </w:rPr>
              <w:t>- 3.5% costs and outcomes</w:t>
            </w:r>
          </w:p>
        </w:tc>
        <w:tc>
          <w:tcPr>
            <w:tcW w:w="744" w:type="pct"/>
            <w:tcBorders>
              <w:bottom w:val="single" w:sz="4" w:space="0" w:color="auto"/>
            </w:tcBorders>
            <w:shd w:val="solid" w:color="000000" w:fill="000000"/>
            <w:vAlign w:val="center"/>
          </w:tcPr>
          <w:p w14:paraId="22F9CED9" w14:textId="7D84C71F"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64810FA8"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0.0673</w:t>
            </w:r>
          </w:p>
        </w:tc>
        <w:tc>
          <w:tcPr>
            <w:tcW w:w="713" w:type="pct"/>
            <w:vAlign w:val="center"/>
          </w:tcPr>
          <w:p w14:paraId="46427C0B" w14:textId="32307D2A"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sidRPr="00BF136E">
              <w:rPr>
                <w:rFonts w:cs="Arial"/>
                <w:b w:val="0"/>
                <w:bCs/>
                <w:iCs/>
                <w:szCs w:val="20"/>
                <w:vertAlign w:val="superscript"/>
              </w:rPr>
              <w:t>1</w:t>
            </w:r>
          </w:p>
        </w:tc>
        <w:tc>
          <w:tcPr>
            <w:tcW w:w="733" w:type="pct"/>
            <w:vAlign w:val="center"/>
          </w:tcPr>
          <w:p w14:paraId="7F9D8DEE" w14:textId="77777777" w:rsidR="002D578D" w:rsidRPr="00842145" w:rsidRDefault="002D578D" w:rsidP="0069235E">
            <w:pPr>
              <w:pStyle w:val="COMTableheadingrow"/>
              <w:keepNext w:val="0"/>
              <w:jc w:val="center"/>
              <w:rPr>
                <w:b w:val="0"/>
                <w:bCs/>
                <w:iCs/>
                <w:lang w:val="en-AU"/>
              </w:rPr>
            </w:pPr>
            <w:r w:rsidRPr="00842145">
              <w:rPr>
                <w:rFonts w:cs="Calibri"/>
                <w:b w:val="0"/>
                <w:bCs/>
                <w:iCs/>
                <w:color w:val="000000"/>
                <w:szCs w:val="20"/>
              </w:rPr>
              <w:t>-13%</w:t>
            </w:r>
          </w:p>
        </w:tc>
      </w:tr>
      <w:tr w:rsidR="002D578D" w:rsidRPr="00842145" w14:paraId="61F9B8FA" w14:textId="77777777" w:rsidTr="00320A42">
        <w:tc>
          <w:tcPr>
            <w:tcW w:w="2066" w:type="pct"/>
          </w:tcPr>
          <w:p w14:paraId="3191AF8F" w14:textId="77777777" w:rsidR="002D578D" w:rsidRPr="00842145" w:rsidRDefault="002D578D" w:rsidP="004E2A40">
            <w:pPr>
              <w:pStyle w:val="COMTableheadingrow"/>
              <w:keepNext w:val="0"/>
              <w:rPr>
                <w:b w:val="0"/>
                <w:bCs/>
                <w:lang w:val="en-AU"/>
              </w:rPr>
            </w:pPr>
            <w:r w:rsidRPr="00842145">
              <w:rPr>
                <w:b w:val="0"/>
                <w:bCs/>
                <w:lang w:val="en-AU"/>
              </w:rPr>
              <w:t>- 5 years</w:t>
            </w:r>
          </w:p>
        </w:tc>
        <w:tc>
          <w:tcPr>
            <w:tcW w:w="744" w:type="pct"/>
            <w:tcBorders>
              <w:top w:val="single" w:sz="4" w:space="0" w:color="auto"/>
              <w:left w:val="nil"/>
              <w:bottom w:val="single" w:sz="4" w:space="0" w:color="auto"/>
              <w:right w:val="single" w:sz="4" w:space="0" w:color="auto"/>
            </w:tcBorders>
            <w:shd w:val="solid" w:color="000000" w:fill="000000"/>
            <w:vAlign w:val="center"/>
          </w:tcPr>
          <w:p w14:paraId="3D08CCDA" w14:textId="6F376DD2"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5A7A11D"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0.0123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DC87D0" w14:textId="3E63CC7A"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3</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tcPr>
          <w:p w14:paraId="59530BD4"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+538%</w:t>
            </w:r>
          </w:p>
        </w:tc>
      </w:tr>
      <w:tr w:rsidR="002D578D" w:rsidRPr="00842145" w14:paraId="1F941A8C" w14:textId="77777777" w:rsidTr="00320A42">
        <w:tc>
          <w:tcPr>
            <w:tcW w:w="2066" w:type="pct"/>
          </w:tcPr>
          <w:p w14:paraId="443A3D6A" w14:textId="77777777" w:rsidR="002D578D" w:rsidRPr="00842145" w:rsidRDefault="002D578D" w:rsidP="004E2A40">
            <w:pPr>
              <w:pStyle w:val="COMTableheadingrow"/>
              <w:keepNext w:val="0"/>
              <w:rPr>
                <w:b w:val="0"/>
                <w:bCs/>
                <w:lang w:val="en-AU"/>
              </w:rPr>
            </w:pPr>
            <w:r w:rsidRPr="00842145">
              <w:rPr>
                <w:b w:val="0"/>
                <w:bCs/>
                <w:lang w:val="en-AU"/>
              </w:rPr>
              <w:t>- 10 years</w:t>
            </w:r>
          </w:p>
        </w:tc>
        <w:tc>
          <w:tcPr>
            <w:tcW w:w="744" w:type="pct"/>
            <w:tcBorders>
              <w:top w:val="single" w:sz="4" w:space="0" w:color="auto"/>
              <w:left w:val="nil"/>
              <w:bottom w:val="single" w:sz="4" w:space="0" w:color="auto"/>
              <w:right w:val="single" w:sz="4" w:space="0" w:color="auto"/>
            </w:tcBorders>
            <w:shd w:val="solid" w:color="000000" w:fill="000000"/>
            <w:vAlign w:val="center"/>
          </w:tcPr>
          <w:p w14:paraId="0952E93F" w14:textId="29D9F16D"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CCAD247"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0.0368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BF1D712" w14:textId="3C02498A"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4</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tcPr>
          <w:p w14:paraId="27D488E2"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+81%</w:t>
            </w:r>
          </w:p>
        </w:tc>
      </w:tr>
      <w:tr w:rsidR="002D578D" w:rsidRPr="00842145" w14:paraId="250F63F5" w14:textId="77777777" w:rsidTr="00320A42">
        <w:tc>
          <w:tcPr>
            <w:tcW w:w="2066" w:type="pct"/>
          </w:tcPr>
          <w:p w14:paraId="0FCB3B8A" w14:textId="77777777" w:rsidR="002D578D" w:rsidRPr="00842145" w:rsidRDefault="002D578D" w:rsidP="004E2A40">
            <w:pPr>
              <w:pStyle w:val="COMTableheadingrow"/>
              <w:keepNext w:val="0"/>
              <w:rPr>
                <w:b w:val="0"/>
                <w:bCs/>
                <w:iCs/>
                <w:lang w:val="en-AU"/>
              </w:rPr>
            </w:pPr>
            <w:r w:rsidRPr="00842145">
              <w:rPr>
                <w:b w:val="0"/>
                <w:bCs/>
                <w:iCs/>
                <w:lang w:val="en-AU"/>
              </w:rPr>
              <w:t>- 30 years</w:t>
            </w:r>
          </w:p>
        </w:tc>
        <w:tc>
          <w:tcPr>
            <w:tcW w:w="744" w:type="pct"/>
            <w:tcBorders>
              <w:top w:val="single" w:sz="4" w:space="0" w:color="auto"/>
              <w:left w:val="nil"/>
              <w:bottom w:val="single" w:sz="4" w:space="0" w:color="auto"/>
              <w:right w:val="single" w:sz="4" w:space="0" w:color="auto"/>
            </w:tcBorders>
            <w:shd w:val="solid" w:color="000000" w:fill="000000"/>
            <w:vAlign w:val="center"/>
          </w:tcPr>
          <w:p w14:paraId="02B7C5F9" w14:textId="54248E3C"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F3294B5"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0.0826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7FC6E3" w14:textId="252816E3"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2</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tcPr>
          <w:p w14:paraId="6AFDC8DB"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-24%</w:t>
            </w:r>
          </w:p>
        </w:tc>
      </w:tr>
      <w:tr w:rsidR="002D578D" w:rsidRPr="00842145" w14:paraId="79FB12C8" w14:textId="77777777" w:rsidTr="00320A42">
        <w:tc>
          <w:tcPr>
            <w:tcW w:w="2066" w:type="pct"/>
          </w:tcPr>
          <w:p w14:paraId="6694C967" w14:textId="77777777" w:rsidR="002D578D" w:rsidRPr="00842145" w:rsidRDefault="002D578D" w:rsidP="004E2A40">
            <w:pPr>
              <w:pStyle w:val="COMTableheadingrow"/>
              <w:keepNext w:val="0"/>
              <w:rPr>
                <w:b w:val="0"/>
                <w:bCs/>
                <w:lang w:val="en-AU"/>
              </w:rPr>
            </w:pPr>
            <w:r w:rsidRPr="00842145">
              <w:rPr>
                <w:b w:val="0"/>
                <w:bCs/>
                <w:szCs w:val="20"/>
                <w:lang w:val="en-AU"/>
              </w:rPr>
              <w:t>All patients in CKD 1/2 at baseline</w:t>
            </w:r>
          </w:p>
        </w:tc>
        <w:tc>
          <w:tcPr>
            <w:tcW w:w="744" w:type="pct"/>
            <w:tcBorders>
              <w:bottom w:val="single" w:sz="4" w:space="0" w:color="auto"/>
            </w:tcBorders>
            <w:shd w:val="solid" w:color="000000" w:fill="000000"/>
            <w:vAlign w:val="center"/>
          </w:tcPr>
          <w:p w14:paraId="74FF5B84" w14:textId="4FB60ECE"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0366D4C3"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0.0448</w:t>
            </w:r>
          </w:p>
        </w:tc>
        <w:tc>
          <w:tcPr>
            <w:tcW w:w="713" w:type="pct"/>
            <w:vAlign w:val="center"/>
          </w:tcPr>
          <w:p w14:paraId="1AFCEF6B" w14:textId="1DFEDD0E"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4</w:t>
            </w:r>
          </w:p>
        </w:tc>
        <w:tc>
          <w:tcPr>
            <w:tcW w:w="733" w:type="pct"/>
            <w:vAlign w:val="center"/>
          </w:tcPr>
          <w:p w14:paraId="7479A6A6"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+124%</w:t>
            </w:r>
          </w:p>
        </w:tc>
      </w:tr>
      <w:tr w:rsidR="002D578D" w:rsidRPr="00842145" w14:paraId="57B79411" w14:textId="77777777" w:rsidTr="00320A42">
        <w:tc>
          <w:tcPr>
            <w:tcW w:w="2066" w:type="pct"/>
          </w:tcPr>
          <w:p w14:paraId="300C72D3" w14:textId="77777777" w:rsidR="002D578D" w:rsidRPr="00842145" w:rsidRDefault="002D578D" w:rsidP="004E2A40">
            <w:pPr>
              <w:pStyle w:val="COMTableheadingrow"/>
              <w:keepNext w:val="0"/>
              <w:rPr>
                <w:b w:val="0"/>
                <w:bCs/>
                <w:lang w:val="en-AU"/>
              </w:rPr>
            </w:pPr>
            <w:r w:rsidRPr="00842145">
              <w:rPr>
                <w:b w:val="0"/>
                <w:bCs/>
                <w:szCs w:val="20"/>
                <w:lang w:val="en-AU"/>
              </w:rPr>
              <w:t>All patients in CKD 3 at baseline</w:t>
            </w:r>
          </w:p>
        </w:tc>
        <w:tc>
          <w:tcPr>
            <w:tcW w:w="744" w:type="pct"/>
            <w:tcBorders>
              <w:bottom w:val="single" w:sz="4" w:space="0" w:color="auto"/>
            </w:tcBorders>
            <w:shd w:val="solid" w:color="000000" w:fill="000000"/>
            <w:vAlign w:val="center"/>
          </w:tcPr>
          <w:p w14:paraId="689DDF58" w14:textId="3B489C25"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0B8E12E1"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0.0666</w:t>
            </w:r>
          </w:p>
        </w:tc>
        <w:tc>
          <w:tcPr>
            <w:tcW w:w="713" w:type="pct"/>
            <w:vAlign w:val="center"/>
          </w:tcPr>
          <w:p w14:paraId="64770865" w14:textId="0CE97990"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2</w:t>
            </w:r>
          </w:p>
        </w:tc>
        <w:tc>
          <w:tcPr>
            <w:tcW w:w="733" w:type="pct"/>
            <w:vAlign w:val="center"/>
          </w:tcPr>
          <w:p w14:paraId="4589EF8B"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-28%</w:t>
            </w:r>
          </w:p>
        </w:tc>
      </w:tr>
      <w:tr w:rsidR="002D578D" w:rsidRPr="00842145" w14:paraId="41C63042" w14:textId="77777777" w:rsidTr="00320A42">
        <w:tc>
          <w:tcPr>
            <w:tcW w:w="2066" w:type="pct"/>
          </w:tcPr>
          <w:p w14:paraId="38B83195" w14:textId="77777777" w:rsidR="002D578D" w:rsidRPr="00842145" w:rsidRDefault="002D578D" w:rsidP="004E2A40">
            <w:pPr>
              <w:pStyle w:val="COMTableheadingrow"/>
              <w:keepNext w:val="0"/>
              <w:rPr>
                <w:b w:val="0"/>
                <w:bCs/>
                <w:lang w:val="en-AU"/>
              </w:rPr>
            </w:pPr>
            <w:r w:rsidRPr="00842145">
              <w:rPr>
                <w:b w:val="0"/>
                <w:bCs/>
                <w:szCs w:val="20"/>
                <w:lang w:val="en-AU"/>
              </w:rPr>
              <w:t>All patients in CKD 4 at baseline</w:t>
            </w:r>
          </w:p>
        </w:tc>
        <w:tc>
          <w:tcPr>
            <w:tcW w:w="744" w:type="pct"/>
            <w:tcBorders>
              <w:bottom w:val="single" w:sz="4" w:space="0" w:color="auto"/>
            </w:tcBorders>
            <w:shd w:val="solid" w:color="000000" w:fill="000000"/>
            <w:vAlign w:val="center"/>
          </w:tcPr>
          <w:p w14:paraId="0D530011" w14:textId="5DD40293"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443644F9"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0.1012</w:t>
            </w:r>
          </w:p>
        </w:tc>
        <w:tc>
          <w:tcPr>
            <w:tcW w:w="713" w:type="pct"/>
            <w:vAlign w:val="center"/>
          </w:tcPr>
          <w:p w14:paraId="7100D228" w14:textId="77777777" w:rsidR="002D578D" w:rsidRPr="00BF136E" w:rsidRDefault="002D578D" w:rsidP="004E2A40">
            <w:pPr>
              <w:pStyle w:val="COMTableheadingrow"/>
              <w:keepNext w:val="0"/>
              <w:jc w:val="center"/>
              <w:rPr>
                <w:b w:val="0"/>
                <w:bCs/>
                <w:iCs/>
                <w:highlight w:val="darkGray"/>
                <w:lang w:val="en-AU"/>
              </w:rPr>
            </w:pPr>
            <w:r w:rsidRPr="00BF136E">
              <w:rPr>
                <w:rFonts w:cs="Calibri"/>
                <w:b w:val="0"/>
                <w:bCs/>
                <w:iCs/>
                <w:color w:val="000000"/>
                <w:szCs w:val="20"/>
              </w:rPr>
              <w:t>Dominant</w:t>
            </w:r>
          </w:p>
        </w:tc>
        <w:tc>
          <w:tcPr>
            <w:tcW w:w="733" w:type="pct"/>
            <w:vAlign w:val="center"/>
          </w:tcPr>
          <w:p w14:paraId="478B303B"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NE</w:t>
            </w:r>
          </w:p>
        </w:tc>
      </w:tr>
      <w:tr w:rsidR="002D578D" w:rsidRPr="00842145" w14:paraId="5015972D" w14:textId="77777777" w:rsidTr="00320A42">
        <w:tc>
          <w:tcPr>
            <w:tcW w:w="2066" w:type="pct"/>
          </w:tcPr>
          <w:p w14:paraId="6B36323C" w14:textId="77777777" w:rsidR="002D578D" w:rsidRPr="00842145" w:rsidRDefault="002D578D" w:rsidP="004E2A40">
            <w:pPr>
              <w:pStyle w:val="COMTableheadingrow"/>
              <w:keepNext w:val="0"/>
              <w:rPr>
                <w:b w:val="0"/>
                <w:bCs/>
                <w:szCs w:val="20"/>
                <w:lang w:val="en-AU"/>
              </w:rPr>
            </w:pPr>
            <w:r w:rsidRPr="00842145">
              <w:rPr>
                <w:b w:val="0"/>
                <w:bCs/>
                <w:szCs w:val="20"/>
                <w:lang w:val="en-AU"/>
              </w:rPr>
              <w:t>Patient characteristics based on FIDELITY whole study population (age 65; 69.8% male; 39.9% CKD 1/2; 53.3% CKD 3, 6.8% CKD 4)</w:t>
            </w:r>
          </w:p>
        </w:tc>
        <w:tc>
          <w:tcPr>
            <w:tcW w:w="744" w:type="pct"/>
            <w:tcBorders>
              <w:bottom w:val="single" w:sz="4" w:space="0" w:color="auto"/>
            </w:tcBorders>
            <w:shd w:val="solid" w:color="000000" w:fill="000000"/>
            <w:vAlign w:val="center"/>
          </w:tcPr>
          <w:p w14:paraId="193214F8" w14:textId="0F2992A5"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315B3A99"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0.0603</w:t>
            </w:r>
          </w:p>
        </w:tc>
        <w:tc>
          <w:tcPr>
            <w:tcW w:w="713" w:type="pct"/>
            <w:vAlign w:val="center"/>
          </w:tcPr>
          <w:p w14:paraId="13E3C485" w14:textId="2CA6338C"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sidRPr="00BF136E">
              <w:rPr>
                <w:rFonts w:cs="Arial"/>
                <w:b w:val="0"/>
                <w:bCs/>
                <w:iCs/>
                <w:szCs w:val="20"/>
                <w:vertAlign w:val="superscript"/>
              </w:rPr>
              <w:t>1</w:t>
            </w:r>
          </w:p>
        </w:tc>
        <w:tc>
          <w:tcPr>
            <w:tcW w:w="733" w:type="pct"/>
            <w:vAlign w:val="center"/>
          </w:tcPr>
          <w:p w14:paraId="23F6D9FD"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+6%</w:t>
            </w:r>
          </w:p>
        </w:tc>
      </w:tr>
      <w:tr w:rsidR="002D578D" w:rsidRPr="00842145" w14:paraId="4D172FC0" w14:textId="77777777" w:rsidTr="00320A42">
        <w:tc>
          <w:tcPr>
            <w:tcW w:w="2066" w:type="pct"/>
          </w:tcPr>
          <w:p w14:paraId="67557223" w14:textId="634103B8" w:rsidR="002D578D" w:rsidRPr="00842145" w:rsidRDefault="002D578D" w:rsidP="004E2A40">
            <w:pPr>
              <w:pStyle w:val="COMTableheadingrow"/>
              <w:keepNext w:val="0"/>
              <w:rPr>
                <w:b w:val="0"/>
                <w:bCs/>
                <w:szCs w:val="20"/>
                <w:lang w:val="en-AU"/>
              </w:rPr>
            </w:pPr>
            <w:r w:rsidRPr="00842145">
              <w:rPr>
                <w:b w:val="0"/>
                <w:bCs/>
                <w:szCs w:val="20"/>
                <w:lang w:val="en-AU"/>
              </w:rPr>
              <w:t>Patient characteristics based on FIDELITY UACR ≥ 200 mg/g SGLT2i user subgroup (age 60; 74.7% male; 63.0% CKD 1/2; 35.8% CKD 3, 1.2% CKD 4)</w:t>
            </w:r>
          </w:p>
        </w:tc>
        <w:tc>
          <w:tcPr>
            <w:tcW w:w="744" w:type="pct"/>
            <w:tcBorders>
              <w:bottom w:val="single" w:sz="4" w:space="0" w:color="auto"/>
            </w:tcBorders>
            <w:shd w:val="solid" w:color="000000" w:fill="000000"/>
            <w:vAlign w:val="center"/>
          </w:tcPr>
          <w:p w14:paraId="54088BEB" w14:textId="6BF88631"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66ECA317"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0.0529</w:t>
            </w:r>
          </w:p>
        </w:tc>
        <w:tc>
          <w:tcPr>
            <w:tcW w:w="713" w:type="pct"/>
            <w:vAlign w:val="center"/>
          </w:tcPr>
          <w:p w14:paraId="1F3998B4" w14:textId="29AA323C"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5</w:t>
            </w:r>
          </w:p>
        </w:tc>
        <w:tc>
          <w:tcPr>
            <w:tcW w:w="733" w:type="pct"/>
            <w:vAlign w:val="center"/>
          </w:tcPr>
          <w:p w14:paraId="7FA3E1B7"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+30%</w:t>
            </w:r>
          </w:p>
        </w:tc>
      </w:tr>
      <w:tr w:rsidR="002D578D" w:rsidRPr="00842145" w14:paraId="127016ED" w14:textId="77777777" w:rsidTr="00320A42">
        <w:tc>
          <w:tcPr>
            <w:tcW w:w="2066" w:type="pct"/>
          </w:tcPr>
          <w:p w14:paraId="0D8FC5C6" w14:textId="77777777" w:rsidR="002D578D" w:rsidRPr="00842145" w:rsidRDefault="002D578D" w:rsidP="004E2A40">
            <w:pPr>
              <w:pStyle w:val="COMTableheadingrow"/>
              <w:keepNext w:val="0"/>
              <w:rPr>
                <w:b w:val="0"/>
                <w:bCs/>
                <w:szCs w:val="20"/>
                <w:lang w:val="en-AU"/>
              </w:rPr>
            </w:pPr>
            <w:r w:rsidRPr="00842145">
              <w:rPr>
                <w:b w:val="0"/>
                <w:bCs/>
                <w:szCs w:val="20"/>
                <w:lang w:val="en-AU"/>
              </w:rPr>
              <w:t>Patient characteristics based on OneNil analysis (age 65; 58.2% male; 36.2% CKD 1/2; 47.7% CKD 3; 16.1% CKD 4)</w:t>
            </w:r>
          </w:p>
        </w:tc>
        <w:tc>
          <w:tcPr>
            <w:tcW w:w="744" w:type="pct"/>
            <w:tcBorders>
              <w:bottom w:val="single" w:sz="4" w:space="0" w:color="auto"/>
            </w:tcBorders>
            <w:shd w:val="solid" w:color="000000" w:fill="000000"/>
            <w:vAlign w:val="center"/>
          </w:tcPr>
          <w:p w14:paraId="5FA2FB6B" w14:textId="61A48E5C"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0A942472"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0.0643</w:t>
            </w:r>
          </w:p>
        </w:tc>
        <w:tc>
          <w:tcPr>
            <w:tcW w:w="713" w:type="pct"/>
            <w:vAlign w:val="center"/>
          </w:tcPr>
          <w:p w14:paraId="7046E474" w14:textId="2661986D"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2</w:t>
            </w:r>
          </w:p>
        </w:tc>
        <w:tc>
          <w:tcPr>
            <w:tcW w:w="733" w:type="pct"/>
            <w:vAlign w:val="center"/>
          </w:tcPr>
          <w:p w14:paraId="6AB73B70"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-30%</w:t>
            </w:r>
          </w:p>
        </w:tc>
      </w:tr>
      <w:tr w:rsidR="002D578D" w:rsidRPr="00842145" w14:paraId="5747C9C0" w14:textId="77777777" w:rsidTr="00320A42">
        <w:tc>
          <w:tcPr>
            <w:tcW w:w="2066" w:type="pct"/>
          </w:tcPr>
          <w:p w14:paraId="712C3067" w14:textId="77777777" w:rsidR="002D578D" w:rsidRPr="00842145" w:rsidRDefault="002D578D" w:rsidP="004E2A40">
            <w:pPr>
              <w:pStyle w:val="COMTableheadingrow"/>
              <w:keepNext w:val="0"/>
              <w:rPr>
                <w:b w:val="0"/>
                <w:bCs/>
                <w:lang w:val="en-AU"/>
              </w:rPr>
            </w:pPr>
            <w:r w:rsidRPr="00842145">
              <w:rPr>
                <w:b w:val="0"/>
                <w:bCs/>
                <w:iCs/>
                <w:szCs w:val="20"/>
                <w:lang w:val="en-AU"/>
              </w:rPr>
              <w:t>Decrease mean age to 60 years</w:t>
            </w:r>
          </w:p>
        </w:tc>
        <w:tc>
          <w:tcPr>
            <w:tcW w:w="744" w:type="pct"/>
            <w:tcBorders>
              <w:bottom w:val="single" w:sz="4" w:space="0" w:color="auto"/>
            </w:tcBorders>
            <w:shd w:val="solid" w:color="000000" w:fill="000000"/>
            <w:vAlign w:val="center"/>
          </w:tcPr>
          <w:p w14:paraId="4749C2FF" w14:textId="793A904C"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73CA99E8"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0.0589</w:t>
            </w:r>
          </w:p>
        </w:tc>
        <w:tc>
          <w:tcPr>
            <w:tcW w:w="713" w:type="pct"/>
            <w:vAlign w:val="center"/>
          </w:tcPr>
          <w:p w14:paraId="3E7F615A" w14:textId="7A4E2630"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2</w:t>
            </w:r>
          </w:p>
        </w:tc>
        <w:tc>
          <w:tcPr>
            <w:tcW w:w="733" w:type="pct"/>
            <w:vAlign w:val="bottom"/>
          </w:tcPr>
          <w:p w14:paraId="37C68E24"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-22%</w:t>
            </w:r>
          </w:p>
        </w:tc>
      </w:tr>
      <w:tr w:rsidR="002D578D" w:rsidRPr="00842145" w14:paraId="4DD8EC2E" w14:textId="77777777" w:rsidTr="00320A42">
        <w:tc>
          <w:tcPr>
            <w:tcW w:w="2066" w:type="pct"/>
          </w:tcPr>
          <w:p w14:paraId="7813C04F" w14:textId="77777777" w:rsidR="002D578D" w:rsidRPr="00842145" w:rsidRDefault="002D578D" w:rsidP="004E2A40">
            <w:pPr>
              <w:pStyle w:val="COMTableheadingrow"/>
              <w:keepNext w:val="0"/>
              <w:rPr>
                <w:b w:val="0"/>
                <w:bCs/>
                <w:lang w:val="en-AU"/>
              </w:rPr>
            </w:pPr>
            <w:r w:rsidRPr="00842145">
              <w:rPr>
                <w:b w:val="0"/>
                <w:bCs/>
                <w:iCs/>
                <w:szCs w:val="20"/>
                <w:lang w:val="en-AU"/>
              </w:rPr>
              <w:t>Increase mean age to 70 years</w:t>
            </w:r>
          </w:p>
        </w:tc>
        <w:tc>
          <w:tcPr>
            <w:tcW w:w="744" w:type="pct"/>
            <w:tcBorders>
              <w:bottom w:val="single" w:sz="4" w:space="0" w:color="auto"/>
            </w:tcBorders>
            <w:shd w:val="solid" w:color="000000" w:fill="000000"/>
            <w:vAlign w:val="center"/>
          </w:tcPr>
          <w:p w14:paraId="28C596AE" w14:textId="056D8103"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3F324DFA"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0.0573</w:t>
            </w:r>
          </w:p>
        </w:tc>
        <w:tc>
          <w:tcPr>
            <w:tcW w:w="713" w:type="pct"/>
            <w:vAlign w:val="center"/>
          </w:tcPr>
          <w:p w14:paraId="07E65594" w14:textId="5DD48F46"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6</w:t>
            </w:r>
          </w:p>
        </w:tc>
        <w:tc>
          <w:tcPr>
            <w:tcW w:w="733" w:type="pct"/>
            <w:vAlign w:val="bottom"/>
          </w:tcPr>
          <w:p w14:paraId="2A6DB581"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+55%</w:t>
            </w:r>
          </w:p>
        </w:tc>
      </w:tr>
      <w:tr w:rsidR="002D578D" w:rsidRPr="00842145" w14:paraId="04859E06" w14:textId="77777777" w:rsidTr="00320A42">
        <w:tc>
          <w:tcPr>
            <w:tcW w:w="2066" w:type="pct"/>
          </w:tcPr>
          <w:p w14:paraId="3D07D096" w14:textId="77777777" w:rsidR="002D578D" w:rsidRPr="00842145" w:rsidRDefault="002D578D" w:rsidP="004E2A40">
            <w:pPr>
              <w:pStyle w:val="COMTableheadingrow"/>
              <w:keepNext w:val="0"/>
              <w:rPr>
                <w:b w:val="0"/>
                <w:bCs/>
                <w:lang w:val="en-AU"/>
              </w:rPr>
            </w:pPr>
            <w:r w:rsidRPr="00842145">
              <w:rPr>
                <w:b w:val="0"/>
                <w:bCs/>
                <w:lang w:val="en-AU"/>
              </w:rPr>
              <w:t>CKD health state transition probabilities based on FIDELITY whole study population</w:t>
            </w:r>
          </w:p>
        </w:tc>
        <w:tc>
          <w:tcPr>
            <w:tcW w:w="744" w:type="pct"/>
            <w:tcBorders>
              <w:bottom w:val="single" w:sz="4" w:space="0" w:color="auto"/>
            </w:tcBorders>
            <w:shd w:val="solid" w:color="000000" w:fill="000000"/>
            <w:vAlign w:val="center"/>
          </w:tcPr>
          <w:p w14:paraId="6FD9E24E" w14:textId="14E662E3" w:rsidR="002D578D" w:rsidRPr="00BF136E" w:rsidRDefault="00320A42" w:rsidP="004E2A40">
            <w:pPr>
              <w:pStyle w:val="COMTableheadingrow"/>
              <w:keepNext w:val="0"/>
              <w:jc w:val="center"/>
              <w:rPr>
                <w:rFonts w:cs="Calibri"/>
                <w:b w:val="0"/>
                <w:bCs/>
                <w:iCs/>
                <w:color w:val="000000"/>
                <w:szCs w:val="20"/>
                <w:highlight w:val="darkGray"/>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14CBC60C" w14:textId="77777777" w:rsidR="002D578D" w:rsidRPr="00842145" w:rsidRDefault="002D578D" w:rsidP="004E2A40">
            <w:pPr>
              <w:pStyle w:val="COMTableheadingrow"/>
              <w:keepNext w:val="0"/>
              <w:jc w:val="center"/>
              <w:rPr>
                <w:rFonts w:cs="Calibri"/>
                <w:b w:val="0"/>
                <w:bCs/>
                <w:iCs/>
                <w:color w:val="000000"/>
                <w:szCs w:val="20"/>
              </w:rPr>
            </w:pPr>
            <w:r w:rsidRPr="00842145">
              <w:rPr>
                <w:rFonts w:cs="Calibri"/>
                <w:b w:val="0"/>
                <w:bCs/>
                <w:iCs/>
                <w:color w:val="000000"/>
                <w:szCs w:val="20"/>
              </w:rPr>
              <w:t>0.0649</w:t>
            </w:r>
          </w:p>
        </w:tc>
        <w:tc>
          <w:tcPr>
            <w:tcW w:w="713" w:type="pct"/>
            <w:vAlign w:val="center"/>
          </w:tcPr>
          <w:p w14:paraId="687969A3" w14:textId="472B5E66" w:rsidR="002D578D" w:rsidRPr="00BF136E" w:rsidRDefault="00320A42" w:rsidP="004E2A40">
            <w:pPr>
              <w:pStyle w:val="COMTableheadingrow"/>
              <w:keepNext w:val="0"/>
              <w:jc w:val="center"/>
              <w:rPr>
                <w:rFonts w:cs="Calibri"/>
                <w:b w:val="0"/>
                <w:bCs/>
                <w:iCs/>
                <w:color w:val="000000"/>
                <w:szCs w:val="20"/>
                <w:highlight w:val="darkGray"/>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2</w:t>
            </w:r>
          </w:p>
        </w:tc>
        <w:tc>
          <w:tcPr>
            <w:tcW w:w="733" w:type="pct"/>
            <w:vAlign w:val="center"/>
          </w:tcPr>
          <w:p w14:paraId="14D683A9" w14:textId="77777777" w:rsidR="002D578D" w:rsidRPr="00842145" w:rsidRDefault="002D578D" w:rsidP="004E2A40">
            <w:pPr>
              <w:pStyle w:val="COMTableheadingrow"/>
              <w:keepNext w:val="0"/>
              <w:jc w:val="center"/>
              <w:rPr>
                <w:rFonts w:cs="Calibri"/>
                <w:b w:val="0"/>
                <w:bCs/>
                <w:iCs/>
                <w:color w:val="000000"/>
                <w:szCs w:val="20"/>
              </w:rPr>
            </w:pPr>
            <w:r w:rsidRPr="00842145">
              <w:rPr>
                <w:rFonts w:cs="Calibri"/>
                <w:b w:val="0"/>
                <w:bCs/>
                <w:iCs/>
                <w:color w:val="000000"/>
                <w:szCs w:val="20"/>
              </w:rPr>
              <w:t>-20%</w:t>
            </w:r>
          </w:p>
        </w:tc>
      </w:tr>
      <w:tr w:rsidR="002D578D" w:rsidRPr="00842145" w14:paraId="5C292355" w14:textId="77777777" w:rsidTr="00320A42">
        <w:tc>
          <w:tcPr>
            <w:tcW w:w="2066" w:type="pct"/>
          </w:tcPr>
          <w:p w14:paraId="150C056E" w14:textId="6BBB658F" w:rsidR="002D578D" w:rsidRPr="00842145" w:rsidRDefault="002D578D" w:rsidP="004E2A40">
            <w:pPr>
              <w:pStyle w:val="COMTableheadingrow"/>
              <w:keepNext w:val="0"/>
              <w:rPr>
                <w:b w:val="0"/>
                <w:bCs/>
                <w:lang w:val="en-AU"/>
              </w:rPr>
            </w:pPr>
            <w:r w:rsidRPr="00842145">
              <w:rPr>
                <w:b w:val="0"/>
                <w:bCs/>
                <w:lang w:val="en-AU"/>
              </w:rPr>
              <w:t>CKD health state transition probabilities based on FIDELITY UACR ≥ 200 mg/g subgroup</w:t>
            </w:r>
          </w:p>
        </w:tc>
        <w:tc>
          <w:tcPr>
            <w:tcW w:w="744" w:type="pct"/>
            <w:tcBorders>
              <w:bottom w:val="single" w:sz="4" w:space="0" w:color="auto"/>
            </w:tcBorders>
            <w:shd w:val="solid" w:color="000000" w:fill="000000"/>
            <w:vAlign w:val="center"/>
          </w:tcPr>
          <w:p w14:paraId="0938F7C0" w14:textId="011A9A2A" w:rsidR="002D578D" w:rsidRPr="00BF136E" w:rsidRDefault="00320A42" w:rsidP="004E2A40">
            <w:pPr>
              <w:pStyle w:val="COMTableheadingrow"/>
              <w:keepNext w:val="0"/>
              <w:jc w:val="center"/>
              <w:rPr>
                <w:rFonts w:cs="Calibri"/>
                <w:b w:val="0"/>
                <w:bCs/>
                <w:iCs/>
                <w:color w:val="000000"/>
                <w:szCs w:val="20"/>
                <w:highlight w:val="darkGray"/>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6985295C" w14:textId="77777777" w:rsidR="002D578D" w:rsidRPr="00842145" w:rsidRDefault="002D578D" w:rsidP="004E2A40">
            <w:pPr>
              <w:pStyle w:val="COMTableheadingrow"/>
              <w:keepNext w:val="0"/>
              <w:jc w:val="center"/>
              <w:rPr>
                <w:rFonts w:cs="Calibri"/>
                <w:b w:val="0"/>
                <w:bCs/>
                <w:iCs/>
                <w:color w:val="000000"/>
                <w:szCs w:val="20"/>
              </w:rPr>
            </w:pPr>
            <w:r w:rsidRPr="00842145">
              <w:rPr>
                <w:rFonts w:cs="Calibri"/>
                <w:b w:val="0"/>
                <w:bCs/>
                <w:iCs/>
                <w:color w:val="000000"/>
                <w:szCs w:val="20"/>
              </w:rPr>
              <w:t>0.0634</w:t>
            </w:r>
          </w:p>
        </w:tc>
        <w:tc>
          <w:tcPr>
            <w:tcW w:w="713" w:type="pct"/>
            <w:vAlign w:val="center"/>
          </w:tcPr>
          <w:p w14:paraId="3490997F" w14:textId="3F214C52" w:rsidR="002D578D" w:rsidRPr="00BF136E" w:rsidRDefault="00320A42" w:rsidP="004E2A40">
            <w:pPr>
              <w:pStyle w:val="COMTableheadingrow"/>
              <w:keepNext w:val="0"/>
              <w:jc w:val="center"/>
              <w:rPr>
                <w:rFonts w:cs="Calibri"/>
                <w:b w:val="0"/>
                <w:bCs/>
                <w:iCs/>
                <w:color w:val="000000"/>
                <w:szCs w:val="20"/>
                <w:highlight w:val="darkGray"/>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7</w:t>
            </w:r>
          </w:p>
        </w:tc>
        <w:tc>
          <w:tcPr>
            <w:tcW w:w="733" w:type="pct"/>
            <w:vAlign w:val="center"/>
          </w:tcPr>
          <w:p w14:paraId="2A5D6645" w14:textId="77777777" w:rsidR="002D578D" w:rsidRPr="00842145" w:rsidRDefault="002D578D" w:rsidP="004E2A40">
            <w:pPr>
              <w:pStyle w:val="COMTableheadingrow"/>
              <w:keepNext w:val="0"/>
              <w:jc w:val="center"/>
              <w:rPr>
                <w:rFonts w:cs="Calibri"/>
                <w:b w:val="0"/>
                <w:bCs/>
                <w:iCs/>
                <w:color w:val="000000"/>
                <w:szCs w:val="20"/>
              </w:rPr>
            </w:pPr>
            <w:r w:rsidRPr="00842145">
              <w:rPr>
                <w:rFonts w:cs="Calibri"/>
                <w:b w:val="0"/>
                <w:bCs/>
                <w:iCs/>
                <w:color w:val="000000"/>
                <w:szCs w:val="20"/>
              </w:rPr>
              <w:t>-70%</w:t>
            </w:r>
          </w:p>
        </w:tc>
      </w:tr>
      <w:tr w:rsidR="002D578D" w:rsidRPr="00842145" w14:paraId="4FAA7410" w14:textId="77777777" w:rsidTr="00320A42">
        <w:tc>
          <w:tcPr>
            <w:tcW w:w="2066" w:type="pct"/>
          </w:tcPr>
          <w:p w14:paraId="313D4B8C" w14:textId="0F340B60" w:rsidR="002D578D" w:rsidRPr="00842145" w:rsidRDefault="002D578D" w:rsidP="004E2A40">
            <w:pPr>
              <w:pStyle w:val="COMTableheadingrow"/>
              <w:keepNext w:val="0"/>
              <w:rPr>
                <w:b w:val="0"/>
                <w:bCs/>
                <w:lang w:val="en-AU"/>
              </w:rPr>
            </w:pPr>
            <w:r w:rsidRPr="00842145">
              <w:rPr>
                <w:b w:val="0"/>
                <w:bCs/>
                <w:lang w:val="en-AU"/>
              </w:rPr>
              <w:t>CKD health state transition probabilities based on FIDELITY UACR ≥ 200 mg/g SGLT2i user subgroup</w:t>
            </w:r>
          </w:p>
        </w:tc>
        <w:tc>
          <w:tcPr>
            <w:tcW w:w="744" w:type="pct"/>
            <w:tcBorders>
              <w:bottom w:val="single" w:sz="4" w:space="0" w:color="auto"/>
            </w:tcBorders>
            <w:shd w:val="solid" w:color="000000" w:fill="000000"/>
            <w:vAlign w:val="center"/>
          </w:tcPr>
          <w:p w14:paraId="17880145" w14:textId="73959AA0" w:rsidR="002D578D" w:rsidRPr="00BF136E" w:rsidRDefault="00320A42" w:rsidP="004E2A40">
            <w:pPr>
              <w:pStyle w:val="COMTableheadingrow"/>
              <w:keepNext w:val="0"/>
              <w:jc w:val="center"/>
              <w:rPr>
                <w:rFonts w:cs="Calibri"/>
                <w:b w:val="0"/>
                <w:bCs/>
                <w:iCs/>
                <w:color w:val="000000"/>
                <w:szCs w:val="20"/>
                <w:highlight w:val="darkGray"/>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57A56B83" w14:textId="77777777" w:rsidR="002D578D" w:rsidRPr="00842145" w:rsidRDefault="002D578D" w:rsidP="004E2A40">
            <w:pPr>
              <w:pStyle w:val="COMTableheadingrow"/>
              <w:keepNext w:val="0"/>
              <w:jc w:val="center"/>
              <w:rPr>
                <w:rFonts w:cs="Calibri"/>
                <w:b w:val="0"/>
                <w:bCs/>
                <w:iCs/>
                <w:color w:val="000000"/>
                <w:szCs w:val="20"/>
              </w:rPr>
            </w:pPr>
            <w:r w:rsidRPr="00842145">
              <w:rPr>
                <w:rFonts w:cs="Calibri"/>
                <w:b w:val="0"/>
                <w:bCs/>
                <w:iCs/>
                <w:color w:val="000000"/>
                <w:szCs w:val="20"/>
              </w:rPr>
              <w:t>0.0599</w:t>
            </w:r>
          </w:p>
        </w:tc>
        <w:tc>
          <w:tcPr>
            <w:tcW w:w="713" w:type="pct"/>
            <w:vAlign w:val="center"/>
          </w:tcPr>
          <w:p w14:paraId="001A6A51" w14:textId="6BAAA12C" w:rsidR="002D578D" w:rsidRPr="00BF136E" w:rsidRDefault="00320A42" w:rsidP="004E2A40">
            <w:pPr>
              <w:pStyle w:val="COMTableheadingrow"/>
              <w:keepNext w:val="0"/>
              <w:jc w:val="center"/>
              <w:rPr>
                <w:rFonts w:cs="Calibri"/>
                <w:b w:val="0"/>
                <w:bCs/>
                <w:iCs/>
                <w:color w:val="000000"/>
                <w:szCs w:val="20"/>
                <w:highlight w:val="darkGray"/>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6</w:t>
            </w:r>
          </w:p>
        </w:tc>
        <w:tc>
          <w:tcPr>
            <w:tcW w:w="733" w:type="pct"/>
            <w:vAlign w:val="center"/>
          </w:tcPr>
          <w:p w14:paraId="106D6438" w14:textId="77777777" w:rsidR="002D578D" w:rsidRPr="00842145" w:rsidRDefault="002D578D" w:rsidP="004E2A40">
            <w:pPr>
              <w:pStyle w:val="COMTableheadingrow"/>
              <w:keepNext w:val="0"/>
              <w:jc w:val="center"/>
              <w:rPr>
                <w:rFonts w:cs="Calibri"/>
                <w:b w:val="0"/>
                <w:bCs/>
                <w:iCs/>
                <w:color w:val="000000"/>
                <w:szCs w:val="20"/>
              </w:rPr>
            </w:pPr>
            <w:r w:rsidRPr="00842145">
              <w:rPr>
                <w:rFonts w:cs="Calibri"/>
                <w:b w:val="0"/>
                <w:bCs/>
                <w:iCs/>
                <w:color w:val="000000"/>
                <w:szCs w:val="20"/>
              </w:rPr>
              <w:t>+68%</w:t>
            </w:r>
          </w:p>
        </w:tc>
      </w:tr>
      <w:tr w:rsidR="002D578D" w:rsidRPr="00842145" w14:paraId="2CE1774D" w14:textId="77777777" w:rsidTr="00320A42">
        <w:tc>
          <w:tcPr>
            <w:tcW w:w="2066" w:type="pct"/>
          </w:tcPr>
          <w:p w14:paraId="42DC6582" w14:textId="1F7CDD30" w:rsidR="002D578D" w:rsidRPr="00842145" w:rsidRDefault="002D578D" w:rsidP="004E2A40">
            <w:pPr>
              <w:pStyle w:val="COMTableheadingrow"/>
              <w:keepNext w:val="0"/>
              <w:rPr>
                <w:b w:val="0"/>
                <w:bCs/>
                <w:lang w:val="en-AU"/>
              </w:rPr>
            </w:pPr>
            <w:r w:rsidRPr="00842145">
              <w:rPr>
                <w:b w:val="0"/>
                <w:bCs/>
                <w:lang w:val="en-AU"/>
              </w:rPr>
              <w:t>Treatment effects based on FIDELITY UACR ≥ 200 mg/g subgroup</w:t>
            </w:r>
          </w:p>
        </w:tc>
        <w:tc>
          <w:tcPr>
            <w:tcW w:w="744" w:type="pct"/>
            <w:tcBorders>
              <w:bottom w:val="single" w:sz="4" w:space="0" w:color="auto"/>
            </w:tcBorders>
            <w:shd w:val="solid" w:color="000000" w:fill="000000"/>
            <w:vAlign w:val="center"/>
          </w:tcPr>
          <w:p w14:paraId="1C2F0B17" w14:textId="5B31649A"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53C9232F"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0.0611</w:t>
            </w:r>
          </w:p>
        </w:tc>
        <w:tc>
          <w:tcPr>
            <w:tcW w:w="713" w:type="pct"/>
            <w:vAlign w:val="center"/>
          </w:tcPr>
          <w:p w14:paraId="665793E5" w14:textId="5C052DCF"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sidRPr="00BF136E">
              <w:rPr>
                <w:rFonts w:cs="Arial"/>
                <w:b w:val="0"/>
                <w:bCs/>
                <w:iCs/>
                <w:szCs w:val="20"/>
                <w:vertAlign w:val="superscript"/>
              </w:rPr>
              <w:t>1</w:t>
            </w:r>
          </w:p>
        </w:tc>
        <w:tc>
          <w:tcPr>
            <w:tcW w:w="733" w:type="pct"/>
            <w:vAlign w:val="center"/>
          </w:tcPr>
          <w:p w14:paraId="48D19F84"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-10%</w:t>
            </w:r>
          </w:p>
        </w:tc>
      </w:tr>
      <w:tr w:rsidR="002D578D" w:rsidRPr="00842145" w14:paraId="12373639" w14:textId="77777777" w:rsidTr="00320A42">
        <w:tc>
          <w:tcPr>
            <w:tcW w:w="2066" w:type="pct"/>
          </w:tcPr>
          <w:p w14:paraId="60AA9179" w14:textId="0DAFBB03" w:rsidR="002D578D" w:rsidRPr="00842145" w:rsidRDefault="002D578D" w:rsidP="004E2A40">
            <w:pPr>
              <w:pStyle w:val="COMTableheadingrow"/>
              <w:keepNext w:val="0"/>
              <w:rPr>
                <w:b w:val="0"/>
                <w:bCs/>
                <w:lang w:val="en-AU"/>
              </w:rPr>
            </w:pPr>
            <w:r w:rsidRPr="00842145">
              <w:rPr>
                <w:b w:val="0"/>
                <w:bCs/>
                <w:lang w:val="en-AU"/>
              </w:rPr>
              <w:t>Treatment effects based on FIDELITY UACR ≥ 200 mg/g SGLT2i user subgroup</w:t>
            </w:r>
          </w:p>
        </w:tc>
        <w:tc>
          <w:tcPr>
            <w:tcW w:w="744" w:type="pct"/>
            <w:tcBorders>
              <w:bottom w:val="single" w:sz="4" w:space="0" w:color="auto"/>
            </w:tcBorders>
            <w:shd w:val="solid" w:color="000000" w:fill="000000"/>
            <w:vAlign w:val="center"/>
          </w:tcPr>
          <w:p w14:paraId="0A9BBA42" w14:textId="143EDECD"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13452DA7"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0.2257</w:t>
            </w:r>
          </w:p>
        </w:tc>
        <w:tc>
          <w:tcPr>
            <w:tcW w:w="713" w:type="pct"/>
            <w:vAlign w:val="center"/>
          </w:tcPr>
          <w:p w14:paraId="5FF51192" w14:textId="407CE3C2"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8</w:t>
            </w:r>
          </w:p>
        </w:tc>
        <w:tc>
          <w:tcPr>
            <w:tcW w:w="733" w:type="pct"/>
            <w:vAlign w:val="center"/>
          </w:tcPr>
          <w:p w14:paraId="57AFE6D4"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-96%</w:t>
            </w:r>
          </w:p>
        </w:tc>
      </w:tr>
      <w:tr w:rsidR="002D578D" w:rsidRPr="00842145" w14:paraId="27703763" w14:textId="77777777" w:rsidTr="00320A42">
        <w:tc>
          <w:tcPr>
            <w:tcW w:w="2066" w:type="pct"/>
          </w:tcPr>
          <w:p w14:paraId="6B27EF10" w14:textId="3AD0F5E4" w:rsidR="002D578D" w:rsidRPr="00842145" w:rsidRDefault="002D578D" w:rsidP="004E2A40">
            <w:pPr>
              <w:pStyle w:val="COMTableheadingrow"/>
              <w:keepNext w:val="0"/>
              <w:rPr>
                <w:b w:val="0"/>
                <w:bCs/>
                <w:lang w:val="en-AU"/>
              </w:rPr>
            </w:pPr>
            <w:r w:rsidRPr="00842145">
              <w:rPr>
                <w:b w:val="0"/>
                <w:bCs/>
                <w:szCs w:val="20"/>
              </w:rPr>
              <w:t>Remove progression to CKD stage 5 treatment effect</w:t>
            </w:r>
          </w:p>
        </w:tc>
        <w:tc>
          <w:tcPr>
            <w:tcW w:w="744" w:type="pct"/>
            <w:tcBorders>
              <w:bottom w:val="single" w:sz="4" w:space="0" w:color="auto"/>
            </w:tcBorders>
            <w:shd w:val="solid" w:color="000000" w:fill="000000"/>
            <w:vAlign w:val="center"/>
          </w:tcPr>
          <w:p w14:paraId="760B2827" w14:textId="566B1D4C"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25105D60"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0.0456</w:t>
            </w:r>
          </w:p>
        </w:tc>
        <w:tc>
          <w:tcPr>
            <w:tcW w:w="713" w:type="pct"/>
            <w:vAlign w:val="center"/>
          </w:tcPr>
          <w:p w14:paraId="7FDAF36E" w14:textId="5F29C975"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4</w:t>
            </w:r>
          </w:p>
        </w:tc>
        <w:tc>
          <w:tcPr>
            <w:tcW w:w="733" w:type="pct"/>
            <w:vAlign w:val="bottom"/>
          </w:tcPr>
          <w:p w14:paraId="0DB9AEB6"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+141%</w:t>
            </w:r>
          </w:p>
        </w:tc>
      </w:tr>
      <w:tr w:rsidR="002D578D" w:rsidRPr="00842145" w14:paraId="06DC1E07" w14:textId="77777777" w:rsidTr="00320A42">
        <w:tc>
          <w:tcPr>
            <w:tcW w:w="2066" w:type="pct"/>
          </w:tcPr>
          <w:p w14:paraId="17099E72" w14:textId="77777777" w:rsidR="002D578D" w:rsidRPr="00842145" w:rsidRDefault="002D578D" w:rsidP="004E2A40">
            <w:pPr>
              <w:pStyle w:val="COMTableheadingrow"/>
              <w:keepNext w:val="0"/>
              <w:rPr>
                <w:b w:val="0"/>
                <w:bCs/>
                <w:lang w:val="en-AU"/>
              </w:rPr>
            </w:pPr>
            <w:r w:rsidRPr="00842145">
              <w:rPr>
                <w:b w:val="0"/>
                <w:bCs/>
                <w:szCs w:val="20"/>
              </w:rPr>
              <w:t>Remove dialysis treatment effect</w:t>
            </w:r>
          </w:p>
        </w:tc>
        <w:tc>
          <w:tcPr>
            <w:tcW w:w="744" w:type="pct"/>
            <w:tcBorders>
              <w:bottom w:val="single" w:sz="4" w:space="0" w:color="auto"/>
            </w:tcBorders>
            <w:shd w:val="solid" w:color="000000" w:fill="000000"/>
            <w:vAlign w:val="center"/>
          </w:tcPr>
          <w:p w14:paraId="671027D8" w14:textId="5EE7A92C"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71D57EA7"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0.0542</w:t>
            </w:r>
          </w:p>
        </w:tc>
        <w:tc>
          <w:tcPr>
            <w:tcW w:w="713" w:type="pct"/>
            <w:vAlign w:val="center"/>
          </w:tcPr>
          <w:p w14:paraId="2668D02B" w14:textId="09F07437"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4</w:t>
            </w:r>
          </w:p>
        </w:tc>
        <w:tc>
          <w:tcPr>
            <w:tcW w:w="733" w:type="pct"/>
            <w:vAlign w:val="bottom"/>
          </w:tcPr>
          <w:p w14:paraId="1E06D312"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+89%</w:t>
            </w:r>
          </w:p>
        </w:tc>
      </w:tr>
      <w:tr w:rsidR="002D578D" w:rsidRPr="00842145" w14:paraId="385DF0B3" w14:textId="77777777" w:rsidTr="00320A42">
        <w:tc>
          <w:tcPr>
            <w:tcW w:w="2066" w:type="pct"/>
          </w:tcPr>
          <w:p w14:paraId="4578A6C5" w14:textId="77777777" w:rsidR="002D578D" w:rsidRPr="00842145" w:rsidRDefault="002D578D" w:rsidP="004E2A40">
            <w:pPr>
              <w:pStyle w:val="COMTableheadingrow"/>
              <w:keepNext w:val="0"/>
              <w:rPr>
                <w:b w:val="0"/>
                <w:bCs/>
                <w:szCs w:val="20"/>
              </w:rPr>
            </w:pPr>
            <w:r w:rsidRPr="00842145">
              <w:rPr>
                <w:b w:val="0"/>
                <w:bCs/>
                <w:szCs w:val="20"/>
              </w:rPr>
              <w:t>Remove dialysis treatment effect for patients in CKD stage 5</w:t>
            </w:r>
          </w:p>
        </w:tc>
        <w:tc>
          <w:tcPr>
            <w:tcW w:w="744" w:type="pct"/>
            <w:tcBorders>
              <w:bottom w:val="single" w:sz="4" w:space="0" w:color="auto"/>
            </w:tcBorders>
            <w:shd w:val="solid" w:color="000000" w:fill="000000"/>
            <w:vAlign w:val="center"/>
          </w:tcPr>
          <w:p w14:paraId="40A29E32" w14:textId="493215C4"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399BBAB5"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0.0579</w:t>
            </w:r>
          </w:p>
        </w:tc>
        <w:tc>
          <w:tcPr>
            <w:tcW w:w="713" w:type="pct"/>
            <w:vAlign w:val="center"/>
          </w:tcPr>
          <w:p w14:paraId="265683BA" w14:textId="6B7DD455"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5</w:t>
            </w:r>
          </w:p>
        </w:tc>
        <w:tc>
          <w:tcPr>
            <w:tcW w:w="733" w:type="pct"/>
            <w:vAlign w:val="center"/>
          </w:tcPr>
          <w:p w14:paraId="60084578"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+29%</w:t>
            </w:r>
          </w:p>
        </w:tc>
      </w:tr>
      <w:tr w:rsidR="002D578D" w:rsidRPr="00842145" w14:paraId="01FE8E40" w14:textId="77777777" w:rsidTr="00320A42">
        <w:tc>
          <w:tcPr>
            <w:tcW w:w="2066" w:type="pct"/>
          </w:tcPr>
          <w:p w14:paraId="06E7D048" w14:textId="77777777" w:rsidR="002D578D" w:rsidRPr="00842145" w:rsidRDefault="002D578D" w:rsidP="004E2A40">
            <w:pPr>
              <w:pStyle w:val="COMTableheadingrow"/>
              <w:keepNext w:val="0"/>
              <w:rPr>
                <w:b w:val="0"/>
                <w:bCs/>
                <w:szCs w:val="20"/>
              </w:rPr>
            </w:pPr>
            <w:r w:rsidRPr="00842145">
              <w:rPr>
                <w:b w:val="0"/>
                <w:bCs/>
                <w:szCs w:val="20"/>
              </w:rPr>
              <w:t>Remove dialysis treatment effect for patients in CKD stages 1-4</w:t>
            </w:r>
          </w:p>
        </w:tc>
        <w:tc>
          <w:tcPr>
            <w:tcW w:w="744" w:type="pct"/>
            <w:tcBorders>
              <w:bottom w:val="single" w:sz="4" w:space="0" w:color="auto"/>
            </w:tcBorders>
            <w:shd w:val="solid" w:color="000000" w:fill="000000"/>
            <w:vAlign w:val="center"/>
          </w:tcPr>
          <w:p w14:paraId="062E180D" w14:textId="59D64559" w:rsidR="002D578D" w:rsidRPr="00C33755" w:rsidRDefault="00320A42" w:rsidP="004E2A40">
            <w:pPr>
              <w:pStyle w:val="COMTableheadingrow"/>
              <w:keepNext w:val="0"/>
              <w:jc w:val="center"/>
              <w:rPr>
                <w:rFonts w:cs="Calibri"/>
                <w:b w:val="0"/>
                <w:bCs/>
                <w:iCs/>
                <w:color w:val="000000"/>
                <w:szCs w:val="20"/>
                <w:highlight w:val="darkGray"/>
              </w:rPr>
            </w:pPr>
            <w:r w:rsidRPr="00320A42">
              <w:rPr>
                <w:b w:val="0"/>
                <w:bCs/>
                <w:iCs/>
                <w:color w:val="000000"/>
                <w14:textFill>
                  <w14:solidFill>
                    <w14:srgbClr w14:val="000000">
                      <w14:alpha w14:val="100000"/>
                    </w14:srgbClr>
                  </w14:solidFill>
                </w14:textFill>
              </w:rPr>
              <w:t>|</w:t>
            </w:r>
          </w:p>
        </w:tc>
        <w:tc>
          <w:tcPr>
            <w:tcW w:w="744" w:type="pct"/>
            <w:vAlign w:val="center"/>
          </w:tcPr>
          <w:p w14:paraId="315D5F8C" w14:textId="77777777" w:rsidR="002D578D" w:rsidRPr="00842145" w:rsidRDefault="002D578D" w:rsidP="004E2A40">
            <w:pPr>
              <w:pStyle w:val="COMTableheadingrow"/>
              <w:keepNext w:val="0"/>
              <w:jc w:val="center"/>
              <w:rPr>
                <w:rFonts w:cs="Calibri"/>
                <w:b w:val="0"/>
                <w:bCs/>
                <w:iCs/>
                <w:color w:val="000000"/>
                <w:szCs w:val="20"/>
              </w:rPr>
            </w:pPr>
            <w:r w:rsidRPr="00842145">
              <w:rPr>
                <w:b w:val="0"/>
                <w:bCs/>
                <w:iCs/>
              </w:rPr>
              <w:t>0.0557</w:t>
            </w:r>
          </w:p>
        </w:tc>
        <w:tc>
          <w:tcPr>
            <w:tcW w:w="713" w:type="pct"/>
            <w:vAlign w:val="center"/>
          </w:tcPr>
          <w:p w14:paraId="662759DF" w14:textId="62680323" w:rsidR="002D578D" w:rsidRPr="00BF136E" w:rsidRDefault="00320A42" w:rsidP="004E2A40">
            <w:pPr>
              <w:pStyle w:val="COMTableheadingrow"/>
              <w:keepNext w:val="0"/>
              <w:jc w:val="center"/>
              <w:rPr>
                <w:rFonts w:cs="Calibri"/>
                <w:b w:val="0"/>
                <w:bCs/>
                <w:iCs/>
                <w:color w:val="000000"/>
                <w:szCs w:val="20"/>
                <w:highlight w:val="darkGray"/>
              </w:rPr>
            </w:pPr>
            <w:r w:rsidRPr="00320A42">
              <w:rPr>
                <w:b w:val="0"/>
                <w:bCs/>
                <w:iCs/>
                <w:color w:val="000000"/>
                <w:shd w:val="solid" w:color="000000" w:fill="000000"/>
                <w14:textFill>
                  <w14:solidFill>
                    <w14:srgbClr w14:val="000000">
                      <w14:alpha w14:val="100000"/>
                    </w14:srgbClr>
                  </w14:solidFill>
                </w14:textFill>
              </w:rPr>
              <w:t>|</w:t>
            </w:r>
            <w:r w:rsidR="00BF136E">
              <w:rPr>
                <w:rFonts w:cs="Arial"/>
                <w:b w:val="0"/>
                <w:bCs/>
                <w:iCs/>
                <w:szCs w:val="20"/>
                <w:vertAlign w:val="superscript"/>
              </w:rPr>
              <w:t>6</w:t>
            </w:r>
          </w:p>
        </w:tc>
        <w:tc>
          <w:tcPr>
            <w:tcW w:w="733" w:type="pct"/>
            <w:vAlign w:val="center"/>
          </w:tcPr>
          <w:p w14:paraId="0EAF9BF4" w14:textId="77777777" w:rsidR="002D578D" w:rsidRPr="00842145" w:rsidRDefault="002D578D" w:rsidP="004E2A40">
            <w:pPr>
              <w:pStyle w:val="COMTableheadingrow"/>
              <w:keepNext w:val="0"/>
              <w:jc w:val="center"/>
              <w:rPr>
                <w:rFonts w:cs="Calibri"/>
                <w:b w:val="0"/>
                <w:bCs/>
                <w:iCs/>
                <w:color w:val="000000"/>
                <w:szCs w:val="20"/>
              </w:rPr>
            </w:pPr>
            <w:r w:rsidRPr="00842145">
              <w:rPr>
                <w:b w:val="0"/>
                <w:bCs/>
                <w:iCs/>
              </w:rPr>
              <w:t>+58%</w:t>
            </w:r>
          </w:p>
        </w:tc>
      </w:tr>
      <w:tr w:rsidR="002D578D" w:rsidRPr="00842145" w14:paraId="65C07DB5" w14:textId="77777777" w:rsidTr="00320A42">
        <w:tc>
          <w:tcPr>
            <w:tcW w:w="2066" w:type="pct"/>
            <w:vAlign w:val="bottom"/>
          </w:tcPr>
          <w:p w14:paraId="166F4503" w14:textId="77777777" w:rsidR="002D578D" w:rsidRPr="00842145" w:rsidRDefault="002D578D" w:rsidP="004E2A40">
            <w:pPr>
              <w:pStyle w:val="COMTableheadingrow"/>
              <w:keepNext w:val="0"/>
              <w:rPr>
                <w:b w:val="0"/>
                <w:bCs/>
                <w:szCs w:val="20"/>
              </w:rPr>
            </w:pPr>
            <w:r w:rsidRPr="00842145">
              <w:rPr>
                <w:b w:val="0"/>
                <w:bCs/>
                <w:szCs w:val="20"/>
              </w:rPr>
              <w:t>Finerenone 100% adherence</w:t>
            </w:r>
          </w:p>
        </w:tc>
        <w:tc>
          <w:tcPr>
            <w:tcW w:w="744" w:type="pct"/>
            <w:tcBorders>
              <w:bottom w:val="single" w:sz="4" w:space="0" w:color="auto"/>
            </w:tcBorders>
            <w:shd w:val="solid" w:color="000000" w:fill="000000"/>
            <w:vAlign w:val="center"/>
          </w:tcPr>
          <w:p w14:paraId="45B74581" w14:textId="12438FF2" w:rsidR="002D578D" w:rsidRPr="00C33755"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22F22F4C"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0.0594</w:t>
            </w:r>
          </w:p>
        </w:tc>
        <w:tc>
          <w:tcPr>
            <w:tcW w:w="713" w:type="pct"/>
            <w:vAlign w:val="center"/>
          </w:tcPr>
          <w:p w14:paraId="400D2A63" w14:textId="47E18361" w:rsidR="002D578D" w:rsidRPr="00BF136E"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5</w:t>
            </w:r>
          </w:p>
        </w:tc>
        <w:tc>
          <w:tcPr>
            <w:tcW w:w="733" w:type="pct"/>
            <w:vAlign w:val="bottom"/>
          </w:tcPr>
          <w:p w14:paraId="541FDF25"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+25%</w:t>
            </w:r>
          </w:p>
        </w:tc>
      </w:tr>
      <w:tr w:rsidR="002D578D" w:rsidRPr="00842145" w14:paraId="7EEE6373" w14:textId="77777777" w:rsidTr="00320A42">
        <w:tc>
          <w:tcPr>
            <w:tcW w:w="2066" w:type="pct"/>
            <w:vAlign w:val="bottom"/>
          </w:tcPr>
          <w:p w14:paraId="24A37ED8" w14:textId="77777777" w:rsidR="002D578D" w:rsidRPr="00842145" w:rsidRDefault="002D578D" w:rsidP="004E2A40">
            <w:pPr>
              <w:pStyle w:val="COMTableheadingrow"/>
              <w:keepNext w:val="0"/>
              <w:rPr>
                <w:b w:val="0"/>
                <w:bCs/>
                <w:szCs w:val="20"/>
              </w:rPr>
            </w:pPr>
            <w:r w:rsidRPr="00842145">
              <w:rPr>
                <w:b w:val="0"/>
                <w:bCs/>
                <w:szCs w:val="20"/>
              </w:rPr>
              <w:t>Finerenone price based on dapagliflozin CKD DPMQ ($56.97)</w:t>
            </w:r>
          </w:p>
        </w:tc>
        <w:tc>
          <w:tcPr>
            <w:tcW w:w="744" w:type="pct"/>
            <w:tcBorders>
              <w:bottom w:val="single" w:sz="4" w:space="0" w:color="auto"/>
            </w:tcBorders>
            <w:shd w:val="solid" w:color="000000" w:fill="000000"/>
            <w:vAlign w:val="center"/>
          </w:tcPr>
          <w:p w14:paraId="2F45E223" w14:textId="18F1953C" w:rsidR="002D578D" w:rsidRPr="00C33755" w:rsidRDefault="00320A42" w:rsidP="004E2A40">
            <w:pPr>
              <w:pStyle w:val="COMTableheadingrow"/>
              <w:keepNext w:val="0"/>
              <w:jc w:val="center"/>
              <w:rPr>
                <w:rFonts w:cs="Calibri"/>
                <w:b w:val="0"/>
                <w:bCs/>
                <w:iCs/>
                <w:color w:val="000000"/>
                <w:szCs w:val="20"/>
                <w:highlight w:val="darkGray"/>
              </w:rPr>
            </w:pPr>
            <w:r w:rsidRPr="00320A42">
              <w:rPr>
                <w:rFonts w:eastAsia="Times New Roman" w:cs="Calibri"/>
                <w:b w:val="0"/>
                <w:bCs/>
                <w:iCs/>
                <w:color w:val="000000"/>
                <w:szCs w:val="20"/>
                <w14:textFill>
                  <w14:solidFill>
                    <w14:srgbClr w14:val="000000">
                      <w14:alpha w14:val="100000"/>
                    </w14:srgbClr>
                  </w14:solidFill>
                </w14:textFill>
              </w:rPr>
              <w:t>|</w:t>
            </w:r>
          </w:p>
        </w:tc>
        <w:tc>
          <w:tcPr>
            <w:tcW w:w="744" w:type="pct"/>
            <w:vAlign w:val="center"/>
          </w:tcPr>
          <w:p w14:paraId="27011F00" w14:textId="77777777" w:rsidR="002D578D" w:rsidRPr="00842145" w:rsidRDefault="002D578D" w:rsidP="004E2A40">
            <w:pPr>
              <w:pStyle w:val="COMTableheadingrow"/>
              <w:keepNext w:val="0"/>
              <w:jc w:val="center"/>
              <w:rPr>
                <w:rFonts w:cs="Calibri"/>
                <w:b w:val="0"/>
                <w:bCs/>
                <w:iCs/>
                <w:color w:val="000000"/>
                <w:szCs w:val="20"/>
              </w:rPr>
            </w:pPr>
            <w:r w:rsidRPr="00842145">
              <w:rPr>
                <w:rFonts w:eastAsia="Times New Roman" w:cs="Calibri"/>
                <w:b w:val="0"/>
                <w:bCs/>
                <w:iCs/>
                <w:color w:val="000000"/>
                <w:szCs w:val="20"/>
              </w:rPr>
              <w:t>0.0594</w:t>
            </w:r>
          </w:p>
        </w:tc>
        <w:tc>
          <w:tcPr>
            <w:tcW w:w="713" w:type="pct"/>
            <w:vAlign w:val="center"/>
          </w:tcPr>
          <w:p w14:paraId="710F0502" w14:textId="77777777" w:rsidR="002D578D" w:rsidRPr="00842145" w:rsidRDefault="002D578D" w:rsidP="004E2A40">
            <w:pPr>
              <w:pStyle w:val="COMTableheadingrow"/>
              <w:keepNext w:val="0"/>
              <w:jc w:val="center"/>
              <w:rPr>
                <w:rFonts w:cs="Calibri"/>
                <w:b w:val="0"/>
                <w:bCs/>
                <w:iCs/>
                <w:color w:val="000000"/>
                <w:szCs w:val="20"/>
              </w:rPr>
            </w:pPr>
            <w:r w:rsidRPr="00842145">
              <w:rPr>
                <w:rFonts w:eastAsia="Times New Roman" w:cs="Calibri"/>
                <w:b w:val="0"/>
                <w:bCs/>
                <w:iCs/>
                <w:color w:val="000000"/>
                <w:szCs w:val="20"/>
              </w:rPr>
              <w:t>Dominant</w:t>
            </w:r>
          </w:p>
        </w:tc>
        <w:tc>
          <w:tcPr>
            <w:tcW w:w="733" w:type="pct"/>
            <w:vAlign w:val="center"/>
          </w:tcPr>
          <w:p w14:paraId="68401EE7" w14:textId="77777777" w:rsidR="002D578D" w:rsidRPr="00842145" w:rsidRDefault="002D578D" w:rsidP="004E2A40">
            <w:pPr>
              <w:pStyle w:val="COMTableheadingrow"/>
              <w:keepNext w:val="0"/>
              <w:jc w:val="center"/>
              <w:rPr>
                <w:rFonts w:cs="Calibri"/>
                <w:b w:val="0"/>
                <w:bCs/>
                <w:iCs/>
                <w:color w:val="000000"/>
                <w:szCs w:val="20"/>
              </w:rPr>
            </w:pPr>
            <w:r w:rsidRPr="00842145">
              <w:rPr>
                <w:rFonts w:eastAsia="Times New Roman" w:cs="Calibri"/>
                <w:b w:val="0"/>
                <w:bCs/>
                <w:iCs/>
                <w:color w:val="000000"/>
                <w:szCs w:val="20"/>
              </w:rPr>
              <w:t>NE</w:t>
            </w:r>
          </w:p>
        </w:tc>
      </w:tr>
      <w:tr w:rsidR="002D578D" w:rsidRPr="00842145" w14:paraId="7F095E72" w14:textId="77777777" w:rsidTr="00320A42">
        <w:tc>
          <w:tcPr>
            <w:tcW w:w="2066" w:type="pct"/>
            <w:vAlign w:val="bottom"/>
          </w:tcPr>
          <w:p w14:paraId="1A6A2353" w14:textId="77777777" w:rsidR="002D578D" w:rsidRPr="00842145" w:rsidRDefault="002D578D" w:rsidP="004E2A40">
            <w:pPr>
              <w:pStyle w:val="COMTableheadingrow"/>
              <w:keepNext w:val="0"/>
              <w:rPr>
                <w:b w:val="0"/>
                <w:bCs/>
                <w:szCs w:val="20"/>
              </w:rPr>
            </w:pPr>
            <w:r w:rsidRPr="00842145">
              <w:rPr>
                <w:b w:val="0"/>
                <w:bCs/>
                <w:szCs w:val="20"/>
              </w:rPr>
              <w:t>Increase dialysis costs by 25%</w:t>
            </w:r>
          </w:p>
        </w:tc>
        <w:tc>
          <w:tcPr>
            <w:tcW w:w="744" w:type="pct"/>
            <w:tcBorders>
              <w:bottom w:val="single" w:sz="4" w:space="0" w:color="auto"/>
            </w:tcBorders>
            <w:shd w:val="solid" w:color="000000" w:fill="000000"/>
            <w:vAlign w:val="center"/>
          </w:tcPr>
          <w:p w14:paraId="74D9D408" w14:textId="68D8BE0A" w:rsidR="002D578D" w:rsidRPr="00C33755"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63A82F8A"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0.0594</w:t>
            </w:r>
          </w:p>
        </w:tc>
        <w:tc>
          <w:tcPr>
            <w:tcW w:w="713" w:type="pct"/>
            <w:vAlign w:val="center"/>
          </w:tcPr>
          <w:p w14:paraId="4634AC0E" w14:textId="0E6E1F29" w:rsidR="002D578D" w:rsidRPr="00C33755"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2</w:t>
            </w:r>
          </w:p>
        </w:tc>
        <w:tc>
          <w:tcPr>
            <w:tcW w:w="733" w:type="pct"/>
            <w:vAlign w:val="bottom"/>
          </w:tcPr>
          <w:p w14:paraId="6DB976A4"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-46%</w:t>
            </w:r>
          </w:p>
        </w:tc>
      </w:tr>
      <w:tr w:rsidR="002D578D" w:rsidRPr="00842145" w14:paraId="0139F714" w14:textId="77777777" w:rsidTr="00320A42">
        <w:tc>
          <w:tcPr>
            <w:tcW w:w="2066" w:type="pct"/>
            <w:vAlign w:val="bottom"/>
          </w:tcPr>
          <w:p w14:paraId="257938C5" w14:textId="77777777" w:rsidR="002D578D" w:rsidRPr="00842145" w:rsidRDefault="002D578D" w:rsidP="004E2A40">
            <w:pPr>
              <w:pStyle w:val="COMTableheadingrow"/>
              <w:keepNext w:val="0"/>
              <w:rPr>
                <w:b w:val="0"/>
                <w:bCs/>
                <w:szCs w:val="20"/>
              </w:rPr>
            </w:pPr>
            <w:r w:rsidRPr="00842145">
              <w:rPr>
                <w:b w:val="0"/>
                <w:bCs/>
                <w:szCs w:val="20"/>
              </w:rPr>
              <w:t>Decrease dialysis costs by 25%</w:t>
            </w:r>
          </w:p>
        </w:tc>
        <w:tc>
          <w:tcPr>
            <w:tcW w:w="744" w:type="pct"/>
            <w:shd w:val="solid" w:color="000000" w:fill="000000"/>
            <w:vAlign w:val="center"/>
          </w:tcPr>
          <w:p w14:paraId="3683B30F" w14:textId="1567C986" w:rsidR="002D578D" w:rsidRPr="00C33755" w:rsidRDefault="00320A42" w:rsidP="004E2A40">
            <w:pPr>
              <w:pStyle w:val="COMTableheadingrow"/>
              <w:keepNext w:val="0"/>
              <w:jc w:val="center"/>
              <w:rPr>
                <w:b w:val="0"/>
                <w:bCs/>
                <w:iCs/>
                <w:highlight w:val="darkGray"/>
                <w:lang w:val="en-AU"/>
              </w:rPr>
            </w:pPr>
            <w:r w:rsidRPr="00320A42">
              <w:rPr>
                <w:rFonts w:cs="Calibri"/>
                <w:b w:val="0"/>
                <w:bCs/>
                <w:iCs/>
                <w:color w:val="000000"/>
                <w:szCs w:val="20"/>
                <w14:textFill>
                  <w14:solidFill>
                    <w14:srgbClr w14:val="000000">
                      <w14:alpha w14:val="100000"/>
                    </w14:srgbClr>
                  </w14:solidFill>
                </w14:textFill>
              </w:rPr>
              <w:t>|</w:t>
            </w:r>
          </w:p>
        </w:tc>
        <w:tc>
          <w:tcPr>
            <w:tcW w:w="744" w:type="pct"/>
            <w:vAlign w:val="center"/>
          </w:tcPr>
          <w:p w14:paraId="757929F3"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0.0594</w:t>
            </w:r>
          </w:p>
        </w:tc>
        <w:tc>
          <w:tcPr>
            <w:tcW w:w="713" w:type="pct"/>
            <w:vAlign w:val="center"/>
          </w:tcPr>
          <w:p w14:paraId="444B57DF" w14:textId="07D35F6C" w:rsidR="002D578D" w:rsidRPr="00C33755" w:rsidRDefault="00320A42" w:rsidP="004E2A40">
            <w:pPr>
              <w:pStyle w:val="COMTableheadingrow"/>
              <w:keepNext w:val="0"/>
              <w:jc w:val="center"/>
              <w:rPr>
                <w:b w:val="0"/>
                <w:bCs/>
                <w:iCs/>
                <w:highlight w:val="darkGray"/>
                <w:lang w:val="en-AU"/>
              </w:rPr>
            </w:pPr>
            <w:r w:rsidRPr="00320A42">
              <w:rPr>
                <w:rFonts w:cs="Calibri"/>
                <w:b w:val="0"/>
                <w:bCs/>
                <w:iCs/>
                <w:color w:val="000000"/>
                <w:szCs w:val="20"/>
                <w:shd w:val="solid" w:color="000000" w:fill="000000"/>
                <w14:textFill>
                  <w14:solidFill>
                    <w14:srgbClr w14:val="000000">
                      <w14:alpha w14:val="100000"/>
                    </w14:srgbClr>
                  </w14:solidFill>
                </w14:textFill>
              </w:rPr>
              <w:t>|</w:t>
            </w:r>
            <w:r w:rsidR="00BF136E">
              <w:rPr>
                <w:rFonts w:cs="Arial"/>
                <w:b w:val="0"/>
                <w:bCs/>
                <w:iCs/>
                <w:szCs w:val="20"/>
                <w:vertAlign w:val="superscript"/>
              </w:rPr>
              <w:t>5</w:t>
            </w:r>
          </w:p>
        </w:tc>
        <w:tc>
          <w:tcPr>
            <w:tcW w:w="733" w:type="pct"/>
            <w:vAlign w:val="bottom"/>
          </w:tcPr>
          <w:p w14:paraId="1976E4F3" w14:textId="77777777" w:rsidR="002D578D" w:rsidRPr="00842145" w:rsidRDefault="002D578D" w:rsidP="004E2A40">
            <w:pPr>
              <w:pStyle w:val="COMTableheadingrow"/>
              <w:keepNext w:val="0"/>
              <w:jc w:val="center"/>
              <w:rPr>
                <w:b w:val="0"/>
                <w:bCs/>
                <w:iCs/>
                <w:lang w:val="en-AU"/>
              </w:rPr>
            </w:pPr>
            <w:r w:rsidRPr="00842145">
              <w:rPr>
                <w:rFonts w:cs="Calibri"/>
                <w:b w:val="0"/>
                <w:bCs/>
                <w:iCs/>
                <w:color w:val="000000"/>
                <w:szCs w:val="20"/>
              </w:rPr>
              <w:t>+46%</w:t>
            </w:r>
          </w:p>
        </w:tc>
      </w:tr>
    </w:tbl>
    <w:p w14:paraId="27C8619B" w14:textId="7D75F854" w:rsidR="008449E6" w:rsidRDefault="008449E6" w:rsidP="008449E6">
      <w:pPr>
        <w:pStyle w:val="COMTablefooter"/>
        <w:rPr>
          <w:szCs w:val="18"/>
        </w:rPr>
      </w:pPr>
      <w:r w:rsidRPr="00857089">
        <w:rPr>
          <w:szCs w:val="18"/>
        </w:rPr>
        <w:t>Source: Constructed during the evaluation using the ‘Section_3_model’ spreadsheet provided with the resubmission</w:t>
      </w:r>
      <w:r w:rsidR="007E6945">
        <w:rPr>
          <w:szCs w:val="18"/>
        </w:rPr>
        <w:t>.</w:t>
      </w:r>
    </w:p>
    <w:p w14:paraId="29157C33" w14:textId="6D4FE08F" w:rsidR="008449E6" w:rsidRDefault="008449E6" w:rsidP="00C33755">
      <w:pPr>
        <w:pStyle w:val="COMTablefooter"/>
        <w:spacing w:after="0"/>
      </w:pPr>
      <w:r w:rsidRPr="007D210F">
        <w:t xml:space="preserve">Abbreviations: CKD, chronic kidney disease; </w:t>
      </w:r>
      <w:r>
        <w:t xml:space="preserve">CV, cardiovascular; </w:t>
      </w:r>
      <w:r w:rsidRPr="007D210F">
        <w:t xml:space="preserve">FAS, full analysis set; HHF, hospitalisation for heart failure; ICER, incremental cost effectiveness ratio; </w:t>
      </w:r>
      <w:r w:rsidR="002D578D">
        <w:t xml:space="preserve">NE, not estimable; </w:t>
      </w:r>
      <w:r w:rsidRPr="007D210F">
        <w:t>QALY, quality adjusted life year</w:t>
      </w:r>
      <w:r>
        <w:t>;</w:t>
      </w:r>
      <w:r w:rsidRPr="00D45F1D">
        <w:t xml:space="preserve"> </w:t>
      </w:r>
      <w:r w:rsidRPr="007D210F">
        <w:t>SGLT2</w:t>
      </w:r>
      <w:r w:rsidR="007E6945">
        <w:t>i</w:t>
      </w:r>
      <w:r w:rsidRPr="007D210F">
        <w:t>, sodium-glucose co-transporter-2</w:t>
      </w:r>
      <w:r w:rsidR="007E6945">
        <w:t xml:space="preserve"> inhibitor</w:t>
      </w:r>
      <w:r w:rsidRPr="007D210F">
        <w:t>; UACR, urinary albumin-to-creatinine ratio</w:t>
      </w:r>
      <w:r w:rsidR="007E6945">
        <w:t>.</w:t>
      </w:r>
    </w:p>
    <w:p w14:paraId="7ACB000F" w14:textId="77777777" w:rsidR="00BF136E" w:rsidRPr="009A6D58" w:rsidRDefault="00BF136E" w:rsidP="00BF136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8CE2A98" w14:textId="6A607317" w:rsidR="00BF136E" w:rsidRPr="009A6D58" w:rsidRDefault="00BF136E" w:rsidP="00BF136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F136E">
        <w:rPr>
          <w:rFonts w:ascii="Arial Narrow" w:hAnsi="Arial Narrow"/>
          <w:i/>
          <w:sz w:val="18"/>
          <w:szCs w:val="18"/>
        </w:rPr>
        <w:t>$25,000 to &lt; $35,000</w:t>
      </w:r>
    </w:p>
    <w:p w14:paraId="7844FFD4" w14:textId="0B30F3F7" w:rsidR="00BF136E" w:rsidRPr="009A6D58" w:rsidRDefault="00BF136E" w:rsidP="00BF136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BF136E">
        <w:rPr>
          <w:rFonts w:ascii="Arial Narrow" w:hAnsi="Arial Narrow"/>
          <w:i/>
          <w:sz w:val="18"/>
          <w:szCs w:val="18"/>
        </w:rPr>
        <w:t>$15,000 to &lt; $25,000</w:t>
      </w:r>
    </w:p>
    <w:p w14:paraId="0A175677" w14:textId="3235B205" w:rsidR="00BF136E" w:rsidRDefault="00BF136E" w:rsidP="00BF136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BF136E">
        <w:rPr>
          <w:rFonts w:ascii="Arial Narrow" w:hAnsi="Arial Narrow"/>
          <w:i/>
          <w:sz w:val="18"/>
          <w:szCs w:val="18"/>
        </w:rPr>
        <w:t>$155,000 to &lt; $255,000</w:t>
      </w:r>
    </w:p>
    <w:p w14:paraId="3C5CBCD1" w14:textId="6ECD7A88" w:rsidR="00BF136E" w:rsidRDefault="00BF136E" w:rsidP="00BF136E">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BF136E">
        <w:rPr>
          <w:rFonts w:ascii="Arial Narrow" w:hAnsi="Arial Narrow"/>
          <w:i/>
          <w:sz w:val="18"/>
          <w:szCs w:val="18"/>
        </w:rPr>
        <w:t>$55,000 to &lt; $75,000</w:t>
      </w:r>
    </w:p>
    <w:p w14:paraId="4CC4707F" w14:textId="541415F2" w:rsidR="00BF136E" w:rsidRDefault="00BF136E" w:rsidP="00BF136E">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BF136E">
        <w:rPr>
          <w:rFonts w:ascii="Arial Narrow" w:hAnsi="Arial Narrow"/>
          <w:i/>
          <w:sz w:val="18"/>
          <w:szCs w:val="18"/>
        </w:rPr>
        <w:t>$35,000 to &lt; $45,000</w:t>
      </w:r>
    </w:p>
    <w:p w14:paraId="271C986C" w14:textId="41D3EA3F" w:rsidR="00BF136E" w:rsidRDefault="00BF136E" w:rsidP="00BF136E">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BF136E">
        <w:rPr>
          <w:rFonts w:ascii="Arial Narrow" w:hAnsi="Arial Narrow"/>
          <w:i/>
          <w:sz w:val="18"/>
          <w:szCs w:val="18"/>
        </w:rPr>
        <w:t>$45,000 to &lt; $55,000</w:t>
      </w:r>
    </w:p>
    <w:p w14:paraId="0F102A60" w14:textId="2997463B" w:rsidR="00BF136E" w:rsidRPr="009A6D58" w:rsidRDefault="00BF136E" w:rsidP="00BF136E">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BF136E">
        <w:rPr>
          <w:rFonts w:ascii="Arial Narrow" w:hAnsi="Arial Narrow"/>
          <w:i/>
          <w:sz w:val="18"/>
          <w:szCs w:val="18"/>
        </w:rPr>
        <w:t>$5,000 to &lt; $15,000</w:t>
      </w:r>
    </w:p>
    <w:p w14:paraId="7A364EC2" w14:textId="066BC188" w:rsidR="00BF136E" w:rsidRPr="009A6D58" w:rsidRDefault="00BF136E" w:rsidP="00BF136E">
      <w:pPr>
        <w:spacing w:after="120"/>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BF136E">
        <w:rPr>
          <w:rFonts w:ascii="Arial Narrow" w:hAnsi="Arial Narrow"/>
          <w:i/>
          <w:sz w:val="18"/>
          <w:szCs w:val="18"/>
        </w:rPr>
        <w:t>$0 to &lt; $5,000</w:t>
      </w:r>
    </w:p>
    <w:p w14:paraId="16C8653C" w14:textId="363C4764" w:rsidR="008C5739" w:rsidRPr="00BB00B3" w:rsidRDefault="00164477" w:rsidP="008C5739">
      <w:pPr>
        <w:pStyle w:val="COMexecsumnumberedpara"/>
        <w:rPr>
          <w:color w:val="0066FF"/>
        </w:rPr>
      </w:pPr>
      <w:r w:rsidRPr="00842145">
        <w:rPr>
          <w:iCs/>
        </w:rPr>
        <w:t>The results of the sensitivity analyses indicated that the model was most sensitive to a shorter time horizon, population characteristics informing baseline risk (age, CKD stage distribution), placebo arm transition probabilities between CKD stage/kidney failure health states, finerenone treatment effects (particularly for renal outcomes), and dialysis costs.</w:t>
      </w:r>
      <w:r w:rsidRPr="00EE7219">
        <w:t xml:space="preserve"> </w:t>
      </w:r>
      <w:r w:rsidRPr="00842145">
        <w:rPr>
          <w:iCs/>
        </w:rPr>
        <w:t>The impact of varying finerenone treatment discontinuation by CKD stage was not able to be assessed during the evaluation.</w:t>
      </w:r>
      <w:r w:rsidR="008C5739">
        <w:rPr>
          <w:color w:val="0066FF"/>
        </w:rPr>
        <w:t xml:space="preserve"> </w:t>
      </w:r>
    </w:p>
    <w:p w14:paraId="472842D7" w14:textId="0AF3E7D7" w:rsidR="00C25D9C" w:rsidRDefault="00C25D9C" w:rsidP="00BB732D">
      <w:pPr>
        <w:pStyle w:val="COMH2-non-numbered"/>
      </w:pPr>
      <w:bookmarkStart w:id="49" w:name="_Toc22897646"/>
      <w:bookmarkStart w:id="50" w:name="_Toc124857608"/>
      <w:r w:rsidRPr="002C2775">
        <w:t>Drug cost/patient/year</w:t>
      </w:r>
      <w:bookmarkEnd w:id="49"/>
      <w:bookmarkEnd w:id="50"/>
    </w:p>
    <w:p w14:paraId="14C9C260" w14:textId="616C56DF" w:rsidR="005E51D1" w:rsidRPr="004B23A9" w:rsidRDefault="005E51D1" w:rsidP="002D578D">
      <w:pPr>
        <w:pStyle w:val="COMexecsumnumberedpara"/>
      </w:pPr>
      <w:bookmarkStart w:id="51" w:name="_Ref104805102"/>
      <w:r w:rsidRPr="007D210F">
        <w:t>The resubmission proposed a flat pricing structure for both dose strengths (10 and 20</w:t>
      </w:r>
      <w:r>
        <w:t> </w:t>
      </w:r>
      <w:r w:rsidRPr="007D210F">
        <w:t>mg) of finerenone. The estimated drug cost for finerenone per patient per year was $</w:t>
      </w:r>
      <w:r w:rsidR="00320A42" w:rsidRPr="005562EE">
        <w:rPr>
          <w:color w:val="000000"/>
          <w:w w:val="15"/>
          <w:shd w:val="solid" w:color="000000" w:fill="000000"/>
          <w:fitText w:val="-20" w:id="-1233441792"/>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92"/>
          <w14:textFill>
            <w14:solidFill>
              <w14:srgbClr w14:val="000000">
                <w14:alpha w14:val="100000"/>
              </w14:srgbClr>
            </w14:solidFill>
          </w14:textFill>
        </w:rPr>
        <w:t>|</w:t>
      </w:r>
      <w:r w:rsidRPr="007D210F">
        <w:t xml:space="preserve"> (based on the proposed DPMQ per script </w:t>
      </w:r>
      <w:r w:rsidR="0051657E">
        <w:t xml:space="preserve">of </w:t>
      </w:r>
      <w:r w:rsidRPr="007D210F">
        <w:t>$</w:t>
      </w:r>
      <w:r w:rsidR="00320A42" w:rsidRPr="005562EE">
        <w:rPr>
          <w:color w:val="000000"/>
          <w:w w:val="15"/>
          <w:shd w:val="solid" w:color="000000" w:fill="000000"/>
          <w:fitText w:val="-20" w:id="-1233441791"/>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91"/>
          <w14:textFill>
            <w14:solidFill>
              <w14:srgbClr w14:val="000000">
                <w14:alpha w14:val="100000"/>
              </w14:srgbClr>
            </w14:solidFill>
          </w14:textFill>
        </w:rPr>
        <w:t>|</w:t>
      </w:r>
      <w:r w:rsidRPr="00D63A47">
        <w:t xml:space="preserve"> </w:t>
      </w:r>
      <w:r w:rsidRPr="007D210F">
        <w:t xml:space="preserve">/ 28 days per script × 365 days per year). </w:t>
      </w:r>
      <w:r w:rsidRPr="00842145">
        <w:rPr>
          <w:iCs/>
        </w:rPr>
        <w:t xml:space="preserve">This </w:t>
      </w:r>
      <w:r w:rsidR="004B23A9">
        <w:rPr>
          <w:iCs/>
        </w:rPr>
        <w:t>wa</w:t>
      </w:r>
      <w:r w:rsidRPr="00842145">
        <w:rPr>
          <w:iCs/>
        </w:rPr>
        <w:t xml:space="preserve">s unchanged from the July 2022 submission. </w:t>
      </w:r>
      <w:r w:rsidRPr="007D210F">
        <w:t>Incorporating 91.74% adherence from the pooled FIDELITY analysis, the estimated drug cost for finerenone per patient per year was $</w:t>
      </w:r>
      <w:r w:rsidR="00320A42" w:rsidRPr="005562EE">
        <w:rPr>
          <w:color w:val="000000"/>
          <w:w w:val="15"/>
          <w:shd w:val="solid" w:color="000000" w:fill="000000"/>
          <w:fitText w:val="-20" w:id="-1233441790"/>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90"/>
          <w14:textFill>
            <w14:solidFill>
              <w14:srgbClr w14:val="000000">
                <w14:alpha w14:val="100000"/>
              </w14:srgbClr>
            </w14:solidFill>
          </w14:textFill>
        </w:rPr>
        <w:t>|</w:t>
      </w:r>
      <w:r w:rsidRPr="007D210F">
        <w:t xml:space="preserve"> ($</w:t>
      </w:r>
      <w:r w:rsidR="00320A42" w:rsidRPr="005562EE">
        <w:rPr>
          <w:color w:val="000000"/>
          <w:w w:val="15"/>
          <w:shd w:val="solid" w:color="000000" w:fill="000000"/>
          <w:fitText w:val="-20" w:id="-1233441789"/>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89"/>
          <w14:textFill>
            <w14:solidFill>
              <w14:srgbClr w14:val="000000">
                <w14:alpha w14:val="100000"/>
              </w14:srgbClr>
            </w14:solidFill>
          </w14:textFill>
        </w:rPr>
        <w:t>|</w:t>
      </w:r>
      <w:r w:rsidRPr="007D210F">
        <w:t xml:space="preserve"> × 91.74%).</w:t>
      </w:r>
      <w:r w:rsidR="002D578D">
        <w:t xml:space="preserve"> As stated previously, </w:t>
      </w:r>
      <w:r w:rsidR="0051657E">
        <w:t>t</w:t>
      </w:r>
      <w:r w:rsidR="002D578D">
        <w:t>he pre-PBAC response proposed a price reduction for finerenone from $</w:t>
      </w:r>
      <w:r w:rsidR="00320A42" w:rsidRPr="005562EE">
        <w:rPr>
          <w:color w:val="000000"/>
          <w:w w:val="15"/>
          <w:shd w:val="solid" w:color="000000" w:fill="000000"/>
          <w:fitText w:val="-20" w:id="-1233441788"/>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88"/>
          <w14:textFill>
            <w14:solidFill>
              <w14:srgbClr w14:val="000000">
                <w14:alpha w14:val="100000"/>
              </w14:srgbClr>
            </w14:solidFill>
          </w14:textFill>
        </w:rPr>
        <w:t>|</w:t>
      </w:r>
      <w:r w:rsidR="002D578D">
        <w:t xml:space="preserve"> AEMP ($</w:t>
      </w:r>
      <w:r w:rsidR="00320A42" w:rsidRPr="005562EE">
        <w:rPr>
          <w:color w:val="000000"/>
          <w:w w:val="15"/>
          <w:shd w:val="solid" w:color="000000" w:fill="000000"/>
          <w:fitText w:val="-20" w:id="-1233441787"/>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87"/>
          <w14:textFill>
            <w14:solidFill>
              <w14:srgbClr w14:val="000000">
                <w14:alpha w14:val="100000"/>
              </w14:srgbClr>
            </w14:solidFill>
          </w14:textFill>
        </w:rPr>
        <w:t>|</w:t>
      </w:r>
      <w:r w:rsidR="002D578D">
        <w:t xml:space="preserve"> DPMQ) to $</w:t>
      </w:r>
      <w:r w:rsidR="00320A42" w:rsidRPr="005562EE">
        <w:rPr>
          <w:color w:val="000000"/>
          <w:w w:val="15"/>
          <w:shd w:val="solid" w:color="000000" w:fill="000000"/>
          <w:fitText w:val="-20" w:id="-1233441786"/>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86"/>
          <w14:textFill>
            <w14:solidFill>
              <w14:srgbClr w14:val="000000">
                <w14:alpha w14:val="100000"/>
              </w14:srgbClr>
            </w14:solidFill>
          </w14:textFill>
        </w:rPr>
        <w:t>|</w:t>
      </w:r>
      <w:r w:rsidR="002D578D">
        <w:t xml:space="preserve"> AEMP ($</w:t>
      </w:r>
      <w:r w:rsidR="00320A42" w:rsidRPr="005562EE">
        <w:rPr>
          <w:color w:val="000000"/>
          <w:w w:val="15"/>
          <w:shd w:val="solid" w:color="000000" w:fill="000000"/>
          <w:fitText w:val="-20" w:id="-1233441785"/>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85"/>
          <w14:textFill>
            <w14:solidFill>
              <w14:srgbClr w14:val="000000">
                <w14:alpha w14:val="100000"/>
              </w14:srgbClr>
            </w14:solidFill>
          </w14:textFill>
        </w:rPr>
        <w:t>|</w:t>
      </w:r>
      <w:r w:rsidR="002D578D" w:rsidRPr="00D63A47">
        <w:t xml:space="preserve"> DPMQ</w:t>
      </w:r>
      <w:r w:rsidR="002D578D">
        <w:t>).</w:t>
      </w:r>
      <w:r w:rsidR="002D578D">
        <w:rPr>
          <w:color w:val="0066FF"/>
        </w:rPr>
        <w:t xml:space="preserve"> </w:t>
      </w:r>
      <w:r w:rsidR="002D578D" w:rsidRPr="004B23A9">
        <w:t xml:space="preserve">The estimated cost for finerenone per patient per year based on this price reduction is </w:t>
      </w:r>
      <w:r w:rsidR="002F4574" w:rsidRPr="004B23A9">
        <w:t>$</w:t>
      </w:r>
      <w:r w:rsidR="00320A42" w:rsidRPr="005562EE">
        <w:rPr>
          <w:color w:val="000000"/>
          <w:w w:val="15"/>
          <w:shd w:val="solid" w:color="000000" w:fill="000000"/>
          <w:fitText w:val="-20" w:id="-1233441784"/>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84"/>
          <w14:textFill>
            <w14:solidFill>
              <w14:srgbClr w14:val="000000">
                <w14:alpha w14:val="100000"/>
              </w14:srgbClr>
            </w14:solidFill>
          </w14:textFill>
        </w:rPr>
        <w:t>|</w:t>
      </w:r>
      <w:r w:rsidR="002F4574" w:rsidRPr="004B23A9">
        <w:t xml:space="preserve"> (based on the proposed DMPQ per script </w:t>
      </w:r>
      <w:r w:rsidR="0051657E" w:rsidRPr="004B23A9">
        <w:t xml:space="preserve">of </w:t>
      </w:r>
      <w:r w:rsidR="002F4574" w:rsidRPr="004B23A9">
        <w:t>$</w:t>
      </w:r>
      <w:r w:rsidR="00320A42" w:rsidRPr="005562EE">
        <w:rPr>
          <w:color w:val="000000"/>
          <w:w w:val="15"/>
          <w:shd w:val="solid" w:color="000000" w:fill="000000"/>
          <w:fitText w:val="-20" w:id="-1233441783"/>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83"/>
          <w14:textFill>
            <w14:solidFill>
              <w14:srgbClr w14:val="000000">
                <w14:alpha w14:val="100000"/>
              </w14:srgbClr>
            </w14:solidFill>
          </w14:textFill>
        </w:rPr>
        <w:t>|</w:t>
      </w:r>
      <w:r w:rsidR="002F4574" w:rsidRPr="004B23A9">
        <w:t xml:space="preserve"> / </w:t>
      </w:r>
      <w:r w:rsidR="004B23A9" w:rsidRPr="004B23A9">
        <w:t>2</w:t>
      </w:r>
      <w:r w:rsidR="004B23A9">
        <w:t>8</w:t>
      </w:r>
      <w:r w:rsidR="004B23A9" w:rsidRPr="004B23A9">
        <w:t xml:space="preserve"> </w:t>
      </w:r>
      <w:r w:rsidR="002F4574" w:rsidRPr="004B23A9">
        <w:t>days per script x 365 days per year). Incorporating 91.74% adherence from the pooled FIDELITY analysis, the estimated drug cost for finerenone per patient year is $</w:t>
      </w:r>
      <w:r w:rsidR="00320A42" w:rsidRPr="005562EE">
        <w:rPr>
          <w:color w:val="000000"/>
          <w:w w:val="15"/>
          <w:shd w:val="solid" w:color="000000" w:fill="000000"/>
          <w:fitText w:val="-20" w:id="-1233441782"/>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82"/>
          <w14:textFill>
            <w14:solidFill>
              <w14:srgbClr w14:val="000000">
                <w14:alpha w14:val="100000"/>
              </w14:srgbClr>
            </w14:solidFill>
          </w14:textFill>
        </w:rPr>
        <w:t>|</w:t>
      </w:r>
      <w:r w:rsidR="002F4574" w:rsidRPr="004B23A9">
        <w:t xml:space="preserve"> ($</w:t>
      </w:r>
      <w:r w:rsidR="00320A42" w:rsidRPr="005562EE">
        <w:rPr>
          <w:color w:val="000000"/>
          <w:w w:val="15"/>
          <w:shd w:val="solid" w:color="000000" w:fill="000000"/>
          <w:fitText w:val="-20" w:id="-1233441781"/>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781"/>
          <w14:textFill>
            <w14:solidFill>
              <w14:srgbClr w14:val="000000">
                <w14:alpha w14:val="100000"/>
              </w14:srgbClr>
            </w14:solidFill>
          </w14:textFill>
        </w:rPr>
        <w:t>|</w:t>
      </w:r>
      <w:r w:rsidR="002F4574" w:rsidRPr="004B23A9">
        <w:t xml:space="preserve"> x 91.74%).</w:t>
      </w:r>
    </w:p>
    <w:p w14:paraId="1B328F9B" w14:textId="6123E7F1" w:rsidR="005E51D1" w:rsidRPr="00842145" w:rsidRDefault="005E51D1" w:rsidP="005E51D1">
      <w:pPr>
        <w:pStyle w:val="COMexecsumnumberedpara"/>
        <w:rPr>
          <w:iCs/>
        </w:rPr>
      </w:pPr>
      <w:r>
        <w:t xml:space="preserve">A comparison of finerenone use between the trial setting, economic model and budget impact model is presented in </w:t>
      </w:r>
      <w:r w:rsidR="006111A9">
        <w:fldChar w:fldCharType="begin"/>
      </w:r>
      <w:r w:rsidR="006111A9">
        <w:instrText xml:space="preserve"> REF _Ref124023441 \h </w:instrText>
      </w:r>
      <w:r w:rsidR="006111A9">
        <w:fldChar w:fldCharType="separate"/>
      </w:r>
      <w:r w:rsidR="005562EE" w:rsidRPr="007D210F">
        <w:t xml:space="preserve">Table </w:t>
      </w:r>
      <w:r w:rsidR="005562EE">
        <w:rPr>
          <w:noProof/>
        </w:rPr>
        <w:t>16</w:t>
      </w:r>
      <w:r w:rsidR="006111A9">
        <w:fldChar w:fldCharType="end"/>
      </w:r>
      <w:r>
        <w:t>.</w:t>
      </w:r>
    </w:p>
    <w:p w14:paraId="5396427B" w14:textId="2DB4FAB2" w:rsidR="00AB3C51" w:rsidRDefault="00AB3C51" w:rsidP="00AB3C51">
      <w:pPr>
        <w:pStyle w:val="COMtablefigcaption"/>
      </w:pPr>
      <w:bookmarkStart w:id="52" w:name="_Ref124023441"/>
      <w:bookmarkStart w:id="53" w:name="_Hlk107307804"/>
      <w:bookmarkEnd w:id="51"/>
      <w:r w:rsidRPr="007D210F">
        <w:t xml:space="preserve">Table </w:t>
      </w:r>
      <w:r w:rsidR="005562EE">
        <w:fldChar w:fldCharType="begin"/>
      </w:r>
      <w:r w:rsidR="005562EE">
        <w:instrText xml:space="preserve"> SEQ Table \* ARABIC </w:instrText>
      </w:r>
      <w:r w:rsidR="005562EE">
        <w:fldChar w:fldCharType="separate"/>
      </w:r>
      <w:r w:rsidR="005562EE">
        <w:rPr>
          <w:noProof/>
        </w:rPr>
        <w:t>16</w:t>
      </w:r>
      <w:r w:rsidR="005562EE">
        <w:rPr>
          <w:noProof/>
        </w:rPr>
        <w:fldChar w:fldCharType="end"/>
      </w:r>
      <w:bookmarkEnd w:id="52"/>
      <w:r w:rsidRPr="007D210F">
        <w:t xml:space="preserve">: </w:t>
      </w:r>
      <w:r>
        <w:t>Calculation of drug cost per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2393"/>
        <w:gridCol w:w="2393"/>
        <w:gridCol w:w="2393"/>
      </w:tblGrid>
      <w:tr w:rsidR="00AB3C51" w:rsidRPr="00C623FC" w14:paraId="3569C070" w14:textId="77777777" w:rsidTr="004D406C">
        <w:trPr>
          <w:cantSplit/>
          <w:tblHeader/>
          <w:jc w:val="center"/>
        </w:trPr>
        <w:tc>
          <w:tcPr>
            <w:tcW w:w="1019" w:type="pct"/>
            <w:shd w:val="clear" w:color="auto" w:fill="auto"/>
            <w:vAlign w:val="center"/>
          </w:tcPr>
          <w:p w14:paraId="46813808" w14:textId="77777777" w:rsidR="00AB3C51" w:rsidRPr="00C623FC" w:rsidRDefault="00AB3C51" w:rsidP="004D406C">
            <w:pPr>
              <w:pStyle w:val="Tableheadingrow"/>
              <w:jc w:val="center"/>
              <w:rPr>
                <w:lang w:val="en-AU"/>
              </w:rPr>
            </w:pPr>
          </w:p>
        </w:tc>
        <w:tc>
          <w:tcPr>
            <w:tcW w:w="1327" w:type="pct"/>
            <w:shd w:val="clear" w:color="auto" w:fill="auto"/>
            <w:vAlign w:val="center"/>
          </w:tcPr>
          <w:p w14:paraId="664F7275" w14:textId="77777777" w:rsidR="00AB3C51" w:rsidRPr="00C623FC" w:rsidRDefault="00AB3C51" w:rsidP="004D406C">
            <w:pPr>
              <w:pStyle w:val="Tableheadingrow"/>
              <w:jc w:val="center"/>
              <w:rPr>
                <w:lang w:val="en-AU"/>
              </w:rPr>
            </w:pPr>
            <w:r w:rsidRPr="00C623FC">
              <w:rPr>
                <w:lang w:val="en-AU"/>
              </w:rPr>
              <w:t>FIDELITY pooled analysis</w:t>
            </w:r>
          </w:p>
        </w:tc>
        <w:tc>
          <w:tcPr>
            <w:tcW w:w="1327" w:type="pct"/>
            <w:shd w:val="clear" w:color="auto" w:fill="auto"/>
            <w:vAlign w:val="center"/>
          </w:tcPr>
          <w:p w14:paraId="10E6CD65" w14:textId="3BF254E7" w:rsidR="00AB3C51" w:rsidRPr="00C623FC" w:rsidRDefault="00AB3C51" w:rsidP="004D406C">
            <w:pPr>
              <w:pStyle w:val="Tableheadingrow"/>
              <w:jc w:val="center"/>
              <w:rPr>
                <w:vertAlign w:val="superscript"/>
                <w:lang w:val="en-AU"/>
              </w:rPr>
            </w:pPr>
            <w:r w:rsidRPr="00C623FC">
              <w:rPr>
                <w:lang w:val="en-AU"/>
              </w:rPr>
              <w:t>Economic model</w:t>
            </w:r>
            <w:r w:rsidR="002D578D">
              <w:rPr>
                <w:lang w:val="en-AU"/>
              </w:rPr>
              <w:t xml:space="preserve"> </w:t>
            </w:r>
          </w:p>
        </w:tc>
        <w:tc>
          <w:tcPr>
            <w:tcW w:w="1327" w:type="pct"/>
            <w:shd w:val="clear" w:color="auto" w:fill="auto"/>
            <w:vAlign w:val="center"/>
          </w:tcPr>
          <w:p w14:paraId="01625BD6" w14:textId="77777777" w:rsidR="00AB3C51" w:rsidRPr="00C623FC" w:rsidRDefault="00AB3C51" w:rsidP="004D406C">
            <w:pPr>
              <w:pStyle w:val="Tableheadingrow"/>
              <w:jc w:val="center"/>
              <w:rPr>
                <w:lang w:val="en-AU"/>
              </w:rPr>
            </w:pPr>
            <w:r w:rsidRPr="00C623FC">
              <w:rPr>
                <w:lang w:val="en-AU"/>
              </w:rPr>
              <w:t>Financial estimates</w:t>
            </w:r>
          </w:p>
        </w:tc>
      </w:tr>
      <w:tr w:rsidR="00AB3C51" w:rsidRPr="00C623FC" w14:paraId="4D657C92" w14:textId="77777777" w:rsidTr="004D406C">
        <w:trPr>
          <w:cantSplit/>
          <w:jc w:val="center"/>
        </w:trPr>
        <w:tc>
          <w:tcPr>
            <w:tcW w:w="1019" w:type="pct"/>
            <w:shd w:val="clear" w:color="auto" w:fill="auto"/>
            <w:vAlign w:val="center"/>
          </w:tcPr>
          <w:p w14:paraId="35085C29" w14:textId="169A0725" w:rsidR="00AB3C51" w:rsidRPr="00C623FC" w:rsidRDefault="00AB3C51" w:rsidP="004D406C">
            <w:pPr>
              <w:pStyle w:val="TableText0"/>
            </w:pPr>
            <w:r w:rsidRPr="00C623FC">
              <w:t>Finerenone script cost</w:t>
            </w:r>
            <w:r w:rsidR="002F4574">
              <w:t xml:space="preserve"> (DPMQ)</w:t>
            </w:r>
          </w:p>
        </w:tc>
        <w:tc>
          <w:tcPr>
            <w:tcW w:w="1327" w:type="pct"/>
            <w:shd w:val="clear" w:color="auto" w:fill="auto"/>
            <w:vAlign w:val="center"/>
          </w:tcPr>
          <w:p w14:paraId="1CC45D2D" w14:textId="77777777" w:rsidR="00AB3C51" w:rsidRPr="00C623FC" w:rsidRDefault="00AB3C51" w:rsidP="004D406C">
            <w:pPr>
              <w:pStyle w:val="TableText0"/>
              <w:jc w:val="center"/>
              <w:rPr>
                <w:bCs w:val="0"/>
              </w:rPr>
            </w:pPr>
            <w:r w:rsidRPr="00C623FC">
              <w:rPr>
                <w:bCs w:val="0"/>
              </w:rPr>
              <w:t>-</w:t>
            </w:r>
          </w:p>
        </w:tc>
        <w:tc>
          <w:tcPr>
            <w:tcW w:w="1327" w:type="pct"/>
            <w:shd w:val="clear" w:color="auto" w:fill="auto"/>
            <w:vAlign w:val="center"/>
          </w:tcPr>
          <w:p w14:paraId="7450E82D" w14:textId="68DD77D6" w:rsidR="00AB3C51" w:rsidRDefault="00AB3C51" w:rsidP="004D406C">
            <w:pPr>
              <w:pStyle w:val="TableText0"/>
              <w:jc w:val="center"/>
              <w:rPr>
                <w:bCs w:val="0"/>
              </w:rPr>
            </w:pPr>
            <w:r w:rsidRPr="00C623FC">
              <w:rPr>
                <w:bCs w:val="0"/>
              </w:rPr>
              <w:t>$</w:t>
            </w:r>
            <w:r w:rsidR="00320A42" w:rsidRPr="00320A42">
              <w:rPr>
                <w:bCs w:val="0"/>
                <w:color w:val="000000"/>
                <w:shd w:val="solid" w:color="000000" w:fill="000000"/>
                <w14:textFill>
                  <w14:solidFill>
                    <w14:srgbClr w14:val="000000">
                      <w14:alpha w14:val="100000"/>
                    </w14:srgbClr>
                  </w14:solidFill>
                </w14:textFill>
              </w:rPr>
              <w:t>|</w:t>
            </w:r>
            <w:r w:rsidRPr="00C623FC">
              <w:rPr>
                <w:bCs w:val="0"/>
              </w:rPr>
              <w:t xml:space="preserve"> </w:t>
            </w:r>
            <w:r w:rsidR="002F4574">
              <w:rPr>
                <w:bCs w:val="0"/>
              </w:rPr>
              <w:t>(resubmission)</w:t>
            </w:r>
          </w:p>
          <w:p w14:paraId="34373761" w14:textId="6CC560D9" w:rsidR="002F4574" w:rsidRPr="00C623FC" w:rsidRDefault="002F4574" w:rsidP="004D406C">
            <w:pPr>
              <w:pStyle w:val="TableText0"/>
              <w:jc w:val="center"/>
              <w:rPr>
                <w:bCs w:val="0"/>
              </w:rPr>
            </w:pPr>
            <w:r>
              <w:rPr>
                <w:bCs w:val="0"/>
              </w:rPr>
              <w:t>$</w:t>
            </w:r>
            <w:r w:rsidR="00320A42" w:rsidRPr="00320A42">
              <w:rPr>
                <w:bCs w:val="0"/>
                <w:color w:val="000000"/>
                <w:spacing w:val="48"/>
                <w:shd w:val="solid" w:color="000000" w:fill="000000"/>
                <w:fitText w:val="225" w:id="-1233441780"/>
                <w14:textFill>
                  <w14:solidFill>
                    <w14:srgbClr w14:val="000000">
                      <w14:alpha w14:val="100000"/>
                    </w14:srgbClr>
                  </w14:solidFill>
                </w14:textFill>
              </w:rPr>
              <w:t>||</w:t>
            </w:r>
            <w:r w:rsidR="00320A42" w:rsidRPr="00320A42">
              <w:rPr>
                <w:bCs w:val="0"/>
                <w:color w:val="000000"/>
                <w:spacing w:val="2"/>
                <w:shd w:val="solid" w:color="000000" w:fill="000000"/>
                <w:fitText w:val="225" w:id="-1233441780"/>
                <w14:textFill>
                  <w14:solidFill>
                    <w14:srgbClr w14:val="000000">
                      <w14:alpha w14:val="100000"/>
                    </w14:srgbClr>
                  </w14:solidFill>
                </w14:textFill>
              </w:rPr>
              <w:t>|</w:t>
            </w:r>
            <w:r>
              <w:rPr>
                <w:bCs w:val="0"/>
              </w:rPr>
              <w:t xml:space="preserve"> (pre-PBAC response)</w:t>
            </w:r>
          </w:p>
        </w:tc>
        <w:tc>
          <w:tcPr>
            <w:tcW w:w="1327" w:type="pct"/>
            <w:shd w:val="clear" w:color="auto" w:fill="auto"/>
            <w:vAlign w:val="center"/>
          </w:tcPr>
          <w:p w14:paraId="773B8B4D" w14:textId="1F2369A7" w:rsidR="002F4574" w:rsidRDefault="00AB3C51" w:rsidP="002F4574">
            <w:pPr>
              <w:pStyle w:val="TableText0"/>
              <w:jc w:val="center"/>
              <w:rPr>
                <w:bCs w:val="0"/>
              </w:rPr>
            </w:pPr>
            <w:r w:rsidRPr="00C623FC">
              <w:rPr>
                <w:bCs w:val="0"/>
              </w:rPr>
              <w:t>$</w:t>
            </w:r>
            <w:r w:rsidR="00320A42" w:rsidRPr="00320A42">
              <w:rPr>
                <w:bCs w:val="0"/>
                <w:color w:val="000000"/>
                <w:shd w:val="solid" w:color="000000" w:fill="000000"/>
                <w14:textFill>
                  <w14:solidFill>
                    <w14:srgbClr w14:val="000000">
                      <w14:alpha w14:val="100000"/>
                    </w14:srgbClr>
                  </w14:solidFill>
                </w14:textFill>
              </w:rPr>
              <w:t>|</w:t>
            </w:r>
            <w:r w:rsidRPr="00C623FC">
              <w:rPr>
                <w:bCs w:val="0"/>
              </w:rPr>
              <w:t xml:space="preserve"> </w:t>
            </w:r>
            <w:r w:rsidR="002F4574">
              <w:rPr>
                <w:bCs w:val="0"/>
              </w:rPr>
              <w:t>(resubmission)</w:t>
            </w:r>
          </w:p>
          <w:p w14:paraId="45544846" w14:textId="4821ADBC" w:rsidR="00AB3C51" w:rsidRPr="00C623FC" w:rsidRDefault="002F4574" w:rsidP="002F4574">
            <w:pPr>
              <w:pStyle w:val="TableText0"/>
              <w:jc w:val="center"/>
              <w:rPr>
                <w:bCs w:val="0"/>
              </w:rPr>
            </w:pPr>
            <w:r>
              <w:rPr>
                <w:bCs w:val="0"/>
              </w:rPr>
              <w:t>$</w:t>
            </w:r>
            <w:r w:rsidR="00320A42" w:rsidRPr="00320A42">
              <w:rPr>
                <w:bCs w:val="0"/>
                <w:color w:val="000000"/>
                <w:spacing w:val="48"/>
                <w:shd w:val="solid" w:color="000000" w:fill="000000"/>
                <w:fitText w:val="225" w:id="-1233441779"/>
                <w14:textFill>
                  <w14:solidFill>
                    <w14:srgbClr w14:val="000000">
                      <w14:alpha w14:val="100000"/>
                    </w14:srgbClr>
                  </w14:solidFill>
                </w14:textFill>
              </w:rPr>
              <w:t>||</w:t>
            </w:r>
            <w:r w:rsidR="00320A42" w:rsidRPr="00320A42">
              <w:rPr>
                <w:bCs w:val="0"/>
                <w:color w:val="000000"/>
                <w:spacing w:val="2"/>
                <w:shd w:val="solid" w:color="000000" w:fill="000000"/>
                <w:fitText w:val="225" w:id="-1233441779"/>
                <w14:textFill>
                  <w14:solidFill>
                    <w14:srgbClr w14:val="000000">
                      <w14:alpha w14:val="100000"/>
                    </w14:srgbClr>
                  </w14:solidFill>
                </w14:textFill>
              </w:rPr>
              <w:t>|</w:t>
            </w:r>
            <w:r>
              <w:rPr>
                <w:bCs w:val="0"/>
              </w:rPr>
              <w:t xml:space="preserve"> (pre-PBAC response)</w:t>
            </w:r>
          </w:p>
        </w:tc>
      </w:tr>
      <w:tr w:rsidR="00AB3C51" w:rsidRPr="00C623FC" w14:paraId="654E0B40" w14:textId="77777777" w:rsidTr="004D406C">
        <w:trPr>
          <w:cantSplit/>
          <w:jc w:val="center"/>
        </w:trPr>
        <w:tc>
          <w:tcPr>
            <w:tcW w:w="1019" w:type="pct"/>
            <w:shd w:val="clear" w:color="auto" w:fill="auto"/>
            <w:vAlign w:val="center"/>
          </w:tcPr>
          <w:p w14:paraId="4968D065" w14:textId="349930D5" w:rsidR="00AB3C51" w:rsidRPr="00C623FC" w:rsidRDefault="00AB3C51" w:rsidP="004D406C">
            <w:pPr>
              <w:pStyle w:val="TableText0"/>
            </w:pPr>
            <w:r w:rsidRPr="00C623FC">
              <w:t>Treatment adherence</w:t>
            </w:r>
            <w:r w:rsidR="002F4574">
              <w:t xml:space="preserve"> </w:t>
            </w:r>
          </w:p>
        </w:tc>
        <w:tc>
          <w:tcPr>
            <w:tcW w:w="1327" w:type="pct"/>
            <w:shd w:val="clear" w:color="auto" w:fill="auto"/>
            <w:vAlign w:val="center"/>
          </w:tcPr>
          <w:p w14:paraId="550F86FC" w14:textId="77777777" w:rsidR="00AB3C51" w:rsidRPr="00C623FC" w:rsidRDefault="00AB3C51" w:rsidP="004D406C">
            <w:pPr>
              <w:pStyle w:val="TableText0"/>
              <w:jc w:val="center"/>
              <w:rPr>
                <w:bCs w:val="0"/>
                <w:vertAlign w:val="superscript"/>
              </w:rPr>
            </w:pPr>
            <w:r w:rsidRPr="00C623FC">
              <w:rPr>
                <w:bCs w:val="0"/>
              </w:rPr>
              <w:t>91.7%</w:t>
            </w:r>
          </w:p>
        </w:tc>
        <w:tc>
          <w:tcPr>
            <w:tcW w:w="1327" w:type="pct"/>
            <w:shd w:val="clear" w:color="auto" w:fill="auto"/>
            <w:vAlign w:val="center"/>
          </w:tcPr>
          <w:p w14:paraId="4FBA58A6" w14:textId="77777777" w:rsidR="00AB3C51" w:rsidRPr="00C623FC" w:rsidRDefault="00AB3C51" w:rsidP="004D406C">
            <w:pPr>
              <w:pStyle w:val="TableText0"/>
              <w:jc w:val="center"/>
              <w:rPr>
                <w:bCs w:val="0"/>
              </w:rPr>
            </w:pPr>
            <w:r w:rsidRPr="00C623FC">
              <w:rPr>
                <w:bCs w:val="0"/>
              </w:rPr>
              <w:t>91.7%</w:t>
            </w:r>
          </w:p>
        </w:tc>
        <w:tc>
          <w:tcPr>
            <w:tcW w:w="1327" w:type="pct"/>
            <w:shd w:val="clear" w:color="auto" w:fill="auto"/>
            <w:vAlign w:val="center"/>
          </w:tcPr>
          <w:p w14:paraId="3AE7AFBF" w14:textId="77777777" w:rsidR="00AB3C51" w:rsidRPr="00C623FC" w:rsidRDefault="00AB3C51" w:rsidP="004D406C">
            <w:pPr>
              <w:pStyle w:val="TableText0"/>
              <w:jc w:val="center"/>
              <w:rPr>
                <w:bCs w:val="0"/>
                <w:vertAlign w:val="superscript"/>
              </w:rPr>
            </w:pPr>
            <w:r w:rsidRPr="00C623FC">
              <w:rPr>
                <w:bCs w:val="0"/>
              </w:rPr>
              <w:t>91.7%</w:t>
            </w:r>
          </w:p>
        </w:tc>
      </w:tr>
      <w:tr w:rsidR="00AB3C51" w:rsidRPr="00C623FC" w14:paraId="53D27911" w14:textId="77777777" w:rsidTr="004D406C">
        <w:trPr>
          <w:cantSplit/>
          <w:jc w:val="center"/>
        </w:trPr>
        <w:tc>
          <w:tcPr>
            <w:tcW w:w="1019" w:type="pct"/>
            <w:shd w:val="clear" w:color="auto" w:fill="auto"/>
            <w:vAlign w:val="center"/>
          </w:tcPr>
          <w:p w14:paraId="7E12806C" w14:textId="77777777" w:rsidR="00AB3C51" w:rsidRPr="00C623FC" w:rsidRDefault="00AB3C51" w:rsidP="004D406C">
            <w:pPr>
              <w:pStyle w:val="TableText0"/>
            </w:pPr>
            <w:r w:rsidRPr="00C623FC">
              <w:t>Treatment persistence</w:t>
            </w:r>
          </w:p>
        </w:tc>
        <w:tc>
          <w:tcPr>
            <w:tcW w:w="1327" w:type="pct"/>
            <w:shd w:val="clear" w:color="auto" w:fill="auto"/>
            <w:vAlign w:val="center"/>
          </w:tcPr>
          <w:p w14:paraId="26D597D6" w14:textId="77777777" w:rsidR="00AB3C51" w:rsidRPr="00C623FC" w:rsidRDefault="00AB3C51" w:rsidP="004D406C">
            <w:pPr>
              <w:pStyle w:val="TableText0"/>
              <w:jc w:val="center"/>
            </w:pPr>
            <w:r w:rsidRPr="00C623FC">
              <w:t>66.1% at 4 years</w:t>
            </w:r>
          </w:p>
        </w:tc>
        <w:tc>
          <w:tcPr>
            <w:tcW w:w="1327" w:type="pct"/>
            <w:shd w:val="clear" w:color="auto" w:fill="auto"/>
            <w:vAlign w:val="center"/>
          </w:tcPr>
          <w:p w14:paraId="6B2EB618" w14:textId="77777777" w:rsidR="00AB3C51" w:rsidRPr="00C623FC" w:rsidRDefault="00AB3C51" w:rsidP="004D406C">
            <w:pPr>
              <w:pStyle w:val="TableText0"/>
              <w:jc w:val="center"/>
            </w:pPr>
            <w:r>
              <w:t>54.8%</w:t>
            </w:r>
            <w:r w:rsidRPr="00C623FC">
              <w:t>% at 4 years</w:t>
            </w:r>
            <w:r w:rsidRPr="00F67ACE">
              <w:rPr>
                <w:vertAlign w:val="superscript"/>
              </w:rPr>
              <w:t>a</w:t>
            </w:r>
          </w:p>
        </w:tc>
        <w:tc>
          <w:tcPr>
            <w:tcW w:w="1327" w:type="pct"/>
            <w:shd w:val="clear" w:color="auto" w:fill="auto"/>
            <w:vAlign w:val="center"/>
          </w:tcPr>
          <w:p w14:paraId="7A0CB040" w14:textId="77777777" w:rsidR="00AB3C51" w:rsidRPr="00C623FC" w:rsidRDefault="00AB3C51" w:rsidP="004D406C">
            <w:pPr>
              <w:pStyle w:val="TableText0"/>
              <w:jc w:val="center"/>
            </w:pPr>
            <w:r w:rsidRPr="00C623FC">
              <w:t xml:space="preserve">Not directly estimated, </w:t>
            </w:r>
            <w:r>
              <w:t xml:space="preserve">finerenone </w:t>
            </w:r>
            <w:r w:rsidRPr="00C623FC">
              <w:t xml:space="preserve">was assumed to modify uptake rates in </w:t>
            </w:r>
            <w:r>
              <w:t xml:space="preserve">the </w:t>
            </w:r>
            <w:r w:rsidRPr="00C623FC">
              <w:t>prevalent population</w:t>
            </w:r>
          </w:p>
        </w:tc>
      </w:tr>
    </w:tbl>
    <w:p w14:paraId="4C7B57B8" w14:textId="77777777" w:rsidR="00AB3C51" w:rsidRDefault="00AB3C51" w:rsidP="00AB3C51">
      <w:pPr>
        <w:pStyle w:val="TableFigureFooter"/>
      </w:pPr>
      <w:r w:rsidRPr="00C623FC">
        <w:t xml:space="preserve">Source: Table </w:t>
      </w:r>
      <w:r>
        <w:t>86, p151; Table 91, p159</w:t>
      </w:r>
      <w:r w:rsidRPr="00C623FC">
        <w:t xml:space="preserve">; </w:t>
      </w:r>
      <w:r>
        <w:t>Section 4.2.1, p192 of the resubmission; Section_3_model provided with the resubmission</w:t>
      </w:r>
    </w:p>
    <w:p w14:paraId="32E0FFD1" w14:textId="77777777" w:rsidR="00AB3C51" w:rsidRPr="00C623FC" w:rsidRDefault="00AB3C51" w:rsidP="00AB3C51">
      <w:pPr>
        <w:pStyle w:val="TableFigureFooter"/>
      </w:pPr>
      <w:r>
        <w:rPr>
          <w:vertAlign w:val="superscript"/>
        </w:rPr>
        <w:t>a</w:t>
      </w:r>
      <w:r w:rsidRPr="00640F7D">
        <w:rPr>
          <w:vertAlign w:val="superscript"/>
        </w:rPr>
        <w:t xml:space="preserve"> </w:t>
      </w:r>
      <w:r>
        <w:t>Based on the proportion of patients in the on finerenone health states in cycle 12 of the economic model (without half-cycle correction); includes treatment discontinuation based on the FIDELITY estimate of persistence of 66.1% at 4 years (3.4% per cycle); with additional discontinuation due to hyperkalaemia, and death.</w:t>
      </w:r>
    </w:p>
    <w:p w14:paraId="268768EF" w14:textId="3626F292" w:rsidR="00B60939" w:rsidRPr="00C9624D" w:rsidRDefault="00B60939" w:rsidP="002B05A1">
      <w:pPr>
        <w:pStyle w:val="COMH2-non-numbered"/>
      </w:pPr>
      <w:bookmarkStart w:id="54" w:name="_Toc22897647"/>
      <w:bookmarkStart w:id="55" w:name="_Toc124857609"/>
      <w:bookmarkEnd w:id="53"/>
      <w:r w:rsidRPr="00C9624D">
        <w:t>Estimated PBS usage &amp; financial implications</w:t>
      </w:r>
      <w:bookmarkEnd w:id="54"/>
      <w:bookmarkEnd w:id="55"/>
    </w:p>
    <w:p w14:paraId="16EF4367" w14:textId="53F64678" w:rsidR="002B05A1" w:rsidRPr="00561295" w:rsidRDefault="00C25D9C" w:rsidP="002B05A1">
      <w:pPr>
        <w:pStyle w:val="COMexecsumnumberedpara"/>
        <w:rPr>
          <w:color w:val="0066FF"/>
        </w:rPr>
      </w:pPr>
      <w:r>
        <w:t xml:space="preserve">This submission </w:t>
      </w:r>
      <w:r w:rsidR="00AA589E">
        <w:t>was not</w:t>
      </w:r>
      <w:r w:rsidR="00D23D11">
        <w:t xml:space="preserve"> </w:t>
      </w:r>
      <w:r>
        <w:t>considered by DUSC</w:t>
      </w:r>
      <w:r w:rsidRPr="00B50DB8">
        <w:rPr>
          <w:color w:val="0070C0"/>
        </w:rPr>
        <w:t>.</w:t>
      </w:r>
      <w:r w:rsidR="00BC591F">
        <w:rPr>
          <w:color w:val="0070C0"/>
        </w:rPr>
        <w:t xml:space="preserve"> </w:t>
      </w:r>
      <w:r w:rsidR="006B5C66" w:rsidRPr="00C623FC">
        <w:t xml:space="preserve">The </w:t>
      </w:r>
      <w:r w:rsidR="006B5C66">
        <w:t>re</w:t>
      </w:r>
      <w:r w:rsidR="006B5C66" w:rsidRPr="00C623FC">
        <w:t>submission used an epidemiological approach to estimate the utilisation and financial impact of listing finerenone on the PBS/RPBS.</w:t>
      </w:r>
    </w:p>
    <w:p w14:paraId="2DF0304E" w14:textId="10FA4CBA" w:rsidR="00F9676C" w:rsidRPr="00614BE9" w:rsidRDefault="00561295" w:rsidP="002B05A1">
      <w:pPr>
        <w:pStyle w:val="COMexecsumnumberedpara"/>
        <w:rPr>
          <w:color w:val="0066FF"/>
        </w:rPr>
      </w:pPr>
      <w:r w:rsidRPr="005E5AE2">
        <w:t xml:space="preserve">The target population used in the estimates </w:t>
      </w:r>
      <w:r w:rsidR="0068621D">
        <w:t>was</w:t>
      </w:r>
      <w:r w:rsidRPr="005E5AE2">
        <w:t xml:space="preserve"> narrowed to </w:t>
      </w:r>
      <w:r w:rsidR="0068621D">
        <w:t xml:space="preserve">be </w:t>
      </w:r>
      <w:r w:rsidR="0068621D" w:rsidRPr="005E5AE2">
        <w:rPr>
          <w:rFonts w:ascii="Calibri" w:hAnsi="Calibri" w:cs="Calibri"/>
        </w:rPr>
        <w:t xml:space="preserve">consistent with the population proposed by the PBAC at the July 2022 meeting </w:t>
      </w:r>
      <w:r w:rsidR="0068621D" w:rsidRPr="005E5AE2">
        <w:t>(para 7.3, Finerenone PSD, July 2022 PBAC meeting)</w:t>
      </w:r>
      <w:r w:rsidR="00B2641B">
        <w:t xml:space="preserve">; i.e. </w:t>
      </w:r>
      <w:r w:rsidRPr="005E5AE2">
        <w:t>patients with more severe diabetic kidney disease (</w:t>
      </w:r>
      <w:r w:rsidR="00B75601">
        <w:t xml:space="preserve">baseline </w:t>
      </w:r>
      <w:r w:rsidRPr="005E5AE2">
        <w:t xml:space="preserve">UACR </w:t>
      </w:r>
      <w:r w:rsidRPr="005E5AE2">
        <w:rPr>
          <w:rFonts w:cstheme="minorHAnsi"/>
        </w:rPr>
        <w:t>≥</w:t>
      </w:r>
      <w:r w:rsidRPr="005E5AE2">
        <w:t> 200 mg/g</w:t>
      </w:r>
      <w:r w:rsidR="00953294">
        <w:t xml:space="preserve"> was proposed in the resubmission rather than </w:t>
      </w:r>
      <w:r w:rsidR="00953294" w:rsidRPr="005E5AE2">
        <w:t xml:space="preserve">UACR </w:t>
      </w:r>
      <w:r w:rsidR="00953294" w:rsidRPr="005E5AE2">
        <w:rPr>
          <w:rFonts w:cstheme="minorHAnsi"/>
        </w:rPr>
        <w:t>≥</w:t>
      </w:r>
      <w:r w:rsidR="00953294" w:rsidRPr="005E5AE2">
        <w:t> </w:t>
      </w:r>
      <w:r w:rsidR="00953294">
        <w:t>3</w:t>
      </w:r>
      <w:r w:rsidR="00953294" w:rsidRPr="005E5AE2">
        <w:t>00 mg/g</w:t>
      </w:r>
      <w:r w:rsidR="00256540">
        <w:t>),</w:t>
      </w:r>
      <w:r w:rsidRPr="005E5AE2">
        <w:t xml:space="preserve"> </w:t>
      </w:r>
      <w:r w:rsidR="00784AFC" w:rsidRPr="005E5AE2">
        <w:t>excluding patients with HFrEF</w:t>
      </w:r>
      <w:r w:rsidR="00784AFC">
        <w:t>,</w:t>
      </w:r>
      <w:r w:rsidR="00784AFC" w:rsidRPr="005E5AE2">
        <w:t xml:space="preserve"> </w:t>
      </w:r>
      <w:r w:rsidR="004B23A9">
        <w:t xml:space="preserve">and </w:t>
      </w:r>
      <w:r w:rsidR="00B2641B" w:rsidRPr="00CD5BF4">
        <w:rPr>
          <w:iCs/>
        </w:rPr>
        <w:t xml:space="preserve">as an add-on to standard of care comprising an ACEi or ARB </w:t>
      </w:r>
      <w:r w:rsidR="00B2641B" w:rsidRPr="001166E9">
        <w:rPr>
          <w:iCs/>
        </w:rPr>
        <w:t>and SGLT2i unless contraindicated</w:t>
      </w:r>
      <w:r w:rsidRPr="00614BE9">
        <w:t>.</w:t>
      </w:r>
      <w:r w:rsidR="0045294A" w:rsidRPr="00614BE9">
        <w:t xml:space="preserve"> </w:t>
      </w:r>
      <w:r w:rsidR="00614BE9" w:rsidRPr="00614BE9">
        <w:t>The resubmission acknowledged the concerns of the PBAC and the ESC about the applicability of the OneNil dataset to the proposed Australian population, but preferred the OneNil estimate of the proposed population (UACR ≥ 200 mg/g and eGFR ≥ 25 mL/min/1.73 m</w:t>
      </w:r>
      <w:r w:rsidR="00614BE9" w:rsidRPr="00614BE9">
        <w:rPr>
          <w:vertAlign w:val="superscript"/>
        </w:rPr>
        <w:t>2</w:t>
      </w:r>
      <w:r w:rsidR="00614BE9" w:rsidRPr="00614BE9">
        <w:t xml:space="preserve">; SGLT2i use and intolerance), as </w:t>
      </w:r>
      <w:r w:rsidR="000D16E1" w:rsidRPr="009B20C0">
        <w:rPr>
          <w:iCs/>
        </w:rPr>
        <w:t xml:space="preserve">it was considered to be </w:t>
      </w:r>
      <w:r w:rsidR="00614BE9" w:rsidRPr="00614BE9">
        <w:t>more precise relative to estimates presented in the dapagliflozin PSD (CKD).</w:t>
      </w:r>
    </w:p>
    <w:p w14:paraId="2C3081E8" w14:textId="0506312C" w:rsidR="00561295" w:rsidRPr="005E5AE2" w:rsidRDefault="00326DAC" w:rsidP="002B05A1">
      <w:pPr>
        <w:pStyle w:val="COMexecsumnumberedpara"/>
        <w:rPr>
          <w:color w:val="0066FF"/>
        </w:rPr>
      </w:pPr>
      <w:r>
        <w:t xml:space="preserve">In addition, the </w:t>
      </w:r>
      <w:r w:rsidR="00F9676C">
        <w:t xml:space="preserve">estimated use and financial implications </w:t>
      </w:r>
      <w:r>
        <w:t>excluded patients with eGFR </w:t>
      </w:r>
      <w:r>
        <w:rPr>
          <w:rFonts w:cstheme="minorHAnsi"/>
        </w:rPr>
        <w:t>≤</w:t>
      </w:r>
      <w:r>
        <w:t> 25 mL/min/1.73 m</w:t>
      </w:r>
      <w:r w:rsidRPr="00326DAC">
        <w:rPr>
          <w:vertAlign w:val="superscript"/>
        </w:rPr>
        <w:t>2</w:t>
      </w:r>
      <w:r>
        <w:t xml:space="preserve">, </w:t>
      </w:r>
      <w:r w:rsidRPr="005B2BDE">
        <w:t>known significant non-diabetic renal disease</w:t>
      </w:r>
      <w:r>
        <w:t xml:space="preserve">, </w:t>
      </w:r>
      <w:r w:rsidRPr="00732D5A">
        <w:t>treatment with another selective nonsteroidal mineralocorticoid-receptor antagonist</w:t>
      </w:r>
      <w:r>
        <w:t xml:space="preserve"> or</w:t>
      </w:r>
      <w:r w:rsidRPr="00732D5A">
        <w:t xml:space="preserve"> a renin inhibitor </w:t>
      </w:r>
      <w:r w:rsidR="00C96AC9">
        <w:t>or with a serum potassium &gt; 4.8 mmol/L, consistent with the requested restriction</w:t>
      </w:r>
      <w:r w:rsidR="00F9676C">
        <w:t>.</w:t>
      </w:r>
    </w:p>
    <w:p w14:paraId="26119D91" w14:textId="37917C9F" w:rsidR="00561295" w:rsidRPr="001A4654" w:rsidRDefault="00561295" w:rsidP="002B05A1">
      <w:pPr>
        <w:pStyle w:val="COMexecsumnumberedpara"/>
        <w:rPr>
          <w:color w:val="0066FF"/>
        </w:rPr>
      </w:pPr>
      <w:r w:rsidRPr="0013794D">
        <w:t>The resubmission followed the approach proposed by the PBAC at the July 2022 meeting, using the prevalent T2D population as the basis for determining the proposed prevalent population, from which the proportion of patients meeting the UACR, eGFR, ACE/ARB and serum potassium criteria was determined, and SGLT2i medicine use and uptake determined discretely.</w:t>
      </w:r>
    </w:p>
    <w:p w14:paraId="3404789E" w14:textId="792C19E9" w:rsidR="00575E0F" w:rsidRPr="002B05A1" w:rsidRDefault="00575E0F" w:rsidP="002B05A1">
      <w:pPr>
        <w:pStyle w:val="COMexecsumnumberedpara"/>
        <w:rPr>
          <w:color w:val="0066FF"/>
        </w:rPr>
      </w:pPr>
      <w:r w:rsidRPr="00C623FC">
        <w:t>Key inputs relied on in the financial estimates are summarised in</w:t>
      </w:r>
      <w:r>
        <w:t xml:space="preserve"> </w:t>
      </w:r>
      <w:r w:rsidR="007071EB">
        <w:fldChar w:fldCharType="begin"/>
      </w:r>
      <w:r w:rsidR="007071EB">
        <w:instrText xml:space="preserve"> REF _Ref104805262 \h </w:instrText>
      </w:r>
      <w:r w:rsidR="007071EB">
        <w:fldChar w:fldCharType="separate"/>
      </w:r>
      <w:r w:rsidR="005562EE">
        <w:t xml:space="preserve">Table </w:t>
      </w:r>
      <w:r w:rsidR="005562EE">
        <w:rPr>
          <w:noProof/>
        </w:rPr>
        <w:t>17</w:t>
      </w:r>
      <w:r w:rsidR="007071EB">
        <w:fldChar w:fldCharType="end"/>
      </w:r>
      <w:r>
        <w:t>.</w:t>
      </w:r>
    </w:p>
    <w:p w14:paraId="3393BCE7" w14:textId="43DB0C1C" w:rsidR="00E42F73" w:rsidRDefault="00E16AD8" w:rsidP="00FD4ED6">
      <w:pPr>
        <w:pStyle w:val="COMtablefigcaption"/>
      </w:pPr>
      <w:bookmarkStart w:id="56" w:name="_Ref104805262"/>
      <w:bookmarkStart w:id="57" w:name="_Ref124147315"/>
      <w:r>
        <w:t xml:space="preserve">Table </w:t>
      </w:r>
      <w:r w:rsidR="005562EE">
        <w:fldChar w:fldCharType="begin"/>
      </w:r>
      <w:r w:rsidR="005562EE">
        <w:instrText xml:space="preserve"> SEQ Table \* ARABIC </w:instrText>
      </w:r>
      <w:r w:rsidR="005562EE">
        <w:fldChar w:fldCharType="separate"/>
      </w:r>
      <w:r w:rsidR="005562EE">
        <w:rPr>
          <w:noProof/>
        </w:rPr>
        <w:t>17</w:t>
      </w:r>
      <w:r w:rsidR="005562EE">
        <w:rPr>
          <w:noProof/>
        </w:rPr>
        <w:fldChar w:fldCharType="end"/>
      </w:r>
      <w:bookmarkEnd w:id="56"/>
      <w:r>
        <w:t>:</w:t>
      </w:r>
      <w:r w:rsidR="00E42F73" w:rsidRPr="00FD4ED6">
        <w:t xml:space="preserve"> Key inputs for financial estimates</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3402"/>
        <w:gridCol w:w="3919"/>
      </w:tblGrid>
      <w:tr w:rsidR="006B5C66" w:rsidRPr="00C623FC" w14:paraId="5FB8C8F9" w14:textId="77777777" w:rsidTr="002A4D82">
        <w:trPr>
          <w:tblHeader/>
        </w:trPr>
        <w:tc>
          <w:tcPr>
            <w:tcW w:w="1696" w:type="dxa"/>
            <w:vAlign w:val="center"/>
          </w:tcPr>
          <w:p w14:paraId="1BAA0AC7" w14:textId="77777777" w:rsidR="006B5C66" w:rsidRPr="00C623FC" w:rsidRDefault="006B5C66" w:rsidP="004E2A40">
            <w:pPr>
              <w:pStyle w:val="Tableheadingrow"/>
              <w:keepNext w:val="0"/>
              <w:widowControl w:val="0"/>
              <w:jc w:val="center"/>
              <w:rPr>
                <w:lang w:val="en-AU"/>
              </w:rPr>
            </w:pPr>
            <w:r w:rsidRPr="00C623FC">
              <w:rPr>
                <w:lang w:val="en-AU"/>
              </w:rPr>
              <w:t>Data</w:t>
            </w:r>
          </w:p>
        </w:tc>
        <w:tc>
          <w:tcPr>
            <w:tcW w:w="3402" w:type="dxa"/>
            <w:vAlign w:val="center"/>
          </w:tcPr>
          <w:p w14:paraId="656C3062" w14:textId="77777777" w:rsidR="006B5C66" w:rsidRPr="00C623FC" w:rsidRDefault="006B5C66" w:rsidP="004E2A40">
            <w:pPr>
              <w:pStyle w:val="Tableheadingrow"/>
              <w:keepNext w:val="0"/>
              <w:widowControl w:val="0"/>
              <w:jc w:val="center"/>
              <w:rPr>
                <w:lang w:val="en-AU"/>
              </w:rPr>
            </w:pPr>
            <w:r w:rsidRPr="00C623FC">
              <w:rPr>
                <w:lang w:val="en-AU"/>
              </w:rPr>
              <w:t>Value</w:t>
            </w:r>
            <w:r>
              <w:rPr>
                <w:lang w:val="en-AU"/>
              </w:rPr>
              <w:t xml:space="preserve"> and s</w:t>
            </w:r>
            <w:r w:rsidRPr="00C623FC">
              <w:rPr>
                <w:lang w:val="en-AU"/>
              </w:rPr>
              <w:t>ource</w:t>
            </w:r>
          </w:p>
        </w:tc>
        <w:tc>
          <w:tcPr>
            <w:tcW w:w="3919" w:type="dxa"/>
            <w:vAlign w:val="center"/>
          </w:tcPr>
          <w:p w14:paraId="0289135F" w14:textId="77777777" w:rsidR="006B5C66" w:rsidRPr="00C623FC" w:rsidRDefault="006B5C66" w:rsidP="004E2A40">
            <w:pPr>
              <w:pStyle w:val="Tableheadingrow"/>
              <w:keepNext w:val="0"/>
              <w:widowControl w:val="0"/>
              <w:jc w:val="center"/>
              <w:rPr>
                <w:lang w:val="en-AU"/>
              </w:rPr>
            </w:pPr>
            <w:r w:rsidRPr="00C623FC">
              <w:rPr>
                <w:lang w:val="en-AU"/>
              </w:rPr>
              <w:t>Comment</w:t>
            </w:r>
          </w:p>
        </w:tc>
      </w:tr>
      <w:tr w:rsidR="006B5C66" w:rsidRPr="00C623FC" w14:paraId="3F01DFF8" w14:textId="77777777" w:rsidTr="002A4D82">
        <w:tc>
          <w:tcPr>
            <w:tcW w:w="9017" w:type="dxa"/>
            <w:gridSpan w:val="3"/>
            <w:vAlign w:val="center"/>
          </w:tcPr>
          <w:p w14:paraId="4F02F1C5" w14:textId="77777777" w:rsidR="006B5C66" w:rsidRPr="00C623FC" w:rsidRDefault="006B5C66" w:rsidP="004E2A40">
            <w:pPr>
              <w:pStyle w:val="Tableheadingrow"/>
              <w:keepNext w:val="0"/>
              <w:widowControl w:val="0"/>
              <w:rPr>
                <w:lang w:val="en-AU"/>
              </w:rPr>
            </w:pPr>
            <w:r w:rsidRPr="00C623FC">
              <w:rPr>
                <w:lang w:val="en-AU"/>
              </w:rPr>
              <w:t>Eligible population</w:t>
            </w:r>
            <w:r>
              <w:rPr>
                <w:lang w:val="en-AU"/>
              </w:rPr>
              <w:t xml:space="preserve"> and treatment utilisation</w:t>
            </w:r>
          </w:p>
        </w:tc>
      </w:tr>
      <w:tr w:rsidR="006B5C66" w:rsidRPr="00842145" w14:paraId="4020CED1" w14:textId="77777777" w:rsidTr="002A4D82">
        <w:tc>
          <w:tcPr>
            <w:tcW w:w="1696" w:type="dxa"/>
          </w:tcPr>
          <w:p w14:paraId="45F9F8EC" w14:textId="77777777" w:rsidR="006B5C66" w:rsidRPr="00842145" w:rsidRDefault="006B5C66" w:rsidP="004E2A40">
            <w:pPr>
              <w:pStyle w:val="TableText0"/>
              <w:keepNext w:val="0"/>
              <w:widowControl w:val="0"/>
            </w:pPr>
            <w:r w:rsidRPr="00842145">
              <w:t>Australian prevalence of T2D</w:t>
            </w:r>
          </w:p>
        </w:tc>
        <w:tc>
          <w:tcPr>
            <w:tcW w:w="3402" w:type="dxa"/>
          </w:tcPr>
          <w:p w14:paraId="21CF48AF" w14:textId="77777777" w:rsidR="006B5C66" w:rsidRPr="00842145" w:rsidRDefault="006B5C66" w:rsidP="004E2A40">
            <w:pPr>
              <w:pStyle w:val="TableText0"/>
              <w:keepNext w:val="0"/>
              <w:widowControl w:val="0"/>
            </w:pPr>
            <w:r w:rsidRPr="00842145">
              <w:t>Based on the ABS population forward estimates (3222.0 Series B, 2023-2028), and the estimated prevalence of T2D by age and sex in the AIHW Diabetes Web report 2020 (NDSS/APEG linked data).</w:t>
            </w:r>
          </w:p>
          <w:p w14:paraId="282417F9" w14:textId="4CAD4D95" w:rsidR="006B5C66" w:rsidRPr="00842145" w:rsidRDefault="006B5C66" w:rsidP="004E2A40">
            <w:pPr>
              <w:pStyle w:val="TableText0"/>
              <w:keepNext w:val="0"/>
              <w:widowControl w:val="0"/>
            </w:pPr>
          </w:p>
        </w:tc>
        <w:tc>
          <w:tcPr>
            <w:tcW w:w="3919" w:type="dxa"/>
          </w:tcPr>
          <w:p w14:paraId="07BE81DE" w14:textId="222C3E98" w:rsidR="000D16E1" w:rsidRDefault="000D16E1" w:rsidP="004E2A40">
            <w:pPr>
              <w:pStyle w:val="TableText0"/>
              <w:keepNext w:val="0"/>
              <w:widowControl w:val="0"/>
            </w:pPr>
            <w:r w:rsidRPr="009B20C0">
              <w:rPr>
                <w:iCs/>
              </w:rPr>
              <w:t>Th</w:t>
            </w:r>
            <w:r w:rsidR="00704170" w:rsidRPr="009B20C0">
              <w:rPr>
                <w:iCs/>
              </w:rPr>
              <w:t>e evaluation considered this</w:t>
            </w:r>
            <w:r w:rsidR="00704170">
              <w:t xml:space="preserve"> </w:t>
            </w:r>
            <w:r w:rsidRPr="00842145">
              <w:t>was broadly consistent with the approach proposed by the PBAC at the July 2022 meeting</w:t>
            </w:r>
            <w:r w:rsidR="00A03C64">
              <w:t>.</w:t>
            </w:r>
            <w:r w:rsidRPr="00842145">
              <w:t xml:space="preserve"> </w:t>
            </w:r>
            <w:r w:rsidR="00704170" w:rsidRPr="009B20C0">
              <w:rPr>
                <w:iCs/>
              </w:rPr>
              <w:t xml:space="preserve">However, the ESC </w:t>
            </w:r>
            <w:r w:rsidR="008A10C1" w:rsidRPr="009B20C0">
              <w:rPr>
                <w:iCs/>
              </w:rPr>
              <w:t>noted</w:t>
            </w:r>
            <w:r w:rsidR="00704170" w:rsidRPr="009B20C0">
              <w:rPr>
                <w:iCs/>
              </w:rPr>
              <w:t xml:space="preserve"> that the PBAC proposed </w:t>
            </w:r>
            <w:r w:rsidR="00A03C64" w:rsidRPr="009B20C0">
              <w:rPr>
                <w:iCs/>
              </w:rPr>
              <w:t xml:space="preserve">an approach </w:t>
            </w:r>
            <w:r w:rsidR="00704170" w:rsidRPr="009B20C0">
              <w:rPr>
                <w:iCs/>
              </w:rPr>
              <w:t>that</w:t>
            </w:r>
            <w:r w:rsidR="00A03C64" w:rsidRPr="009B20C0">
              <w:rPr>
                <w:iCs/>
              </w:rPr>
              <w:t xml:space="preserve"> estimated</w:t>
            </w:r>
            <w:r w:rsidR="00704170" w:rsidRPr="009B20C0">
              <w:rPr>
                <w:iCs/>
              </w:rPr>
              <w:t xml:space="preserve"> the number of patients </w:t>
            </w:r>
            <w:r w:rsidR="00A03C64" w:rsidRPr="009B20C0">
              <w:rPr>
                <w:iCs/>
              </w:rPr>
              <w:t>with diabetes according to the number of individuals receiving medicines for diabetes in Australia (para 7.11, Finerenone PSD, July 2022 PBAC meeting)</w:t>
            </w:r>
            <w:r w:rsidR="005B7F18" w:rsidRPr="009B20C0">
              <w:rPr>
                <w:iCs/>
              </w:rPr>
              <w:t xml:space="preserve"> and considered that a mixed market share/epidemiological approach may have been more appropriate to estimate the </w:t>
            </w:r>
            <w:r w:rsidR="004A12A0" w:rsidRPr="009B20C0">
              <w:rPr>
                <w:iCs/>
              </w:rPr>
              <w:t>eligible population</w:t>
            </w:r>
            <w:r w:rsidR="005B7F18" w:rsidRPr="009B20C0">
              <w:rPr>
                <w:iCs/>
              </w:rPr>
              <w:t xml:space="preserve"> for finerenone</w:t>
            </w:r>
            <w:r w:rsidR="00A03C64" w:rsidRPr="009B20C0">
              <w:rPr>
                <w:iCs/>
              </w:rPr>
              <w:t>.</w:t>
            </w:r>
          </w:p>
          <w:p w14:paraId="1BE80B2B" w14:textId="77777777" w:rsidR="000D16E1" w:rsidRDefault="006B5C66" w:rsidP="004E2A40">
            <w:pPr>
              <w:pStyle w:val="TableText0"/>
              <w:keepNext w:val="0"/>
              <w:widowControl w:val="0"/>
            </w:pPr>
            <w:r w:rsidRPr="00842145">
              <w:t>The resubmission inappropriately included a small number of children aged 0-</w:t>
            </w:r>
            <w:r w:rsidR="00080323" w:rsidRPr="00842145">
              <w:t xml:space="preserve">17 </w:t>
            </w:r>
            <w:r w:rsidRPr="00842145">
              <w:t xml:space="preserve">years in the estimated Australian prevalence of T2D. </w:t>
            </w:r>
          </w:p>
          <w:p w14:paraId="0BB8805B" w14:textId="4559AA53" w:rsidR="006B5C66" w:rsidRPr="00842145" w:rsidRDefault="006B5C66" w:rsidP="004E2A40">
            <w:pPr>
              <w:pStyle w:val="TableText0"/>
              <w:keepNext w:val="0"/>
              <w:widowControl w:val="0"/>
              <w:rPr>
                <w:iCs/>
              </w:rPr>
            </w:pPr>
            <w:r w:rsidRPr="00842145">
              <w:t>The AIHW estimates were based on NDSS/APEG and ABS National Health Survey data acknowledged to have most likely underestimated the prevalence of T2D, given both sources reported voluntary patient registrations of diagnosed diabetes (50% of T2D may be undiagnosed; AusDiab Study 2019-2000).</w:t>
            </w:r>
          </w:p>
        </w:tc>
      </w:tr>
      <w:tr w:rsidR="006B5C66" w:rsidRPr="00842145" w14:paraId="410A5A6F" w14:textId="77777777" w:rsidTr="002A4D82">
        <w:tc>
          <w:tcPr>
            <w:tcW w:w="1696" w:type="dxa"/>
          </w:tcPr>
          <w:p w14:paraId="45AB04C3" w14:textId="77777777" w:rsidR="006B5C66" w:rsidRPr="00842145" w:rsidRDefault="006B5C66" w:rsidP="004E2A40">
            <w:pPr>
              <w:pStyle w:val="COMtbl-textCentred"/>
              <w:jc w:val="left"/>
            </w:pPr>
            <w:r w:rsidRPr="00842145">
              <w:t xml:space="preserve">Proportion of T2D patients with </w:t>
            </w:r>
          </w:p>
          <w:p w14:paraId="4CE288B4" w14:textId="77777777" w:rsidR="006B5C66" w:rsidRPr="00842145" w:rsidRDefault="006B5C66" w:rsidP="004E2A40">
            <w:pPr>
              <w:pStyle w:val="COMtbl-textCentred"/>
              <w:jc w:val="left"/>
            </w:pPr>
            <w:r w:rsidRPr="00842145">
              <w:t>UACR ≥ 200 mg/g and eGFR ≥ 25 mL/min/1.73 m</w:t>
            </w:r>
            <w:r w:rsidRPr="00842145">
              <w:rPr>
                <w:vertAlign w:val="superscript"/>
              </w:rPr>
              <w:t xml:space="preserve">2 </w:t>
            </w:r>
          </w:p>
        </w:tc>
        <w:tc>
          <w:tcPr>
            <w:tcW w:w="3402" w:type="dxa"/>
          </w:tcPr>
          <w:p w14:paraId="29A32F65" w14:textId="2668BF64" w:rsidR="006B5C66" w:rsidRPr="00842145" w:rsidRDefault="006B5C66" w:rsidP="004E2A40">
            <w:pPr>
              <w:pStyle w:val="COMtbl-textCentred"/>
              <w:jc w:val="left"/>
            </w:pPr>
            <w:r w:rsidRPr="00842145">
              <w:t xml:space="preserve">12.1%: Based on a commissioned analysis of </w:t>
            </w:r>
            <w:r w:rsidR="00254B6F">
              <w:t xml:space="preserve">the </w:t>
            </w:r>
            <w:r w:rsidRPr="00842145">
              <w:t>OneNil dataset. T2D in the OneNil analysis was based on coded diagnoses in clinical files at any time in history, or a recent HbA1c ≥ 6.5%.</w:t>
            </w:r>
          </w:p>
          <w:p w14:paraId="745DEC89" w14:textId="77777777" w:rsidR="006B5C66" w:rsidRPr="00842145" w:rsidRDefault="006B5C66" w:rsidP="004E2A40">
            <w:pPr>
              <w:pStyle w:val="COMtbl-textCentred"/>
              <w:jc w:val="left"/>
            </w:pPr>
            <w:r w:rsidRPr="00842145">
              <w:t>UACR and eGFR criteria were met, if satisfied at any time during a diagnosis with T2D.</w:t>
            </w:r>
          </w:p>
          <w:p w14:paraId="52484279" w14:textId="77777777" w:rsidR="006B5C66" w:rsidRPr="00842145" w:rsidRDefault="006B5C66" w:rsidP="004E2A40">
            <w:pPr>
              <w:pStyle w:val="COMtbl-textCentred"/>
              <w:jc w:val="left"/>
            </w:pPr>
            <w:r w:rsidRPr="00842145">
              <w:t>Patients with UACR ‘AND’ eGFR were only included if both criteria were met in the same calendar year.</w:t>
            </w:r>
          </w:p>
        </w:tc>
        <w:tc>
          <w:tcPr>
            <w:tcW w:w="3919" w:type="dxa"/>
          </w:tcPr>
          <w:p w14:paraId="2F631195" w14:textId="77777777" w:rsidR="008A10C1" w:rsidRDefault="006B5C66" w:rsidP="004E2A40">
            <w:pPr>
              <w:pStyle w:val="COMtbl-textCentred"/>
              <w:jc w:val="left"/>
            </w:pPr>
            <w:r w:rsidRPr="00842145">
              <w:t xml:space="preserve">The OneNil analysis did not differentiate between transient (e.g. infection related) or persistent albuminuria (i.e. abnormalities of kidney structure or function present for 3 months or more), and included patients with non-diabetic kidney disease, HFrEF </w:t>
            </w:r>
            <w:r w:rsidR="00F1756C" w:rsidRPr="00842145">
              <w:t xml:space="preserve">with an indication for an MRA </w:t>
            </w:r>
            <w:r w:rsidRPr="00842145">
              <w:t>or treatment with a potassium-sparing diuretic. Of 3,983 patients with UACR/eGFR records, 600 had UACR ≥ 200 mg/g, and 480 also had an eGFR between 30-90 mL/min/1.73 m</w:t>
            </w:r>
            <w:r w:rsidRPr="00842145">
              <w:rPr>
                <w:vertAlign w:val="superscript"/>
              </w:rPr>
              <w:t>2</w:t>
            </w:r>
            <w:r w:rsidRPr="00842145">
              <w:t>. Given the analysis may have included patients otherwise excluded in the requested restriction, and did not include patients with eGFR ≥ 90 mL/min/1.73 m</w:t>
            </w:r>
            <w:r w:rsidRPr="00842145">
              <w:rPr>
                <w:vertAlign w:val="superscript"/>
              </w:rPr>
              <w:t>2</w:t>
            </w:r>
            <w:r w:rsidRPr="00842145">
              <w:t xml:space="preserve"> (&lt; 10 patients</w:t>
            </w:r>
            <w:r w:rsidR="00F1756C" w:rsidRPr="00842145">
              <w:t xml:space="preserve"> in the study</w:t>
            </w:r>
            <w:r w:rsidRPr="00842145">
              <w:t>), the estimated proportion may not be applicable to the proposed Australian population and is highly uncertain.</w:t>
            </w:r>
          </w:p>
          <w:p w14:paraId="392AFBCB" w14:textId="0309A817" w:rsidR="008E1407" w:rsidRPr="001C3955" w:rsidRDefault="008E1407" w:rsidP="004E2A40">
            <w:pPr>
              <w:pStyle w:val="COMtbl-textCentred"/>
              <w:jc w:val="left"/>
              <w:rPr>
                <w:i/>
                <w:iCs/>
              </w:rPr>
            </w:pPr>
            <w:r w:rsidRPr="009B20C0">
              <w:rPr>
                <w:iCs/>
              </w:rPr>
              <w:t xml:space="preserve">The ESC noted that the AusDiab data (Atkins et al 2004) suggested previously by the PBAC reported 4.6% of participants had macroalbuminuria. It was noted the submission stated estimates from the AusDiab study regarding prevalence of patient meeting UACR ≥ 200 mg/g could not be obtained from the literature. </w:t>
            </w:r>
          </w:p>
        </w:tc>
      </w:tr>
      <w:tr w:rsidR="006B5C66" w:rsidRPr="00842145" w14:paraId="53403B61" w14:textId="77777777" w:rsidTr="002A4D82">
        <w:tc>
          <w:tcPr>
            <w:tcW w:w="1696" w:type="dxa"/>
          </w:tcPr>
          <w:p w14:paraId="453C3D4C" w14:textId="77777777" w:rsidR="006B5C66" w:rsidRPr="00842145" w:rsidRDefault="006B5C66" w:rsidP="004E2A40">
            <w:pPr>
              <w:pStyle w:val="COMtbl-textCentred"/>
              <w:jc w:val="left"/>
            </w:pPr>
            <w:r w:rsidRPr="00842145">
              <w:t>Proportion of high-risk DKD patients on an ACEi or ARB</w:t>
            </w:r>
          </w:p>
        </w:tc>
        <w:tc>
          <w:tcPr>
            <w:tcW w:w="3402" w:type="dxa"/>
          </w:tcPr>
          <w:p w14:paraId="330878CF" w14:textId="73CE0666" w:rsidR="006B5C66" w:rsidRPr="00842145" w:rsidRDefault="006B5C66" w:rsidP="004E2A40">
            <w:pPr>
              <w:pStyle w:val="COMtbl-textCentred"/>
              <w:jc w:val="left"/>
              <w:rPr>
                <w:iCs/>
              </w:rPr>
            </w:pPr>
            <w:r w:rsidRPr="00842145">
              <w:t xml:space="preserve">76%: Based on the estimate proposed by the PBAC at the July 2022 </w:t>
            </w:r>
            <w:r w:rsidR="00B74BAB">
              <w:t>m</w:t>
            </w:r>
            <w:r w:rsidRPr="00842145">
              <w:t xml:space="preserve">eeting (para 7.11, </w:t>
            </w:r>
            <w:r w:rsidR="00B74BAB">
              <w:t>f</w:t>
            </w:r>
            <w:r w:rsidRPr="00842145">
              <w:t xml:space="preserve">inerenone PSD, July 2022 PBAC meeting), derived from the CKD-FIX study, a study of 369 patients admitted to 31 Australian and New Zealand hospitals, with CKD stage 3 or 4, at increased risk of disease progression (Badve et al. 2020). </w:t>
            </w:r>
          </w:p>
        </w:tc>
        <w:tc>
          <w:tcPr>
            <w:tcW w:w="3919" w:type="dxa"/>
          </w:tcPr>
          <w:p w14:paraId="670F5BC3" w14:textId="37084717" w:rsidR="006B5C66" w:rsidRPr="00842145" w:rsidRDefault="006B5C66" w:rsidP="004E2A40">
            <w:pPr>
              <w:pStyle w:val="COMtbl-textCentred"/>
              <w:jc w:val="left"/>
            </w:pPr>
            <w:r w:rsidRPr="00842145">
              <w:rPr>
                <w:iCs/>
              </w:rPr>
              <w:t xml:space="preserve">Badve et al. </w:t>
            </w:r>
            <w:r w:rsidR="00B74BAB">
              <w:rPr>
                <w:iCs/>
              </w:rPr>
              <w:t xml:space="preserve">2020 </w:t>
            </w:r>
            <w:r w:rsidRPr="00842145">
              <w:rPr>
                <w:iCs/>
              </w:rPr>
              <w:t xml:space="preserve">noted that 76% of patients in the study were taking a RAASi medicine at baseline. Patients with HFrEF were not excluded. Given all patients in the study were hospitalised, and the majority had non-diabetic kidney disease (55%) versus DKD (45%), the observations of Badve et al. (2020) may not be applicable to the proposed Australian population. </w:t>
            </w:r>
          </w:p>
        </w:tc>
      </w:tr>
      <w:tr w:rsidR="006B5C66" w:rsidRPr="00C623FC" w14:paraId="78A72737" w14:textId="77777777" w:rsidTr="002A4D82">
        <w:tc>
          <w:tcPr>
            <w:tcW w:w="1696" w:type="dxa"/>
          </w:tcPr>
          <w:p w14:paraId="6232D586" w14:textId="77777777" w:rsidR="006B5C66" w:rsidRPr="00C06CAB" w:rsidRDefault="006B5C66" w:rsidP="004E2A40">
            <w:pPr>
              <w:pStyle w:val="COMtbl-textCentred"/>
              <w:jc w:val="left"/>
            </w:pPr>
            <w:r w:rsidRPr="004B122B">
              <w:t xml:space="preserve">Proportion of patients currently on SGLT2i </w:t>
            </w:r>
            <w:r>
              <w:t xml:space="preserve">(or </w:t>
            </w:r>
            <w:r w:rsidRPr="004B122B">
              <w:t>intolerant</w:t>
            </w:r>
            <w:r>
              <w:t xml:space="preserve">/ </w:t>
            </w:r>
            <w:r w:rsidRPr="004B122B">
              <w:t>contraindicated</w:t>
            </w:r>
            <w:r>
              <w:t>)</w:t>
            </w:r>
          </w:p>
        </w:tc>
        <w:tc>
          <w:tcPr>
            <w:tcW w:w="3402" w:type="dxa"/>
          </w:tcPr>
          <w:p w14:paraId="533654FD" w14:textId="77777777" w:rsidR="006B5C66" w:rsidRPr="00FE4DDE" w:rsidRDefault="006B5C66" w:rsidP="004E2A40">
            <w:pPr>
              <w:pStyle w:val="COMtbl-textCentred"/>
              <w:jc w:val="left"/>
            </w:pPr>
            <w:r>
              <w:t>24.1%: calculated from 18.6% SGLT2i use and 5.5% SGLT2i intolerance. The estimated use of SGLT2i medicines was</w:t>
            </w:r>
            <w:r w:rsidRPr="00FE4DDE">
              <w:t xml:space="preserve"> based on 18 of 97 patients in the OneNil analysis aged &gt; 18 years, with ACEi/ARB use, not on an MRA, with UACR ≥ 200 mg/g and eGFR ≥ 25 mL/min/1.73 m</w:t>
            </w:r>
            <w:r w:rsidRPr="00F64F61">
              <w:rPr>
                <w:vertAlign w:val="superscript"/>
              </w:rPr>
              <w:t>2</w:t>
            </w:r>
            <w:r w:rsidRPr="00FE4DDE">
              <w:t xml:space="preserve">, </w:t>
            </w:r>
            <w:r>
              <w:t>and</w:t>
            </w:r>
            <w:r w:rsidRPr="00FE4DDE">
              <w:t xml:space="preserve"> serum K+ ≤ 5 mmol/L.</w:t>
            </w:r>
          </w:p>
          <w:p w14:paraId="6667498C" w14:textId="41D86C8B" w:rsidR="006B5C66" w:rsidRDefault="006B5C66" w:rsidP="004E2A40">
            <w:pPr>
              <w:pStyle w:val="COMtbl-textCentred"/>
              <w:jc w:val="left"/>
            </w:pPr>
            <w:r>
              <w:t xml:space="preserve">SGLT2i intolerance was derived from the dapagliflozin discontinuation rate due to adverse events in the DAPA-CKD trial </w:t>
            </w:r>
            <w:r w:rsidRPr="00842145">
              <w:rPr>
                <w:iCs/>
              </w:rPr>
              <w:t xml:space="preserve">(Table 8, </w:t>
            </w:r>
            <w:r w:rsidR="00B74BAB">
              <w:rPr>
                <w:iCs/>
              </w:rPr>
              <w:t>d</w:t>
            </w:r>
            <w:r w:rsidRPr="00842145">
              <w:rPr>
                <w:iCs/>
              </w:rPr>
              <w:t>apagliflozin PSD, November 2021 PBAC meeting)</w:t>
            </w:r>
            <w:r>
              <w:t>.</w:t>
            </w:r>
          </w:p>
        </w:tc>
        <w:tc>
          <w:tcPr>
            <w:tcW w:w="3919" w:type="dxa"/>
          </w:tcPr>
          <w:p w14:paraId="237D5F52" w14:textId="77777777" w:rsidR="006B5C66" w:rsidRPr="00842145" w:rsidRDefault="006B5C66" w:rsidP="004E2A40">
            <w:pPr>
              <w:pStyle w:val="COMtbl-textCentred"/>
              <w:jc w:val="left"/>
            </w:pPr>
            <w:r w:rsidRPr="00842145">
              <w:t xml:space="preserve">Given the small number of potentially eligible patients in the selected OneNil dataset and the inclusion of patients otherwise excluded in the requested restriction (see above), the estimated SGLT2i medicine use based on 18/97 patients is highly uncertain. </w:t>
            </w:r>
          </w:p>
          <w:p w14:paraId="1BBE9001" w14:textId="4BC2ACCB" w:rsidR="006B5C66" w:rsidRDefault="006B5C66" w:rsidP="004E2A40">
            <w:pPr>
              <w:pStyle w:val="COMtbl-textCentred"/>
              <w:jc w:val="left"/>
              <w:rPr>
                <w:i/>
              </w:rPr>
            </w:pPr>
            <w:r w:rsidRPr="00842145">
              <w:t>The proportion of patients intolerant to or contraindicated SGLT2i medicines was most likely underestimated, as the DAPA-CKD most likely excluded patients contraindicated SGLT2i medicines.</w:t>
            </w:r>
          </w:p>
        </w:tc>
      </w:tr>
      <w:tr w:rsidR="006B5C66" w:rsidRPr="00842145" w14:paraId="374BF034" w14:textId="77777777" w:rsidTr="002A4D82">
        <w:tc>
          <w:tcPr>
            <w:tcW w:w="1696" w:type="dxa"/>
          </w:tcPr>
          <w:p w14:paraId="3F98534E" w14:textId="77777777" w:rsidR="006B5C66" w:rsidRPr="00842145" w:rsidRDefault="006B5C66" w:rsidP="004E2A40">
            <w:pPr>
              <w:pStyle w:val="COMtbl-textCentred"/>
              <w:jc w:val="left"/>
            </w:pPr>
            <w:r w:rsidRPr="00842145">
              <w:t>Expected uptake of SGLT2i medicines in the untreated population</w:t>
            </w:r>
          </w:p>
        </w:tc>
        <w:tc>
          <w:tcPr>
            <w:tcW w:w="3402" w:type="dxa"/>
          </w:tcPr>
          <w:p w14:paraId="51C0A795" w14:textId="03E1EC23" w:rsidR="006B5C66" w:rsidRPr="00842145" w:rsidRDefault="006B5C66" w:rsidP="004E2A40">
            <w:pPr>
              <w:pStyle w:val="COMtbl-textCentred"/>
              <w:jc w:val="left"/>
            </w:pPr>
            <w:r w:rsidRPr="00864409">
              <w:t>65</w:t>
            </w:r>
            <w:r w:rsidRPr="006911C5">
              <w:t>-</w:t>
            </w:r>
            <w:r w:rsidRPr="00864409">
              <w:t>85</w:t>
            </w:r>
            <w:r w:rsidRPr="00842145">
              <w:t xml:space="preserve">%: Inferred from estimates presented in Table 18 of the </w:t>
            </w:r>
            <w:r w:rsidR="00B74BAB">
              <w:t>d</w:t>
            </w:r>
            <w:r w:rsidRPr="00842145">
              <w:t>apagliflozin (CKD) PSD (November 2021 PBAC meeting). The resubmission calculated the estimated uptake using numbers of patients not treated with SGLT2i but eligible for the CKD listing, and total patients treated (footnoted ranges used for redacted totals).</w:t>
            </w:r>
          </w:p>
        </w:tc>
        <w:tc>
          <w:tcPr>
            <w:tcW w:w="3919" w:type="dxa"/>
          </w:tcPr>
          <w:p w14:paraId="66E9ED92" w14:textId="249331A1" w:rsidR="006B5C66" w:rsidRPr="001C3955" w:rsidRDefault="006B5C66" w:rsidP="004E2A40">
            <w:pPr>
              <w:pStyle w:val="COMtbl-textCentred"/>
              <w:jc w:val="left"/>
              <w:rPr>
                <w:i/>
              </w:rPr>
            </w:pPr>
            <w:r w:rsidRPr="00842145">
              <w:rPr>
                <w:iCs/>
              </w:rPr>
              <w:t xml:space="preserve">Uptake rates in the dapagliflozin submission were assumed, and considered underestimates by the DUSC (para 7.9, </w:t>
            </w:r>
            <w:r w:rsidR="00B74BAB">
              <w:rPr>
                <w:iCs/>
              </w:rPr>
              <w:t>d</w:t>
            </w:r>
            <w:r w:rsidRPr="00842145">
              <w:rPr>
                <w:iCs/>
              </w:rPr>
              <w:t xml:space="preserve">apagliflozin PSD, November 2021 PBAC meeting). SGLT2i uptake rates were </w:t>
            </w:r>
            <w:r w:rsidR="00B74BAB">
              <w:rPr>
                <w:iCs/>
              </w:rPr>
              <w:t>increased, as noted</w:t>
            </w:r>
            <w:r w:rsidRPr="00842145">
              <w:rPr>
                <w:iCs/>
              </w:rPr>
              <w:t xml:space="preserve"> in the addendums to the dapagliflozin submission, but were not used in the resubmission. The</w:t>
            </w:r>
            <w:r w:rsidR="00267821">
              <w:rPr>
                <w:iCs/>
              </w:rPr>
              <w:t xml:space="preserve"> </w:t>
            </w:r>
            <w:r w:rsidR="00267821" w:rsidRPr="009B20C0">
              <w:t>ESC agreed with the evaluation that the</w:t>
            </w:r>
            <w:r w:rsidRPr="009B20C0">
              <w:t xml:space="preserve"> </w:t>
            </w:r>
            <w:r w:rsidRPr="00842145">
              <w:rPr>
                <w:iCs/>
              </w:rPr>
              <w:t>uptake of SGLT2i medicines in the eligible Australian population may be underestimated.</w:t>
            </w:r>
            <w:r w:rsidR="00267821">
              <w:rPr>
                <w:iCs/>
              </w:rPr>
              <w:t xml:space="preserve"> </w:t>
            </w:r>
            <w:r w:rsidR="00577F6F" w:rsidRPr="009B20C0">
              <w:t>It was noted the economic model assumes 94.5% of patients will be on an SGLT2 inhibitor.</w:t>
            </w:r>
          </w:p>
        </w:tc>
      </w:tr>
      <w:tr w:rsidR="006B5C66" w:rsidRPr="00842145" w14:paraId="159CB1BE" w14:textId="77777777" w:rsidTr="002A4D82">
        <w:tc>
          <w:tcPr>
            <w:tcW w:w="1696" w:type="dxa"/>
          </w:tcPr>
          <w:p w14:paraId="774ABF86" w14:textId="77777777" w:rsidR="006B5C66" w:rsidRPr="00842145" w:rsidRDefault="006B5C66" w:rsidP="004E2A40">
            <w:pPr>
              <w:pStyle w:val="COMtbl-textCentred"/>
              <w:jc w:val="left"/>
            </w:pPr>
            <w:r w:rsidRPr="00842145">
              <w:t>Proportion of patients with persistent UACR ≥ 200 mg/g despite treatment with SGLT2i</w:t>
            </w:r>
          </w:p>
        </w:tc>
        <w:tc>
          <w:tcPr>
            <w:tcW w:w="3402" w:type="dxa"/>
          </w:tcPr>
          <w:p w14:paraId="09A26035" w14:textId="2CB53114" w:rsidR="006B5C66" w:rsidRPr="00842145" w:rsidRDefault="006B5C66" w:rsidP="004E2A40">
            <w:pPr>
              <w:pStyle w:val="COMtbl-textCentred"/>
              <w:jc w:val="left"/>
            </w:pPr>
            <w:r w:rsidRPr="0047383E">
              <w:t>69.1</w:t>
            </w:r>
            <w:r w:rsidRPr="00842145">
              <w:t xml:space="preserve">%: Derived from the DAPA-CKD trial (para 7.11, </w:t>
            </w:r>
            <w:r w:rsidR="00B74BAB">
              <w:t>f</w:t>
            </w:r>
            <w:r w:rsidRPr="00842145">
              <w:t>inerenone PSD, July 2022 PBAC meeting). This value was only applied to potentially eligible patients expected to uptake SGLT2i in the untreated population.</w:t>
            </w:r>
          </w:p>
        </w:tc>
        <w:tc>
          <w:tcPr>
            <w:tcW w:w="3919" w:type="dxa"/>
          </w:tcPr>
          <w:p w14:paraId="355193B7" w14:textId="70E3F056" w:rsidR="006B5C66" w:rsidRPr="00842145" w:rsidRDefault="006B5C66" w:rsidP="004E2A40">
            <w:pPr>
              <w:pStyle w:val="COMtbl-textCentred"/>
              <w:jc w:val="left"/>
            </w:pPr>
            <w:r w:rsidRPr="00842145">
              <w:t xml:space="preserve">At the July 2022 meeting, the PBAC cited the percentage of patients with persistent UACR &gt; 300 mg/g as 64% in the DAPA-CKD trial (para, 7.11, </w:t>
            </w:r>
            <w:r w:rsidR="00B74BAB">
              <w:t>f</w:t>
            </w:r>
            <w:r w:rsidRPr="00842145">
              <w:t>inerenone PSD, July 2022 PBAC meeting). The basis of the inflated estimate, which may be to account for the broader UACR range, is unclear.</w:t>
            </w:r>
            <w:r w:rsidR="00267821">
              <w:t xml:space="preserve"> </w:t>
            </w:r>
            <w:r w:rsidR="00267821" w:rsidRPr="009B20C0">
              <w:rPr>
                <w:iCs/>
              </w:rPr>
              <w:t>The ESC considered</w:t>
            </w:r>
            <w:r w:rsidR="00B96282" w:rsidRPr="009B20C0">
              <w:rPr>
                <w:iCs/>
              </w:rPr>
              <w:t xml:space="preserve"> </w:t>
            </w:r>
            <w:r w:rsidR="00267821" w:rsidRPr="009B20C0">
              <w:rPr>
                <w:iCs/>
              </w:rPr>
              <w:t>this percentage should apply to the entire patient population</w:t>
            </w:r>
            <w:r w:rsidR="00E318E4" w:rsidRPr="009B20C0">
              <w:rPr>
                <w:iCs/>
              </w:rPr>
              <w:t xml:space="preserve"> </w:t>
            </w:r>
            <w:r w:rsidR="00BE5161" w:rsidRPr="009B20C0">
              <w:rPr>
                <w:iCs/>
              </w:rPr>
              <w:t xml:space="preserve">as the proposed continuing restriction </w:t>
            </w:r>
            <w:r w:rsidR="007A7786" w:rsidRPr="009B20C0">
              <w:rPr>
                <w:iCs/>
              </w:rPr>
              <w:t>includes</w:t>
            </w:r>
            <w:r w:rsidR="00BE5161" w:rsidRPr="009B20C0">
              <w:rPr>
                <w:iCs/>
              </w:rPr>
              <w:t xml:space="preserve"> UACR criteria.</w:t>
            </w:r>
          </w:p>
        </w:tc>
      </w:tr>
      <w:tr w:rsidR="006B5C66" w:rsidRPr="00842145" w14:paraId="594B6F6A" w14:textId="77777777" w:rsidTr="002A4D82">
        <w:tc>
          <w:tcPr>
            <w:tcW w:w="1696" w:type="dxa"/>
          </w:tcPr>
          <w:p w14:paraId="375B8CD5" w14:textId="77777777" w:rsidR="006B5C66" w:rsidRPr="00842145" w:rsidRDefault="006B5C66" w:rsidP="004E2A40">
            <w:pPr>
              <w:pStyle w:val="COMtbl-textCentred"/>
              <w:jc w:val="left"/>
            </w:pPr>
            <w:r w:rsidRPr="00842145">
              <w:t>Uptake of finerenone in the eligible population</w:t>
            </w:r>
          </w:p>
        </w:tc>
        <w:tc>
          <w:tcPr>
            <w:tcW w:w="3402" w:type="dxa"/>
          </w:tcPr>
          <w:p w14:paraId="4E3693CE" w14:textId="756ADBBD" w:rsidR="006B5C66" w:rsidRPr="00842145" w:rsidRDefault="00320A42" w:rsidP="004E2A40">
            <w:pPr>
              <w:pStyle w:val="COMtbl-textCentred"/>
              <w:jc w:val="left"/>
            </w:pPr>
            <w:r w:rsidRPr="00320A42">
              <w:rPr>
                <w:iCs/>
                <w:color w:val="000000"/>
                <w:spacing w:val="45"/>
                <w:shd w:val="solid" w:color="000000" w:fill="000000"/>
                <w:fitText w:val="330" w:id="-1233441778"/>
                <w14:textFill>
                  <w14:solidFill>
                    <w14:srgbClr w14:val="000000">
                      <w14:alpha w14:val="100000"/>
                    </w14:srgbClr>
                  </w14:solidFill>
                </w14:textFill>
              </w:rPr>
              <w:t>|||</w:t>
            </w:r>
            <w:r w:rsidRPr="00320A42">
              <w:rPr>
                <w:iCs/>
                <w:color w:val="000000"/>
                <w:spacing w:val="15"/>
                <w:shd w:val="solid" w:color="000000" w:fill="000000"/>
                <w:fitText w:val="330" w:id="-1233441778"/>
                <w14:textFill>
                  <w14:solidFill>
                    <w14:srgbClr w14:val="000000">
                      <w14:alpha w14:val="100000"/>
                    </w14:srgbClr>
                  </w14:solidFill>
                </w14:textFill>
              </w:rPr>
              <w:t>|</w:t>
            </w:r>
            <w:r w:rsidR="006B5C66" w:rsidRPr="009D72CB">
              <w:rPr>
                <w:iCs/>
              </w:rPr>
              <w:t>-</w:t>
            </w:r>
            <w:r w:rsidRPr="00320A42">
              <w:rPr>
                <w:iCs/>
                <w:color w:val="000000"/>
                <w:spacing w:val="45"/>
                <w:shd w:val="solid" w:color="000000" w:fill="000000"/>
                <w:fitText w:val="330" w:id="-1233441777"/>
                <w14:textFill>
                  <w14:solidFill>
                    <w14:srgbClr w14:val="000000">
                      <w14:alpha w14:val="100000"/>
                    </w14:srgbClr>
                  </w14:solidFill>
                </w14:textFill>
              </w:rPr>
              <w:t>|||</w:t>
            </w:r>
            <w:r w:rsidRPr="00320A42">
              <w:rPr>
                <w:iCs/>
                <w:color w:val="000000"/>
                <w:spacing w:val="15"/>
                <w:shd w:val="solid" w:color="000000" w:fill="000000"/>
                <w:fitText w:val="330" w:id="-1233441777"/>
                <w14:textFill>
                  <w14:solidFill>
                    <w14:srgbClr w14:val="000000">
                      <w14:alpha w14:val="100000"/>
                    </w14:srgbClr>
                  </w14:solidFill>
                </w14:textFill>
              </w:rPr>
              <w:t>|</w:t>
            </w:r>
            <w:r w:rsidR="006B5C66" w:rsidRPr="00842145">
              <w:rPr>
                <w:iCs/>
              </w:rPr>
              <w:t xml:space="preserve">%: Uptake rates in the July 2022 submission were calculated to account for increased uptake over time and discontinuation due to death or initiation of RRT. The resubmission stated the uptake rates are higher than the previous submission, consistent with targeted population, but lower than the estimated uptake of SGLT2i medicines in the untreated DKD population. </w:t>
            </w:r>
          </w:p>
        </w:tc>
        <w:tc>
          <w:tcPr>
            <w:tcW w:w="3919" w:type="dxa"/>
          </w:tcPr>
          <w:p w14:paraId="1ED12A2B" w14:textId="37B5B447" w:rsidR="006B5C66" w:rsidRPr="00842145" w:rsidRDefault="006B5C66" w:rsidP="004E2A40">
            <w:pPr>
              <w:pStyle w:val="COMtbl-textCentred"/>
              <w:jc w:val="left"/>
            </w:pPr>
            <w:r w:rsidRPr="00842145">
              <w:t xml:space="preserve">At the July 2022 meeting the ESC noted that finerenone uptake rates were implausibly high given the evolving treatment landscape and the discontinuation rates in the pivotal trials (34% at 4 years in FIDELITY), and should be substantially lower (Table 18, </w:t>
            </w:r>
            <w:r w:rsidR="00B74BAB">
              <w:t>f</w:t>
            </w:r>
            <w:r w:rsidRPr="00842145">
              <w:t>inerenone PSD, July 2022 PBAC meeting). The uptake of finerenone in the narrower population proposed in the resubmission is uncertain.</w:t>
            </w:r>
            <w:r w:rsidR="00267821">
              <w:t xml:space="preserve"> </w:t>
            </w:r>
            <w:r w:rsidR="00267821" w:rsidRPr="009B20C0">
              <w:rPr>
                <w:iCs/>
              </w:rPr>
              <w:t xml:space="preserve">The ESC considered the uptake assumed in the resubmission was likely to be </w:t>
            </w:r>
            <w:r w:rsidR="00B96282" w:rsidRPr="009B20C0">
              <w:rPr>
                <w:iCs/>
              </w:rPr>
              <w:t xml:space="preserve">an </w:t>
            </w:r>
            <w:r w:rsidR="00267821" w:rsidRPr="009B20C0">
              <w:rPr>
                <w:iCs/>
              </w:rPr>
              <w:t>overestimate.</w:t>
            </w:r>
            <w:r w:rsidR="00267821">
              <w:t xml:space="preserve"> </w:t>
            </w:r>
          </w:p>
        </w:tc>
      </w:tr>
      <w:tr w:rsidR="006B5C66" w:rsidRPr="00842145" w14:paraId="04BBEB12" w14:textId="77777777" w:rsidTr="002A4D82">
        <w:tc>
          <w:tcPr>
            <w:tcW w:w="1696" w:type="dxa"/>
          </w:tcPr>
          <w:p w14:paraId="3DFE0D66" w14:textId="77777777" w:rsidR="006B5C66" w:rsidRPr="00842145" w:rsidRDefault="006B5C66" w:rsidP="004E2A40">
            <w:pPr>
              <w:pStyle w:val="COMtbl-textCentred"/>
              <w:jc w:val="left"/>
            </w:pPr>
            <w:r w:rsidRPr="00842145">
              <w:t>Adherence</w:t>
            </w:r>
          </w:p>
        </w:tc>
        <w:tc>
          <w:tcPr>
            <w:tcW w:w="3402" w:type="dxa"/>
          </w:tcPr>
          <w:p w14:paraId="5654DE5E" w14:textId="7EF9C9A0" w:rsidR="006B5C66" w:rsidRPr="00842145" w:rsidRDefault="006B5C66" w:rsidP="004E2A40">
            <w:pPr>
              <w:pStyle w:val="COMtbl-textCentred"/>
              <w:jc w:val="left"/>
            </w:pPr>
            <w:r w:rsidRPr="00842145">
              <w:t>91.7%: Based on the mean adherence reported in the FIDELITY</w:t>
            </w:r>
            <w:r w:rsidR="00561295" w:rsidRPr="00842145">
              <w:t xml:space="preserve"> resubmission</w:t>
            </w:r>
            <w:r w:rsidR="00563B48" w:rsidRPr="00842145">
              <w:t xml:space="preserve"> </w:t>
            </w:r>
            <w:r w:rsidRPr="00842145">
              <w:t>pooled analysis.</w:t>
            </w:r>
          </w:p>
        </w:tc>
        <w:tc>
          <w:tcPr>
            <w:tcW w:w="3919" w:type="dxa"/>
          </w:tcPr>
          <w:p w14:paraId="10E38D99" w14:textId="77777777" w:rsidR="006B5C66" w:rsidRPr="00842145" w:rsidRDefault="006B5C66" w:rsidP="004E2A40">
            <w:pPr>
              <w:pStyle w:val="COMtbl-textCentred"/>
              <w:jc w:val="left"/>
            </w:pPr>
            <w:r w:rsidRPr="00842145">
              <w:t>Adherence observed in the clinical trials is unlikely to be realised in clinical practice, and may be overestimated.</w:t>
            </w:r>
          </w:p>
        </w:tc>
      </w:tr>
    </w:tbl>
    <w:p w14:paraId="3835C5C4" w14:textId="366BFCFD" w:rsidR="006B5C66" w:rsidRPr="00C623FC" w:rsidRDefault="006B5C66" w:rsidP="006B5C66">
      <w:pPr>
        <w:pStyle w:val="TableFigureFooter"/>
      </w:pPr>
      <w:r w:rsidRPr="00C623FC">
        <w:t>Source: Section</w:t>
      </w:r>
      <w:r>
        <w:t>s</w:t>
      </w:r>
      <w:r w:rsidRPr="00C623FC">
        <w:t xml:space="preserve"> 4.1</w:t>
      </w:r>
      <w:r>
        <w:t xml:space="preserve">.1 and 4.1.2, </w:t>
      </w:r>
      <w:r w:rsidRPr="00C623FC">
        <w:t>pp1</w:t>
      </w:r>
      <w:r>
        <w:t>84</w:t>
      </w:r>
      <w:r w:rsidRPr="00C623FC">
        <w:t>-</w:t>
      </w:r>
      <w:r>
        <w:t>194</w:t>
      </w:r>
      <w:r w:rsidRPr="00C623FC">
        <w:t xml:space="preserve"> of </w:t>
      </w:r>
    </w:p>
    <w:p w14:paraId="01F0BAD6" w14:textId="77777777" w:rsidR="006B5C66" w:rsidRDefault="006B5C66" w:rsidP="006B5C66">
      <w:pPr>
        <w:pStyle w:val="TableFigureFooter"/>
      </w:pPr>
      <w:r w:rsidRPr="00C623FC">
        <w:t xml:space="preserve">Abbreviations: </w:t>
      </w:r>
      <w:r w:rsidRPr="00D86211">
        <w:rPr>
          <w:szCs w:val="18"/>
        </w:rPr>
        <w:t>ABS, Australian Bureau of Statistics</w:t>
      </w:r>
      <w:r>
        <w:rPr>
          <w:szCs w:val="18"/>
        </w:rPr>
        <w:t xml:space="preserve">; </w:t>
      </w:r>
      <w:r w:rsidRPr="00C623FC">
        <w:t xml:space="preserve">ACEi, angiotensin converting enzyme inhibitor; </w:t>
      </w:r>
      <w:r w:rsidRPr="00D86211">
        <w:rPr>
          <w:szCs w:val="18"/>
        </w:rPr>
        <w:t>AIHW, Australian Institute of Health and Welfare</w:t>
      </w:r>
      <w:r>
        <w:rPr>
          <w:szCs w:val="18"/>
        </w:rPr>
        <w:t xml:space="preserve">; APEG, </w:t>
      </w:r>
      <w:r w:rsidRPr="0089747F">
        <w:rPr>
          <w:szCs w:val="18"/>
        </w:rPr>
        <w:t>Australasian Paediatric Endocrine Group</w:t>
      </w:r>
      <w:r>
        <w:rPr>
          <w:szCs w:val="18"/>
        </w:rPr>
        <w:t xml:space="preserve">; </w:t>
      </w:r>
      <w:r w:rsidRPr="00C623FC">
        <w:t xml:space="preserve">ARB, angiotensin receptor blocker; CKD, chronic kidney disease; DKD, diabetic kidney disease; eGFR, estimated glomerular filtration rate; </w:t>
      </w:r>
      <w:r>
        <w:rPr>
          <w:szCs w:val="18"/>
        </w:rPr>
        <w:t xml:space="preserve">NDSS, </w:t>
      </w:r>
      <w:r w:rsidRPr="00403A4B">
        <w:rPr>
          <w:szCs w:val="18"/>
        </w:rPr>
        <w:t>National Diabetes Services Scheme</w:t>
      </w:r>
      <w:r>
        <w:rPr>
          <w:szCs w:val="18"/>
        </w:rPr>
        <w:t xml:space="preserve">; </w:t>
      </w:r>
      <w:r w:rsidRPr="00D86211">
        <w:rPr>
          <w:szCs w:val="18"/>
        </w:rPr>
        <w:t>PBS, Pharmaceutical Benefits Scheme</w:t>
      </w:r>
      <w:r>
        <w:rPr>
          <w:szCs w:val="18"/>
        </w:rPr>
        <w:t xml:space="preserve">; PSD, public summary document; </w:t>
      </w:r>
      <w:r w:rsidRPr="00D86211">
        <w:rPr>
          <w:szCs w:val="18"/>
        </w:rPr>
        <w:t>RAASi, renin angiotensin aldosterone system inhibitor;</w:t>
      </w:r>
      <w:r>
        <w:rPr>
          <w:szCs w:val="18"/>
        </w:rPr>
        <w:t xml:space="preserve"> RRT, renal replacement therapy; </w:t>
      </w:r>
      <w:r w:rsidRPr="00012A48">
        <w:rPr>
          <w:szCs w:val="18"/>
        </w:rPr>
        <w:t>SGLT2i, sodium glucose co-transporter 2 inhibitor;</w:t>
      </w:r>
      <w:r>
        <w:rPr>
          <w:szCs w:val="18"/>
        </w:rPr>
        <w:t xml:space="preserve"> </w:t>
      </w:r>
      <w:r>
        <w:t xml:space="preserve">T2D, type 2 diabetes; </w:t>
      </w:r>
      <w:r w:rsidRPr="00C623FC">
        <w:t>UACR, urinary albumin to creatinine ratio</w:t>
      </w:r>
      <w:r>
        <w:t>.</w:t>
      </w:r>
    </w:p>
    <w:p w14:paraId="0B3C53ED" w14:textId="77777777" w:rsidR="006B5C66" w:rsidRPr="00326F87" w:rsidRDefault="006B5C66" w:rsidP="006B5C66">
      <w:pPr>
        <w:pStyle w:val="TableFigureFooter"/>
        <w:rPr>
          <w:sz w:val="20"/>
        </w:rPr>
      </w:pPr>
      <w:r>
        <w:rPr>
          <w:vertAlign w:val="superscript"/>
        </w:rPr>
        <w:t>a</w:t>
      </w:r>
      <w:r>
        <w:t xml:space="preserve"> Excludes patients treated </w:t>
      </w:r>
      <w:r w:rsidRPr="00C06CAB">
        <w:t xml:space="preserve">with eplerenone, spironolactone, any renin inhibitor, or potassium-sparing diuretic which cannot be discontinued at least 4 weeks prior to </w:t>
      </w:r>
      <w:r>
        <w:t>s</w:t>
      </w:r>
      <w:r w:rsidRPr="00C06CAB">
        <w:t xml:space="preserve">creening </w:t>
      </w:r>
      <w:r>
        <w:t>v</w:t>
      </w:r>
      <w:r w:rsidRPr="00C06CAB">
        <w:t>isit</w:t>
      </w:r>
      <w:r>
        <w:t>.</w:t>
      </w:r>
    </w:p>
    <w:p w14:paraId="433F1470" w14:textId="166A0172" w:rsidR="00C85D2E" w:rsidRPr="009B20C0" w:rsidRDefault="00C85D2E" w:rsidP="00B505C8">
      <w:pPr>
        <w:pStyle w:val="COMexecsumnumberedpara"/>
        <w:rPr>
          <w:iCs/>
        </w:rPr>
      </w:pPr>
      <w:r w:rsidRPr="009B20C0">
        <w:rPr>
          <w:iCs/>
        </w:rPr>
        <w:t>The financial estimates applied a percentage of 99.62% to account for patients with known significant non-diabetic renal disease, including clinically relevant renal artery stenosis</w:t>
      </w:r>
      <w:r w:rsidR="004A12A0" w:rsidRPr="009B20C0">
        <w:rPr>
          <w:iCs/>
        </w:rPr>
        <w:t>,</w:t>
      </w:r>
      <w:r w:rsidRPr="009B20C0">
        <w:rPr>
          <w:iCs/>
        </w:rPr>
        <w:t xml:space="preserve"> and 99.74% to account for patients on </w:t>
      </w:r>
      <w:r w:rsidR="00960A35" w:rsidRPr="009B20C0">
        <w:rPr>
          <w:iCs/>
        </w:rPr>
        <w:t xml:space="preserve">a </w:t>
      </w:r>
      <w:r w:rsidRPr="009B20C0">
        <w:rPr>
          <w:iCs/>
        </w:rPr>
        <w:t xml:space="preserve">concomitant therapy with eplerenone, spironolactone, any renin inhibitor, or potassium-sparing diuretic which </w:t>
      </w:r>
      <w:r w:rsidR="00A62638" w:rsidRPr="009B20C0">
        <w:rPr>
          <w:iCs/>
        </w:rPr>
        <w:t>could not</w:t>
      </w:r>
      <w:r w:rsidRPr="009B20C0">
        <w:rPr>
          <w:iCs/>
        </w:rPr>
        <w:t xml:space="preserve"> be discontinued</w:t>
      </w:r>
      <w:r w:rsidR="00A62638" w:rsidRPr="009B20C0">
        <w:rPr>
          <w:iCs/>
        </w:rPr>
        <w:t>, based on the FIGARO-DKD and FIDELIO-DKD screening failure logs. The ESC considered th</w:t>
      </w:r>
      <w:r w:rsidR="006F465D" w:rsidRPr="009B20C0">
        <w:rPr>
          <w:iCs/>
        </w:rPr>
        <w:t>e applicability of</w:t>
      </w:r>
      <w:r w:rsidR="00A62638" w:rsidRPr="009B20C0">
        <w:rPr>
          <w:iCs/>
        </w:rPr>
        <w:t xml:space="preserve"> these percentages </w:t>
      </w:r>
      <w:r w:rsidR="006F465D" w:rsidRPr="009B20C0">
        <w:rPr>
          <w:iCs/>
        </w:rPr>
        <w:t>to clinical practice uncertain</w:t>
      </w:r>
      <w:r w:rsidR="00A62638" w:rsidRPr="009B20C0">
        <w:rPr>
          <w:iCs/>
        </w:rPr>
        <w:t xml:space="preserve"> </w:t>
      </w:r>
      <w:r w:rsidR="006F465D" w:rsidRPr="009B20C0">
        <w:rPr>
          <w:iCs/>
        </w:rPr>
        <w:t xml:space="preserve">and considered that a higher proportion of patients would not transition from a MRA, renin inhibitor or potassium sparing diuretic to finerenone. </w:t>
      </w:r>
    </w:p>
    <w:p w14:paraId="0ADF70D8" w14:textId="3C7EA31E" w:rsidR="006F465D" w:rsidRPr="009B20C0" w:rsidRDefault="003948B7" w:rsidP="00B505C8">
      <w:pPr>
        <w:pStyle w:val="COMexecsumnumberedpara"/>
        <w:rPr>
          <w:iCs/>
        </w:rPr>
      </w:pPr>
      <w:r w:rsidRPr="009B20C0">
        <w:rPr>
          <w:iCs/>
        </w:rPr>
        <w:t>T</w:t>
      </w:r>
      <w:r w:rsidR="006F465D" w:rsidRPr="009B20C0">
        <w:rPr>
          <w:iCs/>
        </w:rPr>
        <w:t>he resubmission assumed that 13.98% of patients would be ineligible</w:t>
      </w:r>
      <w:r w:rsidRPr="009B20C0">
        <w:rPr>
          <w:iCs/>
        </w:rPr>
        <w:t xml:space="preserve"> for treatment</w:t>
      </w:r>
      <w:r w:rsidR="006F465D" w:rsidRPr="009B20C0">
        <w:rPr>
          <w:iCs/>
        </w:rPr>
        <w:t xml:space="preserve"> due to a risk of hyperkalaemia</w:t>
      </w:r>
      <w:r w:rsidRPr="009B20C0">
        <w:rPr>
          <w:iCs/>
        </w:rPr>
        <w:t xml:space="preserve">. The ESC </w:t>
      </w:r>
      <w:r w:rsidR="00AF1C99" w:rsidRPr="009B20C0">
        <w:rPr>
          <w:iCs/>
        </w:rPr>
        <w:t>noted</w:t>
      </w:r>
      <w:r w:rsidRPr="009B20C0">
        <w:rPr>
          <w:iCs/>
        </w:rPr>
        <w:t xml:space="preserve"> that this assumption was not aligned with previous </w:t>
      </w:r>
      <w:r w:rsidR="00AF1C99" w:rsidRPr="009B20C0">
        <w:rPr>
          <w:iCs/>
        </w:rPr>
        <w:t>PBAC advice</w:t>
      </w:r>
      <w:r w:rsidRPr="009B20C0">
        <w:rPr>
          <w:iCs/>
        </w:rPr>
        <w:t>, that up to 58.8%-61.6% would likely be ineligible due to</w:t>
      </w:r>
      <w:r w:rsidR="00AF1C99" w:rsidRPr="009B20C0">
        <w:rPr>
          <w:iCs/>
        </w:rPr>
        <w:t xml:space="preserve"> a</w:t>
      </w:r>
      <w:r w:rsidRPr="009B20C0">
        <w:rPr>
          <w:iCs/>
        </w:rPr>
        <w:t xml:space="preserve"> risk of hyperkalaemia</w:t>
      </w:r>
      <w:r w:rsidR="00960A35" w:rsidRPr="009B20C0">
        <w:rPr>
          <w:iCs/>
        </w:rPr>
        <w:t xml:space="preserve"> (</w:t>
      </w:r>
      <w:r w:rsidRPr="009B20C0">
        <w:rPr>
          <w:iCs/>
        </w:rPr>
        <w:t>based on patients who failed screening in the pivotal trials</w:t>
      </w:r>
      <w:r w:rsidR="00960A35" w:rsidRPr="009B20C0">
        <w:rPr>
          <w:iCs/>
        </w:rPr>
        <w:t>)</w:t>
      </w:r>
      <w:r w:rsidRPr="009B20C0">
        <w:rPr>
          <w:iCs/>
        </w:rPr>
        <w:t xml:space="preserve"> </w:t>
      </w:r>
      <w:r w:rsidR="00AF1C99" w:rsidRPr="009B20C0">
        <w:rPr>
          <w:iCs/>
        </w:rPr>
        <w:t>(para 7.11, Finerenone PSD, July 2022 PBAC meeting).</w:t>
      </w:r>
      <w:r w:rsidR="00960A35" w:rsidRPr="009B20C0">
        <w:rPr>
          <w:iCs/>
        </w:rPr>
        <w:t xml:space="preserve"> The ESC therefore considered that this assumption may be underestimated.</w:t>
      </w:r>
    </w:p>
    <w:p w14:paraId="26FB6670" w14:textId="0F37F2BC" w:rsidR="00B505C8" w:rsidRPr="00AB2D95" w:rsidRDefault="00E16AD8" w:rsidP="00B505C8">
      <w:pPr>
        <w:pStyle w:val="COMexecsumnumberedpara"/>
      </w:pPr>
      <w:r w:rsidRPr="00AB2D95">
        <w:fldChar w:fldCharType="begin"/>
      </w:r>
      <w:r w:rsidRPr="00AB2D95">
        <w:instrText xml:space="preserve"> REF _Ref104805295 \h  \* MERGEFORMAT </w:instrText>
      </w:r>
      <w:r w:rsidRPr="00AB2D95">
        <w:fldChar w:fldCharType="separate"/>
      </w:r>
      <w:r w:rsidR="005562EE">
        <w:t>Table 18</w:t>
      </w:r>
      <w:r w:rsidRPr="00AB2D95">
        <w:fldChar w:fldCharType="end"/>
      </w:r>
      <w:r w:rsidR="00AB2D95">
        <w:t xml:space="preserve"> summarises the e</w:t>
      </w:r>
      <w:r w:rsidR="00AB2D95" w:rsidRPr="0023413C">
        <w:t xml:space="preserve">stimated net cost of </w:t>
      </w:r>
      <w:r w:rsidR="00AB2D95">
        <w:t>finerenone</w:t>
      </w:r>
      <w:r w:rsidR="00AB2D95" w:rsidRPr="0023413C">
        <w:t xml:space="preserve"> to the PBS/RPBS</w:t>
      </w:r>
      <w:r w:rsidR="00593052">
        <w:t xml:space="preserve"> </w:t>
      </w:r>
      <w:r w:rsidR="002A5BB8">
        <w:t xml:space="preserve">as presented </w:t>
      </w:r>
      <w:r w:rsidR="00593052">
        <w:t>in the resubmission</w:t>
      </w:r>
      <w:r w:rsidR="00AB2D95">
        <w:t>.</w:t>
      </w:r>
    </w:p>
    <w:p w14:paraId="38EC053C" w14:textId="797D3C99" w:rsidR="00C25D9C" w:rsidRDefault="00E16AD8" w:rsidP="009A77B1">
      <w:pPr>
        <w:pStyle w:val="COMtablefigcaption"/>
      </w:pPr>
      <w:bookmarkStart w:id="58" w:name="_Ref104805295"/>
      <w:r>
        <w:t xml:space="preserve">Table </w:t>
      </w:r>
      <w:r w:rsidR="005562EE">
        <w:fldChar w:fldCharType="begin"/>
      </w:r>
      <w:r w:rsidR="005562EE">
        <w:instrText xml:space="preserve"> SEQ Table \* ARABIC </w:instrText>
      </w:r>
      <w:r w:rsidR="005562EE">
        <w:fldChar w:fldCharType="separate"/>
      </w:r>
      <w:r w:rsidR="005562EE">
        <w:rPr>
          <w:noProof/>
        </w:rPr>
        <w:t>18</w:t>
      </w:r>
      <w:r w:rsidR="005562EE">
        <w:rPr>
          <w:noProof/>
        </w:rPr>
        <w:fldChar w:fldCharType="end"/>
      </w:r>
      <w:bookmarkEnd w:id="58"/>
      <w:r>
        <w:t>:</w:t>
      </w:r>
      <w:r w:rsidR="002A2F50" w:rsidRPr="00FD4ED6">
        <w:t xml:space="preserve"> Estimated use and financial implications</w:t>
      </w:r>
      <w:r w:rsidR="00AB2D95">
        <w:t xml:space="preserve"> of listing finerenone</w:t>
      </w:r>
      <w:r w:rsidR="00593052">
        <w:t xml:space="preserve"> </w:t>
      </w:r>
      <w:r w:rsidR="002A5BB8">
        <w:t xml:space="preserve">as </w:t>
      </w:r>
      <w:r w:rsidR="00593052">
        <w:t>presented in the</w:t>
      </w:r>
      <w:r w:rsidR="001E4701">
        <w:t xml:space="preserve"> July 2022 submission and the</w:t>
      </w:r>
      <w:r w:rsidR="00593052">
        <w:t xml:space="preserve"> resubmission</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1088"/>
        <w:gridCol w:w="1088"/>
        <w:gridCol w:w="1089"/>
        <w:gridCol w:w="1088"/>
        <w:gridCol w:w="1088"/>
        <w:gridCol w:w="1089"/>
      </w:tblGrid>
      <w:tr w:rsidR="004231C9" w:rsidRPr="00D424C7" w14:paraId="27034889" w14:textId="77777777" w:rsidTr="00F41818">
        <w:trPr>
          <w:tblHeader/>
        </w:trPr>
        <w:tc>
          <w:tcPr>
            <w:tcW w:w="2547" w:type="dxa"/>
            <w:shd w:val="clear" w:color="auto" w:fill="auto"/>
            <w:vAlign w:val="center"/>
          </w:tcPr>
          <w:p w14:paraId="35EC093F" w14:textId="77777777" w:rsidR="004231C9" w:rsidRPr="00D424C7" w:rsidRDefault="004231C9" w:rsidP="009A77B1">
            <w:pPr>
              <w:pStyle w:val="COMTableheadingrow"/>
            </w:pPr>
          </w:p>
        </w:tc>
        <w:tc>
          <w:tcPr>
            <w:tcW w:w="1088" w:type="dxa"/>
            <w:shd w:val="clear" w:color="auto" w:fill="auto"/>
            <w:vAlign w:val="center"/>
          </w:tcPr>
          <w:p w14:paraId="3B2B7D98" w14:textId="77777777" w:rsidR="004231C9" w:rsidRPr="00D424C7" w:rsidRDefault="004231C9" w:rsidP="009A77B1">
            <w:pPr>
              <w:pStyle w:val="COMTableheadingrow"/>
              <w:jc w:val="center"/>
            </w:pPr>
            <w:r w:rsidRPr="00D424C7">
              <w:t>Year 1</w:t>
            </w:r>
          </w:p>
        </w:tc>
        <w:tc>
          <w:tcPr>
            <w:tcW w:w="1088" w:type="dxa"/>
            <w:shd w:val="clear" w:color="auto" w:fill="auto"/>
            <w:vAlign w:val="center"/>
          </w:tcPr>
          <w:p w14:paraId="0E7E0F02" w14:textId="77777777" w:rsidR="004231C9" w:rsidRPr="00D424C7" w:rsidRDefault="004231C9" w:rsidP="009A77B1">
            <w:pPr>
              <w:pStyle w:val="COMTableheadingrow"/>
              <w:jc w:val="center"/>
            </w:pPr>
            <w:r w:rsidRPr="00D424C7">
              <w:t>Year 2</w:t>
            </w:r>
          </w:p>
        </w:tc>
        <w:tc>
          <w:tcPr>
            <w:tcW w:w="1089" w:type="dxa"/>
            <w:shd w:val="clear" w:color="auto" w:fill="auto"/>
            <w:vAlign w:val="center"/>
          </w:tcPr>
          <w:p w14:paraId="15126A97" w14:textId="77777777" w:rsidR="004231C9" w:rsidRPr="00D424C7" w:rsidRDefault="004231C9" w:rsidP="009A77B1">
            <w:pPr>
              <w:pStyle w:val="COMTableheadingrow"/>
              <w:jc w:val="center"/>
            </w:pPr>
            <w:r w:rsidRPr="00D424C7">
              <w:t>Year 3</w:t>
            </w:r>
          </w:p>
        </w:tc>
        <w:tc>
          <w:tcPr>
            <w:tcW w:w="1088" w:type="dxa"/>
            <w:shd w:val="clear" w:color="auto" w:fill="auto"/>
            <w:vAlign w:val="center"/>
          </w:tcPr>
          <w:p w14:paraId="7E8FD26E" w14:textId="77777777" w:rsidR="004231C9" w:rsidRPr="00D424C7" w:rsidRDefault="004231C9" w:rsidP="009A77B1">
            <w:pPr>
              <w:pStyle w:val="COMTableheadingrow"/>
              <w:jc w:val="center"/>
            </w:pPr>
            <w:r w:rsidRPr="00D424C7">
              <w:t>Year 4</w:t>
            </w:r>
          </w:p>
        </w:tc>
        <w:tc>
          <w:tcPr>
            <w:tcW w:w="1088" w:type="dxa"/>
            <w:shd w:val="clear" w:color="auto" w:fill="auto"/>
            <w:vAlign w:val="center"/>
          </w:tcPr>
          <w:p w14:paraId="6E88D346" w14:textId="77777777" w:rsidR="004231C9" w:rsidRPr="00D424C7" w:rsidRDefault="004231C9" w:rsidP="009A77B1">
            <w:pPr>
              <w:pStyle w:val="COMTableheadingrow"/>
              <w:jc w:val="center"/>
            </w:pPr>
            <w:r w:rsidRPr="00D424C7">
              <w:t>Year 5</w:t>
            </w:r>
          </w:p>
        </w:tc>
        <w:tc>
          <w:tcPr>
            <w:tcW w:w="1089" w:type="dxa"/>
            <w:shd w:val="clear" w:color="auto" w:fill="auto"/>
            <w:vAlign w:val="center"/>
          </w:tcPr>
          <w:p w14:paraId="121E1473" w14:textId="77777777" w:rsidR="004231C9" w:rsidRPr="00D424C7" w:rsidRDefault="004231C9" w:rsidP="009A77B1">
            <w:pPr>
              <w:pStyle w:val="COMTableheadingrow"/>
              <w:jc w:val="center"/>
            </w:pPr>
            <w:r w:rsidRPr="00D424C7">
              <w:t>Year 6</w:t>
            </w:r>
          </w:p>
        </w:tc>
      </w:tr>
      <w:tr w:rsidR="004231C9" w:rsidRPr="00E07704" w14:paraId="61F7A6C1" w14:textId="77777777" w:rsidTr="00F41818">
        <w:trPr>
          <w:tblHeader/>
        </w:trPr>
        <w:tc>
          <w:tcPr>
            <w:tcW w:w="2547" w:type="dxa"/>
            <w:shd w:val="clear" w:color="auto" w:fill="auto"/>
          </w:tcPr>
          <w:p w14:paraId="4402718F" w14:textId="77777777" w:rsidR="004231C9" w:rsidRPr="0085723D" w:rsidRDefault="004231C9" w:rsidP="009A77B1">
            <w:pPr>
              <w:pStyle w:val="COMTableheadingrow"/>
              <w:rPr>
                <w:b w:val="0"/>
                <w:bCs/>
              </w:rPr>
            </w:pPr>
            <w:r w:rsidRPr="0085723D">
              <w:rPr>
                <w:b w:val="0"/>
                <w:bCs/>
              </w:rPr>
              <w:t xml:space="preserve">Total </w:t>
            </w:r>
            <w:r>
              <w:rPr>
                <w:b w:val="0"/>
                <w:bCs/>
              </w:rPr>
              <w:t>eligible population</w:t>
            </w:r>
          </w:p>
        </w:tc>
        <w:tc>
          <w:tcPr>
            <w:tcW w:w="1088" w:type="dxa"/>
            <w:shd w:val="clear" w:color="auto" w:fill="auto"/>
            <w:vAlign w:val="center"/>
          </w:tcPr>
          <w:p w14:paraId="2CCB40DC" w14:textId="32E75B41" w:rsidR="004231C9" w:rsidRPr="008F37FB" w:rsidRDefault="00320A42" w:rsidP="009A77B1">
            <w:pPr>
              <w:pStyle w:val="COMTableheadingrow"/>
              <w:jc w:val="center"/>
              <w:rPr>
                <w:b w:val="0"/>
                <w:bCs/>
                <w:highlight w:val="darkGray"/>
              </w:rPr>
            </w:pPr>
            <w:r w:rsidRPr="00320A42">
              <w:rPr>
                <w:rFonts w:hint="eastAsia"/>
                <w:b w:val="0"/>
                <w:bCs/>
                <w:color w:val="000000"/>
                <w:w w:val="15"/>
                <w:shd w:val="solid" w:color="000000" w:fill="000000"/>
                <w:fitText w:val="60" w:id="-1233441776"/>
                <w14:textFill>
                  <w14:solidFill>
                    <w14:srgbClr w14:val="000000">
                      <w14:alpha w14:val="100000"/>
                    </w14:srgbClr>
                  </w14:solidFill>
                </w14:textFill>
              </w:rPr>
              <w:t xml:space="preserve">　</w:t>
            </w:r>
            <w:r w:rsidRPr="00320A42">
              <w:rPr>
                <w:b w:val="0"/>
                <w:bCs/>
                <w:color w:val="000000"/>
                <w:w w:val="15"/>
                <w:shd w:val="solid" w:color="000000" w:fill="000000"/>
                <w:fitText w:val="60" w:id="-1233441776"/>
                <w14:textFill>
                  <w14:solidFill>
                    <w14:srgbClr w14:val="000000">
                      <w14:alpha w14:val="100000"/>
                    </w14:srgbClr>
                  </w14:solidFill>
                </w14:textFill>
              </w:rPr>
              <w:t>|</w:t>
            </w:r>
            <w:r w:rsidRPr="00320A42">
              <w:rPr>
                <w:rFonts w:hint="eastAsia"/>
                <w:b w:val="0"/>
                <w:bCs/>
                <w:color w:val="000000"/>
                <w:spacing w:val="-15"/>
                <w:w w:val="15"/>
                <w:shd w:val="solid" w:color="000000" w:fill="000000"/>
                <w:fitText w:val="60" w:id="-1233441776"/>
                <w14:textFill>
                  <w14:solidFill>
                    <w14:srgbClr w14:val="000000">
                      <w14:alpha w14:val="100000"/>
                    </w14:srgbClr>
                  </w14:solidFill>
                </w14:textFill>
              </w:rPr>
              <w:t xml:space="preserve">　</w:t>
            </w:r>
            <w:r w:rsidR="008F37FB" w:rsidRPr="008F37FB">
              <w:rPr>
                <w:b w:val="0"/>
                <w:bCs/>
                <w:vertAlign w:val="superscript"/>
              </w:rPr>
              <w:t>1</w:t>
            </w:r>
          </w:p>
        </w:tc>
        <w:tc>
          <w:tcPr>
            <w:tcW w:w="1088" w:type="dxa"/>
            <w:shd w:val="clear" w:color="auto" w:fill="auto"/>
            <w:vAlign w:val="center"/>
          </w:tcPr>
          <w:p w14:paraId="0C83FD75" w14:textId="435B80E8" w:rsidR="004231C9" w:rsidRPr="008F37FB" w:rsidRDefault="00320A42" w:rsidP="009A77B1">
            <w:pPr>
              <w:pStyle w:val="COMTableheadingrow"/>
              <w:jc w:val="center"/>
              <w:rPr>
                <w:b w:val="0"/>
                <w:bCs/>
                <w:highlight w:val="darkGray"/>
              </w:rPr>
            </w:pPr>
            <w:r w:rsidRPr="00320A42">
              <w:rPr>
                <w:rFonts w:hint="eastAsia"/>
                <w:b w:val="0"/>
                <w:bCs/>
                <w:color w:val="000000"/>
                <w:w w:val="15"/>
                <w:shd w:val="solid" w:color="000000" w:fill="000000"/>
                <w:fitText w:val="60" w:id="-1233441792"/>
                <w14:textFill>
                  <w14:solidFill>
                    <w14:srgbClr w14:val="000000">
                      <w14:alpha w14:val="100000"/>
                    </w14:srgbClr>
                  </w14:solidFill>
                </w14:textFill>
              </w:rPr>
              <w:t xml:space="preserve">　</w:t>
            </w:r>
            <w:r w:rsidRPr="00320A42">
              <w:rPr>
                <w:b w:val="0"/>
                <w:bCs/>
                <w:color w:val="000000"/>
                <w:w w:val="15"/>
                <w:shd w:val="solid" w:color="000000" w:fill="000000"/>
                <w:fitText w:val="60" w:id="-1233441792"/>
                <w14:textFill>
                  <w14:solidFill>
                    <w14:srgbClr w14:val="000000">
                      <w14:alpha w14:val="100000"/>
                    </w14:srgbClr>
                  </w14:solidFill>
                </w14:textFill>
              </w:rPr>
              <w:t>|</w:t>
            </w:r>
            <w:r w:rsidRPr="00320A42">
              <w:rPr>
                <w:rFonts w:hint="eastAsia"/>
                <w:b w:val="0"/>
                <w:bCs/>
                <w:color w:val="000000"/>
                <w:spacing w:val="-15"/>
                <w:w w:val="15"/>
                <w:shd w:val="solid" w:color="000000" w:fill="000000"/>
                <w:fitText w:val="60" w:id="-1233441792"/>
                <w14:textFill>
                  <w14:solidFill>
                    <w14:srgbClr w14:val="000000">
                      <w14:alpha w14:val="100000"/>
                    </w14:srgbClr>
                  </w14:solidFill>
                </w14:textFill>
              </w:rPr>
              <w:t xml:space="preserve">　</w:t>
            </w:r>
            <w:r w:rsidR="008F37FB">
              <w:rPr>
                <w:b w:val="0"/>
                <w:bCs/>
                <w:vertAlign w:val="superscript"/>
              </w:rPr>
              <w:t>8</w:t>
            </w:r>
          </w:p>
        </w:tc>
        <w:tc>
          <w:tcPr>
            <w:tcW w:w="1089" w:type="dxa"/>
            <w:shd w:val="clear" w:color="auto" w:fill="auto"/>
            <w:vAlign w:val="center"/>
          </w:tcPr>
          <w:p w14:paraId="3E9F3A8F" w14:textId="00A42F0A" w:rsidR="004231C9" w:rsidRPr="008F37FB" w:rsidRDefault="00320A42" w:rsidP="009A77B1">
            <w:pPr>
              <w:pStyle w:val="COMTableheadingrow"/>
              <w:jc w:val="center"/>
              <w:rPr>
                <w:b w:val="0"/>
                <w:bCs/>
                <w:highlight w:val="darkGray"/>
              </w:rPr>
            </w:pPr>
            <w:r w:rsidRPr="00320A42">
              <w:rPr>
                <w:rFonts w:hint="eastAsia"/>
                <w:b w:val="0"/>
                <w:bCs/>
                <w:color w:val="000000"/>
                <w:w w:val="15"/>
                <w:shd w:val="solid" w:color="000000" w:fill="000000"/>
                <w:fitText w:val="60" w:id="-1233441791"/>
                <w14:textFill>
                  <w14:solidFill>
                    <w14:srgbClr w14:val="000000">
                      <w14:alpha w14:val="100000"/>
                    </w14:srgbClr>
                  </w14:solidFill>
                </w14:textFill>
              </w:rPr>
              <w:t xml:space="preserve">　</w:t>
            </w:r>
            <w:r w:rsidRPr="00320A42">
              <w:rPr>
                <w:b w:val="0"/>
                <w:bCs/>
                <w:color w:val="000000"/>
                <w:w w:val="15"/>
                <w:shd w:val="solid" w:color="000000" w:fill="000000"/>
                <w:fitText w:val="60" w:id="-1233441791"/>
                <w14:textFill>
                  <w14:solidFill>
                    <w14:srgbClr w14:val="000000">
                      <w14:alpha w14:val="100000"/>
                    </w14:srgbClr>
                  </w14:solidFill>
                </w14:textFill>
              </w:rPr>
              <w:t>|</w:t>
            </w:r>
            <w:r w:rsidRPr="00320A42">
              <w:rPr>
                <w:rFonts w:hint="eastAsia"/>
                <w:b w:val="0"/>
                <w:bCs/>
                <w:color w:val="000000"/>
                <w:spacing w:val="-15"/>
                <w:w w:val="15"/>
                <w:shd w:val="solid" w:color="000000" w:fill="000000"/>
                <w:fitText w:val="60" w:id="-1233441791"/>
                <w14:textFill>
                  <w14:solidFill>
                    <w14:srgbClr w14:val="000000">
                      <w14:alpha w14:val="100000"/>
                    </w14:srgbClr>
                  </w14:solidFill>
                </w14:textFill>
              </w:rPr>
              <w:t xml:space="preserve">　</w:t>
            </w:r>
            <w:r w:rsidR="008F37FB">
              <w:rPr>
                <w:b w:val="0"/>
                <w:bCs/>
                <w:vertAlign w:val="superscript"/>
              </w:rPr>
              <w:t>8</w:t>
            </w:r>
          </w:p>
        </w:tc>
        <w:tc>
          <w:tcPr>
            <w:tcW w:w="1088" w:type="dxa"/>
            <w:shd w:val="clear" w:color="auto" w:fill="auto"/>
            <w:vAlign w:val="center"/>
          </w:tcPr>
          <w:p w14:paraId="7D965D9B" w14:textId="3B98AF9D" w:rsidR="004231C9" w:rsidRPr="008F37FB" w:rsidRDefault="00320A42" w:rsidP="009A77B1">
            <w:pPr>
              <w:pStyle w:val="COMTableheadingrow"/>
              <w:jc w:val="center"/>
              <w:rPr>
                <w:b w:val="0"/>
                <w:bCs/>
                <w:highlight w:val="darkGray"/>
              </w:rPr>
            </w:pPr>
            <w:r w:rsidRPr="00320A42">
              <w:rPr>
                <w:rFonts w:hint="eastAsia"/>
                <w:b w:val="0"/>
                <w:bCs/>
                <w:color w:val="000000"/>
                <w:w w:val="20"/>
                <w:shd w:val="solid" w:color="000000" w:fill="000000"/>
                <w:fitText w:val="90" w:id="-1233441790"/>
                <w14:textFill>
                  <w14:solidFill>
                    <w14:srgbClr w14:val="000000">
                      <w14:alpha w14:val="100000"/>
                    </w14:srgbClr>
                  </w14:solidFill>
                </w14:textFill>
              </w:rPr>
              <w:t xml:space="preserve">　</w:t>
            </w:r>
            <w:r w:rsidRPr="00320A42">
              <w:rPr>
                <w:b w:val="0"/>
                <w:bCs/>
                <w:color w:val="000000"/>
                <w:w w:val="20"/>
                <w:shd w:val="solid" w:color="000000" w:fill="000000"/>
                <w:fitText w:val="90" w:id="-1233441790"/>
                <w14:textFill>
                  <w14:solidFill>
                    <w14:srgbClr w14:val="000000">
                      <w14:alpha w14:val="100000"/>
                    </w14:srgbClr>
                  </w14:solidFill>
                </w14:textFill>
              </w:rPr>
              <w:t>|</w:t>
            </w:r>
            <w:r w:rsidRPr="00320A42">
              <w:rPr>
                <w:rFonts w:hint="eastAsia"/>
                <w:b w:val="0"/>
                <w:bCs/>
                <w:color w:val="000000"/>
                <w:spacing w:val="3"/>
                <w:w w:val="20"/>
                <w:shd w:val="solid" w:color="000000" w:fill="000000"/>
                <w:fitText w:val="90" w:id="-1233441790"/>
                <w14:textFill>
                  <w14:solidFill>
                    <w14:srgbClr w14:val="000000">
                      <w14:alpha w14:val="100000"/>
                    </w14:srgbClr>
                  </w14:solidFill>
                </w14:textFill>
              </w:rPr>
              <w:t xml:space="preserve">　</w:t>
            </w:r>
            <w:r w:rsidR="0040261D" w:rsidRPr="0040261D">
              <w:rPr>
                <w:b w:val="0"/>
                <w:bCs/>
                <w:vertAlign w:val="superscript"/>
              </w:rPr>
              <w:t>1</w:t>
            </w:r>
            <w:r w:rsidR="0040261D">
              <w:rPr>
                <w:b w:val="0"/>
                <w:bCs/>
                <w:vertAlign w:val="superscript"/>
              </w:rPr>
              <w:t>4</w:t>
            </w:r>
          </w:p>
        </w:tc>
        <w:tc>
          <w:tcPr>
            <w:tcW w:w="1088" w:type="dxa"/>
            <w:shd w:val="clear" w:color="auto" w:fill="auto"/>
            <w:vAlign w:val="center"/>
          </w:tcPr>
          <w:p w14:paraId="0C920576" w14:textId="3FA045FA" w:rsidR="004231C9" w:rsidRPr="008F37FB" w:rsidRDefault="00320A42" w:rsidP="009A77B1">
            <w:pPr>
              <w:pStyle w:val="COMTableheadingrow"/>
              <w:jc w:val="center"/>
              <w:rPr>
                <w:b w:val="0"/>
                <w:bCs/>
                <w:highlight w:val="darkGray"/>
              </w:rPr>
            </w:pPr>
            <w:r w:rsidRPr="00320A42">
              <w:rPr>
                <w:rFonts w:hint="eastAsia"/>
                <w:b w:val="0"/>
                <w:bCs/>
                <w:color w:val="000000"/>
                <w:w w:val="20"/>
                <w:shd w:val="solid" w:color="000000" w:fill="000000"/>
                <w:fitText w:val="90" w:id="-1233441789"/>
                <w14:textFill>
                  <w14:solidFill>
                    <w14:srgbClr w14:val="000000">
                      <w14:alpha w14:val="100000"/>
                    </w14:srgbClr>
                  </w14:solidFill>
                </w14:textFill>
              </w:rPr>
              <w:t xml:space="preserve">　</w:t>
            </w:r>
            <w:r w:rsidRPr="00320A42">
              <w:rPr>
                <w:b w:val="0"/>
                <w:bCs/>
                <w:color w:val="000000"/>
                <w:w w:val="20"/>
                <w:shd w:val="solid" w:color="000000" w:fill="000000"/>
                <w:fitText w:val="90" w:id="-1233441789"/>
                <w14:textFill>
                  <w14:solidFill>
                    <w14:srgbClr w14:val="000000">
                      <w14:alpha w14:val="100000"/>
                    </w14:srgbClr>
                  </w14:solidFill>
                </w14:textFill>
              </w:rPr>
              <w:t>|</w:t>
            </w:r>
            <w:r w:rsidRPr="00320A42">
              <w:rPr>
                <w:rFonts w:hint="eastAsia"/>
                <w:b w:val="0"/>
                <w:bCs/>
                <w:color w:val="000000"/>
                <w:spacing w:val="3"/>
                <w:w w:val="20"/>
                <w:shd w:val="solid" w:color="000000" w:fill="000000"/>
                <w:fitText w:val="90" w:id="-1233441789"/>
                <w14:textFill>
                  <w14:solidFill>
                    <w14:srgbClr w14:val="000000">
                      <w14:alpha w14:val="100000"/>
                    </w14:srgbClr>
                  </w14:solidFill>
                </w14:textFill>
              </w:rPr>
              <w:t xml:space="preserve">　</w:t>
            </w:r>
            <w:r w:rsidR="0040261D" w:rsidRPr="0040261D">
              <w:rPr>
                <w:b w:val="0"/>
                <w:bCs/>
                <w:vertAlign w:val="superscript"/>
              </w:rPr>
              <w:t>1</w:t>
            </w:r>
            <w:r w:rsidR="0040261D">
              <w:rPr>
                <w:b w:val="0"/>
                <w:bCs/>
                <w:vertAlign w:val="superscript"/>
              </w:rPr>
              <w:t>4</w:t>
            </w:r>
          </w:p>
        </w:tc>
        <w:tc>
          <w:tcPr>
            <w:tcW w:w="1089" w:type="dxa"/>
            <w:shd w:val="clear" w:color="auto" w:fill="auto"/>
            <w:vAlign w:val="center"/>
          </w:tcPr>
          <w:p w14:paraId="58E846F9" w14:textId="59458CEF" w:rsidR="004231C9" w:rsidRPr="008F37FB" w:rsidRDefault="00320A42" w:rsidP="009A77B1">
            <w:pPr>
              <w:pStyle w:val="COMTableheadingrow"/>
              <w:jc w:val="center"/>
              <w:rPr>
                <w:b w:val="0"/>
                <w:bCs/>
                <w:highlight w:val="darkGray"/>
              </w:rPr>
            </w:pPr>
            <w:r w:rsidRPr="00320A42">
              <w:rPr>
                <w:rFonts w:hint="eastAsia"/>
                <w:b w:val="0"/>
                <w:bCs/>
                <w:color w:val="000000"/>
                <w:w w:val="20"/>
                <w:shd w:val="solid" w:color="000000" w:fill="000000"/>
                <w:fitText w:val="90" w:id="-1233441788"/>
                <w14:textFill>
                  <w14:solidFill>
                    <w14:srgbClr w14:val="000000">
                      <w14:alpha w14:val="100000"/>
                    </w14:srgbClr>
                  </w14:solidFill>
                </w14:textFill>
              </w:rPr>
              <w:t xml:space="preserve">　</w:t>
            </w:r>
            <w:r w:rsidRPr="00320A42">
              <w:rPr>
                <w:b w:val="0"/>
                <w:bCs/>
                <w:color w:val="000000"/>
                <w:w w:val="20"/>
                <w:shd w:val="solid" w:color="000000" w:fill="000000"/>
                <w:fitText w:val="90" w:id="-1233441788"/>
                <w14:textFill>
                  <w14:solidFill>
                    <w14:srgbClr w14:val="000000">
                      <w14:alpha w14:val="100000"/>
                    </w14:srgbClr>
                  </w14:solidFill>
                </w14:textFill>
              </w:rPr>
              <w:t>|</w:t>
            </w:r>
            <w:r w:rsidRPr="00320A42">
              <w:rPr>
                <w:rFonts w:hint="eastAsia"/>
                <w:b w:val="0"/>
                <w:bCs/>
                <w:color w:val="000000"/>
                <w:spacing w:val="3"/>
                <w:w w:val="20"/>
                <w:shd w:val="solid" w:color="000000" w:fill="000000"/>
                <w:fitText w:val="90" w:id="-1233441788"/>
                <w14:textFill>
                  <w14:solidFill>
                    <w14:srgbClr w14:val="000000">
                      <w14:alpha w14:val="100000"/>
                    </w14:srgbClr>
                  </w14:solidFill>
                </w14:textFill>
              </w:rPr>
              <w:t xml:space="preserve">　</w:t>
            </w:r>
            <w:r w:rsidR="0040261D" w:rsidRPr="0040261D">
              <w:rPr>
                <w:b w:val="0"/>
                <w:bCs/>
                <w:vertAlign w:val="superscript"/>
              </w:rPr>
              <w:t>1</w:t>
            </w:r>
            <w:r w:rsidR="0040261D">
              <w:rPr>
                <w:b w:val="0"/>
                <w:bCs/>
                <w:vertAlign w:val="superscript"/>
              </w:rPr>
              <w:t>4</w:t>
            </w:r>
          </w:p>
        </w:tc>
      </w:tr>
      <w:tr w:rsidR="004231C9" w:rsidRPr="0085723D" w14:paraId="08837105" w14:textId="77777777" w:rsidTr="00F41818">
        <w:trPr>
          <w:tblHeader/>
        </w:trPr>
        <w:tc>
          <w:tcPr>
            <w:tcW w:w="2547" w:type="dxa"/>
            <w:shd w:val="clear" w:color="auto" w:fill="auto"/>
          </w:tcPr>
          <w:p w14:paraId="74C53452" w14:textId="77777777" w:rsidR="004231C9" w:rsidRPr="0085723D" w:rsidRDefault="004231C9" w:rsidP="009A77B1">
            <w:pPr>
              <w:pStyle w:val="COMTableheadingrow"/>
              <w:rPr>
                <w:b w:val="0"/>
                <w:bCs/>
              </w:rPr>
            </w:pPr>
            <w:r w:rsidRPr="0085723D">
              <w:rPr>
                <w:b w:val="0"/>
                <w:bCs/>
              </w:rPr>
              <w:t>Assumed uptake of finerenone</w:t>
            </w:r>
          </w:p>
        </w:tc>
        <w:tc>
          <w:tcPr>
            <w:tcW w:w="1088" w:type="dxa"/>
            <w:shd w:val="clear" w:color="auto" w:fill="auto"/>
          </w:tcPr>
          <w:p w14:paraId="4C751171" w14:textId="5EB8B26B" w:rsidR="004231C9" w:rsidRPr="0085723D" w:rsidRDefault="00320A42" w:rsidP="009A77B1">
            <w:pPr>
              <w:pStyle w:val="COMTableheadingrow"/>
              <w:jc w:val="center"/>
              <w:rPr>
                <w:b w:val="0"/>
                <w:bCs/>
              </w:rPr>
            </w:pPr>
            <w:r w:rsidRPr="00320A42">
              <w:rPr>
                <w:rFonts w:hint="eastAsia"/>
                <w:b w:val="0"/>
                <w:bCs/>
                <w:color w:val="000000"/>
                <w:w w:val="23"/>
                <w:shd w:val="solid" w:color="000000" w:fill="000000"/>
                <w:fitText w:val="105" w:id="-1233441787"/>
                <w14:textFill>
                  <w14:solidFill>
                    <w14:srgbClr w14:val="000000">
                      <w14:alpha w14:val="100000"/>
                    </w14:srgbClr>
                  </w14:solidFill>
                </w14:textFill>
              </w:rPr>
              <w:t xml:space="preserve">　</w:t>
            </w:r>
            <w:r w:rsidRPr="00320A42">
              <w:rPr>
                <w:b w:val="0"/>
                <w:bCs/>
                <w:color w:val="000000"/>
                <w:w w:val="23"/>
                <w:shd w:val="solid" w:color="000000" w:fill="000000"/>
                <w:fitText w:val="105" w:id="-1233441787"/>
                <w14:textFill>
                  <w14:solidFill>
                    <w14:srgbClr w14:val="000000">
                      <w14:alpha w14:val="100000"/>
                    </w14:srgbClr>
                  </w14:solidFill>
                </w14:textFill>
              </w:rPr>
              <w:t>|</w:t>
            </w:r>
            <w:r w:rsidRPr="00320A42">
              <w:rPr>
                <w:rFonts w:hint="eastAsia"/>
                <w:b w:val="0"/>
                <w:bCs/>
                <w:color w:val="000000"/>
                <w:spacing w:val="4"/>
                <w:w w:val="23"/>
                <w:shd w:val="solid" w:color="000000" w:fill="000000"/>
                <w:fitText w:val="105" w:id="-1233441787"/>
                <w14:textFill>
                  <w14:solidFill>
                    <w14:srgbClr w14:val="000000">
                      <w14:alpha w14:val="100000"/>
                    </w14:srgbClr>
                  </w14:solidFill>
                </w14:textFill>
              </w:rPr>
              <w:t xml:space="preserve">　</w:t>
            </w:r>
            <w:r w:rsidR="004231C9" w:rsidRPr="0085723D">
              <w:rPr>
                <w:b w:val="0"/>
                <w:bCs/>
              </w:rPr>
              <w:t>%</w:t>
            </w:r>
          </w:p>
        </w:tc>
        <w:tc>
          <w:tcPr>
            <w:tcW w:w="1088" w:type="dxa"/>
            <w:shd w:val="clear" w:color="auto" w:fill="auto"/>
          </w:tcPr>
          <w:p w14:paraId="422B0C5E" w14:textId="4BA2AAF5" w:rsidR="004231C9" w:rsidRPr="0085723D" w:rsidRDefault="00320A42" w:rsidP="009A77B1">
            <w:pPr>
              <w:pStyle w:val="COMTableheadingrow"/>
              <w:jc w:val="center"/>
              <w:rPr>
                <w:b w:val="0"/>
                <w:bCs/>
              </w:rPr>
            </w:pPr>
            <w:r w:rsidRPr="00320A42">
              <w:rPr>
                <w:rFonts w:hint="eastAsia"/>
                <w:b w:val="0"/>
                <w:bCs/>
                <w:color w:val="000000"/>
                <w:w w:val="23"/>
                <w:shd w:val="solid" w:color="000000" w:fill="000000"/>
                <w:fitText w:val="105" w:id="-1233441786"/>
                <w14:textFill>
                  <w14:solidFill>
                    <w14:srgbClr w14:val="000000">
                      <w14:alpha w14:val="100000"/>
                    </w14:srgbClr>
                  </w14:solidFill>
                </w14:textFill>
              </w:rPr>
              <w:t xml:space="preserve">　</w:t>
            </w:r>
            <w:r w:rsidRPr="00320A42">
              <w:rPr>
                <w:b w:val="0"/>
                <w:bCs/>
                <w:color w:val="000000"/>
                <w:w w:val="23"/>
                <w:shd w:val="solid" w:color="000000" w:fill="000000"/>
                <w:fitText w:val="105" w:id="-1233441786"/>
                <w14:textFill>
                  <w14:solidFill>
                    <w14:srgbClr w14:val="000000">
                      <w14:alpha w14:val="100000"/>
                    </w14:srgbClr>
                  </w14:solidFill>
                </w14:textFill>
              </w:rPr>
              <w:t>|</w:t>
            </w:r>
            <w:r w:rsidRPr="00320A42">
              <w:rPr>
                <w:rFonts w:hint="eastAsia"/>
                <w:b w:val="0"/>
                <w:bCs/>
                <w:color w:val="000000"/>
                <w:spacing w:val="4"/>
                <w:w w:val="23"/>
                <w:shd w:val="solid" w:color="000000" w:fill="000000"/>
                <w:fitText w:val="105" w:id="-1233441786"/>
                <w14:textFill>
                  <w14:solidFill>
                    <w14:srgbClr w14:val="000000">
                      <w14:alpha w14:val="100000"/>
                    </w14:srgbClr>
                  </w14:solidFill>
                </w14:textFill>
              </w:rPr>
              <w:t xml:space="preserve">　</w:t>
            </w:r>
            <w:r w:rsidR="004231C9" w:rsidRPr="0085723D">
              <w:rPr>
                <w:b w:val="0"/>
                <w:bCs/>
              </w:rPr>
              <w:t>%</w:t>
            </w:r>
          </w:p>
        </w:tc>
        <w:tc>
          <w:tcPr>
            <w:tcW w:w="1089" w:type="dxa"/>
            <w:shd w:val="clear" w:color="auto" w:fill="auto"/>
          </w:tcPr>
          <w:p w14:paraId="088656B5" w14:textId="231D5AFA" w:rsidR="004231C9" w:rsidRPr="0085723D" w:rsidRDefault="00320A42" w:rsidP="009A77B1">
            <w:pPr>
              <w:pStyle w:val="COMTableheadingrow"/>
              <w:jc w:val="center"/>
              <w:rPr>
                <w:b w:val="0"/>
                <w:bCs/>
              </w:rPr>
            </w:pPr>
            <w:r w:rsidRPr="00320A42">
              <w:rPr>
                <w:rFonts w:hint="eastAsia"/>
                <w:b w:val="0"/>
                <w:bCs/>
                <w:color w:val="000000"/>
                <w:w w:val="23"/>
                <w:shd w:val="solid" w:color="000000" w:fill="000000"/>
                <w:fitText w:val="105" w:id="-1233441785"/>
                <w14:textFill>
                  <w14:solidFill>
                    <w14:srgbClr w14:val="000000">
                      <w14:alpha w14:val="100000"/>
                    </w14:srgbClr>
                  </w14:solidFill>
                </w14:textFill>
              </w:rPr>
              <w:t xml:space="preserve">　</w:t>
            </w:r>
            <w:r w:rsidRPr="00320A42">
              <w:rPr>
                <w:b w:val="0"/>
                <w:bCs/>
                <w:color w:val="000000"/>
                <w:w w:val="23"/>
                <w:shd w:val="solid" w:color="000000" w:fill="000000"/>
                <w:fitText w:val="105" w:id="-1233441785"/>
                <w14:textFill>
                  <w14:solidFill>
                    <w14:srgbClr w14:val="000000">
                      <w14:alpha w14:val="100000"/>
                    </w14:srgbClr>
                  </w14:solidFill>
                </w14:textFill>
              </w:rPr>
              <w:t>|</w:t>
            </w:r>
            <w:r w:rsidRPr="00320A42">
              <w:rPr>
                <w:rFonts w:hint="eastAsia"/>
                <w:b w:val="0"/>
                <w:bCs/>
                <w:color w:val="000000"/>
                <w:spacing w:val="4"/>
                <w:w w:val="23"/>
                <w:shd w:val="solid" w:color="000000" w:fill="000000"/>
                <w:fitText w:val="105" w:id="-1233441785"/>
                <w14:textFill>
                  <w14:solidFill>
                    <w14:srgbClr w14:val="000000">
                      <w14:alpha w14:val="100000"/>
                    </w14:srgbClr>
                  </w14:solidFill>
                </w14:textFill>
              </w:rPr>
              <w:t xml:space="preserve">　</w:t>
            </w:r>
            <w:r w:rsidR="004231C9" w:rsidRPr="0085723D">
              <w:rPr>
                <w:b w:val="0"/>
                <w:bCs/>
              </w:rPr>
              <w:t>%</w:t>
            </w:r>
          </w:p>
        </w:tc>
        <w:tc>
          <w:tcPr>
            <w:tcW w:w="1088" w:type="dxa"/>
            <w:shd w:val="clear" w:color="auto" w:fill="auto"/>
          </w:tcPr>
          <w:p w14:paraId="24B90817" w14:textId="27CA94CC" w:rsidR="004231C9" w:rsidRPr="0085723D" w:rsidRDefault="00320A42" w:rsidP="009A77B1">
            <w:pPr>
              <w:pStyle w:val="COMTableheadingrow"/>
              <w:jc w:val="center"/>
              <w:rPr>
                <w:b w:val="0"/>
                <w:bCs/>
              </w:rPr>
            </w:pPr>
            <w:r w:rsidRPr="00320A42">
              <w:rPr>
                <w:rFonts w:hint="eastAsia"/>
                <w:b w:val="0"/>
                <w:bCs/>
                <w:color w:val="000000"/>
                <w:w w:val="23"/>
                <w:shd w:val="solid" w:color="000000" w:fill="000000"/>
                <w:fitText w:val="105" w:id="-1233441784"/>
                <w14:textFill>
                  <w14:solidFill>
                    <w14:srgbClr w14:val="000000">
                      <w14:alpha w14:val="100000"/>
                    </w14:srgbClr>
                  </w14:solidFill>
                </w14:textFill>
              </w:rPr>
              <w:t xml:space="preserve">　</w:t>
            </w:r>
            <w:r w:rsidRPr="00320A42">
              <w:rPr>
                <w:b w:val="0"/>
                <w:bCs/>
                <w:color w:val="000000"/>
                <w:w w:val="23"/>
                <w:shd w:val="solid" w:color="000000" w:fill="000000"/>
                <w:fitText w:val="105" w:id="-1233441784"/>
                <w14:textFill>
                  <w14:solidFill>
                    <w14:srgbClr w14:val="000000">
                      <w14:alpha w14:val="100000"/>
                    </w14:srgbClr>
                  </w14:solidFill>
                </w14:textFill>
              </w:rPr>
              <w:t>|</w:t>
            </w:r>
            <w:r w:rsidRPr="00320A42">
              <w:rPr>
                <w:rFonts w:hint="eastAsia"/>
                <w:b w:val="0"/>
                <w:bCs/>
                <w:color w:val="000000"/>
                <w:spacing w:val="4"/>
                <w:w w:val="23"/>
                <w:shd w:val="solid" w:color="000000" w:fill="000000"/>
                <w:fitText w:val="105" w:id="-1233441784"/>
                <w14:textFill>
                  <w14:solidFill>
                    <w14:srgbClr w14:val="000000">
                      <w14:alpha w14:val="100000"/>
                    </w14:srgbClr>
                  </w14:solidFill>
                </w14:textFill>
              </w:rPr>
              <w:t xml:space="preserve">　</w:t>
            </w:r>
            <w:r w:rsidR="004231C9" w:rsidRPr="0085723D">
              <w:rPr>
                <w:b w:val="0"/>
                <w:bCs/>
              </w:rPr>
              <w:t>%</w:t>
            </w:r>
          </w:p>
        </w:tc>
        <w:tc>
          <w:tcPr>
            <w:tcW w:w="1088" w:type="dxa"/>
            <w:shd w:val="clear" w:color="auto" w:fill="auto"/>
          </w:tcPr>
          <w:p w14:paraId="697825E2" w14:textId="02D5032E" w:rsidR="004231C9" w:rsidRPr="0085723D" w:rsidRDefault="00320A42" w:rsidP="009A77B1">
            <w:pPr>
              <w:pStyle w:val="COMTableheadingrow"/>
              <w:jc w:val="center"/>
              <w:rPr>
                <w:b w:val="0"/>
                <w:bCs/>
              </w:rPr>
            </w:pPr>
            <w:r w:rsidRPr="00320A42">
              <w:rPr>
                <w:rFonts w:hint="eastAsia"/>
                <w:b w:val="0"/>
                <w:bCs/>
                <w:color w:val="000000"/>
                <w:w w:val="23"/>
                <w:shd w:val="solid" w:color="000000" w:fill="000000"/>
                <w:fitText w:val="105" w:id="-1233441783"/>
                <w14:textFill>
                  <w14:solidFill>
                    <w14:srgbClr w14:val="000000">
                      <w14:alpha w14:val="100000"/>
                    </w14:srgbClr>
                  </w14:solidFill>
                </w14:textFill>
              </w:rPr>
              <w:t xml:space="preserve">　</w:t>
            </w:r>
            <w:r w:rsidRPr="00320A42">
              <w:rPr>
                <w:b w:val="0"/>
                <w:bCs/>
                <w:color w:val="000000"/>
                <w:w w:val="23"/>
                <w:shd w:val="solid" w:color="000000" w:fill="000000"/>
                <w:fitText w:val="105" w:id="-1233441783"/>
                <w14:textFill>
                  <w14:solidFill>
                    <w14:srgbClr w14:val="000000">
                      <w14:alpha w14:val="100000"/>
                    </w14:srgbClr>
                  </w14:solidFill>
                </w14:textFill>
              </w:rPr>
              <w:t>|</w:t>
            </w:r>
            <w:r w:rsidRPr="00320A42">
              <w:rPr>
                <w:rFonts w:hint="eastAsia"/>
                <w:b w:val="0"/>
                <w:bCs/>
                <w:color w:val="000000"/>
                <w:spacing w:val="4"/>
                <w:w w:val="23"/>
                <w:shd w:val="solid" w:color="000000" w:fill="000000"/>
                <w:fitText w:val="105" w:id="-1233441783"/>
                <w14:textFill>
                  <w14:solidFill>
                    <w14:srgbClr w14:val="000000">
                      <w14:alpha w14:val="100000"/>
                    </w14:srgbClr>
                  </w14:solidFill>
                </w14:textFill>
              </w:rPr>
              <w:t xml:space="preserve">　</w:t>
            </w:r>
            <w:r w:rsidR="004231C9" w:rsidRPr="0085723D">
              <w:rPr>
                <w:b w:val="0"/>
                <w:bCs/>
              </w:rPr>
              <w:t>%</w:t>
            </w:r>
          </w:p>
        </w:tc>
        <w:tc>
          <w:tcPr>
            <w:tcW w:w="1089" w:type="dxa"/>
            <w:shd w:val="clear" w:color="auto" w:fill="auto"/>
          </w:tcPr>
          <w:p w14:paraId="41522C8A" w14:textId="0B83E505" w:rsidR="004231C9" w:rsidRPr="0085723D" w:rsidRDefault="00320A42" w:rsidP="009A77B1">
            <w:pPr>
              <w:pStyle w:val="COMTableheadingrow"/>
              <w:jc w:val="center"/>
              <w:rPr>
                <w:b w:val="0"/>
                <w:bCs/>
              </w:rPr>
            </w:pPr>
            <w:r w:rsidRPr="00320A42">
              <w:rPr>
                <w:rFonts w:hint="eastAsia"/>
                <w:b w:val="0"/>
                <w:bCs/>
                <w:color w:val="000000"/>
                <w:w w:val="23"/>
                <w:shd w:val="solid" w:color="000000" w:fill="000000"/>
                <w:fitText w:val="105" w:id="-1233441782"/>
                <w14:textFill>
                  <w14:solidFill>
                    <w14:srgbClr w14:val="000000">
                      <w14:alpha w14:val="100000"/>
                    </w14:srgbClr>
                  </w14:solidFill>
                </w14:textFill>
              </w:rPr>
              <w:t xml:space="preserve">　</w:t>
            </w:r>
            <w:r w:rsidRPr="00320A42">
              <w:rPr>
                <w:b w:val="0"/>
                <w:bCs/>
                <w:color w:val="000000"/>
                <w:w w:val="23"/>
                <w:shd w:val="solid" w:color="000000" w:fill="000000"/>
                <w:fitText w:val="105" w:id="-1233441782"/>
                <w14:textFill>
                  <w14:solidFill>
                    <w14:srgbClr w14:val="000000">
                      <w14:alpha w14:val="100000"/>
                    </w14:srgbClr>
                  </w14:solidFill>
                </w14:textFill>
              </w:rPr>
              <w:t>|</w:t>
            </w:r>
            <w:r w:rsidRPr="00320A42">
              <w:rPr>
                <w:rFonts w:hint="eastAsia"/>
                <w:b w:val="0"/>
                <w:bCs/>
                <w:color w:val="000000"/>
                <w:spacing w:val="4"/>
                <w:w w:val="23"/>
                <w:shd w:val="solid" w:color="000000" w:fill="000000"/>
                <w:fitText w:val="105" w:id="-1233441782"/>
                <w14:textFill>
                  <w14:solidFill>
                    <w14:srgbClr w14:val="000000">
                      <w14:alpha w14:val="100000"/>
                    </w14:srgbClr>
                  </w14:solidFill>
                </w14:textFill>
              </w:rPr>
              <w:t xml:space="preserve">　</w:t>
            </w:r>
            <w:r w:rsidR="004231C9" w:rsidRPr="0085723D">
              <w:rPr>
                <w:b w:val="0"/>
                <w:bCs/>
              </w:rPr>
              <w:t>%</w:t>
            </w:r>
          </w:p>
        </w:tc>
      </w:tr>
      <w:tr w:rsidR="004231C9" w:rsidRPr="00E07704" w14:paraId="3EC9E8BE" w14:textId="77777777" w:rsidTr="00F41818">
        <w:trPr>
          <w:tblHeader/>
        </w:trPr>
        <w:tc>
          <w:tcPr>
            <w:tcW w:w="2547" w:type="dxa"/>
            <w:shd w:val="clear" w:color="auto" w:fill="auto"/>
          </w:tcPr>
          <w:p w14:paraId="359379D9" w14:textId="77777777" w:rsidR="004231C9" w:rsidRPr="0085723D" w:rsidRDefault="004231C9" w:rsidP="009A77B1">
            <w:pPr>
              <w:pStyle w:val="COMTableheadingrow"/>
            </w:pPr>
            <w:r w:rsidRPr="0085723D">
              <w:t xml:space="preserve">Total patients treated </w:t>
            </w:r>
          </w:p>
        </w:tc>
        <w:tc>
          <w:tcPr>
            <w:tcW w:w="1088" w:type="dxa"/>
            <w:shd w:val="clear" w:color="auto" w:fill="auto"/>
            <w:vAlign w:val="center"/>
          </w:tcPr>
          <w:p w14:paraId="75B65A09" w14:textId="01544841" w:rsidR="004231C9" w:rsidRPr="008F37FB" w:rsidRDefault="00320A42" w:rsidP="009A77B1">
            <w:pPr>
              <w:pStyle w:val="COMTableheadingrow"/>
              <w:jc w:val="center"/>
              <w:rPr>
                <w:highlight w:val="darkGray"/>
              </w:rPr>
            </w:pPr>
            <w:r w:rsidRPr="00320A42">
              <w:rPr>
                <w:rFonts w:hint="eastAsia"/>
                <w:color w:val="000000"/>
                <w:w w:val="20"/>
                <w:shd w:val="solid" w:color="000000" w:fill="000000"/>
                <w:fitText w:val="90" w:id="-1233441781"/>
                <w14:textFill>
                  <w14:solidFill>
                    <w14:srgbClr w14:val="000000">
                      <w14:alpha w14:val="100000"/>
                    </w14:srgbClr>
                  </w14:solidFill>
                </w14:textFill>
              </w:rPr>
              <w:t xml:space="preserve">　</w:t>
            </w:r>
            <w:r w:rsidRPr="00320A42">
              <w:rPr>
                <w:color w:val="000000"/>
                <w:w w:val="20"/>
                <w:shd w:val="solid" w:color="000000" w:fill="000000"/>
                <w:fitText w:val="90" w:id="-1233441781"/>
                <w14:textFill>
                  <w14:solidFill>
                    <w14:srgbClr w14:val="000000">
                      <w14:alpha w14:val="100000"/>
                    </w14:srgbClr>
                  </w14:solidFill>
                </w14:textFill>
              </w:rPr>
              <w:t>|</w:t>
            </w:r>
            <w:r w:rsidRPr="00320A42">
              <w:rPr>
                <w:rFonts w:hint="eastAsia"/>
                <w:color w:val="000000"/>
                <w:spacing w:val="2"/>
                <w:w w:val="20"/>
                <w:shd w:val="solid" w:color="000000" w:fill="000000"/>
                <w:fitText w:val="90" w:id="-1233441781"/>
                <w14:textFill>
                  <w14:solidFill>
                    <w14:srgbClr w14:val="000000">
                      <w14:alpha w14:val="100000"/>
                    </w14:srgbClr>
                  </w14:solidFill>
                </w14:textFill>
              </w:rPr>
              <w:t xml:space="preserve">　</w:t>
            </w:r>
            <w:r w:rsidR="008F37FB">
              <w:rPr>
                <w:b w:val="0"/>
                <w:bCs/>
                <w:vertAlign w:val="superscript"/>
              </w:rPr>
              <w:t>2</w:t>
            </w:r>
          </w:p>
        </w:tc>
        <w:tc>
          <w:tcPr>
            <w:tcW w:w="1088" w:type="dxa"/>
            <w:shd w:val="clear" w:color="auto" w:fill="auto"/>
            <w:vAlign w:val="center"/>
          </w:tcPr>
          <w:p w14:paraId="6FA91429" w14:textId="155E0330" w:rsidR="004231C9" w:rsidRPr="008F37FB" w:rsidRDefault="00320A42" w:rsidP="009A77B1">
            <w:pPr>
              <w:pStyle w:val="COMTableheadingrow"/>
              <w:jc w:val="center"/>
              <w:rPr>
                <w:highlight w:val="darkGray"/>
              </w:rPr>
            </w:pPr>
            <w:r w:rsidRPr="00320A42">
              <w:rPr>
                <w:rFonts w:hint="eastAsia"/>
                <w:color w:val="000000"/>
                <w:w w:val="20"/>
                <w:shd w:val="solid" w:color="000000" w:fill="000000"/>
                <w:fitText w:val="90" w:id="-1233441780"/>
                <w14:textFill>
                  <w14:solidFill>
                    <w14:srgbClr w14:val="000000">
                      <w14:alpha w14:val="100000"/>
                    </w14:srgbClr>
                  </w14:solidFill>
                </w14:textFill>
              </w:rPr>
              <w:t xml:space="preserve">　</w:t>
            </w:r>
            <w:r w:rsidRPr="00320A42">
              <w:rPr>
                <w:color w:val="000000"/>
                <w:w w:val="20"/>
                <w:shd w:val="solid" w:color="000000" w:fill="000000"/>
                <w:fitText w:val="90" w:id="-1233441780"/>
                <w14:textFill>
                  <w14:solidFill>
                    <w14:srgbClr w14:val="000000">
                      <w14:alpha w14:val="100000"/>
                    </w14:srgbClr>
                  </w14:solidFill>
                </w14:textFill>
              </w:rPr>
              <w:t>|</w:t>
            </w:r>
            <w:r w:rsidRPr="00320A42">
              <w:rPr>
                <w:rFonts w:hint="eastAsia"/>
                <w:color w:val="000000"/>
                <w:spacing w:val="2"/>
                <w:w w:val="20"/>
                <w:shd w:val="solid" w:color="000000" w:fill="000000"/>
                <w:fitText w:val="90" w:id="-1233441780"/>
                <w14:textFill>
                  <w14:solidFill>
                    <w14:srgbClr w14:val="000000">
                      <w14:alpha w14:val="100000"/>
                    </w14:srgbClr>
                  </w14:solidFill>
                </w14:textFill>
              </w:rPr>
              <w:t xml:space="preserve">　</w:t>
            </w:r>
            <w:r w:rsidR="008F37FB">
              <w:rPr>
                <w:b w:val="0"/>
                <w:bCs/>
                <w:vertAlign w:val="superscript"/>
              </w:rPr>
              <w:t>6</w:t>
            </w:r>
          </w:p>
        </w:tc>
        <w:tc>
          <w:tcPr>
            <w:tcW w:w="1089" w:type="dxa"/>
            <w:shd w:val="clear" w:color="auto" w:fill="auto"/>
            <w:vAlign w:val="center"/>
          </w:tcPr>
          <w:p w14:paraId="447763B4" w14:textId="30800010" w:rsidR="004231C9" w:rsidRPr="008F37FB" w:rsidRDefault="00320A42" w:rsidP="009A77B1">
            <w:pPr>
              <w:pStyle w:val="COMTableheadingrow"/>
              <w:jc w:val="center"/>
              <w:rPr>
                <w:highlight w:val="darkGray"/>
              </w:rPr>
            </w:pPr>
            <w:r w:rsidRPr="00320A42">
              <w:rPr>
                <w:rFonts w:hint="eastAsia"/>
                <w:color w:val="000000"/>
                <w:w w:val="26"/>
                <w:shd w:val="solid" w:color="000000" w:fill="000000"/>
                <w:fitText w:val="120" w:id="-1233441779"/>
                <w14:textFill>
                  <w14:solidFill>
                    <w14:srgbClr w14:val="000000">
                      <w14:alpha w14:val="100000"/>
                    </w14:srgbClr>
                  </w14:solidFill>
                </w14:textFill>
              </w:rPr>
              <w:t xml:space="preserve">　</w:t>
            </w:r>
            <w:r w:rsidRPr="00320A42">
              <w:rPr>
                <w:color w:val="000000"/>
                <w:w w:val="26"/>
                <w:shd w:val="solid" w:color="000000" w:fill="000000"/>
                <w:fitText w:val="120" w:id="-1233441779"/>
                <w14:textFill>
                  <w14:solidFill>
                    <w14:srgbClr w14:val="000000">
                      <w14:alpha w14:val="100000"/>
                    </w14:srgbClr>
                  </w14:solidFill>
                </w14:textFill>
              </w:rPr>
              <w:t>|</w:t>
            </w:r>
            <w:r w:rsidRPr="00320A42">
              <w:rPr>
                <w:rFonts w:hint="eastAsia"/>
                <w:color w:val="000000"/>
                <w:spacing w:val="4"/>
                <w:w w:val="26"/>
                <w:shd w:val="solid" w:color="000000" w:fill="000000"/>
                <w:fitText w:val="120" w:id="-1233441779"/>
                <w14:textFill>
                  <w14:solidFill>
                    <w14:srgbClr w14:val="000000">
                      <w14:alpha w14:val="100000"/>
                    </w14:srgbClr>
                  </w14:solidFill>
                </w14:textFill>
              </w:rPr>
              <w:t xml:space="preserve">　</w:t>
            </w:r>
            <w:r w:rsidR="008F37FB">
              <w:rPr>
                <w:b w:val="0"/>
                <w:bCs/>
                <w:vertAlign w:val="superscript"/>
              </w:rPr>
              <w:t>10</w:t>
            </w:r>
          </w:p>
        </w:tc>
        <w:tc>
          <w:tcPr>
            <w:tcW w:w="1088" w:type="dxa"/>
            <w:shd w:val="clear" w:color="auto" w:fill="auto"/>
            <w:vAlign w:val="center"/>
          </w:tcPr>
          <w:p w14:paraId="3338BF24" w14:textId="6FF448F3" w:rsidR="004231C9" w:rsidRPr="008F37FB" w:rsidRDefault="00320A42" w:rsidP="009A77B1">
            <w:pPr>
              <w:pStyle w:val="COMTableheadingrow"/>
              <w:jc w:val="center"/>
              <w:rPr>
                <w:highlight w:val="darkGray"/>
              </w:rPr>
            </w:pPr>
            <w:r w:rsidRPr="00320A42">
              <w:rPr>
                <w:rFonts w:hint="eastAsia"/>
                <w:color w:val="000000"/>
                <w:w w:val="26"/>
                <w:shd w:val="solid" w:color="000000" w:fill="000000"/>
                <w:fitText w:val="120" w:id="-1233441778"/>
                <w14:textFill>
                  <w14:solidFill>
                    <w14:srgbClr w14:val="000000">
                      <w14:alpha w14:val="100000"/>
                    </w14:srgbClr>
                  </w14:solidFill>
                </w14:textFill>
              </w:rPr>
              <w:t xml:space="preserve">　</w:t>
            </w:r>
            <w:r w:rsidRPr="00320A42">
              <w:rPr>
                <w:color w:val="000000"/>
                <w:w w:val="26"/>
                <w:shd w:val="solid" w:color="000000" w:fill="000000"/>
                <w:fitText w:val="120" w:id="-1233441778"/>
                <w14:textFill>
                  <w14:solidFill>
                    <w14:srgbClr w14:val="000000">
                      <w14:alpha w14:val="100000"/>
                    </w14:srgbClr>
                  </w14:solidFill>
                </w14:textFill>
              </w:rPr>
              <w:t>|</w:t>
            </w:r>
            <w:r w:rsidRPr="00320A42">
              <w:rPr>
                <w:rFonts w:hint="eastAsia"/>
                <w:color w:val="000000"/>
                <w:spacing w:val="4"/>
                <w:w w:val="26"/>
                <w:shd w:val="solid" w:color="000000" w:fill="000000"/>
                <w:fitText w:val="120" w:id="-1233441778"/>
                <w14:textFill>
                  <w14:solidFill>
                    <w14:srgbClr w14:val="000000">
                      <w14:alpha w14:val="100000"/>
                    </w14:srgbClr>
                  </w14:solidFill>
                </w14:textFill>
              </w:rPr>
              <w:t xml:space="preserve">　</w:t>
            </w:r>
            <w:r w:rsidR="008F37FB" w:rsidRPr="008F37FB">
              <w:rPr>
                <w:b w:val="0"/>
                <w:bCs/>
                <w:vertAlign w:val="superscript"/>
              </w:rPr>
              <w:t>1</w:t>
            </w:r>
            <w:r w:rsidR="008F37FB">
              <w:rPr>
                <w:b w:val="0"/>
                <w:bCs/>
                <w:vertAlign w:val="superscript"/>
              </w:rPr>
              <w:t>2</w:t>
            </w:r>
          </w:p>
        </w:tc>
        <w:tc>
          <w:tcPr>
            <w:tcW w:w="1088" w:type="dxa"/>
            <w:shd w:val="clear" w:color="auto" w:fill="auto"/>
            <w:vAlign w:val="center"/>
          </w:tcPr>
          <w:p w14:paraId="23099E3F" w14:textId="1E5275AA" w:rsidR="004231C9" w:rsidRPr="008F37FB" w:rsidRDefault="00320A42" w:rsidP="009A77B1">
            <w:pPr>
              <w:pStyle w:val="COMTableheadingrow"/>
              <w:jc w:val="center"/>
              <w:rPr>
                <w:highlight w:val="darkGray"/>
              </w:rPr>
            </w:pPr>
            <w:r w:rsidRPr="00320A42">
              <w:rPr>
                <w:rFonts w:hint="eastAsia"/>
                <w:color w:val="000000"/>
                <w:w w:val="26"/>
                <w:shd w:val="solid" w:color="000000" w:fill="000000"/>
                <w:fitText w:val="120" w:id="-1233441777"/>
                <w14:textFill>
                  <w14:solidFill>
                    <w14:srgbClr w14:val="000000">
                      <w14:alpha w14:val="100000"/>
                    </w14:srgbClr>
                  </w14:solidFill>
                </w14:textFill>
              </w:rPr>
              <w:t xml:space="preserve">　</w:t>
            </w:r>
            <w:r w:rsidRPr="00320A42">
              <w:rPr>
                <w:color w:val="000000"/>
                <w:w w:val="26"/>
                <w:shd w:val="solid" w:color="000000" w:fill="000000"/>
                <w:fitText w:val="120" w:id="-1233441777"/>
                <w14:textFill>
                  <w14:solidFill>
                    <w14:srgbClr w14:val="000000">
                      <w14:alpha w14:val="100000"/>
                    </w14:srgbClr>
                  </w14:solidFill>
                </w14:textFill>
              </w:rPr>
              <w:t>|</w:t>
            </w:r>
            <w:r w:rsidRPr="00320A42">
              <w:rPr>
                <w:rFonts w:hint="eastAsia"/>
                <w:color w:val="000000"/>
                <w:spacing w:val="4"/>
                <w:w w:val="26"/>
                <w:shd w:val="solid" w:color="000000" w:fill="000000"/>
                <w:fitText w:val="120" w:id="-1233441777"/>
                <w14:textFill>
                  <w14:solidFill>
                    <w14:srgbClr w14:val="000000">
                      <w14:alpha w14:val="100000"/>
                    </w14:srgbClr>
                  </w14:solidFill>
                </w14:textFill>
              </w:rPr>
              <w:t xml:space="preserve">　</w:t>
            </w:r>
            <w:r w:rsidR="008F37FB" w:rsidRPr="008F37FB">
              <w:rPr>
                <w:b w:val="0"/>
                <w:bCs/>
                <w:vertAlign w:val="superscript"/>
              </w:rPr>
              <w:t>1</w:t>
            </w:r>
            <w:r w:rsidR="008F37FB">
              <w:rPr>
                <w:b w:val="0"/>
                <w:bCs/>
                <w:vertAlign w:val="superscript"/>
              </w:rPr>
              <w:t>2</w:t>
            </w:r>
          </w:p>
        </w:tc>
        <w:tc>
          <w:tcPr>
            <w:tcW w:w="1089" w:type="dxa"/>
            <w:shd w:val="clear" w:color="auto" w:fill="auto"/>
            <w:vAlign w:val="center"/>
          </w:tcPr>
          <w:p w14:paraId="4308AC61" w14:textId="066BF590" w:rsidR="004231C9" w:rsidRPr="008F37FB" w:rsidRDefault="00320A42" w:rsidP="009A77B1">
            <w:pPr>
              <w:pStyle w:val="COMTableheadingrow"/>
              <w:jc w:val="center"/>
              <w:rPr>
                <w:highlight w:val="darkGray"/>
              </w:rPr>
            </w:pPr>
            <w:r w:rsidRPr="00320A42">
              <w:rPr>
                <w:rFonts w:hint="eastAsia"/>
                <w:color w:val="000000"/>
                <w:w w:val="26"/>
                <w:shd w:val="solid" w:color="000000" w:fill="000000"/>
                <w:fitText w:val="120" w:id="-1233441776"/>
                <w14:textFill>
                  <w14:solidFill>
                    <w14:srgbClr w14:val="000000">
                      <w14:alpha w14:val="100000"/>
                    </w14:srgbClr>
                  </w14:solidFill>
                </w14:textFill>
              </w:rPr>
              <w:t xml:space="preserve">　</w:t>
            </w:r>
            <w:r w:rsidRPr="00320A42">
              <w:rPr>
                <w:color w:val="000000"/>
                <w:w w:val="26"/>
                <w:shd w:val="solid" w:color="000000" w:fill="000000"/>
                <w:fitText w:val="120" w:id="-1233441776"/>
                <w14:textFill>
                  <w14:solidFill>
                    <w14:srgbClr w14:val="000000">
                      <w14:alpha w14:val="100000"/>
                    </w14:srgbClr>
                  </w14:solidFill>
                </w14:textFill>
              </w:rPr>
              <w:t>|</w:t>
            </w:r>
            <w:r w:rsidRPr="00320A42">
              <w:rPr>
                <w:rFonts w:hint="eastAsia"/>
                <w:color w:val="000000"/>
                <w:spacing w:val="4"/>
                <w:w w:val="26"/>
                <w:shd w:val="solid" w:color="000000" w:fill="000000"/>
                <w:fitText w:val="120" w:id="-1233441776"/>
                <w14:textFill>
                  <w14:solidFill>
                    <w14:srgbClr w14:val="000000">
                      <w14:alpha w14:val="100000"/>
                    </w14:srgbClr>
                  </w14:solidFill>
                </w14:textFill>
              </w:rPr>
              <w:t xml:space="preserve">　</w:t>
            </w:r>
            <w:r w:rsidR="008F37FB" w:rsidRPr="008F37FB">
              <w:rPr>
                <w:b w:val="0"/>
                <w:bCs/>
                <w:vertAlign w:val="superscript"/>
              </w:rPr>
              <w:t>1</w:t>
            </w:r>
            <w:r w:rsidR="008F37FB">
              <w:rPr>
                <w:b w:val="0"/>
                <w:bCs/>
                <w:vertAlign w:val="superscript"/>
              </w:rPr>
              <w:t>2</w:t>
            </w:r>
          </w:p>
        </w:tc>
      </w:tr>
      <w:tr w:rsidR="004231C9" w:rsidRPr="0085723D" w14:paraId="33DE6238" w14:textId="77777777" w:rsidTr="00F41818">
        <w:trPr>
          <w:tblHeader/>
        </w:trPr>
        <w:tc>
          <w:tcPr>
            <w:tcW w:w="2547" w:type="dxa"/>
            <w:shd w:val="clear" w:color="auto" w:fill="auto"/>
          </w:tcPr>
          <w:p w14:paraId="1825763A" w14:textId="628D3C29" w:rsidR="004231C9" w:rsidRPr="0085723D" w:rsidRDefault="00506862" w:rsidP="009A77B1">
            <w:pPr>
              <w:pStyle w:val="COMTableheadingrow"/>
              <w:rPr>
                <w:bCs/>
              </w:rPr>
            </w:pPr>
            <w:r>
              <w:rPr>
                <w:bCs/>
              </w:rPr>
              <w:t>F</w:t>
            </w:r>
            <w:r w:rsidR="004231C9" w:rsidRPr="0085723D">
              <w:rPr>
                <w:bCs/>
              </w:rPr>
              <w:t xml:space="preserve">inerenone scripts/year </w:t>
            </w:r>
            <w:r>
              <w:rPr>
                <w:bCs/>
              </w:rPr>
              <w:t>(11.96</w:t>
            </w:r>
            <w:r w:rsidR="007E0824">
              <w:rPr>
                <w:bCs/>
              </w:rPr>
              <w:t>/patient/year)</w:t>
            </w:r>
          </w:p>
        </w:tc>
        <w:tc>
          <w:tcPr>
            <w:tcW w:w="1088" w:type="dxa"/>
            <w:shd w:val="clear" w:color="auto" w:fill="auto"/>
            <w:vAlign w:val="center"/>
          </w:tcPr>
          <w:p w14:paraId="7035538D" w14:textId="124381F6" w:rsidR="004231C9" w:rsidRPr="008F37FB" w:rsidRDefault="00320A42" w:rsidP="009A77B1">
            <w:pPr>
              <w:pStyle w:val="COMTableheadingrow"/>
              <w:jc w:val="center"/>
              <w:rPr>
                <w:bCs/>
                <w:highlight w:val="darkGray"/>
              </w:rPr>
            </w:pPr>
            <w:r w:rsidRPr="00320A42">
              <w:rPr>
                <w:rFonts w:hint="eastAsia"/>
                <w:bCs/>
                <w:color w:val="000000"/>
                <w:w w:val="30"/>
                <w:shd w:val="solid" w:color="000000" w:fill="000000"/>
                <w:fitText w:val="135" w:id="-1233441792"/>
                <w14:textFill>
                  <w14:solidFill>
                    <w14:srgbClr w14:val="000000">
                      <w14:alpha w14:val="100000"/>
                    </w14:srgbClr>
                  </w14:solidFill>
                </w14:textFill>
              </w:rPr>
              <w:t xml:space="preserve">　</w:t>
            </w:r>
            <w:r w:rsidRPr="00320A42">
              <w:rPr>
                <w:bCs/>
                <w:color w:val="000000"/>
                <w:w w:val="30"/>
                <w:shd w:val="solid" w:color="000000" w:fill="000000"/>
                <w:fitText w:val="135" w:id="-1233441792"/>
                <w14:textFill>
                  <w14:solidFill>
                    <w14:srgbClr w14:val="000000">
                      <w14:alpha w14:val="100000"/>
                    </w14:srgbClr>
                  </w14:solidFill>
                </w14:textFill>
              </w:rPr>
              <w:t>|</w:t>
            </w:r>
            <w:r w:rsidRPr="00320A42">
              <w:rPr>
                <w:rFonts w:hint="eastAsia"/>
                <w:bCs/>
                <w:color w:val="000000"/>
                <w:spacing w:val="2"/>
                <w:w w:val="30"/>
                <w:shd w:val="solid" w:color="000000" w:fill="000000"/>
                <w:fitText w:val="135" w:id="-1233441792"/>
                <w14:textFill>
                  <w14:solidFill>
                    <w14:srgbClr w14:val="000000">
                      <w14:alpha w14:val="100000"/>
                    </w14:srgbClr>
                  </w14:solidFill>
                </w14:textFill>
              </w:rPr>
              <w:t xml:space="preserve">　</w:t>
            </w:r>
            <w:r w:rsidRPr="00320A42">
              <w:rPr>
                <w:bCs/>
              </w:rPr>
              <w:t xml:space="preserve"> </w:t>
            </w:r>
            <w:r w:rsidR="008F37FB">
              <w:rPr>
                <w:b w:val="0"/>
                <w:bCs/>
                <w:vertAlign w:val="superscript"/>
              </w:rPr>
              <w:t>3</w:t>
            </w:r>
          </w:p>
        </w:tc>
        <w:tc>
          <w:tcPr>
            <w:tcW w:w="1088" w:type="dxa"/>
            <w:shd w:val="clear" w:color="auto" w:fill="auto"/>
            <w:vAlign w:val="center"/>
          </w:tcPr>
          <w:p w14:paraId="48D3492D" w14:textId="1F153484" w:rsidR="004231C9" w:rsidRPr="008F37FB" w:rsidRDefault="00320A42" w:rsidP="009A77B1">
            <w:pPr>
              <w:pStyle w:val="COMTableheadingrow"/>
              <w:jc w:val="center"/>
              <w:rPr>
                <w:bCs/>
                <w:highlight w:val="darkGray"/>
              </w:rPr>
            </w:pPr>
            <w:r w:rsidRPr="00320A42">
              <w:rPr>
                <w:rFonts w:hint="eastAsia"/>
                <w:bCs/>
                <w:color w:val="000000"/>
                <w:w w:val="20"/>
                <w:shd w:val="solid" w:color="000000" w:fill="000000"/>
                <w:fitText w:val="90" w:id="-1233441791"/>
                <w14:textFill>
                  <w14:solidFill>
                    <w14:srgbClr w14:val="000000">
                      <w14:alpha w14:val="100000"/>
                    </w14:srgbClr>
                  </w14:solidFill>
                </w14:textFill>
              </w:rPr>
              <w:t xml:space="preserve">　</w:t>
            </w:r>
            <w:r w:rsidRPr="00320A42">
              <w:rPr>
                <w:bCs/>
                <w:color w:val="000000"/>
                <w:w w:val="20"/>
                <w:shd w:val="solid" w:color="000000" w:fill="000000"/>
                <w:fitText w:val="90" w:id="-1233441791"/>
                <w14:textFill>
                  <w14:solidFill>
                    <w14:srgbClr w14:val="000000">
                      <w14:alpha w14:val="100000"/>
                    </w14:srgbClr>
                  </w14:solidFill>
                </w14:textFill>
              </w:rPr>
              <w:t>|</w:t>
            </w:r>
            <w:r w:rsidRPr="00320A42">
              <w:rPr>
                <w:rFonts w:hint="eastAsia"/>
                <w:bCs/>
                <w:color w:val="000000"/>
                <w:spacing w:val="2"/>
                <w:w w:val="20"/>
                <w:shd w:val="solid" w:color="000000" w:fill="000000"/>
                <w:fitText w:val="90" w:id="-1233441791"/>
                <w14:textFill>
                  <w14:solidFill>
                    <w14:srgbClr w14:val="000000">
                      <w14:alpha w14:val="100000"/>
                    </w14:srgbClr>
                  </w14:solidFill>
                </w14:textFill>
              </w:rPr>
              <w:t xml:space="preserve">　</w:t>
            </w:r>
            <w:r w:rsidR="008F37FB">
              <w:rPr>
                <w:b w:val="0"/>
                <w:bCs/>
                <w:vertAlign w:val="superscript"/>
              </w:rPr>
              <w:t>9</w:t>
            </w:r>
            <w:r w:rsidRPr="00320A42">
              <w:rPr>
                <w:bCs/>
              </w:rPr>
              <w:t xml:space="preserve"> </w:t>
            </w:r>
          </w:p>
        </w:tc>
        <w:tc>
          <w:tcPr>
            <w:tcW w:w="1089" w:type="dxa"/>
            <w:shd w:val="clear" w:color="auto" w:fill="auto"/>
            <w:vAlign w:val="center"/>
          </w:tcPr>
          <w:p w14:paraId="6CAB0E0C" w14:textId="785512D1" w:rsidR="004231C9" w:rsidRPr="008F37FB" w:rsidRDefault="00320A42" w:rsidP="009A77B1">
            <w:pPr>
              <w:pStyle w:val="COMTableheadingrow"/>
              <w:jc w:val="center"/>
              <w:rPr>
                <w:bCs/>
                <w:highlight w:val="darkGray"/>
              </w:rPr>
            </w:pPr>
            <w:r w:rsidRPr="00320A42">
              <w:rPr>
                <w:rFonts w:hint="eastAsia"/>
                <w:bCs/>
                <w:color w:val="000000"/>
                <w:w w:val="20"/>
                <w:shd w:val="solid" w:color="000000" w:fill="000000"/>
                <w:fitText w:val="90" w:id="-1233441790"/>
                <w14:textFill>
                  <w14:solidFill>
                    <w14:srgbClr w14:val="000000">
                      <w14:alpha w14:val="100000"/>
                    </w14:srgbClr>
                  </w14:solidFill>
                </w14:textFill>
              </w:rPr>
              <w:t xml:space="preserve">　</w:t>
            </w:r>
            <w:r w:rsidRPr="00320A42">
              <w:rPr>
                <w:bCs/>
                <w:color w:val="000000"/>
                <w:w w:val="20"/>
                <w:shd w:val="solid" w:color="000000" w:fill="000000"/>
                <w:fitText w:val="90" w:id="-1233441790"/>
                <w14:textFill>
                  <w14:solidFill>
                    <w14:srgbClr w14:val="000000">
                      <w14:alpha w14:val="100000"/>
                    </w14:srgbClr>
                  </w14:solidFill>
                </w14:textFill>
              </w:rPr>
              <w:t>|</w:t>
            </w:r>
            <w:r w:rsidRPr="00320A42">
              <w:rPr>
                <w:rFonts w:hint="eastAsia"/>
                <w:bCs/>
                <w:color w:val="000000"/>
                <w:spacing w:val="2"/>
                <w:w w:val="20"/>
                <w:shd w:val="solid" w:color="000000" w:fill="000000"/>
                <w:fitText w:val="90" w:id="-1233441790"/>
                <w14:textFill>
                  <w14:solidFill>
                    <w14:srgbClr w14:val="000000">
                      <w14:alpha w14:val="100000"/>
                    </w14:srgbClr>
                  </w14:solidFill>
                </w14:textFill>
              </w:rPr>
              <w:t xml:space="preserve">　</w:t>
            </w:r>
            <w:r w:rsidR="008F37FB">
              <w:rPr>
                <w:b w:val="0"/>
                <w:bCs/>
                <w:vertAlign w:val="superscript"/>
              </w:rPr>
              <w:t>9</w:t>
            </w:r>
          </w:p>
        </w:tc>
        <w:tc>
          <w:tcPr>
            <w:tcW w:w="1088" w:type="dxa"/>
            <w:shd w:val="clear" w:color="auto" w:fill="auto"/>
            <w:vAlign w:val="center"/>
          </w:tcPr>
          <w:p w14:paraId="7946E63B" w14:textId="275239EF" w:rsidR="004231C9" w:rsidRPr="008F37FB" w:rsidRDefault="00320A42" w:rsidP="009A77B1">
            <w:pPr>
              <w:pStyle w:val="COMTableheadingrow"/>
              <w:jc w:val="center"/>
              <w:rPr>
                <w:bCs/>
                <w:highlight w:val="darkGray"/>
              </w:rPr>
            </w:pPr>
            <w:r w:rsidRPr="00320A42">
              <w:rPr>
                <w:rFonts w:hint="eastAsia"/>
                <w:bCs/>
                <w:color w:val="000000"/>
                <w:w w:val="26"/>
                <w:shd w:val="solid" w:color="000000" w:fill="000000"/>
                <w:fitText w:val="120" w:id="-1233441789"/>
                <w14:textFill>
                  <w14:solidFill>
                    <w14:srgbClr w14:val="000000">
                      <w14:alpha w14:val="100000"/>
                    </w14:srgbClr>
                  </w14:solidFill>
                </w14:textFill>
              </w:rPr>
              <w:t xml:space="preserve">　</w:t>
            </w:r>
            <w:r w:rsidRPr="00320A42">
              <w:rPr>
                <w:bCs/>
                <w:color w:val="000000"/>
                <w:w w:val="26"/>
                <w:shd w:val="solid" w:color="000000" w:fill="000000"/>
                <w:fitText w:val="120" w:id="-1233441789"/>
                <w14:textFill>
                  <w14:solidFill>
                    <w14:srgbClr w14:val="000000">
                      <w14:alpha w14:val="100000"/>
                    </w14:srgbClr>
                  </w14:solidFill>
                </w14:textFill>
              </w:rPr>
              <w:t>|</w:t>
            </w:r>
            <w:r w:rsidRPr="00320A42">
              <w:rPr>
                <w:rFonts w:hint="eastAsia"/>
                <w:bCs/>
                <w:color w:val="000000"/>
                <w:spacing w:val="4"/>
                <w:w w:val="26"/>
                <w:shd w:val="solid" w:color="000000" w:fill="000000"/>
                <w:fitText w:val="120" w:id="-1233441789"/>
                <w14:textFill>
                  <w14:solidFill>
                    <w14:srgbClr w14:val="000000">
                      <w14:alpha w14:val="100000"/>
                    </w14:srgbClr>
                  </w14:solidFill>
                </w14:textFill>
              </w:rPr>
              <w:t xml:space="preserve">　</w:t>
            </w:r>
            <w:r w:rsidR="0040261D" w:rsidRPr="0040261D">
              <w:rPr>
                <w:b w:val="0"/>
                <w:bCs/>
                <w:vertAlign w:val="superscript"/>
              </w:rPr>
              <w:t>1</w:t>
            </w:r>
            <w:r w:rsidR="0040261D">
              <w:rPr>
                <w:b w:val="0"/>
                <w:bCs/>
                <w:vertAlign w:val="superscript"/>
              </w:rPr>
              <w:t>5</w:t>
            </w:r>
          </w:p>
        </w:tc>
        <w:tc>
          <w:tcPr>
            <w:tcW w:w="1088" w:type="dxa"/>
            <w:shd w:val="clear" w:color="auto" w:fill="auto"/>
            <w:vAlign w:val="center"/>
          </w:tcPr>
          <w:p w14:paraId="2FFB59A6" w14:textId="6B6B48A7" w:rsidR="004231C9" w:rsidRPr="008F37FB" w:rsidRDefault="00320A42" w:rsidP="009A77B1">
            <w:pPr>
              <w:pStyle w:val="COMTableheadingrow"/>
              <w:jc w:val="center"/>
              <w:rPr>
                <w:bCs/>
                <w:highlight w:val="darkGray"/>
              </w:rPr>
            </w:pPr>
            <w:r w:rsidRPr="00320A42">
              <w:rPr>
                <w:rFonts w:hint="eastAsia"/>
                <w:bCs/>
                <w:color w:val="000000"/>
                <w:w w:val="26"/>
                <w:shd w:val="solid" w:color="000000" w:fill="000000"/>
                <w:fitText w:val="120" w:id="-1233441788"/>
                <w14:textFill>
                  <w14:solidFill>
                    <w14:srgbClr w14:val="000000">
                      <w14:alpha w14:val="100000"/>
                    </w14:srgbClr>
                  </w14:solidFill>
                </w14:textFill>
              </w:rPr>
              <w:t xml:space="preserve">　</w:t>
            </w:r>
            <w:r w:rsidRPr="00320A42">
              <w:rPr>
                <w:bCs/>
                <w:color w:val="000000"/>
                <w:w w:val="26"/>
                <w:shd w:val="solid" w:color="000000" w:fill="000000"/>
                <w:fitText w:val="120" w:id="-1233441788"/>
                <w14:textFill>
                  <w14:solidFill>
                    <w14:srgbClr w14:val="000000">
                      <w14:alpha w14:val="100000"/>
                    </w14:srgbClr>
                  </w14:solidFill>
                </w14:textFill>
              </w:rPr>
              <w:t>|</w:t>
            </w:r>
            <w:r w:rsidRPr="00320A42">
              <w:rPr>
                <w:rFonts w:hint="eastAsia"/>
                <w:bCs/>
                <w:color w:val="000000"/>
                <w:spacing w:val="4"/>
                <w:w w:val="26"/>
                <w:shd w:val="solid" w:color="000000" w:fill="000000"/>
                <w:fitText w:val="120" w:id="-1233441788"/>
                <w14:textFill>
                  <w14:solidFill>
                    <w14:srgbClr w14:val="000000">
                      <w14:alpha w14:val="100000"/>
                    </w14:srgbClr>
                  </w14:solidFill>
                </w14:textFill>
              </w:rPr>
              <w:t xml:space="preserve">　</w:t>
            </w:r>
            <w:r w:rsidR="0040261D" w:rsidRPr="0040261D">
              <w:rPr>
                <w:b w:val="0"/>
                <w:bCs/>
                <w:vertAlign w:val="superscript"/>
              </w:rPr>
              <w:t>1</w:t>
            </w:r>
            <w:r w:rsidR="0040261D">
              <w:rPr>
                <w:b w:val="0"/>
                <w:bCs/>
                <w:vertAlign w:val="superscript"/>
              </w:rPr>
              <w:t>7</w:t>
            </w:r>
          </w:p>
        </w:tc>
        <w:tc>
          <w:tcPr>
            <w:tcW w:w="1089" w:type="dxa"/>
            <w:shd w:val="clear" w:color="auto" w:fill="auto"/>
            <w:vAlign w:val="center"/>
          </w:tcPr>
          <w:p w14:paraId="58AB04A7" w14:textId="70BB194D" w:rsidR="004231C9" w:rsidRPr="008F37FB" w:rsidRDefault="00320A42" w:rsidP="009A77B1">
            <w:pPr>
              <w:pStyle w:val="COMTableheadingrow"/>
              <w:jc w:val="center"/>
              <w:rPr>
                <w:bCs/>
                <w:highlight w:val="darkGray"/>
              </w:rPr>
            </w:pPr>
            <w:r w:rsidRPr="00320A42">
              <w:rPr>
                <w:rFonts w:hint="eastAsia"/>
                <w:bCs/>
                <w:color w:val="000000"/>
                <w:w w:val="26"/>
                <w:shd w:val="solid" w:color="000000" w:fill="000000"/>
                <w:fitText w:val="120" w:id="-1233441787"/>
                <w14:textFill>
                  <w14:solidFill>
                    <w14:srgbClr w14:val="000000">
                      <w14:alpha w14:val="100000"/>
                    </w14:srgbClr>
                  </w14:solidFill>
                </w14:textFill>
              </w:rPr>
              <w:t xml:space="preserve">　</w:t>
            </w:r>
            <w:r w:rsidRPr="00320A42">
              <w:rPr>
                <w:bCs/>
                <w:color w:val="000000"/>
                <w:w w:val="26"/>
                <w:shd w:val="solid" w:color="000000" w:fill="000000"/>
                <w:fitText w:val="120" w:id="-1233441787"/>
                <w14:textFill>
                  <w14:solidFill>
                    <w14:srgbClr w14:val="000000">
                      <w14:alpha w14:val="100000"/>
                    </w14:srgbClr>
                  </w14:solidFill>
                </w14:textFill>
              </w:rPr>
              <w:t>|</w:t>
            </w:r>
            <w:r w:rsidRPr="00320A42">
              <w:rPr>
                <w:rFonts w:hint="eastAsia"/>
                <w:bCs/>
                <w:color w:val="000000"/>
                <w:spacing w:val="4"/>
                <w:w w:val="26"/>
                <w:shd w:val="solid" w:color="000000" w:fill="000000"/>
                <w:fitText w:val="120" w:id="-1233441787"/>
                <w14:textFill>
                  <w14:solidFill>
                    <w14:srgbClr w14:val="000000">
                      <w14:alpha w14:val="100000"/>
                    </w14:srgbClr>
                  </w14:solidFill>
                </w14:textFill>
              </w:rPr>
              <w:t xml:space="preserve">　</w:t>
            </w:r>
            <w:r w:rsidR="0040261D" w:rsidRPr="0040261D">
              <w:rPr>
                <w:b w:val="0"/>
                <w:bCs/>
                <w:vertAlign w:val="superscript"/>
              </w:rPr>
              <w:t>1</w:t>
            </w:r>
            <w:r w:rsidR="0040261D">
              <w:rPr>
                <w:b w:val="0"/>
                <w:bCs/>
                <w:vertAlign w:val="superscript"/>
              </w:rPr>
              <w:t>7</w:t>
            </w:r>
          </w:p>
        </w:tc>
      </w:tr>
      <w:tr w:rsidR="004231C9" w:rsidRPr="003F255E" w14:paraId="2DC5DF30" w14:textId="77777777" w:rsidTr="00F41818">
        <w:tc>
          <w:tcPr>
            <w:tcW w:w="2547" w:type="dxa"/>
            <w:shd w:val="clear" w:color="auto" w:fill="auto"/>
            <w:vAlign w:val="center"/>
          </w:tcPr>
          <w:p w14:paraId="756AD93B" w14:textId="18C5138A" w:rsidR="004231C9" w:rsidRDefault="004231C9" w:rsidP="009A77B1">
            <w:pPr>
              <w:pStyle w:val="COMTabletext"/>
            </w:pPr>
            <w:r>
              <w:t>Cost of finerenone to PBS/RPBS</w:t>
            </w:r>
            <w:r w:rsidR="008F37FB">
              <w:t xml:space="preserve"> ($)</w:t>
            </w:r>
          </w:p>
        </w:tc>
        <w:tc>
          <w:tcPr>
            <w:tcW w:w="1088" w:type="dxa"/>
            <w:shd w:val="clear" w:color="auto" w:fill="auto"/>
            <w:vAlign w:val="center"/>
          </w:tcPr>
          <w:p w14:paraId="1F1C92F0" w14:textId="2045AFEB" w:rsidR="004231C9" w:rsidRPr="008F37FB" w:rsidRDefault="00320A42" w:rsidP="009A77B1">
            <w:pPr>
              <w:pStyle w:val="COMTabletext"/>
              <w:jc w:val="center"/>
              <w:rPr>
                <w:rFonts w:cs="Arial"/>
                <w:highlight w:val="darkGray"/>
              </w:rPr>
            </w:pPr>
            <w:r w:rsidRPr="00320A42">
              <w:rPr>
                <w:rFonts w:hint="eastAsia"/>
                <w:color w:val="000000"/>
                <w:w w:val="15"/>
                <w:shd w:val="solid" w:color="000000" w:fill="000000"/>
                <w:fitText w:val="60" w:id="-1233441786"/>
                <w14:textFill>
                  <w14:solidFill>
                    <w14:srgbClr w14:val="000000">
                      <w14:alpha w14:val="100000"/>
                    </w14:srgbClr>
                  </w14:solidFill>
                </w14:textFill>
              </w:rPr>
              <w:t xml:space="preserve">　</w:t>
            </w:r>
            <w:r w:rsidRPr="00320A42">
              <w:rPr>
                <w:color w:val="000000"/>
                <w:w w:val="15"/>
                <w:shd w:val="solid" w:color="000000" w:fill="000000"/>
                <w:fitText w:val="60" w:id="-1233441786"/>
                <w14:textFill>
                  <w14:solidFill>
                    <w14:srgbClr w14:val="000000">
                      <w14:alpha w14:val="100000"/>
                    </w14:srgbClr>
                  </w14:solidFill>
                </w14:textFill>
              </w:rPr>
              <w:t>|</w:t>
            </w:r>
            <w:r w:rsidRPr="00320A42">
              <w:rPr>
                <w:rFonts w:hint="eastAsia"/>
                <w:color w:val="000000"/>
                <w:spacing w:val="-15"/>
                <w:w w:val="15"/>
                <w:shd w:val="solid" w:color="000000" w:fill="000000"/>
                <w:fitText w:val="60" w:id="-1233441786"/>
                <w14:textFill>
                  <w14:solidFill>
                    <w14:srgbClr w14:val="000000">
                      <w14:alpha w14:val="100000"/>
                    </w14:srgbClr>
                  </w14:solidFill>
                </w14:textFill>
              </w:rPr>
              <w:t xml:space="preserve">　</w:t>
            </w:r>
            <w:r w:rsidR="008F37FB">
              <w:rPr>
                <w:b/>
                <w:bCs w:val="0"/>
                <w:vertAlign w:val="superscript"/>
              </w:rPr>
              <w:t>4</w:t>
            </w:r>
          </w:p>
        </w:tc>
        <w:tc>
          <w:tcPr>
            <w:tcW w:w="1088" w:type="dxa"/>
            <w:shd w:val="clear" w:color="auto" w:fill="auto"/>
            <w:vAlign w:val="center"/>
          </w:tcPr>
          <w:p w14:paraId="263DC73F" w14:textId="4C1FC375" w:rsidR="004231C9" w:rsidRPr="008F37FB" w:rsidRDefault="00320A42" w:rsidP="009A77B1">
            <w:pPr>
              <w:pStyle w:val="COMTabletext"/>
              <w:jc w:val="center"/>
              <w:rPr>
                <w:rFonts w:cs="Arial"/>
                <w:highlight w:val="darkGray"/>
              </w:rPr>
            </w:pPr>
            <w:r w:rsidRPr="00320A42">
              <w:rPr>
                <w:rFonts w:hint="eastAsia"/>
                <w:color w:val="000000"/>
                <w:w w:val="15"/>
                <w:shd w:val="solid" w:color="000000" w:fill="000000"/>
                <w:fitText w:val="60" w:id="-1233441785"/>
                <w14:textFill>
                  <w14:solidFill>
                    <w14:srgbClr w14:val="000000">
                      <w14:alpha w14:val="100000"/>
                    </w14:srgbClr>
                  </w14:solidFill>
                </w14:textFill>
              </w:rPr>
              <w:t xml:space="preserve">　</w:t>
            </w:r>
            <w:r w:rsidRPr="00320A42">
              <w:rPr>
                <w:color w:val="000000"/>
                <w:w w:val="15"/>
                <w:shd w:val="solid" w:color="000000" w:fill="000000"/>
                <w:fitText w:val="60" w:id="-1233441785"/>
                <w14:textFill>
                  <w14:solidFill>
                    <w14:srgbClr w14:val="000000">
                      <w14:alpha w14:val="100000"/>
                    </w14:srgbClr>
                  </w14:solidFill>
                </w14:textFill>
              </w:rPr>
              <w:t>|</w:t>
            </w:r>
            <w:r w:rsidRPr="00320A42">
              <w:rPr>
                <w:rFonts w:hint="eastAsia"/>
                <w:color w:val="000000"/>
                <w:spacing w:val="-15"/>
                <w:w w:val="15"/>
                <w:shd w:val="solid" w:color="000000" w:fill="000000"/>
                <w:fitText w:val="60" w:id="-1233441785"/>
                <w14:textFill>
                  <w14:solidFill>
                    <w14:srgbClr w14:val="000000">
                      <w14:alpha w14:val="100000"/>
                    </w14:srgbClr>
                  </w14:solidFill>
                </w14:textFill>
              </w:rPr>
              <w:t xml:space="preserve">　</w:t>
            </w:r>
            <w:r w:rsidR="008F37FB">
              <w:rPr>
                <w:b/>
                <w:bCs w:val="0"/>
                <w:vertAlign w:val="superscript"/>
              </w:rPr>
              <w:t>7</w:t>
            </w:r>
          </w:p>
        </w:tc>
        <w:tc>
          <w:tcPr>
            <w:tcW w:w="1089" w:type="dxa"/>
            <w:shd w:val="clear" w:color="auto" w:fill="auto"/>
            <w:vAlign w:val="center"/>
          </w:tcPr>
          <w:p w14:paraId="2B118F5C" w14:textId="4224E37A" w:rsidR="004231C9" w:rsidRPr="008F37FB" w:rsidRDefault="00320A42" w:rsidP="009A77B1">
            <w:pPr>
              <w:pStyle w:val="COMTabletext"/>
              <w:jc w:val="center"/>
              <w:rPr>
                <w:rFonts w:cs="Arial"/>
                <w:highlight w:val="darkGray"/>
              </w:rPr>
            </w:pPr>
            <w:r w:rsidRPr="00320A42">
              <w:rPr>
                <w:rFonts w:hint="eastAsia"/>
                <w:color w:val="000000"/>
                <w:w w:val="20"/>
                <w:shd w:val="solid" w:color="000000" w:fill="000000"/>
                <w:fitText w:val="90" w:id="-1233441784"/>
                <w14:textFill>
                  <w14:solidFill>
                    <w14:srgbClr w14:val="000000">
                      <w14:alpha w14:val="100000"/>
                    </w14:srgbClr>
                  </w14:solidFill>
                </w14:textFill>
              </w:rPr>
              <w:t xml:space="preserve">　</w:t>
            </w:r>
            <w:r w:rsidRPr="00320A42">
              <w:rPr>
                <w:color w:val="000000"/>
                <w:w w:val="20"/>
                <w:shd w:val="solid" w:color="000000" w:fill="000000"/>
                <w:fitText w:val="90" w:id="-1233441784"/>
                <w14:textFill>
                  <w14:solidFill>
                    <w14:srgbClr w14:val="000000">
                      <w14:alpha w14:val="100000"/>
                    </w14:srgbClr>
                  </w14:solidFill>
                </w14:textFill>
              </w:rPr>
              <w:t>|</w:t>
            </w:r>
            <w:r w:rsidRPr="00320A42">
              <w:rPr>
                <w:rFonts w:hint="eastAsia"/>
                <w:color w:val="000000"/>
                <w:spacing w:val="3"/>
                <w:w w:val="20"/>
                <w:shd w:val="solid" w:color="000000" w:fill="000000"/>
                <w:fitText w:val="90" w:id="-1233441784"/>
                <w14:textFill>
                  <w14:solidFill>
                    <w14:srgbClr w14:val="000000">
                      <w14:alpha w14:val="100000"/>
                    </w14:srgbClr>
                  </w14:solidFill>
                </w14:textFill>
              </w:rPr>
              <w:t xml:space="preserve">　</w:t>
            </w:r>
            <w:r w:rsidR="008F37FB" w:rsidRPr="008F37FB">
              <w:rPr>
                <w:vertAlign w:val="superscript"/>
              </w:rPr>
              <w:t>11</w:t>
            </w:r>
          </w:p>
        </w:tc>
        <w:tc>
          <w:tcPr>
            <w:tcW w:w="1088" w:type="dxa"/>
            <w:shd w:val="clear" w:color="auto" w:fill="auto"/>
            <w:vAlign w:val="center"/>
          </w:tcPr>
          <w:p w14:paraId="5BB57D3C" w14:textId="42362395" w:rsidR="004231C9" w:rsidRPr="008F37FB" w:rsidRDefault="00320A42" w:rsidP="009A77B1">
            <w:pPr>
              <w:pStyle w:val="COMTabletext"/>
              <w:jc w:val="center"/>
              <w:rPr>
                <w:rFonts w:cs="Arial"/>
                <w:highlight w:val="darkGray"/>
              </w:rPr>
            </w:pPr>
            <w:r w:rsidRPr="00320A42">
              <w:rPr>
                <w:rFonts w:hint="eastAsia"/>
                <w:color w:val="000000"/>
                <w:w w:val="20"/>
                <w:shd w:val="solid" w:color="000000" w:fill="000000"/>
                <w:fitText w:val="90" w:id="-1233441783"/>
                <w14:textFill>
                  <w14:solidFill>
                    <w14:srgbClr w14:val="000000">
                      <w14:alpha w14:val="100000"/>
                    </w14:srgbClr>
                  </w14:solidFill>
                </w14:textFill>
              </w:rPr>
              <w:t xml:space="preserve">　</w:t>
            </w:r>
            <w:r w:rsidRPr="00320A42">
              <w:rPr>
                <w:color w:val="000000"/>
                <w:w w:val="20"/>
                <w:shd w:val="solid" w:color="000000" w:fill="000000"/>
                <w:fitText w:val="90" w:id="-1233441783"/>
                <w14:textFill>
                  <w14:solidFill>
                    <w14:srgbClr w14:val="000000">
                      <w14:alpha w14:val="100000"/>
                    </w14:srgbClr>
                  </w14:solidFill>
                </w14:textFill>
              </w:rPr>
              <w:t>|</w:t>
            </w:r>
            <w:r w:rsidRPr="00320A42">
              <w:rPr>
                <w:rFonts w:hint="eastAsia"/>
                <w:color w:val="000000"/>
                <w:spacing w:val="3"/>
                <w:w w:val="20"/>
                <w:shd w:val="solid" w:color="000000" w:fill="000000"/>
                <w:fitText w:val="90" w:id="-1233441783"/>
                <w14:textFill>
                  <w14:solidFill>
                    <w14:srgbClr w14:val="000000">
                      <w14:alpha w14:val="100000"/>
                    </w14:srgbClr>
                  </w14:solidFill>
                </w14:textFill>
              </w:rPr>
              <w:t xml:space="preserve">　</w:t>
            </w:r>
            <w:r w:rsidR="008F37FB" w:rsidRPr="008F37FB">
              <w:rPr>
                <w:vertAlign w:val="superscript"/>
              </w:rPr>
              <w:t>1</w:t>
            </w:r>
            <w:r w:rsidR="0040261D">
              <w:rPr>
                <w:vertAlign w:val="superscript"/>
              </w:rPr>
              <w:t>3</w:t>
            </w:r>
          </w:p>
        </w:tc>
        <w:tc>
          <w:tcPr>
            <w:tcW w:w="1088" w:type="dxa"/>
            <w:shd w:val="clear" w:color="auto" w:fill="auto"/>
            <w:vAlign w:val="center"/>
          </w:tcPr>
          <w:p w14:paraId="5C924535" w14:textId="4E5AEAE0" w:rsidR="004231C9" w:rsidRPr="008F37FB" w:rsidRDefault="00320A42" w:rsidP="009A77B1">
            <w:pPr>
              <w:pStyle w:val="COMTabletext"/>
              <w:jc w:val="center"/>
              <w:rPr>
                <w:rFonts w:cs="Arial"/>
                <w:highlight w:val="darkGray"/>
              </w:rPr>
            </w:pPr>
            <w:r w:rsidRPr="00320A42">
              <w:rPr>
                <w:rFonts w:hint="eastAsia"/>
                <w:color w:val="000000"/>
                <w:w w:val="20"/>
                <w:shd w:val="solid" w:color="000000" w:fill="000000"/>
                <w:fitText w:val="90" w:id="-1233441782"/>
                <w14:textFill>
                  <w14:solidFill>
                    <w14:srgbClr w14:val="000000">
                      <w14:alpha w14:val="100000"/>
                    </w14:srgbClr>
                  </w14:solidFill>
                </w14:textFill>
              </w:rPr>
              <w:t xml:space="preserve">　</w:t>
            </w:r>
            <w:r w:rsidRPr="00320A42">
              <w:rPr>
                <w:color w:val="000000"/>
                <w:w w:val="20"/>
                <w:shd w:val="solid" w:color="000000" w:fill="000000"/>
                <w:fitText w:val="90" w:id="-1233441782"/>
                <w14:textFill>
                  <w14:solidFill>
                    <w14:srgbClr w14:val="000000">
                      <w14:alpha w14:val="100000"/>
                    </w14:srgbClr>
                  </w14:solidFill>
                </w14:textFill>
              </w:rPr>
              <w:t>|</w:t>
            </w:r>
            <w:r w:rsidRPr="00320A42">
              <w:rPr>
                <w:rFonts w:hint="eastAsia"/>
                <w:color w:val="000000"/>
                <w:spacing w:val="3"/>
                <w:w w:val="20"/>
                <w:shd w:val="solid" w:color="000000" w:fill="000000"/>
                <w:fitText w:val="90" w:id="-1233441782"/>
                <w14:textFill>
                  <w14:solidFill>
                    <w14:srgbClr w14:val="000000">
                      <w14:alpha w14:val="100000"/>
                    </w14:srgbClr>
                  </w14:solidFill>
                </w14:textFill>
              </w:rPr>
              <w:t xml:space="preserve">　</w:t>
            </w:r>
            <w:r w:rsidR="008F37FB" w:rsidRPr="008F37FB">
              <w:rPr>
                <w:vertAlign w:val="superscript"/>
              </w:rPr>
              <w:t>1</w:t>
            </w:r>
            <w:r w:rsidR="0040261D">
              <w:rPr>
                <w:vertAlign w:val="superscript"/>
              </w:rPr>
              <w:t>3</w:t>
            </w:r>
          </w:p>
        </w:tc>
        <w:tc>
          <w:tcPr>
            <w:tcW w:w="1089" w:type="dxa"/>
            <w:shd w:val="clear" w:color="auto" w:fill="auto"/>
            <w:vAlign w:val="center"/>
          </w:tcPr>
          <w:p w14:paraId="7275D6FF" w14:textId="3542E86B" w:rsidR="004231C9" w:rsidRPr="008F37FB" w:rsidRDefault="00320A42" w:rsidP="009A77B1">
            <w:pPr>
              <w:pStyle w:val="COMTabletext"/>
              <w:jc w:val="center"/>
              <w:rPr>
                <w:rFonts w:cs="Arial"/>
                <w:highlight w:val="darkGray"/>
              </w:rPr>
            </w:pPr>
            <w:r w:rsidRPr="00320A42">
              <w:rPr>
                <w:rFonts w:hint="eastAsia"/>
                <w:color w:val="000000"/>
                <w:w w:val="20"/>
                <w:shd w:val="solid" w:color="000000" w:fill="000000"/>
                <w:fitText w:val="90" w:id="-1233441781"/>
                <w14:textFill>
                  <w14:solidFill>
                    <w14:srgbClr w14:val="000000">
                      <w14:alpha w14:val="100000"/>
                    </w14:srgbClr>
                  </w14:solidFill>
                </w14:textFill>
              </w:rPr>
              <w:t xml:space="preserve">　</w:t>
            </w:r>
            <w:r w:rsidRPr="00320A42">
              <w:rPr>
                <w:color w:val="000000"/>
                <w:w w:val="20"/>
                <w:shd w:val="solid" w:color="000000" w:fill="000000"/>
                <w:fitText w:val="90" w:id="-1233441781"/>
                <w14:textFill>
                  <w14:solidFill>
                    <w14:srgbClr w14:val="000000">
                      <w14:alpha w14:val="100000"/>
                    </w14:srgbClr>
                  </w14:solidFill>
                </w14:textFill>
              </w:rPr>
              <w:t>|</w:t>
            </w:r>
            <w:r w:rsidRPr="00320A42">
              <w:rPr>
                <w:rFonts w:hint="eastAsia"/>
                <w:color w:val="000000"/>
                <w:spacing w:val="3"/>
                <w:w w:val="20"/>
                <w:shd w:val="solid" w:color="000000" w:fill="000000"/>
                <w:fitText w:val="90" w:id="-1233441781"/>
                <w14:textFill>
                  <w14:solidFill>
                    <w14:srgbClr w14:val="000000">
                      <w14:alpha w14:val="100000"/>
                    </w14:srgbClr>
                  </w14:solidFill>
                </w14:textFill>
              </w:rPr>
              <w:t xml:space="preserve">　</w:t>
            </w:r>
            <w:r w:rsidR="0040261D" w:rsidRPr="0040261D">
              <w:rPr>
                <w:vertAlign w:val="superscript"/>
              </w:rPr>
              <w:t>16</w:t>
            </w:r>
          </w:p>
        </w:tc>
      </w:tr>
      <w:tr w:rsidR="004231C9" w:rsidRPr="003F255E" w14:paraId="7B23D5A7" w14:textId="77777777" w:rsidTr="00F41818">
        <w:tc>
          <w:tcPr>
            <w:tcW w:w="2547" w:type="dxa"/>
            <w:shd w:val="clear" w:color="auto" w:fill="auto"/>
            <w:vAlign w:val="center"/>
          </w:tcPr>
          <w:p w14:paraId="1B0FF34E" w14:textId="18DD1553" w:rsidR="004231C9" w:rsidRDefault="004231C9" w:rsidP="009A77B1">
            <w:pPr>
              <w:pStyle w:val="COMTabletext"/>
            </w:pPr>
            <w:r>
              <w:t>Patient copayment ($17.82)</w:t>
            </w:r>
            <w:r w:rsidR="008F37FB">
              <w:t xml:space="preserve"> ($)</w:t>
            </w:r>
          </w:p>
        </w:tc>
        <w:tc>
          <w:tcPr>
            <w:tcW w:w="1088" w:type="dxa"/>
            <w:shd w:val="clear" w:color="auto" w:fill="auto"/>
            <w:vAlign w:val="center"/>
          </w:tcPr>
          <w:p w14:paraId="4DF5BA06" w14:textId="4C6A4B49" w:rsidR="004231C9" w:rsidRPr="008F37FB" w:rsidRDefault="00320A42" w:rsidP="009A77B1">
            <w:pPr>
              <w:pStyle w:val="COMTabletext"/>
              <w:jc w:val="center"/>
              <w:rPr>
                <w:rFonts w:cs="Arial"/>
                <w:highlight w:val="darkGray"/>
              </w:rPr>
            </w:pPr>
            <w:r w:rsidRPr="00320A42">
              <w:rPr>
                <w:rFonts w:hint="eastAsia"/>
                <w:color w:val="000000"/>
                <w:w w:val="15"/>
                <w:shd w:val="solid" w:color="000000" w:fill="000000"/>
                <w:fitText w:val="60" w:id="-1233441780"/>
                <w14:textFill>
                  <w14:solidFill>
                    <w14:srgbClr w14:val="000000">
                      <w14:alpha w14:val="100000"/>
                    </w14:srgbClr>
                  </w14:solidFill>
                </w14:textFill>
              </w:rPr>
              <w:t xml:space="preserve">　</w:t>
            </w:r>
            <w:r w:rsidRPr="00320A42">
              <w:rPr>
                <w:color w:val="000000"/>
                <w:w w:val="15"/>
                <w:shd w:val="solid" w:color="000000" w:fill="000000"/>
                <w:fitText w:val="60" w:id="-1233441780"/>
                <w14:textFill>
                  <w14:solidFill>
                    <w14:srgbClr w14:val="000000">
                      <w14:alpha w14:val="100000"/>
                    </w14:srgbClr>
                  </w14:solidFill>
                </w14:textFill>
              </w:rPr>
              <w:t>|</w:t>
            </w:r>
            <w:r w:rsidRPr="00320A42">
              <w:rPr>
                <w:rFonts w:hint="eastAsia"/>
                <w:color w:val="000000"/>
                <w:spacing w:val="-15"/>
                <w:w w:val="15"/>
                <w:shd w:val="solid" w:color="000000" w:fill="000000"/>
                <w:fitText w:val="60" w:id="-1233441780"/>
                <w14:textFill>
                  <w14:solidFill>
                    <w14:srgbClr w14:val="000000">
                      <w14:alpha w14:val="100000"/>
                    </w14:srgbClr>
                  </w14:solidFill>
                </w14:textFill>
              </w:rPr>
              <w:t xml:space="preserve">　</w:t>
            </w:r>
            <w:r w:rsidR="008F37FB" w:rsidRPr="008F37FB">
              <w:rPr>
                <w:vertAlign w:val="superscript"/>
              </w:rPr>
              <w:t>5</w:t>
            </w:r>
          </w:p>
        </w:tc>
        <w:tc>
          <w:tcPr>
            <w:tcW w:w="1088" w:type="dxa"/>
            <w:shd w:val="clear" w:color="auto" w:fill="auto"/>
            <w:vAlign w:val="center"/>
          </w:tcPr>
          <w:p w14:paraId="66EE44FB" w14:textId="72E08700" w:rsidR="004231C9" w:rsidRPr="008F37FB" w:rsidRDefault="00320A42" w:rsidP="009A77B1">
            <w:pPr>
              <w:pStyle w:val="COMTabletext"/>
              <w:jc w:val="center"/>
              <w:rPr>
                <w:rFonts w:cs="Arial"/>
                <w:highlight w:val="darkGray"/>
              </w:rPr>
            </w:pPr>
            <w:r w:rsidRPr="00320A42">
              <w:rPr>
                <w:rFonts w:hint="eastAsia"/>
                <w:color w:val="000000"/>
                <w:w w:val="15"/>
                <w:shd w:val="solid" w:color="000000" w:fill="000000"/>
                <w:fitText w:val="60" w:id="-1233441779"/>
                <w14:textFill>
                  <w14:solidFill>
                    <w14:srgbClr w14:val="000000">
                      <w14:alpha w14:val="100000"/>
                    </w14:srgbClr>
                  </w14:solidFill>
                </w14:textFill>
              </w:rPr>
              <w:t xml:space="preserve">　</w:t>
            </w:r>
            <w:r w:rsidRPr="00320A42">
              <w:rPr>
                <w:color w:val="000000"/>
                <w:w w:val="15"/>
                <w:shd w:val="solid" w:color="000000" w:fill="000000"/>
                <w:fitText w:val="60" w:id="-1233441779"/>
                <w14:textFill>
                  <w14:solidFill>
                    <w14:srgbClr w14:val="000000">
                      <w14:alpha w14:val="100000"/>
                    </w14:srgbClr>
                  </w14:solidFill>
                </w14:textFill>
              </w:rPr>
              <w:t>|</w:t>
            </w:r>
            <w:r w:rsidRPr="00320A42">
              <w:rPr>
                <w:rFonts w:hint="eastAsia"/>
                <w:color w:val="000000"/>
                <w:spacing w:val="-15"/>
                <w:w w:val="15"/>
                <w:shd w:val="solid" w:color="000000" w:fill="000000"/>
                <w:fitText w:val="60" w:id="-1233441779"/>
                <w14:textFill>
                  <w14:solidFill>
                    <w14:srgbClr w14:val="000000">
                      <w14:alpha w14:val="100000"/>
                    </w14:srgbClr>
                  </w14:solidFill>
                </w14:textFill>
              </w:rPr>
              <w:t xml:space="preserve">　</w:t>
            </w:r>
            <w:r w:rsidR="008F37FB" w:rsidRPr="008F37FB">
              <w:rPr>
                <w:vertAlign w:val="superscript"/>
              </w:rPr>
              <w:t>5</w:t>
            </w:r>
          </w:p>
        </w:tc>
        <w:tc>
          <w:tcPr>
            <w:tcW w:w="1089" w:type="dxa"/>
            <w:shd w:val="clear" w:color="auto" w:fill="auto"/>
            <w:vAlign w:val="center"/>
          </w:tcPr>
          <w:p w14:paraId="5DD931FD" w14:textId="3F90C748" w:rsidR="004231C9" w:rsidRPr="008F37FB" w:rsidRDefault="00320A42" w:rsidP="009A77B1">
            <w:pPr>
              <w:pStyle w:val="COMTabletext"/>
              <w:jc w:val="center"/>
              <w:rPr>
                <w:rFonts w:cs="Arial"/>
                <w:highlight w:val="darkGray"/>
              </w:rPr>
            </w:pPr>
            <w:r w:rsidRPr="00320A42">
              <w:rPr>
                <w:rFonts w:hint="eastAsia"/>
                <w:color w:val="000000"/>
                <w:w w:val="15"/>
                <w:shd w:val="solid" w:color="000000" w:fill="000000"/>
                <w:fitText w:val="60" w:id="-1233441778"/>
                <w14:textFill>
                  <w14:solidFill>
                    <w14:srgbClr w14:val="000000">
                      <w14:alpha w14:val="100000"/>
                    </w14:srgbClr>
                  </w14:solidFill>
                </w14:textFill>
              </w:rPr>
              <w:t xml:space="preserve">　</w:t>
            </w:r>
            <w:r w:rsidRPr="00320A42">
              <w:rPr>
                <w:color w:val="000000"/>
                <w:w w:val="15"/>
                <w:shd w:val="solid" w:color="000000" w:fill="000000"/>
                <w:fitText w:val="60" w:id="-1233441778"/>
                <w14:textFill>
                  <w14:solidFill>
                    <w14:srgbClr w14:val="000000">
                      <w14:alpha w14:val="100000"/>
                    </w14:srgbClr>
                  </w14:solidFill>
                </w14:textFill>
              </w:rPr>
              <w:t>|</w:t>
            </w:r>
            <w:r w:rsidRPr="00320A42">
              <w:rPr>
                <w:rFonts w:hint="eastAsia"/>
                <w:color w:val="000000"/>
                <w:spacing w:val="-15"/>
                <w:w w:val="15"/>
                <w:shd w:val="solid" w:color="000000" w:fill="000000"/>
                <w:fitText w:val="60" w:id="-1233441778"/>
                <w14:textFill>
                  <w14:solidFill>
                    <w14:srgbClr w14:val="000000">
                      <w14:alpha w14:val="100000"/>
                    </w14:srgbClr>
                  </w14:solidFill>
                </w14:textFill>
              </w:rPr>
              <w:t xml:space="preserve">　</w:t>
            </w:r>
            <w:r w:rsidR="008F37FB" w:rsidRPr="008F37FB">
              <w:rPr>
                <w:vertAlign w:val="superscript"/>
              </w:rPr>
              <w:t>5</w:t>
            </w:r>
          </w:p>
        </w:tc>
        <w:tc>
          <w:tcPr>
            <w:tcW w:w="1088" w:type="dxa"/>
            <w:shd w:val="clear" w:color="auto" w:fill="auto"/>
            <w:vAlign w:val="center"/>
          </w:tcPr>
          <w:p w14:paraId="705FAAD2" w14:textId="2C33E604" w:rsidR="004231C9" w:rsidRPr="008F37FB" w:rsidRDefault="00F41818" w:rsidP="009A77B1">
            <w:pPr>
              <w:pStyle w:val="COMTabletext"/>
              <w:jc w:val="center"/>
              <w:rPr>
                <w:rFonts w:cs="Arial"/>
                <w:highlight w:val="darkGray"/>
              </w:rPr>
            </w:pPr>
            <w:r>
              <w:rPr>
                <w:rFonts w:hint="eastAsia"/>
                <w:color w:val="000000"/>
                <w:shd w:val="solid" w:color="000000" w:fill="000000"/>
                <w14:textFill>
                  <w14:solidFill>
                    <w14:srgbClr w14:val="000000">
                      <w14:alpha w14:val="100000"/>
                    </w14:srgbClr>
                  </w14:solidFill>
                </w14:textFill>
              </w:rPr>
              <w:t xml:space="preserve"> </w:t>
            </w:r>
            <w:r w:rsidR="00320A42" w:rsidRPr="00F41818">
              <w:rPr>
                <w:rFonts w:hint="eastAsia"/>
                <w:color w:val="000000"/>
                <w:w w:val="15"/>
                <w:shd w:val="solid" w:color="000000" w:fill="000000"/>
                <w:fitText w:val="51" w:id="-1233440512"/>
                <w14:textFill>
                  <w14:solidFill>
                    <w14:srgbClr w14:val="000000">
                      <w14:alpha w14:val="100000"/>
                    </w14:srgbClr>
                  </w14:solidFill>
                </w14:textFill>
              </w:rPr>
              <w:t xml:space="preserve">　</w:t>
            </w:r>
            <w:r w:rsidR="00320A42" w:rsidRPr="00F41818">
              <w:rPr>
                <w:color w:val="000000"/>
                <w:w w:val="15"/>
                <w:shd w:val="solid" w:color="000000" w:fill="000000"/>
                <w:fitText w:val="51" w:id="-1233440512"/>
                <w14:textFill>
                  <w14:solidFill>
                    <w14:srgbClr w14:val="000000">
                      <w14:alpha w14:val="100000"/>
                    </w14:srgbClr>
                  </w14:solidFill>
                </w14:textFill>
              </w:rPr>
              <w:t>|</w:t>
            </w:r>
            <w:r w:rsidR="00320A42" w:rsidRPr="00F41818">
              <w:rPr>
                <w:rFonts w:hint="eastAsia"/>
                <w:color w:val="000000"/>
                <w:spacing w:val="-14"/>
                <w:w w:val="15"/>
                <w:shd w:val="solid" w:color="000000" w:fill="000000"/>
                <w:fitText w:val="51" w:id="-1233440512"/>
                <w14:textFill>
                  <w14:solidFill>
                    <w14:srgbClr w14:val="000000">
                      <w14:alpha w14:val="100000"/>
                    </w14:srgbClr>
                  </w14:solidFill>
                </w14:textFill>
              </w:rPr>
              <w:t xml:space="preserve">　</w:t>
            </w:r>
            <w:r w:rsidR="008F37FB" w:rsidRPr="008F37FB">
              <w:rPr>
                <w:vertAlign w:val="superscript"/>
              </w:rPr>
              <w:t>5</w:t>
            </w:r>
          </w:p>
        </w:tc>
        <w:tc>
          <w:tcPr>
            <w:tcW w:w="1088" w:type="dxa"/>
            <w:shd w:val="clear" w:color="auto" w:fill="auto"/>
            <w:vAlign w:val="center"/>
          </w:tcPr>
          <w:p w14:paraId="21293A6B" w14:textId="0A25A2B8" w:rsidR="004231C9" w:rsidRPr="008F37FB" w:rsidRDefault="00320A42" w:rsidP="009A77B1">
            <w:pPr>
              <w:pStyle w:val="COMTabletext"/>
              <w:jc w:val="center"/>
              <w:rPr>
                <w:rFonts w:cs="Arial"/>
                <w:highlight w:val="darkGray"/>
              </w:rPr>
            </w:pPr>
            <w:r w:rsidRPr="00320A42">
              <w:rPr>
                <w:rFonts w:hint="eastAsia"/>
                <w:color w:val="000000"/>
                <w:w w:val="15"/>
                <w:shd w:val="solid" w:color="000000" w:fill="000000"/>
                <w:fitText w:val="60" w:id="-1233441024"/>
                <w14:textFill>
                  <w14:solidFill>
                    <w14:srgbClr w14:val="000000">
                      <w14:alpha w14:val="100000"/>
                    </w14:srgbClr>
                  </w14:solidFill>
                </w14:textFill>
              </w:rPr>
              <w:t xml:space="preserve">　</w:t>
            </w:r>
            <w:r w:rsidRPr="00320A42">
              <w:rPr>
                <w:color w:val="000000"/>
                <w:w w:val="15"/>
                <w:shd w:val="solid" w:color="000000" w:fill="000000"/>
                <w:fitText w:val="60" w:id="-1233441024"/>
                <w14:textFill>
                  <w14:solidFill>
                    <w14:srgbClr w14:val="000000">
                      <w14:alpha w14:val="100000"/>
                    </w14:srgbClr>
                  </w14:solidFill>
                </w14:textFill>
              </w:rPr>
              <w:t>|</w:t>
            </w:r>
            <w:r w:rsidRPr="00320A42">
              <w:rPr>
                <w:rFonts w:hint="eastAsia"/>
                <w:color w:val="000000"/>
                <w:spacing w:val="-15"/>
                <w:w w:val="15"/>
                <w:shd w:val="solid" w:color="000000" w:fill="000000"/>
                <w:fitText w:val="60" w:id="-1233441024"/>
                <w14:textFill>
                  <w14:solidFill>
                    <w14:srgbClr w14:val="000000">
                      <w14:alpha w14:val="100000"/>
                    </w14:srgbClr>
                  </w14:solidFill>
                </w14:textFill>
              </w:rPr>
              <w:t xml:space="preserve">　</w:t>
            </w:r>
            <w:r w:rsidR="008F37FB" w:rsidRPr="008F37FB">
              <w:rPr>
                <w:vertAlign w:val="superscript"/>
              </w:rPr>
              <w:t>5</w:t>
            </w:r>
          </w:p>
        </w:tc>
        <w:tc>
          <w:tcPr>
            <w:tcW w:w="1089" w:type="dxa"/>
            <w:shd w:val="clear" w:color="auto" w:fill="auto"/>
            <w:vAlign w:val="center"/>
          </w:tcPr>
          <w:p w14:paraId="45B2E5B9" w14:textId="20F6CB92" w:rsidR="004231C9" w:rsidRPr="008F37FB" w:rsidRDefault="00320A42" w:rsidP="009A77B1">
            <w:pPr>
              <w:pStyle w:val="COMTabletext"/>
              <w:jc w:val="center"/>
              <w:rPr>
                <w:rFonts w:cs="Arial"/>
                <w:highlight w:val="darkGray"/>
              </w:rPr>
            </w:pPr>
            <w:r w:rsidRPr="00320A42">
              <w:rPr>
                <w:rFonts w:hint="eastAsia"/>
                <w:color w:val="000000"/>
                <w:w w:val="15"/>
                <w:shd w:val="solid" w:color="000000" w:fill="000000"/>
                <w:fitText w:val="60" w:id="-1233441023"/>
                <w14:textFill>
                  <w14:solidFill>
                    <w14:srgbClr w14:val="000000">
                      <w14:alpha w14:val="100000"/>
                    </w14:srgbClr>
                  </w14:solidFill>
                </w14:textFill>
              </w:rPr>
              <w:t xml:space="preserve">　</w:t>
            </w:r>
            <w:r w:rsidRPr="00320A42">
              <w:rPr>
                <w:color w:val="000000"/>
                <w:w w:val="15"/>
                <w:shd w:val="solid" w:color="000000" w:fill="000000"/>
                <w:fitText w:val="60" w:id="-1233441023"/>
                <w14:textFill>
                  <w14:solidFill>
                    <w14:srgbClr w14:val="000000">
                      <w14:alpha w14:val="100000"/>
                    </w14:srgbClr>
                  </w14:solidFill>
                </w14:textFill>
              </w:rPr>
              <w:t>|</w:t>
            </w:r>
            <w:r w:rsidRPr="00320A42">
              <w:rPr>
                <w:rFonts w:hint="eastAsia"/>
                <w:color w:val="000000"/>
                <w:spacing w:val="-15"/>
                <w:w w:val="15"/>
                <w:shd w:val="solid" w:color="000000" w:fill="000000"/>
                <w:fitText w:val="60" w:id="-1233441023"/>
                <w14:textFill>
                  <w14:solidFill>
                    <w14:srgbClr w14:val="000000">
                      <w14:alpha w14:val="100000"/>
                    </w14:srgbClr>
                  </w14:solidFill>
                </w14:textFill>
              </w:rPr>
              <w:t xml:space="preserve">　</w:t>
            </w:r>
            <w:r w:rsidR="008F37FB" w:rsidRPr="008F37FB">
              <w:rPr>
                <w:vertAlign w:val="superscript"/>
              </w:rPr>
              <w:t>5</w:t>
            </w:r>
          </w:p>
        </w:tc>
      </w:tr>
      <w:tr w:rsidR="004231C9" w:rsidRPr="00A3158B" w14:paraId="62548F2E" w14:textId="77777777" w:rsidTr="00F41818">
        <w:tc>
          <w:tcPr>
            <w:tcW w:w="2547" w:type="dxa"/>
            <w:shd w:val="clear" w:color="auto" w:fill="auto"/>
            <w:vAlign w:val="center"/>
          </w:tcPr>
          <w:p w14:paraId="28C853A4" w14:textId="77777777" w:rsidR="004231C9" w:rsidRPr="00A3158B" w:rsidRDefault="004231C9" w:rsidP="009A77B1">
            <w:pPr>
              <w:pStyle w:val="COMTabletext"/>
              <w:rPr>
                <w:b/>
                <w:bCs w:val="0"/>
              </w:rPr>
            </w:pPr>
            <w:r w:rsidRPr="00A3158B">
              <w:rPr>
                <w:b/>
                <w:bCs w:val="0"/>
              </w:rPr>
              <w:t xml:space="preserve">Net cost to PBS/RPBS </w:t>
            </w:r>
          </w:p>
          <w:p w14:paraId="283D8AAE" w14:textId="658D1C1B" w:rsidR="004231C9" w:rsidRPr="00A3158B" w:rsidRDefault="004231C9" w:rsidP="009A77B1">
            <w:pPr>
              <w:pStyle w:val="COMTabletext"/>
              <w:rPr>
                <w:b/>
                <w:bCs w:val="0"/>
              </w:rPr>
            </w:pPr>
            <w:r w:rsidRPr="00A3158B">
              <w:rPr>
                <w:b/>
                <w:bCs w:val="0"/>
              </w:rPr>
              <w:t>less copayment</w:t>
            </w:r>
            <w:r w:rsidR="008F37FB">
              <w:rPr>
                <w:b/>
                <w:bCs w:val="0"/>
              </w:rPr>
              <w:t xml:space="preserve"> ($)</w:t>
            </w:r>
          </w:p>
        </w:tc>
        <w:tc>
          <w:tcPr>
            <w:tcW w:w="1088" w:type="dxa"/>
            <w:shd w:val="clear" w:color="auto" w:fill="auto"/>
            <w:vAlign w:val="center"/>
          </w:tcPr>
          <w:p w14:paraId="5BFDEF5B" w14:textId="51A18966" w:rsidR="004231C9" w:rsidRPr="008F37FB" w:rsidRDefault="00320A42" w:rsidP="009A77B1">
            <w:pPr>
              <w:pStyle w:val="COMTabletext"/>
              <w:jc w:val="center"/>
              <w:rPr>
                <w:rFonts w:cs="Arial"/>
                <w:b/>
                <w:bCs w:val="0"/>
                <w:highlight w:val="darkGray"/>
              </w:rPr>
            </w:pPr>
            <w:r w:rsidRPr="00320A42">
              <w:rPr>
                <w:rFonts w:hint="eastAsia"/>
                <w:b/>
                <w:bCs w:val="0"/>
                <w:color w:val="000000"/>
                <w:w w:val="18"/>
                <w:shd w:val="solid" w:color="000000" w:fill="000000"/>
                <w:fitText w:val="90" w:id="-1233441022"/>
                <w14:textFill>
                  <w14:solidFill>
                    <w14:srgbClr w14:val="000000">
                      <w14:alpha w14:val="100000"/>
                    </w14:srgbClr>
                  </w14:solidFill>
                </w14:textFill>
              </w:rPr>
              <w:t xml:space="preserve">　</w:t>
            </w:r>
            <w:r w:rsidRPr="00320A42">
              <w:rPr>
                <w:b/>
                <w:bCs w:val="0"/>
                <w:color w:val="000000"/>
                <w:w w:val="18"/>
                <w:shd w:val="solid" w:color="000000" w:fill="000000"/>
                <w:fitText w:val="90" w:id="-1233441022"/>
                <w14:textFill>
                  <w14:solidFill>
                    <w14:srgbClr w14:val="000000">
                      <w14:alpha w14:val="100000"/>
                    </w14:srgbClr>
                  </w14:solidFill>
                </w14:textFill>
              </w:rPr>
              <w:t>|</w:t>
            </w:r>
            <w:r w:rsidRPr="00320A42">
              <w:rPr>
                <w:rFonts w:hint="eastAsia"/>
                <w:b/>
                <w:bCs w:val="0"/>
                <w:color w:val="000000"/>
                <w:spacing w:val="15"/>
                <w:w w:val="18"/>
                <w:shd w:val="solid" w:color="000000" w:fill="000000"/>
                <w:fitText w:val="90" w:id="-1233441022"/>
                <w14:textFill>
                  <w14:solidFill>
                    <w14:srgbClr w14:val="000000">
                      <w14:alpha w14:val="100000"/>
                    </w14:srgbClr>
                  </w14:solidFill>
                </w14:textFill>
              </w:rPr>
              <w:t xml:space="preserve">　</w:t>
            </w:r>
            <w:r w:rsidR="008F37FB" w:rsidRPr="008F37FB">
              <w:rPr>
                <w:vertAlign w:val="superscript"/>
              </w:rPr>
              <w:t>4</w:t>
            </w:r>
          </w:p>
        </w:tc>
        <w:tc>
          <w:tcPr>
            <w:tcW w:w="1088" w:type="dxa"/>
            <w:shd w:val="clear" w:color="auto" w:fill="auto"/>
            <w:vAlign w:val="center"/>
          </w:tcPr>
          <w:p w14:paraId="37D44E1A" w14:textId="100C1F6E" w:rsidR="004231C9" w:rsidRPr="008F37FB" w:rsidRDefault="00320A42" w:rsidP="009A77B1">
            <w:pPr>
              <w:pStyle w:val="COMTabletext"/>
              <w:jc w:val="center"/>
              <w:rPr>
                <w:rFonts w:cs="Arial"/>
                <w:b/>
                <w:bCs w:val="0"/>
                <w:highlight w:val="darkGray"/>
              </w:rPr>
            </w:pPr>
            <w:r w:rsidRPr="00320A42">
              <w:rPr>
                <w:rFonts w:hint="eastAsia"/>
                <w:b/>
                <w:bCs w:val="0"/>
                <w:color w:val="000000"/>
                <w:w w:val="18"/>
                <w:shd w:val="solid" w:color="000000" w:fill="000000"/>
                <w:fitText w:val="90" w:id="-1233441021"/>
                <w14:textFill>
                  <w14:solidFill>
                    <w14:srgbClr w14:val="000000">
                      <w14:alpha w14:val="100000"/>
                    </w14:srgbClr>
                  </w14:solidFill>
                </w14:textFill>
              </w:rPr>
              <w:t xml:space="preserve">　</w:t>
            </w:r>
            <w:r w:rsidRPr="00320A42">
              <w:rPr>
                <w:b/>
                <w:bCs w:val="0"/>
                <w:color w:val="000000"/>
                <w:w w:val="18"/>
                <w:shd w:val="solid" w:color="000000" w:fill="000000"/>
                <w:fitText w:val="90" w:id="-1233441021"/>
                <w14:textFill>
                  <w14:solidFill>
                    <w14:srgbClr w14:val="000000">
                      <w14:alpha w14:val="100000"/>
                    </w14:srgbClr>
                  </w14:solidFill>
                </w14:textFill>
              </w:rPr>
              <w:t>|</w:t>
            </w:r>
            <w:r w:rsidRPr="00320A42">
              <w:rPr>
                <w:rFonts w:hint="eastAsia"/>
                <w:b/>
                <w:bCs w:val="0"/>
                <w:color w:val="000000"/>
                <w:spacing w:val="15"/>
                <w:w w:val="18"/>
                <w:shd w:val="solid" w:color="000000" w:fill="000000"/>
                <w:fitText w:val="90" w:id="-1233441021"/>
                <w14:textFill>
                  <w14:solidFill>
                    <w14:srgbClr w14:val="000000">
                      <w14:alpha w14:val="100000"/>
                    </w14:srgbClr>
                  </w14:solidFill>
                </w14:textFill>
              </w:rPr>
              <w:t xml:space="preserve">　</w:t>
            </w:r>
            <w:r w:rsidR="008F37FB">
              <w:rPr>
                <w:b/>
                <w:bCs w:val="0"/>
                <w:vertAlign w:val="superscript"/>
              </w:rPr>
              <w:t>7</w:t>
            </w:r>
          </w:p>
        </w:tc>
        <w:tc>
          <w:tcPr>
            <w:tcW w:w="1089" w:type="dxa"/>
            <w:shd w:val="clear" w:color="auto" w:fill="auto"/>
            <w:vAlign w:val="center"/>
          </w:tcPr>
          <w:p w14:paraId="66C4FF54" w14:textId="2383F0DD" w:rsidR="004231C9" w:rsidRPr="008F37FB" w:rsidRDefault="00320A42" w:rsidP="009A77B1">
            <w:pPr>
              <w:pStyle w:val="COMTabletext"/>
              <w:jc w:val="center"/>
              <w:rPr>
                <w:rFonts w:cs="Arial"/>
                <w:highlight w:val="darkGray"/>
              </w:rPr>
            </w:pPr>
            <w:r w:rsidRPr="00320A42">
              <w:rPr>
                <w:rFonts w:hint="eastAsia"/>
                <w:b/>
                <w:bCs w:val="0"/>
                <w:color w:val="000000"/>
                <w:w w:val="18"/>
                <w:shd w:val="solid" w:color="000000" w:fill="000000"/>
                <w:fitText w:val="90" w:id="-1233441020"/>
                <w14:textFill>
                  <w14:solidFill>
                    <w14:srgbClr w14:val="000000">
                      <w14:alpha w14:val="100000"/>
                    </w14:srgbClr>
                  </w14:solidFill>
                </w14:textFill>
              </w:rPr>
              <w:t xml:space="preserve">　</w:t>
            </w:r>
            <w:r w:rsidRPr="00320A42">
              <w:rPr>
                <w:b/>
                <w:bCs w:val="0"/>
                <w:color w:val="000000"/>
                <w:w w:val="18"/>
                <w:shd w:val="solid" w:color="000000" w:fill="000000"/>
                <w:fitText w:val="90" w:id="-1233441020"/>
                <w14:textFill>
                  <w14:solidFill>
                    <w14:srgbClr w14:val="000000">
                      <w14:alpha w14:val="100000"/>
                    </w14:srgbClr>
                  </w14:solidFill>
                </w14:textFill>
              </w:rPr>
              <w:t>|</w:t>
            </w:r>
            <w:r w:rsidRPr="00320A42">
              <w:rPr>
                <w:rFonts w:hint="eastAsia"/>
                <w:b/>
                <w:bCs w:val="0"/>
                <w:color w:val="000000"/>
                <w:spacing w:val="15"/>
                <w:w w:val="18"/>
                <w:shd w:val="solid" w:color="000000" w:fill="000000"/>
                <w:fitText w:val="90" w:id="-1233441020"/>
                <w14:textFill>
                  <w14:solidFill>
                    <w14:srgbClr w14:val="000000">
                      <w14:alpha w14:val="100000"/>
                    </w14:srgbClr>
                  </w14:solidFill>
                </w14:textFill>
              </w:rPr>
              <w:t xml:space="preserve">　</w:t>
            </w:r>
            <w:r w:rsidR="008F37FB">
              <w:rPr>
                <w:b/>
                <w:bCs w:val="0"/>
                <w:vertAlign w:val="superscript"/>
              </w:rPr>
              <w:t>7</w:t>
            </w:r>
          </w:p>
        </w:tc>
        <w:tc>
          <w:tcPr>
            <w:tcW w:w="1088" w:type="dxa"/>
            <w:shd w:val="clear" w:color="auto" w:fill="auto"/>
            <w:vAlign w:val="center"/>
          </w:tcPr>
          <w:p w14:paraId="2E842916" w14:textId="7462CC7B" w:rsidR="004231C9" w:rsidRPr="008F37FB" w:rsidRDefault="00320A42" w:rsidP="009A77B1">
            <w:pPr>
              <w:pStyle w:val="COMTabletext"/>
              <w:jc w:val="center"/>
              <w:rPr>
                <w:rFonts w:cs="Arial"/>
                <w:highlight w:val="darkGray"/>
              </w:rPr>
            </w:pPr>
            <w:r w:rsidRPr="00320A42">
              <w:rPr>
                <w:rFonts w:hint="eastAsia"/>
                <w:b/>
                <w:bCs w:val="0"/>
                <w:color w:val="000000"/>
                <w:w w:val="26"/>
                <w:shd w:val="solid" w:color="000000" w:fill="000000"/>
                <w:fitText w:val="120" w:id="-1233441019"/>
                <w14:textFill>
                  <w14:solidFill>
                    <w14:srgbClr w14:val="000000">
                      <w14:alpha w14:val="100000"/>
                    </w14:srgbClr>
                  </w14:solidFill>
                </w14:textFill>
              </w:rPr>
              <w:t xml:space="preserve">　</w:t>
            </w:r>
            <w:r w:rsidRPr="00320A42">
              <w:rPr>
                <w:b/>
                <w:bCs w:val="0"/>
                <w:color w:val="000000"/>
                <w:w w:val="26"/>
                <w:shd w:val="solid" w:color="000000" w:fill="000000"/>
                <w:fitText w:val="120" w:id="-1233441019"/>
                <w14:textFill>
                  <w14:solidFill>
                    <w14:srgbClr w14:val="000000">
                      <w14:alpha w14:val="100000"/>
                    </w14:srgbClr>
                  </w14:solidFill>
                </w14:textFill>
              </w:rPr>
              <w:t>|</w:t>
            </w:r>
            <w:r w:rsidRPr="00320A42">
              <w:rPr>
                <w:rFonts w:hint="eastAsia"/>
                <w:b/>
                <w:bCs w:val="0"/>
                <w:color w:val="000000"/>
                <w:spacing w:val="4"/>
                <w:w w:val="26"/>
                <w:shd w:val="solid" w:color="000000" w:fill="000000"/>
                <w:fitText w:val="120" w:id="-1233441019"/>
                <w14:textFill>
                  <w14:solidFill>
                    <w14:srgbClr w14:val="000000">
                      <w14:alpha w14:val="100000"/>
                    </w14:srgbClr>
                  </w14:solidFill>
                </w14:textFill>
              </w:rPr>
              <w:t xml:space="preserve">　</w:t>
            </w:r>
            <w:r w:rsidR="008F37FB" w:rsidRPr="008F37FB">
              <w:rPr>
                <w:vertAlign w:val="superscript"/>
              </w:rPr>
              <w:t>11</w:t>
            </w:r>
          </w:p>
        </w:tc>
        <w:tc>
          <w:tcPr>
            <w:tcW w:w="1088" w:type="dxa"/>
            <w:shd w:val="clear" w:color="auto" w:fill="auto"/>
            <w:vAlign w:val="center"/>
          </w:tcPr>
          <w:p w14:paraId="1F28F63A" w14:textId="5ED46511" w:rsidR="004231C9" w:rsidRPr="008F37FB" w:rsidRDefault="00320A42" w:rsidP="009A77B1">
            <w:pPr>
              <w:pStyle w:val="COMTabletext"/>
              <w:jc w:val="center"/>
              <w:rPr>
                <w:rFonts w:cs="Arial"/>
                <w:highlight w:val="darkGray"/>
              </w:rPr>
            </w:pPr>
            <w:r w:rsidRPr="00320A42">
              <w:rPr>
                <w:rFonts w:hint="eastAsia"/>
                <w:b/>
                <w:bCs w:val="0"/>
                <w:color w:val="000000"/>
                <w:w w:val="26"/>
                <w:shd w:val="solid" w:color="000000" w:fill="000000"/>
                <w:fitText w:val="120" w:id="-1233441018"/>
                <w14:textFill>
                  <w14:solidFill>
                    <w14:srgbClr w14:val="000000">
                      <w14:alpha w14:val="100000"/>
                    </w14:srgbClr>
                  </w14:solidFill>
                </w14:textFill>
              </w:rPr>
              <w:t xml:space="preserve">　</w:t>
            </w:r>
            <w:r w:rsidRPr="00320A42">
              <w:rPr>
                <w:b/>
                <w:bCs w:val="0"/>
                <w:color w:val="000000"/>
                <w:w w:val="26"/>
                <w:shd w:val="solid" w:color="000000" w:fill="000000"/>
                <w:fitText w:val="120" w:id="-1233441018"/>
                <w14:textFill>
                  <w14:solidFill>
                    <w14:srgbClr w14:val="000000">
                      <w14:alpha w14:val="100000"/>
                    </w14:srgbClr>
                  </w14:solidFill>
                </w14:textFill>
              </w:rPr>
              <w:t>|</w:t>
            </w:r>
            <w:r w:rsidRPr="00320A42">
              <w:rPr>
                <w:rFonts w:hint="eastAsia"/>
                <w:b/>
                <w:bCs w:val="0"/>
                <w:color w:val="000000"/>
                <w:spacing w:val="4"/>
                <w:w w:val="26"/>
                <w:shd w:val="solid" w:color="000000" w:fill="000000"/>
                <w:fitText w:val="120" w:id="-1233441018"/>
                <w14:textFill>
                  <w14:solidFill>
                    <w14:srgbClr w14:val="000000">
                      <w14:alpha w14:val="100000"/>
                    </w14:srgbClr>
                  </w14:solidFill>
                </w14:textFill>
              </w:rPr>
              <w:t xml:space="preserve">　</w:t>
            </w:r>
            <w:r w:rsidR="008F37FB" w:rsidRPr="008F37FB">
              <w:rPr>
                <w:vertAlign w:val="superscript"/>
              </w:rPr>
              <w:t>11</w:t>
            </w:r>
          </w:p>
        </w:tc>
        <w:tc>
          <w:tcPr>
            <w:tcW w:w="1089" w:type="dxa"/>
            <w:shd w:val="clear" w:color="auto" w:fill="auto"/>
            <w:vAlign w:val="center"/>
          </w:tcPr>
          <w:p w14:paraId="017AE29F" w14:textId="28D8BF34" w:rsidR="004231C9" w:rsidRPr="008F37FB" w:rsidRDefault="00320A42" w:rsidP="009A77B1">
            <w:pPr>
              <w:pStyle w:val="COMTabletext"/>
              <w:jc w:val="center"/>
              <w:rPr>
                <w:rFonts w:cs="Arial"/>
                <w:highlight w:val="darkGray"/>
              </w:rPr>
            </w:pPr>
            <w:r w:rsidRPr="00320A42">
              <w:rPr>
                <w:rFonts w:hint="eastAsia"/>
                <w:b/>
                <w:bCs w:val="0"/>
                <w:color w:val="000000"/>
                <w:w w:val="26"/>
                <w:shd w:val="solid" w:color="000000" w:fill="000000"/>
                <w:fitText w:val="120" w:id="-1233441017"/>
                <w14:textFill>
                  <w14:solidFill>
                    <w14:srgbClr w14:val="000000">
                      <w14:alpha w14:val="100000"/>
                    </w14:srgbClr>
                  </w14:solidFill>
                </w14:textFill>
              </w:rPr>
              <w:t xml:space="preserve">　</w:t>
            </w:r>
            <w:r w:rsidRPr="00320A42">
              <w:rPr>
                <w:b/>
                <w:bCs w:val="0"/>
                <w:color w:val="000000"/>
                <w:w w:val="26"/>
                <w:shd w:val="solid" w:color="000000" w:fill="000000"/>
                <w:fitText w:val="120" w:id="-1233441017"/>
                <w14:textFill>
                  <w14:solidFill>
                    <w14:srgbClr w14:val="000000">
                      <w14:alpha w14:val="100000"/>
                    </w14:srgbClr>
                  </w14:solidFill>
                </w14:textFill>
              </w:rPr>
              <w:t>|</w:t>
            </w:r>
            <w:r w:rsidRPr="00320A42">
              <w:rPr>
                <w:rFonts w:hint="eastAsia"/>
                <w:b/>
                <w:bCs w:val="0"/>
                <w:color w:val="000000"/>
                <w:spacing w:val="4"/>
                <w:w w:val="26"/>
                <w:shd w:val="solid" w:color="000000" w:fill="000000"/>
                <w:fitText w:val="120" w:id="-1233441017"/>
                <w14:textFill>
                  <w14:solidFill>
                    <w14:srgbClr w14:val="000000">
                      <w14:alpha w14:val="100000"/>
                    </w14:srgbClr>
                  </w14:solidFill>
                </w14:textFill>
              </w:rPr>
              <w:t xml:space="preserve">　</w:t>
            </w:r>
            <w:r w:rsidR="008F37FB" w:rsidRPr="008F37FB">
              <w:rPr>
                <w:vertAlign w:val="superscript"/>
              </w:rPr>
              <w:t>1</w:t>
            </w:r>
            <w:r w:rsidR="0040261D">
              <w:rPr>
                <w:vertAlign w:val="superscript"/>
              </w:rPr>
              <w:t>3</w:t>
            </w:r>
          </w:p>
        </w:tc>
      </w:tr>
      <w:tr w:rsidR="004231C9" w:rsidRPr="00E07704" w14:paraId="3E7A0604" w14:textId="77777777" w:rsidTr="00F41818">
        <w:trPr>
          <w:tblHeader/>
        </w:trPr>
        <w:tc>
          <w:tcPr>
            <w:tcW w:w="2547" w:type="dxa"/>
            <w:shd w:val="clear" w:color="auto" w:fill="C6D9F1" w:themeFill="text2" w:themeFillTint="33"/>
          </w:tcPr>
          <w:p w14:paraId="6105B200" w14:textId="77777777" w:rsidR="004231C9" w:rsidRPr="0085723D" w:rsidRDefault="004231C9" w:rsidP="009A77B1">
            <w:pPr>
              <w:pStyle w:val="COMTableheadingrow"/>
              <w:rPr>
                <w:b w:val="0"/>
              </w:rPr>
            </w:pPr>
            <w:r w:rsidRPr="0085723D">
              <w:rPr>
                <w:b w:val="0"/>
              </w:rPr>
              <w:t>Total patients treated (July 2022)</w:t>
            </w:r>
          </w:p>
        </w:tc>
        <w:tc>
          <w:tcPr>
            <w:tcW w:w="1088" w:type="dxa"/>
            <w:shd w:val="clear" w:color="auto" w:fill="C6D9F1" w:themeFill="text2" w:themeFillTint="33"/>
            <w:vAlign w:val="center"/>
          </w:tcPr>
          <w:p w14:paraId="328A8A95" w14:textId="7CCD9248" w:rsidR="004231C9" w:rsidRPr="008F37FB" w:rsidRDefault="00320A42" w:rsidP="009A77B1">
            <w:pPr>
              <w:pStyle w:val="COMTableheadingrow"/>
              <w:jc w:val="center"/>
              <w:rPr>
                <w:b w:val="0"/>
                <w:bCs/>
                <w:highlight w:val="darkGray"/>
              </w:rPr>
            </w:pPr>
            <w:r w:rsidRPr="00320A42">
              <w:rPr>
                <w:rFonts w:hint="eastAsia"/>
                <w:b w:val="0"/>
                <w:bCs/>
                <w:color w:val="000000"/>
                <w:w w:val="15"/>
                <w:shd w:val="solid" w:color="000000" w:fill="000000"/>
                <w:fitText w:val="60" w:id="-1233441016"/>
                <w14:textFill>
                  <w14:solidFill>
                    <w14:srgbClr w14:val="000000">
                      <w14:alpha w14:val="100000"/>
                    </w14:srgbClr>
                  </w14:solidFill>
                </w14:textFill>
              </w:rPr>
              <w:t xml:space="preserve">　</w:t>
            </w:r>
            <w:r w:rsidRPr="00320A42">
              <w:rPr>
                <w:b w:val="0"/>
                <w:bCs/>
                <w:color w:val="000000"/>
                <w:w w:val="15"/>
                <w:shd w:val="solid" w:color="000000" w:fill="000000"/>
                <w:fitText w:val="60" w:id="-1233441016"/>
                <w14:textFill>
                  <w14:solidFill>
                    <w14:srgbClr w14:val="000000">
                      <w14:alpha w14:val="100000"/>
                    </w14:srgbClr>
                  </w14:solidFill>
                </w14:textFill>
              </w:rPr>
              <w:t>|</w:t>
            </w:r>
            <w:r w:rsidRPr="00320A42">
              <w:rPr>
                <w:rFonts w:hint="eastAsia"/>
                <w:b w:val="0"/>
                <w:bCs/>
                <w:color w:val="000000"/>
                <w:spacing w:val="-15"/>
                <w:w w:val="15"/>
                <w:shd w:val="solid" w:color="000000" w:fill="000000"/>
                <w:fitText w:val="60" w:id="-1233441016"/>
                <w14:textFill>
                  <w14:solidFill>
                    <w14:srgbClr w14:val="000000">
                      <w14:alpha w14:val="100000"/>
                    </w14:srgbClr>
                  </w14:solidFill>
                </w14:textFill>
              </w:rPr>
              <w:t xml:space="preserve">　</w:t>
            </w:r>
            <w:r w:rsidR="008F37FB">
              <w:rPr>
                <w:b w:val="0"/>
                <w:bCs/>
                <w:vertAlign w:val="superscript"/>
              </w:rPr>
              <w:t>6</w:t>
            </w:r>
          </w:p>
        </w:tc>
        <w:tc>
          <w:tcPr>
            <w:tcW w:w="1088" w:type="dxa"/>
            <w:shd w:val="clear" w:color="auto" w:fill="C6D9F1" w:themeFill="text2" w:themeFillTint="33"/>
            <w:vAlign w:val="center"/>
          </w:tcPr>
          <w:p w14:paraId="07F35524" w14:textId="5D4EFEC7" w:rsidR="004231C9" w:rsidRPr="008F37FB" w:rsidRDefault="00320A42" w:rsidP="009A77B1">
            <w:pPr>
              <w:pStyle w:val="COMTableheadingrow"/>
              <w:jc w:val="center"/>
              <w:rPr>
                <w:highlight w:val="darkGray"/>
              </w:rPr>
            </w:pPr>
            <w:r w:rsidRPr="00320A42">
              <w:rPr>
                <w:rFonts w:hint="eastAsia"/>
                <w:b w:val="0"/>
                <w:bCs/>
                <w:color w:val="000000"/>
                <w:w w:val="20"/>
                <w:shd w:val="solid" w:color="000000" w:fill="000000"/>
                <w:fitText w:val="90" w:id="-1233441015"/>
                <w14:textFill>
                  <w14:solidFill>
                    <w14:srgbClr w14:val="000000">
                      <w14:alpha w14:val="100000"/>
                    </w14:srgbClr>
                  </w14:solidFill>
                </w14:textFill>
              </w:rPr>
              <w:t xml:space="preserve">　</w:t>
            </w:r>
            <w:r w:rsidRPr="00320A42">
              <w:rPr>
                <w:b w:val="0"/>
                <w:bCs/>
                <w:color w:val="000000"/>
                <w:w w:val="20"/>
                <w:shd w:val="solid" w:color="000000" w:fill="000000"/>
                <w:fitText w:val="90" w:id="-1233441015"/>
                <w14:textFill>
                  <w14:solidFill>
                    <w14:srgbClr w14:val="000000">
                      <w14:alpha w14:val="100000"/>
                    </w14:srgbClr>
                  </w14:solidFill>
                </w14:textFill>
              </w:rPr>
              <w:t>|</w:t>
            </w:r>
            <w:r w:rsidRPr="00320A42">
              <w:rPr>
                <w:rFonts w:hint="eastAsia"/>
                <w:b w:val="0"/>
                <w:bCs/>
                <w:color w:val="000000"/>
                <w:spacing w:val="3"/>
                <w:w w:val="20"/>
                <w:shd w:val="solid" w:color="000000" w:fill="000000"/>
                <w:fitText w:val="90" w:id="-1233441015"/>
                <w14:textFill>
                  <w14:solidFill>
                    <w14:srgbClr w14:val="000000">
                      <w14:alpha w14:val="100000"/>
                    </w14:srgbClr>
                  </w14:solidFill>
                </w14:textFill>
              </w:rPr>
              <w:t xml:space="preserve">　</w:t>
            </w:r>
            <w:r w:rsidR="008F37FB">
              <w:rPr>
                <w:b w:val="0"/>
                <w:bCs/>
                <w:vertAlign w:val="superscript"/>
              </w:rPr>
              <w:t>10</w:t>
            </w:r>
          </w:p>
        </w:tc>
        <w:tc>
          <w:tcPr>
            <w:tcW w:w="1089" w:type="dxa"/>
            <w:shd w:val="clear" w:color="auto" w:fill="C6D9F1" w:themeFill="text2" w:themeFillTint="33"/>
            <w:vAlign w:val="center"/>
          </w:tcPr>
          <w:p w14:paraId="1D1605D8" w14:textId="65636347" w:rsidR="004231C9" w:rsidRPr="008F37FB" w:rsidRDefault="00320A42" w:rsidP="009A77B1">
            <w:pPr>
              <w:pStyle w:val="COMTableheadingrow"/>
              <w:jc w:val="center"/>
              <w:rPr>
                <w:b w:val="0"/>
                <w:bCs/>
                <w:highlight w:val="darkGray"/>
              </w:rPr>
            </w:pPr>
            <w:r w:rsidRPr="00320A42">
              <w:rPr>
                <w:rFonts w:hint="eastAsia"/>
                <w:b w:val="0"/>
                <w:bCs/>
                <w:color w:val="000000"/>
                <w:w w:val="20"/>
                <w:shd w:val="solid" w:color="000000" w:fill="000000"/>
                <w:fitText w:val="90" w:id="-1233441014"/>
                <w14:textFill>
                  <w14:solidFill>
                    <w14:srgbClr w14:val="000000">
                      <w14:alpha w14:val="100000"/>
                    </w14:srgbClr>
                  </w14:solidFill>
                </w14:textFill>
              </w:rPr>
              <w:t xml:space="preserve">　</w:t>
            </w:r>
            <w:r w:rsidRPr="00320A42">
              <w:rPr>
                <w:b w:val="0"/>
                <w:bCs/>
                <w:color w:val="000000"/>
                <w:w w:val="20"/>
                <w:shd w:val="solid" w:color="000000" w:fill="000000"/>
                <w:fitText w:val="90" w:id="-1233441014"/>
                <w14:textFill>
                  <w14:solidFill>
                    <w14:srgbClr w14:val="000000">
                      <w14:alpha w14:val="100000"/>
                    </w14:srgbClr>
                  </w14:solidFill>
                </w14:textFill>
              </w:rPr>
              <w:t>|</w:t>
            </w:r>
            <w:r w:rsidRPr="00320A42">
              <w:rPr>
                <w:rFonts w:hint="eastAsia"/>
                <w:b w:val="0"/>
                <w:bCs/>
                <w:color w:val="000000"/>
                <w:spacing w:val="3"/>
                <w:w w:val="20"/>
                <w:shd w:val="solid" w:color="000000" w:fill="000000"/>
                <w:fitText w:val="90" w:id="-1233441014"/>
                <w14:textFill>
                  <w14:solidFill>
                    <w14:srgbClr w14:val="000000">
                      <w14:alpha w14:val="100000"/>
                    </w14:srgbClr>
                  </w14:solidFill>
                </w14:textFill>
              </w:rPr>
              <w:t xml:space="preserve">　</w:t>
            </w:r>
            <w:r w:rsidR="008F37FB" w:rsidRPr="008F37FB">
              <w:rPr>
                <w:b w:val="0"/>
                <w:bCs/>
                <w:vertAlign w:val="superscript"/>
              </w:rPr>
              <w:t>1</w:t>
            </w:r>
            <w:r w:rsidR="008F37FB">
              <w:rPr>
                <w:b w:val="0"/>
                <w:bCs/>
                <w:vertAlign w:val="superscript"/>
              </w:rPr>
              <w:t>2</w:t>
            </w:r>
          </w:p>
        </w:tc>
        <w:tc>
          <w:tcPr>
            <w:tcW w:w="1088" w:type="dxa"/>
            <w:shd w:val="clear" w:color="auto" w:fill="C6D9F1" w:themeFill="text2" w:themeFillTint="33"/>
            <w:vAlign w:val="center"/>
          </w:tcPr>
          <w:p w14:paraId="70EAF90C" w14:textId="3BEB3A3F" w:rsidR="004231C9" w:rsidRPr="008F37FB" w:rsidRDefault="00320A42" w:rsidP="009A77B1">
            <w:pPr>
              <w:pStyle w:val="COMTableheadingrow"/>
              <w:jc w:val="center"/>
              <w:rPr>
                <w:b w:val="0"/>
                <w:bCs/>
                <w:highlight w:val="darkGray"/>
              </w:rPr>
            </w:pPr>
            <w:r w:rsidRPr="00320A42">
              <w:rPr>
                <w:rFonts w:hint="eastAsia"/>
                <w:b w:val="0"/>
                <w:bCs/>
                <w:color w:val="000000"/>
                <w:w w:val="15"/>
                <w:shd w:val="solid" w:color="000000" w:fill="000000"/>
                <w:fitText w:val="60" w:id="-1233441013"/>
                <w14:textFill>
                  <w14:solidFill>
                    <w14:srgbClr w14:val="000000">
                      <w14:alpha w14:val="100000"/>
                    </w14:srgbClr>
                  </w14:solidFill>
                </w14:textFill>
              </w:rPr>
              <w:t xml:space="preserve">　</w:t>
            </w:r>
            <w:r w:rsidRPr="00320A42">
              <w:rPr>
                <w:b w:val="0"/>
                <w:bCs/>
                <w:color w:val="000000"/>
                <w:w w:val="15"/>
                <w:shd w:val="solid" w:color="000000" w:fill="000000"/>
                <w:fitText w:val="60" w:id="-1233441013"/>
                <w14:textFill>
                  <w14:solidFill>
                    <w14:srgbClr w14:val="000000">
                      <w14:alpha w14:val="100000"/>
                    </w14:srgbClr>
                  </w14:solidFill>
                </w14:textFill>
              </w:rPr>
              <w:t>|</w:t>
            </w:r>
            <w:r w:rsidRPr="00320A42">
              <w:rPr>
                <w:rFonts w:hint="eastAsia"/>
                <w:b w:val="0"/>
                <w:bCs/>
                <w:color w:val="000000"/>
                <w:spacing w:val="-15"/>
                <w:w w:val="15"/>
                <w:shd w:val="solid" w:color="000000" w:fill="000000"/>
                <w:fitText w:val="60" w:id="-1233441013"/>
                <w14:textFill>
                  <w14:solidFill>
                    <w14:srgbClr w14:val="000000">
                      <w14:alpha w14:val="100000"/>
                    </w14:srgbClr>
                  </w14:solidFill>
                </w14:textFill>
              </w:rPr>
              <w:t xml:space="preserve">　</w:t>
            </w:r>
            <w:r w:rsidR="008F37FB">
              <w:rPr>
                <w:b w:val="0"/>
                <w:bCs/>
                <w:vertAlign w:val="superscript"/>
              </w:rPr>
              <w:t>8</w:t>
            </w:r>
          </w:p>
        </w:tc>
        <w:tc>
          <w:tcPr>
            <w:tcW w:w="1088" w:type="dxa"/>
            <w:shd w:val="clear" w:color="auto" w:fill="C6D9F1" w:themeFill="text2" w:themeFillTint="33"/>
            <w:vAlign w:val="center"/>
          </w:tcPr>
          <w:p w14:paraId="01612970" w14:textId="765489BB" w:rsidR="004231C9" w:rsidRPr="008F37FB" w:rsidRDefault="00320A42" w:rsidP="009A77B1">
            <w:pPr>
              <w:pStyle w:val="COMTableheadingrow"/>
              <w:jc w:val="center"/>
              <w:rPr>
                <w:b w:val="0"/>
                <w:bCs/>
                <w:highlight w:val="darkGray"/>
              </w:rPr>
            </w:pPr>
            <w:r w:rsidRPr="00320A42">
              <w:rPr>
                <w:rFonts w:hint="eastAsia"/>
                <w:b w:val="0"/>
                <w:bCs/>
                <w:color w:val="000000"/>
                <w:w w:val="20"/>
                <w:shd w:val="solid" w:color="000000" w:fill="000000"/>
                <w:fitText w:val="90" w:id="-1233441012"/>
                <w14:textFill>
                  <w14:solidFill>
                    <w14:srgbClr w14:val="000000">
                      <w14:alpha w14:val="100000"/>
                    </w14:srgbClr>
                  </w14:solidFill>
                </w14:textFill>
              </w:rPr>
              <w:t xml:space="preserve">　</w:t>
            </w:r>
            <w:r w:rsidRPr="00320A42">
              <w:rPr>
                <w:b w:val="0"/>
                <w:bCs/>
                <w:color w:val="000000"/>
                <w:w w:val="20"/>
                <w:shd w:val="solid" w:color="000000" w:fill="000000"/>
                <w:fitText w:val="90" w:id="-1233441012"/>
                <w14:textFill>
                  <w14:solidFill>
                    <w14:srgbClr w14:val="000000">
                      <w14:alpha w14:val="100000"/>
                    </w14:srgbClr>
                  </w14:solidFill>
                </w14:textFill>
              </w:rPr>
              <w:t>|</w:t>
            </w:r>
            <w:r w:rsidRPr="00320A42">
              <w:rPr>
                <w:rFonts w:hint="eastAsia"/>
                <w:b w:val="0"/>
                <w:bCs/>
                <w:color w:val="000000"/>
                <w:spacing w:val="3"/>
                <w:w w:val="20"/>
                <w:shd w:val="solid" w:color="000000" w:fill="000000"/>
                <w:fitText w:val="90" w:id="-1233441012"/>
                <w14:textFill>
                  <w14:solidFill>
                    <w14:srgbClr w14:val="000000">
                      <w14:alpha w14:val="100000"/>
                    </w14:srgbClr>
                  </w14:solidFill>
                </w14:textFill>
              </w:rPr>
              <w:t xml:space="preserve">　</w:t>
            </w:r>
            <w:r w:rsidR="0040261D" w:rsidRPr="0040261D">
              <w:rPr>
                <w:b w:val="0"/>
                <w:bCs/>
                <w:vertAlign w:val="superscript"/>
              </w:rPr>
              <w:t>1</w:t>
            </w:r>
            <w:r w:rsidR="0040261D">
              <w:rPr>
                <w:b w:val="0"/>
                <w:bCs/>
                <w:vertAlign w:val="superscript"/>
              </w:rPr>
              <w:t>4</w:t>
            </w:r>
          </w:p>
        </w:tc>
        <w:tc>
          <w:tcPr>
            <w:tcW w:w="1089" w:type="dxa"/>
            <w:shd w:val="clear" w:color="auto" w:fill="C6D9F1" w:themeFill="text2" w:themeFillTint="33"/>
            <w:vAlign w:val="center"/>
          </w:tcPr>
          <w:p w14:paraId="077F6CB5" w14:textId="6A9361F6" w:rsidR="004231C9" w:rsidRPr="008F37FB" w:rsidRDefault="00320A42" w:rsidP="009A77B1">
            <w:pPr>
              <w:pStyle w:val="COMTableheadingrow"/>
              <w:jc w:val="center"/>
              <w:rPr>
                <w:b w:val="0"/>
                <w:bCs/>
                <w:highlight w:val="darkGray"/>
              </w:rPr>
            </w:pPr>
            <w:r w:rsidRPr="00320A42">
              <w:rPr>
                <w:rFonts w:hint="eastAsia"/>
                <w:b w:val="0"/>
                <w:bCs/>
                <w:color w:val="000000"/>
                <w:w w:val="20"/>
                <w:shd w:val="solid" w:color="000000" w:fill="000000"/>
                <w:fitText w:val="90" w:id="-1233441011"/>
                <w14:textFill>
                  <w14:solidFill>
                    <w14:srgbClr w14:val="000000">
                      <w14:alpha w14:val="100000"/>
                    </w14:srgbClr>
                  </w14:solidFill>
                </w14:textFill>
              </w:rPr>
              <w:t xml:space="preserve">　</w:t>
            </w:r>
            <w:r w:rsidRPr="00320A42">
              <w:rPr>
                <w:b w:val="0"/>
                <w:bCs/>
                <w:color w:val="000000"/>
                <w:w w:val="20"/>
                <w:shd w:val="solid" w:color="000000" w:fill="000000"/>
                <w:fitText w:val="90" w:id="-1233441011"/>
                <w14:textFill>
                  <w14:solidFill>
                    <w14:srgbClr w14:val="000000">
                      <w14:alpha w14:val="100000"/>
                    </w14:srgbClr>
                  </w14:solidFill>
                </w14:textFill>
              </w:rPr>
              <w:t>|</w:t>
            </w:r>
            <w:r w:rsidRPr="00320A42">
              <w:rPr>
                <w:rFonts w:hint="eastAsia"/>
                <w:b w:val="0"/>
                <w:bCs/>
                <w:color w:val="000000"/>
                <w:spacing w:val="3"/>
                <w:w w:val="20"/>
                <w:shd w:val="solid" w:color="000000" w:fill="000000"/>
                <w:fitText w:val="90" w:id="-1233441011"/>
                <w14:textFill>
                  <w14:solidFill>
                    <w14:srgbClr w14:val="000000">
                      <w14:alpha w14:val="100000"/>
                    </w14:srgbClr>
                  </w14:solidFill>
                </w14:textFill>
              </w:rPr>
              <w:t xml:space="preserve">　</w:t>
            </w:r>
            <w:r w:rsidR="0040261D" w:rsidRPr="0040261D">
              <w:rPr>
                <w:b w:val="0"/>
                <w:bCs/>
                <w:vertAlign w:val="superscript"/>
              </w:rPr>
              <w:t>19</w:t>
            </w:r>
          </w:p>
        </w:tc>
      </w:tr>
      <w:tr w:rsidR="004231C9" w:rsidRPr="00A3158B" w14:paraId="262C2E70" w14:textId="77777777" w:rsidTr="00F41818">
        <w:tc>
          <w:tcPr>
            <w:tcW w:w="2547" w:type="dxa"/>
            <w:shd w:val="clear" w:color="auto" w:fill="C6D9F1" w:themeFill="text2" w:themeFillTint="33"/>
            <w:vAlign w:val="center"/>
          </w:tcPr>
          <w:p w14:paraId="6A459783" w14:textId="77777777" w:rsidR="004231C9" w:rsidRPr="00464386" w:rsidRDefault="004231C9" w:rsidP="009A77B1">
            <w:pPr>
              <w:pStyle w:val="COMTabletext"/>
            </w:pPr>
            <w:r w:rsidRPr="00464386">
              <w:t xml:space="preserve">Net cost to PBS/RPBS </w:t>
            </w:r>
          </w:p>
          <w:p w14:paraId="0AD26CD6" w14:textId="518AEACF" w:rsidR="004231C9" w:rsidRPr="00464386" w:rsidRDefault="004231C9" w:rsidP="009A77B1">
            <w:pPr>
              <w:pStyle w:val="COMTabletext"/>
            </w:pPr>
            <w:r w:rsidRPr="00464386">
              <w:t>less copayment (July 2022)</w:t>
            </w:r>
            <w:r w:rsidR="008F37FB">
              <w:t xml:space="preserve"> ($)</w:t>
            </w:r>
          </w:p>
        </w:tc>
        <w:tc>
          <w:tcPr>
            <w:tcW w:w="1088" w:type="dxa"/>
            <w:shd w:val="clear" w:color="auto" w:fill="C6D9F1" w:themeFill="text2" w:themeFillTint="33"/>
            <w:vAlign w:val="center"/>
          </w:tcPr>
          <w:p w14:paraId="45A604F7" w14:textId="27AB38C4" w:rsidR="004231C9" w:rsidRPr="008F37FB" w:rsidRDefault="00320A42" w:rsidP="009A77B1">
            <w:pPr>
              <w:pStyle w:val="COMTabletext"/>
              <w:jc w:val="center"/>
              <w:rPr>
                <w:b/>
                <w:bCs w:val="0"/>
                <w:highlight w:val="darkGray"/>
              </w:rPr>
            </w:pPr>
            <w:r w:rsidRPr="00320A42">
              <w:rPr>
                <w:rFonts w:hint="eastAsia"/>
                <w:color w:val="000000"/>
                <w:w w:val="15"/>
                <w:shd w:val="solid" w:color="000000" w:fill="000000"/>
                <w:fitText w:val="60" w:id="-1233441010"/>
                <w14:textFill>
                  <w14:solidFill>
                    <w14:srgbClr w14:val="000000">
                      <w14:alpha w14:val="100000"/>
                    </w14:srgbClr>
                  </w14:solidFill>
                </w14:textFill>
              </w:rPr>
              <w:t xml:space="preserve">　</w:t>
            </w:r>
            <w:r w:rsidRPr="00320A42">
              <w:rPr>
                <w:color w:val="000000"/>
                <w:w w:val="15"/>
                <w:shd w:val="solid" w:color="000000" w:fill="000000"/>
                <w:fitText w:val="60" w:id="-1233441010"/>
                <w14:textFill>
                  <w14:solidFill>
                    <w14:srgbClr w14:val="000000">
                      <w14:alpha w14:val="100000"/>
                    </w14:srgbClr>
                  </w14:solidFill>
                </w14:textFill>
              </w:rPr>
              <w:t>|</w:t>
            </w:r>
            <w:r w:rsidRPr="00320A42">
              <w:rPr>
                <w:rFonts w:hint="eastAsia"/>
                <w:color w:val="000000"/>
                <w:spacing w:val="-15"/>
                <w:w w:val="15"/>
                <w:shd w:val="solid" w:color="000000" w:fill="000000"/>
                <w:fitText w:val="60" w:id="-1233441010"/>
                <w14:textFill>
                  <w14:solidFill>
                    <w14:srgbClr w14:val="000000">
                      <w14:alpha w14:val="100000"/>
                    </w14:srgbClr>
                  </w14:solidFill>
                </w14:textFill>
              </w:rPr>
              <w:t xml:space="preserve">　</w:t>
            </w:r>
            <w:r w:rsidR="008F37FB">
              <w:rPr>
                <w:b/>
                <w:bCs w:val="0"/>
                <w:vertAlign w:val="superscript"/>
              </w:rPr>
              <w:t>7</w:t>
            </w:r>
          </w:p>
        </w:tc>
        <w:tc>
          <w:tcPr>
            <w:tcW w:w="1088" w:type="dxa"/>
            <w:shd w:val="clear" w:color="auto" w:fill="C6D9F1" w:themeFill="text2" w:themeFillTint="33"/>
            <w:vAlign w:val="center"/>
          </w:tcPr>
          <w:p w14:paraId="0D194C8D" w14:textId="5689568C" w:rsidR="004231C9" w:rsidRPr="008F37FB" w:rsidRDefault="00320A42" w:rsidP="009A77B1">
            <w:pPr>
              <w:pStyle w:val="COMTabletext"/>
              <w:jc w:val="center"/>
              <w:rPr>
                <w:b/>
                <w:bCs w:val="0"/>
                <w:highlight w:val="darkGray"/>
              </w:rPr>
            </w:pPr>
            <w:r w:rsidRPr="00320A42">
              <w:rPr>
                <w:rFonts w:hint="eastAsia"/>
                <w:color w:val="000000"/>
                <w:w w:val="20"/>
                <w:shd w:val="solid" w:color="000000" w:fill="000000"/>
                <w:fitText w:val="90" w:id="-1233441009"/>
                <w14:textFill>
                  <w14:solidFill>
                    <w14:srgbClr w14:val="000000">
                      <w14:alpha w14:val="100000"/>
                    </w14:srgbClr>
                  </w14:solidFill>
                </w14:textFill>
              </w:rPr>
              <w:t xml:space="preserve">　</w:t>
            </w:r>
            <w:r w:rsidRPr="00320A42">
              <w:rPr>
                <w:color w:val="000000"/>
                <w:w w:val="20"/>
                <w:shd w:val="solid" w:color="000000" w:fill="000000"/>
                <w:fitText w:val="90" w:id="-1233441009"/>
                <w14:textFill>
                  <w14:solidFill>
                    <w14:srgbClr w14:val="000000">
                      <w14:alpha w14:val="100000"/>
                    </w14:srgbClr>
                  </w14:solidFill>
                </w14:textFill>
              </w:rPr>
              <w:t>|</w:t>
            </w:r>
            <w:r w:rsidRPr="00320A42">
              <w:rPr>
                <w:rFonts w:hint="eastAsia"/>
                <w:color w:val="000000"/>
                <w:spacing w:val="3"/>
                <w:w w:val="20"/>
                <w:shd w:val="solid" w:color="000000" w:fill="000000"/>
                <w:fitText w:val="90" w:id="-1233441009"/>
                <w14:textFill>
                  <w14:solidFill>
                    <w14:srgbClr w14:val="000000">
                      <w14:alpha w14:val="100000"/>
                    </w14:srgbClr>
                  </w14:solidFill>
                </w14:textFill>
              </w:rPr>
              <w:t xml:space="preserve">　</w:t>
            </w:r>
            <w:r w:rsidR="008F37FB" w:rsidRPr="008F37FB">
              <w:rPr>
                <w:vertAlign w:val="superscript"/>
              </w:rPr>
              <w:t>11</w:t>
            </w:r>
          </w:p>
        </w:tc>
        <w:tc>
          <w:tcPr>
            <w:tcW w:w="1089" w:type="dxa"/>
            <w:shd w:val="clear" w:color="auto" w:fill="C6D9F1" w:themeFill="text2" w:themeFillTint="33"/>
            <w:vAlign w:val="center"/>
          </w:tcPr>
          <w:p w14:paraId="1E9A8861" w14:textId="1928EC71" w:rsidR="004231C9" w:rsidRPr="008F37FB" w:rsidRDefault="00320A42" w:rsidP="009A77B1">
            <w:pPr>
              <w:pStyle w:val="COMTabletext"/>
              <w:jc w:val="center"/>
              <w:rPr>
                <w:b/>
                <w:bCs w:val="0"/>
                <w:highlight w:val="darkGray"/>
              </w:rPr>
            </w:pPr>
            <w:r w:rsidRPr="00320A42">
              <w:rPr>
                <w:rFonts w:hint="eastAsia"/>
                <w:color w:val="000000"/>
                <w:w w:val="20"/>
                <w:shd w:val="solid" w:color="000000" w:fill="000000"/>
                <w:fitText w:val="90" w:id="-1233441008"/>
                <w14:textFill>
                  <w14:solidFill>
                    <w14:srgbClr w14:val="000000">
                      <w14:alpha w14:val="100000"/>
                    </w14:srgbClr>
                  </w14:solidFill>
                </w14:textFill>
              </w:rPr>
              <w:t xml:space="preserve">　</w:t>
            </w:r>
            <w:r w:rsidRPr="00320A42">
              <w:rPr>
                <w:color w:val="000000"/>
                <w:w w:val="20"/>
                <w:shd w:val="solid" w:color="000000" w:fill="000000"/>
                <w:fitText w:val="90" w:id="-1233441008"/>
                <w14:textFill>
                  <w14:solidFill>
                    <w14:srgbClr w14:val="000000">
                      <w14:alpha w14:val="100000"/>
                    </w14:srgbClr>
                  </w14:solidFill>
                </w14:textFill>
              </w:rPr>
              <w:t>|</w:t>
            </w:r>
            <w:r w:rsidRPr="00320A42">
              <w:rPr>
                <w:rFonts w:hint="eastAsia"/>
                <w:color w:val="000000"/>
                <w:spacing w:val="3"/>
                <w:w w:val="20"/>
                <w:shd w:val="solid" w:color="000000" w:fill="000000"/>
                <w:fitText w:val="90" w:id="-1233441008"/>
                <w14:textFill>
                  <w14:solidFill>
                    <w14:srgbClr w14:val="000000">
                      <w14:alpha w14:val="100000"/>
                    </w14:srgbClr>
                  </w14:solidFill>
                </w14:textFill>
              </w:rPr>
              <w:t xml:space="preserve">　</w:t>
            </w:r>
            <w:r w:rsidR="008F37FB" w:rsidRPr="008F37FB">
              <w:rPr>
                <w:vertAlign w:val="superscript"/>
              </w:rPr>
              <w:t>1</w:t>
            </w:r>
            <w:r w:rsidR="0040261D">
              <w:rPr>
                <w:vertAlign w:val="superscript"/>
              </w:rPr>
              <w:t>3</w:t>
            </w:r>
          </w:p>
        </w:tc>
        <w:tc>
          <w:tcPr>
            <w:tcW w:w="1088" w:type="dxa"/>
            <w:shd w:val="clear" w:color="auto" w:fill="C6D9F1" w:themeFill="text2" w:themeFillTint="33"/>
            <w:vAlign w:val="center"/>
          </w:tcPr>
          <w:p w14:paraId="296EABD5" w14:textId="69FCA6DD" w:rsidR="004231C9" w:rsidRPr="008F37FB" w:rsidRDefault="00320A42" w:rsidP="009A77B1">
            <w:pPr>
              <w:pStyle w:val="COMTabletext"/>
              <w:jc w:val="center"/>
              <w:rPr>
                <w:b/>
                <w:bCs w:val="0"/>
                <w:highlight w:val="darkGray"/>
              </w:rPr>
            </w:pPr>
            <w:r w:rsidRPr="00320A42">
              <w:rPr>
                <w:rFonts w:hint="eastAsia"/>
                <w:color w:val="000000"/>
                <w:w w:val="20"/>
                <w:shd w:val="solid" w:color="000000" w:fill="000000"/>
                <w:fitText w:val="90" w:id="-1233441024"/>
                <w14:textFill>
                  <w14:solidFill>
                    <w14:srgbClr w14:val="000000">
                      <w14:alpha w14:val="100000"/>
                    </w14:srgbClr>
                  </w14:solidFill>
                </w14:textFill>
              </w:rPr>
              <w:t xml:space="preserve">　</w:t>
            </w:r>
            <w:r w:rsidRPr="00320A42">
              <w:rPr>
                <w:color w:val="000000"/>
                <w:w w:val="20"/>
                <w:shd w:val="solid" w:color="000000" w:fill="000000"/>
                <w:fitText w:val="90" w:id="-1233441024"/>
                <w14:textFill>
                  <w14:solidFill>
                    <w14:srgbClr w14:val="000000">
                      <w14:alpha w14:val="100000"/>
                    </w14:srgbClr>
                  </w14:solidFill>
                </w14:textFill>
              </w:rPr>
              <w:t>|</w:t>
            </w:r>
            <w:r w:rsidRPr="00320A42">
              <w:rPr>
                <w:rFonts w:hint="eastAsia"/>
                <w:color w:val="000000"/>
                <w:spacing w:val="3"/>
                <w:w w:val="20"/>
                <w:shd w:val="solid" w:color="000000" w:fill="000000"/>
                <w:fitText w:val="90" w:id="-1233441024"/>
                <w14:textFill>
                  <w14:solidFill>
                    <w14:srgbClr w14:val="000000">
                      <w14:alpha w14:val="100000"/>
                    </w14:srgbClr>
                  </w14:solidFill>
                </w14:textFill>
              </w:rPr>
              <w:t xml:space="preserve">　</w:t>
            </w:r>
            <w:r w:rsidR="0040261D" w:rsidRPr="0040261D">
              <w:rPr>
                <w:vertAlign w:val="superscript"/>
              </w:rPr>
              <w:t>16</w:t>
            </w:r>
          </w:p>
        </w:tc>
        <w:tc>
          <w:tcPr>
            <w:tcW w:w="1088" w:type="dxa"/>
            <w:shd w:val="clear" w:color="auto" w:fill="C6D9F1" w:themeFill="text2" w:themeFillTint="33"/>
            <w:vAlign w:val="center"/>
          </w:tcPr>
          <w:p w14:paraId="15C2E5DF" w14:textId="65B41D6A" w:rsidR="004231C9" w:rsidRPr="008F37FB" w:rsidRDefault="00320A42" w:rsidP="009A77B1">
            <w:pPr>
              <w:pStyle w:val="COMTabletext"/>
              <w:jc w:val="center"/>
              <w:rPr>
                <w:b/>
                <w:bCs w:val="0"/>
                <w:highlight w:val="darkGray"/>
              </w:rPr>
            </w:pPr>
            <w:r w:rsidRPr="00320A42">
              <w:rPr>
                <w:rFonts w:hint="eastAsia"/>
                <w:color w:val="000000"/>
                <w:w w:val="20"/>
                <w:shd w:val="solid" w:color="000000" w:fill="000000"/>
                <w:fitText w:val="90" w:id="-1233441023"/>
                <w14:textFill>
                  <w14:solidFill>
                    <w14:srgbClr w14:val="000000">
                      <w14:alpha w14:val="100000"/>
                    </w14:srgbClr>
                  </w14:solidFill>
                </w14:textFill>
              </w:rPr>
              <w:t xml:space="preserve">　</w:t>
            </w:r>
            <w:r w:rsidRPr="00320A42">
              <w:rPr>
                <w:color w:val="000000"/>
                <w:w w:val="20"/>
                <w:shd w:val="solid" w:color="000000" w:fill="000000"/>
                <w:fitText w:val="90" w:id="-1233441023"/>
                <w14:textFill>
                  <w14:solidFill>
                    <w14:srgbClr w14:val="000000">
                      <w14:alpha w14:val="100000"/>
                    </w14:srgbClr>
                  </w14:solidFill>
                </w14:textFill>
              </w:rPr>
              <w:t>|</w:t>
            </w:r>
            <w:r w:rsidRPr="00320A42">
              <w:rPr>
                <w:rFonts w:hint="eastAsia"/>
                <w:color w:val="000000"/>
                <w:spacing w:val="3"/>
                <w:w w:val="20"/>
                <w:shd w:val="solid" w:color="000000" w:fill="000000"/>
                <w:fitText w:val="90" w:id="-1233441023"/>
                <w14:textFill>
                  <w14:solidFill>
                    <w14:srgbClr w14:val="000000">
                      <w14:alpha w14:val="100000"/>
                    </w14:srgbClr>
                  </w14:solidFill>
                </w14:textFill>
              </w:rPr>
              <w:t xml:space="preserve">　</w:t>
            </w:r>
            <w:r w:rsidR="0040261D" w:rsidRPr="0040261D">
              <w:rPr>
                <w:vertAlign w:val="superscript"/>
              </w:rPr>
              <w:t>18</w:t>
            </w:r>
          </w:p>
        </w:tc>
        <w:tc>
          <w:tcPr>
            <w:tcW w:w="1089" w:type="dxa"/>
            <w:shd w:val="clear" w:color="auto" w:fill="C6D9F1" w:themeFill="text2" w:themeFillTint="33"/>
            <w:vAlign w:val="center"/>
          </w:tcPr>
          <w:p w14:paraId="70F9472B" w14:textId="582CD08F" w:rsidR="004231C9" w:rsidRPr="008F37FB" w:rsidRDefault="00320A42" w:rsidP="009A77B1">
            <w:pPr>
              <w:pStyle w:val="COMTabletext"/>
              <w:jc w:val="center"/>
              <w:rPr>
                <w:b/>
                <w:bCs w:val="0"/>
                <w:highlight w:val="darkGray"/>
              </w:rPr>
            </w:pPr>
            <w:r w:rsidRPr="00320A42">
              <w:rPr>
                <w:rFonts w:hint="eastAsia"/>
                <w:color w:val="000000"/>
                <w:w w:val="20"/>
                <w:shd w:val="solid" w:color="000000" w:fill="000000"/>
                <w:fitText w:val="90" w:id="-1233441022"/>
                <w14:textFill>
                  <w14:solidFill>
                    <w14:srgbClr w14:val="000000">
                      <w14:alpha w14:val="100000"/>
                    </w14:srgbClr>
                  </w14:solidFill>
                </w14:textFill>
              </w:rPr>
              <w:t xml:space="preserve">　</w:t>
            </w:r>
            <w:r w:rsidRPr="00320A42">
              <w:rPr>
                <w:color w:val="000000"/>
                <w:w w:val="20"/>
                <w:shd w:val="solid" w:color="000000" w:fill="000000"/>
                <w:fitText w:val="90" w:id="-1233441022"/>
                <w14:textFill>
                  <w14:solidFill>
                    <w14:srgbClr w14:val="000000">
                      <w14:alpha w14:val="100000"/>
                    </w14:srgbClr>
                  </w14:solidFill>
                </w14:textFill>
              </w:rPr>
              <w:t>|</w:t>
            </w:r>
            <w:r w:rsidRPr="00320A42">
              <w:rPr>
                <w:rFonts w:hint="eastAsia"/>
                <w:color w:val="000000"/>
                <w:spacing w:val="3"/>
                <w:w w:val="20"/>
                <w:shd w:val="solid" w:color="000000" w:fill="000000"/>
                <w:fitText w:val="90" w:id="-1233441022"/>
                <w14:textFill>
                  <w14:solidFill>
                    <w14:srgbClr w14:val="000000">
                      <w14:alpha w14:val="100000"/>
                    </w14:srgbClr>
                  </w14:solidFill>
                </w14:textFill>
              </w:rPr>
              <w:t xml:space="preserve">　</w:t>
            </w:r>
            <w:r w:rsidR="0040261D">
              <w:rPr>
                <w:vertAlign w:val="superscript"/>
              </w:rPr>
              <w:t>20</w:t>
            </w:r>
          </w:p>
        </w:tc>
      </w:tr>
    </w:tbl>
    <w:p w14:paraId="31000795" w14:textId="4CBBD255" w:rsidR="00AB2D95" w:rsidRPr="00464386" w:rsidRDefault="00AB2D95" w:rsidP="009A77B1">
      <w:pPr>
        <w:pStyle w:val="COMTablefooter"/>
        <w:keepNext/>
      </w:pPr>
      <w:r w:rsidRPr="00464386">
        <w:t>Sourc</w:t>
      </w:r>
      <w:r w:rsidR="00107315">
        <w:t>e</w:t>
      </w:r>
      <w:r w:rsidRPr="00464386">
        <w:t xml:space="preserve">: Table 116, p195 </w:t>
      </w:r>
      <w:r>
        <w:t xml:space="preserve">and Table 114, p196 </w:t>
      </w:r>
      <w:r w:rsidRPr="00464386">
        <w:t>of the resubmission; Excel Workbook ‘Section_4_model.xlsx’, Attached to the resubmission</w:t>
      </w:r>
      <w:r>
        <w:t>.</w:t>
      </w:r>
    </w:p>
    <w:p w14:paraId="692F9AC5" w14:textId="77777777" w:rsidR="00AB2D95" w:rsidRPr="00464386" w:rsidRDefault="00AB2D95" w:rsidP="009A77B1">
      <w:pPr>
        <w:pStyle w:val="COMTablefooter"/>
        <w:keepNext/>
      </w:pPr>
      <w:r>
        <w:t>Abbreviations</w:t>
      </w:r>
      <w:r w:rsidRPr="00464386">
        <w:t xml:space="preserve">: </w:t>
      </w:r>
      <w:r w:rsidRPr="00743F92">
        <w:t xml:space="preserve">PBS, Pharmaceutical Benefits Scheme; </w:t>
      </w:r>
      <w:r w:rsidRPr="00D86211">
        <w:rPr>
          <w:szCs w:val="18"/>
        </w:rPr>
        <w:t>RPBS, Repatriation Pharmaceutical Benefits Scheme</w:t>
      </w:r>
      <w:r>
        <w:rPr>
          <w:szCs w:val="18"/>
        </w:rPr>
        <w:t xml:space="preserve">; </w:t>
      </w:r>
      <w:r>
        <w:t>spts, scripts; yr, year.</w:t>
      </w:r>
    </w:p>
    <w:p w14:paraId="29DBAA18" w14:textId="72CBBA67" w:rsidR="00C211C2" w:rsidRDefault="00AB2D95" w:rsidP="009A77B1">
      <w:pPr>
        <w:pStyle w:val="COMTablefooter"/>
        <w:keepNext/>
        <w:spacing w:after="0"/>
      </w:pPr>
      <w:r>
        <w:t>Note</w:t>
      </w:r>
      <w:r w:rsidRPr="00464386">
        <w:t xml:space="preserve">: </w:t>
      </w:r>
      <w:r>
        <w:t>Shaded rows are uncorrected estimates from the July 2022 submission.</w:t>
      </w:r>
    </w:p>
    <w:p w14:paraId="79A22BE4" w14:textId="77777777" w:rsidR="008F37FB" w:rsidRPr="009A6D58" w:rsidRDefault="008F37FB" w:rsidP="009A77B1">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D7AB892" w14:textId="57B2EB2A" w:rsidR="008F37FB" w:rsidRPr="009A6D58" w:rsidRDefault="008F37FB" w:rsidP="009A77B1">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F37FB">
        <w:rPr>
          <w:rFonts w:ascii="Arial Narrow" w:hAnsi="Arial Narrow"/>
          <w:i/>
          <w:sz w:val="18"/>
          <w:szCs w:val="18"/>
        </w:rPr>
        <w:t>50,000 to &lt; 60,000</w:t>
      </w:r>
    </w:p>
    <w:p w14:paraId="4807A4DC" w14:textId="1793F39A" w:rsidR="008F37FB" w:rsidRPr="009A6D58" w:rsidRDefault="008F37FB" w:rsidP="009A77B1">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8F37FB">
        <w:rPr>
          <w:rFonts w:ascii="Arial Narrow" w:hAnsi="Arial Narrow"/>
          <w:i/>
          <w:sz w:val="18"/>
          <w:szCs w:val="18"/>
        </w:rPr>
        <w:t>10,000 to &lt; 20,000</w:t>
      </w:r>
    </w:p>
    <w:p w14:paraId="684C745F" w14:textId="5B541988" w:rsidR="008F37FB" w:rsidRDefault="008F37FB" w:rsidP="009A77B1">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8F37FB">
        <w:rPr>
          <w:rFonts w:ascii="Arial Narrow" w:hAnsi="Arial Narrow"/>
          <w:i/>
          <w:sz w:val="18"/>
          <w:szCs w:val="18"/>
        </w:rPr>
        <w:t>200,000 to &lt; 300,000</w:t>
      </w:r>
    </w:p>
    <w:p w14:paraId="5819424B" w14:textId="463AFDE3" w:rsidR="008F37FB" w:rsidRDefault="008F37FB" w:rsidP="009A77B1">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8F37FB">
        <w:rPr>
          <w:rFonts w:ascii="Arial Narrow" w:hAnsi="Arial Narrow"/>
          <w:i/>
          <w:sz w:val="18"/>
          <w:szCs w:val="18"/>
        </w:rPr>
        <w:t>$10 million to &lt; $20 million</w:t>
      </w:r>
    </w:p>
    <w:p w14:paraId="5C1112A8" w14:textId="5DD52AED" w:rsidR="008F37FB" w:rsidRDefault="008F37FB" w:rsidP="009A77B1">
      <w:pPr>
        <w:keepNext/>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8F37FB">
        <w:rPr>
          <w:rFonts w:ascii="Arial Narrow" w:hAnsi="Arial Narrow"/>
          <w:i/>
          <w:sz w:val="18"/>
          <w:szCs w:val="18"/>
        </w:rPr>
        <w:t>net cost saving</w:t>
      </w:r>
    </w:p>
    <w:p w14:paraId="1605A7F3" w14:textId="3CB253DA" w:rsidR="008F37FB" w:rsidRDefault="008F37FB" w:rsidP="009A77B1">
      <w:pPr>
        <w:keepNext/>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8F37FB">
        <w:rPr>
          <w:rFonts w:ascii="Arial Narrow" w:hAnsi="Arial Narrow"/>
          <w:i/>
          <w:sz w:val="18"/>
          <w:szCs w:val="18"/>
        </w:rPr>
        <w:t>20,000 to &lt; 30,000</w:t>
      </w:r>
    </w:p>
    <w:p w14:paraId="7208E4D9" w14:textId="488D1A3E" w:rsidR="008F37FB" w:rsidRPr="009A6D58" w:rsidRDefault="008F37FB" w:rsidP="009A77B1">
      <w:pPr>
        <w:keepNext/>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8F37FB">
        <w:rPr>
          <w:rFonts w:ascii="Arial Narrow" w:hAnsi="Arial Narrow"/>
          <w:i/>
          <w:sz w:val="18"/>
          <w:szCs w:val="18"/>
        </w:rPr>
        <w:t>$20 million to &lt; $30 million</w:t>
      </w:r>
    </w:p>
    <w:p w14:paraId="5A405549" w14:textId="51B936DA" w:rsidR="008F37FB" w:rsidRPr="009A6D58" w:rsidRDefault="008F37FB" w:rsidP="009A77B1">
      <w:pPr>
        <w:keepNext/>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8F37FB">
        <w:rPr>
          <w:rFonts w:ascii="Arial Narrow" w:hAnsi="Arial Narrow"/>
          <w:i/>
          <w:sz w:val="18"/>
          <w:szCs w:val="18"/>
        </w:rPr>
        <w:t>60,000 to &lt; 70,000</w:t>
      </w:r>
    </w:p>
    <w:p w14:paraId="0CBAE9A6" w14:textId="7F5105FD" w:rsidR="008F37FB" w:rsidRDefault="008F37FB" w:rsidP="009A77B1">
      <w:pPr>
        <w:keepNext/>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8F37FB">
        <w:rPr>
          <w:rFonts w:ascii="Arial Narrow" w:hAnsi="Arial Narrow"/>
          <w:i/>
          <w:sz w:val="18"/>
          <w:szCs w:val="18"/>
        </w:rPr>
        <w:t>300,000 to &lt; 400,000</w:t>
      </w:r>
    </w:p>
    <w:p w14:paraId="389419D3" w14:textId="2E7AB6CB" w:rsidR="008F37FB" w:rsidRPr="009A6D58" w:rsidRDefault="008F37FB" w:rsidP="009A77B1">
      <w:pPr>
        <w:keepNext/>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8F37FB">
        <w:rPr>
          <w:rFonts w:ascii="Arial Narrow" w:hAnsi="Arial Narrow"/>
          <w:i/>
          <w:sz w:val="18"/>
          <w:szCs w:val="18"/>
        </w:rPr>
        <w:t>30,000 to &lt; 40,000</w:t>
      </w:r>
    </w:p>
    <w:p w14:paraId="24AF7391" w14:textId="1DB1376C" w:rsidR="008F37FB" w:rsidRPr="009A6D58" w:rsidRDefault="008F37FB" w:rsidP="009A77B1">
      <w:pPr>
        <w:keepNext/>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Pr="008F37FB">
        <w:rPr>
          <w:rFonts w:ascii="Arial Narrow" w:hAnsi="Arial Narrow"/>
          <w:i/>
          <w:sz w:val="18"/>
          <w:szCs w:val="18"/>
        </w:rPr>
        <w:t>$30 million to &lt; $40 million</w:t>
      </w:r>
    </w:p>
    <w:p w14:paraId="79F15930" w14:textId="59B313DB" w:rsidR="008F37FB" w:rsidRPr="008F37FB" w:rsidRDefault="008F37FB" w:rsidP="009A77B1">
      <w:pPr>
        <w:keepNext/>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Pr="008F37FB">
        <w:rPr>
          <w:rFonts w:ascii="Arial Narrow" w:hAnsi="Arial Narrow"/>
          <w:i/>
          <w:sz w:val="18"/>
          <w:szCs w:val="18"/>
        </w:rPr>
        <w:t>40,000 to &lt; 50,000</w:t>
      </w:r>
    </w:p>
    <w:p w14:paraId="3AF78CA2" w14:textId="6C2DB2DE" w:rsidR="008F37FB" w:rsidRPr="009A6D58" w:rsidRDefault="008F37FB" w:rsidP="009A77B1">
      <w:pPr>
        <w:keepNext/>
        <w:rPr>
          <w:rFonts w:ascii="Arial Narrow" w:hAnsi="Arial Narrow"/>
          <w:i/>
          <w:sz w:val="18"/>
          <w:szCs w:val="18"/>
        </w:rPr>
      </w:pPr>
      <w:r>
        <w:rPr>
          <w:rFonts w:ascii="Arial Narrow" w:hAnsi="Arial Narrow"/>
          <w:i/>
          <w:sz w:val="18"/>
          <w:szCs w:val="18"/>
          <w:vertAlign w:val="superscript"/>
        </w:rPr>
        <w:t>13</w:t>
      </w:r>
      <w:r>
        <w:rPr>
          <w:rFonts w:ascii="Arial Narrow" w:hAnsi="Arial Narrow"/>
          <w:i/>
          <w:sz w:val="18"/>
          <w:szCs w:val="18"/>
        </w:rPr>
        <w:t xml:space="preserve"> </w:t>
      </w:r>
      <w:r w:rsidRPr="008F37FB">
        <w:rPr>
          <w:rFonts w:ascii="Arial Narrow" w:hAnsi="Arial Narrow"/>
          <w:i/>
          <w:sz w:val="18"/>
          <w:szCs w:val="18"/>
        </w:rPr>
        <w:t>$40 million to &lt; $50 million</w:t>
      </w:r>
    </w:p>
    <w:p w14:paraId="45DB08FB" w14:textId="35F8EB90" w:rsidR="008F37FB" w:rsidRPr="009A6D58" w:rsidRDefault="008F37FB" w:rsidP="009A77B1">
      <w:pPr>
        <w:keepNext/>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0040261D" w:rsidRPr="0040261D">
        <w:rPr>
          <w:rFonts w:ascii="Arial Narrow" w:hAnsi="Arial Narrow"/>
          <w:i/>
          <w:sz w:val="18"/>
          <w:szCs w:val="18"/>
        </w:rPr>
        <w:t>70,000 to &lt; 80,000</w:t>
      </w:r>
    </w:p>
    <w:p w14:paraId="7EF44EC2" w14:textId="6BF684AD" w:rsidR="008F37FB" w:rsidRDefault="008F37FB" w:rsidP="009A77B1">
      <w:pPr>
        <w:keepNext/>
        <w:rPr>
          <w:rFonts w:ascii="Arial Narrow" w:hAnsi="Arial Narrow"/>
          <w:i/>
          <w:sz w:val="18"/>
          <w:szCs w:val="18"/>
        </w:rPr>
      </w:pPr>
      <w:r>
        <w:rPr>
          <w:rFonts w:ascii="Arial Narrow" w:hAnsi="Arial Narrow"/>
          <w:i/>
          <w:sz w:val="18"/>
          <w:szCs w:val="18"/>
          <w:vertAlign w:val="superscript"/>
        </w:rPr>
        <w:t>15</w:t>
      </w:r>
      <w:r>
        <w:rPr>
          <w:rFonts w:ascii="Arial Narrow" w:hAnsi="Arial Narrow"/>
          <w:i/>
          <w:sz w:val="18"/>
          <w:szCs w:val="18"/>
        </w:rPr>
        <w:t xml:space="preserve"> </w:t>
      </w:r>
      <w:r w:rsidR="0040261D" w:rsidRPr="0040261D">
        <w:rPr>
          <w:rFonts w:ascii="Arial Narrow" w:hAnsi="Arial Narrow"/>
          <w:i/>
          <w:sz w:val="18"/>
          <w:szCs w:val="18"/>
        </w:rPr>
        <w:t>400,000 to &lt; 500,000</w:t>
      </w:r>
    </w:p>
    <w:p w14:paraId="792477C4" w14:textId="06770236" w:rsidR="008F37FB" w:rsidRPr="009A6D58" w:rsidRDefault="008F37FB" w:rsidP="009A77B1">
      <w:pPr>
        <w:keepNext/>
        <w:rPr>
          <w:rFonts w:ascii="Arial Narrow" w:hAnsi="Arial Narrow"/>
          <w:i/>
          <w:sz w:val="18"/>
          <w:szCs w:val="18"/>
        </w:rPr>
      </w:pPr>
      <w:r>
        <w:rPr>
          <w:rFonts w:ascii="Arial Narrow" w:hAnsi="Arial Narrow"/>
          <w:i/>
          <w:sz w:val="18"/>
          <w:szCs w:val="18"/>
          <w:vertAlign w:val="superscript"/>
        </w:rPr>
        <w:t>16</w:t>
      </w:r>
      <w:r>
        <w:rPr>
          <w:rFonts w:ascii="Arial Narrow" w:hAnsi="Arial Narrow"/>
          <w:i/>
          <w:sz w:val="18"/>
          <w:szCs w:val="18"/>
        </w:rPr>
        <w:t xml:space="preserve"> </w:t>
      </w:r>
      <w:r w:rsidR="0040261D" w:rsidRPr="0040261D">
        <w:rPr>
          <w:rFonts w:ascii="Arial Narrow" w:hAnsi="Arial Narrow"/>
          <w:i/>
          <w:sz w:val="18"/>
          <w:szCs w:val="18"/>
        </w:rPr>
        <w:t>$50 million to &lt; $60 million</w:t>
      </w:r>
    </w:p>
    <w:p w14:paraId="0713A5B9" w14:textId="2E3990AB" w:rsidR="008F37FB" w:rsidRPr="009A6D58" w:rsidRDefault="008F37FB" w:rsidP="009A77B1">
      <w:pPr>
        <w:keepNext/>
        <w:rPr>
          <w:rFonts w:ascii="Arial Narrow" w:hAnsi="Arial Narrow"/>
          <w:i/>
          <w:sz w:val="18"/>
          <w:szCs w:val="18"/>
        </w:rPr>
      </w:pPr>
      <w:r>
        <w:rPr>
          <w:rFonts w:ascii="Arial Narrow" w:hAnsi="Arial Narrow"/>
          <w:i/>
          <w:sz w:val="18"/>
          <w:szCs w:val="18"/>
          <w:vertAlign w:val="superscript"/>
        </w:rPr>
        <w:t>17</w:t>
      </w:r>
      <w:r>
        <w:rPr>
          <w:rFonts w:ascii="Arial Narrow" w:hAnsi="Arial Narrow"/>
          <w:i/>
          <w:sz w:val="18"/>
          <w:szCs w:val="18"/>
        </w:rPr>
        <w:t xml:space="preserve"> </w:t>
      </w:r>
      <w:r w:rsidR="0040261D" w:rsidRPr="0040261D">
        <w:rPr>
          <w:rFonts w:ascii="Arial Narrow" w:hAnsi="Arial Narrow"/>
          <w:i/>
          <w:sz w:val="18"/>
          <w:szCs w:val="18"/>
        </w:rPr>
        <w:t>500,000 to &lt; 600,000</w:t>
      </w:r>
    </w:p>
    <w:p w14:paraId="17C96614" w14:textId="22574059" w:rsidR="008F37FB" w:rsidRPr="008F37FB" w:rsidRDefault="008F37FB" w:rsidP="009A77B1">
      <w:pPr>
        <w:keepNext/>
        <w:rPr>
          <w:rFonts w:ascii="Arial Narrow" w:hAnsi="Arial Narrow"/>
          <w:i/>
          <w:sz w:val="18"/>
          <w:szCs w:val="18"/>
        </w:rPr>
      </w:pPr>
      <w:r>
        <w:rPr>
          <w:rFonts w:ascii="Arial Narrow" w:hAnsi="Arial Narrow"/>
          <w:i/>
          <w:sz w:val="18"/>
          <w:szCs w:val="18"/>
          <w:vertAlign w:val="superscript"/>
        </w:rPr>
        <w:t>18</w:t>
      </w:r>
      <w:r>
        <w:rPr>
          <w:rFonts w:ascii="Arial Narrow" w:hAnsi="Arial Narrow"/>
          <w:i/>
          <w:sz w:val="18"/>
          <w:szCs w:val="18"/>
        </w:rPr>
        <w:t xml:space="preserve"> </w:t>
      </w:r>
      <w:r w:rsidR="0040261D" w:rsidRPr="0040261D">
        <w:rPr>
          <w:rFonts w:ascii="Arial Narrow" w:hAnsi="Arial Narrow"/>
          <w:i/>
          <w:sz w:val="18"/>
          <w:szCs w:val="18"/>
        </w:rPr>
        <w:t>$60 million to &lt; $70 million</w:t>
      </w:r>
    </w:p>
    <w:p w14:paraId="245DC5C3" w14:textId="38A1098F" w:rsidR="008F37FB" w:rsidRPr="009A6D58" w:rsidRDefault="008F37FB" w:rsidP="009A77B1">
      <w:pPr>
        <w:keepNext/>
        <w:rPr>
          <w:rFonts w:ascii="Arial Narrow" w:hAnsi="Arial Narrow"/>
          <w:i/>
          <w:sz w:val="18"/>
          <w:szCs w:val="18"/>
        </w:rPr>
      </w:pPr>
      <w:r>
        <w:rPr>
          <w:rFonts w:ascii="Arial Narrow" w:hAnsi="Arial Narrow"/>
          <w:i/>
          <w:sz w:val="18"/>
          <w:szCs w:val="18"/>
          <w:vertAlign w:val="superscript"/>
        </w:rPr>
        <w:t>19</w:t>
      </w:r>
      <w:r>
        <w:rPr>
          <w:rFonts w:ascii="Arial Narrow" w:hAnsi="Arial Narrow"/>
          <w:i/>
          <w:sz w:val="18"/>
          <w:szCs w:val="18"/>
        </w:rPr>
        <w:t xml:space="preserve"> </w:t>
      </w:r>
      <w:r w:rsidR="0040261D" w:rsidRPr="0040261D">
        <w:rPr>
          <w:rFonts w:ascii="Arial Narrow" w:hAnsi="Arial Narrow"/>
          <w:i/>
          <w:sz w:val="18"/>
          <w:szCs w:val="18"/>
        </w:rPr>
        <w:t>90,000 to &lt; 100,000</w:t>
      </w:r>
    </w:p>
    <w:p w14:paraId="5743C6BB" w14:textId="77777777" w:rsidR="0040261D" w:rsidRDefault="008F37FB" w:rsidP="009A77B1">
      <w:pPr>
        <w:spacing w:after="120"/>
        <w:rPr>
          <w:rFonts w:ascii="Arial Narrow" w:hAnsi="Arial Narrow"/>
          <w:i/>
          <w:sz w:val="18"/>
          <w:szCs w:val="18"/>
        </w:rPr>
      </w:pPr>
      <w:r>
        <w:rPr>
          <w:rFonts w:ascii="Arial Narrow" w:hAnsi="Arial Narrow"/>
          <w:i/>
          <w:sz w:val="18"/>
          <w:szCs w:val="18"/>
          <w:vertAlign w:val="superscript"/>
        </w:rPr>
        <w:t>20</w:t>
      </w:r>
      <w:r>
        <w:rPr>
          <w:rFonts w:ascii="Arial Narrow" w:hAnsi="Arial Narrow"/>
          <w:i/>
          <w:sz w:val="18"/>
          <w:szCs w:val="18"/>
        </w:rPr>
        <w:t xml:space="preserve"> </w:t>
      </w:r>
      <w:r w:rsidR="0040261D" w:rsidRPr="0040261D">
        <w:rPr>
          <w:rFonts w:ascii="Arial Narrow" w:hAnsi="Arial Narrow"/>
          <w:i/>
          <w:sz w:val="18"/>
          <w:szCs w:val="18"/>
        </w:rPr>
        <w:t>$80 million to &lt; $90 million</w:t>
      </w:r>
    </w:p>
    <w:p w14:paraId="00AF6AB9" w14:textId="0BBB3A68" w:rsidR="00593052" w:rsidRDefault="002A5BB8" w:rsidP="00D244B6">
      <w:pPr>
        <w:pStyle w:val="COMexecsumnumberedpara"/>
      </w:pPr>
      <w:r>
        <w:t xml:space="preserve">As stated previously, the pre-PBAC response proposed a price reduction for finerenone </w:t>
      </w:r>
      <w:r w:rsidR="0069235E">
        <w:t>(</w:t>
      </w:r>
      <w:r>
        <w:t>$</w:t>
      </w:r>
      <w:r w:rsidR="00320A42" w:rsidRPr="005562EE">
        <w:rPr>
          <w:color w:val="000000"/>
          <w:w w:val="15"/>
          <w:shd w:val="solid" w:color="000000" w:fill="000000"/>
          <w:fitText w:val="-20" w:id="-1233441021"/>
          <w14:textFill>
            <w14:solidFill>
              <w14:srgbClr w14:val="000000">
                <w14:alpha w14:val="100000"/>
              </w14:srgbClr>
            </w14:solidFill>
          </w14:textFill>
        </w:rPr>
        <w:t xml:space="preserve">|  </w:t>
      </w:r>
      <w:r w:rsidR="00320A42" w:rsidRPr="005562EE">
        <w:rPr>
          <w:color w:val="000000"/>
          <w:spacing w:val="-69"/>
          <w:w w:val="15"/>
          <w:shd w:val="solid" w:color="000000" w:fill="000000"/>
          <w:fitText w:val="-20" w:id="-1233441021"/>
          <w14:textFill>
            <w14:solidFill>
              <w14:srgbClr w14:val="000000">
                <w14:alpha w14:val="100000"/>
              </w14:srgbClr>
            </w14:solidFill>
          </w14:textFill>
        </w:rPr>
        <w:t>|</w:t>
      </w:r>
      <w:r>
        <w:t xml:space="preserve"> AEMP). The estimated net cost of finerenone to the PBS/RPBS based on this price reduction is summarised in </w:t>
      </w:r>
      <w:r>
        <w:fldChar w:fldCharType="begin"/>
      </w:r>
      <w:r>
        <w:instrText xml:space="preserve"> REF _Ref129852373 \h </w:instrText>
      </w:r>
      <w:r>
        <w:fldChar w:fldCharType="separate"/>
      </w:r>
      <w:r w:rsidR="005562EE">
        <w:t xml:space="preserve">Table </w:t>
      </w:r>
      <w:r w:rsidR="005562EE">
        <w:rPr>
          <w:noProof/>
        </w:rPr>
        <w:t>19</w:t>
      </w:r>
      <w:r>
        <w:fldChar w:fldCharType="end"/>
      </w:r>
      <w:r>
        <w:t>.</w:t>
      </w:r>
    </w:p>
    <w:p w14:paraId="528F9FAD" w14:textId="478B88E9" w:rsidR="002A5BB8" w:rsidRDefault="002A5BB8" w:rsidP="002A5BB8">
      <w:pPr>
        <w:pStyle w:val="COMtablefigcaption"/>
      </w:pPr>
      <w:bookmarkStart w:id="59" w:name="_Ref129852373"/>
      <w:r>
        <w:t xml:space="preserve">Table </w:t>
      </w:r>
      <w:r w:rsidR="005562EE">
        <w:fldChar w:fldCharType="begin"/>
      </w:r>
      <w:r w:rsidR="005562EE">
        <w:instrText xml:space="preserve"> SEQ Table \* ARABIC </w:instrText>
      </w:r>
      <w:r w:rsidR="005562EE">
        <w:fldChar w:fldCharType="separate"/>
      </w:r>
      <w:r w:rsidR="005562EE">
        <w:rPr>
          <w:noProof/>
        </w:rPr>
        <w:t>19</w:t>
      </w:r>
      <w:r w:rsidR="005562EE">
        <w:rPr>
          <w:noProof/>
        </w:rPr>
        <w:fldChar w:fldCharType="end"/>
      </w:r>
      <w:bookmarkEnd w:id="59"/>
      <w:r>
        <w:t>:</w:t>
      </w:r>
      <w:r w:rsidRPr="00FD4ED6">
        <w:t xml:space="preserve"> Estimated use and financial implications</w:t>
      </w:r>
      <w:r>
        <w:t xml:space="preserve"> of listing finerenone as presented in the </w:t>
      </w:r>
      <w:r w:rsidR="00B85E2A">
        <w:t>pre-PBAC response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1001"/>
        <w:gridCol w:w="1104"/>
        <w:gridCol w:w="1104"/>
        <w:gridCol w:w="1103"/>
        <w:gridCol w:w="1104"/>
        <w:gridCol w:w="1104"/>
      </w:tblGrid>
      <w:tr w:rsidR="002A5BB8" w:rsidRPr="00D424C7" w14:paraId="0FAA8DC1" w14:textId="77777777" w:rsidTr="00F41818">
        <w:tc>
          <w:tcPr>
            <w:tcW w:w="2547" w:type="dxa"/>
            <w:shd w:val="clear" w:color="auto" w:fill="auto"/>
            <w:vAlign w:val="center"/>
          </w:tcPr>
          <w:p w14:paraId="02A5F4D8" w14:textId="77777777" w:rsidR="002A5BB8" w:rsidRPr="00D424C7" w:rsidRDefault="002A5BB8" w:rsidP="002A5BB8">
            <w:pPr>
              <w:pStyle w:val="COMTabletext"/>
            </w:pPr>
            <w:bookmarkStart w:id="60" w:name="_Hlk130300460"/>
          </w:p>
        </w:tc>
        <w:tc>
          <w:tcPr>
            <w:tcW w:w="1001" w:type="dxa"/>
            <w:shd w:val="clear" w:color="auto" w:fill="auto"/>
            <w:vAlign w:val="center"/>
          </w:tcPr>
          <w:p w14:paraId="33AEC35C" w14:textId="77777777" w:rsidR="002A5BB8" w:rsidRPr="002A5BB8" w:rsidRDefault="002A5BB8" w:rsidP="0089580D">
            <w:pPr>
              <w:pStyle w:val="COMTabletext"/>
              <w:jc w:val="center"/>
              <w:rPr>
                <w:b/>
                <w:bCs w:val="0"/>
              </w:rPr>
            </w:pPr>
            <w:r w:rsidRPr="002A5BB8">
              <w:rPr>
                <w:b/>
                <w:bCs w:val="0"/>
              </w:rPr>
              <w:t>Year 1</w:t>
            </w:r>
          </w:p>
        </w:tc>
        <w:tc>
          <w:tcPr>
            <w:tcW w:w="1104" w:type="dxa"/>
            <w:shd w:val="clear" w:color="auto" w:fill="auto"/>
            <w:vAlign w:val="center"/>
          </w:tcPr>
          <w:p w14:paraId="52895F70" w14:textId="77777777" w:rsidR="002A5BB8" w:rsidRPr="002A5BB8" w:rsidRDefault="002A5BB8" w:rsidP="0089580D">
            <w:pPr>
              <w:pStyle w:val="COMTabletext"/>
              <w:jc w:val="center"/>
              <w:rPr>
                <w:b/>
                <w:bCs w:val="0"/>
              </w:rPr>
            </w:pPr>
            <w:r w:rsidRPr="002A5BB8">
              <w:rPr>
                <w:b/>
                <w:bCs w:val="0"/>
              </w:rPr>
              <w:t>Year 2</w:t>
            </w:r>
          </w:p>
        </w:tc>
        <w:tc>
          <w:tcPr>
            <w:tcW w:w="1104" w:type="dxa"/>
            <w:shd w:val="clear" w:color="auto" w:fill="auto"/>
            <w:vAlign w:val="center"/>
          </w:tcPr>
          <w:p w14:paraId="7B1F334F" w14:textId="77777777" w:rsidR="002A5BB8" w:rsidRPr="002A5BB8" w:rsidRDefault="002A5BB8" w:rsidP="0089580D">
            <w:pPr>
              <w:pStyle w:val="COMTabletext"/>
              <w:jc w:val="center"/>
              <w:rPr>
                <w:b/>
                <w:bCs w:val="0"/>
              </w:rPr>
            </w:pPr>
            <w:r w:rsidRPr="002A5BB8">
              <w:rPr>
                <w:b/>
                <w:bCs w:val="0"/>
              </w:rPr>
              <w:t>Year 3</w:t>
            </w:r>
          </w:p>
        </w:tc>
        <w:tc>
          <w:tcPr>
            <w:tcW w:w="1103" w:type="dxa"/>
            <w:shd w:val="clear" w:color="auto" w:fill="auto"/>
            <w:vAlign w:val="center"/>
          </w:tcPr>
          <w:p w14:paraId="770065EA" w14:textId="77777777" w:rsidR="002A5BB8" w:rsidRPr="002A5BB8" w:rsidRDefault="002A5BB8" w:rsidP="0089580D">
            <w:pPr>
              <w:pStyle w:val="COMTabletext"/>
              <w:jc w:val="center"/>
              <w:rPr>
                <w:b/>
                <w:bCs w:val="0"/>
              </w:rPr>
            </w:pPr>
            <w:r w:rsidRPr="002A5BB8">
              <w:rPr>
                <w:b/>
                <w:bCs w:val="0"/>
              </w:rPr>
              <w:t>Year 4</w:t>
            </w:r>
          </w:p>
        </w:tc>
        <w:tc>
          <w:tcPr>
            <w:tcW w:w="1104" w:type="dxa"/>
            <w:shd w:val="clear" w:color="auto" w:fill="auto"/>
            <w:vAlign w:val="center"/>
          </w:tcPr>
          <w:p w14:paraId="6552CAE6" w14:textId="77777777" w:rsidR="002A5BB8" w:rsidRPr="002A5BB8" w:rsidRDefault="002A5BB8" w:rsidP="0089580D">
            <w:pPr>
              <w:pStyle w:val="COMTabletext"/>
              <w:jc w:val="center"/>
              <w:rPr>
                <w:b/>
                <w:bCs w:val="0"/>
              </w:rPr>
            </w:pPr>
            <w:r w:rsidRPr="002A5BB8">
              <w:rPr>
                <w:b/>
                <w:bCs w:val="0"/>
              </w:rPr>
              <w:t>Year 5</w:t>
            </w:r>
          </w:p>
        </w:tc>
        <w:tc>
          <w:tcPr>
            <w:tcW w:w="1104" w:type="dxa"/>
            <w:shd w:val="clear" w:color="auto" w:fill="auto"/>
            <w:vAlign w:val="center"/>
          </w:tcPr>
          <w:p w14:paraId="343ED45D" w14:textId="77777777" w:rsidR="002A5BB8" w:rsidRPr="002A5BB8" w:rsidRDefault="002A5BB8" w:rsidP="0089580D">
            <w:pPr>
              <w:pStyle w:val="COMTabletext"/>
              <w:jc w:val="center"/>
              <w:rPr>
                <w:b/>
                <w:bCs w:val="0"/>
              </w:rPr>
            </w:pPr>
            <w:r w:rsidRPr="002A5BB8">
              <w:rPr>
                <w:b/>
                <w:bCs w:val="0"/>
              </w:rPr>
              <w:t>Year 6</w:t>
            </w:r>
          </w:p>
        </w:tc>
      </w:tr>
      <w:bookmarkEnd w:id="60"/>
      <w:tr w:rsidR="00F847B8" w:rsidRPr="003F255E" w14:paraId="1AC8E16C" w14:textId="77777777" w:rsidTr="00F41818">
        <w:tc>
          <w:tcPr>
            <w:tcW w:w="2547" w:type="dxa"/>
            <w:shd w:val="clear" w:color="auto" w:fill="auto"/>
          </w:tcPr>
          <w:p w14:paraId="6A2BDAB8" w14:textId="0663308C" w:rsidR="00F847B8" w:rsidRDefault="00F847B8" w:rsidP="00F847B8">
            <w:pPr>
              <w:pStyle w:val="COMTabletext"/>
            </w:pPr>
            <w:r>
              <w:rPr>
                <w:lang w:val="en-US" w:eastAsia="en-US"/>
              </w:rPr>
              <w:t xml:space="preserve">Total patients treated </w:t>
            </w:r>
          </w:p>
        </w:tc>
        <w:tc>
          <w:tcPr>
            <w:tcW w:w="1001" w:type="dxa"/>
            <w:shd w:val="clear" w:color="auto" w:fill="auto"/>
            <w:vAlign w:val="center"/>
          </w:tcPr>
          <w:p w14:paraId="2F72C2A6" w14:textId="22C3DF17" w:rsidR="00F847B8" w:rsidRPr="008F37FB" w:rsidRDefault="00320A42" w:rsidP="00F847B8">
            <w:pPr>
              <w:pStyle w:val="COMTabletext"/>
              <w:jc w:val="center"/>
              <w:rPr>
                <w:highlight w:val="darkGray"/>
              </w:rPr>
            </w:pPr>
            <w:r w:rsidRPr="00F41818">
              <w:rPr>
                <w:rFonts w:hint="eastAsia"/>
                <w:color w:val="000000"/>
                <w:w w:val="23"/>
                <w:shd w:val="solid" w:color="000000" w:fill="000000"/>
                <w:fitText w:val="105" w:id="-1233441020"/>
                <w:lang w:val="en-US" w:eastAsia="en-US"/>
                <w14:textFill>
                  <w14:solidFill>
                    <w14:srgbClr w14:val="000000">
                      <w14:alpha w14:val="100000"/>
                    </w14:srgbClr>
                  </w14:solidFill>
                </w14:textFill>
              </w:rPr>
              <w:t xml:space="preserve">　</w:t>
            </w:r>
            <w:r w:rsidRPr="00F41818">
              <w:rPr>
                <w:color w:val="000000"/>
                <w:w w:val="23"/>
                <w:shd w:val="solid" w:color="000000" w:fill="000000"/>
                <w:fitText w:val="105" w:id="-1233441020"/>
                <w:lang w:val="en-US" w:eastAsia="en-US"/>
                <w14:textFill>
                  <w14:solidFill>
                    <w14:srgbClr w14:val="000000">
                      <w14:alpha w14:val="100000"/>
                    </w14:srgbClr>
                  </w14:solidFill>
                </w14:textFill>
              </w:rPr>
              <w:t>|</w:t>
            </w:r>
            <w:r w:rsidRPr="00F41818">
              <w:rPr>
                <w:rFonts w:hint="eastAsia"/>
                <w:color w:val="000000"/>
                <w:w w:val="23"/>
                <w:shd w:val="solid" w:color="000000" w:fill="000000"/>
                <w:fitText w:val="105" w:id="-1233441020"/>
                <w:lang w:val="en-US" w:eastAsia="en-US"/>
                <w14:textFill>
                  <w14:solidFill>
                    <w14:srgbClr w14:val="000000">
                      <w14:alpha w14:val="100000"/>
                    </w14:srgbClr>
                  </w14:solidFill>
                </w14:textFill>
              </w:rPr>
              <w:t xml:space="preserve">　</w:t>
            </w:r>
            <w:r w:rsidR="00770E8A" w:rsidRPr="00770E8A">
              <w:rPr>
                <w:vertAlign w:val="superscript"/>
                <w:lang w:val="en-US" w:eastAsia="en-US"/>
              </w:rPr>
              <w:t>1</w:t>
            </w:r>
          </w:p>
        </w:tc>
        <w:tc>
          <w:tcPr>
            <w:tcW w:w="1104" w:type="dxa"/>
            <w:shd w:val="clear" w:color="auto" w:fill="auto"/>
            <w:vAlign w:val="center"/>
          </w:tcPr>
          <w:p w14:paraId="60A2332B" w14:textId="7A8E0B1C" w:rsidR="00F847B8" w:rsidRPr="008F37FB" w:rsidRDefault="00320A42" w:rsidP="00F847B8">
            <w:pPr>
              <w:pStyle w:val="COMTabletext"/>
              <w:jc w:val="center"/>
              <w:rPr>
                <w:highlight w:val="darkGray"/>
              </w:rPr>
            </w:pPr>
            <w:r w:rsidRPr="00320A42">
              <w:rPr>
                <w:rFonts w:hint="eastAsia"/>
                <w:color w:val="000000"/>
                <w:w w:val="15"/>
                <w:shd w:val="solid" w:color="000000" w:fill="000000"/>
                <w:fitText w:val="60" w:id="-1233441019"/>
                <w:lang w:val="en-US" w:eastAsia="en-US"/>
                <w14:textFill>
                  <w14:solidFill>
                    <w14:srgbClr w14:val="000000">
                      <w14:alpha w14:val="100000"/>
                    </w14:srgbClr>
                  </w14:solidFill>
                </w14:textFill>
              </w:rPr>
              <w:t xml:space="preserve">　</w:t>
            </w:r>
            <w:r w:rsidRPr="00320A42">
              <w:rPr>
                <w:color w:val="000000"/>
                <w:w w:val="15"/>
                <w:shd w:val="solid" w:color="000000" w:fill="000000"/>
                <w:fitText w:val="60" w:id="-1233441019"/>
                <w:lang w:val="en-US" w:eastAsia="en-US"/>
                <w14:textFill>
                  <w14:solidFill>
                    <w14:srgbClr w14:val="000000">
                      <w14:alpha w14:val="100000"/>
                    </w14:srgbClr>
                  </w14:solidFill>
                </w14:textFill>
              </w:rPr>
              <w:t>|</w:t>
            </w:r>
            <w:r w:rsidRPr="00320A42">
              <w:rPr>
                <w:rFonts w:hint="eastAsia"/>
                <w:color w:val="000000"/>
                <w:spacing w:val="-15"/>
                <w:w w:val="15"/>
                <w:shd w:val="solid" w:color="000000" w:fill="000000"/>
                <w:fitText w:val="60" w:id="-1233441019"/>
                <w:lang w:val="en-US" w:eastAsia="en-US"/>
                <w14:textFill>
                  <w14:solidFill>
                    <w14:srgbClr w14:val="000000">
                      <w14:alpha w14:val="100000"/>
                    </w14:srgbClr>
                  </w14:solidFill>
                </w14:textFill>
              </w:rPr>
              <w:t xml:space="preserve">　</w:t>
            </w:r>
            <w:r w:rsidR="00770E8A">
              <w:rPr>
                <w:vertAlign w:val="superscript"/>
                <w:lang w:val="en-US" w:eastAsia="en-US"/>
              </w:rPr>
              <w:t>3</w:t>
            </w:r>
          </w:p>
        </w:tc>
        <w:tc>
          <w:tcPr>
            <w:tcW w:w="1104" w:type="dxa"/>
            <w:shd w:val="clear" w:color="auto" w:fill="auto"/>
            <w:vAlign w:val="center"/>
          </w:tcPr>
          <w:p w14:paraId="4991E2CB" w14:textId="0E383C70" w:rsidR="00F847B8" w:rsidRPr="008F37FB" w:rsidRDefault="00320A42" w:rsidP="00F847B8">
            <w:pPr>
              <w:pStyle w:val="COMTabletext"/>
              <w:jc w:val="center"/>
              <w:rPr>
                <w:highlight w:val="darkGray"/>
              </w:rPr>
            </w:pPr>
            <w:r w:rsidRPr="00320A42">
              <w:rPr>
                <w:rFonts w:hint="eastAsia"/>
                <w:color w:val="000000"/>
                <w:w w:val="15"/>
                <w:shd w:val="solid" w:color="000000" w:fill="000000"/>
                <w:fitText w:val="60" w:id="-1233441018"/>
                <w:lang w:val="en-US" w:eastAsia="en-US"/>
                <w14:textFill>
                  <w14:solidFill>
                    <w14:srgbClr w14:val="000000">
                      <w14:alpha w14:val="100000"/>
                    </w14:srgbClr>
                  </w14:solidFill>
                </w14:textFill>
              </w:rPr>
              <w:t xml:space="preserve">　</w:t>
            </w:r>
            <w:r w:rsidRPr="00320A42">
              <w:rPr>
                <w:color w:val="000000"/>
                <w:w w:val="15"/>
                <w:shd w:val="solid" w:color="000000" w:fill="000000"/>
                <w:fitText w:val="60" w:id="-1233441018"/>
                <w:lang w:val="en-US" w:eastAsia="en-US"/>
                <w14:textFill>
                  <w14:solidFill>
                    <w14:srgbClr w14:val="000000">
                      <w14:alpha w14:val="100000"/>
                    </w14:srgbClr>
                  </w14:solidFill>
                </w14:textFill>
              </w:rPr>
              <w:t>|</w:t>
            </w:r>
            <w:r w:rsidRPr="00320A42">
              <w:rPr>
                <w:rFonts w:hint="eastAsia"/>
                <w:color w:val="000000"/>
                <w:spacing w:val="-15"/>
                <w:w w:val="15"/>
                <w:shd w:val="solid" w:color="000000" w:fill="000000"/>
                <w:fitText w:val="60" w:id="-1233441018"/>
                <w:lang w:val="en-US" w:eastAsia="en-US"/>
                <w14:textFill>
                  <w14:solidFill>
                    <w14:srgbClr w14:val="000000">
                      <w14:alpha w14:val="100000"/>
                    </w14:srgbClr>
                  </w14:solidFill>
                </w14:textFill>
              </w:rPr>
              <w:t xml:space="preserve">　</w:t>
            </w:r>
            <w:r w:rsidR="00770E8A">
              <w:rPr>
                <w:vertAlign w:val="superscript"/>
                <w:lang w:val="en-US" w:eastAsia="en-US"/>
              </w:rPr>
              <w:t>5</w:t>
            </w:r>
          </w:p>
        </w:tc>
        <w:tc>
          <w:tcPr>
            <w:tcW w:w="1103" w:type="dxa"/>
            <w:shd w:val="clear" w:color="auto" w:fill="auto"/>
            <w:vAlign w:val="center"/>
          </w:tcPr>
          <w:p w14:paraId="7CB66E58" w14:textId="144B9C7E" w:rsidR="00F847B8" w:rsidRPr="008F37FB" w:rsidRDefault="00320A42" w:rsidP="00F847B8">
            <w:pPr>
              <w:pStyle w:val="COMTabletext"/>
              <w:jc w:val="center"/>
              <w:rPr>
                <w:highlight w:val="darkGray"/>
              </w:rPr>
            </w:pPr>
            <w:r w:rsidRPr="00320A42">
              <w:rPr>
                <w:rFonts w:hint="eastAsia"/>
                <w:color w:val="000000"/>
                <w:w w:val="15"/>
                <w:shd w:val="solid" w:color="000000" w:fill="000000"/>
                <w:fitText w:val="60" w:id="-1233441017"/>
                <w:lang w:val="en-US" w:eastAsia="en-US"/>
                <w14:textFill>
                  <w14:solidFill>
                    <w14:srgbClr w14:val="000000">
                      <w14:alpha w14:val="100000"/>
                    </w14:srgbClr>
                  </w14:solidFill>
                </w14:textFill>
              </w:rPr>
              <w:t xml:space="preserve">　</w:t>
            </w:r>
            <w:r w:rsidRPr="00320A42">
              <w:rPr>
                <w:color w:val="000000"/>
                <w:w w:val="15"/>
                <w:shd w:val="solid" w:color="000000" w:fill="000000"/>
                <w:fitText w:val="60" w:id="-1233441017"/>
                <w:lang w:val="en-US" w:eastAsia="en-US"/>
                <w14:textFill>
                  <w14:solidFill>
                    <w14:srgbClr w14:val="000000">
                      <w14:alpha w14:val="100000"/>
                    </w14:srgbClr>
                  </w14:solidFill>
                </w14:textFill>
              </w:rPr>
              <w:t>|</w:t>
            </w:r>
            <w:r w:rsidRPr="00320A42">
              <w:rPr>
                <w:rFonts w:hint="eastAsia"/>
                <w:color w:val="000000"/>
                <w:spacing w:val="-15"/>
                <w:w w:val="15"/>
                <w:shd w:val="solid" w:color="000000" w:fill="000000"/>
                <w:fitText w:val="60" w:id="-1233441017"/>
                <w:lang w:val="en-US" w:eastAsia="en-US"/>
                <w14:textFill>
                  <w14:solidFill>
                    <w14:srgbClr w14:val="000000">
                      <w14:alpha w14:val="100000"/>
                    </w14:srgbClr>
                  </w14:solidFill>
                </w14:textFill>
              </w:rPr>
              <w:t xml:space="preserve">　</w:t>
            </w:r>
            <w:r w:rsidR="00770E8A">
              <w:rPr>
                <w:vertAlign w:val="superscript"/>
                <w:lang w:val="en-US" w:eastAsia="en-US"/>
              </w:rPr>
              <w:t>6</w:t>
            </w:r>
          </w:p>
        </w:tc>
        <w:tc>
          <w:tcPr>
            <w:tcW w:w="1104" w:type="dxa"/>
            <w:shd w:val="clear" w:color="auto" w:fill="auto"/>
            <w:vAlign w:val="center"/>
          </w:tcPr>
          <w:p w14:paraId="7DB415AF" w14:textId="1165B848" w:rsidR="00F847B8" w:rsidRPr="008F37FB" w:rsidRDefault="00320A42" w:rsidP="00F847B8">
            <w:pPr>
              <w:pStyle w:val="COMTabletext"/>
              <w:jc w:val="center"/>
              <w:rPr>
                <w:highlight w:val="darkGray"/>
              </w:rPr>
            </w:pPr>
            <w:r w:rsidRPr="00320A42">
              <w:rPr>
                <w:rFonts w:hint="eastAsia"/>
                <w:color w:val="000000"/>
                <w:w w:val="15"/>
                <w:shd w:val="solid" w:color="000000" w:fill="000000"/>
                <w:fitText w:val="60" w:id="-1233441016"/>
                <w:lang w:val="en-US" w:eastAsia="en-US"/>
                <w14:textFill>
                  <w14:solidFill>
                    <w14:srgbClr w14:val="000000">
                      <w14:alpha w14:val="100000"/>
                    </w14:srgbClr>
                  </w14:solidFill>
                </w14:textFill>
              </w:rPr>
              <w:t xml:space="preserve">　</w:t>
            </w:r>
            <w:r w:rsidRPr="00320A42">
              <w:rPr>
                <w:color w:val="000000"/>
                <w:w w:val="15"/>
                <w:shd w:val="solid" w:color="000000" w:fill="000000"/>
                <w:fitText w:val="60" w:id="-1233441016"/>
                <w:lang w:val="en-US" w:eastAsia="en-US"/>
                <w14:textFill>
                  <w14:solidFill>
                    <w14:srgbClr w14:val="000000">
                      <w14:alpha w14:val="100000"/>
                    </w14:srgbClr>
                  </w14:solidFill>
                </w14:textFill>
              </w:rPr>
              <w:t>|</w:t>
            </w:r>
            <w:r w:rsidRPr="00320A42">
              <w:rPr>
                <w:rFonts w:hint="eastAsia"/>
                <w:color w:val="000000"/>
                <w:spacing w:val="-15"/>
                <w:w w:val="15"/>
                <w:shd w:val="solid" w:color="000000" w:fill="000000"/>
                <w:fitText w:val="60" w:id="-1233441016"/>
                <w:lang w:val="en-US" w:eastAsia="en-US"/>
                <w14:textFill>
                  <w14:solidFill>
                    <w14:srgbClr w14:val="000000">
                      <w14:alpha w14:val="100000"/>
                    </w14:srgbClr>
                  </w14:solidFill>
                </w14:textFill>
              </w:rPr>
              <w:t xml:space="preserve">　</w:t>
            </w:r>
            <w:r w:rsidR="00770E8A">
              <w:rPr>
                <w:vertAlign w:val="superscript"/>
                <w:lang w:val="en-US" w:eastAsia="en-US"/>
              </w:rPr>
              <w:t>6</w:t>
            </w:r>
          </w:p>
        </w:tc>
        <w:tc>
          <w:tcPr>
            <w:tcW w:w="1104" w:type="dxa"/>
            <w:shd w:val="clear" w:color="auto" w:fill="auto"/>
            <w:vAlign w:val="center"/>
          </w:tcPr>
          <w:p w14:paraId="00B0D430" w14:textId="61F43F37" w:rsidR="00F847B8" w:rsidRPr="008F37FB" w:rsidRDefault="00320A42" w:rsidP="00F847B8">
            <w:pPr>
              <w:pStyle w:val="COMTabletext"/>
              <w:jc w:val="center"/>
              <w:rPr>
                <w:highlight w:val="darkGray"/>
              </w:rPr>
            </w:pPr>
            <w:r w:rsidRPr="00320A42">
              <w:rPr>
                <w:rFonts w:hint="eastAsia"/>
                <w:color w:val="000000"/>
                <w:w w:val="15"/>
                <w:shd w:val="solid" w:color="000000" w:fill="000000"/>
                <w:fitText w:val="60" w:id="-1233441015"/>
                <w:lang w:val="en-US" w:eastAsia="en-US"/>
                <w14:textFill>
                  <w14:solidFill>
                    <w14:srgbClr w14:val="000000">
                      <w14:alpha w14:val="100000"/>
                    </w14:srgbClr>
                  </w14:solidFill>
                </w14:textFill>
              </w:rPr>
              <w:t xml:space="preserve">　</w:t>
            </w:r>
            <w:r w:rsidRPr="00320A42">
              <w:rPr>
                <w:color w:val="000000"/>
                <w:w w:val="15"/>
                <w:shd w:val="solid" w:color="000000" w:fill="000000"/>
                <w:fitText w:val="60" w:id="-1233441015"/>
                <w:lang w:val="en-US" w:eastAsia="en-US"/>
                <w14:textFill>
                  <w14:solidFill>
                    <w14:srgbClr w14:val="000000">
                      <w14:alpha w14:val="100000"/>
                    </w14:srgbClr>
                  </w14:solidFill>
                </w14:textFill>
              </w:rPr>
              <w:t>|</w:t>
            </w:r>
            <w:r w:rsidRPr="00320A42">
              <w:rPr>
                <w:rFonts w:hint="eastAsia"/>
                <w:color w:val="000000"/>
                <w:spacing w:val="-15"/>
                <w:w w:val="15"/>
                <w:shd w:val="solid" w:color="000000" w:fill="000000"/>
                <w:fitText w:val="60" w:id="-1233441015"/>
                <w:lang w:val="en-US" w:eastAsia="en-US"/>
                <w14:textFill>
                  <w14:solidFill>
                    <w14:srgbClr w14:val="000000">
                      <w14:alpha w14:val="100000"/>
                    </w14:srgbClr>
                  </w14:solidFill>
                </w14:textFill>
              </w:rPr>
              <w:t xml:space="preserve">　</w:t>
            </w:r>
            <w:r w:rsidR="00770E8A">
              <w:rPr>
                <w:vertAlign w:val="superscript"/>
                <w:lang w:val="en-US" w:eastAsia="en-US"/>
              </w:rPr>
              <w:t>6</w:t>
            </w:r>
          </w:p>
        </w:tc>
      </w:tr>
      <w:tr w:rsidR="00B85E2A" w:rsidRPr="00A3158B" w14:paraId="42EF47E9" w14:textId="77777777" w:rsidTr="00F41818">
        <w:tc>
          <w:tcPr>
            <w:tcW w:w="2547" w:type="dxa"/>
            <w:shd w:val="clear" w:color="auto" w:fill="auto"/>
            <w:vAlign w:val="center"/>
          </w:tcPr>
          <w:p w14:paraId="277CB79D" w14:textId="77777777" w:rsidR="00B85E2A" w:rsidRPr="00A3158B" w:rsidRDefault="00B85E2A" w:rsidP="00B85E2A">
            <w:pPr>
              <w:pStyle w:val="COMTabletext"/>
              <w:rPr>
                <w:b/>
                <w:bCs w:val="0"/>
              </w:rPr>
            </w:pPr>
            <w:r w:rsidRPr="00A3158B">
              <w:rPr>
                <w:b/>
                <w:bCs w:val="0"/>
              </w:rPr>
              <w:t xml:space="preserve">Net cost to PBS/RPBS </w:t>
            </w:r>
          </w:p>
          <w:p w14:paraId="769CDD08" w14:textId="31B0A9F1" w:rsidR="00B85E2A" w:rsidRPr="00A3158B" w:rsidRDefault="00B85E2A" w:rsidP="00B85E2A">
            <w:pPr>
              <w:pStyle w:val="COMTabletext"/>
              <w:rPr>
                <w:b/>
                <w:bCs w:val="0"/>
              </w:rPr>
            </w:pPr>
            <w:r w:rsidRPr="00A3158B">
              <w:rPr>
                <w:b/>
                <w:bCs w:val="0"/>
              </w:rPr>
              <w:t>less copayment</w:t>
            </w:r>
            <w:r w:rsidR="008F37FB">
              <w:rPr>
                <w:b/>
                <w:bCs w:val="0"/>
              </w:rPr>
              <w:t xml:space="preserve"> ($)</w:t>
            </w:r>
          </w:p>
        </w:tc>
        <w:tc>
          <w:tcPr>
            <w:tcW w:w="1001" w:type="dxa"/>
            <w:shd w:val="clear" w:color="auto" w:fill="auto"/>
            <w:vAlign w:val="center"/>
          </w:tcPr>
          <w:p w14:paraId="7AD8800A" w14:textId="2A693717" w:rsidR="00B85E2A" w:rsidRPr="008F37FB" w:rsidRDefault="00320A42" w:rsidP="00B85E2A">
            <w:pPr>
              <w:pStyle w:val="COMTabletext"/>
              <w:jc w:val="center"/>
              <w:rPr>
                <w:b/>
                <w:bCs w:val="0"/>
                <w:highlight w:val="darkGray"/>
              </w:rPr>
            </w:pPr>
            <w:r w:rsidRPr="00320A42">
              <w:rPr>
                <w:rFonts w:hint="eastAsia"/>
                <w:b/>
                <w:bCs w:val="0"/>
                <w:color w:val="000000"/>
                <w:w w:val="30"/>
                <w:shd w:val="solid" w:color="000000" w:fill="000000"/>
                <w:fitText w:val="135" w:id="-1233441014"/>
                <w14:textFill>
                  <w14:solidFill>
                    <w14:srgbClr w14:val="000000">
                      <w14:alpha w14:val="100000"/>
                    </w14:srgbClr>
                  </w14:solidFill>
                </w14:textFill>
              </w:rPr>
              <w:t xml:space="preserve">　</w:t>
            </w:r>
            <w:r w:rsidRPr="00320A42">
              <w:rPr>
                <w:b/>
                <w:bCs w:val="0"/>
                <w:color w:val="000000"/>
                <w:w w:val="30"/>
                <w:shd w:val="solid" w:color="000000" w:fill="000000"/>
                <w:fitText w:val="135" w:id="-1233441014"/>
                <w14:textFill>
                  <w14:solidFill>
                    <w14:srgbClr w14:val="000000">
                      <w14:alpha w14:val="100000"/>
                    </w14:srgbClr>
                  </w14:solidFill>
                </w14:textFill>
              </w:rPr>
              <w:t>|</w:t>
            </w:r>
            <w:r w:rsidRPr="00320A42">
              <w:rPr>
                <w:rFonts w:hint="eastAsia"/>
                <w:b/>
                <w:bCs w:val="0"/>
                <w:color w:val="000000"/>
                <w:spacing w:val="2"/>
                <w:w w:val="30"/>
                <w:shd w:val="solid" w:color="000000" w:fill="000000"/>
                <w:fitText w:val="135" w:id="-1233441014"/>
                <w14:textFill>
                  <w14:solidFill>
                    <w14:srgbClr w14:val="000000">
                      <w14:alpha w14:val="100000"/>
                    </w14:srgbClr>
                  </w14:solidFill>
                </w14:textFill>
              </w:rPr>
              <w:t xml:space="preserve">　</w:t>
            </w:r>
            <w:r w:rsidR="00770E8A">
              <w:rPr>
                <w:vertAlign w:val="superscript"/>
                <w:lang w:val="en-US" w:eastAsia="en-US"/>
              </w:rPr>
              <w:t>2</w:t>
            </w:r>
          </w:p>
        </w:tc>
        <w:tc>
          <w:tcPr>
            <w:tcW w:w="1104" w:type="dxa"/>
            <w:shd w:val="clear" w:color="auto" w:fill="auto"/>
            <w:vAlign w:val="center"/>
          </w:tcPr>
          <w:p w14:paraId="5EB4F917" w14:textId="0B94163F" w:rsidR="00B85E2A" w:rsidRPr="008F37FB" w:rsidRDefault="00320A42" w:rsidP="00B85E2A">
            <w:pPr>
              <w:pStyle w:val="COMTabletext"/>
              <w:jc w:val="center"/>
              <w:rPr>
                <w:b/>
                <w:bCs w:val="0"/>
                <w:highlight w:val="darkGray"/>
              </w:rPr>
            </w:pPr>
            <w:r w:rsidRPr="0018019B">
              <w:rPr>
                <w:rFonts w:hint="eastAsia"/>
                <w:b/>
                <w:bCs w:val="0"/>
                <w:color w:val="000000"/>
                <w:w w:val="23"/>
                <w:shd w:val="solid" w:color="000000" w:fill="000000"/>
                <w:fitText w:val="105" w:id="-1233441013"/>
                <w14:textFill>
                  <w14:solidFill>
                    <w14:srgbClr w14:val="000000">
                      <w14:alpha w14:val="100000"/>
                    </w14:srgbClr>
                  </w14:solidFill>
                </w14:textFill>
              </w:rPr>
              <w:t xml:space="preserve">　</w:t>
            </w:r>
            <w:r w:rsidRPr="0018019B">
              <w:rPr>
                <w:b/>
                <w:bCs w:val="0"/>
                <w:color w:val="000000"/>
                <w:w w:val="23"/>
                <w:shd w:val="solid" w:color="000000" w:fill="000000"/>
                <w:fitText w:val="105" w:id="-1233441013"/>
                <w14:textFill>
                  <w14:solidFill>
                    <w14:srgbClr w14:val="000000">
                      <w14:alpha w14:val="100000"/>
                    </w14:srgbClr>
                  </w14:solidFill>
                </w14:textFill>
              </w:rPr>
              <w:t>|</w:t>
            </w:r>
            <w:r w:rsidRPr="0018019B">
              <w:rPr>
                <w:rFonts w:hint="eastAsia"/>
                <w:b/>
                <w:bCs w:val="0"/>
                <w:color w:val="000000"/>
                <w:spacing w:val="3"/>
                <w:w w:val="23"/>
                <w:shd w:val="solid" w:color="000000" w:fill="000000"/>
                <w:fitText w:val="105" w:id="-1233441013"/>
                <w14:textFill>
                  <w14:solidFill>
                    <w14:srgbClr w14:val="000000">
                      <w14:alpha w14:val="100000"/>
                    </w14:srgbClr>
                  </w14:solidFill>
                </w14:textFill>
              </w:rPr>
              <w:t xml:space="preserve">　</w:t>
            </w:r>
            <w:r w:rsidR="00770E8A">
              <w:rPr>
                <w:vertAlign w:val="superscript"/>
                <w:lang w:val="en-US" w:eastAsia="en-US"/>
              </w:rPr>
              <w:t>4</w:t>
            </w:r>
          </w:p>
        </w:tc>
        <w:tc>
          <w:tcPr>
            <w:tcW w:w="1104" w:type="dxa"/>
            <w:shd w:val="clear" w:color="auto" w:fill="auto"/>
            <w:vAlign w:val="center"/>
          </w:tcPr>
          <w:p w14:paraId="5FC4D220" w14:textId="674AFDD1" w:rsidR="00B85E2A" w:rsidRPr="008F37FB" w:rsidRDefault="00320A42" w:rsidP="00B85E2A">
            <w:pPr>
              <w:pStyle w:val="COMTabletext"/>
              <w:jc w:val="center"/>
              <w:rPr>
                <w:b/>
                <w:bCs w:val="0"/>
                <w:highlight w:val="darkGray"/>
              </w:rPr>
            </w:pPr>
            <w:r w:rsidRPr="0018019B">
              <w:rPr>
                <w:rFonts w:hint="eastAsia"/>
                <w:b/>
                <w:bCs w:val="0"/>
                <w:color w:val="000000"/>
                <w:w w:val="23"/>
                <w:shd w:val="solid" w:color="000000" w:fill="000000"/>
                <w:fitText w:val="105" w:id="-1233441012"/>
                <w14:textFill>
                  <w14:solidFill>
                    <w14:srgbClr w14:val="000000">
                      <w14:alpha w14:val="100000"/>
                    </w14:srgbClr>
                  </w14:solidFill>
                </w14:textFill>
              </w:rPr>
              <w:t xml:space="preserve">　</w:t>
            </w:r>
            <w:r w:rsidRPr="0018019B">
              <w:rPr>
                <w:b/>
                <w:bCs w:val="0"/>
                <w:color w:val="000000"/>
                <w:w w:val="23"/>
                <w:shd w:val="solid" w:color="000000" w:fill="000000"/>
                <w:fitText w:val="105" w:id="-1233441012"/>
                <w14:textFill>
                  <w14:solidFill>
                    <w14:srgbClr w14:val="000000">
                      <w14:alpha w14:val="100000"/>
                    </w14:srgbClr>
                  </w14:solidFill>
                </w14:textFill>
              </w:rPr>
              <w:t>|</w:t>
            </w:r>
            <w:r w:rsidRPr="0018019B">
              <w:rPr>
                <w:rFonts w:hint="eastAsia"/>
                <w:b/>
                <w:bCs w:val="0"/>
                <w:color w:val="000000"/>
                <w:spacing w:val="3"/>
                <w:w w:val="23"/>
                <w:shd w:val="solid" w:color="000000" w:fill="000000"/>
                <w:fitText w:val="105" w:id="-1233441012"/>
                <w14:textFill>
                  <w14:solidFill>
                    <w14:srgbClr w14:val="000000">
                      <w14:alpha w14:val="100000"/>
                    </w14:srgbClr>
                  </w14:solidFill>
                </w14:textFill>
              </w:rPr>
              <w:t xml:space="preserve">　</w:t>
            </w:r>
            <w:r w:rsidR="00770E8A">
              <w:rPr>
                <w:vertAlign w:val="superscript"/>
                <w:lang w:val="en-US" w:eastAsia="en-US"/>
              </w:rPr>
              <w:t>4</w:t>
            </w:r>
          </w:p>
        </w:tc>
        <w:tc>
          <w:tcPr>
            <w:tcW w:w="1103" w:type="dxa"/>
            <w:shd w:val="clear" w:color="auto" w:fill="auto"/>
            <w:vAlign w:val="center"/>
          </w:tcPr>
          <w:p w14:paraId="1CBE0F9C" w14:textId="0C2DF1AD" w:rsidR="00B85E2A" w:rsidRPr="008F37FB" w:rsidRDefault="00320A42" w:rsidP="00B85E2A">
            <w:pPr>
              <w:pStyle w:val="COMTabletext"/>
              <w:jc w:val="center"/>
              <w:rPr>
                <w:b/>
                <w:bCs w:val="0"/>
                <w:highlight w:val="darkGray"/>
              </w:rPr>
            </w:pPr>
            <w:r w:rsidRPr="0018019B">
              <w:rPr>
                <w:rFonts w:hint="eastAsia"/>
                <w:b/>
                <w:bCs w:val="0"/>
                <w:color w:val="000000"/>
                <w:w w:val="23"/>
                <w:shd w:val="solid" w:color="000000" w:fill="000000"/>
                <w:fitText w:val="105" w:id="-1233441011"/>
                <w14:textFill>
                  <w14:solidFill>
                    <w14:srgbClr w14:val="000000">
                      <w14:alpha w14:val="100000"/>
                    </w14:srgbClr>
                  </w14:solidFill>
                </w14:textFill>
              </w:rPr>
              <w:t xml:space="preserve">　</w:t>
            </w:r>
            <w:r w:rsidRPr="0018019B">
              <w:rPr>
                <w:b/>
                <w:bCs w:val="0"/>
                <w:color w:val="000000"/>
                <w:w w:val="23"/>
                <w:shd w:val="solid" w:color="000000" w:fill="000000"/>
                <w:fitText w:val="105" w:id="-1233441011"/>
                <w14:textFill>
                  <w14:solidFill>
                    <w14:srgbClr w14:val="000000">
                      <w14:alpha w14:val="100000"/>
                    </w14:srgbClr>
                  </w14:solidFill>
                </w14:textFill>
              </w:rPr>
              <w:t>|</w:t>
            </w:r>
            <w:r w:rsidRPr="0018019B">
              <w:rPr>
                <w:rFonts w:hint="eastAsia"/>
                <w:b/>
                <w:bCs w:val="0"/>
                <w:color w:val="000000"/>
                <w:spacing w:val="3"/>
                <w:w w:val="23"/>
                <w:shd w:val="solid" w:color="000000" w:fill="000000"/>
                <w:fitText w:val="105" w:id="-1233441011"/>
                <w14:textFill>
                  <w14:solidFill>
                    <w14:srgbClr w14:val="000000">
                      <w14:alpha w14:val="100000"/>
                    </w14:srgbClr>
                  </w14:solidFill>
                </w14:textFill>
              </w:rPr>
              <w:t xml:space="preserve">　</w:t>
            </w:r>
            <w:r w:rsidR="00770E8A">
              <w:rPr>
                <w:vertAlign w:val="superscript"/>
                <w:lang w:val="en-US" w:eastAsia="en-US"/>
              </w:rPr>
              <w:t>7</w:t>
            </w:r>
          </w:p>
        </w:tc>
        <w:tc>
          <w:tcPr>
            <w:tcW w:w="1104" w:type="dxa"/>
            <w:shd w:val="clear" w:color="auto" w:fill="auto"/>
            <w:vAlign w:val="center"/>
          </w:tcPr>
          <w:p w14:paraId="4269A26C" w14:textId="5D4D0F38" w:rsidR="00B85E2A" w:rsidRPr="008F37FB" w:rsidRDefault="00320A42" w:rsidP="00B85E2A">
            <w:pPr>
              <w:pStyle w:val="COMTabletext"/>
              <w:jc w:val="center"/>
              <w:rPr>
                <w:b/>
                <w:bCs w:val="0"/>
                <w:highlight w:val="darkGray"/>
              </w:rPr>
            </w:pPr>
            <w:r w:rsidRPr="0018019B">
              <w:rPr>
                <w:rFonts w:hint="eastAsia"/>
                <w:b/>
                <w:bCs w:val="0"/>
                <w:color w:val="000000"/>
                <w:w w:val="23"/>
                <w:shd w:val="solid" w:color="000000" w:fill="000000"/>
                <w:fitText w:val="105" w:id="-1233441010"/>
                <w14:textFill>
                  <w14:solidFill>
                    <w14:srgbClr w14:val="000000">
                      <w14:alpha w14:val="100000"/>
                    </w14:srgbClr>
                  </w14:solidFill>
                </w14:textFill>
              </w:rPr>
              <w:t xml:space="preserve">　</w:t>
            </w:r>
            <w:r w:rsidRPr="0018019B">
              <w:rPr>
                <w:b/>
                <w:bCs w:val="0"/>
                <w:color w:val="000000"/>
                <w:w w:val="23"/>
                <w:shd w:val="solid" w:color="000000" w:fill="000000"/>
                <w:fitText w:val="105" w:id="-1233441010"/>
                <w14:textFill>
                  <w14:solidFill>
                    <w14:srgbClr w14:val="000000">
                      <w14:alpha w14:val="100000"/>
                    </w14:srgbClr>
                  </w14:solidFill>
                </w14:textFill>
              </w:rPr>
              <w:t>|</w:t>
            </w:r>
            <w:r w:rsidRPr="0018019B">
              <w:rPr>
                <w:rFonts w:hint="eastAsia"/>
                <w:b/>
                <w:bCs w:val="0"/>
                <w:color w:val="000000"/>
                <w:spacing w:val="3"/>
                <w:w w:val="23"/>
                <w:shd w:val="solid" w:color="000000" w:fill="000000"/>
                <w:fitText w:val="105" w:id="-1233441010"/>
                <w14:textFill>
                  <w14:solidFill>
                    <w14:srgbClr w14:val="000000">
                      <w14:alpha w14:val="100000"/>
                    </w14:srgbClr>
                  </w14:solidFill>
                </w14:textFill>
              </w:rPr>
              <w:t xml:space="preserve">　</w:t>
            </w:r>
            <w:r w:rsidR="00770E8A">
              <w:rPr>
                <w:vertAlign w:val="superscript"/>
                <w:lang w:val="en-US" w:eastAsia="en-US"/>
              </w:rPr>
              <w:t>7</w:t>
            </w:r>
          </w:p>
        </w:tc>
        <w:tc>
          <w:tcPr>
            <w:tcW w:w="1104" w:type="dxa"/>
            <w:shd w:val="clear" w:color="auto" w:fill="auto"/>
            <w:vAlign w:val="center"/>
          </w:tcPr>
          <w:p w14:paraId="6988DF66" w14:textId="14C81D61" w:rsidR="00B85E2A" w:rsidRPr="008F37FB" w:rsidRDefault="00320A42" w:rsidP="00B85E2A">
            <w:pPr>
              <w:pStyle w:val="COMTabletext"/>
              <w:jc w:val="center"/>
              <w:rPr>
                <w:b/>
                <w:bCs w:val="0"/>
                <w:highlight w:val="darkGray"/>
              </w:rPr>
            </w:pPr>
            <w:r w:rsidRPr="0018019B">
              <w:rPr>
                <w:rFonts w:hint="eastAsia"/>
                <w:b/>
                <w:bCs w:val="0"/>
                <w:color w:val="000000"/>
                <w:w w:val="23"/>
                <w:shd w:val="solid" w:color="000000" w:fill="000000"/>
                <w:fitText w:val="105" w:id="-1233441009"/>
                <w14:textFill>
                  <w14:solidFill>
                    <w14:srgbClr w14:val="000000">
                      <w14:alpha w14:val="100000"/>
                    </w14:srgbClr>
                  </w14:solidFill>
                </w14:textFill>
              </w:rPr>
              <w:t xml:space="preserve">　</w:t>
            </w:r>
            <w:r w:rsidRPr="0018019B">
              <w:rPr>
                <w:b/>
                <w:bCs w:val="0"/>
                <w:color w:val="000000"/>
                <w:w w:val="23"/>
                <w:shd w:val="solid" w:color="000000" w:fill="000000"/>
                <w:fitText w:val="105" w:id="-1233441009"/>
                <w14:textFill>
                  <w14:solidFill>
                    <w14:srgbClr w14:val="000000">
                      <w14:alpha w14:val="100000"/>
                    </w14:srgbClr>
                  </w14:solidFill>
                </w14:textFill>
              </w:rPr>
              <w:t>|</w:t>
            </w:r>
            <w:r w:rsidRPr="0018019B">
              <w:rPr>
                <w:rFonts w:hint="eastAsia"/>
                <w:b/>
                <w:bCs w:val="0"/>
                <w:color w:val="000000"/>
                <w:spacing w:val="3"/>
                <w:w w:val="23"/>
                <w:shd w:val="solid" w:color="000000" w:fill="000000"/>
                <w:fitText w:val="105" w:id="-1233441009"/>
                <w14:textFill>
                  <w14:solidFill>
                    <w14:srgbClr w14:val="000000">
                      <w14:alpha w14:val="100000"/>
                    </w14:srgbClr>
                  </w14:solidFill>
                </w14:textFill>
              </w:rPr>
              <w:t xml:space="preserve">　</w:t>
            </w:r>
            <w:r w:rsidR="00770E8A">
              <w:rPr>
                <w:vertAlign w:val="superscript"/>
                <w:lang w:val="en-US" w:eastAsia="en-US"/>
              </w:rPr>
              <w:t>7</w:t>
            </w:r>
          </w:p>
        </w:tc>
      </w:tr>
    </w:tbl>
    <w:p w14:paraId="024C2B76" w14:textId="67D3C3B8" w:rsidR="002A5BB8" w:rsidRDefault="00B85E2A" w:rsidP="00C33B3A">
      <w:pPr>
        <w:pStyle w:val="COMTablefooter"/>
        <w:spacing w:after="0"/>
      </w:pPr>
      <w:r w:rsidRPr="00464386">
        <w:t>Source:</w:t>
      </w:r>
      <w:r>
        <w:t xml:space="preserve"> ‘</w:t>
      </w:r>
      <w:r w:rsidRPr="00B85E2A">
        <w:t>Item 7.07 Pre-PBAC Response finerenone (Kerendia) Section_4_model revised</w:t>
      </w:r>
      <w:r>
        <w:t>.xlsx’. Attached to the pre-PBAC response.</w:t>
      </w:r>
    </w:p>
    <w:p w14:paraId="5294FCAF" w14:textId="77777777" w:rsidR="00C33B3A" w:rsidRPr="009A6D58" w:rsidRDefault="00C33B3A" w:rsidP="00C33B3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045BEBD" w14:textId="0A9D3110" w:rsidR="00C33B3A" w:rsidRPr="009A6D58" w:rsidRDefault="00C33B3A" w:rsidP="00C33B3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1</w:t>
      </w:r>
      <w:r w:rsidRPr="008F37FB">
        <w:rPr>
          <w:rFonts w:ascii="Arial Narrow" w:hAnsi="Arial Narrow"/>
          <w:i/>
          <w:sz w:val="18"/>
          <w:szCs w:val="18"/>
        </w:rPr>
        <w:t xml:space="preserve">0,000 to &lt; </w:t>
      </w:r>
      <w:r>
        <w:rPr>
          <w:rFonts w:ascii="Arial Narrow" w:hAnsi="Arial Narrow"/>
          <w:i/>
          <w:sz w:val="18"/>
          <w:szCs w:val="18"/>
        </w:rPr>
        <w:t>2</w:t>
      </w:r>
      <w:r w:rsidRPr="008F37FB">
        <w:rPr>
          <w:rFonts w:ascii="Arial Narrow" w:hAnsi="Arial Narrow"/>
          <w:i/>
          <w:sz w:val="18"/>
          <w:szCs w:val="18"/>
        </w:rPr>
        <w:t>0,000</w:t>
      </w:r>
    </w:p>
    <w:p w14:paraId="2EB32670" w14:textId="5777672E" w:rsidR="00C33B3A" w:rsidRPr="009A6D58" w:rsidRDefault="00C33B3A" w:rsidP="00C33B3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33B3A">
        <w:rPr>
          <w:rFonts w:ascii="Arial Narrow" w:hAnsi="Arial Narrow"/>
          <w:i/>
          <w:sz w:val="18"/>
          <w:szCs w:val="18"/>
        </w:rPr>
        <w:t>$0 to &lt; $10 million</w:t>
      </w:r>
    </w:p>
    <w:p w14:paraId="29D65EFF" w14:textId="0E14376E" w:rsidR="00C33B3A" w:rsidRDefault="00C33B3A" w:rsidP="00C33B3A">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2</w:t>
      </w:r>
      <w:r w:rsidRPr="008F37FB">
        <w:rPr>
          <w:rFonts w:ascii="Arial Narrow" w:hAnsi="Arial Narrow"/>
          <w:i/>
          <w:sz w:val="18"/>
          <w:szCs w:val="18"/>
        </w:rPr>
        <w:t xml:space="preserve">0,000 to &lt; </w:t>
      </w:r>
      <w:r>
        <w:rPr>
          <w:rFonts w:ascii="Arial Narrow" w:hAnsi="Arial Narrow"/>
          <w:i/>
          <w:sz w:val="18"/>
          <w:szCs w:val="18"/>
        </w:rPr>
        <w:t>3</w:t>
      </w:r>
      <w:r w:rsidRPr="008F37FB">
        <w:rPr>
          <w:rFonts w:ascii="Arial Narrow" w:hAnsi="Arial Narrow"/>
          <w:i/>
          <w:sz w:val="18"/>
          <w:szCs w:val="18"/>
        </w:rPr>
        <w:t>0,000</w:t>
      </w:r>
    </w:p>
    <w:p w14:paraId="20071AFB" w14:textId="77777777" w:rsidR="00C33B3A" w:rsidRDefault="00C33B3A" w:rsidP="00C33B3A">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8F37FB">
        <w:rPr>
          <w:rFonts w:ascii="Arial Narrow" w:hAnsi="Arial Narrow"/>
          <w:i/>
          <w:sz w:val="18"/>
          <w:szCs w:val="18"/>
        </w:rPr>
        <w:t>$10 million to &lt; $20 million</w:t>
      </w:r>
    </w:p>
    <w:p w14:paraId="4BA2C774" w14:textId="34216688" w:rsidR="00C33B3A" w:rsidRDefault="00C33B3A" w:rsidP="00C33B3A">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7275A5" w:rsidRPr="008F37FB">
        <w:rPr>
          <w:rFonts w:ascii="Arial Narrow" w:hAnsi="Arial Narrow"/>
          <w:i/>
          <w:sz w:val="18"/>
          <w:szCs w:val="18"/>
        </w:rPr>
        <w:t>30,000 to &lt; 40,000</w:t>
      </w:r>
    </w:p>
    <w:p w14:paraId="3ECA96CA" w14:textId="47EDD713" w:rsidR="00C33B3A" w:rsidRDefault="00C33B3A" w:rsidP="00C33B3A">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7275A5" w:rsidRPr="008F37FB">
        <w:rPr>
          <w:rFonts w:ascii="Arial Narrow" w:hAnsi="Arial Narrow"/>
          <w:i/>
          <w:sz w:val="18"/>
          <w:szCs w:val="18"/>
        </w:rPr>
        <w:t>40,000 to &lt; 50,000</w:t>
      </w:r>
    </w:p>
    <w:p w14:paraId="420846E8" w14:textId="3421D7B3" w:rsidR="00C33B3A" w:rsidRPr="00C33B3A" w:rsidRDefault="00C33B3A" w:rsidP="00C33B3A">
      <w:pPr>
        <w:spacing w:after="120"/>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8F37FB">
        <w:rPr>
          <w:rFonts w:ascii="Arial Narrow" w:hAnsi="Arial Narrow"/>
          <w:i/>
          <w:sz w:val="18"/>
          <w:szCs w:val="18"/>
        </w:rPr>
        <w:t>$20 million to &lt; $30 million</w:t>
      </w:r>
    </w:p>
    <w:p w14:paraId="75586731" w14:textId="1F6F3119" w:rsidR="000902D9" w:rsidRPr="00C33755" w:rsidRDefault="001E4701" w:rsidP="00C33755">
      <w:pPr>
        <w:pStyle w:val="COMexecsumnumberedpara"/>
      </w:pPr>
      <w:r w:rsidRPr="001E4701">
        <w:rPr>
          <w:bCs/>
          <w:szCs w:val="22"/>
        </w:rPr>
        <w:t xml:space="preserve">At </w:t>
      </w:r>
      <w:r w:rsidR="0089580D">
        <w:rPr>
          <w:bCs/>
          <w:szCs w:val="22"/>
        </w:rPr>
        <w:t>Y</w:t>
      </w:r>
      <w:r w:rsidRPr="001E4701">
        <w:rPr>
          <w:bCs/>
          <w:szCs w:val="22"/>
        </w:rPr>
        <w:t xml:space="preserve">ear 1, the estimated number of patients was </w:t>
      </w:r>
      <w:r w:rsidR="00C33755" w:rsidRPr="00C33755">
        <w:rPr>
          <w:bCs/>
          <w:szCs w:val="22"/>
        </w:rPr>
        <w:t>10,000 to &lt; 20,000</w:t>
      </w:r>
      <w:r w:rsidR="00C33755">
        <w:rPr>
          <w:bCs/>
          <w:szCs w:val="22"/>
        </w:rPr>
        <w:t xml:space="preserve"> </w:t>
      </w:r>
      <w:r w:rsidRPr="00FC1D21">
        <w:rPr>
          <w:bCs/>
          <w:szCs w:val="22"/>
        </w:rPr>
        <w:t xml:space="preserve">and </w:t>
      </w:r>
      <w:r w:rsidRPr="001E4701">
        <w:t xml:space="preserve">based on the price reduction proposed in the pre-PBAC response </w:t>
      </w:r>
      <w:r w:rsidRPr="00C33755">
        <w:rPr>
          <w:bCs/>
          <w:szCs w:val="22"/>
        </w:rPr>
        <w:t xml:space="preserve">the net cost to the PBS would be </w:t>
      </w:r>
      <w:bookmarkStart w:id="61" w:name="_Hlk113629090"/>
      <w:r w:rsidR="00C33755" w:rsidRPr="00C33755">
        <w:rPr>
          <w:bCs/>
          <w:szCs w:val="22"/>
        </w:rPr>
        <w:t>$0 to &lt; $10 million</w:t>
      </w:r>
      <w:bookmarkEnd w:id="61"/>
      <w:r w:rsidRPr="00FC1D21">
        <w:rPr>
          <w:bCs/>
          <w:szCs w:val="22"/>
        </w:rPr>
        <w:t>.</w:t>
      </w:r>
      <w:r w:rsidRPr="001E4701">
        <w:t xml:space="preserve"> </w:t>
      </w:r>
      <w:r w:rsidRPr="00C33755">
        <w:rPr>
          <w:bCs/>
          <w:szCs w:val="22"/>
        </w:rPr>
        <w:t xml:space="preserve">At </w:t>
      </w:r>
      <w:r w:rsidR="0089580D" w:rsidRPr="00C33755">
        <w:rPr>
          <w:bCs/>
          <w:szCs w:val="22"/>
        </w:rPr>
        <w:t>Y</w:t>
      </w:r>
      <w:r w:rsidRPr="00C33755">
        <w:rPr>
          <w:bCs/>
          <w:szCs w:val="22"/>
        </w:rPr>
        <w:t xml:space="preserve">ear 6, the estimated number of patients was </w:t>
      </w:r>
      <w:r w:rsidR="00C33755" w:rsidRPr="00C33755">
        <w:rPr>
          <w:bCs/>
          <w:szCs w:val="22"/>
        </w:rPr>
        <w:t>40,000 to &lt; 50,000</w:t>
      </w:r>
      <w:r w:rsidR="00C33755">
        <w:rPr>
          <w:bCs/>
          <w:szCs w:val="22"/>
        </w:rPr>
        <w:t xml:space="preserve"> </w:t>
      </w:r>
      <w:r w:rsidR="005E0E5C" w:rsidRPr="00FC1D21">
        <w:rPr>
          <w:bCs/>
          <w:szCs w:val="22"/>
        </w:rPr>
        <w:t xml:space="preserve">and </w:t>
      </w:r>
      <w:r w:rsidRPr="00FC1D21">
        <w:rPr>
          <w:bCs/>
          <w:szCs w:val="22"/>
        </w:rPr>
        <w:t xml:space="preserve">the net cost to the PBS would be </w:t>
      </w:r>
      <w:r w:rsidR="00C33755" w:rsidRPr="00FC1D21">
        <w:rPr>
          <w:bCs/>
          <w:szCs w:val="22"/>
        </w:rPr>
        <w:t>$20 million to &lt; $30 million</w:t>
      </w:r>
      <w:r w:rsidRPr="00FC1D21">
        <w:rPr>
          <w:rFonts w:ascii="Arial" w:hAnsi="Arial"/>
          <w:bCs/>
          <w:sz w:val="22"/>
          <w:szCs w:val="22"/>
        </w:rPr>
        <w:t xml:space="preserve">. </w:t>
      </w:r>
      <w:r w:rsidR="00C211C2">
        <w:t xml:space="preserve">This is substantially less than the July 2022 estimate of </w:t>
      </w:r>
      <w:bookmarkStart w:id="62" w:name="_Hlk113629173"/>
      <w:r w:rsidR="00C33755" w:rsidRPr="00C33755">
        <w:t>$80 million to &lt; $90 million</w:t>
      </w:r>
      <w:bookmarkEnd w:id="62"/>
      <w:r w:rsidR="00C33755">
        <w:t xml:space="preserve"> </w:t>
      </w:r>
      <w:r w:rsidR="00C211C2" w:rsidRPr="00C623FC">
        <w:t xml:space="preserve">in Year 6, a total of </w:t>
      </w:r>
      <w:bookmarkStart w:id="63" w:name="_Hlk113629610"/>
      <w:r w:rsidR="00C33755" w:rsidRPr="00C33755">
        <w:t>$200 million to &lt; $300 million</w:t>
      </w:r>
      <w:bookmarkEnd w:id="63"/>
      <w:r w:rsidR="00C33755">
        <w:t xml:space="preserve"> </w:t>
      </w:r>
      <w:r w:rsidR="00C211C2" w:rsidRPr="00C623FC">
        <w:t>over 6 years.</w:t>
      </w:r>
      <w:r w:rsidR="00C211C2">
        <w:t xml:space="preserve"> </w:t>
      </w:r>
      <w:r w:rsidR="00C211C2" w:rsidRPr="00C33755">
        <w:rPr>
          <w:iCs/>
        </w:rPr>
        <w:t>This is consistent with the narrower population in the requested restriction</w:t>
      </w:r>
      <w:r w:rsidR="000C4304" w:rsidRPr="000C4304">
        <w:t xml:space="preserve"> </w:t>
      </w:r>
      <w:r w:rsidR="000C4304">
        <w:t xml:space="preserve">and </w:t>
      </w:r>
      <w:r w:rsidR="000C4304" w:rsidRPr="001E4701">
        <w:t>the price reduction proposed in the pre-PBAC response</w:t>
      </w:r>
      <w:r w:rsidR="00C211C2" w:rsidRPr="00C33755">
        <w:rPr>
          <w:iCs/>
        </w:rPr>
        <w:t>.</w:t>
      </w:r>
    </w:p>
    <w:p w14:paraId="79D4DBB2" w14:textId="052F6644" w:rsidR="00C211C2" w:rsidRPr="006A7E83" w:rsidRDefault="00C211C2" w:rsidP="00D244B6">
      <w:pPr>
        <w:pStyle w:val="COMexecsumnumberedpara"/>
      </w:pPr>
      <w:bookmarkStart w:id="64" w:name="_Ref129855952"/>
      <w:r w:rsidRPr="00842145">
        <w:rPr>
          <w:iCs/>
        </w:rPr>
        <w:t xml:space="preserve">The estimated use and financial impact of finerenone may not be reliable due to uncertainties with key sources and parameters used to determine the size of the eligible and treated populations and are likely underestimated (see </w:t>
      </w:r>
      <w:r w:rsidR="00A46612" w:rsidRPr="00842145">
        <w:rPr>
          <w:iCs/>
        </w:rPr>
        <w:fldChar w:fldCharType="begin"/>
      </w:r>
      <w:r w:rsidR="00A46612" w:rsidRPr="00842145">
        <w:rPr>
          <w:iCs/>
        </w:rPr>
        <w:instrText xml:space="preserve"> REF _Ref104805262 \h  \* MERGEFORMAT </w:instrText>
      </w:r>
      <w:r w:rsidR="00A46612" w:rsidRPr="00842145">
        <w:rPr>
          <w:iCs/>
        </w:rPr>
      </w:r>
      <w:r w:rsidR="00A46612" w:rsidRPr="00842145">
        <w:rPr>
          <w:iCs/>
        </w:rPr>
        <w:fldChar w:fldCharType="separate"/>
      </w:r>
      <w:r w:rsidR="005562EE" w:rsidRPr="005562EE">
        <w:rPr>
          <w:iCs/>
        </w:rPr>
        <w:t xml:space="preserve">Table </w:t>
      </w:r>
      <w:r w:rsidR="005562EE" w:rsidRPr="005562EE">
        <w:rPr>
          <w:iCs/>
          <w:noProof/>
        </w:rPr>
        <w:t>17</w:t>
      </w:r>
      <w:r w:rsidR="00A46612" w:rsidRPr="00842145">
        <w:rPr>
          <w:iCs/>
        </w:rPr>
        <w:fldChar w:fldCharType="end"/>
      </w:r>
      <w:r w:rsidRPr="00842145">
        <w:rPr>
          <w:iCs/>
        </w:rPr>
        <w:t>).</w:t>
      </w:r>
      <w:bookmarkEnd w:id="64"/>
    </w:p>
    <w:p w14:paraId="73D319F7" w14:textId="36983B2A" w:rsidR="006A7E83" w:rsidRPr="006A7E83" w:rsidRDefault="006A7E83" w:rsidP="00D244B6">
      <w:pPr>
        <w:pStyle w:val="COMexecsumnumberedpara"/>
      </w:pPr>
      <w:r w:rsidRPr="00A6350D">
        <w:rPr>
          <w:rFonts w:cs="Calibri"/>
        </w:rPr>
        <w:t xml:space="preserve">The </w:t>
      </w:r>
      <w:r>
        <w:rPr>
          <w:rFonts w:cs="Calibri"/>
        </w:rPr>
        <w:t xml:space="preserve">resubmission stated that the </w:t>
      </w:r>
      <w:r w:rsidRPr="00A6350D">
        <w:rPr>
          <w:rFonts w:cs="Calibri"/>
        </w:rPr>
        <w:t>listing of finerenone is not expected to impact the use of other medicines on the PBS/RPBS as it is positioned as additional therapy to current SoC</w:t>
      </w:r>
      <w:r>
        <w:rPr>
          <w:rFonts w:cs="Calibri"/>
        </w:rPr>
        <w:t xml:space="preserve">, including </w:t>
      </w:r>
      <w:r w:rsidRPr="00A6350D">
        <w:rPr>
          <w:rFonts w:cs="Calibri"/>
        </w:rPr>
        <w:t xml:space="preserve">SGLT2i </w:t>
      </w:r>
      <w:r>
        <w:rPr>
          <w:rFonts w:cs="Calibri"/>
        </w:rPr>
        <w:t xml:space="preserve">medicines. </w:t>
      </w:r>
      <w:r w:rsidR="003022D8" w:rsidRPr="00842145">
        <w:rPr>
          <w:rFonts w:cs="Calibri"/>
          <w:iCs/>
        </w:rPr>
        <w:t>T</w:t>
      </w:r>
      <w:r w:rsidRPr="00842145">
        <w:rPr>
          <w:rFonts w:cs="Calibri"/>
          <w:iCs/>
        </w:rPr>
        <w:t xml:space="preserve">he impact of the requested restriction on the use of RAASi therapies and </w:t>
      </w:r>
      <w:r w:rsidRPr="00842145">
        <w:rPr>
          <w:iCs/>
        </w:rPr>
        <w:t>steroidal mineralocorticoid receptor antagonists (e.g. spironolactone, eplerenone) for the treatment of comorbid heart failure and/or treatment-resistant essential hypertension, remains unclear.</w:t>
      </w:r>
    </w:p>
    <w:p w14:paraId="44582517" w14:textId="2CA8F77B" w:rsidR="006A7E83" w:rsidRPr="00CB2958" w:rsidRDefault="006A7E83" w:rsidP="00AA3186">
      <w:pPr>
        <w:pStyle w:val="COMexecsumnumberedpara"/>
      </w:pPr>
      <w:r w:rsidRPr="00F41818">
        <w:rPr>
          <w:rFonts w:cs="Calibri"/>
        </w:rPr>
        <w:t xml:space="preserve">The costs of monitoring and management of hyperkalaemia related to the use of finerenone was not included in the resubmission, and were considered to be part of routine patient care for CKD and T2D. </w:t>
      </w:r>
      <w:r w:rsidRPr="00F41818">
        <w:rPr>
          <w:iCs/>
        </w:rPr>
        <w:t>The risk of finerenone related hyperkalaemia and management of hyperkalaemia events was not adequately addressed in the resubmission, and may result in increased costs to health budgets and patients.</w:t>
      </w:r>
      <w:r w:rsidR="00CD24DC" w:rsidRPr="00CD24DC">
        <w:t xml:space="preserve"> </w:t>
      </w:r>
      <w:r w:rsidR="00CD24DC" w:rsidRPr="00F41818">
        <w:rPr>
          <w:iCs/>
        </w:rPr>
        <w:t xml:space="preserve">The PSCR </w:t>
      </w:r>
      <w:r w:rsidR="00C04631" w:rsidRPr="00F41818">
        <w:rPr>
          <w:iCs/>
        </w:rPr>
        <w:t>argued that</w:t>
      </w:r>
      <w:r w:rsidR="00C04631">
        <w:t xml:space="preserve"> </w:t>
      </w:r>
      <w:r w:rsidR="00C04631" w:rsidRPr="00F41818">
        <w:rPr>
          <w:iCs/>
        </w:rPr>
        <w:t>while the budget impact did not account for the additional cost of hyperkalaemia, it also did not account for cost-offsets related to improved cardiovascular and renal outcomes (e.g. reduction in dialysis)</w:t>
      </w:r>
      <w:r w:rsidR="00654559" w:rsidRPr="00F41818">
        <w:rPr>
          <w:iCs/>
        </w:rPr>
        <w:t xml:space="preserve"> and </w:t>
      </w:r>
      <w:r w:rsidR="00C04631" w:rsidRPr="00F41818">
        <w:rPr>
          <w:iCs/>
        </w:rPr>
        <w:t xml:space="preserve">considered </w:t>
      </w:r>
      <w:r w:rsidR="00A72B66" w:rsidRPr="00F41818">
        <w:rPr>
          <w:iCs/>
        </w:rPr>
        <w:t>the costs related to hyperkalaemia are modest in comparison to the cost savings associated with</w:t>
      </w:r>
      <w:r w:rsidR="00654559" w:rsidRPr="00F41818">
        <w:rPr>
          <w:iCs/>
        </w:rPr>
        <w:t xml:space="preserve"> improve</w:t>
      </w:r>
      <w:r w:rsidR="00A72B66" w:rsidRPr="00F41818">
        <w:rPr>
          <w:iCs/>
        </w:rPr>
        <w:t xml:space="preserve">ments to </w:t>
      </w:r>
      <w:r w:rsidR="00654559" w:rsidRPr="00F41818">
        <w:rPr>
          <w:iCs/>
        </w:rPr>
        <w:t xml:space="preserve">health outcomes </w:t>
      </w:r>
      <w:r w:rsidR="00A72B66" w:rsidRPr="00F41818">
        <w:rPr>
          <w:iCs/>
        </w:rPr>
        <w:t>associated with finerenone treatment</w:t>
      </w:r>
      <w:r w:rsidR="00C04631" w:rsidRPr="00F41818">
        <w:rPr>
          <w:iCs/>
        </w:rPr>
        <w:t xml:space="preserve">. </w:t>
      </w:r>
      <w:r w:rsidR="00654559" w:rsidRPr="00F41818">
        <w:rPr>
          <w:iCs/>
        </w:rPr>
        <w:t>The ESC agreed with the evaluation and considered that the exclusion of</w:t>
      </w:r>
      <w:r w:rsidR="00BA6629" w:rsidRPr="00F41818">
        <w:rPr>
          <w:iCs/>
        </w:rPr>
        <w:t xml:space="preserve"> a cost related to </w:t>
      </w:r>
      <w:r w:rsidR="00654559" w:rsidRPr="00F41818">
        <w:rPr>
          <w:iCs/>
        </w:rPr>
        <w:t xml:space="preserve">hyperkalaemia </w:t>
      </w:r>
      <w:r w:rsidR="00BA6629" w:rsidRPr="00F41818">
        <w:rPr>
          <w:iCs/>
        </w:rPr>
        <w:t>in the financial estimates was not appropriate</w:t>
      </w:r>
      <w:r w:rsidR="00654559" w:rsidRPr="00F41818">
        <w:rPr>
          <w:iCs/>
        </w:rPr>
        <w:t>.</w:t>
      </w:r>
      <w:r w:rsidR="00BA6629" w:rsidRPr="00F41818">
        <w:rPr>
          <w:iCs/>
        </w:rPr>
        <w:t xml:space="preserve"> </w:t>
      </w:r>
      <w:r w:rsidR="00CD24DC" w:rsidRPr="00F41818">
        <w:rPr>
          <w:iCs/>
        </w:rPr>
        <w:t xml:space="preserve">The </w:t>
      </w:r>
      <w:r w:rsidR="00C04631" w:rsidRPr="00F41818">
        <w:rPr>
          <w:iCs/>
        </w:rPr>
        <w:t>ESC</w:t>
      </w:r>
      <w:r w:rsidR="00CD24DC" w:rsidRPr="00F41818">
        <w:rPr>
          <w:iCs/>
        </w:rPr>
        <w:t xml:space="preserve"> </w:t>
      </w:r>
      <w:r w:rsidR="00BA6629" w:rsidRPr="00F41818">
        <w:rPr>
          <w:iCs/>
        </w:rPr>
        <w:t xml:space="preserve">also </w:t>
      </w:r>
      <w:r w:rsidR="00CD24DC" w:rsidRPr="00F41818">
        <w:rPr>
          <w:iCs/>
        </w:rPr>
        <w:t>considered that</w:t>
      </w:r>
      <w:r w:rsidR="00C04631" w:rsidRPr="00F41818">
        <w:rPr>
          <w:iCs/>
        </w:rPr>
        <w:t xml:space="preserve"> the cost associated with</w:t>
      </w:r>
      <w:r w:rsidR="00CD24DC" w:rsidRPr="00F41818">
        <w:rPr>
          <w:iCs/>
        </w:rPr>
        <w:t xml:space="preserve"> </w:t>
      </w:r>
      <w:r w:rsidR="00BA6629" w:rsidRPr="00F41818">
        <w:rPr>
          <w:iCs/>
        </w:rPr>
        <w:t xml:space="preserve">a reduction in </w:t>
      </w:r>
      <w:r w:rsidR="00CD24DC" w:rsidRPr="00F41818">
        <w:rPr>
          <w:iCs/>
        </w:rPr>
        <w:t>dialysis</w:t>
      </w:r>
      <w:r w:rsidR="00BA6629" w:rsidRPr="00F41818">
        <w:rPr>
          <w:iCs/>
        </w:rPr>
        <w:t xml:space="preserve"> is largely</w:t>
      </w:r>
      <w:r w:rsidR="00CD24DC" w:rsidRPr="00F41818">
        <w:rPr>
          <w:iCs/>
        </w:rPr>
        <w:t xml:space="preserve"> a</w:t>
      </w:r>
      <w:r w:rsidR="00C04631" w:rsidRPr="00F41818">
        <w:rPr>
          <w:iCs/>
        </w:rPr>
        <w:t xml:space="preserve"> cost to the</w:t>
      </w:r>
      <w:r w:rsidR="00CD24DC" w:rsidRPr="00F41818">
        <w:rPr>
          <w:iCs/>
        </w:rPr>
        <w:t xml:space="preserve"> state</w:t>
      </w:r>
      <w:r w:rsidR="00BA6629" w:rsidRPr="00F41818">
        <w:rPr>
          <w:iCs/>
        </w:rPr>
        <w:t>s and territories,</w:t>
      </w:r>
      <w:r w:rsidR="00CD24DC" w:rsidRPr="00F41818">
        <w:rPr>
          <w:iCs/>
        </w:rPr>
        <w:t xml:space="preserve"> not </w:t>
      </w:r>
      <w:r w:rsidR="00654559" w:rsidRPr="00F41818">
        <w:rPr>
          <w:iCs/>
        </w:rPr>
        <w:t xml:space="preserve">the </w:t>
      </w:r>
      <w:r w:rsidR="00CD24DC" w:rsidRPr="00F41818">
        <w:rPr>
          <w:iCs/>
        </w:rPr>
        <w:t>MBS</w:t>
      </w:r>
      <w:r w:rsidR="00654559" w:rsidRPr="00F41818">
        <w:rPr>
          <w:iCs/>
        </w:rPr>
        <w:t>, and would therefore be inappropriate to include</w:t>
      </w:r>
      <w:r w:rsidR="00BA6629" w:rsidRPr="00F41818">
        <w:rPr>
          <w:iCs/>
        </w:rPr>
        <w:t xml:space="preserve"> in the financial estimates</w:t>
      </w:r>
      <w:r w:rsidR="00CD24DC" w:rsidRPr="00F41818">
        <w:rPr>
          <w:iCs/>
        </w:rPr>
        <w:t xml:space="preserve">. </w:t>
      </w:r>
    </w:p>
    <w:p w14:paraId="6A8160E0" w14:textId="6DA6388D" w:rsidR="00BF6A21" w:rsidRPr="00237FD8" w:rsidRDefault="00BD1617" w:rsidP="00C32D79">
      <w:pPr>
        <w:pStyle w:val="COMexecsumnumberedpara"/>
        <w:rPr>
          <w:iCs/>
        </w:rPr>
      </w:pPr>
      <w:bookmarkStart w:id="65" w:name="_Ref130111519"/>
      <w:r w:rsidRPr="00237FD8">
        <w:rPr>
          <w:iCs/>
        </w:rPr>
        <w:t>Following the ESC consideration,</w:t>
      </w:r>
      <w:r w:rsidR="00BF6A21" w:rsidRPr="00237FD8">
        <w:rPr>
          <w:iCs/>
        </w:rPr>
        <w:t xml:space="preserve"> a series of sensitivity analyses</w:t>
      </w:r>
      <w:r w:rsidR="001D6DB8" w:rsidRPr="00237FD8">
        <w:rPr>
          <w:iCs/>
        </w:rPr>
        <w:t xml:space="preserve"> </w:t>
      </w:r>
      <w:r w:rsidRPr="00237FD8">
        <w:rPr>
          <w:iCs/>
        </w:rPr>
        <w:t xml:space="preserve">were conducted by the DUSC secretariat </w:t>
      </w:r>
      <w:r w:rsidR="001D6DB8" w:rsidRPr="00237FD8">
        <w:rPr>
          <w:iCs/>
        </w:rPr>
        <w:t>that amended parameters</w:t>
      </w:r>
      <w:r w:rsidR="005E0E5C" w:rsidRPr="00237FD8">
        <w:rPr>
          <w:iCs/>
        </w:rPr>
        <w:t xml:space="preserve"> of the utilisation </w:t>
      </w:r>
      <w:r w:rsidR="005E55E9" w:rsidRPr="00237FD8">
        <w:rPr>
          <w:iCs/>
        </w:rPr>
        <w:t xml:space="preserve">and cost </w:t>
      </w:r>
      <w:r w:rsidR="004B6887" w:rsidRPr="00237FD8">
        <w:rPr>
          <w:iCs/>
        </w:rPr>
        <w:t xml:space="preserve">model </w:t>
      </w:r>
      <w:r w:rsidR="001D6DB8" w:rsidRPr="00237FD8">
        <w:rPr>
          <w:iCs/>
        </w:rPr>
        <w:t xml:space="preserve">to be in line with </w:t>
      </w:r>
      <w:r w:rsidR="005958F3" w:rsidRPr="00237FD8">
        <w:rPr>
          <w:iCs/>
        </w:rPr>
        <w:t xml:space="preserve">those </w:t>
      </w:r>
      <w:r w:rsidR="004B6887" w:rsidRPr="00237FD8">
        <w:rPr>
          <w:iCs/>
        </w:rPr>
        <w:t xml:space="preserve">recently </w:t>
      </w:r>
      <w:r w:rsidR="005958F3" w:rsidRPr="00237FD8">
        <w:rPr>
          <w:iCs/>
        </w:rPr>
        <w:t xml:space="preserve">accepted for </w:t>
      </w:r>
      <w:r w:rsidR="001D6DB8" w:rsidRPr="00237FD8">
        <w:rPr>
          <w:iCs/>
        </w:rPr>
        <w:t xml:space="preserve">dapagliflozin </w:t>
      </w:r>
      <w:r w:rsidR="001D6DB8">
        <w:t>(</w:t>
      </w:r>
      <w:r w:rsidR="00501408">
        <w:t>Table 23</w:t>
      </w:r>
      <w:r w:rsidR="001D6DB8">
        <w:t xml:space="preserve">, dapagliflozin PSD, </w:t>
      </w:r>
      <w:r w:rsidR="00501408">
        <w:t>November</w:t>
      </w:r>
      <w:r w:rsidR="001D6DB8">
        <w:t xml:space="preserve"> </w:t>
      </w:r>
      <w:r w:rsidR="00501408">
        <w:t>2021</w:t>
      </w:r>
      <w:r w:rsidR="001D6DB8">
        <w:t>)</w:t>
      </w:r>
      <w:r w:rsidR="005E0E5C">
        <w:t>,</w:t>
      </w:r>
      <w:r w:rsidR="001D6DB8" w:rsidRPr="00237FD8">
        <w:rPr>
          <w:iCs/>
        </w:rPr>
        <w:t xml:space="preserve"> </w:t>
      </w:r>
      <w:r w:rsidR="00BF6A21" w:rsidRPr="00237FD8">
        <w:rPr>
          <w:iCs/>
        </w:rPr>
        <w:t>includ</w:t>
      </w:r>
      <w:r w:rsidR="005E0E5C" w:rsidRPr="00237FD8">
        <w:rPr>
          <w:iCs/>
        </w:rPr>
        <w:t>ing</w:t>
      </w:r>
      <w:r w:rsidR="00BF6A21" w:rsidRPr="00237FD8">
        <w:rPr>
          <w:iCs/>
        </w:rPr>
        <w:t>:</w:t>
      </w:r>
      <w:bookmarkEnd w:id="65"/>
    </w:p>
    <w:p w14:paraId="2DECD14B" w14:textId="5998D2DE" w:rsidR="00BF6A21" w:rsidRDefault="00BF6A21" w:rsidP="0091328A">
      <w:pPr>
        <w:pStyle w:val="ListParagraph"/>
        <w:ind w:left="1134"/>
      </w:pPr>
      <w:r>
        <w:t xml:space="preserve">SA 1: </w:t>
      </w:r>
      <w:r w:rsidR="001D6DB8" w:rsidRPr="001D6DB8">
        <w:t xml:space="preserve">Proportion of type 2 diabetes patients with UACR ≥ 200 mg/g and eGFR ≥ 25 mL/min/1.73m2 from </w:t>
      </w:r>
      <w:r w:rsidR="001D6DB8" w:rsidRPr="00834BA8">
        <w:t>12.1</w:t>
      </w:r>
      <w:r w:rsidR="001D6DB8" w:rsidRPr="001D6DB8">
        <w:t xml:space="preserve">% to </w:t>
      </w:r>
      <w:r w:rsidR="001D6DB8" w:rsidRPr="00834BA8">
        <w:t>7.5</w:t>
      </w:r>
      <w:r w:rsidR="001D6DB8" w:rsidRPr="001D6DB8">
        <w:t>%</w:t>
      </w:r>
      <w:r w:rsidR="001D6DB8">
        <w:t>;</w:t>
      </w:r>
    </w:p>
    <w:p w14:paraId="7125E80F" w14:textId="11C25D7F" w:rsidR="00BF6A21" w:rsidRDefault="00BF6A21" w:rsidP="0091328A">
      <w:pPr>
        <w:pStyle w:val="ListParagraph"/>
        <w:ind w:left="1134"/>
      </w:pPr>
      <w:r>
        <w:t>SA 2: SA 1 +</w:t>
      </w:r>
      <w:r w:rsidR="001D6DB8">
        <w:t xml:space="preserve"> P</w:t>
      </w:r>
      <w:r w:rsidR="001D6DB8" w:rsidRPr="001D6DB8">
        <w:t>roportion of patients currently on SGLT2i or intolerant/</w:t>
      </w:r>
      <w:r w:rsidR="000A2315">
        <w:t xml:space="preserve"> </w:t>
      </w:r>
      <w:r w:rsidR="001D6DB8" w:rsidRPr="001D6DB8">
        <w:t xml:space="preserve">contraindicated to SGLT2i from </w:t>
      </w:r>
      <w:r w:rsidR="001D6DB8" w:rsidRPr="00834BA8">
        <w:t>24.1</w:t>
      </w:r>
      <w:r w:rsidR="001D6DB8" w:rsidRPr="001D6DB8">
        <w:t xml:space="preserve">% to </w:t>
      </w:r>
      <w:r w:rsidR="001D6DB8" w:rsidRPr="00834BA8">
        <w:t>50</w:t>
      </w:r>
      <w:r w:rsidR="001D6DB8" w:rsidRPr="001D6DB8">
        <w:t>%</w:t>
      </w:r>
      <w:r w:rsidR="001D6DB8">
        <w:t xml:space="preserve">; </w:t>
      </w:r>
      <w:r>
        <w:t>and</w:t>
      </w:r>
    </w:p>
    <w:p w14:paraId="580DC80F" w14:textId="16258625" w:rsidR="0091328A" w:rsidRDefault="001D6DB8" w:rsidP="00686B4E">
      <w:pPr>
        <w:pStyle w:val="ListParagraph"/>
        <w:ind w:left="1134"/>
      </w:pPr>
      <w:r>
        <w:t xml:space="preserve">SA 3: </w:t>
      </w:r>
      <w:r w:rsidR="00BF6A21">
        <w:t>SA 1 + SA 2</w:t>
      </w:r>
      <w:r w:rsidR="0091328A">
        <w:t xml:space="preserve"> + </w:t>
      </w:r>
      <w:r>
        <w:t>P</w:t>
      </w:r>
      <w:r w:rsidRPr="001D6DB8">
        <w:t xml:space="preserve">roportion of high-risk CKD patients receiving an ACEi or ARB from </w:t>
      </w:r>
      <w:r w:rsidRPr="00834BA8">
        <w:t>72.7</w:t>
      </w:r>
      <w:r w:rsidRPr="001D6DB8">
        <w:t xml:space="preserve">% to </w:t>
      </w:r>
      <w:r w:rsidRPr="00834BA8">
        <w:t>80</w:t>
      </w:r>
      <w:r w:rsidRPr="001D6DB8">
        <w:t>%</w:t>
      </w:r>
      <w:r w:rsidR="00501408">
        <w:t>.</w:t>
      </w:r>
    </w:p>
    <w:p w14:paraId="13376481" w14:textId="7F2F0788" w:rsidR="001D6DB8" w:rsidRPr="001D6DB8" w:rsidRDefault="001D6DB8" w:rsidP="00C33755">
      <w:pPr>
        <w:pStyle w:val="COMexecsumnumberedpara"/>
      </w:pPr>
      <w:bookmarkStart w:id="66" w:name="_Ref130111537"/>
      <w:r>
        <w:rPr>
          <w:iCs/>
        </w:rPr>
        <w:t xml:space="preserve">The results of the sensitivity analyses are shown in </w:t>
      </w:r>
      <w:r>
        <w:rPr>
          <w:iCs/>
        </w:rPr>
        <w:fldChar w:fldCharType="begin"/>
      </w:r>
      <w:r>
        <w:rPr>
          <w:iCs/>
        </w:rPr>
        <w:instrText xml:space="preserve"> REF _Ref129860294 \h </w:instrText>
      </w:r>
      <w:r>
        <w:rPr>
          <w:iCs/>
        </w:rPr>
      </w:r>
      <w:r>
        <w:rPr>
          <w:iCs/>
        </w:rPr>
        <w:fldChar w:fldCharType="separate"/>
      </w:r>
      <w:r w:rsidR="005562EE">
        <w:t xml:space="preserve">Table </w:t>
      </w:r>
      <w:r w:rsidR="005562EE">
        <w:rPr>
          <w:noProof/>
        </w:rPr>
        <w:t>20</w:t>
      </w:r>
      <w:r>
        <w:rPr>
          <w:iCs/>
        </w:rPr>
        <w:fldChar w:fldCharType="end"/>
      </w:r>
      <w:r>
        <w:rPr>
          <w:iCs/>
        </w:rPr>
        <w:t>.</w:t>
      </w:r>
      <w:bookmarkEnd w:id="66"/>
      <w:r w:rsidR="00A66130">
        <w:rPr>
          <w:iCs/>
        </w:rPr>
        <w:t xml:space="preserve"> </w:t>
      </w:r>
      <w:r w:rsidR="00A66130" w:rsidRPr="00C623FC">
        <w:t xml:space="preserve">The estimated net cost to the PBS/RPBS for finerenone </w:t>
      </w:r>
      <w:r w:rsidR="00A66130">
        <w:t>would be</w:t>
      </w:r>
      <w:r w:rsidR="00A66130" w:rsidRPr="00C623FC">
        <w:t xml:space="preserve"> </w:t>
      </w:r>
      <w:r w:rsidR="00C33755" w:rsidRPr="00C33755">
        <w:t>$0 to &lt; $10 million</w:t>
      </w:r>
      <w:r w:rsidR="00C33755">
        <w:t xml:space="preserve"> </w:t>
      </w:r>
      <w:r w:rsidR="00A66130" w:rsidRPr="00C623FC">
        <w:t xml:space="preserve">in Year 1, increasing to </w:t>
      </w:r>
      <w:r w:rsidR="00C33755" w:rsidRPr="00C33755">
        <w:t>$10 million to &lt; $20 million</w:t>
      </w:r>
      <w:r w:rsidR="00C33755">
        <w:t xml:space="preserve"> </w:t>
      </w:r>
      <w:r w:rsidR="00A66130" w:rsidRPr="00C623FC">
        <w:t xml:space="preserve">in Year 6, a total of </w:t>
      </w:r>
      <w:r w:rsidR="00C33755" w:rsidRPr="00C33755">
        <w:t>$80 million to &lt; $90 million</w:t>
      </w:r>
      <w:r w:rsidR="00C33755">
        <w:t xml:space="preserve"> </w:t>
      </w:r>
      <w:r w:rsidR="00A66130" w:rsidRPr="00C623FC">
        <w:t>over the first 6 years of listing</w:t>
      </w:r>
      <w:r w:rsidR="00A66130">
        <w:t>.</w:t>
      </w:r>
    </w:p>
    <w:p w14:paraId="542A6919" w14:textId="1CCE740A" w:rsidR="0091328A" w:rsidRDefault="0091328A" w:rsidP="00686B4E">
      <w:pPr>
        <w:pStyle w:val="COMtablefigcaption"/>
      </w:pPr>
      <w:bookmarkStart w:id="67" w:name="_Ref129860294"/>
      <w:r>
        <w:t xml:space="preserve">Table </w:t>
      </w:r>
      <w:r w:rsidR="005562EE">
        <w:fldChar w:fldCharType="begin"/>
      </w:r>
      <w:r w:rsidR="005562EE">
        <w:instrText xml:space="preserve"> SEQ Table \* ARABIC </w:instrText>
      </w:r>
      <w:r w:rsidR="005562EE">
        <w:fldChar w:fldCharType="separate"/>
      </w:r>
      <w:r w:rsidR="005562EE">
        <w:rPr>
          <w:noProof/>
        </w:rPr>
        <w:t>20</w:t>
      </w:r>
      <w:r w:rsidR="005562EE">
        <w:rPr>
          <w:noProof/>
        </w:rPr>
        <w:fldChar w:fldCharType="end"/>
      </w:r>
      <w:bookmarkEnd w:id="67"/>
      <w:r>
        <w:t>:</w:t>
      </w:r>
      <w:r w:rsidR="0087772C" w:rsidRPr="0087772C">
        <w:t xml:space="preserve"> </w:t>
      </w:r>
      <w:r w:rsidR="0087772C">
        <w:t>Sensitivity analyses of the e</w:t>
      </w:r>
      <w:r w:rsidR="0087772C" w:rsidRPr="00FD4ED6">
        <w:t>stimated use and financial implications</w:t>
      </w:r>
      <w:r w:rsidR="0087772C">
        <w:t xml:space="preserve"> of listing finerenone based on the amended financial estimates provided in the pre-PBAC response</w:t>
      </w:r>
    </w:p>
    <w:tbl>
      <w:tblPr>
        <w:tblStyle w:val="TableGrid111"/>
        <w:tblW w:w="5000" w:type="pct"/>
        <w:tblLayout w:type="fixed"/>
        <w:tblLook w:val="04A0" w:firstRow="1" w:lastRow="0" w:firstColumn="1" w:lastColumn="0" w:noHBand="0" w:noVBand="1"/>
      </w:tblPr>
      <w:tblGrid>
        <w:gridCol w:w="1656"/>
        <w:gridCol w:w="1109"/>
        <w:gridCol w:w="1250"/>
        <w:gridCol w:w="1250"/>
        <w:gridCol w:w="1250"/>
        <w:gridCol w:w="1252"/>
        <w:gridCol w:w="1250"/>
      </w:tblGrid>
      <w:tr w:rsidR="009B5B3E" w:rsidRPr="00E54823" w14:paraId="2A5E949E" w14:textId="77777777" w:rsidTr="009B5B3E">
        <w:trPr>
          <w:trHeight w:val="255"/>
        </w:trPr>
        <w:tc>
          <w:tcPr>
            <w:tcW w:w="919" w:type="pct"/>
            <w:noWrap/>
            <w:vAlign w:val="center"/>
          </w:tcPr>
          <w:p w14:paraId="2BAA9AE3" w14:textId="77777777" w:rsidR="00A66130" w:rsidRPr="00A66130" w:rsidRDefault="00A66130" w:rsidP="00A66130">
            <w:pPr>
              <w:pStyle w:val="COMTabletext"/>
              <w:rPr>
                <w:b/>
                <w:bCs w:val="0"/>
                <w:sz w:val="20"/>
                <w:lang w:eastAsia="en-AU"/>
              </w:rPr>
            </w:pPr>
          </w:p>
        </w:tc>
        <w:tc>
          <w:tcPr>
            <w:tcW w:w="615" w:type="pct"/>
            <w:noWrap/>
            <w:vAlign w:val="center"/>
          </w:tcPr>
          <w:p w14:paraId="4B04BB53" w14:textId="77777777" w:rsidR="00A66130" w:rsidRPr="00A66130" w:rsidRDefault="00A66130" w:rsidP="00A66130">
            <w:pPr>
              <w:pStyle w:val="COMTabletext"/>
              <w:rPr>
                <w:b/>
                <w:bCs w:val="0"/>
                <w:sz w:val="20"/>
                <w:lang w:eastAsia="en-AU"/>
              </w:rPr>
            </w:pPr>
            <w:r w:rsidRPr="00A66130">
              <w:rPr>
                <w:b/>
                <w:bCs w:val="0"/>
                <w:sz w:val="20"/>
                <w:lang w:eastAsia="en-AU"/>
              </w:rPr>
              <w:t>Year 1</w:t>
            </w:r>
          </w:p>
        </w:tc>
        <w:tc>
          <w:tcPr>
            <w:tcW w:w="693" w:type="pct"/>
            <w:noWrap/>
            <w:vAlign w:val="center"/>
          </w:tcPr>
          <w:p w14:paraId="0F933639" w14:textId="77777777" w:rsidR="00A66130" w:rsidRPr="00A66130" w:rsidRDefault="00A66130" w:rsidP="00A66130">
            <w:pPr>
              <w:pStyle w:val="COMTabletext"/>
              <w:rPr>
                <w:b/>
                <w:bCs w:val="0"/>
                <w:sz w:val="20"/>
                <w:lang w:eastAsia="en-AU"/>
              </w:rPr>
            </w:pPr>
            <w:r w:rsidRPr="00A66130">
              <w:rPr>
                <w:b/>
                <w:bCs w:val="0"/>
                <w:sz w:val="20"/>
                <w:lang w:eastAsia="en-AU"/>
              </w:rPr>
              <w:t>Year 2</w:t>
            </w:r>
          </w:p>
        </w:tc>
        <w:tc>
          <w:tcPr>
            <w:tcW w:w="693" w:type="pct"/>
            <w:noWrap/>
            <w:vAlign w:val="center"/>
          </w:tcPr>
          <w:p w14:paraId="1D93DEBC" w14:textId="77777777" w:rsidR="00A66130" w:rsidRPr="00A66130" w:rsidRDefault="00A66130" w:rsidP="00A66130">
            <w:pPr>
              <w:pStyle w:val="COMTabletext"/>
              <w:rPr>
                <w:b/>
                <w:bCs w:val="0"/>
                <w:sz w:val="20"/>
                <w:lang w:eastAsia="en-AU"/>
              </w:rPr>
            </w:pPr>
            <w:r w:rsidRPr="00A66130">
              <w:rPr>
                <w:b/>
                <w:bCs w:val="0"/>
                <w:sz w:val="20"/>
                <w:lang w:eastAsia="en-AU"/>
              </w:rPr>
              <w:t>Year 3</w:t>
            </w:r>
          </w:p>
        </w:tc>
        <w:tc>
          <w:tcPr>
            <w:tcW w:w="693" w:type="pct"/>
            <w:noWrap/>
            <w:vAlign w:val="center"/>
          </w:tcPr>
          <w:p w14:paraId="4CD48459" w14:textId="77777777" w:rsidR="00A66130" w:rsidRPr="00A66130" w:rsidRDefault="00A66130" w:rsidP="00A66130">
            <w:pPr>
              <w:pStyle w:val="COMTabletext"/>
              <w:rPr>
                <w:b/>
                <w:bCs w:val="0"/>
                <w:sz w:val="20"/>
                <w:lang w:eastAsia="en-AU"/>
              </w:rPr>
            </w:pPr>
            <w:r w:rsidRPr="00A66130">
              <w:rPr>
                <w:b/>
                <w:bCs w:val="0"/>
                <w:sz w:val="20"/>
                <w:lang w:eastAsia="en-AU"/>
              </w:rPr>
              <w:t>Year 4</w:t>
            </w:r>
          </w:p>
        </w:tc>
        <w:tc>
          <w:tcPr>
            <w:tcW w:w="694" w:type="pct"/>
            <w:noWrap/>
            <w:vAlign w:val="center"/>
          </w:tcPr>
          <w:p w14:paraId="0FE63110" w14:textId="77777777" w:rsidR="00A66130" w:rsidRPr="00A66130" w:rsidRDefault="00A66130" w:rsidP="00A66130">
            <w:pPr>
              <w:pStyle w:val="COMTabletext"/>
              <w:rPr>
                <w:b/>
                <w:bCs w:val="0"/>
                <w:sz w:val="20"/>
                <w:lang w:eastAsia="en-AU"/>
              </w:rPr>
            </w:pPr>
            <w:r w:rsidRPr="00A66130">
              <w:rPr>
                <w:b/>
                <w:bCs w:val="0"/>
                <w:sz w:val="20"/>
                <w:lang w:eastAsia="en-AU"/>
              </w:rPr>
              <w:t>Year 5</w:t>
            </w:r>
          </w:p>
        </w:tc>
        <w:tc>
          <w:tcPr>
            <w:tcW w:w="692" w:type="pct"/>
            <w:noWrap/>
            <w:vAlign w:val="center"/>
          </w:tcPr>
          <w:p w14:paraId="0CF4E76A" w14:textId="77777777" w:rsidR="00A66130" w:rsidRPr="00A66130" w:rsidRDefault="00A66130" w:rsidP="00A66130">
            <w:pPr>
              <w:pStyle w:val="COMTabletext"/>
              <w:rPr>
                <w:b/>
                <w:bCs w:val="0"/>
                <w:sz w:val="20"/>
                <w:lang w:eastAsia="en-AU"/>
              </w:rPr>
            </w:pPr>
            <w:r w:rsidRPr="00A66130">
              <w:rPr>
                <w:b/>
                <w:bCs w:val="0"/>
                <w:sz w:val="20"/>
                <w:lang w:eastAsia="en-AU"/>
              </w:rPr>
              <w:t>Year 6</w:t>
            </w:r>
          </w:p>
        </w:tc>
      </w:tr>
      <w:tr w:rsidR="00E54823" w:rsidRPr="00E54823" w14:paraId="22735551" w14:textId="77777777" w:rsidTr="009B5B3E">
        <w:trPr>
          <w:trHeight w:val="80"/>
        </w:trPr>
        <w:tc>
          <w:tcPr>
            <w:tcW w:w="5000" w:type="pct"/>
            <w:gridSpan w:val="7"/>
            <w:hideMark/>
          </w:tcPr>
          <w:p w14:paraId="4116CAEA" w14:textId="0D628EE1" w:rsidR="00E54823" w:rsidRPr="00930447" w:rsidRDefault="00E54823" w:rsidP="00E54823">
            <w:pPr>
              <w:pStyle w:val="COMTabletext"/>
              <w:rPr>
                <w:b/>
                <w:bCs w:val="0"/>
                <w:sz w:val="20"/>
                <w:lang w:eastAsia="en-AU"/>
              </w:rPr>
            </w:pPr>
            <w:r w:rsidRPr="00930447">
              <w:rPr>
                <w:b/>
                <w:bCs w:val="0"/>
                <w:sz w:val="20"/>
                <w:lang w:eastAsia="en-AU"/>
              </w:rPr>
              <w:t xml:space="preserve">Sensitivity analysis 1 </w:t>
            </w:r>
          </w:p>
        </w:tc>
      </w:tr>
      <w:tr w:rsidR="009B5B3E" w:rsidRPr="00E54823" w14:paraId="6B22AA41" w14:textId="77777777" w:rsidTr="009B5B3E">
        <w:trPr>
          <w:trHeight w:val="255"/>
        </w:trPr>
        <w:tc>
          <w:tcPr>
            <w:tcW w:w="919" w:type="pct"/>
            <w:noWrap/>
            <w:hideMark/>
          </w:tcPr>
          <w:p w14:paraId="118AA664" w14:textId="77777777" w:rsidR="00A66130" w:rsidRPr="00E54823" w:rsidRDefault="00A66130" w:rsidP="00A66130">
            <w:pPr>
              <w:pStyle w:val="COMTabletext"/>
              <w:rPr>
                <w:sz w:val="20"/>
                <w:lang w:eastAsia="en-AU"/>
              </w:rPr>
            </w:pPr>
            <w:r w:rsidRPr="00E54823">
              <w:rPr>
                <w:sz w:val="20"/>
                <w:lang w:eastAsia="en-AU"/>
              </w:rPr>
              <w:t>Patients</w:t>
            </w:r>
          </w:p>
        </w:tc>
        <w:tc>
          <w:tcPr>
            <w:tcW w:w="615" w:type="pct"/>
            <w:noWrap/>
            <w:hideMark/>
          </w:tcPr>
          <w:p w14:paraId="0F1E09F2" w14:textId="397CCB5B"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08"/>
                <w:lang w:eastAsia="en-AU"/>
                <w14:textFill>
                  <w14:solidFill>
                    <w14:srgbClr w14:val="000000">
                      <w14:alpha w14:val="100000"/>
                    </w14:srgbClr>
                  </w14:solidFill>
                </w14:textFill>
              </w:rPr>
              <w:t>|||</w:t>
            </w:r>
            <w:r w:rsidRPr="00320A42">
              <w:rPr>
                <w:color w:val="000000"/>
                <w:spacing w:val="15"/>
                <w:sz w:val="20"/>
                <w:shd w:val="solid" w:color="000000" w:fill="000000"/>
                <w:fitText w:val="330" w:id="-1233441008"/>
                <w:lang w:eastAsia="en-AU"/>
                <w14:textFill>
                  <w14:solidFill>
                    <w14:srgbClr w14:val="000000">
                      <w14:alpha w14:val="100000"/>
                    </w14:srgbClr>
                  </w14:solidFill>
                </w14:textFill>
              </w:rPr>
              <w:t>|</w:t>
            </w:r>
            <w:r w:rsidR="00770E8A" w:rsidRPr="00770E8A">
              <w:rPr>
                <w:sz w:val="20"/>
                <w:vertAlign w:val="superscript"/>
                <w:lang w:eastAsia="en-AU"/>
              </w:rPr>
              <w:t>1</w:t>
            </w:r>
          </w:p>
        </w:tc>
        <w:tc>
          <w:tcPr>
            <w:tcW w:w="693" w:type="pct"/>
            <w:noWrap/>
            <w:hideMark/>
          </w:tcPr>
          <w:p w14:paraId="0E70448F" w14:textId="6A805CCB"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24"/>
                <w:lang w:eastAsia="en-AU"/>
                <w14:textFill>
                  <w14:solidFill>
                    <w14:srgbClr w14:val="000000">
                      <w14:alpha w14:val="100000"/>
                    </w14:srgbClr>
                  </w14:solidFill>
                </w14:textFill>
              </w:rPr>
              <w:t>|||</w:t>
            </w:r>
            <w:r w:rsidRPr="00320A42">
              <w:rPr>
                <w:color w:val="000000"/>
                <w:spacing w:val="15"/>
                <w:sz w:val="20"/>
                <w:shd w:val="solid" w:color="000000" w:fill="000000"/>
                <w:fitText w:val="330" w:id="-1233441024"/>
                <w:lang w:eastAsia="en-AU"/>
                <w14:textFill>
                  <w14:solidFill>
                    <w14:srgbClr w14:val="000000">
                      <w14:alpha w14:val="100000"/>
                    </w14:srgbClr>
                  </w14:solidFill>
                </w14:textFill>
              </w:rPr>
              <w:t>|</w:t>
            </w:r>
            <w:r w:rsidR="00770E8A" w:rsidRPr="00770E8A">
              <w:rPr>
                <w:sz w:val="20"/>
                <w:vertAlign w:val="superscript"/>
                <w:lang w:eastAsia="en-AU"/>
              </w:rPr>
              <w:t>1</w:t>
            </w:r>
          </w:p>
        </w:tc>
        <w:tc>
          <w:tcPr>
            <w:tcW w:w="693" w:type="pct"/>
            <w:noWrap/>
            <w:hideMark/>
          </w:tcPr>
          <w:p w14:paraId="0402EBE8" w14:textId="79CFE8D4"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23"/>
                <w:lang w:eastAsia="en-AU"/>
                <w14:textFill>
                  <w14:solidFill>
                    <w14:srgbClr w14:val="000000">
                      <w14:alpha w14:val="100000"/>
                    </w14:srgbClr>
                  </w14:solidFill>
                </w14:textFill>
              </w:rPr>
              <w:t>|||</w:t>
            </w:r>
            <w:r w:rsidRPr="00320A42">
              <w:rPr>
                <w:color w:val="000000"/>
                <w:spacing w:val="15"/>
                <w:sz w:val="20"/>
                <w:shd w:val="solid" w:color="000000" w:fill="000000"/>
                <w:fitText w:val="330" w:id="-1233441023"/>
                <w:lang w:eastAsia="en-AU"/>
                <w14:textFill>
                  <w14:solidFill>
                    <w14:srgbClr w14:val="000000">
                      <w14:alpha w14:val="100000"/>
                    </w14:srgbClr>
                  </w14:solidFill>
                </w14:textFill>
              </w:rPr>
              <w:t>|</w:t>
            </w:r>
            <w:r w:rsidR="00770E8A">
              <w:rPr>
                <w:sz w:val="20"/>
                <w:vertAlign w:val="superscript"/>
                <w:lang w:eastAsia="en-AU"/>
              </w:rPr>
              <w:t>4</w:t>
            </w:r>
          </w:p>
        </w:tc>
        <w:tc>
          <w:tcPr>
            <w:tcW w:w="693" w:type="pct"/>
            <w:noWrap/>
            <w:hideMark/>
          </w:tcPr>
          <w:p w14:paraId="7F20E178" w14:textId="5E6FFD27"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22"/>
                <w:lang w:eastAsia="en-AU"/>
                <w14:textFill>
                  <w14:solidFill>
                    <w14:srgbClr w14:val="000000">
                      <w14:alpha w14:val="100000"/>
                    </w14:srgbClr>
                  </w14:solidFill>
                </w14:textFill>
              </w:rPr>
              <w:t>|||</w:t>
            </w:r>
            <w:r w:rsidRPr="00320A42">
              <w:rPr>
                <w:color w:val="000000"/>
                <w:spacing w:val="15"/>
                <w:sz w:val="20"/>
                <w:shd w:val="solid" w:color="000000" w:fill="000000"/>
                <w:fitText w:val="330" w:id="-1233441022"/>
                <w:lang w:eastAsia="en-AU"/>
                <w14:textFill>
                  <w14:solidFill>
                    <w14:srgbClr w14:val="000000">
                      <w14:alpha w14:val="100000"/>
                    </w14:srgbClr>
                  </w14:solidFill>
                </w14:textFill>
              </w:rPr>
              <w:t>|</w:t>
            </w:r>
            <w:r w:rsidR="00770E8A">
              <w:rPr>
                <w:sz w:val="20"/>
                <w:vertAlign w:val="superscript"/>
                <w:lang w:eastAsia="en-AU"/>
              </w:rPr>
              <w:t>4</w:t>
            </w:r>
          </w:p>
        </w:tc>
        <w:tc>
          <w:tcPr>
            <w:tcW w:w="694" w:type="pct"/>
            <w:noWrap/>
            <w:hideMark/>
          </w:tcPr>
          <w:p w14:paraId="2B76AFA8" w14:textId="61FB390C"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21"/>
                <w:lang w:eastAsia="en-AU"/>
                <w14:textFill>
                  <w14:solidFill>
                    <w14:srgbClr w14:val="000000">
                      <w14:alpha w14:val="100000"/>
                    </w14:srgbClr>
                  </w14:solidFill>
                </w14:textFill>
              </w:rPr>
              <w:t>|||</w:t>
            </w:r>
            <w:r w:rsidRPr="00320A42">
              <w:rPr>
                <w:color w:val="000000"/>
                <w:spacing w:val="15"/>
                <w:sz w:val="20"/>
                <w:shd w:val="solid" w:color="000000" w:fill="000000"/>
                <w:fitText w:val="330" w:id="-1233441021"/>
                <w:lang w:eastAsia="en-AU"/>
                <w14:textFill>
                  <w14:solidFill>
                    <w14:srgbClr w14:val="000000">
                      <w14:alpha w14:val="100000"/>
                    </w14:srgbClr>
                  </w14:solidFill>
                </w14:textFill>
              </w:rPr>
              <w:t>|</w:t>
            </w:r>
            <w:r w:rsidR="00770E8A">
              <w:rPr>
                <w:sz w:val="20"/>
                <w:vertAlign w:val="superscript"/>
                <w:lang w:eastAsia="en-AU"/>
              </w:rPr>
              <w:t>4</w:t>
            </w:r>
          </w:p>
        </w:tc>
        <w:tc>
          <w:tcPr>
            <w:tcW w:w="692" w:type="pct"/>
            <w:noWrap/>
            <w:hideMark/>
          </w:tcPr>
          <w:p w14:paraId="033D8BA3" w14:textId="76DC6F8E"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20"/>
                <w:lang w:eastAsia="en-AU"/>
                <w14:textFill>
                  <w14:solidFill>
                    <w14:srgbClr w14:val="000000">
                      <w14:alpha w14:val="100000"/>
                    </w14:srgbClr>
                  </w14:solidFill>
                </w14:textFill>
              </w:rPr>
              <w:t>|||</w:t>
            </w:r>
            <w:r w:rsidRPr="00320A42">
              <w:rPr>
                <w:color w:val="000000"/>
                <w:spacing w:val="15"/>
                <w:sz w:val="20"/>
                <w:shd w:val="solid" w:color="000000" w:fill="000000"/>
                <w:fitText w:val="330" w:id="-1233441020"/>
                <w:lang w:eastAsia="en-AU"/>
                <w14:textFill>
                  <w14:solidFill>
                    <w14:srgbClr w14:val="000000">
                      <w14:alpha w14:val="100000"/>
                    </w14:srgbClr>
                  </w14:solidFill>
                </w14:textFill>
              </w:rPr>
              <w:t>|</w:t>
            </w:r>
            <w:r w:rsidR="00770E8A">
              <w:rPr>
                <w:sz w:val="20"/>
                <w:vertAlign w:val="superscript"/>
                <w:lang w:eastAsia="en-AU"/>
              </w:rPr>
              <w:t>4</w:t>
            </w:r>
          </w:p>
        </w:tc>
      </w:tr>
      <w:tr w:rsidR="009B5B3E" w:rsidRPr="00E54823" w14:paraId="7E248BA6" w14:textId="77777777" w:rsidTr="009B5B3E">
        <w:trPr>
          <w:trHeight w:val="255"/>
        </w:trPr>
        <w:tc>
          <w:tcPr>
            <w:tcW w:w="919" w:type="pct"/>
            <w:noWrap/>
            <w:hideMark/>
          </w:tcPr>
          <w:p w14:paraId="2BEA68BE" w14:textId="63AA3984" w:rsidR="00A66130" w:rsidRPr="00E54823" w:rsidRDefault="00A66130" w:rsidP="00A66130">
            <w:pPr>
              <w:pStyle w:val="COMTabletext"/>
              <w:rPr>
                <w:sz w:val="20"/>
                <w:lang w:eastAsia="en-AU"/>
              </w:rPr>
            </w:pPr>
            <w:r w:rsidRPr="00E54823">
              <w:rPr>
                <w:sz w:val="20"/>
                <w:lang w:eastAsia="en-AU"/>
              </w:rPr>
              <w:t xml:space="preserve">Net cost PBS / RPBS </w:t>
            </w:r>
          </w:p>
        </w:tc>
        <w:tc>
          <w:tcPr>
            <w:tcW w:w="615" w:type="pct"/>
            <w:noWrap/>
            <w:hideMark/>
          </w:tcPr>
          <w:p w14:paraId="5AC1056F" w14:textId="7E2D3AA3"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9"/>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9"/>
                <w:lang w:eastAsia="en-AU"/>
                <w14:textFill>
                  <w14:solidFill>
                    <w14:srgbClr w14:val="000000">
                      <w14:alpha w14:val="100000"/>
                    </w14:srgbClr>
                  </w14:solidFill>
                </w14:textFill>
              </w:rPr>
              <w:t>|</w:t>
            </w:r>
            <w:r w:rsidR="00770E8A">
              <w:rPr>
                <w:sz w:val="20"/>
                <w:vertAlign w:val="superscript"/>
                <w:lang w:eastAsia="en-AU"/>
              </w:rPr>
              <w:t>2</w:t>
            </w:r>
          </w:p>
        </w:tc>
        <w:tc>
          <w:tcPr>
            <w:tcW w:w="693" w:type="pct"/>
            <w:noWrap/>
            <w:hideMark/>
          </w:tcPr>
          <w:p w14:paraId="39FA46F2" w14:textId="3C18D3C3"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8"/>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8"/>
                <w:lang w:eastAsia="en-AU"/>
                <w14:textFill>
                  <w14:solidFill>
                    <w14:srgbClr w14:val="000000">
                      <w14:alpha w14:val="100000"/>
                    </w14:srgbClr>
                  </w14:solidFill>
                </w14:textFill>
              </w:rPr>
              <w:t>|</w:t>
            </w:r>
            <w:r w:rsidR="00770E8A">
              <w:rPr>
                <w:sz w:val="20"/>
                <w:vertAlign w:val="superscript"/>
                <w:lang w:eastAsia="en-AU"/>
              </w:rPr>
              <w:t>2</w:t>
            </w:r>
          </w:p>
        </w:tc>
        <w:tc>
          <w:tcPr>
            <w:tcW w:w="693" w:type="pct"/>
            <w:noWrap/>
            <w:hideMark/>
          </w:tcPr>
          <w:p w14:paraId="518080AA" w14:textId="1697B48C"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7"/>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7"/>
                <w:lang w:eastAsia="en-AU"/>
                <w14:textFill>
                  <w14:solidFill>
                    <w14:srgbClr w14:val="000000">
                      <w14:alpha w14:val="100000"/>
                    </w14:srgbClr>
                  </w14:solidFill>
                </w14:textFill>
              </w:rPr>
              <w:t>|</w:t>
            </w:r>
            <w:r w:rsidR="00770E8A">
              <w:rPr>
                <w:sz w:val="20"/>
                <w:vertAlign w:val="superscript"/>
                <w:lang w:eastAsia="en-AU"/>
              </w:rPr>
              <w:t>3</w:t>
            </w:r>
          </w:p>
        </w:tc>
        <w:tc>
          <w:tcPr>
            <w:tcW w:w="693" w:type="pct"/>
            <w:noWrap/>
            <w:hideMark/>
          </w:tcPr>
          <w:p w14:paraId="49D4CFED" w14:textId="0658082D"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6"/>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6"/>
                <w:lang w:eastAsia="en-AU"/>
                <w14:textFill>
                  <w14:solidFill>
                    <w14:srgbClr w14:val="000000">
                      <w14:alpha w14:val="100000"/>
                    </w14:srgbClr>
                  </w14:solidFill>
                </w14:textFill>
              </w:rPr>
              <w:t>|</w:t>
            </w:r>
            <w:r w:rsidR="00770E8A">
              <w:rPr>
                <w:sz w:val="20"/>
                <w:vertAlign w:val="superscript"/>
                <w:lang w:eastAsia="en-AU"/>
              </w:rPr>
              <w:t>3</w:t>
            </w:r>
          </w:p>
        </w:tc>
        <w:tc>
          <w:tcPr>
            <w:tcW w:w="694" w:type="pct"/>
            <w:noWrap/>
            <w:hideMark/>
          </w:tcPr>
          <w:p w14:paraId="04398C98" w14:textId="2B13D86C"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5"/>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5"/>
                <w:lang w:eastAsia="en-AU"/>
                <w14:textFill>
                  <w14:solidFill>
                    <w14:srgbClr w14:val="000000">
                      <w14:alpha w14:val="100000"/>
                    </w14:srgbClr>
                  </w14:solidFill>
                </w14:textFill>
              </w:rPr>
              <w:t>|</w:t>
            </w:r>
            <w:r w:rsidR="00770E8A">
              <w:rPr>
                <w:sz w:val="20"/>
                <w:vertAlign w:val="superscript"/>
                <w:lang w:eastAsia="en-AU"/>
              </w:rPr>
              <w:t>3</w:t>
            </w:r>
          </w:p>
        </w:tc>
        <w:tc>
          <w:tcPr>
            <w:tcW w:w="692" w:type="pct"/>
            <w:noWrap/>
            <w:hideMark/>
          </w:tcPr>
          <w:p w14:paraId="2ED3605D" w14:textId="56CDCB3B"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4"/>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4"/>
                <w:lang w:eastAsia="en-AU"/>
                <w14:textFill>
                  <w14:solidFill>
                    <w14:srgbClr w14:val="000000">
                      <w14:alpha w14:val="100000"/>
                    </w14:srgbClr>
                  </w14:solidFill>
                </w14:textFill>
              </w:rPr>
              <w:t>|</w:t>
            </w:r>
            <w:r w:rsidR="00770E8A">
              <w:rPr>
                <w:sz w:val="20"/>
                <w:vertAlign w:val="superscript"/>
                <w:lang w:eastAsia="en-AU"/>
              </w:rPr>
              <w:t>3</w:t>
            </w:r>
          </w:p>
        </w:tc>
      </w:tr>
      <w:tr w:rsidR="00A66130" w:rsidRPr="00E54823" w14:paraId="6E2E7699" w14:textId="77777777" w:rsidTr="009B5B3E">
        <w:trPr>
          <w:trHeight w:val="139"/>
        </w:trPr>
        <w:tc>
          <w:tcPr>
            <w:tcW w:w="5000" w:type="pct"/>
            <w:gridSpan w:val="7"/>
            <w:hideMark/>
          </w:tcPr>
          <w:p w14:paraId="3B4C037C" w14:textId="195F1469" w:rsidR="00A66130" w:rsidRPr="00930447" w:rsidRDefault="00A66130" w:rsidP="00A66130">
            <w:pPr>
              <w:pStyle w:val="COMTabletext"/>
              <w:rPr>
                <w:b/>
                <w:bCs w:val="0"/>
                <w:sz w:val="20"/>
                <w:lang w:eastAsia="en-AU"/>
              </w:rPr>
            </w:pPr>
            <w:r w:rsidRPr="00930447">
              <w:rPr>
                <w:b/>
                <w:bCs w:val="0"/>
                <w:sz w:val="20"/>
                <w:lang w:eastAsia="en-AU"/>
              </w:rPr>
              <w:t>Sensitivity analysis 2</w:t>
            </w:r>
          </w:p>
        </w:tc>
      </w:tr>
      <w:tr w:rsidR="009B5B3E" w:rsidRPr="00E54823" w14:paraId="4F50DB31" w14:textId="77777777" w:rsidTr="009B5B3E">
        <w:trPr>
          <w:trHeight w:val="255"/>
        </w:trPr>
        <w:tc>
          <w:tcPr>
            <w:tcW w:w="919" w:type="pct"/>
            <w:noWrap/>
            <w:hideMark/>
          </w:tcPr>
          <w:p w14:paraId="0125EBA7" w14:textId="77777777" w:rsidR="00A66130" w:rsidRPr="00930447" w:rsidRDefault="00A66130" w:rsidP="00A66130">
            <w:pPr>
              <w:pStyle w:val="COMTabletext"/>
              <w:rPr>
                <w:sz w:val="20"/>
                <w:lang w:eastAsia="en-AU"/>
              </w:rPr>
            </w:pPr>
            <w:r w:rsidRPr="00930447">
              <w:rPr>
                <w:sz w:val="20"/>
                <w:lang w:eastAsia="en-AU"/>
              </w:rPr>
              <w:t>Patients</w:t>
            </w:r>
          </w:p>
        </w:tc>
        <w:tc>
          <w:tcPr>
            <w:tcW w:w="615" w:type="pct"/>
            <w:noWrap/>
            <w:hideMark/>
          </w:tcPr>
          <w:p w14:paraId="26CE1AA5" w14:textId="004B2B3F"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3"/>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3"/>
                <w:lang w:eastAsia="en-AU"/>
                <w14:textFill>
                  <w14:solidFill>
                    <w14:srgbClr w14:val="000000">
                      <w14:alpha w14:val="100000"/>
                    </w14:srgbClr>
                  </w14:solidFill>
                </w14:textFill>
              </w:rPr>
              <w:t>|</w:t>
            </w:r>
            <w:r w:rsidR="00770E8A" w:rsidRPr="00770E8A">
              <w:rPr>
                <w:sz w:val="20"/>
                <w:vertAlign w:val="superscript"/>
                <w:lang w:eastAsia="en-AU"/>
              </w:rPr>
              <w:t>1</w:t>
            </w:r>
          </w:p>
        </w:tc>
        <w:tc>
          <w:tcPr>
            <w:tcW w:w="693" w:type="pct"/>
            <w:noWrap/>
            <w:hideMark/>
          </w:tcPr>
          <w:p w14:paraId="4BE0EF87" w14:textId="006E02FB"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2"/>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2"/>
                <w:lang w:eastAsia="en-AU"/>
                <w14:textFill>
                  <w14:solidFill>
                    <w14:srgbClr w14:val="000000">
                      <w14:alpha w14:val="100000"/>
                    </w14:srgbClr>
                  </w14:solidFill>
                </w14:textFill>
              </w:rPr>
              <w:t>|</w:t>
            </w:r>
            <w:r w:rsidR="00770E8A" w:rsidRPr="00770E8A">
              <w:rPr>
                <w:sz w:val="20"/>
                <w:vertAlign w:val="superscript"/>
                <w:lang w:eastAsia="en-AU"/>
              </w:rPr>
              <w:t>1</w:t>
            </w:r>
          </w:p>
        </w:tc>
        <w:tc>
          <w:tcPr>
            <w:tcW w:w="693" w:type="pct"/>
            <w:noWrap/>
            <w:hideMark/>
          </w:tcPr>
          <w:p w14:paraId="0F51ED3E" w14:textId="611E8CE0"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1"/>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1"/>
                <w:lang w:eastAsia="en-AU"/>
                <w14:textFill>
                  <w14:solidFill>
                    <w14:srgbClr w14:val="000000">
                      <w14:alpha w14:val="100000"/>
                    </w14:srgbClr>
                  </w14:solidFill>
                </w14:textFill>
              </w:rPr>
              <w:t>|</w:t>
            </w:r>
            <w:r w:rsidR="00770E8A">
              <w:rPr>
                <w:sz w:val="20"/>
                <w:vertAlign w:val="superscript"/>
                <w:lang w:eastAsia="en-AU"/>
              </w:rPr>
              <w:t>4</w:t>
            </w:r>
          </w:p>
        </w:tc>
        <w:tc>
          <w:tcPr>
            <w:tcW w:w="693" w:type="pct"/>
            <w:noWrap/>
            <w:hideMark/>
          </w:tcPr>
          <w:p w14:paraId="55072190" w14:textId="6D36632B"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0"/>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0"/>
                <w:lang w:eastAsia="en-AU"/>
                <w14:textFill>
                  <w14:solidFill>
                    <w14:srgbClr w14:val="000000">
                      <w14:alpha w14:val="100000"/>
                    </w14:srgbClr>
                  </w14:solidFill>
                </w14:textFill>
              </w:rPr>
              <w:t>|</w:t>
            </w:r>
            <w:r w:rsidR="00770E8A">
              <w:rPr>
                <w:sz w:val="20"/>
                <w:vertAlign w:val="superscript"/>
                <w:lang w:eastAsia="en-AU"/>
              </w:rPr>
              <w:t>4</w:t>
            </w:r>
          </w:p>
        </w:tc>
        <w:tc>
          <w:tcPr>
            <w:tcW w:w="694" w:type="pct"/>
            <w:noWrap/>
            <w:hideMark/>
          </w:tcPr>
          <w:p w14:paraId="0D9F7A71" w14:textId="1BA1FD6F"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09"/>
                <w:lang w:eastAsia="en-AU"/>
                <w14:textFill>
                  <w14:solidFill>
                    <w14:srgbClr w14:val="000000">
                      <w14:alpha w14:val="100000"/>
                    </w14:srgbClr>
                  </w14:solidFill>
                </w14:textFill>
              </w:rPr>
              <w:t>|||</w:t>
            </w:r>
            <w:r w:rsidRPr="00320A42">
              <w:rPr>
                <w:color w:val="000000"/>
                <w:spacing w:val="15"/>
                <w:sz w:val="20"/>
                <w:shd w:val="solid" w:color="000000" w:fill="000000"/>
                <w:fitText w:val="330" w:id="-1233441009"/>
                <w:lang w:eastAsia="en-AU"/>
                <w14:textFill>
                  <w14:solidFill>
                    <w14:srgbClr w14:val="000000">
                      <w14:alpha w14:val="100000"/>
                    </w14:srgbClr>
                  </w14:solidFill>
                </w14:textFill>
              </w:rPr>
              <w:t>|</w:t>
            </w:r>
            <w:r w:rsidR="00770E8A">
              <w:rPr>
                <w:sz w:val="20"/>
                <w:vertAlign w:val="superscript"/>
                <w:lang w:eastAsia="en-AU"/>
              </w:rPr>
              <w:t>5</w:t>
            </w:r>
          </w:p>
        </w:tc>
        <w:tc>
          <w:tcPr>
            <w:tcW w:w="692" w:type="pct"/>
            <w:noWrap/>
            <w:hideMark/>
          </w:tcPr>
          <w:p w14:paraId="3A28EE75" w14:textId="622875D2"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08"/>
                <w:lang w:eastAsia="en-AU"/>
                <w14:textFill>
                  <w14:solidFill>
                    <w14:srgbClr w14:val="000000">
                      <w14:alpha w14:val="100000"/>
                    </w14:srgbClr>
                  </w14:solidFill>
                </w14:textFill>
              </w:rPr>
              <w:t>|||</w:t>
            </w:r>
            <w:r w:rsidRPr="00320A42">
              <w:rPr>
                <w:color w:val="000000"/>
                <w:spacing w:val="15"/>
                <w:sz w:val="20"/>
                <w:shd w:val="solid" w:color="000000" w:fill="000000"/>
                <w:fitText w:val="330" w:id="-1233441008"/>
                <w:lang w:eastAsia="en-AU"/>
                <w14:textFill>
                  <w14:solidFill>
                    <w14:srgbClr w14:val="000000">
                      <w14:alpha w14:val="100000"/>
                    </w14:srgbClr>
                  </w14:solidFill>
                </w14:textFill>
              </w:rPr>
              <w:t>|</w:t>
            </w:r>
            <w:r w:rsidR="00770E8A">
              <w:rPr>
                <w:sz w:val="20"/>
                <w:vertAlign w:val="superscript"/>
                <w:lang w:eastAsia="en-AU"/>
              </w:rPr>
              <w:t>5</w:t>
            </w:r>
          </w:p>
        </w:tc>
      </w:tr>
      <w:tr w:rsidR="009B5B3E" w:rsidRPr="00E54823" w14:paraId="51CE1366" w14:textId="77777777" w:rsidTr="009B5B3E">
        <w:trPr>
          <w:trHeight w:val="303"/>
        </w:trPr>
        <w:tc>
          <w:tcPr>
            <w:tcW w:w="919" w:type="pct"/>
            <w:noWrap/>
            <w:hideMark/>
          </w:tcPr>
          <w:p w14:paraId="6BF5B4B9" w14:textId="7A0AE1F0" w:rsidR="00A66130" w:rsidRPr="00E54823" w:rsidRDefault="00A66130" w:rsidP="00A66130">
            <w:pPr>
              <w:pStyle w:val="COMTabletext"/>
              <w:rPr>
                <w:sz w:val="20"/>
                <w:lang w:eastAsia="en-AU"/>
              </w:rPr>
            </w:pPr>
            <w:r w:rsidRPr="00E54823">
              <w:rPr>
                <w:sz w:val="20"/>
                <w:lang w:eastAsia="en-AU"/>
              </w:rPr>
              <w:t xml:space="preserve">Net cost PBS / RPBS </w:t>
            </w:r>
          </w:p>
        </w:tc>
        <w:tc>
          <w:tcPr>
            <w:tcW w:w="615" w:type="pct"/>
            <w:noWrap/>
            <w:hideMark/>
          </w:tcPr>
          <w:p w14:paraId="4C2319D0" w14:textId="725920BD"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24"/>
                <w:lang w:eastAsia="en-AU"/>
                <w14:textFill>
                  <w14:solidFill>
                    <w14:srgbClr w14:val="000000">
                      <w14:alpha w14:val="100000"/>
                    </w14:srgbClr>
                  </w14:solidFill>
                </w14:textFill>
              </w:rPr>
              <w:t>|||</w:t>
            </w:r>
            <w:r w:rsidRPr="00320A42">
              <w:rPr>
                <w:color w:val="000000"/>
                <w:spacing w:val="15"/>
                <w:sz w:val="20"/>
                <w:shd w:val="solid" w:color="000000" w:fill="000000"/>
                <w:fitText w:val="330" w:id="-1233441024"/>
                <w:lang w:eastAsia="en-AU"/>
                <w14:textFill>
                  <w14:solidFill>
                    <w14:srgbClr w14:val="000000">
                      <w14:alpha w14:val="100000"/>
                    </w14:srgbClr>
                  </w14:solidFill>
                </w14:textFill>
              </w:rPr>
              <w:t>|</w:t>
            </w:r>
            <w:r w:rsidR="00770E8A">
              <w:rPr>
                <w:sz w:val="20"/>
                <w:vertAlign w:val="superscript"/>
                <w:lang w:eastAsia="en-AU"/>
              </w:rPr>
              <w:t>2</w:t>
            </w:r>
          </w:p>
        </w:tc>
        <w:tc>
          <w:tcPr>
            <w:tcW w:w="693" w:type="pct"/>
            <w:noWrap/>
            <w:hideMark/>
          </w:tcPr>
          <w:p w14:paraId="79A21D19" w14:textId="77967D39"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23"/>
                <w:lang w:eastAsia="en-AU"/>
                <w14:textFill>
                  <w14:solidFill>
                    <w14:srgbClr w14:val="000000">
                      <w14:alpha w14:val="100000"/>
                    </w14:srgbClr>
                  </w14:solidFill>
                </w14:textFill>
              </w:rPr>
              <w:t>|||</w:t>
            </w:r>
            <w:r w:rsidRPr="00320A42">
              <w:rPr>
                <w:color w:val="000000"/>
                <w:spacing w:val="15"/>
                <w:sz w:val="20"/>
                <w:shd w:val="solid" w:color="000000" w:fill="000000"/>
                <w:fitText w:val="330" w:id="-1233441023"/>
                <w:lang w:eastAsia="en-AU"/>
                <w14:textFill>
                  <w14:solidFill>
                    <w14:srgbClr w14:val="000000">
                      <w14:alpha w14:val="100000"/>
                    </w14:srgbClr>
                  </w14:solidFill>
                </w14:textFill>
              </w:rPr>
              <w:t>|</w:t>
            </w:r>
            <w:r w:rsidR="00770E8A">
              <w:rPr>
                <w:sz w:val="20"/>
                <w:vertAlign w:val="superscript"/>
                <w:lang w:eastAsia="en-AU"/>
              </w:rPr>
              <w:t>2</w:t>
            </w:r>
          </w:p>
        </w:tc>
        <w:tc>
          <w:tcPr>
            <w:tcW w:w="693" w:type="pct"/>
            <w:noWrap/>
            <w:hideMark/>
          </w:tcPr>
          <w:p w14:paraId="5B432E6F" w14:textId="5EDCEFC1"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22"/>
                <w:lang w:eastAsia="en-AU"/>
                <w14:textFill>
                  <w14:solidFill>
                    <w14:srgbClr w14:val="000000">
                      <w14:alpha w14:val="100000"/>
                    </w14:srgbClr>
                  </w14:solidFill>
                </w14:textFill>
              </w:rPr>
              <w:t>|||</w:t>
            </w:r>
            <w:r w:rsidRPr="00320A42">
              <w:rPr>
                <w:color w:val="000000"/>
                <w:spacing w:val="15"/>
                <w:sz w:val="20"/>
                <w:shd w:val="solid" w:color="000000" w:fill="000000"/>
                <w:fitText w:val="330" w:id="-1233441022"/>
                <w:lang w:eastAsia="en-AU"/>
                <w14:textFill>
                  <w14:solidFill>
                    <w14:srgbClr w14:val="000000">
                      <w14:alpha w14:val="100000"/>
                    </w14:srgbClr>
                  </w14:solidFill>
                </w14:textFill>
              </w:rPr>
              <w:t>|</w:t>
            </w:r>
            <w:r w:rsidR="00770E8A">
              <w:rPr>
                <w:sz w:val="20"/>
                <w:vertAlign w:val="superscript"/>
                <w:lang w:eastAsia="en-AU"/>
              </w:rPr>
              <w:t>3</w:t>
            </w:r>
          </w:p>
        </w:tc>
        <w:tc>
          <w:tcPr>
            <w:tcW w:w="693" w:type="pct"/>
            <w:noWrap/>
            <w:hideMark/>
          </w:tcPr>
          <w:p w14:paraId="3B5936F6" w14:textId="1269E0EB"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21"/>
                <w:lang w:eastAsia="en-AU"/>
                <w14:textFill>
                  <w14:solidFill>
                    <w14:srgbClr w14:val="000000">
                      <w14:alpha w14:val="100000"/>
                    </w14:srgbClr>
                  </w14:solidFill>
                </w14:textFill>
              </w:rPr>
              <w:t>|||</w:t>
            </w:r>
            <w:r w:rsidRPr="00320A42">
              <w:rPr>
                <w:color w:val="000000"/>
                <w:spacing w:val="15"/>
                <w:sz w:val="20"/>
                <w:shd w:val="solid" w:color="000000" w:fill="000000"/>
                <w:fitText w:val="330" w:id="-1233441021"/>
                <w:lang w:eastAsia="en-AU"/>
                <w14:textFill>
                  <w14:solidFill>
                    <w14:srgbClr w14:val="000000">
                      <w14:alpha w14:val="100000"/>
                    </w14:srgbClr>
                  </w14:solidFill>
                </w14:textFill>
              </w:rPr>
              <w:t>|</w:t>
            </w:r>
            <w:r w:rsidR="00770E8A">
              <w:rPr>
                <w:sz w:val="20"/>
                <w:vertAlign w:val="superscript"/>
                <w:lang w:eastAsia="en-AU"/>
              </w:rPr>
              <w:t>3</w:t>
            </w:r>
          </w:p>
        </w:tc>
        <w:tc>
          <w:tcPr>
            <w:tcW w:w="694" w:type="pct"/>
            <w:noWrap/>
            <w:hideMark/>
          </w:tcPr>
          <w:p w14:paraId="689E3EA7" w14:textId="76D226B0"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20"/>
                <w:lang w:eastAsia="en-AU"/>
                <w14:textFill>
                  <w14:solidFill>
                    <w14:srgbClr w14:val="000000">
                      <w14:alpha w14:val="100000"/>
                    </w14:srgbClr>
                  </w14:solidFill>
                </w14:textFill>
              </w:rPr>
              <w:t>|||</w:t>
            </w:r>
            <w:r w:rsidRPr="00320A42">
              <w:rPr>
                <w:color w:val="000000"/>
                <w:spacing w:val="15"/>
                <w:sz w:val="20"/>
                <w:shd w:val="solid" w:color="000000" w:fill="000000"/>
                <w:fitText w:val="330" w:id="-1233441020"/>
                <w:lang w:eastAsia="en-AU"/>
                <w14:textFill>
                  <w14:solidFill>
                    <w14:srgbClr w14:val="000000">
                      <w14:alpha w14:val="100000"/>
                    </w14:srgbClr>
                  </w14:solidFill>
                </w14:textFill>
              </w:rPr>
              <w:t>|</w:t>
            </w:r>
            <w:r w:rsidR="00770E8A">
              <w:rPr>
                <w:sz w:val="20"/>
                <w:vertAlign w:val="superscript"/>
                <w:lang w:eastAsia="en-AU"/>
              </w:rPr>
              <w:t>3</w:t>
            </w:r>
            <w:r w:rsidRPr="00320A42">
              <w:rPr>
                <w:sz w:val="20"/>
                <w:lang w:eastAsia="en-AU"/>
              </w:rPr>
              <w:t xml:space="preserve"> </w:t>
            </w:r>
          </w:p>
        </w:tc>
        <w:tc>
          <w:tcPr>
            <w:tcW w:w="692" w:type="pct"/>
            <w:noWrap/>
            <w:hideMark/>
          </w:tcPr>
          <w:p w14:paraId="19D66ADB" w14:textId="2153F890"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9"/>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9"/>
                <w:lang w:eastAsia="en-AU"/>
                <w14:textFill>
                  <w14:solidFill>
                    <w14:srgbClr w14:val="000000">
                      <w14:alpha w14:val="100000"/>
                    </w14:srgbClr>
                  </w14:solidFill>
                </w14:textFill>
              </w:rPr>
              <w:t>|</w:t>
            </w:r>
            <w:r w:rsidR="00770E8A">
              <w:rPr>
                <w:sz w:val="20"/>
                <w:vertAlign w:val="superscript"/>
                <w:lang w:eastAsia="en-AU"/>
              </w:rPr>
              <w:t>3</w:t>
            </w:r>
          </w:p>
        </w:tc>
      </w:tr>
      <w:tr w:rsidR="00A66130" w:rsidRPr="00E54823" w14:paraId="1DD15E2B" w14:textId="77777777" w:rsidTr="009B5B3E">
        <w:trPr>
          <w:trHeight w:val="255"/>
        </w:trPr>
        <w:tc>
          <w:tcPr>
            <w:tcW w:w="5000" w:type="pct"/>
            <w:gridSpan w:val="7"/>
            <w:hideMark/>
          </w:tcPr>
          <w:p w14:paraId="25B2E684" w14:textId="51129160" w:rsidR="00A66130" w:rsidRPr="00930447" w:rsidRDefault="00A66130" w:rsidP="00A66130">
            <w:pPr>
              <w:pStyle w:val="COMTabletext"/>
              <w:rPr>
                <w:b/>
                <w:bCs w:val="0"/>
                <w:sz w:val="20"/>
                <w:lang w:eastAsia="en-AU"/>
              </w:rPr>
            </w:pPr>
            <w:r w:rsidRPr="00930447">
              <w:rPr>
                <w:b/>
                <w:bCs w:val="0"/>
                <w:sz w:val="20"/>
                <w:lang w:eastAsia="en-AU"/>
              </w:rPr>
              <w:t>Sensitivity analysis 3</w:t>
            </w:r>
          </w:p>
        </w:tc>
      </w:tr>
      <w:tr w:rsidR="009B5B3E" w:rsidRPr="00E54823" w14:paraId="38D7C2FA" w14:textId="77777777" w:rsidTr="009B5B3E">
        <w:trPr>
          <w:trHeight w:val="255"/>
        </w:trPr>
        <w:tc>
          <w:tcPr>
            <w:tcW w:w="919" w:type="pct"/>
            <w:noWrap/>
            <w:hideMark/>
          </w:tcPr>
          <w:p w14:paraId="67F67E6F" w14:textId="77777777" w:rsidR="00A66130" w:rsidRPr="00930447" w:rsidRDefault="00A66130" w:rsidP="00A66130">
            <w:pPr>
              <w:pStyle w:val="COMTabletext"/>
              <w:rPr>
                <w:sz w:val="20"/>
                <w:lang w:eastAsia="en-AU"/>
              </w:rPr>
            </w:pPr>
            <w:r w:rsidRPr="00930447">
              <w:rPr>
                <w:sz w:val="20"/>
                <w:lang w:eastAsia="en-AU"/>
              </w:rPr>
              <w:t>Patients</w:t>
            </w:r>
          </w:p>
        </w:tc>
        <w:tc>
          <w:tcPr>
            <w:tcW w:w="615" w:type="pct"/>
            <w:noWrap/>
            <w:hideMark/>
          </w:tcPr>
          <w:p w14:paraId="765D5471" w14:textId="1E9BFCEE"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8"/>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8"/>
                <w:lang w:eastAsia="en-AU"/>
                <w14:textFill>
                  <w14:solidFill>
                    <w14:srgbClr w14:val="000000">
                      <w14:alpha w14:val="100000"/>
                    </w14:srgbClr>
                  </w14:solidFill>
                </w14:textFill>
              </w:rPr>
              <w:t>|</w:t>
            </w:r>
            <w:r w:rsidR="00770E8A" w:rsidRPr="00770E8A">
              <w:rPr>
                <w:sz w:val="20"/>
                <w:vertAlign w:val="superscript"/>
                <w:lang w:eastAsia="en-AU"/>
              </w:rPr>
              <w:t>1</w:t>
            </w:r>
          </w:p>
        </w:tc>
        <w:tc>
          <w:tcPr>
            <w:tcW w:w="693" w:type="pct"/>
            <w:noWrap/>
            <w:hideMark/>
          </w:tcPr>
          <w:p w14:paraId="757D775F" w14:textId="0A4AE786"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7"/>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7"/>
                <w:lang w:eastAsia="en-AU"/>
                <w14:textFill>
                  <w14:solidFill>
                    <w14:srgbClr w14:val="000000">
                      <w14:alpha w14:val="100000"/>
                    </w14:srgbClr>
                  </w14:solidFill>
                </w14:textFill>
              </w:rPr>
              <w:t>|</w:t>
            </w:r>
            <w:r w:rsidR="00770E8A" w:rsidRPr="00770E8A">
              <w:rPr>
                <w:sz w:val="20"/>
                <w:vertAlign w:val="superscript"/>
                <w:lang w:eastAsia="en-AU"/>
              </w:rPr>
              <w:t>1</w:t>
            </w:r>
          </w:p>
        </w:tc>
        <w:tc>
          <w:tcPr>
            <w:tcW w:w="693" w:type="pct"/>
            <w:noWrap/>
            <w:hideMark/>
          </w:tcPr>
          <w:p w14:paraId="69596F52" w14:textId="6A096082"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6"/>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6"/>
                <w:lang w:eastAsia="en-AU"/>
                <w14:textFill>
                  <w14:solidFill>
                    <w14:srgbClr w14:val="000000">
                      <w14:alpha w14:val="100000"/>
                    </w14:srgbClr>
                  </w14:solidFill>
                </w14:textFill>
              </w:rPr>
              <w:t>|</w:t>
            </w:r>
            <w:r w:rsidR="00770E8A">
              <w:rPr>
                <w:sz w:val="20"/>
                <w:vertAlign w:val="superscript"/>
                <w:lang w:eastAsia="en-AU"/>
              </w:rPr>
              <w:t>4</w:t>
            </w:r>
          </w:p>
        </w:tc>
        <w:tc>
          <w:tcPr>
            <w:tcW w:w="693" w:type="pct"/>
            <w:noWrap/>
            <w:hideMark/>
          </w:tcPr>
          <w:p w14:paraId="271087B7" w14:textId="6E7D16DB"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5"/>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5"/>
                <w:lang w:eastAsia="en-AU"/>
                <w14:textFill>
                  <w14:solidFill>
                    <w14:srgbClr w14:val="000000">
                      <w14:alpha w14:val="100000"/>
                    </w14:srgbClr>
                  </w14:solidFill>
                </w14:textFill>
              </w:rPr>
              <w:t>|</w:t>
            </w:r>
            <w:r w:rsidR="00770E8A">
              <w:rPr>
                <w:sz w:val="20"/>
                <w:vertAlign w:val="superscript"/>
                <w:lang w:eastAsia="en-AU"/>
              </w:rPr>
              <w:t>5</w:t>
            </w:r>
          </w:p>
        </w:tc>
        <w:tc>
          <w:tcPr>
            <w:tcW w:w="694" w:type="pct"/>
            <w:noWrap/>
            <w:hideMark/>
          </w:tcPr>
          <w:p w14:paraId="403332AD" w14:textId="39B58792"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1014"/>
                <w:lang w:eastAsia="en-AU"/>
                <w14:textFill>
                  <w14:solidFill>
                    <w14:srgbClr w14:val="000000">
                      <w14:alpha w14:val="100000"/>
                    </w14:srgbClr>
                  </w14:solidFill>
                </w14:textFill>
              </w:rPr>
              <w:t>|||</w:t>
            </w:r>
            <w:r w:rsidRPr="00320A42">
              <w:rPr>
                <w:color w:val="000000"/>
                <w:spacing w:val="15"/>
                <w:sz w:val="20"/>
                <w:shd w:val="solid" w:color="000000" w:fill="000000"/>
                <w:fitText w:val="330" w:id="-1233441014"/>
                <w:lang w:eastAsia="en-AU"/>
                <w14:textFill>
                  <w14:solidFill>
                    <w14:srgbClr w14:val="000000">
                      <w14:alpha w14:val="100000"/>
                    </w14:srgbClr>
                  </w14:solidFill>
                </w14:textFill>
              </w:rPr>
              <w:t>|</w:t>
            </w:r>
            <w:r w:rsidR="00770E8A">
              <w:rPr>
                <w:sz w:val="20"/>
                <w:vertAlign w:val="superscript"/>
                <w:lang w:eastAsia="en-AU"/>
              </w:rPr>
              <w:t>5</w:t>
            </w:r>
          </w:p>
        </w:tc>
        <w:tc>
          <w:tcPr>
            <w:tcW w:w="692" w:type="pct"/>
            <w:noWrap/>
            <w:hideMark/>
          </w:tcPr>
          <w:p w14:paraId="072BDD5C" w14:textId="3382CE05"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0768"/>
                <w:lang w:eastAsia="en-AU"/>
                <w14:textFill>
                  <w14:solidFill>
                    <w14:srgbClr w14:val="000000">
                      <w14:alpha w14:val="100000"/>
                    </w14:srgbClr>
                  </w14:solidFill>
                </w14:textFill>
              </w:rPr>
              <w:t>|||</w:t>
            </w:r>
            <w:r w:rsidRPr="00320A42">
              <w:rPr>
                <w:color w:val="000000"/>
                <w:spacing w:val="15"/>
                <w:sz w:val="20"/>
                <w:shd w:val="solid" w:color="000000" w:fill="000000"/>
                <w:fitText w:val="330" w:id="-1233440768"/>
                <w:lang w:eastAsia="en-AU"/>
                <w14:textFill>
                  <w14:solidFill>
                    <w14:srgbClr w14:val="000000">
                      <w14:alpha w14:val="100000"/>
                    </w14:srgbClr>
                  </w14:solidFill>
                </w14:textFill>
              </w:rPr>
              <w:t>|</w:t>
            </w:r>
            <w:r w:rsidR="00770E8A">
              <w:rPr>
                <w:sz w:val="20"/>
                <w:vertAlign w:val="superscript"/>
                <w:lang w:eastAsia="en-AU"/>
              </w:rPr>
              <w:t>5</w:t>
            </w:r>
          </w:p>
        </w:tc>
      </w:tr>
      <w:tr w:rsidR="009B5B3E" w:rsidRPr="00E54823" w14:paraId="2D8747F5" w14:textId="77777777" w:rsidTr="009B5B3E">
        <w:trPr>
          <w:trHeight w:val="255"/>
        </w:trPr>
        <w:tc>
          <w:tcPr>
            <w:tcW w:w="919" w:type="pct"/>
            <w:noWrap/>
            <w:hideMark/>
          </w:tcPr>
          <w:p w14:paraId="485FBF45" w14:textId="7B0816B5" w:rsidR="00A66130" w:rsidRPr="00930447" w:rsidRDefault="00A66130" w:rsidP="00A66130">
            <w:pPr>
              <w:pStyle w:val="COMTabletext"/>
              <w:rPr>
                <w:sz w:val="20"/>
                <w:lang w:eastAsia="en-AU"/>
              </w:rPr>
            </w:pPr>
            <w:r w:rsidRPr="00930447">
              <w:rPr>
                <w:sz w:val="20"/>
                <w:lang w:eastAsia="en-AU"/>
              </w:rPr>
              <w:t xml:space="preserve">Net cost PBS / RPBS </w:t>
            </w:r>
          </w:p>
        </w:tc>
        <w:tc>
          <w:tcPr>
            <w:tcW w:w="615" w:type="pct"/>
            <w:noWrap/>
            <w:hideMark/>
          </w:tcPr>
          <w:p w14:paraId="1C399ABA" w14:textId="2B9799AC"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0767"/>
                <w:lang w:eastAsia="en-AU"/>
                <w14:textFill>
                  <w14:solidFill>
                    <w14:srgbClr w14:val="000000">
                      <w14:alpha w14:val="100000"/>
                    </w14:srgbClr>
                  </w14:solidFill>
                </w14:textFill>
              </w:rPr>
              <w:t>|||</w:t>
            </w:r>
            <w:r w:rsidRPr="00320A42">
              <w:rPr>
                <w:color w:val="000000"/>
                <w:spacing w:val="15"/>
                <w:sz w:val="20"/>
                <w:shd w:val="solid" w:color="000000" w:fill="000000"/>
                <w:fitText w:val="330" w:id="-1233440767"/>
                <w:lang w:eastAsia="en-AU"/>
                <w14:textFill>
                  <w14:solidFill>
                    <w14:srgbClr w14:val="000000">
                      <w14:alpha w14:val="100000"/>
                    </w14:srgbClr>
                  </w14:solidFill>
                </w14:textFill>
              </w:rPr>
              <w:t>|</w:t>
            </w:r>
            <w:r w:rsidR="00770E8A">
              <w:rPr>
                <w:sz w:val="20"/>
                <w:vertAlign w:val="superscript"/>
                <w:lang w:eastAsia="en-AU"/>
              </w:rPr>
              <w:t>2</w:t>
            </w:r>
          </w:p>
        </w:tc>
        <w:tc>
          <w:tcPr>
            <w:tcW w:w="693" w:type="pct"/>
            <w:noWrap/>
            <w:hideMark/>
          </w:tcPr>
          <w:p w14:paraId="68F1912F" w14:textId="7DBC1BF8"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0766"/>
                <w:lang w:eastAsia="en-AU"/>
                <w14:textFill>
                  <w14:solidFill>
                    <w14:srgbClr w14:val="000000">
                      <w14:alpha w14:val="100000"/>
                    </w14:srgbClr>
                  </w14:solidFill>
                </w14:textFill>
              </w:rPr>
              <w:t>|||</w:t>
            </w:r>
            <w:r w:rsidRPr="00320A42">
              <w:rPr>
                <w:color w:val="000000"/>
                <w:spacing w:val="15"/>
                <w:sz w:val="20"/>
                <w:shd w:val="solid" w:color="000000" w:fill="000000"/>
                <w:fitText w:val="330" w:id="-1233440766"/>
                <w:lang w:eastAsia="en-AU"/>
                <w14:textFill>
                  <w14:solidFill>
                    <w14:srgbClr w14:val="000000">
                      <w14:alpha w14:val="100000"/>
                    </w14:srgbClr>
                  </w14:solidFill>
                </w14:textFill>
              </w:rPr>
              <w:t>|</w:t>
            </w:r>
            <w:r w:rsidR="00770E8A">
              <w:rPr>
                <w:sz w:val="20"/>
                <w:vertAlign w:val="superscript"/>
                <w:lang w:eastAsia="en-AU"/>
              </w:rPr>
              <w:t>3</w:t>
            </w:r>
          </w:p>
        </w:tc>
        <w:tc>
          <w:tcPr>
            <w:tcW w:w="693" w:type="pct"/>
            <w:noWrap/>
            <w:hideMark/>
          </w:tcPr>
          <w:p w14:paraId="165B9A15" w14:textId="420AAB84"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0765"/>
                <w:lang w:eastAsia="en-AU"/>
                <w14:textFill>
                  <w14:solidFill>
                    <w14:srgbClr w14:val="000000">
                      <w14:alpha w14:val="100000"/>
                    </w14:srgbClr>
                  </w14:solidFill>
                </w14:textFill>
              </w:rPr>
              <w:t>|||</w:t>
            </w:r>
            <w:r w:rsidRPr="00320A42">
              <w:rPr>
                <w:color w:val="000000"/>
                <w:spacing w:val="15"/>
                <w:sz w:val="20"/>
                <w:shd w:val="solid" w:color="000000" w:fill="000000"/>
                <w:fitText w:val="330" w:id="-1233440765"/>
                <w:lang w:eastAsia="en-AU"/>
                <w14:textFill>
                  <w14:solidFill>
                    <w14:srgbClr w14:val="000000">
                      <w14:alpha w14:val="100000"/>
                    </w14:srgbClr>
                  </w14:solidFill>
                </w14:textFill>
              </w:rPr>
              <w:t>|</w:t>
            </w:r>
            <w:r w:rsidR="00770E8A">
              <w:rPr>
                <w:sz w:val="20"/>
                <w:vertAlign w:val="superscript"/>
                <w:lang w:eastAsia="en-AU"/>
              </w:rPr>
              <w:t>3</w:t>
            </w:r>
            <w:r w:rsidRPr="00320A42">
              <w:rPr>
                <w:sz w:val="20"/>
                <w:lang w:eastAsia="en-AU"/>
              </w:rPr>
              <w:t xml:space="preserve"> </w:t>
            </w:r>
          </w:p>
        </w:tc>
        <w:tc>
          <w:tcPr>
            <w:tcW w:w="693" w:type="pct"/>
            <w:noWrap/>
            <w:hideMark/>
          </w:tcPr>
          <w:p w14:paraId="5332E195" w14:textId="5901FF42"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0764"/>
                <w:lang w:eastAsia="en-AU"/>
                <w14:textFill>
                  <w14:solidFill>
                    <w14:srgbClr w14:val="000000">
                      <w14:alpha w14:val="100000"/>
                    </w14:srgbClr>
                  </w14:solidFill>
                </w14:textFill>
              </w:rPr>
              <w:t>|||</w:t>
            </w:r>
            <w:r w:rsidRPr="00320A42">
              <w:rPr>
                <w:color w:val="000000"/>
                <w:spacing w:val="15"/>
                <w:sz w:val="20"/>
                <w:shd w:val="solid" w:color="000000" w:fill="000000"/>
                <w:fitText w:val="330" w:id="-1233440764"/>
                <w:lang w:eastAsia="en-AU"/>
                <w14:textFill>
                  <w14:solidFill>
                    <w14:srgbClr w14:val="000000">
                      <w14:alpha w14:val="100000"/>
                    </w14:srgbClr>
                  </w14:solidFill>
                </w14:textFill>
              </w:rPr>
              <w:t>|</w:t>
            </w:r>
            <w:r w:rsidR="00770E8A">
              <w:rPr>
                <w:sz w:val="20"/>
                <w:vertAlign w:val="superscript"/>
                <w:lang w:eastAsia="en-AU"/>
              </w:rPr>
              <w:t>3</w:t>
            </w:r>
            <w:r w:rsidRPr="00320A42">
              <w:rPr>
                <w:sz w:val="20"/>
                <w:lang w:eastAsia="en-AU"/>
              </w:rPr>
              <w:t xml:space="preserve"> </w:t>
            </w:r>
          </w:p>
        </w:tc>
        <w:tc>
          <w:tcPr>
            <w:tcW w:w="694" w:type="pct"/>
            <w:noWrap/>
            <w:hideMark/>
          </w:tcPr>
          <w:p w14:paraId="6204F5AE" w14:textId="21FD79A1"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0763"/>
                <w:lang w:eastAsia="en-AU"/>
                <w14:textFill>
                  <w14:solidFill>
                    <w14:srgbClr w14:val="000000">
                      <w14:alpha w14:val="100000"/>
                    </w14:srgbClr>
                  </w14:solidFill>
                </w14:textFill>
              </w:rPr>
              <w:t>|||</w:t>
            </w:r>
            <w:r w:rsidRPr="00320A42">
              <w:rPr>
                <w:color w:val="000000"/>
                <w:spacing w:val="15"/>
                <w:sz w:val="20"/>
                <w:shd w:val="solid" w:color="000000" w:fill="000000"/>
                <w:fitText w:val="330" w:id="-1233440763"/>
                <w:lang w:eastAsia="en-AU"/>
                <w14:textFill>
                  <w14:solidFill>
                    <w14:srgbClr w14:val="000000">
                      <w14:alpha w14:val="100000"/>
                    </w14:srgbClr>
                  </w14:solidFill>
                </w14:textFill>
              </w:rPr>
              <w:t>|</w:t>
            </w:r>
            <w:r w:rsidR="00770E8A">
              <w:rPr>
                <w:sz w:val="20"/>
                <w:vertAlign w:val="superscript"/>
                <w:lang w:eastAsia="en-AU"/>
              </w:rPr>
              <w:t>3</w:t>
            </w:r>
          </w:p>
        </w:tc>
        <w:tc>
          <w:tcPr>
            <w:tcW w:w="692" w:type="pct"/>
            <w:noWrap/>
            <w:hideMark/>
          </w:tcPr>
          <w:p w14:paraId="73520B45" w14:textId="410A5608" w:rsidR="00A66130" w:rsidRPr="00770E8A" w:rsidRDefault="00320A42" w:rsidP="00A66130">
            <w:pPr>
              <w:pStyle w:val="COMTabletext"/>
              <w:rPr>
                <w:sz w:val="20"/>
                <w:highlight w:val="darkGray"/>
                <w:lang w:eastAsia="en-AU"/>
              </w:rPr>
            </w:pPr>
            <w:r w:rsidRPr="00320A42">
              <w:rPr>
                <w:color w:val="000000"/>
                <w:spacing w:val="45"/>
                <w:sz w:val="20"/>
                <w:shd w:val="solid" w:color="000000" w:fill="000000"/>
                <w:fitText w:val="330" w:id="-1233440762"/>
                <w:lang w:eastAsia="en-AU"/>
                <w14:textFill>
                  <w14:solidFill>
                    <w14:srgbClr w14:val="000000">
                      <w14:alpha w14:val="100000"/>
                    </w14:srgbClr>
                  </w14:solidFill>
                </w14:textFill>
              </w:rPr>
              <w:t>|||</w:t>
            </w:r>
            <w:r w:rsidRPr="00320A42">
              <w:rPr>
                <w:color w:val="000000"/>
                <w:spacing w:val="15"/>
                <w:sz w:val="20"/>
                <w:shd w:val="solid" w:color="000000" w:fill="000000"/>
                <w:fitText w:val="330" w:id="-1233440762"/>
                <w:lang w:eastAsia="en-AU"/>
                <w14:textFill>
                  <w14:solidFill>
                    <w14:srgbClr w14:val="000000">
                      <w14:alpha w14:val="100000"/>
                    </w14:srgbClr>
                  </w14:solidFill>
                </w14:textFill>
              </w:rPr>
              <w:t>|</w:t>
            </w:r>
            <w:r w:rsidR="00770E8A">
              <w:rPr>
                <w:sz w:val="20"/>
                <w:vertAlign w:val="superscript"/>
                <w:lang w:eastAsia="en-AU"/>
              </w:rPr>
              <w:t>3</w:t>
            </w:r>
          </w:p>
        </w:tc>
      </w:tr>
    </w:tbl>
    <w:p w14:paraId="0EBC989C" w14:textId="58F9B3AA" w:rsidR="00E54823" w:rsidRDefault="00E54823" w:rsidP="00770E8A">
      <w:pPr>
        <w:pStyle w:val="COMTablefooter"/>
        <w:spacing w:after="0"/>
      </w:pPr>
      <w:r w:rsidRPr="00464386">
        <w:t>Source:</w:t>
      </w:r>
      <w:r>
        <w:t xml:space="preserve"> Conducted by the DUSC</w:t>
      </w:r>
      <w:r w:rsidR="00BD1617">
        <w:t xml:space="preserve"> secretariat</w:t>
      </w:r>
      <w:r>
        <w:t>. ‘</w:t>
      </w:r>
      <w:r w:rsidRPr="00B85E2A">
        <w:t>Item 7.07 Pre-PBAC Response finerenone (Kerendia) Section_4_model revised</w:t>
      </w:r>
      <w:r>
        <w:t>.xlsx’. Attached to the pre-PBAC response.</w:t>
      </w:r>
    </w:p>
    <w:p w14:paraId="6DE94AF9" w14:textId="77777777" w:rsidR="00770E8A" w:rsidRPr="009A6D58" w:rsidRDefault="00770E8A" w:rsidP="00770E8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D7A046D" w14:textId="77777777" w:rsidR="00770E8A" w:rsidRPr="009A6D58" w:rsidRDefault="00770E8A" w:rsidP="00770E8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1</w:t>
      </w:r>
      <w:r w:rsidRPr="008F37FB">
        <w:rPr>
          <w:rFonts w:ascii="Arial Narrow" w:hAnsi="Arial Narrow"/>
          <w:i/>
          <w:sz w:val="18"/>
          <w:szCs w:val="18"/>
        </w:rPr>
        <w:t xml:space="preserve">0,000 to &lt; </w:t>
      </w:r>
      <w:r>
        <w:rPr>
          <w:rFonts w:ascii="Arial Narrow" w:hAnsi="Arial Narrow"/>
          <w:i/>
          <w:sz w:val="18"/>
          <w:szCs w:val="18"/>
        </w:rPr>
        <w:t>2</w:t>
      </w:r>
      <w:r w:rsidRPr="008F37FB">
        <w:rPr>
          <w:rFonts w:ascii="Arial Narrow" w:hAnsi="Arial Narrow"/>
          <w:i/>
          <w:sz w:val="18"/>
          <w:szCs w:val="18"/>
        </w:rPr>
        <w:t>0,000</w:t>
      </w:r>
    </w:p>
    <w:p w14:paraId="3D088D7C" w14:textId="77777777" w:rsidR="00770E8A" w:rsidRPr="009A6D58" w:rsidRDefault="00770E8A" w:rsidP="00770E8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33B3A">
        <w:rPr>
          <w:rFonts w:ascii="Arial Narrow" w:hAnsi="Arial Narrow"/>
          <w:i/>
          <w:sz w:val="18"/>
          <w:szCs w:val="18"/>
        </w:rPr>
        <w:t>$0 to &lt; $10 million</w:t>
      </w:r>
    </w:p>
    <w:p w14:paraId="0C289741" w14:textId="03E4E858" w:rsidR="00770E8A" w:rsidRDefault="00770E8A" w:rsidP="00770E8A">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8F37FB">
        <w:rPr>
          <w:rFonts w:ascii="Arial Narrow" w:hAnsi="Arial Narrow"/>
          <w:i/>
          <w:sz w:val="18"/>
          <w:szCs w:val="18"/>
        </w:rPr>
        <w:t>$10 million to &lt; $20 million</w:t>
      </w:r>
      <w:r>
        <w:rPr>
          <w:rFonts w:ascii="Arial Narrow" w:hAnsi="Arial Narrow"/>
          <w:i/>
          <w:sz w:val="18"/>
          <w:szCs w:val="18"/>
        </w:rPr>
        <w:t xml:space="preserve"> </w:t>
      </w:r>
    </w:p>
    <w:p w14:paraId="0C3F5DDA" w14:textId="7FB23050" w:rsidR="00770E8A" w:rsidRDefault="00770E8A" w:rsidP="00770E8A">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2</w:t>
      </w:r>
      <w:r w:rsidRPr="008F37FB">
        <w:rPr>
          <w:rFonts w:ascii="Arial Narrow" w:hAnsi="Arial Narrow"/>
          <w:i/>
          <w:sz w:val="18"/>
          <w:szCs w:val="18"/>
        </w:rPr>
        <w:t xml:space="preserve">0,000 to &lt; </w:t>
      </w:r>
      <w:r>
        <w:rPr>
          <w:rFonts w:ascii="Arial Narrow" w:hAnsi="Arial Narrow"/>
          <w:i/>
          <w:sz w:val="18"/>
          <w:szCs w:val="18"/>
        </w:rPr>
        <w:t>3</w:t>
      </w:r>
      <w:r w:rsidRPr="008F37FB">
        <w:rPr>
          <w:rFonts w:ascii="Arial Narrow" w:hAnsi="Arial Narrow"/>
          <w:i/>
          <w:sz w:val="18"/>
          <w:szCs w:val="18"/>
        </w:rPr>
        <w:t>0,000</w:t>
      </w:r>
    </w:p>
    <w:p w14:paraId="76002160" w14:textId="77777777" w:rsidR="00770E8A" w:rsidRDefault="00770E8A" w:rsidP="00770E8A">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8F37FB">
        <w:rPr>
          <w:rFonts w:ascii="Arial Narrow" w:hAnsi="Arial Narrow"/>
          <w:i/>
          <w:sz w:val="18"/>
          <w:szCs w:val="18"/>
        </w:rPr>
        <w:t>30,000 to &lt; 40,000</w:t>
      </w:r>
    </w:p>
    <w:p w14:paraId="2238DEE9" w14:textId="3E6A228B" w:rsidR="00576972" w:rsidRPr="00C9624D" w:rsidRDefault="00576972" w:rsidP="00606FBA">
      <w:pPr>
        <w:pStyle w:val="COMH2-non-numbered"/>
      </w:pPr>
      <w:bookmarkStart w:id="68" w:name="_Toc22897648"/>
      <w:bookmarkStart w:id="69" w:name="_Toc124857610"/>
      <w:r w:rsidRPr="00C9624D">
        <w:t>Quality Use of Medicines</w:t>
      </w:r>
      <w:bookmarkEnd w:id="68"/>
      <w:bookmarkEnd w:id="69"/>
    </w:p>
    <w:p w14:paraId="1EAF2813" w14:textId="39060CC5" w:rsidR="00F6654F" w:rsidRPr="000C0374" w:rsidRDefault="006A7E83" w:rsidP="000C0374">
      <w:pPr>
        <w:pStyle w:val="COMexecsumnumberedpara"/>
        <w:rPr>
          <w:color w:val="0066FF"/>
        </w:rPr>
      </w:pPr>
      <w:r w:rsidRPr="005530D1">
        <w:t>Quality use of medicines was not addressed</w:t>
      </w:r>
      <w:r>
        <w:t xml:space="preserve"> in the resubmission</w:t>
      </w:r>
      <w:r w:rsidRPr="005530D1">
        <w:t>.</w:t>
      </w:r>
      <w:r>
        <w:t xml:space="preserve"> </w:t>
      </w:r>
      <w:r w:rsidRPr="00842145">
        <w:rPr>
          <w:iCs/>
        </w:rPr>
        <w:t>Similar to the July 2022 submission, the resubmission did not consider the potential for finerenone to displace steroidal mineralocorticoid receptor antagonists (e.g. spironolactone, eplerenone) prescribed for other indications (e.g. reduced ejection fraction heart failure, treatment-resistant hypertension) in the target PBS population. The risk-benefit profile of finerenone in other indications is not known.</w:t>
      </w:r>
      <w:r w:rsidR="000C0374">
        <w:rPr>
          <w:iCs/>
        </w:rPr>
        <w:t xml:space="preserve"> </w:t>
      </w:r>
      <w:r w:rsidR="000C0374" w:rsidRPr="000C0374">
        <w:rPr>
          <w:iCs/>
        </w:rPr>
        <w:t>Further</w:t>
      </w:r>
      <w:r w:rsidR="000C0374">
        <w:rPr>
          <w:iCs/>
        </w:rPr>
        <w:t xml:space="preserve">more, the </w:t>
      </w:r>
      <w:r w:rsidR="000C0374" w:rsidRPr="000C0374">
        <w:rPr>
          <w:iCs/>
        </w:rPr>
        <w:t xml:space="preserve">risk of accidental co-prescribing of finerenone for diabetic renal disease and other </w:t>
      </w:r>
      <w:r w:rsidR="000C0374" w:rsidRPr="00842145">
        <w:rPr>
          <w:iCs/>
        </w:rPr>
        <w:t xml:space="preserve">mineralocorticoid receptor antagonists </w:t>
      </w:r>
      <w:r w:rsidR="000C0374" w:rsidRPr="000C0374">
        <w:rPr>
          <w:iCs/>
        </w:rPr>
        <w:t>for heart failure exists and would result in a high risk for severe hyperkalaemi</w:t>
      </w:r>
      <w:r w:rsidR="000C0374">
        <w:rPr>
          <w:iCs/>
        </w:rPr>
        <w:t>a.</w:t>
      </w:r>
    </w:p>
    <w:p w14:paraId="5102F1C3" w14:textId="77777777" w:rsidR="009009A7" w:rsidRPr="00D71742" w:rsidRDefault="009009A7" w:rsidP="009009A7">
      <w:pPr>
        <w:pStyle w:val="COMH2-non-numbered"/>
        <w:rPr>
          <w:b w:val="0"/>
          <w:i w:val="0"/>
          <w:szCs w:val="28"/>
        </w:rPr>
      </w:pPr>
      <w:r w:rsidRPr="00D71742">
        <w:rPr>
          <w:szCs w:val="28"/>
        </w:rPr>
        <w:t xml:space="preserve">Financial </w:t>
      </w:r>
      <w:r w:rsidRPr="009009A7">
        <w:t>Management</w:t>
      </w:r>
      <w:r w:rsidRPr="00D71742">
        <w:rPr>
          <w:szCs w:val="28"/>
        </w:rPr>
        <w:t xml:space="preserve"> – risk sharing arrangements</w:t>
      </w:r>
    </w:p>
    <w:p w14:paraId="528721D4" w14:textId="1579D165" w:rsidR="00237FD8" w:rsidRDefault="00237FD8" w:rsidP="009009A7">
      <w:pPr>
        <w:pStyle w:val="COMexecsumnumberedpara"/>
        <w:rPr>
          <w:iCs/>
        </w:rPr>
      </w:pPr>
      <w:r w:rsidRPr="009B20C0">
        <w:rPr>
          <w:iCs/>
        </w:rPr>
        <w:t xml:space="preserve">Overall, the ESC considered that the financial impact of finerenone may not be reliable due to the uncertainty of key sources and parameters used to estimate the size of the eligible and treated populations. The ESC considered a risk sharing arrangement </w:t>
      </w:r>
      <w:r>
        <w:rPr>
          <w:iCs/>
        </w:rPr>
        <w:t xml:space="preserve">(RSA) </w:t>
      </w:r>
      <w:r w:rsidRPr="009B20C0">
        <w:rPr>
          <w:iCs/>
        </w:rPr>
        <w:t xml:space="preserve">may minimise the risk due to uncertainty in the financial estimates. </w:t>
      </w:r>
    </w:p>
    <w:p w14:paraId="43B725AE" w14:textId="1DF20D02" w:rsidR="009009A7" w:rsidRDefault="009009A7" w:rsidP="009009A7">
      <w:pPr>
        <w:pStyle w:val="COMexecsumnumberedpara"/>
        <w:rPr>
          <w:iCs/>
        </w:rPr>
      </w:pPr>
      <w:r>
        <w:rPr>
          <w:iCs/>
        </w:rPr>
        <w:t xml:space="preserve">The pre-PBAC response stated that the sponsor </w:t>
      </w:r>
      <w:r w:rsidR="00C27BAC">
        <w:rPr>
          <w:iCs/>
        </w:rPr>
        <w:t>is</w:t>
      </w:r>
      <w:r>
        <w:rPr>
          <w:iCs/>
        </w:rPr>
        <w:t xml:space="preserve"> willing to work with </w:t>
      </w:r>
      <w:r w:rsidR="00F93661">
        <w:rPr>
          <w:iCs/>
        </w:rPr>
        <w:t xml:space="preserve">the </w:t>
      </w:r>
      <w:r>
        <w:rPr>
          <w:iCs/>
        </w:rPr>
        <w:t>Department of Health to finalise a</w:t>
      </w:r>
      <w:r w:rsidR="00C33755">
        <w:rPr>
          <w:iCs/>
        </w:rPr>
        <w:t>n</w:t>
      </w:r>
      <w:r>
        <w:rPr>
          <w:iCs/>
        </w:rPr>
        <w:t xml:space="preserve"> RSA structure should finerenone be recommended for PBS listing</w:t>
      </w:r>
      <w:r w:rsidRPr="009009A7">
        <w:rPr>
          <w:iCs/>
        </w:rPr>
        <w:t xml:space="preserve">. </w:t>
      </w:r>
    </w:p>
    <w:p w14:paraId="439F650F" w14:textId="4B6A2FC3" w:rsidR="009009A7" w:rsidRPr="009009A7" w:rsidRDefault="009009A7" w:rsidP="009009A7">
      <w:pPr>
        <w:pStyle w:val="COMexecsumnumberedpara"/>
        <w:numPr>
          <w:ilvl w:val="0"/>
          <w:numId w:val="0"/>
        </w:numPr>
        <w:ind w:left="720"/>
        <w:rPr>
          <w:i/>
          <w:iCs/>
        </w:rPr>
      </w:pPr>
      <w:r w:rsidRPr="009009A7">
        <w:rPr>
          <w:i/>
          <w:iCs/>
        </w:rPr>
        <w:t>For more detail on PBAC’s view, see section 7 PBAC outcome.</w:t>
      </w:r>
    </w:p>
    <w:p w14:paraId="7AC0ECD0" w14:textId="7BC69B22" w:rsidR="007E449E" w:rsidRPr="0090150D" w:rsidRDefault="007E449E" w:rsidP="002A4D82">
      <w:pPr>
        <w:pStyle w:val="COMH1numbered"/>
        <w:numPr>
          <w:ilvl w:val="0"/>
          <w:numId w:val="1"/>
        </w:numPr>
      </w:pPr>
      <w:bookmarkStart w:id="70" w:name="_Hlk76381249"/>
      <w:bookmarkStart w:id="71" w:name="_Hlk76377955"/>
      <w:r w:rsidRPr="0090150D">
        <w:t>PBAC Outcome</w:t>
      </w:r>
    </w:p>
    <w:p w14:paraId="751B124C" w14:textId="77E3914A" w:rsidR="00065585" w:rsidRPr="00722B53" w:rsidRDefault="008333DA" w:rsidP="00C33755">
      <w:pPr>
        <w:widowControl w:val="0"/>
        <w:numPr>
          <w:ilvl w:val="1"/>
          <w:numId w:val="1"/>
        </w:numPr>
        <w:spacing w:after="120"/>
        <w:ind w:left="720" w:hanging="720"/>
        <w:rPr>
          <w:lang w:val="en-GB"/>
        </w:rPr>
      </w:pPr>
      <w:r w:rsidRPr="00D10699">
        <w:rPr>
          <w:rFonts w:asciiTheme="minorHAnsi" w:hAnsiTheme="minorHAnsi"/>
          <w:snapToGrid w:val="0"/>
          <w:lang w:val="en-GB"/>
        </w:rPr>
        <w:t xml:space="preserve">The PBAC recommended the </w:t>
      </w:r>
      <w:r w:rsidR="0017007A" w:rsidRPr="00D10699">
        <w:rPr>
          <w:rFonts w:asciiTheme="minorHAnsi" w:hAnsiTheme="minorHAnsi"/>
          <w:snapToGrid w:val="0"/>
          <w:lang w:val="en-GB"/>
        </w:rPr>
        <w:t xml:space="preserve">General Schedule Authority Required </w:t>
      </w:r>
      <w:r w:rsidRPr="00D10699">
        <w:rPr>
          <w:rFonts w:asciiTheme="minorHAnsi" w:hAnsiTheme="minorHAnsi"/>
          <w:snapToGrid w:val="0"/>
          <w:lang w:val="en-GB"/>
        </w:rPr>
        <w:t xml:space="preserve">listing of </w:t>
      </w:r>
      <w:r w:rsidRPr="00722B53">
        <w:rPr>
          <w:rFonts w:asciiTheme="minorHAnsi" w:hAnsiTheme="minorHAnsi"/>
          <w:snapToGrid w:val="0"/>
          <w:lang w:val="en-GB"/>
        </w:rPr>
        <w:t xml:space="preserve">finerenone for </w:t>
      </w:r>
      <w:r w:rsidRPr="00B9446A">
        <w:t>the treatment of chronic kidney disease</w:t>
      </w:r>
      <w:r>
        <w:t xml:space="preserve"> (CKD)</w:t>
      </w:r>
      <w:r w:rsidRPr="00B9446A">
        <w:t xml:space="preserve"> in patients with type 2 diabetes mellitus</w:t>
      </w:r>
      <w:r>
        <w:t xml:space="preserve"> (diabetic kidney disease; DKD)</w:t>
      </w:r>
      <w:r w:rsidRPr="00B9446A">
        <w:t>.</w:t>
      </w:r>
      <w:r w:rsidRPr="000A0341">
        <w:t xml:space="preserve"> </w:t>
      </w:r>
      <w:r w:rsidR="00D10699" w:rsidRPr="00D10699">
        <w:rPr>
          <w:rFonts w:asciiTheme="minorHAnsi" w:hAnsiTheme="minorHAnsi"/>
          <w:bCs/>
          <w:snapToGrid w:val="0"/>
          <w:lang w:val="en-GB"/>
        </w:rPr>
        <w:t xml:space="preserve">The PBAC was satisfied that </w:t>
      </w:r>
      <w:r w:rsidR="00D10699" w:rsidRPr="00722B53">
        <w:rPr>
          <w:rFonts w:asciiTheme="minorHAnsi" w:hAnsiTheme="minorHAnsi"/>
          <w:bCs/>
          <w:snapToGrid w:val="0"/>
          <w:lang w:val="en-GB"/>
        </w:rPr>
        <w:t>finerenone in combination with standard of care provides, for some patients, a significant improvement in efficacy over standard of care alone</w:t>
      </w:r>
      <w:r w:rsidR="00D10699" w:rsidRPr="000346C0">
        <w:rPr>
          <w:rFonts w:asciiTheme="minorHAnsi" w:hAnsiTheme="minorHAnsi"/>
          <w:bCs/>
          <w:snapToGrid w:val="0"/>
          <w:lang w:val="en-GB"/>
        </w:rPr>
        <w:t>.</w:t>
      </w:r>
      <w:r w:rsidR="00D10699">
        <w:rPr>
          <w:rFonts w:asciiTheme="minorHAnsi" w:hAnsiTheme="minorHAnsi"/>
          <w:bCs/>
          <w:snapToGrid w:val="0"/>
          <w:lang w:val="en-GB"/>
        </w:rPr>
        <w:t xml:space="preserve"> </w:t>
      </w:r>
      <w:r w:rsidR="002770F3" w:rsidRPr="001C1D89">
        <w:t xml:space="preserve">The PBAC </w:t>
      </w:r>
      <w:r w:rsidR="002770F3">
        <w:t>considered that</w:t>
      </w:r>
      <w:r w:rsidR="002770F3" w:rsidRPr="001C1D89">
        <w:t xml:space="preserve"> </w:t>
      </w:r>
      <w:r w:rsidR="002F48D6">
        <w:t>finerenone</w:t>
      </w:r>
      <w:r w:rsidR="002F48D6" w:rsidRPr="001C1D89">
        <w:t xml:space="preserve"> </w:t>
      </w:r>
      <w:r w:rsidR="00F626F0">
        <w:t xml:space="preserve">has a </w:t>
      </w:r>
      <w:r w:rsidR="002F48D6">
        <w:t>limited place in</w:t>
      </w:r>
      <w:r w:rsidR="00F626F0">
        <w:t xml:space="preserve"> therapy</w:t>
      </w:r>
      <w:r w:rsidR="002F48D6">
        <w:t xml:space="preserve"> </w:t>
      </w:r>
      <w:r w:rsidR="00F626F0">
        <w:t xml:space="preserve">given a small and uncertain reduction in clinical events in CKD and cardiovascular disease with use in combination with standard of care, including a </w:t>
      </w:r>
      <w:r w:rsidR="00653876" w:rsidRPr="00CF7D68">
        <w:t>sodium-glucose cotransporter inhibitor</w:t>
      </w:r>
      <w:r w:rsidR="00653876" w:rsidRPr="001166E9">
        <w:rPr>
          <w:iCs/>
        </w:rPr>
        <w:t xml:space="preserve"> </w:t>
      </w:r>
      <w:r w:rsidR="00653876">
        <w:rPr>
          <w:iCs/>
        </w:rPr>
        <w:t>(</w:t>
      </w:r>
      <w:r w:rsidR="00653876" w:rsidRPr="001166E9">
        <w:rPr>
          <w:iCs/>
        </w:rPr>
        <w:t>SGLT2i</w:t>
      </w:r>
      <w:r w:rsidR="00653876">
        <w:rPr>
          <w:iCs/>
        </w:rPr>
        <w:t>)</w:t>
      </w:r>
      <w:r w:rsidR="00F626F0">
        <w:t>, and the complication of hyperkalaemia.</w:t>
      </w:r>
      <w:r w:rsidR="00F626F0">
        <w:rPr>
          <w:iCs/>
        </w:rPr>
        <w:t xml:space="preserve"> The </w:t>
      </w:r>
      <w:r w:rsidR="00681020">
        <w:rPr>
          <w:iCs/>
        </w:rPr>
        <w:t>PBAC considered finere</w:t>
      </w:r>
      <w:r w:rsidR="007D0523">
        <w:rPr>
          <w:iCs/>
        </w:rPr>
        <w:t>n</w:t>
      </w:r>
      <w:r w:rsidR="00681020">
        <w:rPr>
          <w:iCs/>
        </w:rPr>
        <w:t xml:space="preserve">one would be cost-effective based on the </w:t>
      </w:r>
      <w:r w:rsidR="002770F3" w:rsidRPr="001C1D89">
        <w:t>revised economic model</w:t>
      </w:r>
      <w:r w:rsidR="00681020">
        <w:t xml:space="preserve"> assumptions</w:t>
      </w:r>
      <w:r w:rsidR="002770F3" w:rsidRPr="001C1D89">
        <w:t xml:space="preserve"> </w:t>
      </w:r>
      <w:r w:rsidR="002F48D6">
        <w:t xml:space="preserve">and </w:t>
      </w:r>
      <w:r w:rsidR="00653876">
        <w:t xml:space="preserve">the </w:t>
      </w:r>
      <w:r w:rsidR="002F48D6">
        <w:t xml:space="preserve">price reduction offered </w:t>
      </w:r>
      <w:r w:rsidR="002770F3">
        <w:t>in the pre-PBAC response</w:t>
      </w:r>
      <w:r>
        <w:t xml:space="preserve">. </w:t>
      </w:r>
      <w:r w:rsidR="004B6887">
        <w:t>However, t</w:t>
      </w:r>
      <w:r>
        <w:t xml:space="preserve">he PBAC considered that the utilisation estimates remained overestimated and should be revised to include parameters </w:t>
      </w:r>
      <w:r w:rsidR="004B6887">
        <w:t xml:space="preserve">aligned with those </w:t>
      </w:r>
      <w:r w:rsidR="004B6887" w:rsidRPr="00722B53">
        <w:rPr>
          <w:lang w:val="en-GB"/>
        </w:rPr>
        <w:t>recently</w:t>
      </w:r>
      <w:r w:rsidRPr="00722B53">
        <w:rPr>
          <w:lang w:val="en-GB"/>
        </w:rPr>
        <w:t xml:space="preserve"> accepted </w:t>
      </w:r>
      <w:r w:rsidR="004B6887" w:rsidRPr="00722B53">
        <w:rPr>
          <w:lang w:val="en-GB"/>
        </w:rPr>
        <w:t>in the CKD setting</w:t>
      </w:r>
      <w:r w:rsidRPr="00722B53">
        <w:rPr>
          <w:lang w:val="en-GB"/>
        </w:rPr>
        <w:t>.</w:t>
      </w:r>
    </w:p>
    <w:p w14:paraId="7D58C3ED" w14:textId="49FBA5DC" w:rsidR="00A21D80" w:rsidRPr="00CA33ED" w:rsidRDefault="00C87B13" w:rsidP="00C33755">
      <w:pPr>
        <w:widowControl w:val="0"/>
        <w:numPr>
          <w:ilvl w:val="1"/>
          <w:numId w:val="1"/>
        </w:numPr>
        <w:spacing w:after="120"/>
        <w:ind w:left="720" w:hanging="720"/>
      </w:pPr>
      <w:r>
        <w:t>The PBAC acknowledged the supportive comments in the clinician hearing and the consumer comments from Kidney health Australia. The PBAC shared the concern that the pill burden and risk of hyperkalaemia may limit uptake of finerenone.</w:t>
      </w:r>
    </w:p>
    <w:p w14:paraId="6B73CDA1" w14:textId="37F22293" w:rsidR="00F73E54" w:rsidRDefault="0061112C" w:rsidP="00C33755">
      <w:pPr>
        <w:widowControl w:val="0"/>
        <w:numPr>
          <w:ilvl w:val="1"/>
          <w:numId w:val="1"/>
        </w:numPr>
        <w:spacing w:after="120"/>
        <w:ind w:left="720" w:hanging="720"/>
      </w:pPr>
      <w:r w:rsidRPr="00722B53">
        <w:rPr>
          <w:lang w:val="en-GB"/>
        </w:rPr>
        <w:t xml:space="preserve">The PBAC noted the </w:t>
      </w:r>
      <w:r w:rsidRPr="0061112C">
        <w:rPr>
          <w:lang w:val="en-GB"/>
        </w:rPr>
        <w:t>requested restriction</w:t>
      </w:r>
      <w:r>
        <w:rPr>
          <w:lang w:val="en-GB"/>
        </w:rPr>
        <w:t xml:space="preserve"> </w:t>
      </w:r>
      <w:r w:rsidRPr="0061112C">
        <w:rPr>
          <w:lang w:val="en-GB"/>
        </w:rPr>
        <w:t xml:space="preserve">was revised to </w:t>
      </w:r>
      <w:r w:rsidR="00035D75">
        <w:rPr>
          <w:lang w:val="en-GB"/>
        </w:rPr>
        <w:t>reflect</w:t>
      </w:r>
      <w:r w:rsidRPr="0061112C">
        <w:rPr>
          <w:lang w:val="en-GB"/>
        </w:rPr>
        <w:t xml:space="preserve"> </w:t>
      </w:r>
      <w:r w:rsidR="00035D75" w:rsidRPr="00722B53">
        <w:rPr>
          <w:lang w:val="en-GB"/>
        </w:rPr>
        <w:t>a more limited place in</w:t>
      </w:r>
      <w:r w:rsidR="00035D75" w:rsidRPr="00CD5BF4">
        <w:rPr>
          <w:iCs/>
        </w:rPr>
        <w:t xml:space="preserve"> therapy for use in patients with high albuminuria (</w:t>
      </w:r>
      <w:r w:rsidR="00035D75" w:rsidRPr="000012FD">
        <w:rPr>
          <w:iCs/>
        </w:rPr>
        <w:t>urinary albumin-to-creatinine ratio</w:t>
      </w:r>
      <w:r w:rsidR="00035D75">
        <w:rPr>
          <w:iCs/>
        </w:rPr>
        <w:t xml:space="preserve"> (UACR)</w:t>
      </w:r>
      <w:r w:rsidR="00035D75" w:rsidRPr="000012FD">
        <w:rPr>
          <w:iCs/>
        </w:rPr>
        <w:t xml:space="preserve"> of </w:t>
      </w:r>
      <w:r w:rsidR="00035D75">
        <w:rPr>
          <w:iCs/>
        </w:rPr>
        <w:t>2</w:t>
      </w:r>
      <w:r w:rsidR="00035D75" w:rsidRPr="000012FD">
        <w:rPr>
          <w:iCs/>
        </w:rPr>
        <w:t>00 mg/g or greater</w:t>
      </w:r>
      <w:r w:rsidR="00035D75">
        <w:rPr>
          <w:iCs/>
        </w:rPr>
        <w:t xml:space="preserve">), excluding patients with </w:t>
      </w:r>
      <w:r w:rsidR="00035D75" w:rsidRPr="00CF7D68">
        <w:rPr>
          <w:iCs/>
        </w:rPr>
        <w:t>heart failure with reduced ejection fraction (HFrEF)</w:t>
      </w:r>
      <w:r w:rsidR="00035D75">
        <w:rPr>
          <w:iCs/>
        </w:rPr>
        <w:t>, and</w:t>
      </w:r>
      <w:r w:rsidR="00035D75" w:rsidRPr="00CD5BF4">
        <w:rPr>
          <w:iCs/>
        </w:rPr>
        <w:t xml:space="preserve"> as an add-on to standard of care comprising an </w:t>
      </w:r>
      <w:r w:rsidR="00035D75" w:rsidRPr="00CF7D68">
        <w:t>angiotensin-converting enzyme inhibitors</w:t>
      </w:r>
      <w:r w:rsidR="00035D75" w:rsidRPr="00CD5BF4">
        <w:rPr>
          <w:iCs/>
        </w:rPr>
        <w:t xml:space="preserve"> </w:t>
      </w:r>
      <w:r w:rsidR="00035D75">
        <w:rPr>
          <w:iCs/>
        </w:rPr>
        <w:t>(</w:t>
      </w:r>
      <w:r w:rsidR="00035D75" w:rsidRPr="00CD5BF4">
        <w:rPr>
          <w:iCs/>
        </w:rPr>
        <w:t>ACEi</w:t>
      </w:r>
      <w:r w:rsidR="00035D75">
        <w:rPr>
          <w:iCs/>
        </w:rPr>
        <w:t>)</w:t>
      </w:r>
      <w:r w:rsidR="00035D75" w:rsidRPr="00CD5BF4">
        <w:rPr>
          <w:iCs/>
        </w:rPr>
        <w:t xml:space="preserve"> or </w:t>
      </w:r>
      <w:r w:rsidR="00035D75" w:rsidRPr="00CF7D68">
        <w:t>angiotensin II receptor blockers</w:t>
      </w:r>
      <w:r w:rsidR="00035D75" w:rsidRPr="00CD5BF4">
        <w:rPr>
          <w:iCs/>
        </w:rPr>
        <w:t xml:space="preserve"> </w:t>
      </w:r>
      <w:r w:rsidR="00035D75">
        <w:rPr>
          <w:iCs/>
        </w:rPr>
        <w:t>(</w:t>
      </w:r>
      <w:r w:rsidR="00035D75" w:rsidRPr="00CD5BF4">
        <w:rPr>
          <w:iCs/>
        </w:rPr>
        <w:t>ARB</w:t>
      </w:r>
      <w:r w:rsidR="00035D75">
        <w:rPr>
          <w:iCs/>
        </w:rPr>
        <w:t>)</w:t>
      </w:r>
      <w:r w:rsidR="00035D75" w:rsidRPr="00CD5BF4">
        <w:rPr>
          <w:iCs/>
        </w:rPr>
        <w:t xml:space="preserve"> </w:t>
      </w:r>
      <w:r w:rsidR="00035D75" w:rsidRPr="001166E9">
        <w:rPr>
          <w:iCs/>
        </w:rPr>
        <w:t xml:space="preserve">and SGLT2i </w:t>
      </w:r>
      <w:r w:rsidR="00035D75" w:rsidRPr="00035D75">
        <w:rPr>
          <w:lang w:val="en-GB"/>
        </w:rPr>
        <w:t xml:space="preserve">unless contraindicated. </w:t>
      </w:r>
      <w:r w:rsidR="00346F38" w:rsidRPr="00035D75">
        <w:rPr>
          <w:lang w:val="en-GB"/>
        </w:rPr>
        <w:t>While th</w:t>
      </w:r>
      <w:r w:rsidR="009A4385" w:rsidRPr="00035D75">
        <w:rPr>
          <w:lang w:val="en-GB"/>
        </w:rPr>
        <w:t>e UACR</w:t>
      </w:r>
      <w:r w:rsidR="00346F38" w:rsidRPr="00035D75">
        <w:rPr>
          <w:lang w:val="en-GB"/>
        </w:rPr>
        <w:t xml:space="preserve"> </w:t>
      </w:r>
      <w:r w:rsidR="00C87B13" w:rsidRPr="00035D75">
        <w:rPr>
          <w:lang w:val="en-GB"/>
        </w:rPr>
        <w:t>cut-off</w:t>
      </w:r>
      <w:r w:rsidR="00346F38" w:rsidRPr="00035D75">
        <w:rPr>
          <w:lang w:val="en-GB"/>
        </w:rPr>
        <w:t xml:space="preserve"> </w:t>
      </w:r>
      <w:r w:rsidR="00035D75">
        <w:rPr>
          <w:lang w:val="en-GB"/>
        </w:rPr>
        <w:t>proposed in the resubmission</w:t>
      </w:r>
      <w:r w:rsidR="00722B53">
        <w:rPr>
          <w:lang w:val="en-GB"/>
        </w:rPr>
        <w:t xml:space="preserve"> did not align with</w:t>
      </w:r>
      <w:r w:rsidR="00035D75">
        <w:rPr>
          <w:lang w:val="en-GB"/>
        </w:rPr>
        <w:t xml:space="preserve"> </w:t>
      </w:r>
      <w:r w:rsidR="00722B53">
        <w:rPr>
          <w:lang w:val="en-GB"/>
        </w:rPr>
        <w:t xml:space="preserve">the PBAC’s previous advice to only </w:t>
      </w:r>
      <w:r w:rsidR="00035D75">
        <w:rPr>
          <w:lang w:val="en-GB"/>
        </w:rPr>
        <w:t xml:space="preserve">include patients </w:t>
      </w:r>
      <w:r w:rsidR="006C79A6">
        <w:rPr>
          <w:lang w:val="en-GB"/>
        </w:rPr>
        <w:t xml:space="preserve">with very high </w:t>
      </w:r>
      <w:r w:rsidR="006C79A6" w:rsidRPr="00CD5BF4">
        <w:rPr>
          <w:iCs/>
        </w:rPr>
        <w:t>albuminuria</w:t>
      </w:r>
      <w:r w:rsidR="009A4385" w:rsidRPr="00035D75">
        <w:rPr>
          <w:lang w:val="en-GB"/>
        </w:rPr>
        <w:t xml:space="preserve"> </w:t>
      </w:r>
      <w:r w:rsidR="00722B53">
        <w:rPr>
          <w:lang w:val="en-GB"/>
        </w:rPr>
        <w:t>of 300</w:t>
      </w:r>
      <w:r w:rsidR="006E1B61">
        <w:rPr>
          <w:lang w:val="en-GB"/>
        </w:rPr>
        <w:t xml:space="preserve"> </w:t>
      </w:r>
      <w:r w:rsidR="00722B53">
        <w:rPr>
          <w:lang w:val="en-GB"/>
        </w:rPr>
        <w:t xml:space="preserve">mg/g or greater </w:t>
      </w:r>
      <w:r w:rsidR="00035D75">
        <w:rPr>
          <w:lang w:val="en-GB"/>
        </w:rPr>
        <w:t>(</w:t>
      </w:r>
      <w:r w:rsidR="00346F38" w:rsidRPr="00035D75">
        <w:rPr>
          <w:lang w:val="en-GB"/>
        </w:rPr>
        <w:t>para</w:t>
      </w:r>
      <w:r w:rsidR="00035D75" w:rsidRPr="00035D75">
        <w:rPr>
          <w:lang w:val="en-GB"/>
        </w:rPr>
        <w:t>graph</w:t>
      </w:r>
      <w:r w:rsidR="00346F38" w:rsidRPr="00035D75">
        <w:rPr>
          <w:lang w:val="en-GB"/>
        </w:rPr>
        <w:t xml:space="preserve"> </w:t>
      </w:r>
      <w:r w:rsidR="006C79A6">
        <w:rPr>
          <w:lang w:val="en-GB"/>
        </w:rPr>
        <w:t>6.21</w:t>
      </w:r>
      <w:r w:rsidR="00346F38" w:rsidRPr="00035D75">
        <w:rPr>
          <w:lang w:val="en-GB"/>
        </w:rPr>
        <w:t>, Finerenone PSD, July 2022 PBAC meeting)</w:t>
      </w:r>
      <w:r w:rsidR="00C87B13">
        <w:rPr>
          <w:lang w:val="en-GB"/>
        </w:rPr>
        <w:t>,</w:t>
      </w:r>
      <w:r w:rsidRPr="00035D75">
        <w:rPr>
          <w:lang w:val="en-GB"/>
        </w:rPr>
        <w:t xml:space="preserve"> </w:t>
      </w:r>
      <w:r w:rsidR="009A4385" w:rsidRPr="00035D75">
        <w:rPr>
          <w:lang w:val="en-GB"/>
        </w:rPr>
        <w:t xml:space="preserve">the </w:t>
      </w:r>
      <w:r w:rsidRPr="00035D75">
        <w:rPr>
          <w:lang w:val="en-GB"/>
        </w:rPr>
        <w:t>PBAC considered the</w:t>
      </w:r>
      <w:r w:rsidR="00065585" w:rsidRPr="00035D75">
        <w:rPr>
          <w:lang w:val="en-GB"/>
        </w:rPr>
        <w:t xml:space="preserve"> </w:t>
      </w:r>
      <w:r w:rsidR="00801524" w:rsidRPr="00035D75">
        <w:rPr>
          <w:lang w:val="en-GB"/>
        </w:rPr>
        <w:t xml:space="preserve">revised </w:t>
      </w:r>
      <w:r w:rsidR="00065585" w:rsidRPr="00035D75">
        <w:rPr>
          <w:lang w:val="en-GB"/>
        </w:rPr>
        <w:t>clinical criteri</w:t>
      </w:r>
      <w:r w:rsidR="00801524" w:rsidRPr="00035D75">
        <w:rPr>
          <w:lang w:val="en-GB"/>
        </w:rPr>
        <w:t>a</w:t>
      </w:r>
      <w:r w:rsidR="00065585" w:rsidRPr="00035D75">
        <w:rPr>
          <w:lang w:val="en-GB"/>
        </w:rPr>
        <w:t xml:space="preserve"> </w:t>
      </w:r>
      <w:r w:rsidR="00722B53">
        <w:rPr>
          <w:lang w:val="en-GB"/>
        </w:rPr>
        <w:t xml:space="preserve">aligning with that of dapagliflozin in CKD was adequately justified and was </w:t>
      </w:r>
      <w:r w:rsidRPr="00035D75">
        <w:rPr>
          <w:lang w:val="en-GB"/>
        </w:rPr>
        <w:t>acceptable</w:t>
      </w:r>
      <w:r w:rsidR="00801524" w:rsidRPr="00035D75">
        <w:rPr>
          <w:lang w:val="en-GB"/>
        </w:rPr>
        <w:t>.</w:t>
      </w:r>
    </w:p>
    <w:p w14:paraId="53981CC5" w14:textId="14F9B1B0" w:rsidR="00065585" w:rsidRPr="00C27BAC" w:rsidRDefault="00065585" w:rsidP="00C33755">
      <w:pPr>
        <w:widowControl w:val="0"/>
        <w:numPr>
          <w:ilvl w:val="1"/>
          <w:numId w:val="1"/>
        </w:numPr>
        <w:spacing w:after="120"/>
        <w:ind w:left="720" w:hanging="720"/>
      </w:pPr>
      <w:r w:rsidRPr="00F73E54">
        <w:rPr>
          <w:lang w:val="en-GB"/>
        </w:rPr>
        <w:t>The PBAC agreed with the restriction changes suggested by the Secretariat.</w:t>
      </w:r>
    </w:p>
    <w:p w14:paraId="41E8E034" w14:textId="64C62F56" w:rsidR="00065585" w:rsidRPr="00065585" w:rsidRDefault="00065585" w:rsidP="00065585">
      <w:pPr>
        <w:pStyle w:val="COMexecsumnumberedpara"/>
        <w:rPr>
          <w:lang w:val="en-GB"/>
        </w:rPr>
      </w:pPr>
      <w:r w:rsidRPr="00A21D80">
        <w:rPr>
          <w:lang w:val="en-GB"/>
        </w:rPr>
        <w:t>The PB</w:t>
      </w:r>
      <w:r w:rsidRPr="0061112C">
        <w:rPr>
          <w:lang w:val="en-GB"/>
        </w:rPr>
        <w:t xml:space="preserve">AC considered </w:t>
      </w:r>
      <w:r>
        <w:rPr>
          <w:lang w:val="en-GB"/>
        </w:rPr>
        <w:t xml:space="preserve">that the revised </w:t>
      </w:r>
      <w:r w:rsidRPr="0061112C">
        <w:rPr>
          <w:rFonts w:cs="Calibri"/>
          <w:szCs w:val="20"/>
        </w:rPr>
        <w:t xml:space="preserve">comparator </w:t>
      </w:r>
      <w:r>
        <w:rPr>
          <w:rFonts w:cs="Calibri"/>
          <w:szCs w:val="20"/>
        </w:rPr>
        <w:t xml:space="preserve">proposed in the resubmission of </w:t>
      </w:r>
      <w:r w:rsidR="00375A57">
        <w:rPr>
          <w:rFonts w:cs="Calibri"/>
          <w:szCs w:val="20"/>
        </w:rPr>
        <w:t xml:space="preserve">placebo in combination </w:t>
      </w:r>
      <w:r w:rsidR="000B6AE3">
        <w:rPr>
          <w:rFonts w:cs="Calibri"/>
          <w:szCs w:val="20"/>
        </w:rPr>
        <w:t>with</w:t>
      </w:r>
      <w:r w:rsidR="00375A57">
        <w:rPr>
          <w:rFonts w:cs="Calibri"/>
          <w:szCs w:val="20"/>
        </w:rPr>
        <w:t xml:space="preserve"> </w:t>
      </w:r>
      <w:r w:rsidRPr="0061112C">
        <w:rPr>
          <w:rFonts w:cs="Calibri"/>
          <w:szCs w:val="20"/>
        </w:rPr>
        <w:t>standard of care</w:t>
      </w:r>
      <w:r w:rsidR="00A21D80">
        <w:rPr>
          <w:rFonts w:cs="Calibri"/>
          <w:szCs w:val="20"/>
        </w:rPr>
        <w:t>,</w:t>
      </w:r>
      <w:r w:rsidRPr="0061112C">
        <w:rPr>
          <w:rFonts w:cs="Calibri"/>
          <w:szCs w:val="20"/>
        </w:rPr>
        <w:t xml:space="preserve"> comprised of treatment with an ACEi or ARB in combination with an SGLT2i</w:t>
      </w:r>
      <w:r w:rsidR="00653876">
        <w:rPr>
          <w:rFonts w:cs="Calibri"/>
          <w:szCs w:val="20"/>
        </w:rPr>
        <w:t xml:space="preserve"> therapy</w:t>
      </w:r>
      <w:r w:rsidRPr="0061112C">
        <w:rPr>
          <w:rFonts w:cs="Calibri"/>
          <w:szCs w:val="20"/>
        </w:rPr>
        <w:t xml:space="preserve"> (unless contraindicated or intolerant)</w:t>
      </w:r>
      <w:r w:rsidR="00A21D80">
        <w:rPr>
          <w:rFonts w:cs="Calibri"/>
          <w:szCs w:val="20"/>
        </w:rPr>
        <w:t>,</w:t>
      </w:r>
      <w:r>
        <w:rPr>
          <w:rFonts w:cs="Calibri"/>
          <w:szCs w:val="20"/>
        </w:rPr>
        <w:t xml:space="preserve"> </w:t>
      </w:r>
      <w:r w:rsidR="00A21D80">
        <w:rPr>
          <w:rFonts w:cs="Calibri"/>
          <w:szCs w:val="20"/>
        </w:rPr>
        <w:t xml:space="preserve">was </w:t>
      </w:r>
      <w:r>
        <w:rPr>
          <w:rFonts w:cs="Calibri"/>
          <w:szCs w:val="20"/>
        </w:rPr>
        <w:t>appropriate</w:t>
      </w:r>
      <w:r w:rsidR="00346F38">
        <w:rPr>
          <w:rFonts w:cs="Calibri"/>
          <w:szCs w:val="20"/>
        </w:rPr>
        <w:t xml:space="preserve"> and consistent with previous PBAC advice </w:t>
      </w:r>
      <w:r w:rsidR="006C79A6" w:rsidRPr="003004D3">
        <w:rPr>
          <w:rFonts w:cs="Calibri"/>
          <w:szCs w:val="20"/>
        </w:rPr>
        <w:t>(paragraph 7.4, Finerenone PSD, July 2022 PBAC meeting</w:t>
      </w:r>
      <w:r w:rsidR="006C79A6">
        <w:rPr>
          <w:rFonts w:cs="Calibri"/>
          <w:szCs w:val="20"/>
        </w:rPr>
        <w:t>)</w:t>
      </w:r>
      <w:r w:rsidRPr="0061112C">
        <w:rPr>
          <w:rFonts w:cs="Calibri"/>
          <w:szCs w:val="20"/>
        </w:rPr>
        <w:t>.</w:t>
      </w:r>
    </w:p>
    <w:p w14:paraId="6B4BE62D" w14:textId="50EDB926" w:rsidR="00842BC5" w:rsidRPr="0015475B" w:rsidRDefault="006C79A6" w:rsidP="00B11CF9">
      <w:pPr>
        <w:pStyle w:val="COMexecsumnumberedpara"/>
        <w:rPr>
          <w:lang w:val="en-GB"/>
        </w:rPr>
      </w:pPr>
      <w:r w:rsidRPr="0015475B">
        <w:rPr>
          <w:lang w:val="en-GB"/>
        </w:rPr>
        <w:t xml:space="preserve">The PBAC recalled it </w:t>
      </w:r>
      <w:r w:rsidR="006A7E1F" w:rsidRPr="0015475B">
        <w:rPr>
          <w:lang w:val="en-GB"/>
        </w:rPr>
        <w:t xml:space="preserve">had previously accepted </w:t>
      </w:r>
      <w:r w:rsidR="006A7E1F" w:rsidRPr="00CF7D68">
        <w:t>treatment with finerenone was associated with a statistically significant reduction in</w:t>
      </w:r>
      <w:r w:rsidR="006A7E1F">
        <w:t xml:space="preserve"> </w:t>
      </w:r>
      <w:r w:rsidR="006A7E1F" w:rsidRPr="00CF7D68">
        <w:t xml:space="preserve">composite </w:t>
      </w:r>
      <w:r w:rsidR="006A7E1F">
        <w:t xml:space="preserve">time to first </w:t>
      </w:r>
      <w:r w:rsidR="006A7E1F" w:rsidRPr="00CF7D68">
        <w:t xml:space="preserve">renal and </w:t>
      </w:r>
      <w:r w:rsidR="006A7E1F">
        <w:t xml:space="preserve">first </w:t>
      </w:r>
      <w:r w:rsidR="006A7E1F" w:rsidRPr="00CF7D68">
        <w:t>cardiovascular event compared to placebo</w:t>
      </w:r>
      <w:r w:rsidR="006A7E1F">
        <w:t xml:space="preserve">, based on the FIDELITY </w:t>
      </w:r>
      <w:r w:rsidR="00EE2C11">
        <w:t xml:space="preserve">pre-specified </w:t>
      </w:r>
      <w:r w:rsidR="006A7E1F">
        <w:t>pooled analysis</w:t>
      </w:r>
      <w:r w:rsidR="00EE2C11">
        <w:t xml:space="preserve"> of the FIDELIO-DKD and FIGARO-DKD randomised trials</w:t>
      </w:r>
      <w:r w:rsidR="006A7E1F">
        <w:t xml:space="preserve">. </w:t>
      </w:r>
      <w:r w:rsidR="00EE2C11">
        <w:t xml:space="preserve">A claim of modestly superior efficacy was considered reasonable for the duration of the trials and the broader trial populations, and it was further </w:t>
      </w:r>
      <w:r w:rsidR="00EE2C11" w:rsidRPr="00894DDA">
        <w:t>noted that the</w:t>
      </w:r>
      <w:r w:rsidR="00EE2C11" w:rsidRPr="00657708">
        <w:t xml:space="preserve"> composite risk of renal events </w:t>
      </w:r>
      <w:r w:rsidR="00EE2C11" w:rsidRPr="00E90169">
        <w:t xml:space="preserve">in the individual trials </w:t>
      </w:r>
      <w:r w:rsidR="00EE2C11" w:rsidRPr="00894DDA">
        <w:t xml:space="preserve">was </w:t>
      </w:r>
      <w:r w:rsidR="00EE2C11" w:rsidRPr="002A6307">
        <w:t xml:space="preserve">driven by a reduction in patients experiencing a sustained </w:t>
      </w:r>
      <w:r w:rsidR="00EE2C11" w:rsidRPr="0015475B">
        <w:rPr>
          <w:u w:val="single"/>
        </w:rPr>
        <w:t>&gt;</w:t>
      </w:r>
      <w:r w:rsidR="00EE2C11" w:rsidRPr="002A6307">
        <w:t>40% relative decrease in eGFR from baseline</w:t>
      </w:r>
      <w:r w:rsidR="00EE2C11" w:rsidRPr="00E90169">
        <w:t>, rather than a reduction in renal failure or renal death</w:t>
      </w:r>
      <w:r w:rsidR="00EE2C11">
        <w:t xml:space="preserve"> </w:t>
      </w:r>
      <w:r w:rsidR="00EE2C11" w:rsidRPr="0015475B">
        <w:rPr>
          <w:lang w:val="en-GB"/>
        </w:rPr>
        <w:t>(paragraph 7.6, Finerenone PSD, July 2022 PBAC meeting)</w:t>
      </w:r>
      <w:r w:rsidR="00EE2C11">
        <w:t>.</w:t>
      </w:r>
      <w:r w:rsidR="00EE2C11" w:rsidRPr="00E90169">
        <w:t xml:space="preserve"> </w:t>
      </w:r>
      <w:r w:rsidR="006A7E1F">
        <w:t xml:space="preserve">The PBAC also </w:t>
      </w:r>
      <w:r w:rsidRPr="0015475B">
        <w:rPr>
          <w:lang w:val="en-GB"/>
        </w:rPr>
        <w:t xml:space="preserve">considered that the magnitude of benefit for patients receiving an SGLT2i was uncertain due to </w:t>
      </w:r>
      <w:r w:rsidR="00991A5C">
        <w:rPr>
          <w:lang w:val="en-GB"/>
        </w:rPr>
        <w:t>the</w:t>
      </w:r>
      <w:r w:rsidRPr="0015475B">
        <w:rPr>
          <w:lang w:val="en-GB"/>
        </w:rPr>
        <w:t xml:space="preserve"> small number of patients in the clinical trials receiving this class of drug</w:t>
      </w:r>
      <w:r w:rsidR="00EE2C11" w:rsidRPr="0015475B">
        <w:rPr>
          <w:lang w:val="en-GB"/>
        </w:rPr>
        <w:t xml:space="preserve"> </w:t>
      </w:r>
      <w:r w:rsidRPr="0015475B">
        <w:rPr>
          <w:lang w:val="en-GB"/>
        </w:rPr>
        <w:t xml:space="preserve">(paragraph 7.7, Finerenone PSD, July 2022 PBAC meeting). </w:t>
      </w:r>
      <w:r w:rsidR="00E26A3C" w:rsidRPr="00551ACF">
        <w:rPr>
          <w:lang w:val="en-GB"/>
        </w:rPr>
        <w:t xml:space="preserve">The PBAC </w:t>
      </w:r>
      <w:r w:rsidR="00E377F3" w:rsidRPr="00551ACF">
        <w:rPr>
          <w:lang w:val="en-GB"/>
        </w:rPr>
        <w:t xml:space="preserve">noted the </w:t>
      </w:r>
      <w:r w:rsidR="00EE2C11" w:rsidRPr="00551ACF">
        <w:rPr>
          <w:lang w:val="en-GB"/>
        </w:rPr>
        <w:t xml:space="preserve">resubmission provided </w:t>
      </w:r>
      <w:r w:rsidR="00E377F3" w:rsidRPr="00551ACF">
        <w:rPr>
          <w:i/>
          <w:iCs/>
          <w:lang w:val="en-GB"/>
        </w:rPr>
        <w:t>post hoc</w:t>
      </w:r>
      <w:r w:rsidR="00E377F3" w:rsidRPr="00551ACF">
        <w:rPr>
          <w:lang w:val="en-GB"/>
        </w:rPr>
        <w:t xml:space="preserve"> </w:t>
      </w:r>
      <w:r w:rsidR="000B6AE3" w:rsidRPr="00551ACF">
        <w:rPr>
          <w:lang w:val="en-GB"/>
        </w:rPr>
        <w:t xml:space="preserve">subgroup analyses </w:t>
      </w:r>
      <w:r w:rsidR="0015475B">
        <w:t xml:space="preserve">of the FIDELITY pooled data, </w:t>
      </w:r>
      <w:r w:rsidR="00BF6118">
        <w:t>for</w:t>
      </w:r>
      <w:r w:rsidR="0015475B">
        <w:t xml:space="preserve"> patients with a UACR &gt; 200 mg/g, with or without concomitant treatment with an SGLT2i medicine, and the incidence </w:t>
      </w:r>
      <w:r w:rsidR="00BF6118">
        <w:t xml:space="preserve">of </w:t>
      </w:r>
      <w:r w:rsidR="0015475B">
        <w:t>hyperkalaemia by baseline UACR and eGFR</w:t>
      </w:r>
      <w:r w:rsidR="00BF6118">
        <w:t xml:space="preserve"> </w:t>
      </w:r>
      <w:r w:rsidR="0015475B" w:rsidRPr="003E0D74">
        <w:rPr>
          <w:lang w:val="en-GB"/>
        </w:rPr>
        <w:t xml:space="preserve">(presented in </w:t>
      </w:r>
      <w:r w:rsidR="0015475B" w:rsidRPr="0015475B">
        <w:rPr>
          <w:lang w:val="en-GB"/>
        </w:rPr>
        <w:fldChar w:fldCharType="begin"/>
      </w:r>
      <w:r w:rsidR="0015475B" w:rsidRPr="003E0D74">
        <w:rPr>
          <w:lang w:val="en-GB"/>
        </w:rPr>
        <w:instrText xml:space="preserve"> REF _Ref124166843 \h </w:instrText>
      </w:r>
      <w:r w:rsidR="0015475B" w:rsidRPr="0015475B">
        <w:rPr>
          <w:lang w:val="en-GB"/>
        </w:rPr>
      </w:r>
      <w:r w:rsidR="0015475B" w:rsidRPr="0015475B">
        <w:rPr>
          <w:lang w:val="en-GB"/>
        </w:rPr>
        <w:fldChar w:fldCharType="separate"/>
      </w:r>
      <w:r w:rsidR="005562EE">
        <w:t xml:space="preserve">Table </w:t>
      </w:r>
      <w:r w:rsidR="005562EE">
        <w:rPr>
          <w:noProof/>
        </w:rPr>
        <w:t>6</w:t>
      </w:r>
      <w:r w:rsidR="0015475B" w:rsidRPr="0015475B">
        <w:rPr>
          <w:lang w:val="en-GB"/>
        </w:rPr>
        <w:fldChar w:fldCharType="end"/>
      </w:r>
      <w:r w:rsidR="0015475B" w:rsidRPr="0015475B">
        <w:rPr>
          <w:lang w:val="en-GB"/>
        </w:rPr>
        <w:t>)</w:t>
      </w:r>
      <w:r w:rsidR="0015475B">
        <w:t>. The PBAC considered</w:t>
      </w:r>
      <w:r w:rsidR="00BF6118">
        <w:t xml:space="preserve"> </w:t>
      </w:r>
      <w:r w:rsidR="00653876">
        <w:t xml:space="preserve">that although the patient numbers </w:t>
      </w:r>
      <w:r w:rsidR="00A12A10">
        <w:t xml:space="preserve">for concomitant treatment with an SGLT2i </w:t>
      </w:r>
      <w:r w:rsidR="00653876">
        <w:t xml:space="preserve">were small and therefore the outcomes of the </w:t>
      </w:r>
      <w:r w:rsidR="00653876">
        <w:rPr>
          <w:i/>
          <w:iCs/>
        </w:rPr>
        <w:t xml:space="preserve">post hoc </w:t>
      </w:r>
      <w:r w:rsidR="00653876" w:rsidRPr="00893416">
        <w:t>analyses</w:t>
      </w:r>
      <w:r w:rsidR="00653876">
        <w:t xml:space="preserve"> remained uncertain, it was accepted that </w:t>
      </w:r>
      <w:r w:rsidR="00E26A3C" w:rsidRPr="0015475B">
        <w:rPr>
          <w:lang w:val="en-GB"/>
        </w:rPr>
        <w:t xml:space="preserve">these analyses were supportive of </w:t>
      </w:r>
      <w:r w:rsidR="000B6AE3" w:rsidRPr="0015475B">
        <w:rPr>
          <w:lang w:val="en-GB"/>
        </w:rPr>
        <w:t xml:space="preserve">a </w:t>
      </w:r>
      <w:r w:rsidR="000B6AE3" w:rsidRPr="0015475B">
        <w:rPr>
          <w:rFonts w:cs="Calibri"/>
          <w:szCs w:val="20"/>
        </w:rPr>
        <w:t xml:space="preserve">similar </w:t>
      </w:r>
      <w:r w:rsidR="0015475B">
        <w:rPr>
          <w:rFonts w:cs="Calibri"/>
          <w:szCs w:val="20"/>
        </w:rPr>
        <w:t>magnitude of benefit in the more restricted population</w:t>
      </w:r>
      <w:r w:rsidR="003058CA" w:rsidRPr="0015475B">
        <w:rPr>
          <w:rFonts w:cs="Calibri"/>
          <w:szCs w:val="20"/>
        </w:rPr>
        <w:t xml:space="preserve"> compared</w:t>
      </w:r>
      <w:r w:rsidR="006A7E1F" w:rsidRPr="0015475B">
        <w:rPr>
          <w:rFonts w:cs="Calibri"/>
          <w:szCs w:val="20"/>
        </w:rPr>
        <w:t xml:space="preserve"> to the overall ITT population</w:t>
      </w:r>
      <w:r w:rsidR="003058CA" w:rsidRPr="0015475B">
        <w:rPr>
          <w:rFonts w:cs="Calibri"/>
          <w:szCs w:val="20"/>
        </w:rPr>
        <w:t xml:space="preserve"> in FIDELITY</w:t>
      </w:r>
      <w:r w:rsidR="000B6AE3" w:rsidRPr="0015475B">
        <w:rPr>
          <w:rFonts w:cs="Calibri"/>
          <w:szCs w:val="20"/>
        </w:rPr>
        <w:t>.</w:t>
      </w:r>
    </w:p>
    <w:p w14:paraId="492127E5" w14:textId="16B597BC" w:rsidR="00375A57" w:rsidRDefault="00375A57" w:rsidP="00842BC5">
      <w:pPr>
        <w:pStyle w:val="COMexecsumnumberedpara"/>
        <w:rPr>
          <w:lang w:val="en-GB"/>
        </w:rPr>
      </w:pPr>
      <w:r>
        <w:rPr>
          <w:lang w:val="en-GB"/>
        </w:rPr>
        <w:t xml:space="preserve">The PBAC considered </w:t>
      </w:r>
      <w:r w:rsidRPr="00035D75">
        <w:rPr>
          <w:lang w:val="en-GB"/>
        </w:rPr>
        <w:t>the</w:t>
      </w:r>
      <w:r w:rsidR="006C79A6">
        <w:rPr>
          <w:lang w:val="en-GB"/>
        </w:rPr>
        <w:t xml:space="preserve"> revised</w:t>
      </w:r>
      <w:r w:rsidRPr="00035D75">
        <w:rPr>
          <w:lang w:val="en-GB"/>
        </w:rPr>
        <w:t xml:space="preserve"> claim of </w:t>
      </w:r>
      <w:r>
        <w:rPr>
          <w:lang w:val="en-GB"/>
        </w:rPr>
        <w:t>inferior</w:t>
      </w:r>
      <w:r w:rsidRPr="00035D75">
        <w:rPr>
          <w:lang w:val="en-GB"/>
        </w:rPr>
        <w:t xml:space="preserve"> safety </w:t>
      </w:r>
      <w:r>
        <w:rPr>
          <w:lang w:val="en-GB"/>
        </w:rPr>
        <w:t xml:space="preserve">compared </w:t>
      </w:r>
      <w:r w:rsidRPr="00035D75">
        <w:rPr>
          <w:lang w:val="en-GB"/>
        </w:rPr>
        <w:t xml:space="preserve">to </w:t>
      </w:r>
      <w:r>
        <w:rPr>
          <w:lang w:val="en-GB"/>
        </w:rPr>
        <w:t>placebo</w:t>
      </w:r>
      <w:r w:rsidRPr="006C79A6">
        <w:rPr>
          <w:lang w:val="en-GB"/>
        </w:rPr>
        <w:t xml:space="preserve"> was </w:t>
      </w:r>
      <w:r>
        <w:rPr>
          <w:lang w:val="en-GB"/>
        </w:rPr>
        <w:t>reasonable and consistent with previous PBAC advice</w:t>
      </w:r>
      <w:r w:rsidR="00BF1799">
        <w:rPr>
          <w:lang w:val="en-GB"/>
        </w:rPr>
        <w:t xml:space="preserve">, </w:t>
      </w:r>
      <w:r w:rsidR="00F23EBB">
        <w:rPr>
          <w:lang w:val="en-GB"/>
        </w:rPr>
        <w:t xml:space="preserve">which noted finerenone treatment was associated with an </w:t>
      </w:r>
      <w:r w:rsidR="00F23EBB" w:rsidRPr="00E90169">
        <w:t xml:space="preserve">increased </w:t>
      </w:r>
      <w:r w:rsidR="00F23EBB">
        <w:t xml:space="preserve">number of </w:t>
      </w:r>
      <w:r w:rsidR="00F23EBB" w:rsidRPr="00E90169">
        <w:t>treatment-related adverse events and adverse events leading to discontinuation, in particular a significant increase in hyperkalaemia</w:t>
      </w:r>
      <w:r w:rsidRPr="003004D3">
        <w:rPr>
          <w:lang w:val="en-GB"/>
        </w:rPr>
        <w:t xml:space="preserve"> (para</w:t>
      </w:r>
      <w:r w:rsidR="006C79A6">
        <w:rPr>
          <w:lang w:val="en-GB"/>
        </w:rPr>
        <w:t>graph</w:t>
      </w:r>
      <w:r w:rsidRPr="003004D3">
        <w:rPr>
          <w:lang w:val="en-GB"/>
        </w:rPr>
        <w:t xml:space="preserve"> 7.8, Finerenone PSD, July 2022 PBAC meeting).</w:t>
      </w:r>
    </w:p>
    <w:p w14:paraId="262A446E" w14:textId="246259B2" w:rsidR="003004D3" w:rsidRPr="00C33755" w:rsidRDefault="003004D3" w:rsidP="00C33755">
      <w:pPr>
        <w:pStyle w:val="COMexecsumnumberedpara"/>
      </w:pPr>
      <w:r>
        <w:rPr>
          <w:lang w:val="en-GB"/>
        </w:rPr>
        <w:t xml:space="preserve">The PBAC noted </w:t>
      </w:r>
      <w:r w:rsidR="00BE1F4A">
        <w:rPr>
          <w:lang w:val="en-GB"/>
        </w:rPr>
        <w:t>that</w:t>
      </w:r>
      <w:r w:rsidR="00B86466">
        <w:rPr>
          <w:lang w:val="en-GB"/>
        </w:rPr>
        <w:t xml:space="preserve"> in response to ESC advice</w:t>
      </w:r>
      <w:r w:rsidR="00BE1F4A">
        <w:rPr>
          <w:lang w:val="en-GB"/>
        </w:rPr>
        <w:t xml:space="preserve"> </w:t>
      </w:r>
      <w:r>
        <w:rPr>
          <w:lang w:val="en-GB"/>
        </w:rPr>
        <w:t>the updated economic model</w:t>
      </w:r>
      <w:r w:rsidR="005E286A">
        <w:rPr>
          <w:lang w:val="en-GB"/>
        </w:rPr>
        <w:t xml:space="preserve"> provided in the pre-PBAC response</w:t>
      </w:r>
      <w:r>
        <w:rPr>
          <w:lang w:val="en-GB"/>
        </w:rPr>
        <w:t xml:space="preserve"> </w:t>
      </w:r>
      <w:r w:rsidR="00BE1F4A">
        <w:t xml:space="preserve">increased the treatment discontinuation probabilities </w:t>
      </w:r>
      <w:r w:rsidR="00BE1F4A" w:rsidRPr="009B20C0">
        <w:rPr>
          <w:snapToGrid/>
        </w:rPr>
        <w:t>based on CKD stage</w:t>
      </w:r>
      <w:r w:rsidR="00BE1F4A">
        <w:rPr>
          <w:snapToGrid/>
        </w:rPr>
        <w:t xml:space="preserve"> and applied </w:t>
      </w:r>
      <w:r w:rsidR="00BE1F4A">
        <w:rPr>
          <w:iCs/>
          <w:snapToGrid/>
        </w:rPr>
        <w:t>equal rates of progression from CKD 5 to dialysis in both arms of the model (hazard ratio [HR] = 1).</w:t>
      </w:r>
      <w:r w:rsidR="00904735">
        <w:rPr>
          <w:iCs/>
          <w:snapToGrid/>
        </w:rPr>
        <w:t xml:space="preserve"> The PBAC considered that </w:t>
      </w:r>
      <w:r w:rsidR="005E286A">
        <w:rPr>
          <w:iCs/>
          <w:snapToGrid/>
        </w:rPr>
        <w:t xml:space="preserve">these </w:t>
      </w:r>
      <w:r w:rsidR="00BF6118">
        <w:rPr>
          <w:iCs/>
          <w:snapToGrid/>
        </w:rPr>
        <w:t xml:space="preserve">conservative </w:t>
      </w:r>
      <w:r w:rsidR="005E286A">
        <w:rPr>
          <w:iCs/>
          <w:snapToGrid/>
        </w:rPr>
        <w:t>amendments</w:t>
      </w:r>
      <w:r w:rsidR="007D376B">
        <w:rPr>
          <w:iCs/>
          <w:snapToGrid/>
        </w:rPr>
        <w:t xml:space="preserve"> to the model</w:t>
      </w:r>
      <w:r w:rsidR="005E286A">
        <w:rPr>
          <w:iCs/>
          <w:snapToGrid/>
        </w:rPr>
        <w:t xml:space="preserve"> </w:t>
      </w:r>
      <w:r w:rsidR="00551ACF">
        <w:rPr>
          <w:iCs/>
          <w:snapToGrid/>
        </w:rPr>
        <w:t>provided more</w:t>
      </w:r>
      <w:r w:rsidR="005E286A">
        <w:rPr>
          <w:iCs/>
          <w:snapToGrid/>
        </w:rPr>
        <w:t xml:space="preserve"> appropriate </w:t>
      </w:r>
      <w:r w:rsidR="00551ACF">
        <w:rPr>
          <w:iCs/>
          <w:snapToGrid/>
        </w:rPr>
        <w:t>base case</w:t>
      </w:r>
      <w:r w:rsidR="00343953">
        <w:rPr>
          <w:iCs/>
          <w:snapToGrid/>
        </w:rPr>
        <w:t xml:space="preserve"> assumptions of long-term treatment effect</w:t>
      </w:r>
      <w:r w:rsidR="00551ACF">
        <w:rPr>
          <w:iCs/>
          <w:snapToGrid/>
        </w:rPr>
        <w:t xml:space="preserve">. The PBAC noted </w:t>
      </w:r>
      <w:r w:rsidR="005E286A">
        <w:rPr>
          <w:iCs/>
          <w:snapToGrid/>
        </w:rPr>
        <w:t>the</w:t>
      </w:r>
      <w:r w:rsidR="00904735">
        <w:rPr>
          <w:iCs/>
          <w:snapToGrid/>
        </w:rPr>
        <w:t xml:space="preserve"> price reduction proposed in the </w:t>
      </w:r>
      <w:r w:rsidR="00904735" w:rsidRPr="00B86466">
        <w:rPr>
          <w:iCs/>
        </w:rPr>
        <w:t>pre-PBAC response</w:t>
      </w:r>
      <w:r w:rsidR="00B86466" w:rsidRPr="00B86466">
        <w:rPr>
          <w:iCs/>
        </w:rPr>
        <w:t xml:space="preserve"> ($</w:t>
      </w:r>
      <w:r w:rsidR="00320A42" w:rsidRPr="005562EE">
        <w:rPr>
          <w:iCs/>
          <w:color w:val="000000"/>
          <w:w w:val="15"/>
          <w:shd w:val="solid" w:color="000000" w:fill="000000"/>
          <w:fitText w:val="-20" w:id="-1233440761"/>
          <w14:textFill>
            <w14:solidFill>
              <w14:srgbClr w14:val="000000">
                <w14:alpha w14:val="100000"/>
              </w14:srgbClr>
            </w14:solidFill>
          </w14:textFill>
        </w:rPr>
        <w:t xml:space="preserve">|  </w:t>
      </w:r>
      <w:r w:rsidR="00320A42" w:rsidRPr="005562EE">
        <w:rPr>
          <w:iCs/>
          <w:color w:val="000000"/>
          <w:spacing w:val="-69"/>
          <w:w w:val="15"/>
          <w:shd w:val="solid" w:color="000000" w:fill="000000"/>
          <w:fitText w:val="-20" w:id="-1233440761"/>
          <w14:textFill>
            <w14:solidFill>
              <w14:srgbClr w14:val="000000">
                <w14:alpha w14:val="100000"/>
              </w14:srgbClr>
            </w14:solidFill>
          </w14:textFill>
        </w:rPr>
        <w:t>|</w:t>
      </w:r>
      <w:r w:rsidR="00B86466" w:rsidRPr="00B86466">
        <w:rPr>
          <w:iCs/>
        </w:rPr>
        <w:t xml:space="preserve"> AEMP to $</w:t>
      </w:r>
      <w:r w:rsidR="00320A42" w:rsidRPr="005562EE">
        <w:rPr>
          <w:iCs/>
          <w:color w:val="000000"/>
          <w:w w:val="15"/>
          <w:shd w:val="solid" w:color="000000" w:fill="000000"/>
          <w:fitText w:val="-20" w:id="-1233440760"/>
          <w14:textFill>
            <w14:solidFill>
              <w14:srgbClr w14:val="000000">
                <w14:alpha w14:val="100000"/>
              </w14:srgbClr>
            </w14:solidFill>
          </w14:textFill>
        </w:rPr>
        <w:t xml:space="preserve">|  </w:t>
      </w:r>
      <w:r w:rsidR="00320A42" w:rsidRPr="005562EE">
        <w:rPr>
          <w:iCs/>
          <w:color w:val="000000"/>
          <w:spacing w:val="-69"/>
          <w:w w:val="15"/>
          <w:shd w:val="solid" w:color="000000" w:fill="000000"/>
          <w:fitText w:val="-20" w:id="-1233440760"/>
          <w14:textFill>
            <w14:solidFill>
              <w14:srgbClr w14:val="000000">
                <w14:alpha w14:val="100000"/>
              </w14:srgbClr>
            </w14:solidFill>
          </w14:textFill>
        </w:rPr>
        <w:t>|</w:t>
      </w:r>
      <w:r w:rsidR="00B86466" w:rsidRPr="00B86466">
        <w:rPr>
          <w:iCs/>
        </w:rPr>
        <w:t xml:space="preserve"> AEMP)</w:t>
      </w:r>
      <w:r w:rsidR="00551ACF">
        <w:rPr>
          <w:iCs/>
        </w:rPr>
        <w:t xml:space="preserve"> was also more in line with the price </w:t>
      </w:r>
      <w:r w:rsidR="00F52819">
        <w:rPr>
          <w:iCs/>
        </w:rPr>
        <w:t xml:space="preserve">of </w:t>
      </w:r>
      <w:r w:rsidR="00551ACF">
        <w:rPr>
          <w:iCs/>
        </w:rPr>
        <w:t>dapagliflozin</w:t>
      </w:r>
      <w:r w:rsidR="00343953">
        <w:rPr>
          <w:iCs/>
        </w:rPr>
        <w:t xml:space="preserve"> and</w:t>
      </w:r>
      <w:r w:rsidR="008B301E">
        <w:rPr>
          <w:iCs/>
        </w:rPr>
        <w:t xml:space="preserve">, on balance, finerenone </w:t>
      </w:r>
      <w:r w:rsidR="00343953">
        <w:rPr>
          <w:iCs/>
        </w:rPr>
        <w:t>wa</w:t>
      </w:r>
      <w:r w:rsidR="008B301E">
        <w:rPr>
          <w:iCs/>
        </w:rPr>
        <w:t xml:space="preserve">s likely to be cost-effective </w:t>
      </w:r>
      <w:r w:rsidR="007D376B">
        <w:t xml:space="preserve">in the </w:t>
      </w:r>
      <w:r w:rsidR="008B301E">
        <w:t>DKD</w:t>
      </w:r>
      <w:r w:rsidR="007D376B">
        <w:t xml:space="preserve"> setting</w:t>
      </w:r>
      <w:r w:rsidR="00551ACF">
        <w:t xml:space="preserve"> at </w:t>
      </w:r>
      <w:r w:rsidR="00343953">
        <w:t>the revised</w:t>
      </w:r>
      <w:r w:rsidR="00551ACF">
        <w:t xml:space="preserve"> ICER of </w:t>
      </w:r>
      <w:r w:rsidR="00C33755" w:rsidRPr="00C33755">
        <w:t>$5,000 to &lt; $15,000</w:t>
      </w:r>
      <w:r w:rsidR="00343953">
        <w:t>/QALY gained</w:t>
      </w:r>
      <w:r w:rsidR="008B301E">
        <w:t>.</w:t>
      </w:r>
    </w:p>
    <w:p w14:paraId="701AE8E2" w14:textId="537DE3EE" w:rsidR="0089580D" w:rsidRPr="00A12B20" w:rsidRDefault="009260F5" w:rsidP="00842BC5">
      <w:pPr>
        <w:pStyle w:val="COMexecsumnumberedpara"/>
        <w:rPr>
          <w:lang w:val="en-GB"/>
        </w:rPr>
      </w:pPr>
      <w:r>
        <w:rPr>
          <w:lang w:val="en-GB"/>
        </w:rPr>
        <w:t xml:space="preserve">The PBAC noted the revised financial implications from the pre-PBAC response remained unreasonably high, despite the lower price offer </w:t>
      </w:r>
      <w:r w:rsidR="000156E5">
        <w:rPr>
          <w:lang w:val="en-GB"/>
        </w:rPr>
        <w:t>being</w:t>
      </w:r>
      <w:r>
        <w:rPr>
          <w:lang w:val="en-GB"/>
        </w:rPr>
        <w:t xml:space="preserve"> more aligned with dapagliflozin. </w:t>
      </w:r>
      <w:r w:rsidR="005958F3">
        <w:rPr>
          <w:lang w:val="en-GB"/>
        </w:rPr>
        <w:t xml:space="preserve">The PBAC considered that </w:t>
      </w:r>
      <w:r>
        <w:rPr>
          <w:lang w:val="en-GB"/>
        </w:rPr>
        <w:t>the</w:t>
      </w:r>
      <w:r w:rsidR="0089580D">
        <w:rPr>
          <w:lang w:val="en-GB"/>
        </w:rPr>
        <w:t xml:space="preserve"> parameters for calculating the financial implications </w:t>
      </w:r>
      <w:r w:rsidR="005958F3">
        <w:rPr>
          <w:lang w:val="en-GB"/>
        </w:rPr>
        <w:t xml:space="preserve">of listing finerenone </w:t>
      </w:r>
      <w:r>
        <w:rPr>
          <w:lang w:val="en-GB"/>
        </w:rPr>
        <w:t>should be</w:t>
      </w:r>
      <w:r w:rsidR="0089580D">
        <w:rPr>
          <w:lang w:val="en-GB"/>
        </w:rPr>
        <w:t xml:space="preserve"> amended to </w:t>
      </w:r>
      <w:r w:rsidR="000156E5">
        <w:rPr>
          <w:lang w:val="en-GB"/>
        </w:rPr>
        <w:t xml:space="preserve">reflect </w:t>
      </w:r>
      <w:r w:rsidR="0089580D">
        <w:rPr>
          <w:lang w:val="en-GB"/>
        </w:rPr>
        <w:t>those</w:t>
      </w:r>
      <w:r w:rsidR="0089580D">
        <w:t xml:space="preserve"> </w:t>
      </w:r>
      <w:r w:rsidR="00B1121A">
        <w:t>recently</w:t>
      </w:r>
      <w:r w:rsidR="0089580D">
        <w:t xml:space="preserve"> accepted </w:t>
      </w:r>
      <w:r w:rsidR="00B1121A">
        <w:t>in the CKD setting</w:t>
      </w:r>
      <w:r w:rsidR="0089580D">
        <w:rPr>
          <w:iCs/>
        </w:rPr>
        <w:t xml:space="preserve"> </w:t>
      </w:r>
      <w:r>
        <w:rPr>
          <w:iCs/>
        </w:rPr>
        <w:t xml:space="preserve">for dapagliflozin (see paragraphs </w:t>
      </w:r>
      <w:r>
        <w:rPr>
          <w:iCs/>
        </w:rPr>
        <w:fldChar w:fldCharType="begin"/>
      </w:r>
      <w:r>
        <w:rPr>
          <w:iCs/>
        </w:rPr>
        <w:instrText xml:space="preserve"> REF _Ref130111519 \r \h </w:instrText>
      </w:r>
      <w:r>
        <w:rPr>
          <w:iCs/>
        </w:rPr>
      </w:r>
      <w:r>
        <w:rPr>
          <w:iCs/>
        </w:rPr>
        <w:fldChar w:fldCharType="separate"/>
      </w:r>
      <w:r w:rsidR="005562EE">
        <w:rPr>
          <w:iCs/>
        </w:rPr>
        <w:t>6.78</w:t>
      </w:r>
      <w:r>
        <w:rPr>
          <w:iCs/>
        </w:rPr>
        <w:fldChar w:fldCharType="end"/>
      </w:r>
      <w:r>
        <w:rPr>
          <w:rFonts w:cstheme="minorHAnsi"/>
          <w:iCs/>
        </w:rPr>
        <w:t>−</w:t>
      </w:r>
      <w:r>
        <w:rPr>
          <w:iCs/>
        </w:rPr>
        <w:fldChar w:fldCharType="begin"/>
      </w:r>
      <w:r>
        <w:rPr>
          <w:rFonts w:cstheme="minorHAnsi"/>
          <w:iCs/>
        </w:rPr>
        <w:instrText xml:space="preserve"> REF _Ref130111537 \r \h </w:instrText>
      </w:r>
      <w:r>
        <w:rPr>
          <w:iCs/>
        </w:rPr>
      </w:r>
      <w:r>
        <w:rPr>
          <w:iCs/>
        </w:rPr>
        <w:fldChar w:fldCharType="separate"/>
      </w:r>
      <w:r w:rsidR="005562EE">
        <w:rPr>
          <w:rFonts w:cstheme="minorHAnsi"/>
          <w:iCs/>
        </w:rPr>
        <w:t>6.79</w:t>
      </w:r>
      <w:r>
        <w:rPr>
          <w:iCs/>
        </w:rPr>
        <w:fldChar w:fldCharType="end"/>
      </w:r>
      <w:r>
        <w:rPr>
          <w:iCs/>
        </w:rPr>
        <w:t xml:space="preserve">). </w:t>
      </w:r>
      <w:r w:rsidR="000156E5">
        <w:rPr>
          <w:iCs/>
        </w:rPr>
        <w:t xml:space="preserve">The PBAC noted the lower patient numbers and the lower financial implications over 6 years of forward estimates based on the revisions provided by the DUSC secretariat (see </w:t>
      </w:r>
      <w:r w:rsidR="000156E5">
        <w:rPr>
          <w:iCs/>
        </w:rPr>
        <w:fldChar w:fldCharType="begin"/>
      </w:r>
      <w:r w:rsidR="000156E5">
        <w:rPr>
          <w:iCs/>
        </w:rPr>
        <w:instrText xml:space="preserve"> REF _Ref129860294 \h </w:instrText>
      </w:r>
      <w:r w:rsidR="000156E5">
        <w:rPr>
          <w:iCs/>
        </w:rPr>
      </w:r>
      <w:r w:rsidR="000156E5">
        <w:rPr>
          <w:iCs/>
        </w:rPr>
        <w:fldChar w:fldCharType="separate"/>
      </w:r>
      <w:r w:rsidR="005562EE">
        <w:t xml:space="preserve">Table </w:t>
      </w:r>
      <w:r w:rsidR="005562EE">
        <w:rPr>
          <w:noProof/>
        </w:rPr>
        <w:t>20</w:t>
      </w:r>
      <w:r w:rsidR="000156E5">
        <w:rPr>
          <w:iCs/>
        </w:rPr>
        <w:fldChar w:fldCharType="end"/>
      </w:r>
      <w:r w:rsidR="000156E5">
        <w:rPr>
          <w:iCs/>
        </w:rPr>
        <w:t>)</w:t>
      </w:r>
      <w:r w:rsidR="00523C95">
        <w:rPr>
          <w:iCs/>
        </w:rPr>
        <w:t xml:space="preserve">. The PBAC considered </w:t>
      </w:r>
      <w:r w:rsidR="000156E5">
        <w:rPr>
          <w:iCs/>
        </w:rPr>
        <w:t>the revised</w:t>
      </w:r>
      <w:r w:rsidR="00523C95">
        <w:rPr>
          <w:iCs/>
        </w:rPr>
        <w:t xml:space="preserve"> utilisation</w:t>
      </w:r>
      <w:r w:rsidR="00967705">
        <w:rPr>
          <w:iCs/>
        </w:rPr>
        <w:t xml:space="preserve"> estimates</w:t>
      </w:r>
      <w:r w:rsidR="00523C95">
        <w:rPr>
          <w:iCs/>
        </w:rPr>
        <w:t xml:space="preserve"> provided </w:t>
      </w:r>
      <w:r w:rsidR="000156E5">
        <w:rPr>
          <w:iCs/>
        </w:rPr>
        <w:t>by the DUSC secretariat</w:t>
      </w:r>
      <w:r w:rsidR="00523C95">
        <w:rPr>
          <w:iCs/>
        </w:rPr>
        <w:t xml:space="preserve"> </w:t>
      </w:r>
      <w:r w:rsidR="00F847B8">
        <w:rPr>
          <w:iCs/>
        </w:rPr>
        <w:t xml:space="preserve">in sensitivity analysis 3 </w:t>
      </w:r>
      <w:r w:rsidR="00523C95">
        <w:rPr>
          <w:iCs/>
        </w:rPr>
        <w:t xml:space="preserve">were likely </w:t>
      </w:r>
      <w:r w:rsidR="00B7722B">
        <w:rPr>
          <w:iCs/>
        </w:rPr>
        <w:t xml:space="preserve">to be </w:t>
      </w:r>
      <w:r w:rsidR="00967705">
        <w:rPr>
          <w:iCs/>
        </w:rPr>
        <w:t xml:space="preserve">a more accurate </w:t>
      </w:r>
      <w:r w:rsidR="00523C95">
        <w:rPr>
          <w:iCs/>
        </w:rPr>
        <w:t>reflect</w:t>
      </w:r>
      <w:r w:rsidR="00967705">
        <w:rPr>
          <w:iCs/>
        </w:rPr>
        <w:t>ion</w:t>
      </w:r>
      <w:r w:rsidR="00523C95">
        <w:rPr>
          <w:iCs/>
        </w:rPr>
        <w:t xml:space="preserve"> of </w:t>
      </w:r>
      <w:r w:rsidR="00A12B20">
        <w:rPr>
          <w:iCs/>
        </w:rPr>
        <w:t>the extent of use</w:t>
      </w:r>
      <w:r w:rsidR="00B1121A">
        <w:rPr>
          <w:iCs/>
        </w:rPr>
        <w:t xml:space="preserve"> of finerenone</w:t>
      </w:r>
      <w:r w:rsidR="000156E5">
        <w:rPr>
          <w:iCs/>
        </w:rPr>
        <w:t xml:space="preserve"> in a later line treatment setting to dapagliflozin</w:t>
      </w:r>
      <w:r w:rsidR="00067BCD">
        <w:rPr>
          <w:iCs/>
        </w:rPr>
        <w:t xml:space="preserve">. </w:t>
      </w:r>
    </w:p>
    <w:p w14:paraId="47EDF1DE" w14:textId="100466E3" w:rsidR="006D2DE5" w:rsidRPr="00B1121A" w:rsidRDefault="006D2DE5" w:rsidP="00C27BAC">
      <w:pPr>
        <w:pStyle w:val="COMexecsumnumberedpara"/>
        <w:rPr>
          <w:lang w:val="en-GB"/>
        </w:rPr>
      </w:pPr>
      <w:r>
        <w:rPr>
          <w:lang w:val="en-GB"/>
        </w:rPr>
        <w:t xml:space="preserve">The PBAC considered </w:t>
      </w:r>
      <w:r w:rsidR="00B1121A">
        <w:rPr>
          <w:lang w:val="en-GB"/>
        </w:rPr>
        <w:t xml:space="preserve">that </w:t>
      </w:r>
      <w:r>
        <w:rPr>
          <w:lang w:val="en-GB"/>
        </w:rPr>
        <w:t xml:space="preserve">a </w:t>
      </w:r>
      <w:r w:rsidR="00F96FBD">
        <w:rPr>
          <w:lang w:val="en-GB"/>
        </w:rPr>
        <w:t>risk sharing arrangement</w:t>
      </w:r>
      <w:r>
        <w:rPr>
          <w:lang w:val="en-GB"/>
        </w:rPr>
        <w:t xml:space="preserve"> </w:t>
      </w:r>
      <w:r w:rsidR="00B1121A">
        <w:rPr>
          <w:lang w:val="en-GB"/>
        </w:rPr>
        <w:t xml:space="preserve">was </w:t>
      </w:r>
      <w:r>
        <w:rPr>
          <w:lang w:val="en-GB"/>
        </w:rPr>
        <w:t>appropriate in the context of an uncertain patient population. The PBAC considered that the revised financial estimate</w:t>
      </w:r>
      <w:r w:rsidR="00CD482A">
        <w:rPr>
          <w:lang w:val="en-GB"/>
        </w:rPr>
        <w:t>s</w:t>
      </w:r>
      <w:r>
        <w:rPr>
          <w:lang w:val="en-GB"/>
        </w:rPr>
        <w:t xml:space="preserve"> </w:t>
      </w:r>
      <w:r>
        <w:rPr>
          <w:iCs/>
        </w:rPr>
        <w:t xml:space="preserve">as </w:t>
      </w:r>
      <w:r w:rsidR="006338BA">
        <w:rPr>
          <w:iCs/>
        </w:rPr>
        <w:t xml:space="preserve">presented in </w:t>
      </w:r>
      <w:r w:rsidR="006338BA">
        <w:rPr>
          <w:iCs/>
        </w:rPr>
        <w:fldChar w:fldCharType="begin"/>
      </w:r>
      <w:r w:rsidR="006338BA">
        <w:rPr>
          <w:iCs/>
        </w:rPr>
        <w:instrText xml:space="preserve"> REF _Ref129860294 \h </w:instrText>
      </w:r>
      <w:r w:rsidR="006338BA">
        <w:rPr>
          <w:iCs/>
        </w:rPr>
      </w:r>
      <w:r w:rsidR="006338BA">
        <w:rPr>
          <w:iCs/>
        </w:rPr>
        <w:fldChar w:fldCharType="separate"/>
      </w:r>
      <w:r w:rsidR="005562EE">
        <w:t xml:space="preserve">Table </w:t>
      </w:r>
      <w:r w:rsidR="005562EE">
        <w:rPr>
          <w:noProof/>
        </w:rPr>
        <w:t>20</w:t>
      </w:r>
      <w:r w:rsidR="006338BA">
        <w:rPr>
          <w:iCs/>
        </w:rPr>
        <w:fldChar w:fldCharType="end"/>
      </w:r>
      <w:r w:rsidR="00CD482A">
        <w:rPr>
          <w:iCs/>
        </w:rPr>
        <w:t xml:space="preserve"> </w:t>
      </w:r>
      <w:r w:rsidR="006338BA">
        <w:rPr>
          <w:iCs/>
        </w:rPr>
        <w:t>would</w:t>
      </w:r>
      <w:r>
        <w:rPr>
          <w:iCs/>
        </w:rPr>
        <w:t xml:space="preserve"> be a reasonable basis for </w:t>
      </w:r>
      <w:r w:rsidR="00B1121A">
        <w:rPr>
          <w:iCs/>
        </w:rPr>
        <w:t>subsidisation</w:t>
      </w:r>
      <w:r>
        <w:rPr>
          <w:iCs/>
        </w:rPr>
        <w:t xml:space="preserve"> caps</w:t>
      </w:r>
      <w:r w:rsidR="00A66130">
        <w:rPr>
          <w:iCs/>
        </w:rPr>
        <w:t xml:space="preserve"> with</w:t>
      </w:r>
      <w:r w:rsidR="00B55CD6">
        <w:rPr>
          <w:iCs/>
        </w:rPr>
        <w:t xml:space="preserve"> </w:t>
      </w:r>
      <w:r w:rsidR="00B55CD6" w:rsidRPr="005562EE">
        <w:rPr>
          <w:iCs/>
          <w:color w:val="000000"/>
          <w:w w:val="15"/>
          <w:shd w:val="solid" w:color="000000" w:fill="000000"/>
          <w:fitText w:val="-20" w:id="-1229278208"/>
          <w14:textFill>
            <w14:solidFill>
              <w14:srgbClr w14:val="000000">
                <w14:alpha w14:val="100000"/>
              </w14:srgbClr>
            </w14:solidFill>
          </w14:textFill>
        </w:rPr>
        <w:t xml:space="preserve">|  </w:t>
      </w:r>
      <w:r w:rsidR="00B55CD6" w:rsidRPr="005562EE">
        <w:rPr>
          <w:iCs/>
          <w:color w:val="000000"/>
          <w:spacing w:val="-69"/>
          <w:w w:val="15"/>
          <w:shd w:val="solid" w:color="000000" w:fill="000000"/>
          <w:fitText w:val="-20" w:id="-1229278208"/>
          <w14:textFill>
            <w14:solidFill>
              <w14:srgbClr w14:val="000000">
                <w14:alpha w14:val="100000"/>
              </w14:srgbClr>
            </w14:solidFill>
          </w14:textFill>
        </w:rPr>
        <w:t>|</w:t>
      </w:r>
      <w:r w:rsidR="00A66130">
        <w:rPr>
          <w:iCs/>
        </w:rPr>
        <w:t>% rebate</w:t>
      </w:r>
      <w:r w:rsidR="000810EC">
        <w:rPr>
          <w:iCs/>
        </w:rPr>
        <w:t xml:space="preserve"> above the caps</w:t>
      </w:r>
      <w:r w:rsidR="00CD482A">
        <w:rPr>
          <w:iCs/>
        </w:rPr>
        <w:t>.</w:t>
      </w:r>
    </w:p>
    <w:p w14:paraId="28ACD133" w14:textId="77777777" w:rsidR="00F73E54" w:rsidRPr="00B065B5" w:rsidRDefault="00F73E54" w:rsidP="00F73E54">
      <w:pPr>
        <w:widowControl w:val="0"/>
        <w:numPr>
          <w:ilvl w:val="1"/>
          <w:numId w:val="1"/>
        </w:numPr>
        <w:spacing w:after="120"/>
        <w:ind w:left="720" w:hanging="720"/>
        <w:rPr>
          <w:rFonts w:asciiTheme="minorHAnsi" w:hAnsiTheme="minorHAnsi"/>
          <w:bCs/>
          <w:snapToGrid w:val="0"/>
          <w:lang w:val="en-GB"/>
        </w:rPr>
      </w:pPr>
      <w:r w:rsidRPr="00B065B5">
        <w:rPr>
          <w:rFonts w:asciiTheme="minorHAnsi" w:hAnsiTheme="minorHAnsi"/>
          <w:bCs/>
          <w:snapToGrid w:val="0"/>
          <w:lang w:val="en-GB"/>
        </w:rPr>
        <w:t>The PBAC recommended that finerenone should not be treated as interchangeable on an individual patient basis with any other drugs.</w:t>
      </w:r>
    </w:p>
    <w:p w14:paraId="08E24A40" w14:textId="77777777" w:rsidR="00F73E54" w:rsidRDefault="00F73E54" w:rsidP="00F73E54">
      <w:pPr>
        <w:widowControl w:val="0"/>
        <w:numPr>
          <w:ilvl w:val="1"/>
          <w:numId w:val="1"/>
        </w:numPr>
        <w:spacing w:after="120"/>
        <w:ind w:left="720" w:hanging="720"/>
        <w:rPr>
          <w:rFonts w:asciiTheme="minorHAnsi" w:hAnsiTheme="minorHAnsi"/>
          <w:bCs/>
          <w:snapToGrid w:val="0"/>
          <w:lang w:val="en-GB"/>
        </w:rPr>
      </w:pPr>
      <w:r w:rsidRPr="00B065B5">
        <w:rPr>
          <w:rFonts w:asciiTheme="minorHAnsi" w:hAnsiTheme="minorHAnsi"/>
          <w:bCs/>
          <w:snapToGrid w:val="0"/>
          <w:lang w:val="en-GB"/>
        </w:rPr>
        <w:t xml:space="preserve">The PBAC advised that finerenone is suitable for prescribing by nurse practitioners as continuing therapy only. </w:t>
      </w:r>
    </w:p>
    <w:p w14:paraId="20EFC031" w14:textId="1E382559" w:rsidR="00F73E54" w:rsidRPr="00B1121A" w:rsidRDefault="00F73E54" w:rsidP="00B1121A">
      <w:pPr>
        <w:pStyle w:val="COMexecsumnumberedpara"/>
        <w:rPr>
          <w:bCs/>
          <w:lang w:val="en-GB"/>
        </w:rPr>
      </w:pPr>
      <w:r w:rsidRPr="00B065B5">
        <w:rPr>
          <w:bCs/>
          <w:lang w:val="en-GB"/>
        </w:rPr>
        <w:t>The PBAC recommended that the Early Supply Rule should not apply.</w:t>
      </w:r>
    </w:p>
    <w:p w14:paraId="1FBC0074" w14:textId="4A2F0CE1" w:rsidR="007E449E" w:rsidRPr="00F53760" w:rsidRDefault="007E449E" w:rsidP="006A54DE">
      <w:pPr>
        <w:widowControl w:val="0"/>
        <w:numPr>
          <w:ilvl w:val="1"/>
          <w:numId w:val="1"/>
        </w:numPr>
        <w:spacing w:after="120"/>
        <w:ind w:left="720" w:hanging="720"/>
        <w:rPr>
          <w:rFonts w:asciiTheme="minorHAnsi" w:hAnsiTheme="minorHAnsi" w:cstheme="minorHAnsi"/>
          <w:b/>
          <w:lang w:val="en-GB"/>
        </w:rPr>
      </w:pPr>
      <w:r w:rsidRPr="00F53760">
        <w:rPr>
          <w:rFonts w:asciiTheme="minorHAnsi" w:hAnsiTheme="minorHAnsi" w:cstheme="minorHAnsi"/>
          <w:lang w:val="en-GB"/>
        </w:rPr>
        <w:t xml:space="preserve">The PBAC found that the criteria prescribed by the </w:t>
      </w:r>
      <w:r w:rsidRPr="00F53760">
        <w:rPr>
          <w:rFonts w:asciiTheme="minorHAnsi" w:hAnsiTheme="minorHAnsi" w:cstheme="minorHAnsi"/>
          <w:i/>
          <w:lang w:val="en-GB"/>
        </w:rPr>
        <w:t>National Health (Pharmaceuticals and Vaccines – Cost Recovery) Regulations 2022</w:t>
      </w:r>
      <w:r w:rsidRPr="00F53760">
        <w:rPr>
          <w:rFonts w:asciiTheme="minorHAnsi" w:hAnsiTheme="minorHAnsi" w:cstheme="minorHAnsi"/>
          <w:lang w:val="en-GB"/>
        </w:rPr>
        <w:t xml:space="preserve"> for Pricing Pathway were not met. Specifically the PBAC found that in the circumstances of its recommendation for </w:t>
      </w:r>
      <w:r w:rsidR="004A0EB8">
        <w:rPr>
          <w:rFonts w:asciiTheme="minorHAnsi" w:hAnsiTheme="minorHAnsi" w:cstheme="minorHAnsi"/>
          <w:lang w:val="en-GB"/>
        </w:rPr>
        <w:t>finerenone</w:t>
      </w:r>
      <w:r w:rsidRPr="00F53760">
        <w:rPr>
          <w:rFonts w:asciiTheme="minorHAnsi" w:hAnsiTheme="minorHAnsi" w:cstheme="minorHAnsi"/>
          <w:lang w:val="en-GB"/>
        </w:rPr>
        <w:t>:</w:t>
      </w:r>
    </w:p>
    <w:p w14:paraId="0A6A36E3" w14:textId="0C441011" w:rsidR="007E449E" w:rsidRPr="00763DFB" w:rsidRDefault="007E449E" w:rsidP="00966944">
      <w:pPr>
        <w:widowControl w:val="0"/>
        <w:numPr>
          <w:ilvl w:val="1"/>
          <w:numId w:val="41"/>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expected to provide a </w:t>
      </w:r>
      <w:r w:rsidR="004A0EB8">
        <w:rPr>
          <w:rFonts w:asciiTheme="minorHAnsi" w:hAnsiTheme="minorHAnsi" w:cstheme="minorHAnsi"/>
          <w:lang w:val="en-GB"/>
        </w:rPr>
        <w:t>moderate</w:t>
      </w:r>
      <w:r w:rsidRPr="00763DFB">
        <w:rPr>
          <w:rFonts w:asciiTheme="minorHAnsi" w:hAnsiTheme="minorHAnsi" w:cstheme="minorHAnsi"/>
          <w:lang w:val="en-GB"/>
        </w:rPr>
        <w:t xml:space="preserve"> improvement in efficacy</w:t>
      </w:r>
      <w:r w:rsidR="004A0EB8">
        <w:rPr>
          <w:rFonts w:asciiTheme="minorHAnsi" w:hAnsiTheme="minorHAnsi" w:cstheme="minorHAnsi"/>
          <w:lang w:val="en-GB"/>
        </w:rPr>
        <w:t xml:space="preserve"> </w:t>
      </w:r>
      <w:r w:rsidRPr="00763DFB">
        <w:rPr>
          <w:rFonts w:asciiTheme="minorHAnsi" w:hAnsiTheme="minorHAnsi" w:cstheme="minorHAnsi"/>
          <w:lang w:val="en-GB"/>
        </w:rPr>
        <w:t>over</w:t>
      </w:r>
      <w:r w:rsidR="004A0EB8">
        <w:rPr>
          <w:rFonts w:asciiTheme="minorHAnsi" w:hAnsiTheme="minorHAnsi" w:cstheme="minorHAnsi"/>
          <w:lang w:val="en-GB"/>
        </w:rPr>
        <w:t xml:space="preserve"> standard of care on the basis of the clinical evidence considered at the July 2022 and March 2023 meetings</w:t>
      </w:r>
      <w:r w:rsidRPr="00763DFB">
        <w:rPr>
          <w:rFonts w:asciiTheme="minorHAnsi" w:hAnsiTheme="minorHAnsi" w:cstheme="minorHAnsi"/>
          <w:lang w:val="en-GB"/>
        </w:rPr>
        <w:t xml:space="preserve">; </w:t>
      </w:r>
    </w:p>
    <w:p w14:paraId="27C866A7" w14:textId="3EAF12BF" w:rsidR="007E449E" w:rsidRPr="00763DFB" w:rsidRDefault="007E449E" w:rsidP="00966944">
      <w:pPr>
        <w:widowControl w:val="0"/>
        <w:numPr>
          <w:ilvl w:val="1"/>
          <w:numId w:val="41"/>
        </w:numPr>
        <w:spacing w:after="120"/>
        <w:ind w:left="1134"/>
        <w:rPr>
          <w:rFonts w:asciiTheme="minorHAnsi" w:hAnsiTheme="minorHAnsi" w:cstheme="minorHAnsi"/>
          <w:lang w:val="en-GB"/>
        </w:rPr>
      </w:pPr>
      <w:r w:rsidRPr="00763DFB">
        <w:rPr>
          <w:rFonts w:asciiTheme="minorHAnsi" w:hAnsiTheme="minorHAnsi" w:cstheme="minorHAnsi"/>
          <w:lang w:val="en-GB"/>
        </w:rPr>
        <w:t>The treatment is not expected to address a high and urgent unmet clinical need;</w:t>
      </w:r>
    </w:p>
    <w:p w14:paraId="5CB831B7" w14:textId="520DE942" w:rsidR="007E449E" w:rsidRPr="00763DFB" w:rsidRDefault="007E449E" w:rsidP="00966944">
      <w:pPr>
        <w:widowControl w:val="0"/>
        <w:numPr>
          <w:ilvl w:val="1"/>
          <w:numId w:val="41"/>
        </w:numPr>
        <w:spacing w:after="120"/>
        <w:ind w:left="1134"/>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6A54DE">
        <w:rPr>
          <w:rFonts w:asciiTheme="minorHAnsi" w:hAnsiTheme="minorHAnsi" w:cstheme="minorHAnsi"/>
          <w:lang w:val="en-GB"/>
        </w:rPr>
        <w:t>.</w:t>
      </w:r>
    </w:p>
    <w:p w14:paraId="4391227D" w14:textId="5D6EFAE8" w:rsidR="006A54DE" w:rsidRPr="006A54DE" w:rsidRDefault="007E449E" w:rsidP="006A54DE">
      <w:pPr>
        <w:widowControl w:val="0"/>
        <w:numPr>
          <w:ilvl w:val="1"/>
          <w:numId w:val="1"/>
        </w:numPr>
        <w:spacing w:after="120"/>
        <w:ind w:left="720" w:hanging="720"/>
        <w:rPr>
          <w:rFonts w:ascii="Arial" w:hAnsi="Arial"/>
          <w:bCs/>
          <w:sz w:val="22"/>
          <w:szCs w:val="22"/>
        </w:rPr>
      </w:pPr>
      <w:r w:rsidRPr="00525B39">
        <w:rPr>
          <w:rFonts w:asciiTheme="minorHAnsi" w:hAnsiTheme="minorHAnsi"/>
          <w:bCs/>
          <w:snapToGrid w:val="0"/>
          <w:lang w:val="en-GB"/>
        </w:rPr>
        <w:t>The PBAC noted that this submission is not eligible for an Independent Review</w:t>
      </w:r>
      <w:r w:rsidR="006A54DE">
        <w:rPr>
          <w:rFonts w:asciiTheme="minorHAnsi" w:hAnsiTheme="minorHAnsi"/>
          <w:bCs/>
          <w:snapToGrid w:val="0"/>
          <w:lang w:val="en-GB"/>
        </w:rPr>
        <w:t xml:space="preserve"> as it received a positive </w:t>
      </w:r>
      <w:r w:rsidR="009D58EB">
        <w:rPr>
          <w:rFonts w:asciiTheme="minorHAnsi" w:hAnsiTheme="minorHAnsi"/>
          <w:bCs/>
          <w:snapToGrid w:val="0"/>
          <w:lang w:val="en-GB"/>
        </w:rPr>
        <w:t>recommendation</w:t>
      </w:r>
      <w:r w:rsidRPr="00525B39">
        <w:rPr>
          <w:rFonts w:asciiTheme="minorHAnsi" w:hAnsiTheme="minorHAnsi"/>
          <w:bCs/>
          <w:snapToGrid w:val="0"/>
          <w:lang w:val="en-GB"/>
        </w:rPr>
        <w:t xml:space="preserve">. </w:t>
      </w:r>
    </w:p>
    <w:p w14:paraId="6C5C9759" w14:textId="77777777" w:rsidR="007E449E" w:rsidRPr="00525B39" w:rsidRDefault="007E449E" w:rsidP="007E449E">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7271A4F" w14:textId="37A7CAE1" w:rsidR="007E449E" w:rsidRPr="00525B39" w:rsidRDefault="007E449E" w:rsidP="007E449E">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70"/>
    <w:p w14:paraId="664360C6" w14:textId="71EC27B8" w:rsidR="00232AA0" w:rsidRPr="002A4D82" w:rsidRDefault="007E449E" w:rsidP="002A4D82">
      <w:pPr>
        <w:pStyle w:val="COMH1numbered"/>
        <w:numPr>
          <w:ilvl w:val="0"/>
          <w:numId w:val="1"/>
        </w:numPr>
      </w:pPr>
      <w:r w:rsidRPr="002A4D82">
        <w:t>Recommended listing</w:t>
      </w:r>
    </w:p>
    <w:p w14:paraId="0BBCB86E" w14:textId="200C0425" w:rsidR="00B77328" w:rsidRPr="00B1121A" w:rsidRDefault="00B77328" w:rsidP="00B1121A">
      <w:pPr>
        <w:widowControl w:val="0"/>
        <w:spacing w:after="240"/>
        <w:rPr>
          <w:rFonts w:asciiTheme="minorHAnsi" w:hAnsiTheme="minorHAnsi"/>
          <w:bCs/>
          <w:snapToGrid w:val="0"/>
        </w:rPr>
      </w:pPr>
      <w:r w:rsidRPr="00B1121A">
        <w:rPr>
          <w:rFonts w:asciiTheme="minorHAnsi" w:hAnsiTheme="minorHAnsi"/>
          <w:bCs/>
          <w:snapToGrid w:val="0"/>
        </w:rPr>
        <w:t>Add new indication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734"/>
        <w:gridCol w:w="2591"/>
        <w:gridCol w:w="833"/>
        <w:gridCol w:w="833"/>
        <w:gridCol w:w="833"/>
        <w:gridCol w:w="833"/>
        <w:gridCol w:w="1636"/>
      </w:tblGrid>
      <w:tr w:rsidR="00232AA0" w:rsidRPr="00232AA0" w14:paraId="3333B989" w14:textId="77777777" w:rsidTr="00C33755">
        <w:trPr>
          <w:cantSplit/>
          <w:trHeight w:val="20"/>
        </w:trPr>
        <w:tc>
          <w:tcPr>
            <w:tcW w:w="2245" w:type="pct"/>
            <w:gridSpan w:val="3"/>
            <w:vAlign w:val="center"/>
          </w:tcPr>
          <w:p w14:paraId="4A182DD1" w14:textId="77777777" w:rsidR="00232AA0" w:rsidRPr="00232AA0" w:rsidRDefault="00232AA0" w:rsidP="00E172C1">
            <w:pPr>
              <w:keepLines/>
              <w:rPr>
                <w:rFonts w:ascii="Arial Narrow" w:hAnsi="Arial Narrow"/>
                <w:b/>
                <w:bCs/>
                <w:sz w:val="20"/>
                <w:szCs w:val="20"/>
              </w:rPr>
            </w:pPr>
            <w:r w:rsidRPr="00232AA0">
              <w:rPr>
                <w:rFonts w:ascii="Arial Narrow" w:hAnsi="Arial Narrow"/>
                <w:b/>
                <w:bCs/>
                <w:sz w:val="20"/>
                <w:szCs w:val="20"/>
              </w:rPr>
              <w:t>MEDICINAL PRODUCT</w:t>
            </w:r>
          </w:p>
          <w:p w14:paraId="1CA2885D" w14:textId="77777777" w:rsidR="00232AA0" w:rsidRPr="00B77328" w:rsidRDefault="00232AA0" w:rsidP="00E172C1">
            <w:pPr>
              <w:keepLines/>
              <w:rPr>
                <w:rFonts w:ascii="Arial Narrow" w:hAnsi="Arial Narrow"/>
                <w:b/>
                <w:sz w:val="20"/>
                <w:szCs w:val="20"/>
              </w:rPr>
            </w:pPr>
            <w:r w:rsidRPr="00232AA0">
              <w:rPr>
                <w:rFonts w:ascii="Arial Narrow" w:hAnsi="Arial Narrow"/>
                <w:b/>
                <w:bCs/>
                <w:sz w:val="20"/>
                <w:szCs w:val="20"/>
              </w:rPr>
              <w:t xml:space="preserve">medicinal product </w:t>
            </w:r>
            <w:r w:rsidRPr="00B77328">
              <w:rPr>
                <w:rFonts w:ascii="Arial Narrow" w:hAnsi="Arial Narrow"/>
                <w:b/>
                <w:bCs/>
                <w:sz w:val="20"/>
                <w:szCs w:val="20"/>
              </w:rPr>
              <w:t>pack</w:t>
            </w:r>
          </w:p>
        </w:tc>
        <w:tc>
          <w:tcPr>
            <w:tcW w:w="462" w:type="pct"/>
            <w:vAlign w:val="center"/>
          </w:tcPr>
          <w:p w14:paraId="22561EAB" w14:textId="77777777" w:rsidR="00232AA0" w:rsidRPr="00232AA0" w:rsidRDefault="00232AA0" w:rsidP="00E172C1">
            <w:pPr>
              <w:keepLines/>
              <w:jc w:val="center"/>
              <w:rPr>
                <w:rFonts w:ascii="Arial Narrow" w:hAnsi="Arial Narrow"/>
                <w:b/>
                <w:sz w:val="20"/>
                <w:szCs w:val="20"/>
              </w:rPr>
            </w:pPr>
            <w:r w:rsidRPr="00B77328">
              <w:rPr>
                <w:rFonts w:ascii="Arial Narrow" w:hAnsi="Arial Narrow"/>
                <w:b/>
                <w:sz w:val="20"/>
                <w:szCs w:val="20"/>
              </w:rPr>
              <w:t>PBS item code</w:t>
            </w:r>
          </w:p>
        </w:tc>
        <w:tc>
          <w:tcPr>
            <w:tcW w:w="462" w:type="pct"/>
            <w:vAlign w:val="center"/>
          </w:tcPr>
          <w:p w14:paraId="5CE35984" w14:textId="77777777" w:rsidR="00232AA0" w:rsidRPr="00232AA0" w:rsidRDefault="00232AA0" w:rsidP="00E172C1">
            <w:pPr>
              <w:keepLines/>
              <w:jc w:val="center"/>
              <w:rPr>
                <w:rFonts w:ascii="Arial Narrow" w:hAnsi="Arial Narrow"/>
                <w:b/>
                <w:sz w:val="20"/>
                <w:szCs w:val="20"/>
              </w:rPr>
            </w:pPr>
            <w:r w:rsidRPr="00232AA0">
              <w:rPr>
                <w:rFonts w:ascii="Arial Narrow" w:hAnsi="Arial Narrow"/>
                <w:b/>
                <w:sz w:val="20"/>
                <w:szCs w:val="20"/>
              </w:rPr>
              <w:t>Max. qty packs</w:t>
            </w:r>
          </w:p>
        </w:tc>
        <w:tc>
          <w:tcPr>
            <w:tcW w:w="462" w:type="pct"/>
            <w:vAlign w:val="center"/>
          </w:tcPr>
          <w:p w14:paraId="18EDFD2A" w14:textId="77777777" w:rsidR="00232AA0" w:rsidRPr="00232AA0" w:rsidRDefault="00232AA0" w:rsidP="00E172C1">
            <w:pPr>
              <w:keepLines/>
              <w:jc w:val="center"/>
              <w:rPr>
                <w:rFonts w:ascii="Arial Narrow" w:hAnsi="Arial Narrow"/>
                <w:b/>
                <w:sz w:val="20"/>
                <w:szCs w:val="20"/>
              </w:rPr>
            </w:pPr>
            <w:r w:rsidRPr="00232AA0">
              <w:rPr>
                <w:rFonts w:ascii="Arial Narrow" w:hAnsi="Arial Narrow"/>
                <w:b/>
                <w:sz w:val="20"/>
                <w:szCs w:val="20"/>
              </w:rPr>
              <w:t>Max. qty units</w:t>
            </w:r>
          </w:p>
        </w:tc>
        <w:tc>
          <w:tcPr>
            <w:tcW w:w="462" w:type="pct"/>
            <w:vAlign w:val="center"/>
          </w:tcPr>
          <w:p w14:paraId="7D15F06C" w14:textId="77777777" w:rsidR="00232AA0" w:rsidRPr="00232AA0" w:rsidRDefault="00232AA0" w:rsidP="00E172C1">
            <w:pPr>
              <w:keepLines/>
              <w:jc w:val="center"/>
              <w:rPr>
                <w:rFonts w:ascii="Arial Narrow" w:hAnsi="Arial Narrow"/>
                <w:b/>
                <w:sz w:val="20"/>
                <w:szCs w:val="20"/>
              </w:rPr>
            </w:pPr>
            <w:r w:rsidRPr="00232AA0">
              <w:rPr>
                <w:rFonts w:ascii="Arial Narrow" w:hAnsi="Arial Narrow"/>
                <w:b/>
                <w:sz w:val="20"/>
                <w:szCs w:val="20"/>
              </w:rPr>
              <w:t>№.of</w:t>
            </w:r>
          </w:p>
          <w:p w14:paraId="4DB559F7" w14:textId="77777777" w:rsidR="00232AA0" w:rsidRPr="00232AA0" w:rsidRDefault="00232AA0" w:rsidP="00E172C1">
            <w:pPr>
              <w:keepLines/>
              <w:jc w:val="center"/>
              <w:rPr>
                <w:rFonts w:ascii="Arial Narrow" w:hAnsi="Arial Narrow"/>
                <w:b/>
                <w:sz w:val="20"/>
                <w:szCs w:val="20"/>
              </w:rPr>
            </w:pPr>
            <w:r w:rsidRPr="00232AA0">
              <w:rPr>
                <w:rFonts w:ascii="Arial Narrow" w:hAnsi="Arial Narrow"/>
                <w:b/>
                <w:sz w:val="20"/>
                <w:szCs w:val="20"/>
              </w:rPr>
              <w:t>Rpts</w:t>
            </w:r>
          </w:p>
        </w:tc>
        <w:tc>
          <w:tcPr>
            <w:tcW w:w="908" w:type="pct"/>
            <w:vAlign w:val="center"/>
          </w:tcPr>
          <w:p w14:paraId="414946F3" w14:textId="77777777" w:rsidR="00232AA0" w:rsidRPr="00232AA0" w:rsidRDefault="00232AA0" w:rsidP="00E172C1">
            <w:pPr>
              <w:keepLines/>
              <w:rPr>
                <w:rFonts w:ascii="Arial Narrow" w:hAnsi="Arial Narrow"/>
                <w:b/>
                <w:sz w:val="20"/>
                <w:szCs w:val="20"/>
                <w:lang w:val="fr-FR"/>
              </w:rPr>
            </w:pPr>
            <w:r w:rsidRPr="00232AA0">
              <w:rPr>
                <w:rFonts w:ascii="Arial Narrow" w:hAnsi="Arial Narrow"/>
                <w:b/>
                <w:sz w:val="20"/>
                <w:szCs w:val="20"/>
              </w:rPr>
              <w:t>Available brands</w:t>
            </w:r>
          </w:p>
        </w:tc>
      </w:tr>
      <w:tr w:rsidR="00232AA0" w:rsidRPr="00232AA0" w14:paraId="53887F9A" w14:textId="77777777" w:rsidTr="00E172C1">
        <w:trPr>
          <w:cantSplit/>
          <w:trHeight w:val="20"/>
        </w:trPr>
        <w:tc>
          <w:tcPr>
            <w:tcW w:w="5000" w:type="pct"/>
            <w:gridSpan w:val="8"/>
            <w:vAlign w:val="center"/>
          </w:tcPr>
          <w:p w14:paraId="62618DC4" w14:textId="77777777" w:rsidR="00232AA0" w:rsidRPr="00232AA0" w:rsidRDefault="00232AA0" w:rsidP="00E172C1">
            <w:pPr>
              <w:keepLines/>
              <w:rPr>
                <w:rFonts w:ascii="Arial Narrow" w:hAnsi="Arial Narrow"/>
                <w:sz w:val="20"/>
                <w:szCs w:val="20"/>
              </w:rPr>
            </w:pPr>
            <w:r w:rsidRPr="00232AA0">
              <w:rPr>
                <w:rFonts w:ascii="Arial Narrow" w:hAnsi="Arial Narrow"/>
                <w:sz w:val="20"/>
                <w:szCs w:val="20"/>
              </w:rPr>
              <w:t>FINERENONE</w:t>
            </w:r>
          </w:p>
        </w:tc>
      </w:tr>
      <w:tr w:rsidR="00232AA0" w:rsidRPr="00232AA0" w14:paraId="2D348098" w14:textId="77777777" w:rsidTr="00C33755">
        <w:trPr>
          <w:cantSplit/>
          <w:trHeight w:val="20"/>
        </w:trPr>
        <w:tc>
          <w:tcPr>
            <w:tcW w:w="2245" w:type="pct"/>
            <w:gridSpan w:val="3"/>
            <w:vAlign w:val="center"/>
          </w:tcPr>
          <w:p w14:paraId="36942A43" w14:textId="77777777" w:rsidR="00232AA0" w:rsidRPr="00232AA0" w:rsidRDefault="00232AA0" w:rsidP="00E172C1">
            <w:pPr>
              <w:keepLines/>
              <w:rPr>
                <w:rFonts w:ascii="Arial Narrow" w:hAnsi="Arial Narrow"/>
                <w:sz w:val="20"/>
                <w:szCs w:val="20"/>
              </w:rPr>
            </w:pPr>
            <w:r w:rsidRPr="00232AA0">
              <w:rPr>
                <w:rFonts w:ascii="Arial Narrow" w:hAnsi="Arial Narrow"/>
                <w:sz w:val="20"/>
                <w:szCs w:val="20"/>
              </w:rPr>
              <w:t>finerenone 10 mg tablet, 28</w:t>
            </w:r>
          </w:p>
        </w:tc>
        <w:tc>
          <w:tcPr>
            <w:tcW w:w="462" w:type="pct"/>
            <w:vAlign w:val="center"/>
          </w:tcPr>
          <w:p w14:paraId="6D2614B8" w14:textId="77777777" w:rsidR="00232AA0" w:rsidRPr="00232AA0" w:rsidRDefault="00232AA0" w:rsidP="00E172C1">
            <w:pPr>
              <w:keepLines/>
              <w:jc w:val="center"/>
              <w:rPr>
                <w:rFonts w:ascii="Arial Narrow" w:hAnsi="Arial Narrow"/>
                <w:sz w:val="20"/>
                <w:szCs w:val="20"/>
              </w:rPr>
            </w:pPr>
            <w:r w:rsidRPr="00232AA0">
              <w:rPr>
                <w:rFonts w:ascii="Arial Narrow" w:hAnsi="Arial Narrow"/>
                <w:sz w:val="20"/>
                <w:szCs w:val="20"/>
              </w:rPr>
              <w:t>NEW</w:t>
            </w:r>
          </w:p>
        </w:tc>
        <w:tc>
          <w:tcPr>
            <w:tcW w:w="462" w:type="pct"/>
            <w:vAlign w:val="center"/>
          </w:tcPr>
          <w:p w14:paraId="68F5C283" w14:textId="77777777" w:rsidR="00232AA0" w:rsidRPr="00232AA0" w:rsidRDefault="00232AA0" w:rsidP="00E172C1">
            <w:pPr>
              <w:keepLines/>
              <w:jc w:val="center"/>
              <w:rPr>
                <w:rFonts w:ascii="Arial Narrow" w:hAnsi="Arial Narrow"/>
                <w:sz w:val="20"/>
                <w:szCs w:val="20"/>
              </w:rPr>
            </w:pPr>
            <w:r w:rsidRPr="00232AA0">
              <w:rPr>
                <w:rFonts w:ascii="Arial Narrow" w:hAnsi="Arial Narrow"/>
                <w:sz w:val="20"/>
                <w:szCs w:val="20"/>
              </w:rPr>
              <w:t>1</w:t>
            </w:r>
          </w:p>
        </w:tc>
        <w:tc>
          <w:tcPr>
            <w:tcW w:w="462" w:type="pct"/>
            <w:vAlign w:val="center"/>
          </w:tcPr>
          <w:p w14:paraId="37341C8B" w14:textId="77777777" w:rsidR="00232AA0" w:rsidRPr="00232AA0" w:rsidRDefault="00232AA0" w:rsidP="00E172C1">
            <w:pPr>
              <w:keepLines/>
              <w:jc w:val="center"/>
              <w:rPr>
                <w:rFonts w:ascii="Arial Narrow" w:hAnsi="Arial Narrow"/>
                <w:sz w:val="20"/>
                <w:szCs w:val="20"/>
              </w:rPr>
            </w:pPr>
            <w:r w:rsidRPr="00232AA0">
              <w:rPr>
                <w:rFonts w:ascii="Arial Narrow" w:hAnsi="Arial Narrow"/>
                <w:sz w:val="20"/>
                <w:szCs w:val="20"/>
              </w:rPr>
              <w:t>28</w:t>
            </w:r>
          </w:p>
        </w:tc>
        <w:tc>
          <w:tcPr>
            <w:tcW w:w="462" w:type="pct"/>
            <w:vAlign w:val="center"/>
          </w:tcPr>
          <w:p w14:paraId="6537CB1F" w14:textId="77777777" w:rsidR="00232AA0" w:rsidRPr="00232AA0" w:rsidRDefault="00232AA0" w:rsidP="00E172C1">
            <w:pPr>
              <w:keepLines/>
              <w:jc w:val="center"/>
              <w:rPr>
                <w:rFonts w:ascii="Arial Narrow" w:hAnsi="Arial Narrow"/>
                <w:sz w:val="20"/>
                <w:szCs w:val="20"/>
              </w:rPr>
            </w:pPr>
            <w:r w:rsidRPr="00232AA0">
              <w:rPr>
                <w:rFonts w:ascii="Arial Narrow" w:hAnsi="Arial Narrow"/>
                <w:sz w:val="20"/>
                <w:szCs w:val="20"/>
              </w:rPr>
              <w:t>5</w:t>
            </w:r>
          </w:p>
        </w:tc>
        <w:tc>
          <w:tcPr>
            <w:tcW w:w="908" w:type="pct"/>
            <w:vAlign w:val="center"/>
          </w:tcPr>
          <w:p w14:paraId="2878612B" w14:textId="77777777" w:rsidR="00232AA0" w:rsidRPr="00232AA0" w:rsidRDefault="00232AA0" w:rsidP="00E172C1">
            <w:pPr>
              <w:keepLines/>
              <w:rPr>
                <w:rFonts w:ascii="Arial Narrow" w:hAnsi="Arial Narrow"/>
                <w:sz w:val="20"/>
                <w:szCs w:val="20"/>
              </w:rPr>
            </w:pPr>
            <w:r w:rsidRPr="00232AA0">
              <w:rPr>
                <w:rFonts w:ascii="Arial Narrow" w:hAnsi="Arial Narrow"/>
                <w:sz w:val="20"/>
                <w:szCs w:val="20"/>
              </w:rPr>
              <w:t>Kerendia</w:t>
            </w:r>
          </w:p>
        </w:tc>
      </w:tr>
      <w:tr w:rsidR="00232AA0" w:rsidRPr="00232AA0" w14:paraId="203A2C5D" w14:textId="77777777" w:rsidTr="00C33755">
        <w:trPr>
          <w:cantSplit/>
          <w:trHeight w:val="20"/>
        </w:trPr>
        <w:tc>
          <w:tcPr>
            <w:tcW w:w="2245" w:type="pct"/>
            <w:gridSpan w:val="3"/>
            <w:vAlign w:val="center"/>
          </w:tcPr>
          <w:p w14:paraId="5236161E" w14:textId="77777777" w:rsidR="00232AA0" w:rsidRPr="00232AA0" w:rsidRDefault="00232AA0" w:rsidP="00E172C1">
            <w:pPr>
              <w:keepLines/>
              <w:rPr>
                <w:rFonts w:ascii="Arial Narrow" w:hAnsi="Arial Narrow"/>
                <w:sz w:val="20"/>
                <w:szCs w:val="20"/>
              </w:rPr>
            </w:pPr>
            <w:r w:rsidRPr="00232AA0">
              <w:rPr>
                <w:rFonts w:ascii="Arial Narrow" w:hAnsi="Arial Narrow"/>
                <w:sz w:val="20"/>
                <w:szCs w:val="20"/>
              </w:rPr>
              <w:t>finerenone 20 mg tablet, 28</w:t>
            </w:r>
          </w:p>
        </w:tc>
        <w:tc>
          <w:tcPr>
            <w:tcW w:w="462" w:type="pct"/>
            <w:vAlign w:val="center"/>
          </w:tcPr>
          <w:p w14:paraId="7FFB6100" w14:textId="77777777" w:rsidR="00232AA0" w:rsidRPr="00232AA0" w:rsidRDefault="00232AA0" w:rsidP="00E172C1">
            <w:pPr>
              <w:keepLines/>
              <w:jc w:val="center"/>
              <w:rPr>
                <w:rFonts w:ascii="Arial Narrow" w:hAnsi="Arial Narrow"/>
                <w:sz w:val="20"/>
                <w:szCs w:val="20"/>
              </w:rPr>
            </w:pPr>
            <w:r w:rsidRPr="00232AA0">
              <w:rPr>
                <w:rFonts w:ascii="Arial Narrow" w:hAnsi="Arial Narrow"/>
                <w:sz w:val="20"/>
                <w:szCs w:val="20"/>
              </w:rPr>
              <w:t>NEW</w:t>
            </w:r>
          </w:p>
        </w:tc>
        <w:tc>
          <w:tcPr>
            <w:tcW w:w="462" w:type="pct"/>
            <w:vAlign w:val="center"/>
          </w:tcPr>
          <w:p w14:paraId="69C5309D" w14:textId="77777777" w:rsidR="00232AA0" w:rsidRPr="00232AA0" w:rsidRDefault="00232AA0" w:rsidP="00E172C1">
            <w:pPr>
              <w:keepLines/>
              <w:jc w:val="center"/>
              <w:rPr>
                <w:rFonts w:ascii="Arial Narrow" w:hAnsi="Arial Narrow"/>
                <w:sz w:val="20"/>
                <w:szCs w:val="20"/>
              </w:rPr>
            </w:pPr>
            <w:r w:rsidRPr="00232AA0">
              <w:rPr>
                <w:rFonts w:ascii="Arial Narrow" w:hAnsi="Arial Narrow"/>
                <w:sz w:val="20"/>
                <w:szCs w:val="20"/>
              </w:rPr>
              <w:t>1</w:t>
            </w:r>
          </w:p>
        </w:tc>
        <w:tc>
          <w:tcPr>
            <w:tcW w:w="462" w:type="pct"/>
            <w:vAlign w:val="center"/>
          </w:tcPr>
          <w:p w14:paraId="4CE6DB5D" w14:textId="77777777" w:rsidR="00232AA0" w:rsidRPr="00232AA0" w:rsidRDefault="00232AA0" w:rsidP="00E172C1">
            <w:pPr>
              <w:keepLines/>
              <w:jc w:val="center"/>
              <w:rPr>
                <w:rFonts w:ascii="Arial Narrow" w:hAnsi="Arial Narrow"/>
                <w:sz w:val="20"/>
                <w:szCs w:val="20"/>
              </w:rPr>
            </w:pPr>
            <w:r w:rsidRPr="00232AA0">
              <w:rPr>
                <w:rFonts w:ascii="Arial Narrow" w:hAnsi="Arial Narrow"/>
                <w:sz w:val="20"/>
                <w:szCs w:val="20"/>
              </w:rPr>
              <w:t>28</w:t>
            </w:r>
          </w:p>
        </w:tc>
        <w:tc>
          <w:tcPr>
            <w:tcW w:w="462" w:type="pct"/>
            <w:vAlign w:val="center"/>
          </w:tcPr>
          <w:p w14:paraId="4F7A60F1" w14:textId="77777777" w:rsidR="00232AA0" w:rsidRPr="00232AA0" w:rsidRDefault="00232AA0" w:rsidP="00E172C1">
            <w:pPr>
              <w:keepLines/>
              <w:jc w:val="center"/>
              <w:rPr>
                <w:rFonts w:ascii="Arial Narrow" w:hAnsi="Arial Narrow"/>
                <w:sz w:val="20"/>
                <w:szCs w:val="20"/>
              </w:rPr>
            </w:pPr>
            <w:r w:rsidRPr="00232AA0">
              <w:rPr>
                <w:rFonts w:ascii="Arial Narrow" w:hAnsi="Arial Narrow"/>
                <w:sz w:val="20"/>
                <w:szCs w:val="20"/>
              </w:rPr>
              <w:t>5</w:t>
            </w:r>
          </w:p>
        </w:tc>
        <w:tc>
          <w:tcPr>
            <w:tcW w:w="908" w:type="pct"/>
            <w:vAlign w:val="center"/>
          </w:tcPr>
          <w:p w14:paraId="24E5D572" w14:textId="77777777" w:rsidR="00232AA0" w:rsidRPr="00232AA0" w:rsidRDefault="00232AA0" w:rsidP="00E172C1">
            <w:pPr>
              <w:keepLines/>
              <w:rPr>
                <w:rFonts w:ascii="Arial Narrow" w:hAnsi="Arial Narrow"/>
                <w:sz w:val="20"/>
                <w:szCs w:val="20"/>
              </w:rPr>
            </w:pPr>
            <w:r w:rsidRPr="00232AA0">
              <w:rPr>
                <w:rFonts w:ascii="Arial Narrow" w:hAnsi="Arial Narrow"/>
                <w:sz w:val="20"/>
                <w:szCs w:val="20"/>
              </w:rPr>
              <w:t>Kerendia</w:t>
            </w:r>
          </w:p>
        </w:tc>
      </w:tr>
      <w:tr w:rsidR="00232AA0" w:rsidRPr="00232AA0" w14:paraId="009C6B49" w14:textId="77777777" w:rsidTr="00E172C1">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72C4BD3B" w14:textId="77777777" w:rsidR="00232AA0" w:rsidRPr="00232AA0" w:rsidRDefault="00232AA0" w:rsidP="00E172C1">
            <w:pPr>
              <w:rPr>
                <w:rFonts w:ascii="Arial Narrow" w:hAnsi="Arial Narrow"/>
                <w:sz w:val="20"/>
                <w:szCs w:val="20"/>
              </w:rPr>
            </w:pPr>
          </w:p>
        </w:tc>
      </w:tr>
      <w:tr w:rsidR="00232AA0" w:rsidRPr="00232AA0" w14:paraId="3FECC0C2" w14:textId="77777777" w:rsidTr="00E172C1">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0BCC83E6" w14:textId="2A855514" w:rsidR="00232AA0" w:rsidRPr="00232AA0" w:rsidRDefault="00232AA0" w:rsidP="00E172C1">
            <w:pPr>
              <w:rPr>
                <w:rFonts w:ascii="Arial Narrow" w:hAnsi="Arial Narrow"/>
                <w:b/>
                <w:bCs/>
                <w:sz w:val="20"/>
                <w:szCs w:val="20"/>
              </w:rPr>
            </w:pPr>
            <w:r w:rsidRPr="00232AA0">
              <w:rPr>
                <w:rFonts w:ascii="Arial Narrow" w:hAnsi="Arial Narrow"/>
                <w:b/>
                <w:bCs/>
                <w:sz w:val="20"/>
                <w:szCs w:val="20"/>
              </w:rPr>
              <w:t xml:space="preserve">Restriction Summary / Treatment of Concept: </w:t>
            </w:r>
          </w:p>
        </w:tc>
      </w:tr>
      <w:tr w:rsidR="00232AA0" w:rsidRPr="00232AA0" w14:paraId="4123E076" w14:textId="77777777" w:rsidTr="00C33755">
        <w:tblPrEx>
          <w:tblCellMar>
            <w:top w:w="15" w:type="dxa"/>
            <w:bottom w:w="15" w:type="dxa"/>
          </w:tblCellMar>
          <w:tblLook w:val="04A0" w:firstRow="1" w:lastRow="0" w:firstColumn="1" w:lastColumn="0" w:noHBand="0" w:noVBand="1"/>
        </w:tblPrEx>
        <w:trPr>
          <w:trHeight w:val="20"/>
        </w:trPr>
        <w:tc>
          <w:tcPr>
            <w:tcW w:w="808" w:type="pct"/>
            <w:gridSpan w:val="2"/>
            <w:vMerge w:val="restart"/>
            <w:tcBorders>
              <w:top w:val="single" w:sz="4" w:space="0" w:color="auto"/>
              <w:left w:val="single" w:sz="4" w:space="0" w:color="auto"/>
              <w:right w:val="single" w:sz="4" w:space="0" w:color="auto"/>
            </w:tcBorders>
          </w:tcPr>
          <w:p w14:paraId="78ABAC46" w14:textId="77777777" w:rsidR="00232AA0" w:rsidRPr="00232AA0" w:rsidRDefault="00232AA0" w:rsidP="00E172C1">
            <w:pPr>
              <w:jc w:val="center"/>
              <w:rPr>
                <w:rFonts w:ascii="Arial Narrow" w:hAnsi="Arial Narrow"/>
                <w:b/>
                <w:sz w:val="20"/>
                <w:szCs w:val="20"/>
              </w:rPr>
            </w:pPr>
            <w:r w:rsidRPr="00232AA0">
              <w:rPr>
                <w:rFonts w:ascii="Arial Narrow" w:hAnsi="Arial Narrow"/>
                <w:b/>
                <w:sz w:val="20"/>
                <w:szCs w:val="20"/>
              </w:rPr>
              <w:t xml:space="preserve">Concept ID </w:t>
            </w:r>
            <w:r w:rsidRPr="00232AA0">
              <w:rPr>
                <w:rFonts w:ascii="Arial Narrow" w:hAnsi="Arial Narrow"/>
                <w:sz w:val="20"/>
                <w:szCs w:val="20"/>
              </w:rPr>
              <w:t>(for internal Dept. use)</w:t>
            </w:r>
          </w:p>
        </w:tc>
        <w:tc>
          <w:tcPr>
            <w:tcW w:w="4192" w:type="pct"/>
            <w:gridSpan w:val="6"/>
            <w:tcBorders>
              <w:top w:val="single" w:sz="4" w:space="0" w:color="auto"/>
              <w:left w:val="single" w:sz="4" w:space="0" w:color="auto"/>
              <w:bottom w:val="single" w:sz="4" w:space="0" w:color="auto"/>
              <w:right w:val="single" w:sz="4" w:space="0" w:color="auto"/>
            </w:tcBorders>
            <w:vAlign w:val="center"/>
          </w:tcPr>
          <w:p w14:paraId="6CFD0133" w14:textId="77777777" w:rsidR="00232AA0" w:rsidRPr="00232AA0" w:rsidRDefault="00232AA0" w:rsidP="00E172C1">
            <w:pPr>
              <w:keepLines/>
              <w:rPr>
                <w:rFonts w:ascii="Arial Narrow" w:hAnsi="Arial Narrow"/>
                <w:sz w:val="20"/>
                <w:szCs w:val="20"/>
              </w:rPr>
            </w:pPr>
            <w:r w:rsidRPr="00232AA0">
              <w:rPr>
                <w:rFonts w:ascii="Arial Narrow" w:hAnsi="Arial Narrow"/>
                <w:b/>
                <w:sz w:val="20"/>
                <w:szCs w:val="20"/>
              </w:rPr>
              <w:t xml:space="preserve">Category / Program: </w:t>
            </w:r>
            <w:r w:rsidRPr="00232AA0">
              <w:rPr>
                <w:rFonts w:ascii="Arial Narrow" w:hAnsi="Arial Narrow"/>
                <w:sz w:val="20"/>
                <w:szCs w:val="20"/>
              </w:rPr>
              <w:t xml:space="preserve">GENERAL – General Schedule (Code GE) </w:t>
            </w:r>
          </w:p>
        </w:tc>
      </w:tr>
      <w:tr w:rsidR="00232AA0" w:rsidRPr="00232AA0" w14:paraId="2447AC1E" w14:textId="77777777" w:rsidTr="00C33755">
        <w:tblPrEx>
          <w:tblCellMar>
            <w:top w:w="15" w:type="dxa"/>
            <w:bottom w:w="15" w:type="dxa"/>
          </w:tblCellMar>
          <w:tblLook w:val="04A0" w:firstRow="1" w:lastRow="0" w:firstColumn="1" w:lastColumn="0" w:noHBand="0" w:noVBand="1"/>
        </w:tblPrEx>
        <w:trPr>
          <w:trHeight w:val="20"/>
        </w:trPr>
        <w:tc>
          <w:tcPr>
            <w:tcW w:w="808" w:type="pct"/>
            <w:gridSpan w:val="2"/>
            <w:vMerge/>
            <w:tcBorders>
              <w:left w:val="single" w:sz="4" w:space="0" w:color="auto"/>
              <w:right w:val="single" w:sz="4" w:space="0" w:color="auto"/>
            </w:tcBorders>
          </w:tcPr>
          <w:p w14:paraId="1866EE1B" w14:textId="77777777" w:rsidR="00232AA0" w:rsidRPr="00232AA0" w:rsidRDefault="00232AA0" w:rsidP="00E172C1">
            <w:pPr>
              <w:rPr>
                <w:rFonts w:ascii="Arial Narrow" w:hAnsi="Arial Narrow"/>
                <w:sz w:val="20"/>
                <w:szCs w:val="20"/>
              </w:rPr>
            </w:pPr>
          </w:p>
        </w:tc>
        <w:tc>
          <w:tcPr>
            <w:tcW w:w="4192" w:type="pct"/>
            <w:gridSpan w:val="6"/>
            <w:tcBorders>
              <w:top w:val="single" w:sz="4" w:space="0" w:color="auto"/>
              <w:left w:val="single" w:sz="4" w:space="0" w:color="auto"/>
              <w:bottom w:val="single" w:sz="4" w:space="0" w:color="auto"/>
              <w:right w:val="single" w:sz="4" w:space="0" w:color="auto"/>
            </w:tcBorders>
            <w:vAlign w:val="center"/>
          </w:tcPr>
          <w:p w14:paraId="3FC9301D" w14:textId="77777777" w:rsidR="00232AA0" w:rsidRPr="00232AA0" w:rsidRDefault="00232AA0" w:rsidP="00E172C1">
            <w:pPr>
              <w:keepLines/>
              <w:rPr>
                <w:rFonts w:ascii="Arial Narrow" w:hAnsi="Arial Narrow"/>
                <w:b/>
                <w:sz w:val="20"/>
                <w:szCs w:val="20"/>
              </w:rPr>
            </w:pPr>
            <w:r w:rsidRPr="00232AA0">
              <w:rPr>
                <w:rFonts w:ascii="Arial Narrow" w:hAnsi="Arial Narrow"/>
                <w:b/>
                <w:sz w:val="20"/>
                <w:szCs w:val="20"/>
              </w:rPr>
              <w:t xml:space="preserve">Prescriber type: </w:t>
            </w:r>
            <w:r w:rsidRPr="00A66130">
              <w:rPr>
                <w:rFonts w:ascii="Arial Narrow" w:hAnsi="Arial Narrow"/>
                <w:sz w:val="20"/>
                <w:szCs w:val="20"/>
              </w:rPr>
              <w:fldChar w:fldCharType="begin">
                <w:ffData>
                  <w:name w:val=""/>
                  <w:enabled/>
                  <w:calcOnExit w:val="0"/>
                  <w:checkBox>
                    <w:sizeAuto/>
                    <w:default w:val="1"/>
                  </w:checkBox>
                </w:ffData>
              </w:fldChar>
            </w:r>
            <w:r w:rsidRPr="00232AA0">
              <w:rPr>
                <w:rFonts w:ascii="Arial Narrow" w:hAnsi="Arial Narrow"/>
                <w:sz w:val="20"/>
                <w:szCs w:val="20"/>
              </w:rPr>
              <w:instrText xml:space="preserve"> FORMCHECKBOX </w:instrText>
            </w:r>
            <w:r w:rsidR="005562EE">
              <w:rPr>
                <w:rFonts w:ascii="Arial Narrow" w:hAnsi="Arial Narrow"/>
                <w:sz w:val="20"/>
                <w:szCs w:val="20"/>
              </w:rPr>
            </w:r>
            <w:r w:rsidR="005562EE">
              <w:rPr>
                <w:rFonts w:ascii="Arial Narrow" w:hAnsi="Arial Narrow"/>
                <w:sz w:val="20"/>
                <w:szCs w:val="20"/>
              </w:rPr>
              <w:fldChar w:fldCharType="separate"/>
            </w:r>
            <w:r w:rsidRPr="00A66130">
              <w:rPr>
                <w:rFonts w:ascii="Arial Narrow" w:hAnsi="Arial Narrow"/>
                <w:sz w:val="20"/>
                <w:szCs w:val="20"/>
              </w:rPr>
              <w:fldChar w:fldCharType="end"/>
            </w:r>
            <w:r w:rsidRPr="00232AA0">
              <w:rPr>
                <w:rFonts w:ascii="Arial Narrow" w:hAnsi="Arial Narrow"/>
                <w:sz w:val="20"/>
                <w:szCs w:val="20"/>
              </w:rPr>
              <w:t xml:space="preserve">Medical Practitioners </w:t>
            </w:r>
            <w:r w:rsidRPr="00A66130">
              <w:rPr>
                <w:rFonts w:ascii="Arial Narrow" w:hAnsi="Arial Narrow"/>
                <w:sz w:val="20"/>
                <w:szCs w:val="20"/>
              </w:rPr>
              <w:fldChar w:fldCharType="begin">
                <w:ffData>
                  <w:name w:val="Check3"/>
                  <w:enabled/>
                  <w:calcOnExit w:val="0"/>
                  <w:checkBox>
                    <w:sizeAuto/>
                    <w:default w:val="1"/>
                  </w:checkBox>
                </w:ffData>
              </w:fldChar>
            </w:r>
            <w:r w:rsidRPr="00232AA0">
              <w:rPr>
                <w:rFonts w:ascii="Arial Narrow" w:hAnsi="Arial Narrow"/>
                <w:sz w:val="20"/>
                <w:szCs w:val="20"/>
              </w:rPr>
              <w:instrText xml:space="preserve"> FORMCHECKBOX </w:instrText>
            </w:r>
            <w:r w:rsidR="005562EE">
              <w:rPr>
                <w:rFonts w:ascii="Arial Narrow" w:hAnsi="Arial Narrow"/>
                <w:sz w:val="20"/>
                <w:szCs w:val="20"/>
              </w:rPr>
            </w:r>
            <w:r w:rsidR="005562EE">
              <w:rPr>
                <w:rFonts w:ascii="Arial Narrow" w:hAnsi="Arial Narrow"/>
                <w:sz w:val="20"/>
                <w:szCs w:val="20"/>
              </w:rPr>
              <w:fldChar w:fldCharType="separate"/>
            </w:r>
            <w:r w:rsidRPr="00A66130">
              <w:rPr>
                <w:rFonts w:ascii="Arial Narrow" w:hAnsi="Arial Narrow"/>
                <w:sz w:val="20"/>
                <w:szCs w:val="20"/>
              </w:rPr>
              <w:fldChar w:fldCharType="end"/>
            </w:r>
            <w:r w:rsidRPr="00232AA0">
              <w:rPr>
                <w:rFonts w:ascii="Arial Narrow" w:hAnsi="Arial Narrow"/>
                <w:sz w:val="20"/>
                <w:szCs w:val="20"/>
              </w:rPr>
              <w:t xml:space="preserve">Nurse practitioners </w:t>
            </w:r>
          </w:p>
        </w:tc>
      </w:tr>
      <w:tr w:rsidR="00232AA0" w:rsidRPr="00232AA0" w14:paraId="044F21EA" w14:textId="77777777" w:rsidTr="00C33755">
        <w:tblPrEx>
          <w:tblCellMar>
            <w:top w:w="15" w:type="dxa"/>
            <w:bottom w:w="15" w:type="dxa"/>
          </w:tblCellMar>
          <w:tblLook w:val="04A0" w:firstRow="1" w:lastRow="0" w:firstColumn="1" w:lastColumn="0" w:noHBand="0" w:noVBand="1"/>
        </w:tblPrEx>
        <w:trPr>
          <w:trHeight w:val="20"/>
        </w:trPr>
        <w:tc>
          <w:tcPr>
            <w:tcW w:w="808" w:type="pct"/>
            <w:gridSpan w:val="2"/>
            <w:vMerge/>
            <w:tcBorders>
              <w:left w:val="single" w:sz="4" w:space="0" w:color="auto"/>
              <w:bottom w:val="single" w:sz="4" w:space="0" w:color="auto"/>
              <w:right w:val="single" w:sz="4" w:space="0" w:color="auto"/>
            </w:tcBorders>
          </w:tcPr>
          <w:p w14:paraId="6CA2BDBB" w14:textId="77777777" w:rsidR="00232AA0" w:rsidRPr="00232AA0" w:rsidRDefault="00232AA0" w:rsidP="00E172C1">
            <w:pPr>
              <w:rPr>
                <w:rFonts w:ascii="Arial Narrow" w:hAnsi="Arial Narrow"/>
                <w:sz w:val="20"/>
                <w:szCs w:val="20"/>
              </w:rPr>
            </w:pPr>
          </w:p>
        </w:tc>
        <w:tc>
          <w:tcPr>
            <w:tcW w:w="4192" w:type="pct"/>
            <w:gridSpan w:val="6"/>
            <w:tcBorders>
              <w:top w:val="single" w:sz="4" w:space="0" w:color="auto"/>
              <w:left w:val="single" w:sz="4" w:space="0" w:color="auto"/>
              <w:bottom w:val="single" w:sz="4" w:space="0" w:color="auto"/>
              <w:right w:val="single" w:sz="4" w:space="0" w:color="auto"/>
            </w:tcBorders>
            <w:vAlign w:val="center"/>
          </w:tcPr>
          <w:p w14:paraId="3A55B009" w14:textId="4EAB553E" w:rsidR="00C33755" w:rsidRPr="00232AA0" w:rsidRDefault="00232AA0" w:rsidP="00E172C1">
            <w:pPr>
              <w:keepLines/>
              <w:rPr>
                <w:rFonts w:ascii="Arial Narrow" w:eastAsia="Calibri" w:hAnsi="Arial Narrow"/>
                <w:sz w:val="20"/>
                <w:szCs w:val="20"/>
              </w:rPr>
            </w:pPr>
            <w:r w:rsidRPr="00232AA0">
              <w:rPr>
                <w:rFonts w:ascii="Arial Narrow" w:hAnsi="Arial Narrow"/>
                <w:b/>
                <w:sz w:val="20"/>
                <w:szCs w:val="20"/>
              </w:rPr>
              <w:t xml:space="preserve">Restriction type: </w:t>
            </w:r>
            <w:r w:rsidRPr="00A66130">
              <w:rPr>
                <w:rFonts w:ascii="Arial Narrow" w:hAnsi="Arial Narrow"/>
                <w:sz w:val="20"/>
                <w:szCs w:val="20"/>
              </w:rPr>
              <w:fldChar w:fldCharType="begin">
                <w:ffData>
                  <w:name w:val="Check3"/>
                  <w:enabled/>
                  <w:calcOnExit w:val="0"/>
                  <w:checkBox>
                    <w:sizeAuto/>
                    <w:default w:val="1"/>
                  </w:checkBox>
                </w:ffData>
              </w:fldChar>
            </w:r>
            <w:r w:rsidRPr="00232AA0">
              <w:rPr>
                <w:rFonts w:ascii="Arial Narrow" w:hAnsi="Arial Narrow"/>
                <w:sz w:val="20"/>
                <w:szCs w:val="20"/>
              </w:rPr>
              <w:instrText xml:space="preserve"> FORMCHECKBOX </w:instrText>
            </w:r>
            <w:r w:rsidR="005562EE">
              <w:rPr>
                <w:rFonts w:ascii="Arial Narrow" w:hAnsi="Arial Narrow"/>
                <w:sz w:val="20"/>
                <w:szCs w:val="20"/>
              </w:rPr>
            </w:r>
            <w:r w:rsidR="005562EE">
              <w:rPr>
                <w:rFonts w:ascii="Arial Narrow" w:hAnsi="Arial Narrow"/>
                <w:sz w:val="20"/>
                <w:szCs w:val="20"/>
              </w:rPr>
              <w:fldChar w:fldCharType="separate"/>
            </w:r>
            <w:r w:rsidRPr="00A66130">
              <w:rPr>
                <w:rFonts w:ascii="Arial Narrow" w:hAnsi="Arial Narrow"/>
                <w:sz w:val="20"/>
                <w:szCs w:val="20"/>
              </w:rPr>
              <w:fldChar w:fldCharType="end"/>
            </w:r>
            <w:r w:rsidRPr="00232AA0">
              <w:rPr>
                <w:rFonts w:ascii="Arial Narrow" w:eastAsia="Calibri" w:hAnsi="Arial Narrow"/>
                <w:sz w:val="20"/>
                <w:szCs w:val="20"/>
              </w:rPr>
              <w:t xml:space="preserve">Authority Required (Streamlined) [new code] </w:t>
            </w:r>
          </w:p>
        </w:tc>
      </w:tr>
      <w:tr w:rsidR="00C33755" w:rsidRPr="00232AA0" w14:paraId="5F0E9466" w14:textId="77777777" w:rsidTr="00C33755">
        <w:tblPrEx>
          <w:tblCellMar>
            <w:top w:w="15" w:type="dxa"/>
            <w:bottom w:w="15" w:type="dxa"/>
          </w:tblCellMar>
        </w:tblPrEx>
        <w:trPr>
          <w:cantSplit/>
          <w:trHeight w:val="20"/>
        </w:trPr>
        <w:tc>
          <w:tcPr>
            <w:tcW w:w="401" w:type="pct"/>
            <w:tcBorders>
              <w:left w:val="single" w:sz="4" w:space="0" w:color="auto"/>
              <w:right w:val="single" w:sz="4" w:space="0" w:color="auto"/>
            </w:tcBorders>
            <w:textDirection w:val="btLr"/>
            <w:vAlign w:val="center"/>
          </w:tcPr>
          <w:p w14:paraId="59566D6F" w14:textId="0D4C998C" w:rsidR="00C33755" w:rsidRPr="00893416" w:rsidRDefault="00C33755" w:rsidP="00C33755">
            <w:pPr>
              <w:jc w:val="center"/>
              <w:rPr>
                <w:rFonts w:ascii="Arial Narrow" w:hAnsi="Arial Narrow"/>
                <w:sz w:val="20"/>
                <w:szCs w:val="20"/>
              </w:rPr>
            </w:pPr>
            <w:r w:rsidRPr="00893416">
              <w:rPr>
                <w:rFonts w:ascii="Arial Narrow" w:hAnsi="Arial Narrow"/>
                <w:sz w:val="20"/>
                <w:szCs w:val="20"/>
              </w:rPr>
              <w:t>Prescribing rule level</w:t>
            </w:r>
          </w:p>
        </w:tc>
        <w:tc>
          <w:tcPr>
            <w:tcW w:w="406" w:type="pct"/>
            <w:vAlign w:val="center"/>
          </w:tcPr>
          <w:p w14:paraId="63B11995" w14:textId="77777777" w:rsidR="00C33755" w:rsidRPr="00893416" w:rsidRDefault="00C33755" w:rsidP="00C33755">
            <w:pPr>
              <w:jc w:val="center"/>
              <w:rPr>
                <w:rFonts w:ascii="Arial Narrow" w:hAnsi="Arial Narrow"/>
                <w:sz w:val="20"/>
                <w:szCs w:val="20"/>
              </w:rPr>
            </w:pPr>
          </w:p>
        </w:tc>
        <w:tc>
          <w:tcPr>
            <w:tcW w:w="4192" w:type="pct"/>
            <w:gridSpan w:val="6"/>
            <w:vAlign w:val="center"/>
          </w:tcPr>
          <w:p w14:paraId="5162D607" w14:textId="77777777" w:rsidR="00C33755" w:rsidRPr="00C33755" w:rsidRDefault="00C33755" w:rsidP="00C33755">
            <w:pPr>
              <w:rPr>
                <w:rFonts w:ascii="Arial Narrow" w:hAnsi="Arial Narrow"/>
                <w:b/>
                <w:bCs/>
                <w:sz w:val="20"/>
                <w:szCs w:val="20"/>
              </w:rPr>
            </w:pPr>
            <w:r w:rsidRPr="00C33755">
              <w:rPr>
                <w:rFonts w:ascii="Arial Narrow" w:hAnsi="Arial Narrow"/>
                <w:b/>
                <w:bCs/>
                <w:sz w:val="20"/>
                <w:szCs w:val="20"/>
              </w:rPr>
              <w:t>Administrative Advice:</w:t>
            </w:r>
          </w:p>
          <w:p w14:paraId="1C2F564D" w14:textId="57B9B8D6" w:rsidR="00C33755" w:rsidRPr="00C33755" w:rsidRDefault="00C33755" w:rsidP="00C33755">
            <w:pPr>
              <w:rPr>
                <w:rFonts w:ascii="Arial Narrow" w:hAnsi="Arial Narrow"/>
                <w:sz w:val="20"/>
                <w:szCs w:val="20"/>
              </w:rPr>
            </w:pPr>
            <w:r w:rsidRPr="00C3375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C33755" w:rsidRPr="00232AA0" w14:paraId="4B64368B"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31E6ED9A" w14:textId="77777777" w:rsidR="00C33755" w:rsidRPr="00232AA0" w:rsidRDefault="00C33755" w:rsidP="00C33755">
            <w:pPr>
              <w:keepLines/>
              <w:jc w:val="center"/>
              <w:rPr>
                <w:rFonts w:ascii="Arial Narrow" w:hAnsi="Arial Narrow"/>
                <w:sz w:val="20"/>
                <w:szCs w:val="20"/>
              </w:rPr>
            </w:pPr>
          </w:p>
        </w:tc>
        <w:tc>
          <w:tcPr>
            <w:tcW w:w="4192" w:type="pct"/>
            <w:gridSpan w:val="6"/>
            <w:vAlign w:val="center"/>
          </w:tcPr>
          <w:p w14:paraId="03360B82" w14:textId="77777777" w:rsidR="00C33755" w:rsidRPr="00232AA0" w:rsidRDefault="00C33755" w:rsidP="00C33755">
            <w:pPr>
              <w:keepLines/>
              <w:rPr>
                <w:rFonts w:ascii="Arial Narrow" w:hAnsi="Arial Narrow"/>
                <w:b/>
                <w:bCs/>
                <w:sz w:val="20"/>
                <w:szCs w:val="20"/>
              </w:rPr>
            </w:pPr>
            <w:r w:rsidRPr="00232AA0">
              <w:rPr>
                <w:rFonts w:ascii="Arial Narrow" w:hAnsi="Arial Narrow"/>
                <w:b/>
                <w:bCs/>
                <w:sz w:val="20"/>
                <w:szCs w:val="20"/>
              </w:rPr>
              <w:t xml:space="preserve">Condition: </w:t>
            </w:r>
            <w:r w:rsidRPr="00232AA0">
              <w:rPr>
                <w:rFonts w:ascii="Arial Narrow" w:eastAsia="Calibri" w:hAnsi="Arial Narrow"/>
                <w:sz w:val="20"/>
                <w:szCs w:val="20"/>
              </w:rPr>
              <w:t>Chronic kidney disease with Type 2 diabetes</w:t>
            </w:r>
          </w:p>
        </w:tc>
      </w:tr>
      <w:tr w:rsidR="00C33755" w:rsidRPr="00232AA0" w14:paraId="36D23057"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5E8D54CE" w14:textId="581D9E28" w:rsidR="00C33755" w:rsidRPr="00232AA0" w:rsidRDefault="00C33755" w:rsidP="00C33755">
            <w:pPr>
              <w:keepLines/>
              <w:jc w:val="center"/>
              <w:rPr>
                <w:rFonts w:ascii="Arial Narrow" w:hAnsi="Arial Narrow"/>
                <w:sz w:val="20"/>
                <w:szCs w:val="20"/>
              </w:rPr>
            </w:pPr>
          </w:p>
        </w:tc>
        <w:tc>
          <w:tcPr>
            <w:tcW w:w="4192" w:type="pct"/>
            <w:gridSpan w:val="6"/>
            <w:vAlign w:val="center"/>
            <w:hideMark/>
          </w:tcPr>
          <w:p w14:paraId="6EFB394D" w14:textId="77777777" w:rsidR="00C33755" w:rsidRPr="00232AA0" w:rsidRDefault="00C33755" w:rsidP="00C33755">
            <w:pPr>
              <w:keepLines/>
              <w:rPr>
                <w:rFonts w:ascii="Arial Narrow" w:hAnsi="Arial Narrow"/>
                <w:sz w:val="20"/>
                <w:szCs w:val="20"/>
              </w:rPr>
            </w:pPr>
            <w:r w:rsidRPr="00232AA0">
              <w:rPr>
                <w:rFonts w:ascii="Arial Narrow" w:hAnsi="Arial Narrow"/>
                <w:b/>
                <w:bCs/>
                <w:sz w:val="20"/>
                <w:szCs w:val="20"/>
              </w:rPr>
              <w:t>Indication:</w:t>
            </w:r>
            <w:r w:rsidRPr="00232AA0">
              <w:rPr>
                <w:rFonts w:ascii="Arial Narrow" w:hAnsi="Arial Narrow"/>
                <w:sz w:val="20"/>
                <w:szCs w:val="20"/>
              </w:rPr>
              <w:t xml:space="preserve"> </w:t>
            </w:r>
            <w:r w:rsidRPr="00232AA0">
              <w:rPr>
                <w:rFonts w:ascii="Arial Narrow" w:eastAsia="Calibri" w:hAnsi="Arial Narrow"/>
                <w:sz w:val="20"/>
                <w:szCs w:val="20"/>
              </w:rPr>
              <w:t>Chronic kidney disease with Type 2 diabetes</w:t>
            </w:r>
          </w:p>
        </w:tc>
      </w:tr>
      <w:tr w:rsidR="00C33755" w:rsidRPr="00232AA0" w14:paraId="38FB0139"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38954CB4" w14:textId="77777777" w:rsidR="00C33755" w:rsidRPr="00232AA0" w:rsidRDefault="00C33755" w:rsidP="00C33755">
            <w:pPr>
              <w:keepLines/>
              <w:jc w:val="center"/>
              <w:rPr>
                <w:rFonts w:ascii="Arial Narrow" w:hAnsi="Arial Narrow"/>
                <w:sz w:val="20"/>
                <w:szCs w:val="20"/>
              </w:rPr>
            </w:pPr>
          </w:p>
        </w:tc>
        <w:tc>
          <w:tcPr>
            <w:tcW w:w="4192" w:type="pct"/>
            <w:gridSpan w:val="6"/>
            <w:vAlign w:val="center"/>
          </w:tcPr>
          <w:p w14:paraId="52AC59B9" w14:textId="77777777" w:rsidR="00C33755" w:rsidRPr="00232AA0" w:rsidRDefault="00C33755" w:rsidP="00C33755">
            <w:pPr>
              <w:keepLines/>
              <w:rPr>
                <w:rFonts w:ascii="Arial Narrow" w:hAnsi="Arial Narrow"/>
                <w:b/>
                <w:bCs/>
                <w:sz w:val="20"/>
                <w:szCs w:val="20"/>
              </w:rPr>
            </w:pPr>
            <w:r w:rsidRPr="00232AA0">
              <w:rPr>
                <w:rFonts w:ascii="Arial Narrow" w:hAnsi="Arial Narrow"/>
                <w:b/>
                <w:bCs/>
                <w:sz w:val="20"/>
                <w:szCs w:val="20"/>
              </w:rPr>
              <w:t>Clinical criteria:</w:t>
            </w:r>
          </w:p>
        </w:tc>
      </w:tr>
      <w:tr w:rsidR="00C33755" w:rsidRPr="00232AA0" w14:paraId="1E6A67F7"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106ABA95" w14:textId="03493FB9" w:rsidR="00C33755" w:rsidRPr="00232AA0" w:rsidRDefault="00C33755" w:rsidP="00C33755">
            <w:pPr>
              <w:keepLines/>
              <w:jc w:val="center"/>
              <w:rPr>
                <w:rFonts w:ascii="Arial Narrow" w:hAnsi="Arial Narrow"/>
                <w:color w:val="000000" w:themeColor="text1"/>
                <w:sz w:val="20"/>
                <w:szCs w:val="20"/>
              </w:rPr>
            </w:pPr>
          </w:p>
        </w:tc>
        <w:tc>
          <w:tcPr>
            <w:tcW w:w="4192" w:type="pct"/>
            <w:gridSpan w:val="6"/>
            <w:vAlign w:val="center"/>
          </w:tcPr>
          <w:p w14:paraId="6984958E" w14:textId="2580C4D1" w:rsidR="00C33755" w:rsidRPr="00232AA0" w:rsidRDefault="00C33755" w:rsidP="00C33755">
            <w:pPr>
              <w:keepLines/>
              <w:rPr>
                <w:rFonts w:ascii="Arial Narrow" w:hAnsi="Arial Narrow"/>
                <w:b/>
                <w:bCs/>
                <w:sz w:val="20"/>
                <w:szCs w:val="20"/>
              </w:rPr>
            </w:pPr>
            <w:r w:rsidRPr="00D10699">
              <w:rPr>
                <w:rFonts w:ascii="Arial Narrow" w:hAnsi="Arial Narrow"/>
                <w:sz w:val="20"/>
                <w:szCs w:val="20"/>
              </w:rPr>
              <w:t xml:space="preserve">Patient must have a diagnosis of chronic diabetic kidney disease, defined as abnormalities of </w:t>
            </w:r>
            <w:r w:rsidRPr="00893416">
              <w:rPr>
                <w:rFonts w:ascii="Arial Narrow" w:hAnsi="Arial Narrow"/>
                <w:sz w:val="20"/>
                <w:szCs w:val="20"/>
              </w:rPr>
              <w:t xml:space="preserve">at least one of: (i) </w:t>
            </w:r>
            <w:r w:rsidRPr="00232AA0">
              <w:rPr>
                <w:rFonts w:ascii="Arial Narrow" w:hAnsi="Arial Narrow"/>
                <w:sz w:val="20"/>
                <w:szCs w:val="20"/>
              </w:rPr>
              <w:t xml:space="preserve">kidney structure, </w:t>
            </w:r>
            <w:r w:rsidRPr="00893416">
              <w:rPr>
                <w:rFonts w:ascii="Arial Narrow" w:hAnsi="Arial Narrow"/>
                <w:sz w:val="20"/>
                <w:szCs w:val="20"/>
              </w:rPr>
              <w:t xml:space="preserve">(ii) kidney </w:t>
            </w:r>
            <w:r w:rsidRPr="00232AA0">
              <w:rPr>
                <w:rFonts w:ascii="Arial Narrow" w:hAnsi="Arial Narrow"/>
                <w:sz w:val="20"/>
                <w:szCs w:val="20"/>
              </w:rPr>
              <w:t xml:space="preserve">function, present for </w:t>
            </w:r>
            <w:r w:rsidRPr="00893416">
              <w:rPr>
                <w:rFonts w:ascii="Arial Narrow" w:hAnsi="Arial Narrow"/>
                <w:sz w:val="20"/>
                <w:szCs w:val="20"/>
              </w:rPr>
              <w:t xml:space="preserve">at least </w:t>
            </w:r>
            <w:r w:rsidRPr="00232AA0">
              <w:rPr>
                <w:rFonts w:ascii="Arial Narrow" w:hAnsi="Arial Narrow"/>
                <w:sz w:val="20"/>
                <w:szCs w:val="20"/>
              </w:rPr>
              <w:t>3 month</w:t>
            </w:r>
            <w:r>
              <w:rPr>
                <w:rFonts w:ascii="Arial Narrow" w:hAnsi="Arial Narrow"/>
                <w:sz w:val="20"/>
                <w:szCs w:val="20"/>
              </w:rPr>
              <w:t>s</w:t>
            </w:r>
            <w:r w:rsidRPr="00232AA0">
              <w:rPr>
                <w:rFonts w:ascii="Arial Narrow" w:hAnsi="Arial Narrow"/>
                <w:sz w:val="20"/>
                <w:szCs w:val="20"/>
              </w:rPr>
              <w:t>, prior to initiating treatment with this drug,</w:t>
            </w:r>
          </w:p>
        </w:tc>
      </w:tr>
      <w:tr w:rsidR="00C33755" w:rsidRPr="00232AA0" w14:paraId="4255A577"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73234079" w14:textId="77777777" w:rsidR="00C33755" w:rsidRPr="00232AA0" w:rsidRDefault="00C33755" w:rsidP="00C33755">
            <w:pPr>
              <w:keepLines/>
              <w:jc w:val="center"/>
              <w:rPr>
                <w:rFonts w:ascii="Arial Narrow" w:hAnsi="Arial Narrow"/>
                <w:color w:val="000000" w:themeColor="text1"/>
                <w:sz w:val="20"/>
                <w:szCs w:val="20"/>
              </w:rPr>
            </w:pPr>
          </w:p>
        </w:tc>
        <w:tc>
          <w:tcPr>
            <w:tcW w:w="4192" w:type="pct"/>
            <w:gridSpan w:val="6"/>
            <w:vAlign w:val="center"/>
          </w:tcPr>
          <w:p w14:paraId="2A6D68AE" w14:textId="77777777" w:rsidR="00C33755" w:rsidRPr="00232AA0" w:rsidRDefault="00C33755" w:rsidP="00C33755">
            <w:pPr>
              <w:keepLines/>
              <w:rPr>
                <w:rFonts w:ascii="Arial Narrow" w:hAnsi="Arial Narrow"/>
                <w:sz w:val="20"/>
                <w:szCs w:val="20"/>
              </w:rPr>
            </w:pPr>
            <w:r w:rsidRPr="00232AA0">
              <w:rPr>
                <w:rFonts w:ascii="Arial Narrow" w:hAnsi="Arial Narrow"/>
                <w:b/>
                <w:bCs/>
                <w:sz w:val="20"/>
                <w:szCs w:val="20"/>
              </w:rPr>
              <w:t>AND</w:t>
            </w:r>
          </w:p>
        </w:tc>
      </w:tr>
      <w:tr w:rsidR="00C33755" w:rsidRPr="00232AA0" w14:paraId="3F01C2AE"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6AB9A04B" w14:textId="77777777" w:rsidR="00C33755" w:rsidRPr="00232AA0" w:rsidRDefault="00C33755" w:rsidP="00C33755">
            <w:pPr>
              <w:keepLines/>
              <w:jc w:val="center"/>
              <w:rPr>
                <w:rFonts w:ascii="Arial Narrow" w:hAnsi="Arial Narrow"/>
                <w:color w:val="000000" w:themeColor="text1"/>
                <w:sz w:val="20"/>
                <w:szCs w:val="20"/>
              </w:rPr>
            </w:pPr>
          </w:p>
        </w:tc>
        <w:tc>
          <w:tcPr>
            <w:tcW w:w="4192" w:type="pct"/>
            <w:gridSpan w:val="6"/>
            <w:vAlign w:val="center"/>
          </w:tcPr>
          <w:p w14:paraId="6E4743D2" w14:textId="77777777" w:rsidR="00C33755" w:rsidRPr="00232AA0" w:rsidRDefault="00C33755" w:rsidP="00C33755">
            <w:pPr>
              <w:keepLines/>
              <w:rPr>
                <w:rFonts w:ascii="Arial Narrow" w:hAnsi="Arial Narrow"/>
                <w:sz w:val="20"/>
                <w:szCs w:val="20"/>
              </w:rPr>
            </w:pPr>
            <w:r w:rsidRPr="00232AA0">
              <w:rPr>
                <w:rFonts w:ascii="Arial Narrow" w:hAnsi="Arial Narrow"/>
                <w:b/>
                <w:bCs/>
                <w:sz w:val="20"/>
                <w:szCs w:val="20"/>
              </w:rPr>
              <w:t>Clinical criteria:</w:t>
            </w:r>
          </w:p>
        </w:tc>
      </w:tr>
      <w:tr w:rsidR="00C33755" w:rsidRPr="00232AA0" w14:paraId="34312664"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41965C8F" w14:textId="2C1E51DB" w:rsidR="00C33755" w:rsidRPr="00232AA0" w:rsidRDefault="00C33755" w:rsidP="00C33755">
            <w:pPr>
              <w:keepLines/>
              <w:jc w:val="center"/>
              <w:rPr>
                <w:rFonts w:ascii="Arial Narrow" w:hAnsi="Arial Narrow"/>
                <w:color w:val="000000" w:themeColor="text1"/>
                <w:sz w:val="20"/>
                <w:szCs w:val="20"/>
              </w:rPr>
            </w:pPr>
          </w:p>
        </w:tc>
        <w:tc>
          <w:tcPr>
            <w:tcW w:w="4192" w:type="pct"/>
            <w:gridSpan w:val="6"/>
            <w:vAlign w:val="center"/>
          </w:tcPr>
          <w:p w14:paraId="4069C180" w14:textId="77777777" w:rsidR="00C33755" w:rsidRPr="00232AA0" w:rsidRDefault="00C33755" w:rsidP="00C33755">
            <w:pPr>
              <w:keepLines/>
              <w:rPr>
                <w:rFonts w:ascii="Arial Narrow" w:hAnsi="Arial Narrow"/>
                <w:sz w:val="20"/>
                <w:szCs w:val="20"/>
              </w:rPr>
            </w:pPr>
            <w:r w:rsidRPr="00232AA0">
              <w:rPr>
                <w:rFonts w:ascii="Arial Narrow" w:hAnsi="Arial Narrow"/>
                <w:sz w:val="20"/>
                <w:szCs w:val="20"/>
              </w:rPr>
              <w:t>Patient must not have known significant non-diabetic renal disease, prior to initiating treatment with this drug.</w:t>
            </w:r>
          </w:p>
        </w:tc>
      </w:tr>
      <w:tr w:rsidR="00C33755" w:rsidRPr="00232AA0" w14:paraId="49305123"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5C9A8A77" w14:textId="77777777" w:rsidR="00C33755" w:rsidRPr="00232AA0" w:rsidRDefault="00C33755" w:rsidP="00C33755">
            <w:pPr>
              <w:keepLines/>
              <w:jc w:val="center"/>
              <w:rPr>
                <w:rFonts w:ascii="Arial Narrow" w:hAnsi="Arial Narrow"/>
                <w:sz w:val="20"/>
                <w:szCs w:val="20"/>
              </w:rPr>
            </w:pPr>
          </w:p>
        </w:tc>
        <w:tc>
          <w:tcPr>
            <w:tcW w:w="4192" w:type="pct"/>
            <w:gridSpan w:val="6"/>
            <w:vAlign w:val="center"/>
          </w:tcPr>
          <w:p w14:paraId="2FBEE3A7" w14:textId="77777777" w:rsidR="00C33755" w:rsidRPr="00232AA0" w:rsidRDefault="00C33755" w:rsidP="00C33755">
            <w:pPr>
              <w:keepLines/>
              <w:rPr>
                <w:rFonts w:ascii="Arial Narrow" w:hAnsi="Arial Narrow"/>
                <w:b/>
                <w:bCs/>
                <w:sz w:val="20"/>
                <w:szCs w:val="20"/>
              </w:rPr>
            </w:pPr>
            <w:r w:rsidRPr="00232AA0">
              <w:rPr>
                <w:rFonts w:ascii="Arial Narrow" w:hAnsi="Arial Narrow"/>
                <w:b/>
                <w:bCs/>
                <w:sz w:val="20"/>
                <w:szCs w:val="20"/>
              </w:rPr>
              <w:t>AND</w:t>
            </w:r>
          </w:p>
        </w:tc>
      </w:tr>
      <w:tr w:rsidR="00C33755" w:rsidRPr="00232AA0" w14:paraId="284BDFE8"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5DA592E4" w14:textId="77777777" w:rsidR="00C33755" w:rsidRPr="00232AA0" w:rsidRDefault="00C33755" w:rsidP="00C33755">
            <w:pPr>
              <w:keepLines/>
              <w:jc w:val="center"/>
              <w:rPr>
                <w:rFonts w:ascii="Arial Narrow" w:hAnsi="Arial Narrow"/>
                <w:sz w:val="20"/>
                <w:szCs w:val="20"/>
              </w:rPr>
            </w:pPr>
          </w:p>
        </w:tc>
        <w:tc>
          <w:tcPr>
            <w:tcW w:w="4192" w:type="pct"/>
            <w:gridSpan w:val="6"/>
            <w:vAlign w:val="center"/>
          </w:tcPr>
          <w:p w14:paraId="3401133D" w14:textId="77777777" w:rsidR="00C33755" w:rsidRPr="00232AA0" w:rsidRDefault="00C33755" w:rsidP="00C33755">
            <w:pPr>
              <w:keepLines/>
              <w:rPr>
                <w:rFonts w:ascii="Arial Narrow" w:hAnsi="Arial Narrow"/>
                <w:b/>
                <w:bCs/>
                <w:sz w:val="20"/>
                <w:szCs w:val="20"/>
              </w:rPr>
            </w:pPr>
            <w:r w:rsidRPr="00232AA0">
              <w:rPr>
                <w:rFonts w:ascii="Arial Narrow" w:hAnsi="Arial Narrow"/>
                <w:b/>
                <w:bCs/>
                <w:sz w:val="20"/>
                <w:szCs w:val="20"/>
              </w:rPr>
              <w:t>Clinical criteria:</w:t>
            </w:r>
          </w:p>
        </w:tc>
      </w:tr>
      <w:tr w:rsidR="00C33755" w:rsidRPr="00232AA0" w14:paraId="494B66D0"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01D98B78" w14:textId="22371A80" w:rsidR="00C33755" w:rsidRPr="00232AA0" w:rsidRDefault="00C33755" w:rsidP="00C33755">
            <w:pPr>
              <w:jc w:val="center"/>
              <w:rPr>
                <w:rFonts w:ascii="Arial Narrow" w:hAnsi="Arial Narrow"/>
                <w:sz w:val="20"/>
                <w:szCs w:val="20"/>
              </w:rPr>
            </w:pPr>
          </w:p>
        </w:tc>
        <w:tc>
          <w:tcPr>
            <w:tcW w:w="4192" w:type="pct"/>
            <w:gridSpan w:val="6"/>
            <w:vAlign w:val="center"/>
          </w:tcPr>
          <w:p w14:paraId="11C83950" w14:textId="6F97E6BA" w:rsidR="00C33755" w:rsidRPr="00893416" w:rsidRDefault="00C33755" w:rsidP="00C33755">
            <w:pPr>
              <w:keepLines/>
              <w:rPr>
                <w:rFonts w:ascii="Arial Narrow" w:hAnsi="Arial Narrow"/>
                <w:sz w:val="20"/>
                <w:szCs w:val="20"/>
              </w:rPr>
            </w:pPr>
            <w:r w:rsidRPr="00D10699">
              <w:rPr>
                <w:rFonts w:ascii="Arial Narrow" w:hAnsi="Arial Narrow"/>
                <w:sz w:val="20"/>
                <w:szCs w:val="20"/>
              </w:rPr>
              <w:t>Patient must have an estimated glomerular filtration rate of 25 mL/min/1.73 m</w:t>
            </w:r>
            <w:r w:rsidRPr="00D10699">
              <w:rPr>
                <w:rFonts w:ascii="Arial Narrow" w:hAnsi="Arial Narrow"/>
                <w:sz w:val="20"/>
                <w:szCs w:val="20"/>
                <w:vertAlign w:val="superscript"/>
              </w:rPr>
              <w:t>2</w:t>
            </w:r>
            <w:r w:rsidRPr="00893416">
              <w:rPr>
                <w:rFonts w:ascii="Arial Narrow" w:hAnsi="Arial Narrow"/>
                <w:sz w:val="20"/>
                <w:szCs w:val="20"/>
              </w:rPr>
              <w:t xml:space="preserve"> or greater</w:t>
            </w:r>
            <w:r w:rsidRPr="00232AA0">
              <w:rPr>
                <w:rFonts w:ascii="Arial Narrow" w:hAnsi="Arial Narrow"/>
                <w:sz w:val="20"/>
                <w:szCs w:val="20"/>
              </w:rPr>
              <w:t>, prior to initiating treatment with this drug</w:t>
            </w:r>
          </w:p>
        </w:tc>
      </w:tr>
      <w:tr w:rsidR="00C33755" w:rsidRPr="00232AA0" w14:paraId="4B3A5740"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6CB4259B" w14:textId="77777777" w:rsidR="00C33755" w:rsidRPr="00232AA0" w:rsidRDefault="00C33755" w:rsidP="00C33755">
            <w:pPr>
              <w:jc w:val="center"/>
              <w:rPr>
                <w:rFonts w:ascii="Arial Narrow" w:hAnsi="Arial Narrow"/>
                <w:strike/>
                <w:sz w:val="20"/>
                <w:szCs w:val="20"/>
              </w:rPr>
            </w:pPr>
          </w:p>
        </w:tc>
        <w:tc>
          <w:tcPr>
            <w:tcW w:w="4192" w:type="pct"/>
            <w:gridSpan w:val="6"/>
            <w:vAlign w:val="center"/>
          </w:tcPr>
          <w:p w14:paraId="5613A8AA" w14:textId="77777777" w:rsidR="00C33755" w:rsidRPr="00232AA0" w:rsidRDefault="00C33755" w:rsidP="00C33755">
            <w:pPr>
              <w:rPr>
                <w:rFonts w:ascii="Arial Narrow" w:hAnsi="Arial Narrow"/>
                <w:strike/>
                <w:sz w:val="20"/>
                <w:szCs w:val="20"/>
              </w:rPr>
            </w:pPr>
            <w:r w:rsidRPr="00232AA0">
              <w:rPr>
                <w:rFonts w:ascii="Arial Narrow" w:hAnsi="Arial Narrow"/>
                <w:b/>
                <w:bCs/>
                <w:sz w:val="20"/>
                <w:szCs w:val="20"/>
              </w:rPr>
              <w:t>AND</w:t>
            </w:r>
          </w:p>
        </w:tc>
      </w:tr>
      <w:tr w:rsidR="00C33755" w:rsidRPr="00232AA0" w14:paraId="51B161D4"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183215C2" w14:textId="77777777" w:rsidR="00C33755" w:rsidRPr="00232AA0" w:rsidRDefault="00C33755" w:rsidP="00C33755">
            <w:pPr>
              <w:jc w:val="center"/>
              <w:rPr>
                <w:rFonts w:ascii="Arial Narrow" w:hAnsi="Arial Narrow"/>
                <w:strike/>
                <w:sz w:val="20"/>
                <w:szCs w:val="20"/>
              </w:rPr>
            </w:pPr>
          </w:p>
        </w:tc>
        <w:tc>
          <w:tcPr>
            <w:tcW w:w="4192" w:type="pct"/>
            <w:gridSpan w:val="6"/>
            <w:vAlign w:val="center"/>
          </w:tcPr>
          <w:p w14:paraId="54796F58" w14:textId="77777777" w:rsidR="00C33755" w:rsidRPr="00232AA0" w:rsidRDefault="00C33755" w:rsidP="00C33755">
            <w:pPr>
              <w:rPr>
                <w:rFonts w:ascii="Arial Narrow" w:hAnsi="Arial Narrow"/>
                <w:strike/>
                <w:sz w:val="20"/>
                <w:szCs w:val="20"/>
              </w:rPr>
            </w:pPr>
            <w:r w:rsidRPr="00232AA0">
              <w:rPr>
                <w:rFonts w:ascii="Arial Narrow" w:hAnsi="Arial Narrow"/>
                <w:b/>
                <w:bCs/>
                <w:sz w:val="20"/>
                <w:szCs w:val="20"/>
              </w:rPr>
              <w:t>Clinical criteria:</w:t>
            </w:r>
          </w:p>
        </w:tc>
      </w:tr>
      <w:tr w:rsidR="00C33755" w:rsidRPr="00232AA0" w14:paraId="0EBBC13B"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1D02DA35" w14:textId="3700661C" w:rsidR="00C33755" w:rsidRPr="00232AA0" w:rsidRDefault="00C33755" w:rsidP="00C33755">
            <w:pPr>
              <w:jc w:val="center"/>
              <w:rPr>
                <w:rFonts w:ascii="Arial Narrow" w:hAnsi="Arial Narrow"/>
                <w:sz w:val="20"/>
                <w:szCs w:val="20"/>
              </w:rPr>
            </w:pPr>
          </w:p>
        </w:tc>
        <w:tc>
          <w:tcPr>
            <w:tcW w:w="4192" w:type="pct"/>
            <w:gridSpan w:val="6"/>
            <w:vAlign w:val="center"/>
          </w:tcPr>
          <w:p w14:paraId="1179F514" w14:textId="77E9E8C3" w:rsidR="00C33755" w:rsidRPr="00232AA0" w:rsidRDefault="00C33755" w:rsidP="00C33755">
            <w:pPr>
              <w:keepLines/>
              <w:rPr>
                <w:rFonts w:ascii="Arial Narrow" w:hAnsi="Arial Narrow"/>
                <w:strike/>
                <w:sz w:val="20"/>
                <w:szCs w:val="20"/>
              </w:rPr>
            </w:pPr>
            <w:r w:rsidRPr="00D10699">
              <w:rPr>
                <w:rFonts w:ascii="Arial Narrow" w:hAnsi="Arial Narrow"/>
                <w:sz w:val="20"/>
                <w:szCs w:val="20"/>
              </w:rPr>
              <w:t>Patient must have a urinary albumin-to-creatinine ratio of 200 mg/g (22.6 mg/mmol)</w:t>
            </w:r>
            <w:r w:rsidRPr="00893416">
              <w:rPr>
                <w:rFonts w:ascii="Arial Narrow" w:hAnsi="Arial Narrow"/>
                <w:sz w:val="20"/>
                <w:szCs w:val="20"/>
              </w:rPr>
              <w:t xml:space="preserve"> or greater,</w:t>
            </w:r>
            <w:r w:rsidRPr="00232AA0">
              <w:rPr>
                <w:rFonts w:ascii="Arial Narrow" w:hAnsi="Arial Narrow"/>
                <w:sz w:val="20"/>
                <w:szCs w:val="20"/>
              </w:rPr>
              <w:t xml:space="preserve"> prior to initiating treatment with this drug</w:t>
            </w:r>
          </w:p>
        </w:tc>
      </w:tr>
      <w:tr w:rsidR="00C33755" w:rsidRPr="00232AA0" w14:paraId="238692D0"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53F0BA6A" w14:textId="77777777" w:rsidR="00C33755" w:rsidRPr="00232AA0" w:rsidRDefault="00C33755" w:rsidP="00C33755">
            <w:pPr>
              <w:jc w:val="center"/>
              <w:rPr>
                <w:rFonts w:ascii="Arial Narrow" w:hAnsi="Arial Narrow"/>
                <w:sz w:val="20"/>
                <w:szCs w:val="20"/>
              </w:rPr>
            </w:pPr>
          </w:p>
        </w:tc>
        <w:tc>
          <w:tcPr>
            <w:tcW w:w="4192" w:type="pct"/>
            <w:gridSpan w:val="6"/>
            <w:vAlign w:val="center"/>
            <w:hideMark/>
          </w:tcPr>
          <w:p w14:paraId="552C675F" w14:textId="77777777" w:rsidR="00C33755" w:rsidRPr="00232AA0" w:rsidRDefault="00C33755" w:rsidP="00C33755">
            <w:pPr>
              <w:rPr>
                <w:rFonts w:ascii="Arial Narrow" w:hAnsi="Arial Narrow"/>
                <w:sz w:val="20"/>
                <w:szCs w:val="20"/>
              </w:rPr>
            </w:pPr>
            <w:r w:rsidRPr="00232AA0">
              <w:rPr>
                <w:rFonts w:ascii="Arial Narrow" w:hAnsi="Arial Narrow"/>
                <w:b/>
                <w:bCs/>
                <w:sz w:val="20"/>
                <w:szCs w:val="20"/>
              </w:rPr>
              <w:t>AND</w:t>
            </w:r>
          </w:p>
        </w:tc>
      </w:tr>
      <w:tr w:rsidR="00C33755" w:rsidRPr="00232AA0" w14:paraId="727F11C0"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7CBAED3B" w14:textId="255A1032" w:rsidR="00C33755" w:rsidRPr="00232AA0" w:rsidRDefault="00C33755" w:rsidP="00C33755">
            <w:pPr>
              <w:jc w:val="center"/>
              <w:rPr>
                <w:rFonts w:ascii="Arial Narrow" w:hAnsi="Arial Narrow"/>
                <w:sz w:val="20"/>
                <w:szCs w:val="20"/>
              </w:rPr>
            </w:pPr>
          </w:p>
        </w:tc>
        <w:tc>
          <w:tcPr>
            <w:tcW w:w="4192" w:type="pct"/>
            <w:gridSpan w:val="6"/>
            <w:vAlign w:val="center"/>
            <w:hideMark/>
          </w:tcPr>
          <w:p w14:paraId="2A2BEF10" w14:textId="77777777" w:rsidR="00C33755" w:rsidRPr="00232AA0" w:rsidRDefault="00C33755" w:rsidP="00C33755">
            <w:pPr>
              <w:rPr>
                <w:rFonts w:ascii="Arial Narrow" w:hAnsi="Arial Narrow"/>
                <w:sz w:val="20"/>
                <w:szCs w:val="20"/>
              </w:rPr>
            </w:pPr>
            <w:r w:rsidRPr="00232AA0">
              <w:rPr>
                <w:rFonts w:ascii="Arial Narrow" w:hAnsi="Arial Narrow"/>
                <w:b/>
                <w:bCs/>
                <w:sz w:val="20"/>
                <w:szCs w:val="20"/>
              </w:rPr>
              <w:t>Clinical criteria:</w:t>
            </w:r>
          </w:p>
        </w:tc>
      </w:tr>
      <w:tr w:rsidR="00C33755" w:rsidRPr="00232AA0" w14:paraId="65520E2B"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0FD8E3E5" w14:textId="0B2C27B5" w:rsidR="00C33755" w:rsidRPr="00232AA0" w:rsidRDefault="00C33755" w:rsidP="00C33755">
            <w:pPr>
              <w:jc w:val="center"/>
              <w:rPr>
                <w:rFonts w:ascii="Arial Narrow" w:hAnsi="Arial Narrow"/>
                <w:sz w:val="20"/>
                <w:szCs w:val="20"/>
              </w:rPr>
            </w:pPr>
          </w:p>
        </w:tc>
        <w:tc>
          <w:tcPr>
            <w:tcW w:w="4192" w:type="pct"/>
            <w:gridSpan w:val="6"/>
            <w:shd w:val="clear" w:color="auto" w:fill="auto"/>
            <w:vAlign w:val="center"/>
            <w:hideMark/>
          </w:tcPr>
          <w:p w14:paraId="0EAB8676" w14:textId="77777777" w:rsidR="00C33755" w:rsidRPr="00232AA0" w:rsidRDefault="00C33755" w:rsidP="00C33755">
            <w:pPr>
              <w:keepLines/>
              <w:rPr>
                <w:rFonts w:ascii="Arial Narrow" w:hAnsi="Arial Narrow"/>
                <w:sz w:val="20"/>
                <w:szCs w:val="20"/>
              </w:rPr>
            </w:pPr>
            <w:r w:rsidRPr="00D10699">
              <w:rPr>
                <w:rFonts w:ascii="Arial Narrow" w:hAnsi="Arial Narrow"/>
                <w:sz w:val="20"/>
                <w:szCs w:val="20"/>
              </w:rPr>
              <w:t>Patient must discontinue treatment with this drug prior to initiating renal replacement therapy, defined as dialysis or kidney transplant,</w:t>
            </w:r>
          </w:p>
        </w:tc>
      </w:tr>
      <w:tr w:rsidR="00C33755" w:rsidRPr="00232AA0" w14:paraId="266F3771"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17F67565" w14:textId="77777777" w:rsidR="00C33755" w:rsidRPr="00232AA0" w:rsidRDefault="00C33755" w:rsidP="00C33755">
            <w:pPr>
              <w:jc w:val="center"/>
              <w:rPr>
                <w:rFonts w:ascii="Arial Narrow" w:hAnsi="Arial Narrow"/>
                <w:sz w:val="20"/>
                <w:szCs w:val="20"/>
              </w:rPr>
            </w:pPr>
          </w:p>
        </w:tc>
        <w:tc>
          <w:tcPr>
            <w:tcW w:w="4192" w:type="pct"/>
            <w:gridSpan w:val="6"/>
            <w:vAlign w:val="center"/>
          </w:tcPr>
          <w:p w14:paraId="65025B23" w14:textId="77777777" w:rsidR="00C33755" w:rsidRPr="00232AA0" w:rsidRDefault="00C33755" w:rsidP="00C33755">
            <w:pPr>
              <w:pStyle w:val="PBACTabletext"/>
              <w:spacing w:after="0"/>
              <w:rPr>
                <w:rFonts w:ascii="Arial Narrow" w:hAnsi="Arial Narrow"/>
                <w:szCs w:val="20"/>
              </w:rPr>
            </w:pPr>
            <w:r w:rsidRPr="00232AA0">
              <w:rPr>
                <w:rFonts w:ascii="Arial Narrow" w:hAnsi="Arial Narrow"/>
                <w:b/>
                <w:bCs/>
                <w:szCs w:val="20"/>
                <w:lang w:eastAsia="en-AU"/>
              </w:rPr>
              <w:t>AND</w:t>
            </w:r>
          </w:p>
        </w:tc>
      </w:tr>
      <w:tr w:rsidR="00C33755" w:rsidRPr="00232AA0" w14:paraId="6A7C5C5C"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13AEA8D8" w14:textId="37FC008E" w:rsidR="00C33755" w:rsidRPr="00232AA0" w:rsidRDefault="00C33755" w:rsidP="00C33755">
            <w:pPr>
              <w:jc w:val="center"/>
              <w:rPr>
                <w:rFonts w:ascii="Arial Narrow" w:hAnsi="Arial Narrow"/>
                <w:sz w:val="20"/>
                <w:szCs w:val="20"/>
              </w:rPr>
            </w:pPr>
          </w:p>
        </w:tc>
        <w:tc>
          <w:tcPr>
            <w:tcW w:w="4192" w:type="pct"/>
            <w:gridSpan w:val="6"/>
            <w:vAlign w:val="center"/>
          </w:tcPr>
          <w:p w14:paraId="2E902230" w14:textId="77777777" w:rsidR="00C33755" w:rsidRPr="00232AA0" w:rsidRDefault="00C33755" w:rsidP="00C33755">
            <w:pPr>
              <w:pStyle w:val="PBACTabletext"/>
              <w:spacing w:after="0"/>
              <w:rPr>
                <w:rFonts w:ascii="Arial Narrow" w:hAnsi="Arial Narrow"/>
                <w:szCs w:val="20"/>
              </w:rPr>
            </w:pPr>
            <w:r w:rsidRPr="00232AA0">
              <w:rPr>
                <w:rFonts w:ascii="Arial Narrow" w:hAnsi="Arial Narrow"/>
                <w:b/>
                <w:bCs/>
                <w:szCs w:val="20"/>
                <w:lang w:eastAsia="en-AU"/>
              </w:rPr>
              <w:t>Clinical criteria:</w:t>
            </w:r>
          </w:p>
        </w:tc>
      </w:tr>
      <w:tr w:rsidR="00C33755" w:rsidRPr="00232AA0" w14:paraId="5EC665DB"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3FF015DB" w14:textId="59AE0B18" w:rsidR="00C33755" w:rsidRPr="00232AA0" w:rsidRDefault="00C33755" w:rsidP="00C33755">
            <w:pPr>
              <w:jc w:val="center"/>
              <w:rPr>
                <w:rFonts w:ascii="Arial Narrow" w:hAnsi="Arial Narrow"/>
                <w:sz w:val="20"/>
                <w:szCs w:val="20"/>
              </w:rPr>
            </w:pPr>
          </w:p>
        </w:tc>
        <w:tc>
          <w:tcPr>
            <w:tcW w:w="4192" w:type="pct"/>
            <w:gridSpan w:val="6"/>
            <w:vAlign w:val="center"/>
          </w:tcPr>
          <w:p w14:paraId="788343A1" w14:textId="77777777" w:rsidR="00C33755" w:rsidRPr="00893416" w:rsidRDefault="00C33755" w:rsidP="00C33755">
            <w:pPr>
              <w:keepLines/>
              <w:rPr>
                <w:rFonts w:ascii="Arial Narrow" w:hAnsi="Arial Narrow"/>
                <w:sz w:val="20"/>
                <w:szCs w:val="20"/>
              </w:rPr>
            </w:pPr>
            <w:r w:rsidRPr="00D10699">
              <w:rPr>
                <w:rFonts w:ascii="Arial Narrow" w:hAnsi="Arial Narrow"/>
                <w:sz w:val="20"/>
                <w:szCs w:val="20"/>
              </w:rPr>
              <w:t>Patient must be stabilised, for at least 4 weeks, on either: (i) an ACE inhibitor or (ii) an angiotensin II receptor antagonist, unless medically contraindicated, prior to initiation of combination therapy with this drug.</w:t>
            </w:r>
          </w:p>
        </w:tc>
      </w:tr>
      <w:tr w:rsidR="00C33755" w:rsidRPr="00232AA0" w14:paraId="0DC6B3B1"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7C3E71D3" w14:textId="77777777" w:rsidR="00C33755" w:rsidRPr="00232AA0" w:rsidRDefault="00C33755" w:rsidP="00C33755">
            <w:pPr>
              <w:jc w:val="center"/>
              <w:rPr>
                <w:rFonts w:ascii="Arial Narrow" w:hAnsi="Arial Narrow"/>
                <w:sz w:val="20"/>
                <w:szCs w:val="20"/>
              </w:rPr>
            </w:pPr>
          </w:p>
        </w:tc>
        <w:tc>
          <w:tcPr>
            <w:tcW w:w="4192" w:type="pct"/>
            <w:gridSpan w:val="6"/>
            <w:vAlign w:val="center"/>
          </w:tcPr>
          <w:p w14:paraId="02A1A1BE" w14:textId="77777777" w:rsidR="00C33755" w:rsidRPr="00232AA0" w:rsidRDefault="00C33755" w:rsidP="00C33755">
            <w:pPr>
              <w:pStyle w:val="PBACTabletext"/>
              <w:spacing w:after="0"/>
              <w:rPr>
                <w:rFonts w:ascii="Arial Narrow" w:hAnsi="Arial Narrow"/>
                <w:b/>
                <w:bCs/>
                <w:szCs w:val="20"/>
                <w:lang w:eastAsia="en-AU"/>
              </w:rPr>
            </w:pPr>
            <w:r w:rsidRPr="00232AA0">
              <w:rPr>
                <w:rFonts w:ascii="Arial Narrow" w:hAnsi="Arial Narrow"/>
                <w:b/>
                <w:bCs/>
                <w:szCs w:val="20"/>
                <w:lang w:eastAsia="en-AU"/>
              </w:rPr>
              <w:t>AND</w:t>
            </w:r>
          </w:p>
        </w:tc>
      </w:tr>
      <w:tr w:rsidR="00C33755" w:rsidRPr="00232AA0" w14:paraId="47F79EF9"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1AE85397" w14:textId="77777777" w:rsidR="00C33755" w:rsidRPr="00232AA0" w:rsidRDefault="00C33755" w:rsidP="00C33755">
            <w:pPr>
              <w:jc w:val="center"/>
              <w:rPr>
                <w:rFonts w:ascii="Arial Narrow" w:hAnsi="Arial Narrow"/>
                <w:sz w:val="20"/>
                <w:szCs w:val="20"/>
              </w:rPr>
            </w:pPr>
          </w:p>
        </w:tc>
        <w:tc>
          <w:tcPr>
            <w:tcW w:w="4192" w:type="pct"/>
            <w:gridSpan w:val="6"/>
            <w:vAlign w:val="center"/>
          </w:tcPr>
          <w:p w14:paraId="5DDB7A81" w14:textId="77777777" w:rsidR="00C33755" w:rsidRPr="00893416" w:rsidRDefault="00C33755" w:rsidP="00C33755">
            <w:pPr>
              <w:pStyle w:val="PBACTabletext"/>
              <w:spacing w:after="0"/>
              <w:rPr>
                <w:rFonts w:ascii="Arial Narrow" w:hAnsi="Arial Narrow"/>
                <w:b/>
                <w:bCs/>
                <w:szCs w:val="20"/>
                <w:lang w:eastAsia="en-AU"/>
              </w:rPr>
            </w:pPr>
            <w:r w:rsidRPr="00232AA0">
              <w:rPr>
                <w:rFonts w:ascii="Arial Narrow" w:hAnsi="Arial Narrow"/>
                <w:b/>
                <w:bCs/>
                <w:szCs w:val="20"/>
                <w:lang w:eastAsia="en-AU"/>
              </w:rPr>
              <w:t>Clinical criteria:</w:t>
            </w:r>
          </w:p>
        </w:tc>
      </w:tr>
      <w:tr w:rsidR="00C33755" w:rsidRPr="00232AA0" w14:paraId="5359F109"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019A96D2" w14:textId="04EC8AD0" w:rsidR="00C33755" w:rsidRPr="00232AA0" w:rsidRDefault="00C33755" w:rsidP="00C33755">
            <w:pPr>
              <w:jc w:val="center"/>
              <w:rPr>
                <w:rFonts w:ascii="Arial Narrow" w:hAnsi="Arial Narrow"/>
                <w:sz w:val="20"/>
                <w:szCs w:val="20"/>
              </w:rPr>
            </w:pPr>
          </w:p>
        </w:tc>
        <w:tc>
          <w:tcPr>
            <w:tcW w:w="4192" w:type="pct"/>
            <w:gridSpan w:val="6"/>
            <w:vAlign w:val="center"/>
          </w:tcPr>
          <w:p w14:paraId="22989A08" w14:textId="69E49C82" w:rsidR="00C33755" w:rsidRPr="00893416" w:rsidRDefault="00C33755" w:rsidP="00C33755">
            <w:pPr>
              <w:keepLines/>
              <w:rPr>
                <w:rFonts w:ascii="Arial Narrow" w:hAnsi="Arial Narrow"/>
                <w:b/>
                <w:bCs/>
                <w:szCs w:val="20"/>
              </w:rPr>
            </w:pPr>
            <w:r w:rsidRPr="00D10699">
              <w:rPr>
                <w:rFonts w:ascii="Arial Narrow" w:hAnsi="Arial Narrow"/>
                <w:sz w:val="20"/>
                <w:szCs w:val="20"/>
              </w:rPr>
              <w:t>The treatment must be in combination with an SGLT2i unless medically contraindicated or intolerant.</w:t>
            </w:r>
          </w:p>
        </w:tc>
      </w:tr>
      <w:tr w:rsidR="00C33755" w:rsidRPr="00232AA0" w14:paraId="750E0660"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3C80BA3A" w14:textId="77777777" w:rsidR="00C33755" w:rsidRPr="00232AA0" w:rsidRDefault="00C33755" w:rsidP="00C33755">
            <w:pPr>
              <w:jc w:val="center"/>
              <w:rPr>
                <w:rFonts w:ascii="Arial Narrow" w:hAnsi="Arial Narrow"/>
                <w:sz w:val="20"/>
                <w:szCs w:val="20"/>
              </w:rPr>
            </w:pPr>
          </w:p>
        </w:tc>
        <w:tc>
          <w:tcPr>
            <w:tcW w:w="4192" w:type="pct"/>
            <w:gridSpan w:val="6"/>
            <w:vAlign w:val="center"/>
          </w:tcPr>
          <w:p w14:paraId="31751E09" w14:textId="77777777" w:rsidR="00C33755" w:rsidRPr="00232AA0" w:rsidRDefault="00C33755" w:rsidP="00C33755">
            <w:pPr>
              <w:pStyle w:val="PBACTabletext"/>
              <w:spacing w:after="0"/>
              <w:rPr>
                <w:rFonts w:ascii="Arial Narrow" w:hAnsi="Arial Narrow"/>
                <w:b/>
                <w:bCs/>
                <w:strike/>
                <w:szCs w:val="20"/>
              </w:rPr>
            </w:pPr>
            <w:r w:rsidRPr="00232AA0">
              <w:rPr>
                <w:rFonts w:ascii="Arial Narrow" w:hAnsi="Arial Narrow"/>
                <w:b/>
                <w:bCs/>
                <w:szCs w:val="20"/>
                <w:lang w:eastAsia="en-AU"/>
              </w:rPr>
              <w:t>AND</w:t>
            </w:r>
          </w:p>
        </w:tc>
      </w:tr>
      <w:tr w:rsidR="00C33755" w:rsidRPr="00232AA0" w14:paraId="6C9F4674"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3617792D" w14:textId="77777777" w:rsidR="00C33755" w:rsidRPr="00232AA0" w:rsidRDefault="00C33755" w:rsidP="00C33755">
            <w:pPr>
              <w:jc w:val="center"/>
              <w:rPr>
                <w:rFonts w:ascii="Arial Narrow" w:hAnsi="Arial Narrow"/>
                <w:sz w:val="20"/>
                <w:szCs w:val="20"/>
              </w:rPr>
            </w:pPr>
          </w:p>
        </w:tc>
        <w:tc>
          <w:tcPr>
            <w:tcW w:w="4192" w:type="pct"/>
            <w:gridSpan w:val="6"/>
            <w:vAlign w:val="center"/>
          </w:tcPr>
          <w:p w14:paraId="3D908731" w14:textId="77777777" w:rsidR="00C33755" w:rsidRPr="00232AA0" w:rsidRDefault="00C33755" w:rsidP="00C33755">
            <w:pPr>
              <w:pStyle w:val="PBACTabletext"/>
              <w:spacing w:after="0"/>
              <w:rPr>
                <w:rFonts w:ascii="Arial Narrow" w:hAnsi="Arial Narrow"/>
                <w:strike/>
                <w:szCs w:val="20"/>
              </w:rPr>
            </w:pPr>
            <w:r w:rsidRPr="00232AA0">
              <w:rPr>
                <w:rFonts w:ascii="Arial Narrow" w:hAnsi="Arial Narrow"/>
                <w:b/>
                <w:bCs/>
                <w:szCs w:val="20"/>
                <w:lang w:eastAsia="en-AU"/>
              </w:rPr>
              <w:t>Clinical criteria:</w:t>
            </w:r>
          </w:p>
        </w:tc>
      </w:tr>
      <w:tr w:rsidR="00C33755" w:rsidRPr="00232AA0" w14:paraId="37E5753D"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355EC04F" w14:textId="0196010B" w:rsidR="00C33755" w:rsidRPr="00232AA0" w:rsidRDefault="00C33755" w:rsidP="00C33755">
            <w:pPr>
              <w:jc w:val="center"/>
              <w:rPr>
                <w:rFonts w:ascii="Arial Narrow" w:hAnsi="Arial Narrow"/>
                <w:color w:val="000000" w:themeColor="text1"/>
                <w:sz w:val="20"/>
                <w:szCs w:val="20"/>
              </w:rPr>
            </w:pPr>
          </w:p>
        </w:tc>
        <w:tc>
          <w:tcPr>
            <w:tcW w:w="4192" w:type="pct"/>
            <w:gridSpan w:val="6"/>
            <w:vAlign w:val="center"/>
          </w:tcPr>
          <w:p w14:paraId="0F046D65" w14:textId="77777777" w:rsidR="00C33755" w:rsidRPr="00232AA0" w:rsidRDefault="00C33755" w:rsidP="00C33755">
            <w:pPr>
              <w:pStyle w:val="PBACTabletext"/>
              <w:spacing w:after="0"/>
              <w:rPr>
                <w:rFonts w:ascii="Arial Narrow" w:hAnsi="Arial Narrow"/>
                <w:strike/>
                <w:szCs w:val="20"/>
              </w:rPr>
            </w:pPr>
            <w:r w:rsidRPr="00232AA0">
              <w:rPr>
                <w:rFonts w:ascii="Arial Narrow" w:hAnsi="Arial Narrow"/>
                <w:szCs w:val="20"/>
              </w:rPr>
              <w:t>Patient must not be receiving treatment with another selective nonsteroidal mineralocorticoid-receptor antagonist, a renin inhibitor or a potassium-sparing diuretic.</w:t>
            </w:r>
          </w:p>
        </w:tc>
      </w:tr>
      <w:tr w:rsidR="00C33755" w:rsidRPr="00232AA0" w14:paraId="5C186003"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78CF6BD0" w14:textId="77777777" w:rsidR="00C33755" w:rsidRPr="00232AA0" w:rsidRDefault="00C33755" w:rsidP="00C33755">
            <w:pPr>
              <w:jc w:val="center"/>
              <w:rPr>
                <w:rFonts w:ascii="Arial Narrow" w:hAnsi="Arial Narrow"/>
                <w:color w:val="000000" w:themeColor="text1"/>
                <w:sz w:val="20"/>
                <w:szCs w:val="20"/>
              </w:rPr>
            </w:pPr>
          </w:p>
        </w:tc>
        <w:tc>
          <w:tcPr>
            <w:tcW w:w="4192" w:type="pct"/>
            <w:gridSpan w:val="6"/>
            <w:vAlign w:val="center"/>
          </w:tcPr>
          <w:p w14:paraId="486815C7" w14:textId="77777777" w:rsidR="00C33755" w:rsidRPr="00232AA0" w:rsidRDefault="00C33755" w:rsidP="00C33755">
            <w:pPr>
              <w:pStyle w:val="PBACTabletext"/>
              <w:spacing w:after="0"/>
              <w:rPr>
                <w:rFonts w:ascii="Arial Narrow" w:hAnsi="Arial Narrow"/>
                <w:strike/>
                <w:szCs w:val="20"/>
              </w:rPr>
            </w:pPr>
            <w:r w:rsidRPr="00232AA0">
              <w:rPr>
                <w:rFonts w:ascii="Arial Narrow" w:hAnsi="Arial Narrow"/>
                <w:b/>
                <w:bCs/>
                <w:szCs w:val="20"/>
                <w:lang w:eastAsia="en-AU"/>
              </w:rPr>
              <w:t>AND</w:t>
            </w:r>
          </w:p>
        </w:tc>
      </w:tr>
      <w:tr w:rsidR="00C33755" w:rsidRPr="00232AA0" w14:paraId="090E405D"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2E28426F" w14:textId="77777777" w:rsidR="00C33755" w:rsidRPr="00232AA0" w:rsidRDefault="00C33755" w:rsidP="00C33755">
            <w:pPr>
              <w:jc w:val="center"/>
              <w:rPr>
                <w:rFonts w:ascii="Arial Narrow" w:hAnsi="Arial Narrow"/>
                <w:color w:val="000000" w:themeColor="text1"/>
                <w:sz w:val="20"/>
                <w:szCs w:val="20"/>
              </w:rPr>
            </w:pPr>
          </w:p>
        </w:tc>
        <w:tc>
          <w:tcPr>
            <w:tcW w:w="4192" w:type="pct"/>
            <w:gridSpan w:val="6"/>
            <w:vAlign w:val="center"/>
          </w:tcPr>
          <w:p w14:paraId="59897304" w14:textId="77777777" w:rsidR="00C33755" w:rsidRPr="00232AA0" w:rsidRDefault="00C33755" w:rsidP="00C33755">
            <w:pPr>
              <w:pStyle w:val="PBACTabletext"/>
              <w:spacing w:after="0"/>
              <w:rPr>
                <w:rFonts w:ascii="Arial Narrow" w:hAnsi="Arial Narrow"/>
                <w:strike/>
                <w:szCs w:val="20"/>
              </w:rPr>
            </w:pPr>
            <w:r w:rsidRPr="00232AA0">
              <w:rPr>
                <w:rFonts w:ascii="Arial Narrow" w:hAnsi="Arial Narrow"/>
                <w:b/>
                <w:bCs/>
                <w:szCs w:val="20"/>
                <w:lang w:eastAsia="en-AU"/>
              </w:rPr>
              <w:t>Clinical criteria:</w:t>
            </w:r>
          </w:p>
        </w:tc>
      </w:tr>
      <w:tr w:rsidR="00C33755" w:rsidRPr="00232AA0" w14:paraId="3BF5577E"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02C7F672" w14:textId="72B2AE4D" w:rsidR="00C33755" w:rsidRPr="00232AA0" w:rsidRDefault="00C33755" w:rsidP="00C33755">
            <w:pPr>
              <w:jc w:val="center"/>
              <w:rPr>
                <w:rFonts w:ascii="Arial Narrow" w:hAnsi="Arial Narrow"/>
                <w:color w:val="000000" w:themeColor="text1"/>
                <w:sz w:val="20"/>
                <w:szCs w:val="20"/>
              </w:rPr>
            </w:pPr>
          </w:p>
        </w:tc>
        <w:tc>
          <w:tcPr>
            <w:tcW w:w="4192" w:type="pct"/>
            <w:gridSpan w:val="6"/>
            <w:vAlign w:val="center"/>
          </w:tcPr>
          <w:p w14:paraId="4C4631E7" w14:textId="77777777" w:rsidR="00C33755" w:rsidRPr="00232AA0" w:rsidRDefault="00C33755" w:rsidP="00C33755">
            <w:pPr>
              <w:pStyle w:val="PBACTabletext"/>
              <w:spacing w:after="0"/>
              <w:rPr>
                <w:rFonts w:ascii="Arial Narrow" w:hAnsi="Arial Narrow"/>
                <w:strike/>
                <w:szCs w:val="20"/>
              </w:rPr>
            </w:pPr>
            <w:r w:rsidRPr="00232AA0">
              <w:rPr>
                <w:rFonts w:ascii="Arial Narrow" w:hAnsi="Arial Narrow"/>
                <w:szCs w:val="20"/>
              </w:rPr>
              <w:t>Patient must not have established heart failure with reduced ejection fraction with an indication for treatment with a mineralocorticoid receptor antagonist.</w:t>
            </w:r>
          </w:p>
        </w:tc>
      </w:tr>
      <w:tr w:rsidR="00C33755" w:rsidRPr="00232AA0" w14:paraId="5911FF94" w14:textId="77777777" w:rsidTr="00C33755">
        <w:tblPrEx>
          <w:tblCellMar>
            <w:top w:w="15" w:type="dxa"/>
            <w:bottom w:w="15" w:type="dxa"/>
          </w:tblCellMar>
          <w:tblLook w:val="04A0" w:firstRow="1" w:lastRow="0" w:firstColumn="1" w:lastColumn="0" w:noHBand="0" w:noVBand="1"/>
        </w:tblPrEx>
        <w:trPr>
          <w:cantSplit/>
          <w:trHeight w:val="20"/>
        </w:trPr>
        <w:tc>
          <w:tcPr>
            <w:tcW w:w="808" w:type="pct"/>
            <w:gridSpan w:val="2"/>
            <w:vAlign w:val="center"/>
          </w:tcPr>
          <w:p w14:paraId="4E2A4ED2" w14:textId="4BD5BFBA" w:rsidR="00C33755" w:rsidRPr="00232AA0" w:rsidRDefault="00C33755" w:rsidP="00C33755">
            <w:pPr>
              <w:jc w:val="center"/>
              <w:rPr>
                <w:rFonts w:ascii="Arial Narrow" w:hAnsi="Arial Narrow"/>
                <w:sz w:val="20"/>
                <w:szCs w:val="20"/>
              </w:rPr>
            </w:pPr>
          </w:p>
        </w:tc>
        <w:tc>
          <w:tcPr>
            <w:tcW w:w="4192" w:type="pct"/>
            <w:gridSpan w:val="6"/>
            <w:vAlign w:val="center"/>
          </w:tcPr>
          <w:p w14:paraId="481EA428" w14:textId="77777777" w:rsidR="00C33755" w:rsidRPr="00893416" w:rsidRDefault="00C33755" w:rsidP="00C33755">
            <w:pPr>
              <w:rPr>
                <w:rFonts w:ascii="Arial Narrow" w:hAnsi="Arial Narrow"/>
                <w:b/>
                <w:bCs/>
                <w:sz w:val="20"/>
                <w:szCs w:val="20"/>
              </w:rPr>
            </w:pPr>
            <w:r w:rsidRPr="00893416">
              <w:rPr>
                <w:rFonts w:ascii="Arial Narrow" w:hAnsi="Arial Narrow"/>
                <w:b/>
                <w:bCs/>
                <w:sz w:val="20"/>
                <w:szCs w:val="20"/>
              </w:rPr>
              <w:t>Caution:</w:t>
            </w:r>
          </w:p>
          <w:p w14:paraId="5A8C7283" w14:textId="77777777" w:rsidR="00C33755" w:rsidRPr="00232AA0" w:rsidRDefault="00C33755" w:rsidP="00C33755">
            <w:pPr>
              <w:rPr>
                <w:rFonts w:ascii="Arial Narrow" w:hAnsi="Arial Narrow"/>
                <w:b/>
                <w:bCs/>
                <w:sz w:val="20"/>
                <w:szCs w:val="20"/>
              </w:rPr>
            </w:pPr>
            <w:r w:rsidRPr="00893416">
              <w:rPr>
                <w:rFonts w:ascii="Arial Narrow" w:hAnsi="Arial Narrow"/>
                <w:sz w:val="20"/>
                <w:szCs w:val="20"/>
              </w:rPr>
              <w:t>Serum electrolytes should be checked regularly</w:t>
            </w:r>
          </w:p>
        </w:tc>
      </w:tr>
    </w:tbl>
    <w:p w14:paraId="0601E190" w14:textId="77777777" w:rsidR="00B77328" w:rsidRPr="0061492E" w:rsidRDefault="00B77328" w:rsidP="00B77328">
      <w:pPr>
        <w:pStyle w:val="NormalWeb"/>
        <w:spacing w:before="0" w:after="0"/>
        <w:rPr>
          <w:rFonts w:asciiTheme="minorHAnsi" w:hAnsiTheme="minorHAnsi" w:cstheme="minorHAnsi"/>
        </w:rPr>
      </w:pPr>
      <w:r w:rsidRPr="0061492E">
        <w:rPr>
          <w:rFonts w:asciiTheme="minorHAnsi" w:hAnsiTheme="minorHAnsi" w:cstheme="minorHAnsi"/>
          <w:b/>
          <w:bCs/>
          <w:i/>
          <w:iCs/>
        </w:rPr>
        <w:t>This restriction may be subject to further review. Should there be any changes made to the restriction the Sponsor will be informed.</w:t>
      </w:r>
      <w:r w:rsidRPr="0061492E">
        <w:rPr>
          <w:rFonts w:asciiTheme="minorHAnsi" w:hAnsiTheme="minorHAnsi" w:cstheme="minorHAnsi"/>
        </w:rPr>
        <w:t xml:space="preserve"> </w:t>
      </w:r>
    </w:p>
    <w:bookmarkEnd w:id="71"/>
    <w:p w14:paraId="512A0128" w14:textId="38C3D9EA" w:rsidR="002A4D82" w:rsidRPr="002A4D82" w:rsidRDefault="002A4D82" w:rsidP="002A4D82">
      <w:pPr>
        <w:pStyle w:val="COMH1numbered"/>
        <w:numPr>
          <w:ilvl w:val="0"/>
          <w:numId w:val="1"/>
        </w:numPr>
      </w:pPr>
      <w:r w:rsidRPr="002A4D82">
        <w:t>Context for Decision</w:t>
      </w:r>
    </w:p>
    <w:p w14:paraId="537B4A6D" w14:textId="77777777" w:rsidR="002A4D82" w:rsidRDefault="002A4D82" w:rsidP="002A4D82">
      <w:pPr>
        <w:spacing w:after="120"/>
        <w:ind w:left="720"/>
        <w:rPr>
          <w:rFonts w:asciiTheme="minorHAnsi" w:hAnsiTheme="minorHAnsi"/>
          <w:bCs/>
          <w:lang w:val="en-GB"/>
        </w:rPr>
      </w:pPr>
      <w:r>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BE30AD8" w14:textId="2B0285FC" w:rsidR="002A4D82" w:rsidRPr="002A4D82" w:rsidRDefault="002A4D82" w:rsidP="002A4D82">
      <w:pPr>
        <w:pStyle w:val="COMH1numbered"/>
        <w:numPr>
          <w:ilvl w:val="0"/>
          <w:numId w:val="1"/>
        </w:numPr>
      </w:pPr>
      <w:r w:rsidRPr="002A4D82">
        <w:t>Sponsor’s Comment</w:t>
      </w:r>
    </w:p>
    <w:p w14:paraId="13FA57AA" w14:textId="2A7F10B2" w:rsidR="00B77328" w:rsidRPr="002A4D82" w:rsidRDefault="00542ADC" w:rsidP="00966944">
      <w:pPr>
        <w:spacing w:after="120"/>
        <w:ind w:left="720"/>
        <w:rPr>
          <w:rFonts w:asciiTheme="minorHAnsi" w:hAnsiTheme="minorHAnsi"/>
          <w:bCs/>
          <w:szCs w:val="22"/>
        </w:rPr>
      </w:pPr>
      <w:r>
        <w:rPr>
          <w:rFonts w:asciiTheme="minorHAnsi" w:hAnsiTheme="minorHAnsi"/>
          <w:bCs/>
          <w:lang w:val="en-GB"/>
        </w:rPr>
        <w:t>Bayer welcomes the PBAC</w:t>
      </w:r>
      <w:r w:rsidR="00684AE4">
        <w:rPr>
          <w:rFonts w:asciiTheme="minorHAnsi" w:hAnsiTheme="minorHAnsi"/>
          <w:bCs/>
          <w:lang w:val="en-GB"/>
        </w:rPr>
        <w:t>’s</w:t>
      </w:r>
      <w:r>
        <w:rPr>
          <w:rFonts w:asciiTheme="minorHAnsi" w:hAnsiTheme="minorHAnsi"/>
          <w:bCs/>
          <w:lang w:val="en-GB"/>
        </w:rPr>
        <w:t xml:space="preserve"> recommendation of </w:t>
      </w:r>
      <w:r w:rsidR="00684AE4">
        <w:rPr>
          <w:rFonts w:asciiTheme="minorHAnsi" w:hAnsiTheme="minorHAnsi"/>
          <w:bCs/>
          <w:lang w:val="en-GB"/>
        </w:rPr>
        <w:t>f</w:t>
      </w:r>
      <w:r>
        <w:rPr>
          <w:rFonts w:asciiTheme="minorHAnsi" w:hAnsiTheme="minorHAnsi"/>
          <w:bCs/>
          <w:lang w:val="en-GB"/>
        </w:rPr>
        <w:t>ine</w:t>
      </w:r>
      <w:r w:rsidR="0064108F">
        <w:rPr>
          <w:rFonts w:asciiTheme="minorHAnsi" w:hAnsiTheme="minorHAnsi"/>
          <w:bCs/>
          <w:lang w:val="en-GB"/>
        </w:rPr>
        <w:t>renone for PBS listing</w:t>
      </w:r>
      <w:r w:rsidR="000D566B">
        <w:rPr>
          <w:rFonts w:asciiTheme="minorHAnsi" w:hAnsiTheme="minorHAnsi"/>
          <w:bCs/>
          <w:lang w:val="en-GB"/>
        </w:rPr>
        <w:t xml:space="preserve"> for </w:t>
      </w:r>
      <w:r w:rsidR="00684AE4" w:rsidRPr="00B9446A">
        <w:t>the treatment of chronic kidney disease</w:t>
      </w:r>
      <w:r w:rsidR="00684AE4">
        <w:t xml:space="preserve"> (CKD)</w:t>
      </w:r>
      <w:r w:rsidR="00684AE4" w:rsidRPr="00B9446A">
        <w:t xml:space="preserve"> in patients with type 2 diabetes mellitus</w:t>
      </w:r>
      <w:r w:rsidR="00684AE4">
        <w:t xml:space="preserve"> (diabetic kidney disease; DKD)</w:t>
      </w:r>
      <w:r w:rsidR="008E62B0">
        <w:t xml:space="preserve">. We </w:t>
      </w:r>
      <w:r w:rsidR="00922125">
        <w:t xml:space="preserve">continue to work with the Department to have finerenone available on the PBS at the earliest opportunity. </w:t>
      </w:r>
    </w:p>
    <w:sectPr w:rsidR="00B77328" w:rsidRPr="002A4D82" w:rsidSect="00770E8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42A7" w14:textId="77777777" w:rsidR="000C1875" w:rsidRDefault="000C1875" w:rsidP="00124A51">
      <w:r>
        <w:separator/>
      </w:r>
    </w:p>
    <w:p w14:paraId="202DEA8B" w14:textId="77777777" w:rsidR="000C1875" w:rsidRDefault="000C1875"/>
    <w:p w14:paraId="1C8BA34D" w14:textId="77777777" w:rsidR="000C1875" w:rsidRDefault="000C1875"/>
  </w:endnote>
  <w:endnote w:type="continuationSeparator" w:id="0">
    <w:p w14:paraId="2AFF856C" w14:textId="77777777" w:rsidR="000C1875" w:rsidRDefault="000C1875" w:rsidP="00124A51">
      <w:r>
        <w:continuationSeparator/>
      </w:r>
    </w:p>
    <w:p w14:paraId="27AE5A00" w14:textId="77777777" w:rsidR="000C1875" w:rsidRDefault="000C1875"/>
    <w:p w14:paraId="66BF7CB4" w14:textId="77777777" w:rsidR="000C1875" w:rsidRDefault="000C1875"/>
  </w:endnote>
  <w:endnote w:type="continuationNotice" w:id="1">
    <w:p w14:paraId="715085C4" w14:textId="77777777" w:rsidR="000C1875" w:rsidRDefault="000C1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DBBB" w14:textId="77777777" w:rsidR="00C72F96" w:rsidRDefault="00C72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59C0" w14:textId="77777777" w:rsidR="00770E8A" w:rsidRDefault="00770E8A" w:rsidP="00753B29">
    <w:pPr>
      <w:jc w:val="center"/>
    </w:pPr>
  </w:p>
  <w:p w14:paraId="4906F5F0" w14:textId="77777777" w:rsidR="00770E8A" w:rsidRPr="00F90A91" w:rsidRDefault="00770E8A" w:rsidP="007E449E">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0B55" w14:textId="77777777" w:rsidR="00C72F96" w:rsidRDefault="00C72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49FB" w14:textId="77777777" w:rsidR="000C1875" w:rsidRDefault="000C1875" w:rsidP="00124A51">
      <w:r>
        <w:separator/>
      </w:r>
    </w:p>
    <w:p w14:paraId="40A21FC4" w14:textId="77777777" w:rsidR="000C1875" w:rsidRDefault="000C1875"/>
    <w:p w14:paraId="26A9662A" w14:textId="77777777" w:rsidR="000C1875" w:rsidRDefault="000C1875"/>
  </w:footnote>
  <w:footnote w:type="continuationSeparator" w:id="0">
    <w:p w14:paraId="4C5F4870" w14:textId="77777777" w:rsidR="000C1875" w:rsidRDefault="000C1875" w:rsidP="00124A51">
      <w:r>
        <w:continuationSeparator/>
      </w:r>
    </w:p>
    <w:p w14:paraId="7E6AC49B" w14:textId="77777777" w:rsidR="000C1875" w:rsidRDefault="000C1875"/>
    <w:p w14:paraId="610558EE" w14:textId="77777777" w:rsidR="000C1875" w:rsidRDefault="000C1875"/>
  </w:footnote>
  <w:footnote w:type="continuationNotice" w:id="1">
    <w:p w14:paraId="7937C816" w14:textId="77777777" w:rsidR="000C1875" w:rsidRDefault="000C1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5205" w14:textId="77777777" w:rsidR="00C72F96" w:rsidRDefault="00C72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D0BE" w14:textId="77777777" w:rsidR="00770E8A" w:rsidRDefault="00770E8A" w:rsidP="002A4D82">
    <w:pPr>
      <w:pStyle w:val="Header"/>
      <w:keepNext/>
      <w:ind w:left="360"/>
      <w:jc w:val="center"/>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March 2023</w:t>
    </w:r>
    <w:r w:rsidRPr="00056684">
      <w:rPr>
        <w:rFonts w:asciiTheme="minorHAnsi" w:hAnsiTheme="minorHAnsi"/>
        <w:i/>
        <w:color w:val="808080"/>
      </w:rPr>
      <w:t xml:space="preserve"> PBAC Meeting</w:t>
    </w:r>
  </w:p>
  <w:p w14:paraId="21B3EEC7" w14:textId="77777777" w:rsidR="00770E8A" w:rsidRPr="002A4D82" w:rsidRDefault="00770E8A" w:rsidP="002A4D82">
    <w:pPr>
      <w:pStyle w:val="Header"/>
      <w:keepNext/>
      <w:ind w:left="360"/>
      <w:jc w:val="center"/>
      <w:rPr>
        <w:rFonts w:asciiTheme="minorHAnsi" w:hAnsiTheme="minorHAnsi"/>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5245" w14:textId="77777777" w:rsidR="00C72F96" w:rsidRDefault="00C72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2414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460CE9"/>
    <w:multiLevelType w:val="hybridMultilevel"/>
    <w:tmpl w:val="6BE22D1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5172A4"/>
    <w:multiLevelType w:val="hybridMultilevel"/>
    <w:tmpl w:val="AF28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366DD"/>
    <w:multiLevelType w:val="hybridMultilevel"/>
    <w:tmpl w:val="04CA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956F8A"/>
    <w:multiLevelType w:val="hybridMultilevel"/>
    <w:tmpl w:val="925C3568"/>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8"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106172"/>
    <w:multiLevelType w:val="hybridMultilevel"/>
    <w:tmpl w:val="59A8E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F6820"/>
    <w:multiLevelType w:val="hybridMultilevel"/>
    <w:tmpl w:val="F3D6F4E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294222"/>
    <w:multiLevelType w:val="hybridMultilevel"/>
    <w:tmpl w:val="8998F9A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3BA44E4B"/>
    <w:multiLevelType w:val="hybridMultilevel"/>
    <w:tmpl w:val="4288A63C"/>
    <w:styleLink w:val="Style13"/>
    <w:lvl w:ilvl="0" w:tplc="C272082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676FBA"/>
    <w:multiLevelType w:val="hybridMultilevel"/>
    <w:tmpl w:val="0C60010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7" w15:restartNumberingAfterBreak="0">
    <w:nsid w:val="3FB243EC"/>
    <w:multiLevelType w:val="hybridMultilevel"/>
    <w:tmpl w:val="0C685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1F356F"/>
    <w:multiLevelType w:val="hybridMultilevel"/>
    <w:tmpl w:val="5400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BF3680"/>
    <w:multiLevelType w:val="hybridMultilevel"/>
    <w:tmpl w:val="0C14D44C"/>
    <w:lvl w:ilvl="0" w:tplc="212E4BDC">
      <w:start w:val="1"/>
      <w:numFmt w:val="bullet"/>
      <w:lvlText w:val="•"/>
      <w:lvlJc w:val="left"/>
      <w:pPr>
        <w:tabs>
          <w:tab w:val="num" w:pos="720"/>
        </w:tabs>
        <w:ind w:left="720" w:hanging="360"/>
      </w:pPr>
      <w:rPr>
        <w:rFonts w:ascii="Arial" w:hAnsi="Arial" w:hint="default"/>
      </w:rPr>
    </w:lvl>
    <w:lvl w:ilvl="1" w:tplc="C4B03820" w:tentative="1">
      <w:start w:val="1"/>
      <w:numFmt w:val="bullet"/>
      <w:lvlText w:val="•"/>
      <w:lvlJc w:val="left"/>
      <w:pPr>
        <w:tabs>
          <w:tab w:val="num" w:pos="1440"/>
        </w:tabs>
        <w:ind w:left="1440" w:hanging="360"/>
      </w:pPr>
      <w:rPr>
        <w:rFonts w:ascii="Arial" w:hAnsi="Arial" w:hint="default"/>
      </w:rPr>
    </w:lvl>
    <w:lvl w:ilvl="2" w:tplc="6C5CA0AE" w:tentative="1">
      <w:start w:val="1"/>
      <w:numFmt w:val="bullet"/>
      <w:lvlText w:val="•"/>
      <w:lvlJc w:val="left"/>
      <w:pPr>
        <w:tabs>
          <w:tab w:val="num" w:pos="2160"/>
        </w:tabs>
        <w:ind w:left="2160" w:hanging="360"/>
      </w:pPr>
      <w:rPr>
        <w:rFonts w:ascii="Arial" w:hAnsi="Arial" w:hint="default"/>
      </w:rPr>
    </w:lvl>
    <w:lvl w:ilvl="3" w:tplc="BCCECE0A" w:tentative="1">
      <w:start w:val="1"/>
      <w:numFmt w:val="bullet"/>
      <w:lvlText w:val="•"/>
      <w:lvlJc w:val="left"/>
      <w:pPr>
        <w:tabs>
          <w:tab w:val="num" w:pos="2880"/>
        </w:tabs>
        <w:ind w:left="2880" w:hanging="360"/>
      </w:pPr>
      <w:rPr>
        <w:rFonts w:ascii="Arial" w:hAnsi="Arial" w:hint="default"/>
      </w:rPr>
    </w:lvl>
    <w:lvl w:ilvl="4" w:tplc="FAB45ED8" w:tentative="1">
      <w:start w:val="1"/>
      <w:numFmt w:val="bullet"/>
      <w:lvlText w:val="•"/>
      <w:lvlJc w:val="left"/>
      <w:pPr>
        <w:tabs>
          <w:tab w:val="num" w:pos="3600"/>
        </w:tabs>
        <w:ind w:left="3600" w:hanging="360"/>
      </w:pPr>
      <w:rPr>
        <w:rFonts w:ascii="Arial" w:hAnsi="Arial" w:hint="default"/>
      </w:rPr>
    </w:lvl>
    <w:lvl w:ilvl="5" w:tplc="1892186C" w:tentative="1">
      <w:start w:val="1"/>
      <w:numFmt w:val="bullet"/>
      <w:lvlText w:val="•"/>
      <w:lvlJc w:val="left"/>
      <w:pPr>
        <w:tabs>
          <w:tab w:val="num" w:pos="4320"/>
        </w:tabs>
        <w:ind w:left="4320" w:hanging="360"/>
      </w:pPr>
      <w:rPr>
        <w:rFonts w:ascii="Arial" w:hAnsi="Arial" w:hint="default"/>
      </w:rPr>
    </w:lvl>
    <w:lvl w:ilvl="6" w:tplc="337C711A" w:tentative="1">
      <w:start w:val="1"/>
      <w:numFmt w:val="bullet"/>
      <w:lvlText w:val="•"/>
      <w:lvlJc w:val="left"/>
      <w:pPr>
        <w:tabs>
          <w:tab w:val="num" w:pos="5040"/>
        </w:tabs>
        <w:ind w:left="5040" w:hanging="360"/>
      </w:pPr>
      <w:rPr>
        <w:rFonts w:ascii="Arial" w:hAnsi="Arial" w:hint="default"/>
      </w:rPr>
    </w:lvl>
    <w:lvl w:ilvl="7" w:tplc="72F0044C" w:tentative="1">
      <w:start w:val="1"/>
      <w:numFmt w:val="bullet"/>
      <w:lvlText w:val="•"/>
      <w:lvlJc w:val="left"/>
      <w:pPr>
        <w:tabs>
          <w:tab w:val="num" w:pos="5760"/>
        </w:tabs>
        <w:ind w:left="5760" w:hanging="360"/>
      </w:pPr>
      <w:rPr>
        <w:rFonts w:ascii="Arial" w:hAnsi="Arial" w:hint="default"/>
      </w:rPr>
    </w:lvl>
    <w:lvl w:ilvl="8" w:tplc="1F9ADB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D67A6"/>
    <w:multiLevelType w:val="hybridMultilevel"/>
    <w:tmpl w:val="84C287D4"/>
    <w:lvl w:ilvl="0" w:tplc="8708BECA">
      <w:start w:val="1"/>
      <w:numFmt w:val="bullet"/>
      <w:pStyle w:val="ListParagraph"/>
      <w:lvlText w:val=""/>
      <w:lvlJc w:val="left"/>
      <w:pPr>
        <w:ind w:left="720" w:hanging="360"/>
      </w:pPr>
      <w:rPr>
        <w:rFonts w:ascii="Symbol" w:hAnsi="Symbol" w:hint="default"/>
      </w:rPr>
    </w:lvl>
    <w:lvl w:ilvl="1" w:tplc="AF90A2A8">
      <w:numFmt w:val="bullet"/>
      <w:lvlText w:val="-"/>
      <w:lvlJc w:val="left"/>
      <w:pPr>
        <w:ind w:left="1440" w:hanging="360"/>
      </w:pPr>
      <w:rPr>
        <w:rFonts w:ascii="Arial Narrow" w:eastAsiaTheme="majorEastAsia" w:hAnsi="Arial Narrow"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430CE"/>
    <w:multiLevelType w:val="hybridMultilevel"/>
    <w:tmpl w:val="6D5E28B0"/>
    <w:lvl w:ilvl="0" w:tplc="61D8F1DC">
      <w:start w:val="1"/>
      <w:numFmt w:val="decimal"/>
      <w:lvlText w:val="%1."/>
      <w:lvlJc w:val="left"/>
      <w:pPr>
        <w:tabs>
          <w:tab w:val="num" w:pos="360"/>
        </w:tabs>
        <w:ind w:left="360" w:hanging="360"/>
      </w:pPr>
      <w:rPr>
        <w:rFonts w:ascii="Arial" w:hAnsi="Arial" w:cs="Times New Roman"/>
        <w:b w:val="0"/>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E34238"/>
    <w:multiLevelType w:val="hybridMultilevel"/>
    <w:tmpl w:val="27C03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277D82"/>
    <w:multiLevelType w:val="multilevel"/>
    <w:tmpl w:val="5B32F2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BC6E4A"/>
    <w:multiLevelType w:val="hybridMultilevel"/>
    <w:tmpl w:val="CC9A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8E322E1"/>
    <w:multiLevelType w:val="hybridMultilevel"/>
    <w:tmpl w:val="A58C6B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AF22442"/>
    <w:multiLevelType w:val="hybridMultilevel"/>
    <w:tmpl w:val="E6606DF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3B7B88"/>
    <w:multiLevelType w:val="hybridMultilevel"/>
    <w:tmpl w:val="8308350A"/>
    <w:lvl w:ilvl="0" w:tplc="0C090001">
      <w:start w:val="1"/>
      <w:numFmt w:val="bullet"/>
      <w:lvlText w:val=""/>
      <w:lvlJc w:val="left"/>
      <w:pPr>
        <w:ind w:left="720" w:hanging="360"/>
      </w:pPr>
      <w:rPr>
        <w:rFonts w:ascii="Symbol" w:hAnsi="Symbol" w:hint="default"/>
      </w:rPr>
    </w:lvl>
    <w:lvl w:ilvl="1" w:tplc="77BCECE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6B4AB5"/>
    <w:multiLevelType w:val="hybridMultilevel"/>
    <w:tmpl w:val="7578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B3542C"/>
    <w:multiLevelType w:val="hybridMultilevel"/>
    <w:tmpl w:val="D7D253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447F55"/>
    <w:multiLevelType w:val="hybridMultilevel"/>
    <w:tmpl w:val="864697A0"/>
    <w:lvl w:ilvl="0" w:tplc="04090001">
      <w:start w:val="1"/>
      <w:numFmt w:val="bullet"/>
      <w:lvlText w:val=""/>
      <w:lvlJc w:val="left"/>
      <w:pPr>
        <w:tabs>
          <w:tab w:val="num" w:pos="776"/>
        </w:tabs>
        <w:ind w:left="776" w:hanging="360"/>
      </w:pPr>
      <w:rPr>
        <w:rFonts w:ascii="Symbol" w:hAnsi="Symbol" w:hint="default"/>
      </w:rPr>
    </w:lvl>
    <w:lvl w:ilvl="1" w:tplc="04090003">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6" w15:restartNumberingAfterBreak="0">
    <w:nsid w:val="7D893430"/>
    <w:multiLevelType w:val="hybridMultilevel"/>
    <w:tmpl w:val="9F48FEC6"/>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7"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4"/>
  </w:num>
  <w:num w:numId="2">
    <w:abstractNumId w:val="20"/>
  </w:num>
  <w:num w:numId="3">
    <w:abstractNumId w:val="21"/>
  </w:num>
  <w:num w:numId="4">
    <w:abstractNumId w:val="0"/>
  </w:num>
  <w:num w:numId="5">
    <w:abstractNumId w:val="34"/>
  </w:num>
  <w:num w:numId="6">
    <w:abstractNumId w:val="8"/>
  </w:num>
  <w:num w:numId="7">
    <w:abstractNumId w:val="12"/>
  </w:num>
  <w:num w:numId="8">
    <w:abstractNumId w:val="25"/>
  </w:num>
  <w:num w:numId="9">
    <w:abstractNumId w:val="4"/>
  </w:num>
  <w:num w:numId="10">
    <w:abstractNumId w:val="18"/>
  </w:num>
  <w:num w:numId="11">
    <w:abstractNumId w:val="7"/>
  </w:num>
  <w:num w:numId="12">
    <w:abstractNumId w:val="6"/>
  </w:num>
  <w:num w:numId="13">
    <w:abstractNumId w:val="17"/>
  </w:num>
  <w:num w:numId="14">
    <w:abstractNumId w:val="36"/>
  </w:num>
  <w:num w:numId="15">
    <w:abstractNumId w:val="24"/>
  </w:num>
  <w:num w:numId="16">
    <w:abstractNumId w:val="15"/>
  </w:num>
  <w:num w:numId="17">
    <w:abstractNumId w:val="13"/>
  </w:num>
  <w:num w:numId="18">
    <w:abstractNumId w:val="30"/>
  </w:num>
  <w:num w:numId="19">
    <w:abstractNumId w:val="26"/>
  </w:num>
  <w:num w:numId="20">
    <w:abstractNumId w:val="32"/>
  </w:num>
  <w:num w:numId="21">
    <w:abstractNumId w:val="5"/>
  </w:num>
  <w:num w:numId="22">
    <w:abstractNumId w:val="37"/>
  </w:num>
  <w:num w:numId="23">
    <w:abstractNumId w:val="33"/>
  </w:num>
  <w:num w:numId="24">
    <w:abstractNumId w:val="35"/>
  </w:num>
  <w:num w:numId="25">
    <w:abstractNumId w:val="29"/>
  </w:num>
  <w:num w:numId="26">
    <w:abstractNumId w:val="16"/>
  </w:num>
  <w:num w:numId="27">
    <w:abstractNumId w:val="34"/>
  </w:num>
  <w:num w:numId="28">
    <w:abstractNumId w:val="34"/>
  </w:num>
  <w:num w:numId="29">
    <w:abstractNumId w:val="14"/>
  </w:num>
  <w:num w:numId="30">
    <w:abstractNumId w:val="34"/>
  </w:num>
  <w:num w:numId="31">
    <w:abstractNumId w:val="34"/>
  </w:num>
  <w:num w:numId="32">
    <w:abstractNumId w:val="34"/>
  </w:num>
  <w:num w:numId="33">
    <w:abstractNumId w:val="2"/>
  </w:num>
  <w:num w:numId="34">
    <w:abstractNumId w:val="23"/>
  </w:num>
  <w:num w:numId="35">
    <w:abstractNumId w:val="3"/>
  </w:num>
  <w:num w:numId="36">
    <w:abstractNumId w:val="1"/>
  </w:num>
  <w:num w:numId="37">
    <w:abstractNumId w:val="10"/>
  </w:num>
  <w:num w:numId="38">
    <w:abstractNumId w:val="11"/>
  </w:num>
  <w:num w:numId="39">
    <w:abstractNumId w:val="9"/>
  </w:num>
  <w:num w:numId="4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7"/>
  </w:num>
  <w:num w:numId="43">
    <w:abstractNumId w:val="22"/>
  </w:num>
  <w:num w:numId="44">
    <w:abstractNumId w:val="28"/>
  </w:num>
  <w:num w:numId="45">
    <w:abstractNumId w:val="19"/>
  </w:num>
  <w:num w:numId="46">
    <w:abstractNumId w:val="34"/>
  </w:num>
  <w:num w:numId="47">
    <w:abstractNumId w:val="34"/>
  </w:num>
  <w:num w:numId="48">
    <w:abstractNumId w:val="34"/>
  </w:num>
  <w:num w:numId="4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07B9"/>
    <w:rsid w:val="0000110B"/>
    <w:rsid w:val="0000146C"/>
    <w:rsid w:val="00001AB8"/>
    <w:rsid w:val="00002213"/>
    <w:rsid w:val="00003499"/>
    <w:rsid w:val="000039B7"/>
    <w:rsid w:val="000056B9"/>
    <w:rsid w:val="0000639A"/>
    <w:rsid w:val="00007871"/>
    <w:rsid w:val="00010122"/>
    <w:rsid w:val="00010C1F"/>
    <w:rsid w:val="00011060"/>
    <w:rsid w:val="00011141"/>
    <w:rsid w:val="00011236"/>
    <w:rsid w:val="00011AFF"/>
    <w:rsid w:val="00012496"/>
    <w:rsid w:val="00013247"/>
    <w:rsid w:val="00013872"/>
    <w:rsid w:val="00013C89"/>
    <w:rsid w:val="000156E5"/>
    <w:rsid w:val="00015886"/>
    <w:rsid w:val="000162EF"/>
    <w:rsid w:val="00016C97"/>
    <w:rsid w:val="00016F7B"/>
    <w:rsid w:val="00016FBB"/>
    <w:rsid w:val="000175F6"/>
    <w:rsid w:val="000207C9"/>
    <w:rsid w:val="00020889"/>
    <w:rsid w:val="00021BC2"/>
    <w:rsid w:val="0002225F"/>
    <w:rsid w:val="0002248B"/>
    <w:rsid w:val="000225D3"/>
    <w:rsid w:val="000226D6"/>
    <w:rsid w:val="0002301D"/>
    <w:rsid w:val="00023029"/>
    <w:rsid w:val="00023351"/>
    <w:rsid w:val="00023763"/>
    <w:rsid w:val="00023786"/>
    <w:rsid w:val="00023AB6"/>
    <w:rsid w:val="00024EB5"/>
    <w:rsid w:val="00025355"/>
    <w:rsid w:val="0002547B"/>
    <w:rsid w:val="0002568C"/>
    <w:rsid w:val="00025E7F"/>
    <w:rsid w:val="000274B8"/>
    <w:rsid w:val="00027626"/>
    <w:rsid w:val="0003013B"/>
    <w:rsid w:val="000316D6"/>
    <w:rsid w:val="000317E2"/>
    <w:rsid w:val="00032DE0"/>
    <w:rsid w:val="00032EAA"/>
    <w:rsid w:val="00033234"/>
    <w:rsid w:val="00033568"/>
    <w:rsid w:val="00033801"/>
    <w:rsid w:val="00033863"/>
    <w:rsid w:val="000346C0"/>
    <w:rsid w:val="00034FB1"/>
    <w:rsid w:val="00035D75"/>
    <w:rsid w:val="00035DC0"/>
    <w:rsid w:val="00036829"/>
    <w:rsid w:val="000369BD"/>
    <w:rsid w:val="00036C1A"/>
    <w:rsid w:val="00036F36"/>
    <w:rsid w:val="00037686"/>
    <w:rsid w:val="00037E5A"/>
    <w:rsid w:val="00040895"/>
    <w:rsid w:val="000410A0"/>
    <w:rsid w:val="0004148A"/>
    <w:rsid w:val="000415E2"/>
    <w:rsid w:val="00041BE8"/>
    <w:rsid w:val="00041DE2"/>
    <w:rsid w:val="00041EC4"/>
    <w:rsid w:val="00042D93"/>
    <w:rsid w:val="00043255"/>
    <w:rsid w:val="000435EE"/>
    <w:rsid w:val="00043B14"/>
    <w:rsid w:val="00043C37"/>
    <w:rsid w:val="00043D3C"/>
    <w:rsid w:val="00044498"/>
    <w:rsid w:val="00045017"/>
    <w:rsid w:val="000454E3"/>
    <w:rsid w:val="00045A2B"/>
    <w:rsid w:val="0004648B"/>
    <w:rsid w:val="0004656A"/>
    <w:rsid w:val="000466AE"/>
    <w:rsid w:val="000466C3"/>
    <w:rsid w:val="000468C4"/>
    <w:rsid w:val="0004698F"/>
    <w:rsid w:val="00046D64"/>
    <w:rsid w:val="00047E3C"/>
    <w:rsid w:val="00047E41"/>
    <w:rsid w:val="00050486"/>
    <w:rsid w:val="000508C2"/>
    <w:rsid w:val="000510D8"/>
    <w:rsid w:val="00051815"/>
    <w:rsid w:val="000518F8"/>
    <w:rsid w:val="00051BBB"/>
    <w:rsid w:val="00051C16"/>
    <w:rsid w:val="00052881"/>
    <w:rsid w:val="00052B0D"/>
    <w:rsid w:val="000539D0"/>
    <w:rsid w:val="00053DDF"/>
    <w:rsid w:val="00053E8F"/>
    <w:rsid w:val="00054621"/>
    <w:rsid w:val="000546D7"/>
    <w:rsid w:val="00054A8D"/>
    <w:rsid w:val="00054F0B"/>
    <w:rsid w:val="000551D2"/>
    <w:rsid w:val="000554E9"/>
    <w:rsid w:val="00056ECF"/>
    <w:rsid w:val="00057A17"/>
    <w:rsid w:val="000604DF"/>
    <w:rsid w:val="00060990"/>
    <w:rsid w:val="00061B43"/>
    <w:rsid w:val="00061B78"/>
    <w:rsid w:val="00061DDE"/>
    <w:rsid w:val="00062324"/>
    <w:rsid w:val="000637DD"/>
    <w:rsid w:val="0006437E"/>
    <w:rsid w:val="0006453D"/>
    <w:rsid w:val="0006487A"/>
    <w:rsid w:val="000653B5"/>
    <w:rsid w:val="00065585"/>
    <w:rsid w:val="00065B20"/>
    <w:rsid w:val="00066360"/>
    <w:rsid w:val="0006645D"/>
    <w:rsid w:val="00066AF8"/>
    <w:rsid w:val="000674D2"/>
    <w:rsid w:val="00067BCD"/>
    <w:rsid w:val="00071248"/>
    <w:rsid w:val="0007126B"/>
    <w:rsid w:val="0007179F"/>
    <w:rsid w:val="00071C7A"/>
    <w:rsid w:val="000720B9"/>
    <w:rsid w:val="000720BD"/>
    <w:rsid w:val="000722CA"/>
    <w:rsid w:val="00072ABC"/>
    <w:rsid w:val="00072D50"/>
    <w:rsid w:val="000737F7"/>
    <w:rsid w:val="00073A64"/>
    <w:rsid w:val="00073AA7"/>
    <w:rsid w:val="00073BB8"/>
    <w:rsid w:val="00073CB6"/>
    <w:rsid w:val="00073D07"/>
    <w:rsid w:val="00074389"/>
    <w:rsid w:val="000745E6"/>
    <w:rsid w:val="00074D44"/>
    <w:rsid w:val="00074FCE"/>
    <w:rsid w:val="000760EA"/>
    <w:rsid w:val="000762B9"/>
    <w:rsid w:val="0007672F"/>
    <w:rsid w:val="00076B54"/>
    <w:rsid w:val="00076F74"/>
    <w:rsid w:val="000774F0"/>
    <w:rsid w:val="000779BC"/>
    <w:rsid w:val="00080323"/>
    <w:rsid w:val="00080909"/>
    <w:rsid w:val="000810EC"/>
    <w:rsid w:val="000812AC"/>
    <w:rsid w:val="000812CA"/>
    <w:rsid w:val="00081E63"/>
    <w:rsid w:val="0008258D"/>
    <w:rsid w:val="00083542"/>
    <w:rsid w:val="00083CAA"/>
    <w:rsid w:val="00083E99"/>
    <w:rsid w:val="0008465E"/>
    <w:rsid w:val="0008472C"/>
    <w:rsid w:val="00084FA8"/>
    <w:rsid w:val="000856C5"/>
    <w:rsid w:val="00085C31"/>
    <w:rsid w:val="000864D8"/>
    <w:rsid w:val="0008673B"/>
    <w:rsid w:val="00086AEA"/>
    <w:rsid w:val="00086DC8"/>
    <w:rsid w:val="000870F3"/>
    <w:rsid w:val="00087CF1"/>
    <w:rsid w:val="00090054"/>
    <w:rsid w:val="00090184"/>
    <w:rsid w:val="000902D9"/>
    <w:rsid w:val="0009055E"/>
    <w:rsid w:val="00090C7E"/>
    <w:rsid w:val="000911AC"/>
    <w:rsid w:val="00091787"/>
    <w:rsid w:val="00092600"/>
    <w:rsid w:val="0009262B"/>
    <w:rsid w:val="00092674"/>
    <w:rsid w:val="000931EA"/>
    <w:rsid w:val="00093310"/>
    <w:rsid w:val="000940C2"/>
    <w:rsid w:val="0009445A"/>
    <w:rsid w:val="0009445C"/>
    <w:rsid w:val="000947B8"/>
    <w:rsid w:val="00094B7B"/>
    <w:rsid w:val="000950A9"/>
    <w:rsid w:val="00095200"/>
    <w:rsid w:val="0009556C"/>
    <w:rsid w:val="00095FE5"/>
    <w:rsid w:val="00096284"/>
    <w:rsid w:val="00096551"/>
    <w:rsid w:val="00096791"/>
    <w:rsid w:val="000969F5"/>
    <w:rsid w:val="00096EAD"/>
    <w:rsid w:val="00097E6B"/>
    <w:rsid w:val="000A00F8"/>
    <w:rsid w:val="000A0341"/>
    <w:rsid w:val="000A1BC0"/>
    <w:rsid w:val="000A1C29"/>
    <w:rsid w:val="000A2291"/>
    <w:rsid w:val="000A2315"/>
    <w:rsid w:val="000A2F9E"/>
    <w:rsid w:val="000A3BD4"/>
    <w:rsid w:val="000A3E47"/>
    <w:rsid w:val="000A3FBE"/>
    <w:rsid w:val="000A4484"/>
    <w:rsid w:val="000A4A67"/>
    <w:rsid w:val="000A4D8A"/>
    <w:rsid w:val="000A510F"/>
    <w:rsid w:val="000A51DD"/>
    <w:rsid w:val="000A522B"/>
    <w:rsid w:val="000A554B"/>
    <w:rsid w:val="000A59BB"/>
    <w:rsid w:val="000A5AC5"/>
    <w:rsid w:val="000A5D93"/>
    <w:rsid w:val="000A5FE2"/>
    <w:rsid w:val="000A6039"/>
    <w:rsid w:val="000A648A"/>
    <w:rsid w:val="000A7453"/>
    <w:rsid w:val="000A7938"/>
    <w:rsid w:val="000A7D08"/>
    <w:rsid w:val="000B0121"/>
    <w:rsid w:val="000B0670"/>
    <w:rsid w:val="000B0E75"/>
    <w:rsid w:val="000B11F6"/>
    <w:rsid w:val="000B12C8"/>
    <w:rsid w:val="000B1B65"/>
    <w:rsid w:val="000B1DC7"/>
    <w:rsid w:val="000B20E7"/>
    <w:rsid w:val="000B25FD"/>
    <w:rsid w:val="000B2947"/>
    <w:rsid w:val="000B2CDE"/>
    <w:rsid w:val="000B2DCB"/>
    <w:rsid w:val="000B3441"/>
    <w:rsid w:val="000B36E2"/>
    <w:rsid w:val="000B3D3F"/>
    <w:rsid w:val="000B3ED1"/>
    <w:rsid w:val="000B4AD8"/>
    <w:rsid w:val="000B500F"/>
    <w:rsid w:val="000B553B"/>
    <w:rsid w:val="000B5686"/>
    <w:rsid w:val="000B5905"/>
    <w:rsid w:val="000B5CE0"/>
    <w:rsid w:val="000B6A5D"/>
    <w:rsid w:val="000B6AE3"/>
    <w:rsid w:val="000B6CAC"/>
    <w:rsid w:val="000B701E"/>
    <w:rsid w:val="000B7612"/>
    <w:rsid w:val="000B78AE"/>
    <w:rsid w:val="000B7D68"/>
    <w:rsid w:val="000C0289"/>
    <w:rsid w:val="000C0374"/>
    <w:rsid w:val="000C0F74"/>
    <w:rsid w:val="000C114B"/>
    <w:rsid w:val="000C1875"/>
    <w:rsid w:val="000C1FCD"/>
    <w:rsid w:val="000C250F"/>
    <w:rsid w:val="000C27A3"/>
    <w:rsid w:val="000C2890"/>
    <w:rsid w:val="000C2EA0"/>
    <w:rsid w:val="000C3516"/>
    <w:rsid w:val="000C3924"/>
    <w:rsid w:val="000C3CB7"/>
    <w:rsid w:val="000C3DF9"/>
    <w:rsid w:val="000C3F81"/>
    <w:rsid w:val="000C3FEE"/>
    <w:rsid w:val="000C4304"/>
    <w:rsid w:val="000C4CF2"/>
    <w:rsid w:val="000C5197"/>
    <w:rsid w:val="000C6713"/>
    <w:rsid w:val="000C6B32"/>
    <w:rsid w:val="000C7B30"/>
    <w:rsid w:val="000C7E2C"/>
    <w:rsid w:val="000D109B"/>
    <w:rsid w:val="000D16E1"/>
    <w:rsid w:val="000D1BFC"/>
    <w:rsid w:val="000D1D5D"/>
    <w:rsid w:val="000D281A"/>
    <w:rsid w:val="000D2848"/>
    <w:rsid w:val="000D2B01"/>
    <w:rsid w:val="000D2D95"/>
    <w:rsid w:val="000D2F47"/>
    <w:rsid w:val="000D326A"/>
    <w:rsid w:val="000D33DE"/>
    <w:rsid w:val="000D3A4B"/>
    <w:rsid w:val="000D3BBC"/>
    <w:rsid w:val="000D5063"/>
    <w:rsid w:val="000D51FB"/>
    <w:rsid w:val="000D532E"/>
    <w:rsid w:val="000D54DC"/>
    <w:rsid w:val="000D5568"/>
    <w:rsid w:val="000D566B"/>
    <w:rsid w:val="000D7B96"/>
    <w:rsid w:val="000E0640"/>
    <w:rsid w:val="000E0EFF"/>
    <w:rsid w:val="000E135D"/>
    <w:rsid w:val="000E26AC"/>
    <w:rsid w:val="000E2BDF"/>
    <w:rsid w:val="000E36CC"/>
    <w:rsid w:val="000E3D73"/>
    <w:rsid w:val="000E434E"/>
    <w:rsid w:val="000E47AF"/>
    <w:rsid w:val="000E4841"/>
    <w:rsid w:val="000E52BD"/>
    <w:rsid w:val="000E558F"/>
    <w:rsid w:val="000E566E"/>
    <w:rsid w:val="000E5894"/>
    <w:rsid w:val="000E5BB0"/>
    <w:rsid w:val="000E65ED"/>
    <w:rsid w:val="000E703B"/>
    <w:rsid w:val="000F00BA"/>
    <w:rsid w:val="000F0231"/>
    <w:rsid w:val="000F06EC"/>
    <w:rsid w:val="000F1576"/>
    <w:rsid w:val="000F28FF"/>
    <w:rsid w:val="000F2AE7"/>
    <w:rsid w:val="000F2B81"/>
    <w:rsid w:val="000F2C11"/>
    <w:rsid w:val="000F316A"/>
    <w:rsid w:val="000F3C74"/>
    <w:rsid w:val="000F3FB7"/>
    <w:rsid w:val="000F4BB8"/>
    <w:rsid w:val="000F4FA9"/>
    <w:rsid w:val="000F53FB"/>
    <w:rsid w:val="000F63E7"/>
    <w:rsid w:val="000F650F"/>
    <w:rsid w:val="000F66D1"/>
    <w:rsid w:val="000F7127"/>
    <w:rsid w:val="000F77F7"/>
    <w:rsid w:val="000F7B54"/>
    <w:rsid w:val="001000B3"/>
    <w:rsid w:val="00100423"/>
    <w:rsid w:val="00100BD0"/>
    <w:rsid w:val="00100F8A"/>
    <w:rsid w:val="00101E98"/>
    <w:rsid w:val="00102175"/>
    <w:rsid w:val="00102594"/>
    <w:rsid w:val="00102EB2"/>
    <w:rsid w:val="00103D81"/>
    <w:rsid w:val="0010452E"/>
    <w:rsid w:val="00104B5E"/>
    <w:rsid w:val="00104D05"/>
    <w:rsid w:val="001057AE"/>
    <w:rsid w:val="00105AE2"/>
    <w:rsid w:val="001060C6"/>
    <w:rsid w:val="001061CC"/>
    <w:rsid w:val="0010666B"/>
    <w:rsid w:val="00106B80"/>
    <w:rsid w:val="00107089"/>
    <w:rsid w:val="00107315"/>
    <w:rsid w:val="00107624"/>
    <w:rsid w:val="00107781"/>
    <w:rsid w:val="001078A4"/>
    <w:rsid w:val="00107E25"/>
    <w:rsid w:val="00110266"/>
    <w:rsid w:val="0011032E"/>
    <w:rsid w:val="00111717"/>
    <w:rsid w:val="00112C7D"/>
    <w:rsid w:val="0011348B"/>
    <w:rsid w:val="001134FB"/>
    <w:rsid w:val="00113D00"/>
    <w:rsid w:val="001147D1"/>
    <w:rsid w:val="00115982"/>
    <w:rsid w:val="00116054"/>
    <w:rsid w:val="0011622E"/>
    <w:rsid w:val="00116C53"/>
    <w:rsid w:val="00116C76"/>
    <w:rsid w:val="00116D3B"/>
    <w:rsid w:val="00116DA6"/>
    <w:rsid w:val="001206B8"/>
    <w:rsid w:val="001207CE"/>
    <w:rsid w:val="001214DF"/>
    <w:rsid w:val="00121799"/>
    <w:rsid w:val="001218EB"/>
    <w:rsid w:val="00121D1B"/>
    <w:rsid w:val="00122198"/>
    <w:rsid w:val="0012226E"/>
    <w:rsid w:val="001222FC"/>
    <w:rsid w:val="00122903"/>
    <w:rsid w:val="00123493"/>
    <w:rsid w:val="00123902"/>
    <w:rsid w:val="00123EAB"/>
    <w:rsid w:val="001246FB"/>
    <w:rsid w:val="00124971"/>
    <w:rsid w:val="00124A51"/>
    <w:rsid w:val="00124E90"/>
    <w:rsid w:val="00125311"/>
    <w:rsid w:val="00125F0B"/>
    <w:rsid w:val="00126621"/>
    <w:rsid w:val="00126922"/>
    <w:rsid w:val="00126B1D"/>
    <w:rsid w:val="001278F6"/>
    <w:rsid w:val="00127F06"/>
    <w:rsid w:val="001301E9"/>
    <w:rsid w:val="0013046D"/>
    <w:rsid w:val="001309F8"/>
    <w:rsid w:val="00130B38"/>
    <w:rsid w:val="00131358"/>
    <w:rsid w:val="00131596"/>
    <w:rsid w:val="00131D71"/>
    <w:rsid w:val="00131D82"/>
    <w:rsid w:val="00132B22"/>
    <w:rsid w:val="0013307C"/>
    <w:rsid w:val="00133682"/>
    <w:rsid w:val="00133CA8"/>
    <w:rsid w:val="00133D36"/>
    <w:rsid w:val="001347FE"/>
    <w:rsid w:val="00134B09"/>
    <w:rsid w:val="001356C7"/>
    <w:rsid w:val="001359B3"/>
    <w:rsid w:val="00136520"/>
    <w:rsid w:val="00136A47"/>
    <w:rsid w:val="00137645"/>
    <w:rsid w:val="0013794D"/>
    <w:rsid w:val="0014015A"/>
    <w:rsid w:val="00140E99"/>
    <w:rsid w:val="00140F11"/>
    <w:rsid w:val="00140FC8"/>
    <w:rsid w:val="00141635"/>
    <w:rsid w:val="00141D09"/>
    <w:rsid w:val="0014207B"/>
    <w:rsid w:val="0014385F"/>
    <w:rsid w:val="00143F67"/>
    <w:rsid w:val="001441DA"/>
    <w:rsid w:val="00145234"/>
    <w:rsid w:val="00145540"/>
    <w:rsid w:val="00145644"/>
    <w:rsid w:val="001456B0"/>
    <w:rsid w:val="0014588E"/>
    <w:rsid w:val="00145B7B"/>
    <w:rsid w:val="00146E17"/>
    <w:rsid w:val="00146E7F"/>
    <w:rsid w:val="001472DE"/>
    <w:rsid w:val="0014749D"/>
    <w:rsid w:val="00147629"/>
    <w:rsid w:val="00147DF8"/>
    <w:rsid w:val="00151932"/>
    <w:rsid w:val="00151B55"/>
    <w:rsid w:val="00152348"/>
    <w:rsid w:val="0015260F"/>
    <w:rsid w:val="0015475B"/>
    <w:rsid w:val="001547AB"/>
    <w:rsid w:val="00156A5A"/>
    <w:rsid w:val="00156AD6"/>
    <w:rsid w:val="00156F8F"/>
    <w:rsid w:val="00157130"/>
    <w:rsid w:val="00157439"/>
    <w:rsid w:val="001576B1"/>
    <w:rsid w:val="0016047B"/>
    <w:rsid w:val="00160A4C"/>
    <w:rsid w:val="001619BA"/>
    <w:rsid w:val="00161A8A"/>
    <w:rsid w:val="001622A1"/>
    <w:rsid w:val="00162878"/>
    <w:rsid w:val="00162913"/>
    <w:rsid w:val="00162ACF"/>
    <w:rsid w:val="00162FDA"/>
    <w:rsid w:val="00163029"/>
    <w:rsid w:val="00163E81"/>
    <w:rsid w:val="00163EFF"/>
    <w:rsid w:val="00163F66"/>
    <w:rsid w:val="00164477"/>
    <w:rsid w:val="0016478E"/>
    <w:rsid w:val="00164AE2"/>
    <w:rsid w:val="00164FEC"/>
    <w:rsid w:val="00165010"/>
    <w:rsid w:val="001659AA"/>
    <w:rsid w:val="00165EC4"/>
    <w:rsid w:val="001661FB"/>
    <w:rsid w:val="0016682C"/>
    <w:rsid w:val="001671A0"/>
    <w:rsid w:val="00167455"/>
    <w:rsid w:val="0016746C"/>
    <w:rsid w:val="0016767F"/>
    <w:rsid w:val="0016798A"/>
    <w:rsid w:val="0017007A"/>
    <w:rsid w:val="001706CB"/>
    <w:rsid w:val="00170A51"/>
    <w:rsid w:val="0017164D"/>
    <w:rsid w:val="00171E98"/>
    <w:rsid w:val="0017251A"/>
    <w:rsid w:val="00172559"/>
    <w:rsid w:val="00172A76"/>
    <w:rsid w:val="00173565"/>
    <w:rsid w:val="00173B07"/>
    <w:rsid w:val="00174AFF"/>
    <w:rsid w:val="00174EB0"/>
    <w:rsid w:val="001751BF"/>
    <w:rsid w:val="001751FA"/>
    <w:rsid w:val="001754F8"/>
    <w:rsid w:val="0017587E"/>
    <w:rsid w:val="00176646"/>
    <w:rsid w:val="00176EFB"/>
    <w:rsid w:val="00177C48"/>
    <w:rsid w:val="0018019B"/>
    <w:rsid w:val="0018073A"/>
    <w:rsid w:val="00180BA5"/>
    <w:rsid w:val="00180BEB"/>
    <w:rsid w:val="001819C6"/>
    <w:rsid w:val="00181C10"/>
    <w:rsid w:val="00181D9C"/>
    <w:rsid w:val="0018322F"/>
    <w:rsid w:val="001837FF"/>
    <w:rsid w:val="001846DF"/>
    <w:rsid w:val="00184B0E"/>
    <w:rsid w:val="00184DEE"/>
    <w:rsid w:val="0018752F"/>
    <w:rsid w:val="00187D40"/>
    <w:rsid w:val="0019176D"/>
    <w:rsid w:val="00191A49"/>
    <w:rsid w:val="00191B8E"/>
    <w:rsid w:val="00192CC6"/>
    <w:rsid w:val="001934B9"/>
    <w:rsid w:val="00193838"/>
    <w:rsid w:val="00194410"/>
    <w:rsid w:val="00194AD8"/>
    <w:rsid w:val="00195222"/>
    <w:rsid w:val="00195452"/>
    <w:rsid w:val="00195DD3"/>
    <w:rsid w:val="001965AB"/>
    <w:rsid w:val="00196E8A"/>
    <w:rsid w:val="00196EAC"/>
    <w:rsid w:val="0019716B"/>
    <w:rsid w:val="001975D8"/>
    <w:rsid w:val="00197A0F"/>
    <w:rsid w:val="001A02E1"/>
    <w:rsid w:val="001A0338"/>
    <w:rsid w:val="001A0E78"/>
    <w:rsid w:val="001A1062"/>
    <w:rsid w:val="001A178E"/>
    <w:rsid w:val="001A1C05"/>
    <w:rsid w:val="001A23A4"/>
    <w:rsid w:val="001A297E"/>
    <w:rsid w:val="001A3F28"/>
    <w:rsid w:val="001A4147"/>
    <w:rsid w:val="001A43FA"/>
    <w:rsid w:val="001A4654"/>
    <w:rsid w:val="001A47C5"/>
    <w:rsid w:val="001A59FB"/>
    <w:rsid w:val="001A5D87"/>
    <w:rsid w:val="001A5E9E"/>
    <w:rsid w:val="001A6354"/>
    <w:rsid w:val="001A6366"/>
    <w:rsid w:val="001A75E4"/>
    <w:rsid w:val="001A7AE8"/>
    <w:rsid w:val="001A7BF3"/>
    <w:rsid w:val="001B09AC"/>
    <w:rsid w:val="001B09D3"/>
    <w:rsid w:val="001B1242"/>
    <w:rsid w:val="001B204E"/>
    <w:rsid w:val="001B2372"/>
    <w:rsid w:val="001B307C"/>
    <w:rsid w:val="001B334A"/>
    <w:rsid w:val="001B3443"/>
    <w:rsid w:val="001B43BC"/>
    <w:rsid w:val="001B4525"/>
    <w:rsid w:val="001B4D20"/>
    <w:rsid w:val="001B4D3C"/>
    <w:rsid w:val="001B6420"/>
    <w:rsid w:val="001B6687"/>
    <w:rsid w:val="001B7866"/>
    <w:rsid w:val="001B7D4B"/>
    <w:rsid w:val="001B7F84"/>
    <w:rsid w:val="001C0270"/>
    <w:rsid w:val="001C1074"/>
    <w:rsid w:val="001C110D"/>
    <w:rsid w:val="001C1B38"/>
    <w:rsid w:val="001C21D5"/>
    <w:rsid w:val="001C263B"/>
    <w:rsid w:val="001C2771"/>
    <w:rsid w:val="001C2A9B"/>
    <w:rsid w:val="001C3336"/>
    <w:rsid w:val="001C3955"/>
    <w:rsid w:val="001C3DD6"/>
    <w:rsid w:val="001C4299"/>
    <w:rsid w:val="001C47A7"/>
    <w:rsid w:val="001C4874"/>
    <w:rsid w:val="001C4FB3"/>
    <w:rsid w:val="001C5F94"/>
    <w:rsid w:val="001C65B6"/>
    <w:rsid w:val="001C6E66"/>
    <w:rsid w:val="001C6FAC"/>
    <w:rsid w:val="001D0058"/>
    <w:rsid w:val="001D047D"/>
    <w:rsid w:val="001D0D37"/>
    <w:rsid w:val="001D1100"/>
    <w:rsid w:val="001D1391"/>
    <w:rsid w:val="001D1486"/>
    <w:rsid w:val="001D1D16"/>
    <w:rsid w:val="001D201E"/>
    <w:rsid w:val="001D234E"/>
    <w:rsid w:val="001D25D7"/>
    <w:rsid w:val="001D3653"/>
    <w:rsid w:val="001D37B2"/>
    <w:rsid w:val="001D3FF2"/>
    <w:rsid w:val="001D46C4"/>
    <w:rsid w:val="001D50B2"/>
    <w:rsid w:val="001D51A3"/>
    <w:rsid w:val="001D551F"/>
    <w:rsid w:val="001D5701"/>
    <w:rsid w:val="001D57BC"/>
    <w:rsid w:val="001D601A"/>
    <w:rsid w:val="001D610A"/>
    <w:rsid w:val="001D6394"/>
    <w:rsid w:val="001D6CF1"/>
    <w:rsid w:val="001D6D3A"/>
    <w:rsid w:val="001D6DB8"/>
    <w:rsid w:val="001D7133"/>
    <w:rsid w:val="001D71F4"/>
    <w:rsid w:val="001D75E7"/>
    <w:rsid w:val="001D7645"/>
    <w:rsid w:val="001D7C0E"/>
    <w:rsid w:val="001E0D69"/>
    <w:rsid w:val="001E1E86"/>
    <w:rsid w:val="001E1F58"/>
    <w:rsid w:val="001E238E"/>
    <w:rsid w:val="001E2483"/>
    <w:rsid w:val="001E2B1E"/>
    <w:rsid w:val="001E2B98"/>
    <w:rsid w:val="001E2CFF"/>
    <w:rsid w:val="001E2F24"/>
    <w:rsid w:val="001E30D4"/>
    <w:rsid w:val="001E34DF"/>
    <w:rsid w:val="001E403D"/>
    <w:rsid w:val="001E4701"/>
    <w:rsid w:val="001E4A8A"/>
    <w:rsid w:val="001E4AA4"/>
    <w:rsid w:val="001E4F1C"/>
    <w:rsid w:val="001E52EB"/>
    <w:rsid w:val="001E5438"/>
    <w:rsid w:val="001E606B"/>
    <w:rsid w:val="001E61D2"/>
    <w:rsid w:val="001E62ED"/>
    <w:rsid w:val="001E63E3"/>
    <w:rsid w:val="001E64F4"/>
    <w:rsid w:val="001E6D27"/>
    <w:rsid w:val="001E6EE0"/>
    <w:rsid w:val="001E740C"/>
    <w:rsid w:val="001E79C5"/>
    <w:rsid w:val="001E7E8D"/>
    <w:rsid w:val="001F018E"/>
    <w:rsid w:val="001F0FF3"/>
    <w:rsid w:val="001F1235"/>
    <w:rsid w:val="001F16E2"/>
    <w:rsid w:val="001F197A"/>
    <w:rsid w:val="001F1CB3"/>
    <w:rsid w:val="001F38B5"/>
    <w:rsid w:val="001F38B6"/>
    <w:rsid w:val="001F4081"/>
    <w:rsid w:val="001F40EA"/>
    <w:rsid w:val="001F6661"/>
    <w:rsid w:val="001F7361"/>
    <w:rsid w:val="0020005A"/>
    <w:rsid w:val="00200103"/>
    <w:rsid w:val="0020043C"/>
    <w:rsid w:val="00200487"/>
    <w:rsid w:val="002011B0"/>
    <w:rsid w:val="00201849"/>
    <w:rsid w:val="00201E6C"/>
    <w:rsid w:val="002021A7"/>
    <w:rsid w:val="002022DF"/>
    <w:rsid w:val="002025F9"/>
    <w:rsid w:val="00202D73"/>
    <w:rsid w:val="0020306F"/>
    <w:rsid w:val="00203181"/>
    <w:rsid w:val="0020319B"/>
    <w:rsid w:val="00203383"/>
    <w:rsid w:val="00203587"/>
    <w:rsid w:val="00203783"/>
    <w:rsid w:val="0020385F"/>
    <w:rsid w:val="00203A50"/>
    <w:rsid w:val="00204216"/>
    <w:rsid w:val="00204F97"/>
    <w:rsid w:val="00205991"/>
    <w:rsid w:val="0020665A"/>
    <w:rsid w:val="002068A0"/>
    <w:rsid w:val="002069D7"/>
    <w:rsid w:val="00206F07"/>
    <w:rsid w:val="00207021"/>
    <w:rsid w:val="0020732F"/>
    <w:rsid w:val="00207D00"/>
    <w:rsid w:val="00207D9D"/>
    <w:rsid w:val="002105C1"/>
    <w:rsid w:val="0021069F"/>
    <w:rsid w:val="002116FD"/>
    <w:rsid w:val="0021251A"/>
    <w:rsid w:val="00212523"/>
    <w:rsid w:val="00213040"/>
    <w:rsid w:val="002134BE"/>
    <w:rsid w:val="00213B0A"/>
    <w:rsid w:val="00213EF5"/>
    <w:rsid w:val="00214648"/>
    <w:rsid w:val="00214818"/>
    <w:rsid w:val="00214D41"/>
    <w:rsid w:val="00214E70"/>
    <w:rsid w:val="00215331"/>
    <w:rsid w:val="0021572C"/>
    <w:rsid w:val="00215935"/>
    <w:rsid w:val="002166B9"/>
    <w:rsid w:val="00216BF5"/>
    <w:rsid w:val="002177FA"/>
    <w:rsid w:val="00217CB3"/>
    <w:rsid w:val="002200AF"/>
    <w:rsid w:val="002206CA"/>
    <w:rsid w:val="0022087D"/>
    <w:rsid w:val="00221695"/>
    <w:rsid w:val="00222BD6"/>
    <w:rsid w:val="00222BDD"/>
    <w:rsid w:val="00222C6E"/>
    <w:rsid w:val="0022307E"/>
    <w:rsid w:val="00223AF1"/>
    <w:rsid w:val="00223B49"/>
    <w:rsid w:val="00223D5A"/>
    <w:rsid w:val="002244C7"/>
    <w:rsid w:val="00224680"/>
    <w:rsid w:val="00224DD4"/>
    <w:rsid w:val="00224E97"/>
    <w:rsid w:val="00224F99"/>
    <w:rsid w:val="00225031"/>
    <w:rsid w:val="00225FE3"/>
    <w:rsid w:val="0022623C"/>
    <w:rsid w:val="0022655B"/>
    <w:rsid w:val="002270FA"/>
    <w:rsid w:val="002277A8"/>
    <w:rsid w:val="002278A0"/>
    <w:rsid w:val="00227CE0"/>
    <w:rsid w:val="002309CC"/>
    <w:rsid w:val="00230EAC"/>
    <w:rsid w:val="00231BA9"/>
    <w:rsid w:val="0023209F"/>
    <w:rsid w:val="00232301"/>
    <w:rsid w:val="00232AA0"/>
    <w:rsid w:val="00233AE2"/>
    <w:rsid w:val="00233B15"/>
    <w:rsid w:val="00233C01"/>
    <w:rsid w:val="00234053"/>
    <w:rsid w:val="002340FC"/>
    <w:rsid w:val="0023413C"/>
    <w:rsid w:val="002346F0"/>
    <w:rsid w:val="00234E2D"/>
    <w:rsid w:val="00235A58"/>
    <w:rsid w:val="0023629D"/>
    <w:rsid w:val="00236463"/>
    <w:rsid w:val="002371AF"/>
    <w:rsid w:val="00237255"/>
    <w:rsid w:val="00237668"/>
    <w:rsid w:val="00237FD8"/>
    <w:rsid w:val="0024006B"/>
    <w:rsid w:val="00240284"/>
    <w:rsid w:val="0024046D"/>
    <w:rsid w:val="002424AF"/>
    <w:rsid w:val="00242699"/>
    <w:rsid w:val="002427AC"/>
    <w:rsid w:val="002439DC"/>
    <w:rsid w:val="00243E57"/>
    <w:rsid w:val="00243EB6"/>
    <w:rsid w:val="002441D2"/>
    <w:rsid w:val="00244AB0"/>
    <w:rsid w:val="00244D34"/>
    <w:rsid w:val="00244DC8"/>
    <w:rsid w:val="002458BA"/>
    <w:rsid w:val="00245C52"/>
    <w:rsid w:val="00245CE9"/>
    <w:rsid w:val="00245F34"/>
    <w:rsid w:val="002460EE"/>
    <w:rsid w:val="0024636C"/>
    <w:rsid w:val="00246822"/>
    <w:rsid w:val="0024713F"/>
    <w:rsid w:val="00247925"/>
    <w:rsid w:val="00251006"/>
    <w:rsid w:val="00251F7F"/>
    <w:rsid w:val="00252029"/>
    <w:rsid w:val="00252076"/>
    <w:rsid w:val="002524D5"/>
    <w:rsid w:val="0025264A"/>
    <w:rsid w:val="00253A5D"/>
    <w:rsid w:val="00253B1D"/>
    <w:rsid w:val="00253B70"/>
    <w:rsid w:val="002541FB"/>
    <w:rsid w:val="00254288"/>
    <w:rsid w:val="0025456A"/>
    <w:rsid w:val="00254B6F"/>
    <w:rsid w:val="00254DCF"/>
    <w:rsid w:val="0025534B"/>
    <w:rsid w:val="00255397"/>
    <w:rsid w:val="00255983"/>
    <w:rsid w:val="00255BB7"/>
    <w:rsid w:val="00256277"/>
    <w:rsid w:val="00256540"/>
    <w:rsid w:val="00256DF7"/>
    <w:rsid w:val="00257541"/>
    <w:rsid w:val="00257A39"/>
    <w:rsid w:val="00257AC4"/>
    <w:rsid w:val="00257BBE"/>
    <w:rsid w:val="00260118"/>
    <w:rsid w:val="00261A30"/>
    <w:rsid w:val="00261EE7"/>
    <w:rsid w:val="00261EEF"/>
    <w:rsid w:val="00262A1A"/>
    <w:rsid w:val="00262A87"/>
    <w:rsid w:val="00262BB1"/>
    <w:rsid w:val="00262FE7"/>
    <w:rsid w:val="00263F94"/>
    <w:rsid w:val="00263FF5"/>
    <w:rsid w:val="00264D26"/>
    <w:rsid w:val="00265784"/>
    <w:rsid w:val="002662AA"/>
    <w:rsid w:val="0026683E"/>
    <w:rsid w:val="00266AD9"/>
    <w:rsid w:val="00266C0B"/>
    <w:rsid w:val="00266EF2"/>
    <w:rsid w:val="00267302"/>
    <w:rsid w:val="00267642"/>
    <w:rsid w:val="00267821"/>
    <w:rsid w:val="00267AEA"/>
    <w:rsid w:val="002700E6"/>
    <w:rsid w:val="0027028A"/>
    <w:rsid w:val="002715D2"/>
    <w:rsid w:val="0027294B"/>
    <w:rsid w:val="00273376"/>
    <w:rsid w:val="00273EB4"/>
    <w:rsid w:val="00273F65"/>
    <w:rsid w:val="00274682"/>
    <w:rsid w:val="00274A48"/>
    <w:rsid w:val="002750E8"/>
    <w:rsid w:val="00275158"/>
    <w:rsid w:val="0027574A"/>
    <w:rsid w:val="00275C5A"/>
    <w:rsid w:val="00275D46"/>
    <w:rsid w:val="0027614D"/>
    <w:rsid w:val="0027645C"/>
    <w:rsid w:val="0027672D"/>
    <w:rsid w:val="002767EB"/>
    <w:rsid w:val="002769E4"/>
    <w:rsid w:val="00276E17"/>
    <w:rsid w:val="002770F3"/>
    <w:rsid w:val="00277182"/>
    <w:rsid w:val="00277605"/>
    <w:rsid w:val="00277949"/>
    <w:rsid w:val="00277C12"/>
    <w:rsid w:val="002806D2"/>
    <w:rsid w:val="002806E3"/>
    <w:rsid w:val="00280825"/>
    <w:rsid w:val="00281014"/>
    <w:rsid w:val="00281ED6"/>
    <w:rsid w:val="00282D58"/>
    <w:rsid w:val="00283057"/>
    <w:rsid w:val="0028342E"/>
    <w:rsid w:val="00283511"/>
    <w:rsid w:val="002839A8"/>
    <w:rsid w:val="002857E0"/>
    <w:rsid w:val="00285922"/>
    <w:rsid w:val="00285BCE"/>
    <w:rsid w:val="00286370"/>
    <w:rsid w:val="0028665D"/>
    <w:rsid w:val="00287238"/>
    <w:rsid w:val="00287988"/>
    <w:rsid w:val="00287B75"/>
    <w:rsid w:val="00287F9A"/>
    <w:rsid w:val="002924AA"/>
    <w:rsid w:val="00293612"/>
    <w:rsid w:val="002940B2"/>
    <w:rsid w:val="00294622"/>
    <w:rsid w:val="00295162"/>
    <w:rsid w:val="00296344"/>
    <w:rsid w:val="00296435"/>
    <w:rsid w:val="002965B6"/>
    <w:rsid w:val="00296ACC"/>
    <w:rsid w:val="00297022"/>
    <w:rsid w:val="002976BC"/>
    <w:rsid w:val="00297CA4"/>
    <w:rsid w:val="00297F65"/>
    <w:rsid w:val="002A03F6"/>
    <w:rsid w:val="002A14AB"/>
    <w:rsid w:val="002A163B"/>
    <w:rsid w:val="002A18FC"/>
    <w:rsid w:val="002A2A8A"/>
    <w:rsid w:val="002A2ADE"/>
    <w:rsid w:val="002A2BD4"/>
    <w:rsid w:val="002A2F50"/>
    <w:rsid w:val="002A38A3"/>
    <w:rsid w:val="002A3A94"/>
    <w:rsid w:val="002A45A8"/>
    <w:rsid w:val="002A4D82"/>
    <w:rsid w:val="002A4F67"/>
    <w:rsid w:val="002A5BB8"/>
    <w:rsid w:val="002A6340"/>
    <w:rsid w:val="002A6FDE"/>
    <w:rsid w:val="002A7035"/>
    <w:rsid w:val="002A740B"/>
    <w:rsid w:val="002A7943"/>
    <w:rsid w:val="002A79CE"/>
    <w:rsid w:val="002A7D47"/>
    <w:rsid w:val="002B01C4"/>
    <w:rsid w:val="002B02F5"/>
    <w:rsid w:val="002B05A1"/>
    <w:rsid w:val="002B09A4"/>
    <w:rsid w:val="002B1C1F"/>
    <w:rsid w:val="002B1EEF"/>
    <w:rsid w:val="002B275E"/>
    <w:rsid w:val="002B3105"/>
    <w:rsid w:val="002B3176"/>
    <w:rsid w:val="002B4132"/>
    <w:rsid w:val="002B432F"/>
    <w:rsid w:val="002B5855"/>
    <w:rsid w:val="002B58D3"/>
    <w:rsid w:val="002B62B3"/>
    <w:rsid w:val="002B6754"/>
    <w:rsid w:val="002B6C5E"/>
    <w:rsid w:val="002B6CCE"/>
    <w:rsid w:val="002B6D20"/>
    <w:rsid w:val="002B7EF7"/>
    <w:rsid w:val="002C04B0"/>
    <w:rsid w:val="002C0537"/>
    <w:rsid w:val="002C1536"/>
    <w:rsid w:val="002C1640"/>
    <w:rsid w:val="002C1F7B"/>
    <w:rsid w:val="002C2510"/>
    <w:rsid w:val="002C2775"/>
    <w:rsid w:val="002C27C1"/>
    <w:rsid w:val="002C36E3"/>
    <w:rsid w:val="002C38C7"/>
    <w:rsid w:val="002C4220"/>
    <w:rsid w:val="002C4CF2"/>
    <w:rsid w:val="002C5099"/>
    <w:rsid w:val="002C5889"/>
    <w:rsid w:val="002C697E"/>
    <w:rsid w:val="002C6E38"/>
    <w:rsid w:val="002C6EF2"/>
    <w:rsid w:val="002C71CE"/>
    <w:rsid w:val="002C7D8C"/>
    <w:rsid w:val="002D08F8"/>
    <w:rsid w:val="002D094D"/>
    <w:rsid w:val="002D0D47"/>
    <w:rsid w:val="002D15A3"/>
    <w:rsid w:val="002D2F3C"/>
    <w:rsid w:val="002D304B"/>
    <w:rsid w:val="002D381F"/>
    <w:rsid w:val="002D3B47"/>
    <w:rsid w:val="002D3CED"/>
    <w:rsid w:val="002D447E"/>
    <w:rsid w:val="002D49F4"/>
    <w:rsid w:val="002D4BF5"/>
    <w:rsid w:val="002D545A"/>
    <w:rsid w:val="002D577C"/>
    <w:rsid w:val="002D578D"/>
    <w:rsid w:val="002D5CE6"/>
    <w:rsid w:val="002D60A5"/>
    <w:rsid w:val="002D6CB2"/>
    <w:rsid w:val="002D7055"/>
    <w:rsid w:val="002D7832"/>
    <w:rsid w:val="002D7F2A"/>
    <w:rsid w:val="002E1071"/>
    <w:rsid w:val="002E15B9"/>
    <w:rsid w:val="002E2158"/>
    <w:rsid w:val="002E2D18"/>
    <w:rsid w:val="002E46F3"/>
    <w:rsid w:val="002E4F02"/>
    <w:rsid w:val="002E685A"/>
    <w:rsid w:val="002E6FAD"/>
    <w:rsid w:val="002E728F"/>
    <w:rsid w:val="002E73BD"/>
    <w:rsid w:val="002E7722"/>
    <w:rsid w:val="002E7A60"/>
    <w:rsid w:val="002E7C46"/>
    <w:rsid w:val="002E7E4F"/>
    <w:rsid w:val="002E7FBA"/>
    <w:rsid w:val="002F0114"/>
    <w:rsid w:val="002F0153"/>
    <w:rsid w:val="002F029B"/>
    <w:rsid w:val="002F07BA"/>
    <w:rsid w:val="002F0C02"/>
    <w:rsid w:val="002F0DA9"/>
    <w:rsid w:val="002F1014"/>
    <w:rsid w:val="002F17ED"/>
    <w:rsid w:val="002F1BEC"/>
    <w:rsid w:val="002F1E3B"/>
    <w:rsid w:val="002F23B0"/>
    <w:rsid w:val="002F2884"/>
    <w:rsid w:val="002F2ECB"/>
    <w:rsid w:val="002F34F1"/>
    <w:rsid w:val="002F3A88"/>
    <w:rsid w:val="002F4540"/>
    <w:rsid w:val="002F4574"/>
    <w:rsid w:val="002F477E"/>
    <w:rsid w:val="002F48D6"/>
    <w:rsid w:val="002F4FEC"/>
    <w:rsid w:val="002F5542"/>
    <w:rsid w:val="002F643C"/>
    <w:rsid w:val="002F71C0"/>
    <w:rsid w:val="002F71CF"/>
    <w:rsid w:val="002F74F1"/>
    <w:rsid w:val="002F7802"/>
    <w:rsid w:val="00300025"/>
    <w:rsid w:val="003004D3"/>
    <w:rsid w:val="00300924"/>
    <w:rsid w:val="00300BFE"/>
    <w:rsid w:val="00301017"/>
    <w:rsid w:val="0030151A"/>
    <w:rsid w:val="0030155F"/>
    <w:rsid w:val="003017CE"/>
    <w:rsid w:val="00301A0C"/>
    <w:rsid w:val="00301D99"/>
    <w:rsid w:val="00302076"/>
    <w:rsid w:val="003020F1"/>
    <w:rsid w:val="003022D8"/>
    <w:rsid w:val="003023E9"/>
    <w:rsid w:val="00302458"/>
    <w:rsid w:val="0030272B"/>
    <w:rsid w:val="00302CCC"/>
    <w:rsid w:val="003034AB"/>
    <w:rsid w:val="00303769"/>
    <w:rsid w:val="00303C60"/>
    <w:rsid w:val="00304369"/>
    <w:rsid w:val="003044F3"/>
    <w:rsid w:val="003045E3"/>
    <w:rsid w:val="00304DFC"/>
    <w:rsid w:val="003050FA"/>
    <w:rsid w:val="0030587B"/>
    <w:rsid w:val="003058CA"/>
    <w:rsid w:val="00306D98"/>
    <w:rsid w:val="003071D9"/>
    <w:rsid w:val="0030722D"/>
    <w:rsid w:val="0030786C"/>
    <w:rsid w:val="00307B0C"/>
    <w:rsid w:val="0031031A"/>
    <w:rsid w:val="00310981"/>
    <w:rsid w:val="003110CD"/>
    <w:rsid w:val="00311D9B"/>
    <w:rsid w:val="003122F1"/>
    <w:rsid w:val="003124D9"/>
    <w:rsid w:val="00312594"/>
    <w:rsid w:val="0031291B"/>
    <w:rsid w:val="00312C21"/>
    <w:rsid w:val="00313069"/>
    <w:rsid w:val="003136E1"/>
    <w:rsid w:val="00313A9E"/>
    <w:rsid w:val="00314778"/>
    <w:rsid w:val="00315498"/>
    <w:rsid w:val="00315A28"/>
    <w:rsid w:val="00315EF1"/>
    <w:rsid w:val="00316474"/>
    <w:rsid w:val="00316FBD"/>
    <w:rsid w:val="0031780B"/>
    <w:rsid w:val="00317F3D"/>
    <w:rsid w:val="003208E0"/>
    <w:rsid w:val="00320A42"/>
    <w:rsid w:val="00320C65"/>
    <w:rsid w:val="00321179"/>
    <w:rsid w:val="003215F6"/>
    <w:rsid w:val="00321E94"/>
    <w:rsid w:val="00321F18"/>
    <w:rsid w:val="00322082"/>
    <w:rsid w:val="00322107"/>
    <w:rsid w:val="00322355"/>
    <w:rsid w:val="00322846"/>
    <w:rsid w:val="00322F50"/>
    <w:rsid w:val="003231EF"/>
    <w:rsid w:val="0032353D"/>
    <w:rsid w:val="003246FB"/>
    <w:rsid w:val="003249FF"/>
    <w:rsid w:val="00326B9A"/>
    <w:rsid w:val="00326DA7"/>
    <w:rsid w:val="00326DAC"/>
    <w:rsid w:val="00326F87"/>
    <w:rsid w:val="003270E4"/>
    <w:rsid w:val="00327787"/>
    <w:rsid w:val="003278E6"/>
    <w:rsid w:val="00327BDB"/>
    <w:rsid w:val="00330DAA"/>
    <w:rsid w:val="00330F5C"/>
    <w:rsid w:val="003310EA"/>
    <w:rsid w:val="003311F8"/>
    <w:rsid w:val="00331451"/>
    <w:rsid w:val="0033290B"/>
    <w:rsid w:val="0033335B"/>
    <w:rsid w:val="00334363"/>
    <w:rsid w:val="00334472"/>
    <w:rsid w:val="00334E46"/>
    <w:rsid w:val="0033503C"/>
    <w:rsid w:val="003353BC"/>
    <w:rsid w:val="0033558D"/>
    <w:rsid w:val="003363A9"/>
    <w:rsid w:val="003366C9"/>
    <w:rsid w:val="00336AF7"/>
    <w:rsid w:val="00336C9E"/>
    <w:rsid w:val="003371B0"/>
    <w:rsid w:val="0033740D"/>
    <w:rsid w:val="00337D1B"/>
    <w:rsid w:val="00340D14"/>
    <w:rsid w:val="00340DF1"/>
    <w:rsid w:val="003428E4"/>
    <w:rsid w:val="00343411"/>
    <w:rsid w:val="00343455"/>
    <w:rsid w:val="00343953"/>
    <w:rsid w:val="00343DE6"/>
    <w:rsid w:val="00344F6A"/>
    <w:rsid w:val="00345485"/>
    <w:rsid w:val="003461E2"/>
    <w:rsid w:val="003466BD"/>
    <w:rsid w:val="00346F38"/>
    <w:rsid w:val="00347529"/>
    <w:rsid w:val="00350269"/>
    <w:rsid w:val="003506D7"/>
    <w:rsid w:val="00350896"/>
    <w:rsid w:val="0035101D"/>
    <w:rsid w:val="00351214"/>
    <w:rsid w:val="003517F9"/>
    <w:rsid w:val="00351BA9"/>
    <w:rsid w:val="00352222"/>
    <w:rsid w:val="0035331F"/>
    <w:rsid w:val="0035420D"/>
    <w:rsid w:val="00354F64"/>
    <w:rsid w:val="003558F8"/>
    <w:rsid w:val="00355BB8"/>
    <w:rsid w:val="00355D4D"/>
    <w:rsid w:val="0035620E"/>
    <w:rsid w:val="003575BE"/>
    <w:rsid w:val="00357DAA"/>
    <w:rsid w:val="00357ECC"/>
    <w:rsid w:val="00357FAC"/>
    <w:rsid w:val="00360345"/>
    <w:rsid w:val="00360566"/>
    <w:rsid w:val="0036150C"/>
    <w:rsid w:val="00361765"/>
    <w:rsid w:val="00361A05"/>
    <w:rsid w:val="003623B9"/>
    <w:rsid w:val="003624C4"/>
    <w:rsid w:val="00362719"/>
    <w:rsid w:val="00363205"/>
    <w:rsid w:val="00363691"/>
    <w:rsid w:val="00363693"/>
    <w:rsid w:val="003638EB"/>
    <w:rsid w:val="003639A8"/>
    <w:rsid w:val="00363A88"/>
    <w:rsid w:val="00363B00"/>
    <w:rsid w:val="003645ED"/>
    <w:rsid w:val="00364953"/>
    <w:rsid w:val="00364E42"/>
    <w:rsid w:val="003654AC"/>
    <w:rsid w:val="0036587F"/>
    <w:rsid w:val="003658E4"/>
    <w:rsid w:val="0036599C"/>
    <w:rsid w:val="00366410"/>
    <w:rsid w:val="00366C3B"/>
    <w:rsid w:val="00367115"/>
    <w:rsid w:val="00367633"/>
    <w:rsid w:val="00367D75"/>
    <w:rsid w:val="00370FD4"/>
    <w:rsid w:val="003710CF"/>
    <w:rsid w:val="0037240D"/>
    <w:rsid w:val="003725EE"/>
    <w:rsid w:val="00372D65"/>
    <w:rsid w:val="0037358A"/>
    <w:rsid w:val="00373907"/>
    <w:rsid w:val="003750F6"/>
    <w:rsid w:val="003759EB"/>
    <w:rsid w:val="00375A57"/>
    <w:rsid w:val="003760FC"/>
    <w:rsid w:val="0037696C"/>
    <w:rsid w:val="00376B14"/>
    <w:rsid w:val="00376C95"/>
    <w:rsid w:val="00376FA4"/>
    <w:rsid w:val="00377440"/>
    <w:rsid w:val="00380828"/>
    <w:rsid w:val="00380AD7"/>
    <w:rsid w:val="00380F9E"/>
    <w:rsid w:val="00381F17"/>
    <w:rsid w:val="00382455"/>
    <w:rsid w:val="0038264A"/>
    <w:rsid w:val="003834CF"/>
    <w:rsid w:val="00383514"/>
    <w:rsid w:val="0038365C"/>
    <w:rsid w:val="00383669"/>
    <w:rsid w:val="0038369B"/>
    <w:rsid w:val="00383B78"/>
    <w:rsid w:val="00383F3E"/>
    <w:rsid w:val="0038419B"/>
    <w:rsid w:val="00384325"/>
    <w:rsid w:val="00384953"/>
    <w:rsid w:val="00385035"/>
    <w:rsid w:val="00385A9D"/>
    <w:rsid w:val="00386A52"/>
    <w:rsid w:val="00387121"/>
    <w:rsid w:val="00387167"/>
    <w:rsid w:val="003902B1"/>
    <w:rsid w:val="00390B02"/>
    <w:rsid w:val="0039117B"/>
    <w:rsid w:val="0039179C"/>
    <w:rsid w:val="00391906"/>
    <w:rsid w:val="00391E89"/>
    <w:rsid w:val="00392A2A"/>
    <w:rsid w:val="00392D14"/>
    <w:rsid w:val="003935B0"/>
    <w:rsid w:val="003939BB"/>
    <w:rsid w:val="00393DCD"/>
    <w:rsid w:val="0039426A"/>
    <w:rsid w:val="00394783"/>
    <w:rsid w:val="003948B7"/>
    <w:rsid w:val="00394FA0"/>
    <w:rsid w:val="00394FD8"/>
    <w:rsid w:val="003951EF"/>
    <w:rsid w:val="00396896"/>
    <w:rsid w:val="00396FD0"/>
    <w:rsid w:val="003970E8"/>
    <w:rsid w:val="003A05D7"/>
    <w:rsid w:val="003A0D5E"/>
    <w:rsid w:val="003A196E"/>
    <w:rsid w:val="003A1A7A"/>
    <w:rsid w:val="003A2392"/>
    <w:rsid w:val="003A24F7"/>
    <w:rsid w:val="003A2831"/>
    <w:rsid w:val="003A309C"/>
    <w:rsid w:val="003A3CB6"/>
    <w:rsid w:val="003A3ED1"/>
    <w:rsid w:val="003A3FD6"/>
    <w:rsid w:val="003A438B"/>
    <w:rsid w:val="003A44DB"/>
    <w:rsid w:val="003A47AB"/>
    <w:rsid w:val="003A48C0"/>
    <w:rsid w:val="003A4A05"/>
    <w:rsid w:val="003A4AC2"/>
    <w:rsid w:val="003A4C14"/>
    <w:rsid w:val="003A4C7A"/>
    <w:rsid w:val="003A4D5F"/>
    <w:rsid w:val="003A51ED"/>
    <w:rsid w:val="003A5B89"/>
    <w:rsid w:val="003A5EF5"/>
    <w:rsid w:val="003A6516"/>
    <w:rsid w:val="003A68FE"/>
    <w:rsid w:val="003A760D"/>
    <w:rsid w:val="003B16D6"/>
    <w:rsid w:val="003B1948"/>
    <w:rsid w:val="003B27CC"/>
    <w:rsid w:val="003B2E37"/>
    <w:rsid w:val="003B3525"/>
    <w:rsid w:val="003B3971"/>
    <w:rsid w:val="003B526A"/>
    <w:rsid w:val="003B55D1"/>
    <w:rsid w:val="003B5B61"/>
    <w:rsid w:val="003B670A"/>
    <w:rsid w:val="003B70F4"/>
    <w:rsid w:val="003C0287"/>
    <w:rsid w:val="003C032F"/>
    <w:rsid w:val="003C07CA"/>
    <w:rsid w:val="003C090B"/>
    <w:rsid w:val="003C0E07"/>
    <w:rsid w:val="003C11E3"/>
    <w:rsid w:val="003C1654"/>
    <w:rsid w:val="003C1E9C"/>
    <w:rsid w:val="003C269D"/>
    <w:rsid w:val="003C2DE2"/>
    <w:rsid w:val="003C2F0C"/>
    <w:rsid w:val="003C3F76"/>
    <w:rsid w:val="003C4259"/>
    <w:rsid w:val="003C5542"/>
    <w:rsid w:val="003C56E0"/>
    <w:rsid w:val="003C6915"/>
    <w:rsid w:val="003C6A7A"/>
    <w:rsid w:val="003C7C15"/>
    <w:rsid w:val="003C7D19"/>
    <w:rsid w:val="003C7D2F"/>
    <w:rsid w:val="003D0290"/>
    <w:rsid w:val="003D0C5A"/>
    <w:rsid w:val="003D0EE2"/>
    <w:rsid w:val="003D1017"/>
    <w:rsid w:val="003D17EC"/>
    <w:rsid w:val="003D1828"/>
    <w:rsid w:val="003D1883"/>
    <w:rsid w:val="003D1AB7"/>
    <w:rsid w:val="003D1DE4"/>
    <w:rsid w:val="003D1E9A"/>
    <w:rsid w:val="003D2422"/>
    <w:rsid w:val="003D253C"/>
    <w:rsid w:val="003D345D"/>
    <w:rsid w:val="003D39A1"/>
    <w:rsid w:val="003D3FBF"/>
    <w:rsid w:val="003D46E1"/>
    <w:rsid w:val="003D4A30"/>
    <w:rsid w:val="003D50CE"/>
    <w:rsid w:val="003D5797"/>
    <w:rsid w:val="003D5C08"/>
    <w:rsid w:val="003D6C54"/>
    <w:rsid w:val="003D7452"/>
    <w:rsid w:val="003D79BB"/>
    <w:rsid w:val="003D7C98"/>
    <w:rsid w:val="003D7D9D"/>
    <w:rsid w:val="003E007C"/>
    <w:rsid w:val="003E0374"/>
    <w:rsid w:val="003E0543"/>
    <w:rsid w:val="003E22CC"/>
    <w:rsid w:val="003E2601"/>
    <w:rsid w:val="003E2B6C"/>
    <w:rsid w:val="003E4287"/>
    <w:rsid w:val="003E446B"/>
    <w:rsid w:val="003E4CC4"/>
    <w:rsid w:val="003E5038"/>
    <w:rsid w:val="003E5603"/>
    <w:rsid w:val="003E5E02"/>
    <w:rsid w:val="003E6CE9"/>
    <w:rsid w:val="003E749E"/>
    <w:rsid w:val="003E7EF4"/>
    <w:rsid w:val="003F03B6"/>
    <w:rsid w:val="003F05A2"/>
    <w:rsid w:val="003F1CD2"/>
    <w:rsid w:val="003F241D"/>
    <w:rsid w:val="003F34C9"/>
    <w:rsid w:val="003F4156"/>
    <w:rsid w:val="003F5A5A"/>
    <w:rsid w:val="003F5ADF"/>
    <w:rsid w:val="00400B29"/>
    <w:rsid w:val="004015D4"/>
    <w:rsid w:val="0040175C"/>
    <w:rsid w:val="00401A9A"/>
    <w:rsid w:val="00401B24"/>
    <w:rsid w:val="0040261D"/>
    <w:rsid w:val="00402812"/>
    <w:rsid w:val="00402F59"/>
    <w:rsid w:val="004032A3"/>
    <w:rsid w:val="00403A65"/>
    <w:rsid w:val="00403F62"/>
    <w:rsid w:val="00404516"/>
    <w:rsid w:val="0040504B"/>
    <w:rsid w:val="004053B2"/>
    <w:rsid w:val="0040561B"/>
    <w:rsid w:val="004059F4"/>
    <w:rsid w:val="004067E1"/>
    <w:rsid w:val="00407FE5"/>
    <w:rsid w:val="00410114"/>
    <w:rsid w:val="004101B0"/>
    <w:rsid w:val="00410206"/>
    <w:rsid w:val="00410326"/>
    <w:rsid w:val="00410446"/>
    <w:rsid w:val="00410708"/>
    <w:rsid w:val="00410787"/>
    <w:rsid w:val="00410EC7"/>
    <w:rsid w:val="004116EE"/>
    <w:rsid w:val="00411B39"/>
    <w:rsid w:val="00411C69"/>
    <w:rsid w:val="0041215A"/>
    <w:rsid w:val="004125BF"/>
    <w:rsid w:val="004127A7"/>
    <w:rsid w:val="00412838"/>
    <w:rsid w:val="004135B7"/>
    <w:rsid w:val="00413A1E"/>
    <w:rsid w:val="00413A2D"/>
    <w:rsid w:val="00413F01"/>
    <w:rsid w:val="00414419"/>
    <w:rsid w:val="00414476"/>
    <w:rsid w:val="004146D6"/>
    <w:rsid w:val="00414978"/>
    <w:rsid w:val="00414C2E"/>
    <w:rsid w:val="004151CF"/>
    <w:rsid w:val="004151E2"/>
    <w:rsid w:val="004151E9"/>
    <w:rsid w:val="0041581C"/>
    <w:rsid w:val="00415E60"/>
    <w:rsid w:val="00416364"/>
    <w:rsid w:val="00416DDD"/>
    <w:rsid w:val="004170D4"/>
    <w:rsid w:val="00417A80"/>
    <w:rsid w:val="0042047F"/>
    <w:rsid w:val="00420AA6"/>
    <w:rsid w:val="00420B9F"/>
    <w:rsid w:val="00420E15"/>
    <w:rsid w:val="0042192C"/>
    <w:rsid w:val="00422067"/>
    <w:rsid w:val="0042214A"/>
    <w:rsid w:val="00422260"/>
    <w:rsid w:val="004231C9"/>
    <w:rsid w:val="0042376C"/>
    <w:rsid w:val="0042413F"/>
    <w:rsid w:val="00424570"/>
    <w:rsid w:val="0042486F"/>
    <w:rsid w:val="00424A15"/>
    <w:rsid w:val="0042516A"/>
    <w:rsid w:val="0042529F"/>
    <w:rsid w:val="00426342"/>
    <w:rsid w:val="004275C5"/>
    <w:rsid w:val="00427864"/>
    <w:rsid w:val="00430744"/>
    <w:rsid w:val="004319F8"/>
    <w:rsid w:val="00431E55"/>
    <w:rsid w:val="004321F6"/>
    <w:rsid w:val="00433044"/>
    <w:rsid w:val="00433824"/>
    <w:rsid w:val="0043397B"/>
    <w:rsid w:val="00434088"/>
    <w:rsid w:val="00434444"/>
    <w:rsid w:val="00434596"/>
    <w:rsid w:val="00434B22"/>
    <w:rsid w:val="00434BCB"/>
    <w:rsid w:val="00435347"/>
    <w:rsid w:val="00435569"/>
    <w:rsid w:val="0043562F"/>
    <w:rsid w:val="004358F3"/>
    <w:rsid w:val="004369D1"/>
    <w:rsid w:val="00436A11"/>
    <w:rsid w:val="00436B3B"/>
    <w:rsid w:val="004374E7"/>
    <w:rsid w:val="004375B9"/>
    <w:rsid w:val="00437AD0"/>
    <w:rsid w:val="00437AE4"/>
    <w:rsid w:val="004400F1"/>
    <w:rsid w:val="00440724"/>
    <w:rsid w:val="00440E35"/>
    <w:rsid w:val="0044151A"/>
    <w:rsid w:val="004417A6"/>
    <w:rsid w:val="00441EA0"/>
    <w:rsid w:val="00441EBF"/>
    <w:rsid w:val="0044248E"/>
    <w:rsid w:val="004428D0"/>
    <w:rsid w:val="00443041"/>
    <w:rsid w:val="004431AF"/>
    <w:rsid w:val="0044410F"/>
    <w:rsid w:val="00444162"/>
    <w:rsid w:val="00444185"/>
    <w:rsid w:val="004443A7"/>
    <w:rsid w:val="0044442C"/>
    <w:rsid w:val="00444C6F"/>
    <w:rsid w:val="00444F92"/>
    <w:rsid w:val="0044502C"/>
    <w:rsid w:val="00445576"/>
    <w:rsid w:val="00445941"/>
    <w:rsid w:val="004461B7"/>
    <w:rsid w:val="004464EB"/>
    <w:rsid w:val="00446A69"/>
    <w:rsid w:val="00446FA6"/>
    <w:rsid w:val="00447D26"/>
    <w:rsid w:val="00447DFC"/>
    <w:rsid w:val="00450B3E"/>
    <w:rsid w:val="00451798"/>
    <w:rsid w:val="004519D4"/>
    <w:rsid w:val="00451A39"/>
    <w:rsid w:val="00452111"/>
    <w:rsid w:val="0045294A"/>
    <w:rsid w:val="00454933"/>
    <w:rsid w:val="00454967"/>
    <w:rsid w:val="00454D60"/>
    <w:rsid w:val="00454F92"/>
    <w:rsid w:val="004552EE"/>
    <w:rsid w:val="00455D45"/>
    <w:rsid w:val="00456A32"/>
    <w:rsid w:val="00456D7F"/>
    <w:rsid w:val="004576C1"/>
    <w:rsid w:val="00457DB9"/>
    <w:rsid w:val="004610F4"/>
    <w:rsid w:val="00461BE5"/>
    <w:rsid w:val="00461C0B"/>
    <w:rsid w:val="0046204C"/>
    <w:rsid w:val="00462456"/>
    <w:rsid w:val="0046272C"/>
    <w:rsid w:val="00462B5E"/>
    <w:rsid w:val="0046341B"/>
    <w:rsid w:val="00463898"/>
    <w:rsid w:val="00463F1D"/>
    <w:rsid w:val="004641C4"/>
    <w:rsid w:val="00464260"/>
    <w:rsid w:val="00464386"/>
    <w:rsid w:val="00464595"/>
    <w:rsid w:val="004648B0"/>
    <w:rsid w:val="00464C7A"/>
    <w:rsid w:val="004658B5"/>
    <w:rsid w:val="00466AD2"/>
    <w:rsid w:val="00466B45"/>
    <w:rsid w:val="00467006"/>
    <w:rsid w:val="00467560"/>
    <w:rsid w:val="00471EA5"/>
    <w:rsid w:val="00472A33"/>
    <w:rsid w:val="00472A79"/>
    <w:rsid w:val="0047383E"/>
    <w:rsid w:val="00473F19"/>
    <w:rsid w:val="0047407B"/>
    <w:rsid w:val="00474661"/>
    <w:rsid w:val="00475202"/>
    <w:rsid w:val="00475E22"/>
    <w:rsid w:val="00476BB4"/>
    <w:rsid w:val="0047774D"/>
    <w:rsid w:val="00477B6E"/>
    <w:rsid w:val="0048088E"/>
    <w:rsid w:val="00480F2B"/>
    <w:rsid w:val="00481328"/>
    <w:rsid w:val="00481696"/>
    <w:rsid w:val="00482302"/>
    <w:rsid w:val="0048237F"/>
    <w:rsid w:val="00482531"/>
    <w:rsid w:val="00482720"/>
    <w:rsid w:val="00482C34"/>
    <w:rsid w:val="00482C3C"/>
    <w:rsid w:val="00482D37"/>
    <w:rsid w:val="00482F35"/>
    <w:rsid w:val="00483319"/>
    <w:rsid w:val="004835E7"/>
    <w:rsid w:val="00483832"/>
    <w:rsid w:val="004859E1"/>
    <w:rsid w:val="00485EF9"/>
    <w:rsid w:val="00486305"/>
    <w:rsid w:val="004867E2"/>
    <w:rsid w:val="00486851"/>
    <w:rsid w:val="00486D39"/>
    <w:rsid w:val="00487C58"/>
    <w:rsid w:val="00490B17"/>
    <w:rsid w:val="004912D6"/>
    <w:rsid w:val="00491B3A"/>
    <w:rsid w:val="00491EEE"/>
    <w:rsid w:val="004922D5"/>
    <w:rsid w:val="00492BD9"/>
    <w:rsid w:val="00492C4E"/>
    <w:rsid w:val="00492CFD"/>
    <w:rsid w:val="0049326D"/>
    <w:rsid w:val="0049355E"/>
    <w:rsid w:val="00493948"/>
    <w:rsid w:val="00494207"/>
    <w:rsid w:val="00494637"/>
    <w:rsid w:val="00494A95"/>
    <w:rsid w:val="00494BE5"/>
    <w:rsid w:val="00494DD5"/>
    <w:rsid w:val="004954D0"/>
    <w:rsid w:val="00495A45"/>
    <w:rsid w:val="00495EB9"/>
    <w:rsid w:val="004962D2"/>
    <w:rsid w:val="004A0DA1"/>
    <w:rsid w:val="004A0EB8"/>
    <w:rsid w:val="004A11CF"/>
    <w:rsid w:val="004A12A0"/>
    <w:rsid w:val="004A13D6"/>
    <w:rsid w:val="004A1A0A"/>
    <w:rsid w:val="004A1C59"/>
    <w:rsid w:val="004A2274"/>
    <w:rsid w:val="004A23A8"/>
    <w:rsid w:val="004A2D68"/>
    <w:rsid w:val="004A3282"/>
    <w:rsid w:val="004A3B1C"/>
    <w:rsid w:val="004A3DB4"/>
    <w:rsid w:val="004A52E9"/>
    <w:rsid w:val="004A6040"/>
    <w:rsid w:val="004A6270"/>
    <w:rsid w:val="004A6597"/>
    <w:rsid w:val="004A65F8"/>
    <w:rsid w:val="004A664C"/>
    <w:rsid w:val="004A6B8C"/>
    <w:rsid w:val="004A6D2E"/>
    <w:rsid w:val="004A730A"/>
    <w:rsid w:val="004A7848"/>
    <w:rsid w:val="004A78C9"/>
    <w:rsid w:val="004A793B"/>
    <w:rsid w:val="004A7EA1"/>
    <w:rsid w:val="004B0252"/>
    <w:rsid w:val="004B099C"/>
    <w:rsid w:val="004B0D82"/>
    <w:rsid w:val="004B122B"/>
    <w:rsid w:val="004B16AD"/>
    <w:rsid w:val="004B1916"/>
    <w:rsid w:val="004B1CB4"/>
    <w:rsid w:val="004B2162"/>
    <w:rsid w:val="004B23A9"/>
    <w:rsid w:val="004B2CE1"/>
    <w:rsid w:val="004B2F18"/>
    <w:rsid w:val="004B3DDB"/>
    <w:rsid w:val="004B4205"/>
    <w:rsid w:val="004B44FD"/>
    <w:rsid w:val="004B4D60"/>
    <w:rsid w:val="004B5321"/>
    <w:rsid w:val="004B5653"/>
    <w:rsid w:val="004B5CFC"/>
    <w:rsid w:val="004B605C"/>
    <w:rsid w:val="004B6572"/>
    <w:rsid w:val="004B6887"/>
    <w:rsid w:val="004B6F79"/>
    <w:rsid w:val="004B71C6"/>
    <w:rsid w:val="004B774D"/>
    <w:rsid w:val="004C0065"/>
    <w:rsid w:val="004C0C67"/>
    <w:rsid w:val="004C1373"/>
    <w:rsid w:val="004C1E1E"/>
    <w:rsid w:val="004C25E1"/>
    <w:rsid w:val="004C2831"/>
    <w:rsid w:val="004C2A4F"/>
    <w:rsid w:val="004C2AC2"/>
    <w:rsid w:val="004C2FEA"/>
    <w:rsid w:val="004C3013"/>
    <w:rsid w:val="004C345E"/>
    <w:rsid w:val="004C3F9B"/>
    <w:rsid w:val="004C409C"/>
    <w:rsid w:val="004C4AED"/>
    <w:rsid w:val="004C5147"/>
    <w:rsid w:val="004C5238"/>
    <w:rsid w:val="004C52CC"/>
    <w:rsid w:val="004C5850"/>
    <w:rsid w:val="004C6199"/>
    <w:rsid w:val="004C638E"/>
    <w:rsid w:val="004C6408"/>
    <w:rsid w:val="004C6A4E"/>
    <w:rsid w:val="004C6B8C"/>
    <w:rsid w:val="004C6E1D"/>
    <w:rsid w:val="004D09AD"/>
    <w:rsid w:val="004D103F"/>
    <w:rsid w:val="004D1174"/>
    <w:rsid w:val="004D1FD6"/>
    <w:rsid w:val="004D292E"/>
    <w:rsid w:val="004D2C2D"/>
    <w:rsid w:val="004D2D82"/>
    <w:rsid w:val="004D318E"/>
    <w:rsid w:val="004D31CE"/>
    <w:rsid w:val="004D32B6"/>
    <w:rsid w:val="004D3375"/>
    <w:rsid w:val="004D3A68"/>
    <w:rsid w:val="004D3B16"/>
    <w:rsid w:val="004D3DA3"/>
    <w:rsid w:val="004D493A"/>
    <w:rsid w:val="004D50DA"/>
    <w:rsid w:val="004D57F5"/>
    <w:rsid w:val="004D5C83"/>
    <w:rsid w:val="004D5DBC"/>
    <w:rsid w:val="004D66BB"/>
    <w:rsid w:val="004D6711"/>
    <w:rsid w:val="004D69B5"/>
    <w:rsid w:val="004D7227"/>
    <w:rsid w:val="004D72C3"/>
    <w:rsid w:val="004D7B5E"/>
    <w:rsid w:val="004E0E7F"/>
    <w:rsid w:val="004E0EB8"/>
    <w:rsid w:val="004E11DE"/>
    <w:rsid w:val="004E18E9"/>
    <w:rsid w:val="004E2ADC"/>
    <w:rsid w:val="004E306E"/>
    <w:rsid w:val="004E43B2"/>
    <w:rsid w:val="004E44CD"/>
    <w:rsid w:val="004E4CD4"/>
    <w:rsid w:val="004E578A"/>
    <w:rsid w:val="004E5F5C"/>
    <w:rsid w:val="004E7087"/>
    <w:rsid w:val="004E7A54"/>
    <w:rsid w:val="004E7CE0"/>
    <w:rsid w:val="004E7D46"/>
    <w:rsid w:val="004F08E7"/>
    <w:rsid w:val="004F1A63"/>
    <w:rsid w:val="004F1D02"/>
    <w:rsid w:val="004F219D"/>
    <w:rsid w:val="004F2679"/>
    <w:rsid w:val="004F2F21"/>
    <w:rsid w:val="004F3DE5"/>
    <w:rsid w:val="004F4B5E"/>
    <w:rsid w:val="004F4C72"/>
    <w:rsid w:val="004F4DB6"/>
    <w:rsid w:val="004F5BD8"/>
    <w:rsid w:val="004F653F"/>
    <w:rsid w:val="004F6913"/>
    <w:rsid w:val="004F6D65"/>
    <w:rsid w:val="004F6FE6"/>
    <w:rsid w:val="004F7057"/>
    <w:rsid w:val="004F739F"/>
    <w:rsid w:val="004F7750"/>
    <w:rsid w:val="004F7865"/>
    <w:rsid w:val="00500F86"/>
    <w:rsid w:val="00501408"/>
    <w:rsid w:val="0050174E"/>
    <w:rsid w:val="00501854"/>
    <w:rsid w:val="005019F9"/>
    <w:rsid w:val="00501CE9"/>
    <w:rsid w:val="0050219B"/>
    <w:rsid w:val="0050376F"/>
    <w:rsid w:val="00503E61"/>
    <w:rsid w:val="00503F17"/>
    <w:rsid w:val="00503F3A"/>
    <w:rsid w:val="005041D6"/>
    <w:rsid w:val="0050447A"/>
    <w:rsid w:val="005060F6"/>
    <w:rsid w:val="00506862"/>
    <w:rsid w:val="00506928"/>
    <w:rsid w:val="00507698"/>
    <w:rsid w:val="005077EF"/>
    <w:rsid w:val="005108A3"/>
    <w:rsid w:val="00510C5A"/>
    <w:rsid w:val="00510D9D"/>
    <w:rsid w:val="00511751"/>
    <w:rsid w:val="00511AD5"/>
    <w:rsid w:val="00511DC7"/>
    <w:rsid w:val="0051273C"/>
    <w:rsid w:val="0051394B"/>
    <w:rsid w:val="00513E34"/>
    <w:rsid w:val="0051426A"/>
    <w:rsid w:val="005142C5"/>
    <w:rsid w:val="00514AC8"/>
    <w:rsid w:val="0051501B"/>
    <w:rsid w:val="00515234"/>
    <w:rsid w:val="005152B5"/>
    <w:rsid w:val="00515886"/>
    <w:rsid w:val="00515F78"/>
    <w:rsid w:val="0051657E"/>
    <w:rsid w:val="00516739"/>
    <w:rsid w:val="0051782C"/>
    <w:rsid w:val="00517ED9"/>
    <w:rsid w:val="0052123C"/>
    <w:rsid w:val="00521319"/>
    <w:rsid w:val="005216A2"/>
    <w:rsid w:val="005221A4"/>
    <w:rsid w:val="00522B23"/>
    <w:rsid w:val="00522BC8"/>
    <w:rsid w:val="00523B77"/>
    <w:rsid w:val="00523C28"/>
    <w:rsid w:val="00523C95"/>
    <w:rsid w:val="00523F47"/>
    <w:rsid w:val="005245D5"/>
    <w:rsid w:val="00525027"/>
    <w:rsid w:val="00525207"/>
    <w:rsid w:val="0052716C"/>
    <w:rsid w:val="0052775A"/>
    <w:rsid w:val="00527AC8"/>
    <w:rsid w:val="005303D4"/>
    <w:rsid w:val="00530E4A"/>
    <w:rsid w:val="0053176B"/>
    <w:rsid w:val="00531C39"/>
    <w:rsid w:val="0053202B"/>
    <w:rsid w:val="00532C20"/>
    <w:rsid w:val="00532F1B"/>
    <w:rsid w:val="00532F3B"/>
    <w:rsid w:val="00533F34"/>
    <w:rsid w:val="005341B3"/>
    <w:rsid w:val="005346C0"/>
    <w:rsid w:val="0053479C"/>
    <w:rsid w:val="00535B35"/>
    <w:rsid w:val="00536525"/>
    <w:rsid w:val="0053662D"/>
    <w:rsid w:val="00536C7F"/>
    <w:rsid w:val="00536D71"/>
    <w:rsid w:val="00536F42"/>
    <w:rsid w:val="00537182"/>
    <w:rsid w:val="005407A1"/>
    <w:rsid w:val="00541761"/>
    <w:rsid w:val="00541EDD"/>
    <w:rsid w:val="00542743"/>
    <w:rsid w:val="00542ADC"/>
    <w:rsid w:val="00542C2D"/>
    <w:rsid w:val="00543091"/>
    <w:rsid w:val="00543576"/>
    <w:rsid w:val="00543A71"/>
    <w:rsid w:val="00543FB2"/>
    <w:rsid w:val="00544372"/>
    <w:rsid w:val="005448E2"/>
    <w:rsid w:val="0054542A"/>
    <w:rsid w:val="00545697"/>
    <w:rsid w:val="005478BD"/>
    <w:rsid w:val="005479E3"/>
    <w:rsid w:val="0055058B"/>
    <w:rsid w:val="00550705"/>
    <w:rsid w:val="00550A6A"/>
    <w:rsid w:val="005518DB"/>
    <w:rsid w:val="00551985"/>
    <w:rsid w:val="00551ACF"/>
    <w:rsid w:val="00551EDE"/>
    <w:rsid w:val="00552BD3"/>
    <w:rsid w:val="005530D1"/>
    <w:rsid w:val="005532A0"/>
    <w:rsid w:val="0055343D"/>
    <w:rsid w:val="00555109"/>
    <w:rsid w:val="005555F5"/>
    <w:rsid w:val="005562EE"/>
    <w:rsid w:val="005566E6"/>
    <w:rsid w:val="0055676F"/>
    <w:rsid w:val="00556B35"/>
    <w:rsid w:val="00556CF3"/>
    <w:rsid w:val="0055741A"/>
    <w:rsid w:val="005607E9"/>
    <w:rsid w:val="00560908"/>
    <w:rsid w:val="00560A07"/>
    <w:rsid w:val="005611B7"/>
    <w:rsid w:val="00561295"/>
    <w:rsid w:val="00561317"/>
    <w:rsid w:val="005618D4"/>
    <w:rsid w:val="00561C41"/>
    <w:rsid w:val="00563B48"/>
    <w:rsid w:val="00563E40"/>
    <w:rsid w:val="005644EF"/>
    <w:rsid w:val="005647B3"/>
    <w:rsid w:val="00564867"/>
    <w:rsid w:val="00565C79"/>
    <w:rsid w:val="00565D18"/>
    <w:rsid w:val="00565DF0"/>
    <w:rsid w:val="0056632D"/>
    <w:rsid w:val="00566889"/>
    <w:rsid w:val="0056696F"/>
    <w:rsid w:val="00567417"/>
    <w:rsid w:val="00567B40"/>
    <w:rsid w:val="00570FB6"/>
    <w:rsid w:val="0057152B"/>
    <w:rsid w:val="00571A8B"/>
    <w:rsid w:val="00571D66"/>
    <w:rsid w:val="00571D84"/>
    <w:rsid w:val="00572269"/>
    <w:rsid w:val="0057244A"/>
    <w:rsid w:val="00572754"/>
    <w:rsid w:val="00572EDE"/>
    <w:rsid w:val="00572F26"/>
    <w:rsid w:val="0057317A"/>
    <w:rsid w:val="00574ABA"/>
    <w:rsid w:val="005750C5"/>
    <w:rsid w:val="005750DE"/>
    <w:rsid w:val="005752DE"/>
    <w:rsid w:val="00575B82"/>
    <w:rsid w:val="00575D60"/>
    <w:rsid w:val="00575D8D"/>
    <w:rsid w:val="00575E0F"/>
    <w:rsid w:val="00576972"/>
    <w:rsid w:val="00577248"/>
    <w:rsid w:val="0057756A"/>
    <w:rsid w:val="00577CB1"/>
    <w:rsid w:val="00577F3A"/>
    <w:rsid w:val="00577F6F"/>
    <w:rsid w:val="00580B38"/>
    <w:rsid w:val="005810C6"/>
    <w:rsid w:val="005813DF"/>
    <w:rsid w:val="00582312"/>
    <w:rsid w:val="00583699"/>
    <w:rsid w:val="005843B3"/>
    <w:rsid w:val="0058456C"/>
    <w:rsid w:val="005852B6"/>
    <w:rsid w:val="005854B6"/>
    <w:rsid w:val="00585671"/>
    <w:rsid w:val="005859C3"/>
    <w:rsid w:val="00585CDD"/>
    <w:rsid w:val="00586DCC"/>
    <w:rsid w:val="00587018"/>
    <w:rsid w:val="00587058"/>
    <w:rsid w:val="0058717B"/>
    <w:rsid w:val="005871AF"/>
    <w:rsid w:val="0058743F"/>
    <w:rsid w:val="005901ED"/>
    <w:rsid w:val="005907DD"/>
    <w:rsid w:val="00590D8D"/>
    <w:rsid w:val="00591889"/>
    <w:rsid w:val="00591957"/>
    <w:rsid w:val="00592B2B"/>
    <w:rsid w:val="00593052"/>
    <w:rsid w:val="00593B6B"/>
    <w:rsid w:val="00594BB2"/>
    <w:rsid w:val="00595542"/>
    <w:rsid w:val="005958F3"/>
    <w:rsid w:val="00595BB1"/>
    <w:rsid w:val="005961EE"/>
    <w:rsid w:val="00597223"/>
    <w:rsid w:val="00597BF9"/>
    <w:rsid w:val="005A0613"/>
    <w:rsid w:val="005A0C11"/>
    <w:rsid w:val="005A15B5"/>
    <w:rsid w:val="005A1905"/>
    <w:rsid w:val="005A1F69"/>
    <w:rsid w:val="005A2C46"/>
    <w:rsid w:val="005A309A"/>
    <w:rsid w:val="005A373D"/>
    <w:rsid w:val="005A3CC9"/>
    <w:rsid w:val="005A3FCB"/>
    <w:rsid w:val="005A438B"/>
    <w:rsid w:val="005A459D"/>
    <w:rsid w:val="005A4DE7"/>
    <w:rsid w:val="005A4EFC"/>
    <w:rsid w:val="005A4F18"/>
    <w:rsid w:val="005A4F70"/>
    <w:rsid w:val="005A4FDD"/>
    <w:rsid w:val="005A5E0A"/>
    <w:rsid w:val="005A6AEB"/>
    <w:rsid w:val="005A7471"/>
    <w:rsid w:val="005A75F4"/>
    <w:rsid w:val="005A76C0"/>
    <w:rsid w:val="005A7B70"/>
    <w:rsid w:val="005B0394"/>
    <w:rsid w:val="005B0B58"/>
    <w:rsid w:val="005B1F11"/>
    <w:rsid w:val="005B2BDE"/>
    <w:rsid w:val="005B2C41"/>
    <w:rsid w:val="005B2F62"/>
    <w:rsid w:val="005B43E1"/>
    <w:rsid w:val="005B47A8"/>
    <w:rsid w:val="005B4E53"/>
    <w:rsid w:val="005B56FE"/>
    <w:rsid w:val="005B5857"/>
    <w:rsid w:val="005B5E41"/>
    <w:rsid w:val="005B627B"/>
    <w:rsid w:val="005B73FD"/>
    <w:rsid w:val="005B7858"/>
    <w:rsid w:val="005B7F18"/>
    <w:rsid w:val="005C0474"/>
    <w:rsid w:val="005C0672"/>
    <w:rsid w:val="005C0A21"/>
    <w:rsid w:val="005C19C4"/>
    <w:rsid w:val="005C1B83"/>
    <w:rsid w:val="005C25FF"/>
    <w:rsid w:val="005C285F"/>
    <w:rsid w:val="005C28E2"/>
    <w:rsid w:val="005C2D55"/>
    <w:rsid w:val="005C346B"/>
    <w:rsid w:val="005C3C8A"/>
    <w:rsid w:val="005C5ABC"/>
    <w:rsid w:val="005C5DC0"/>
    <w:rsid w:val="005C7F96"/>
    <w:rsid w:val="005D0296"/>
    <w:rsid w:val="005D044D"/>
    <w:rsid w:val="005D08CF"/>
    <w:rsid w:val="005D0A93"/>
    <w:rsid w:val="005D0ABD"/>
    <w:rsid w:val="005D0B66"/>
    <w:rsid w:val="005D0CCB"/>
    <w:rsid w:val="005D16C5"/>
    <w:rsid w:val="005D17E1"/>
    <w:rsid w:val="005D18AD"/>
    <w:rsid w:val="005D1CAD"/>
    <w:rsid w:val="005D1E25"/>
    <w:rsid w:val="005D26B4"/>
    <w:rsid w:val="005D42C7"/>
    <w:rsid w:val="005D4F49"/>
    <w:rsid w:val="005D694F"/>
    <w:rsid w:val="005D7073"/>
    <w:rsid w:val="005D71CD"/>
    <w:rsid w:val="005D7F4A"/>
    <w:rsid w:val="005E0E5C"/>
    <w:rsid w:val="005E1043"/>
    <w:rsid w:val="005E1995"/>
    <w:rsid w:val="005E1BD5"/>
    <w:rsid w:val="005E1CDA"/>
    <w:rsid w:val="005E269E"/>
    <w:rsid w:val="005E286A"/>
    <w:rsid w:val="005E3CC6"/>
    <w:rsid w:val="005E51D1"/>
    <w:rsid w:val="005E55E9"/>
    <w:rsid w:val="005E5A32"/>
    <w:rsid w:val="005E5AE2"/>
    <w:rsid w:val="005E6730"/>
    <w:rsid w:val="005E6A59"/>
    <w:rsid w:val="005E6CBC"/>
    <w:rsid w:val="005E6DDB"/>
    <w:rsid w:val="005E6DE7"/>
    <w:rsid w:val="005E72FF"/>
    <w:rsid w:val="005E73C0"/>
    <w:rsid w:val="005E7B07"/>
    <w:rsid w:val="005E7FD8"/>
    <w:rsid w:val="005F06D3"/>
    <w:rsid w:val="005F07ED"/>
    <w:rsid w:val="005F0D66"/>
    <w:rsid w:val="005F0ED4"/>
    <w:rsid w:val="005F13D0"/>
    <w:rsid w:val="005F219F"/>
    <w:rsid w:val="005F2706"/>
    <w:rsid w:val="005F2B2E"/>
    <w:rsid w:val="005F2D7F"/>
    <w:rsid w:val="005F4412"/>
    <w:rsid w:val="005F4D43"/>
    <w:rsid w:val="005F5304"/>
    <w:rsid w:val="005F596F"/>
    <w:rsid w:val="005F6574"/>
    <w:rsid w:val="005F66FB"/>
    <w:rsid w:val="005F6A8F"/>
    <w:rsid w:val="005F6BB7"/>
    <w:rsid w:val="005F6D5F"/>
    <w:rsid w:val="005F7588"/>
    <w:rsid w:val="005F7D7A"/>
    <w:rsid w:val="005F7F53"/>
    <w:rsid w:val="00600299"/>
    <w:rsid w:val="0060098D"/>
    <w:rsid w:val="00600CBB"/>
    <w:rsid w:val="00600F85"/>
    <w:rsid w:val="00601019"/>
    <w:rsid w:val="00601860"/>
    <w:rsid w:val="00601F02"/>
    <w:rsid w:val="006027C4"/>
    <w:rsid w:val="00603006"/>
    <w:rsid w:val="006030A9"/>
    <w:rsid w:val="00603248"/>
    <w:rsid w:val="0060330B"/>
    <w:rsid w:val="00603920"/>
    <w:rsid w:val="00603DB9"/>
    <w:rsid w:val="00604718"/>
    <w:rsid w:val="006054E8"/>
    <w:rsid w:val="00605B99"/>
    <w:rsid w:val="00605C15"/>
    <w:rsid w:val="006061BD"/>
    <w:rsid w:val="0060648F"/>
    <w:rsid w:val="006066E8"/>
    <w:rsid w:val="00606FBA"/>
    <w:rsid w:val="00607669"/>
    <w:rsid w:val="006076F4"/>
    <w:rsid w:val="00607AFD"/>
    <w:rsid w:val="00610431"/>
    <w:rsid w:val="0061066C"/>
    <w:rsid w:val="00610702"/>
    <w:rsid w:val="0061112C"/>
    <w:rsid w:val="006111A9"/>
    <w:rsid w:val="00611B12"/>
    <w:rsid w:val="00611C92"/>
    <w:rsid w:val="00612336"/>
    <w:rsid w:val="00612F97"/>
    <w:rsid w:val="006133F1"/>
    <w:rsid w:val="0061345D"/>
    <w:rsid w:val="00614BE9"/>
    <w:rsid w:val="00615325"/>
    <w:rsid w:val="0061549B"/>
    <w:rsid w:val="00615BB0"/>
    <w:rsid w:val="00616007"/>
    <w:rsid w:val="00616802"/>
    <w:rsid w:val="00616B60"/>
    <w:rsid w:val="00616E63"/>
    <w:rsid w:val="00616FA1"/>
    <w:rsid w:val="006172DE"/>
    <w:rsid w:val="00617DB3"/>
    <w:rsid w:val="00617E12"/>
    <w:rsid w:val="00620806"/>
    <w:rsid w:val="00620A14"/>
    <w:rsid w:val="00620C25"/>
    <w:rsid w:val="00621477"/>
    <w:rsid w:val="00621ADA"/>
    <w:rsid w:val="00621C7F"/>
    <w:rsid w:val="00621EE7"/>
    <w:rsid w:val="00623F7B"/>
    <w:rsid w:val="00624964"/>
    <w:rsid w:val="006249CB"/>
    <w:rsid w:val="00624BD4"/>
    <w:rsid w:val="00624C57"/>
    <w:rsid w:val="00624FB4"/>
    <w:rsid w:val="00625563"/>
    <w:rsid w:val="0062612D"/>
    <w:rsid w:val="00627BE5"/>
    <w:rsid w:val="006309B4"/>
    <w:rsid w:val="00630DE2"/>
    <w:rsid w:val="0063158F"/>
    <w:rsid w:val="00631A01"/>
    <w:rsid w:val="00631D6B"/>
    <w:rsid w:val="00632183"/>
    <w:rsid w:val="006330A1"/>
    <w:rsid w:val="006338BA"/>
    <w:rsid w:val="006343D7"/>
    <w:rsid w:val="0063479F"/>
    <w:rsid w:val="00634E5A"/>
    <w:rsid w:val="0063539D"/>
    <w:rsid w:val="006353F0"/>
    <w:rsid w:val="006357B5"/>
    <w:rsid w:val="00635A46"/>
    <w:rsid w:val="006364A1"/>
    <w:rsid w:val="0063678E"/>
    <w:rsid w:val="00637959"/>
    <w:rsid w:val="00637BFD"/>
    <w:rsid w:val="00637C2E"/>
    <w:rsid w:val="00637C5C"/>
    <w:rsid w:val="006400D2"/>
    <w:rsid w:val="00640D39"/>
    <w:rsid w:val="0064108F"/>
    <w:rsid w:val="00641C4E"/>
    <w:rsid w:val="00641FB3"/>
    <w:rsid w:val="0064215B"/>
    <w:rsid w:val="00643280"/>
    <w:rsid w:val="00643335"/>
    <w:rsid w:val="00643574"/>
    <w:rsid w:val="00643F16"/>
    <w:rsid w:val="0064403D"/>
    <w:rsid w:val="0064434C"/>
    <w:rsid w:val="006443DE"/>
    <w:rsid w:val="00644701"/>
    <w:rsid w:val="00644E58"/>
    <w:rsid w:val="00645259"/>
    <w:rsid w:val="0064560F"/>
    <w:rsid w:val="006469CC"/>
    <w:rsid w:val="006471CC"/>
    <w:rsid w:val="006472FE"/>
    <w:rsid w:val="0064755B"/>
    <w:rsid w:val="00647A29"/>
    <w:rsid w:val="0065055D"/>
    <w:rsid w:val="0065079F"/>
    <w:rsid w:val="00650E44"/>
    <w:rsid w:val="00651F7C"/>
    <w:rsid w:val="00652057"/>
    <w:rsid w:val="00652A28"/>
    <w:rsid w:val="00652D26"/>
    <w:rsid w:val="0065379F"/>
    <w:rsid w:val="00653807"/>
    <w:rsid w:val="00653876"/>
    <w:rsid w:val="00653952"/>
    <w:rsid w:val="00653AC2"/>
    <w:rsid w:val="00653C40"/>
    <w:rsid w:val="00653DBF"/>
    <w:rsid w:val="00653EA4"/>
    <w:rsid w:val="00653F71"/>
    <w:rsid w:val="00654559"/>
    <w:rsid w:val="006552F9"/>
    <w:rsid w:val="00655837"/>
    <w:rsid w:val="00656188"/>
    <w:rsid w:val="0065627B"/>
    <w:rsid w:val="006568A4"/>
    <w:rsid w:val="00656BEF"/>
    <w:rsid w:val="0065715A"/>
    <w:rsid w:val="00657F18"/>
    <w:rsid w:val="006610F1"/>
    <w:rsid w:val="006615F5"/>
    <w:rsid w:val="006618F8"/>
    <w:rsid w:val="00661C6B"/>
    <w:rsid w:val="00662064"/>
    <w:rsid w:val="00662D3E"/>
    <w:rsid w:val="0066377D"/>
    <w:rsid w:val="00664743"/>
    <w:rsid w:val="006647E4"/>
    <w:rsid w:val="00664EC7"/>
    <w:rsid w:val="0066549F"/>
    <w:rsid w:val="00666307"/>
    <w:rsid w:val="00666848"/>
    <w:rsid w:val="00666E2C"/>
    <w:rsid w:val="0066773E"/>
    <w:rsid w:val="00667BE3"/>
    <w:rsid w:val="00667C55"/>
    <w:rsid w:val="00670256"/>
    <w:rsid w:val="0067025C"/>
    <w:rsid w:val="00670751"/>
    <w:rsid w:val="00670983"/>
    <w:rsid w:val="00670B61"/>
    <w:rsid w:val="00671004"/>
    <w:rsid w:val="0067122F"/>
    <w:rsid w:val="00671E23"/>
    <w:rsid w:val="00671EF7"/>
    <w:rsid w:val="00671FCA"/>
    <w:rsid w:val="0067211D"/>
    <w:rsid w:val="00672388"/>
    <w:rsid w:val="00672646"/>
    <w:rsid w:val="0067311F"/>
    <w:rsid w:val="00674154"/>
    <w:rsid w:val="00674E42"/>
    <w:rsid w:val="006764DF"/>
    <w:rsid w:val="00676563"/>
    <w:rsid w:val="00677226"/>
    <w:rsid w:val="00677954"/>
    <w:rsid w:val="00680528"/>
    <w:rsid w:val="0068094A"/>
    <w:rsid w:val="00680A2F"/>
    <w:rsid w:val="00680B8F"/>
    <w:rsid w:val="00681020"/>
    <w:rsid w:val="006812BB"/>
    <w:rsid w:val="006813F8"/>
    <w:rsid w:val="00682112"/>
    <w:rsid w:val="00682BA6"/>
    <w:rsid w:val="00684A71"/>
    <w:rsid w:val="00684AE4"/>
    <w:rsid w:val="00684C3E"/>
    <w:rsid w:val="006851D0"/>
    <w:rsid w:val="00685B25"/>
    <w:rsid w:val="00685BEE"/>
    <w:rsid w:val="00685DF9"/>
    <w:rsid w:val="00685F4F"/>
    <w:rsid w:val="0068621D"/>
    <w:rsid w:val="00686957"/>
    <w:rsid w:val="00686966"/>
    <w:rsid w:val="00686B4E"/>
    <w:rsid w:val="006872BA"/>
    <w:rsid w:val="00687574"/>
    <w:rsid w:val="00687BDF"/>
    <w:rsid w:val="00687D8F"/>
    <w:rsid w:val="006906D3"/>
    <w:rsid w:val="00690795"/>
    <w:rsid w:val="00690B0B"/>
    <w:rsid w:val="00690D76"/>
    <w:rsid w:val="00690F39"/>
    <w:rsid w:val="006911C5"/>
    <w:rsid w:val="006915BB"/>
    <w:rsid w:val="00691648"/>
    <w:rsid w:val="006917D7"/>
    <w:rsid w:val="006920DA"/>
    <w:rsid w:val="0069235E"/>
    <w:rsid w:val="00692F02"/>
    <w:rsid w:val="006932BF"/>
    <w:rsid w:val="00693BB3"/>
    <w:rsid w:val="0069434C"/>
    <w:rsid w:val="006943CA"/>
    <w:rsid w:val="00694D72"/>
    <w:rsid w:val="00694D7C"/>
    <w:rsid w:val="00694F44"/>
    <w:rsid w:val="006950D7"/>
    <w:rsid w:val="006957F7"/>
    <w:rsid w:val="006960F9"/>
    <w:rsid w:val="00696771"/>
    <w:rsid w:val="00696EF9"/>
    <w:rsid w:val="00696F51"/>
    <w:rsid w:val="006979A5"/>
    <w:rsid w:val="00697CD1"/>
    <w:rsid w:val="006A016F"/>
    <w:rsid w:val="006A0DF7"/>
    <w:rsid w:val="006A0F8E"/>
    <w:rsid w:val="006A2EF8"/>
    <w:rsid w:val="006A3799"/>
    <w:rsid w:val="006A4321"/>
    <w:rsid w:val="006A43D9"/>
    <w:rsid w:val="006A4EBB"/>
    <w:rsid w:val="006A4F5A"/>
    <w:rsid w:val="006A54DE"/>
    <w:rsid w:val="006A5A59"/>
    <w:rsid w:val="006A6B99"/>
    <w:rsid w:val="006A7A0E"/>
    <w:rsid w:val="006A7BA3"/>
    <w:rsid w:val="006A7E1F"/>
    <w:rsid w:val="006A7E5F"/>
    <w:rsid w:val="006A7E83"/>
    <w:rsid w:val="006B0DB5"/>
    <w:rsid w:val="006B12E7"/>
    <w:rsid w:val="006B1B93"/>
    <w:rsid w:val="006B1F38"/>
    <w:rsid w:val="006B21C4"/>
    <w:rsid w:val="006B25C2"/>
    <w:rsid w:val="006B261B"/>
    <w:rsid w:val="006B2763"/>
    <w:rsid w:val="006B2C90"/>
    <w:rsid w:val="006B34FF"/>
    <w:rsid w:val="006B35E6"/>
    <w:rsid w:val="006B465A"/>
    <w:rsid w:val="006B4B05"/>
    <w:rsid w:val="006B5275"/>
    <w:rsid w:val="006B5B89"/>
    <w:rsid w:val="006B5C66"/>
    <w:rsid w:val="006B6DD0"/>
    <w:rsid w:val="006B6E92"/>
    <w:rsid w:val="006B70E4"/>
    <w:rsid w:val="006B764A"/>
    <w:rsid w:val="006B7DD4"/>
    <w:rsid w:val="006B7DD9"/>
    <w:rsid w:val="006C0399"/>
    <w:rsid w:val="006C0438"/>
    <w:rsid w:val="006C0CCA"/>
    <w:rsid w:val="006C13F3"/>
    <w:rsid w:val="006C16F3"/>
    <w:rsid w:val="006C2773"/>
    <w:rsid w:val="006C2A8E"/>
    <w:rsid w:val="006C2B1B"/>
    <w:rsid w:val="006C2CAF"/>
    <w:rsid w:val="006C3255"/>
    <w:rsid w:val="006C3CCE"/>
    <w:rsid w:val="006C3F26"/>
    <w:rsid w:val="006C53B5"/>
    <w:rsid w:val="006C6A8D"/>
    <w:rsid w:val="006C7755"/>
    <w:rsid w:val="006C79A6"/>
    <w:rsid w:val="006C7DD1"/>
    <w:rsid w:val="006D0457"/>
    <w:rsid w:val="006D0B93"/>
    <w:rsid w:val="006D0D17"/>
    <w:rsid w:val="006D1155"/>
    <w:rsid w:val="006D1E79"/>
    <w:rsid w:val="006D25B6"/>
    <w:rsid w:val="006D2934"/>
    <w:rsid w:val="006D2DE5"/>
    <w:rsid w:val="006D3919"/>
    <w:rsid w:val="006D3C7D"/>
    <w:rsid w:val="006D4659"/>
    <w:rsid w:val="006D5483"/>
    <w:rsid w:val="006D5D5F"/>
    <w:rsid w:val="006D68FB"/>
    <w:rsid w:val="006D6A96"/>
    <w:rsid w:val="006D719F"/>
    <w:rsid w:val="006D73CF"/>
    <w:rsid w:val="006D7DEF"/>
    <w:rsid w:val="006E1B61"/>
    <w:rsid w:val="006E1EE9"/>
    <w:rsid w:val="006E2868"/>
    <w:rsid w:val="006E36A0"/>
    <w:rsid w:val="006E3F28"/>
    <w:rsid w:val="006E4FFD"/>
    <w:rsid w:val="006E6DE5"/>
    <w:rsid w:val="006E793F"/>
    <w:rsid w:val="006E7A06"/>
    <w:rsid w:val="006F020E"/>
    <w:rsid w:val="006F04E0"/>
    <w:rsid w:val="006F05CC"/>
    <w:rsid w:val="006F0A63"/>
    <w:rsid w:val="006F17C7"/>
    <w:rsid w:val="006F29E9"/>
    <w:rsid w:val="006F306C"/>
    <w:rsid w:val="006F42D3"/>
    <w:rsid w:val="006F465D"/>
    <w:rsid w:val="006F5410"/>
    <w:rsid w:val="006F5419"/>
    <w:rsid w:val="006F63A5"/>
    <w:rsid w:val="006F6539"/>
    <w:rsid w:val="006F6716"/>
    <w:rsid w:val="006F68D0"/>
    <w:rsid w:val="006F6E64"/>
    <w:rsid w:val="006F6EF4"/>
    <w:rsid w:val="006F71AF"/>
    <w:rsid w:val="006F754C"/>
    <w:rsid w:val="006F7904"/>
    <w:rsid w:val="007004FF"/>
    <w:rsid w:val="00700B45"/>
    <w:rsid w:val="00700B81"/>
    <w:rsid w:val="0070142B"/>
    <w:rsid w:val="007019E6"/>
    <w:rsid w:val="00701DA0"/>
    <w:rsid w:val="00702264"/>
    <w:rsid w:val="0070276E"/>
    <w:rsid w:val="00702D2A"/>
    <w:rsid w:val="00702F8F"/>
    <w:rsid w:val="0070333E"/>
    <w:rsid w:val="007037D4"/>
    <w:rsid w:val="007038A5"/>
    <w:rsid w:val="00704170"/>
    <w:rsid w:val="00704193"/>
    <w:rsid w:val="007052F9"/>
    <w:rsid w:val="007056F5"/>
    <w:rsid w:val="007060B8"/>
    <w:rsid w:val="0070624F"/>
    <w:rsid w:val="00706CCB"/>
    <w:rsid w:val="00706E82"/>
    <w:rsid w:val="00707057"/>
    <w:rsid w:val="007071EB"/>
    <w:rsid w:val="00707710"/>
    <w:rsid w:val="007079FC"/>
    <w:rsid w:val="00710F56"/>
    <w:rsid w:val="00711829"/>
    <w:rsid w:val="00711A36"/>
    <w:rsid w:val="007125D3"/>
    <w:rsid w:val="00713732"/>
    <w:rsid w:val="00713DFF"/>
    <w:rsid w:val="0071400B"/>
    <w:rsid w:val="00714373"/>
    <w:rsid w:val="00714C26"/>
    <w:rsid w:val="00714D81"/>
    <w:rsid w:val="0071529C"/>
    <w:rsid w:val="00715502"/>
    <w:rsid w:val="0071628B"/>
    <w:rsid w:val="0071655C"/>
    <w:rsid w:val="007167F2"/>
    <w:rsid w:val="007170DA"/>
    <w:rsid w:val="007172AD"/>
    <w:rsid w:val="00717546"/>
    <w:rsid w:val="007179C3"/>
    <w:rsid w:val="00720801"/>
    <w:rsid w:val="00720C6F"/>
    <w:rsid w:val="00720E7D"/>
    <w:rsid w:val="00721EA3"/>
    <w:rsid w:val="00721FC2"/>
    <w:rsid w:val="00722A96"/>
    <w:rsid w:val="00722B1B"/>
    <w:rsid w:val="00722B53"/>
    <w:rsid w:val="00723B60"/>
    <w:rsid w:val="0072416F"/>
    <w:rsid w:val="00724C65"/>
    <w:rsid w:val="00724FFF"/>
    <w:rsid w:val="00726D65"/>
    <w:rsid w:val="0072740D"/>
    <w:rsid w:val="00727545"/>
    <w:rsid w:val="007275A5"/>
    <w:rsid w:val="00727C94"/>
    <w:rsid w:val="0073058A"/>
    <w:rsid w:val="007314D0"/>
    <w:rsid w:val="007315A9"/>
    <w:rsid w:val="00731B0A"/>
    <w:rsid w:val="00731EAE"/>
    <w:rsid w:val="007322D2"/>
    <w:rsid w:val="00732D5A"/>
    <w:rsid w:val="00733073"/>
    <w:rsid w:val="0073308E"/>
    <w:rsid w:val="007338BA"/>
    <w:rsid w:val="00734C6C"/>
    <w:rsid w:val="00735033"/>
    <w:rsid w:val="00735189"/>
    <w:rsid w:val="0073528C"/>
    <w:rsid w:val="00735328"/>
    <w:rsid w:val="00735AE4"/>
    <w:rsid w:val="00736086"/>
    <w:rsid w:val="00736558"/>
    <w:rsid w:val="0073685B"/>
    <w:rsid w:val="00737E7D"/>
    <w:rsid w:val="00737F7E"/>
    <w:rsid w:val="00740F72"/>
    <w:rsid w:val="007412E2"/>
    <w:rsid w:val="007413D3"/>
    <w:rsid w:val="0074195C"/>
    <w:rsid w:val="0074366B"/>
    <w:rsid w:val="00743A8B"/>
    <w:rsid w:val="00743F92"/>
    <w:rsid w:val="007449BF"/>
    <w:rsid w:val="00745DF9"/>
    <w:rsid w:val="00746119"/>
    <w:rsid w:val="007463FE"/>
    <w:rsid w:val="00746911"/>
    <w:rsid w:val="00746BC0"/>
    <w:rsid w:val="0074799D"/>
    <w:rsid w:val="007507DF"/>
    <w:rsid w:val="00750E68"/>
    <w:rsid w:val="007510B4"/>
    <w:rsid w:val="00751397"/>
    <w:rsid w:val="007515EA"/>
    <w:rsid w:val="00751935"/>
    <w:rsid w:val="00751DFE"/>
    <w:rsid w:val="00752142"/>
    <w:rsid w:val="0075233F"/>
    <w:rsid w:val="00752384"/>
    <w:rsid w:val="007523F9"/>
    <w:rsid w:val="0075357E"/>
    <w:rsid w:val="00753ABB"/>
    <w:rsid w:val="00753B29"/>
    <w:rsid w:val="00754170"/>
    <w:rsid w:val="00754530"/>
    <w:rsid w:val="00754ADD"/>
    <w:rsid w:val="0075668C"/>
    <w:rsid w:val="00756963"/>
    <w:rsid w:val="007573E8"/>
    <w:rsid w:val="00760164"/>
    <w:rsid w:val="007602C6"/>
    <w:rsid w:val="00760441"/>
    <w:rsid w:val="00760C4E"/>
    <w:rsid w:val="00760CBB"/>
    <w:rsid w:val="00760EB2"/>
    <w:rsid w:val="00760F9E"/>
    <w:rsid w:val="007616E6"/>
    <w:rsid w:val="00762076"/>
    <w:rsid w:val="007627BE"/>
    <w:rsid w:val="00762A42"/>
    <w:rsid w:val="00762DD6"/>
    <w:rsid w:val="00762FB1"/>
    <w:rsid w:val="00763922"/>
    <w:rsid w:val="00763CA9"/>
    <w:rsid w:val="00764F03"/>
    <w:rsid w:val="00765676"/>
    <w:rsid w:val="00765876"/>
    <w:rsid w:val="00765B1A"/>
    <w:rsid w:val="00765DC1"/>
    <w:rsid w:val="007668EA"/>
    <w:rsid w:val="00766F70"/>
    <w:rsid w:val="00767224"/>
    <w:rsid w:val="007672FB"/>
    <w:rsid w:val="00767EA0"/>
    <w:rsid w:val="007704A5"/>
    <w:rsid w:val="00770E75"/>
    <w:rsid w:val="00770E8A"/>
    <w:rsid w:val="0077113B"/>
    <w:rsid w:val="0077128D"/>
    <w:rsid w:val="007713DD"/>
    <w:rsid w:val="007718CE"/>
    <w:rsid w:val="00772DFE"/>
    <w:rsid w:val="00772F5A"/>
    <w:rsid w:val="00772F93"/>
    <w:rsid w:val="00773B52"/>
    <w:rsid w:val="00774224"/>
    <w:rsid w:val="00774610"/>
    <w:rsid w:val="00774B20"/>
    <w:rsid w:val="00775EE2"/>
    <w:rsid w:val="007761E7"/>
    <w:rsid w:val="00776DE6"/>
    <w:rsid w:val="00776FC3"/>
    <w:rsid w:val="00777335"/>
    <w:rsid w:val="00777922"/>
    <w:rsid w:val="00777A78"/>
    <w:rsid w:val="00777E23"/>
    <w:rsid w:val="00780088"/>
    <w:rsid w:val="007804A6"/>
    <w:rsid w:val="007807ED"/>
    <w:rsid w:val="00780C55"/>
    <w:rsid w:val="00780D05"/>
    <w:rsid w:val="0078114C"/>
    <w:rsid w:val="00781C1B"/>
    <w:rsid w:val="00781D49"/>
    <w:rsid w:val="00781DBE"/>
    <w:rsid w:val="007822DF"/>
    <w:rsid w:val="00782A2B"/>
    <w:rsid w:val="007843F2"/>
    <w:rsid w:val="00784417"/>
    <w:rsid w:val="007846FA"/>
    <w:rsid w:val="0078476B"/>
    <w:rsid w:val="00784AFC"/>
    <w:rsid w:val="00784B9E"/>
    <w:rsid w:val="0078512F"/>
    <w:rsid w:val="00785A9F"/>
    <w:rsid w:val="00786453"/>
    <w:rsid w:val="007865E2"/>
    <w:rsid w:val="00786726"/>
    <w:rsid w:val="00786E72"/>
    <w:rsid w:val="00787857"/>
    <w:rsid w:val="007900E1"/>
    <w:rsid w:val="00790769"/>
    <w:rsid w:val="007925DF"/>
    <w:rsid w:val="007928D6"/>
    <w:rsid w:val="00794481"/>
    <w:rsid w:val="0079502A"/>
    <w:rsid w:val="00795B70"/>
    <w:rsid w:val="0079607F"/>
    <w:rsid w:val="00796D1B"/>
    <w:rsid w:val="00797D2D"/>
    <w:rsid w:val="007A00A5"/>
    <w:rsid w:val="007A08AA"/>
    <w:rsid w:val="007A0A12"/>
    <w:rsid w:val="007A1079"/>
    <w:rsid w:val="007A132D"/>
    <w:rsid w:val="007A1345"/>
    <w:rsid w:val="007A2AC1"/>
    <w:rsid w:val="007A2BF6"/>
    <w:rsid w:val="007A2CA2"/>
    <w:rsid w:val="007A2DD3"/>
    <w:rsid w:val="007A2DDB"/>
    <w:rsid w:val="007A3163"/>
    <w:rsid w:val="007A317C"/>
    <w:rsid w:val="007A4A4B"/>
    <w:rsid w:val="007A5157"/>
    <w:rsid w:val="007A543F"/>
    <w:rsid w:val="007A581A"/>
    <w:rsid w:val="007A58B9"/>
    <w:rsid w:val="007A6B91"/>
    <w:rsid w:val="007A70BA"/>
    <w:rsid w:val="007A741D"/>
    <w:rsid w:val="007A7786"/>
    <w:rsid w:val="007B03CA"/>
    <w:rsid w:val="007B0649"/>
    <w:rsid w:val="007B0D68"/>
    <w:rsid w:val="007B0DD2"/>
    <w:rsid w:val="007B1AFF"/>
    <w:rsid w:val="007B1B0D"/>
    <w:rsid w:val="007B251D"/>
    <w:rsid w:val="007B2AD9"/>
    <w:rsid w:val="007B3185"/>
    <w:rsid w:val="007B3533"/>
    <w:rsid w:val="007B37E5"/>
    <w:rsid w:val="007B3AFF"/>
    <w:rsid w:val="007B4689"/>
    <w:rsid w:val="007B4836"/>
    <w:rsid w:val="007B4F58"/>
    <w:rsid w:val="007B528D"/>
    <w:rsid w:val="007B57D6"/>
    <w:rsid w:val="007B5C0E"/>
    <w:rsid w:val="007B61A3"/>
    <w:rsid w:val="007B63CA"/>
    <w:rsid w:val="007B68A2"/>
    <w:rsid w:val="007B7247"/>
    <w:rsid w:val="007B735F"/>
    <w:rsid w:val="007B74B0"/>
    <w:rsid w:val="007B77D1"/>
    <w:rsid w:val="007C0319"/>
    <w:rsid w:val="007C057D"/>
    <w:rsid w:val="007C07C7"/>
    <w:rsid w:val="007C199C"/>
    <w:rsid w:val="007C1CD9"/>
    <w:rsid w:val="007C1ED5"/>
    <w:rsid w:val="007C2209"/>
    <w:rsid w:val="007C23E0"/>
    <w:rsid w:val="007C2909"/>
    <w:rsid w:val="007C32EF"/>
    <w:rsid w:val="007C361D"/>
    <w:rsid w:val="007C3D1D"/>
    <w:rsid w:val="007C4B84"/>
    <w:rsid w:val="007C4B9D"/>
    <w:rsid w:val="007C57F5"/>
    <w:rsid w:val="007C6BF8"/>
    <w:rsid w:val="007C6F49"/>
    <w:rsid w:val="007C70FF"/>
    <w:rsid w:val="007C7C25"/>
    <w:rsid w:val="007D001B"/>
    <w:rsid w:val="007D004F"/>
    <w:rsid w:val="007D035F"/>
    <w:rsid w:val="007D042B"/>
    <w:rsid w:val="007D0523"/>
    <w:rsid w:val="007D05D6"/>
    <w:rsid w:val="007D06B2"/>
    <w:rsid w:val="007D0732"/>
    <w:rsid w:val="007D0B38"/>
    <w:rsid w:val="007D0B9A"/>
    <w:rsid w:val="007D0E65"/>
    <w:rsid w:val="007D1236"/>
    <w:rsid w:val="007D12EB"/>
    <w:rsid w:val="007D1750"/>
    <w:rsid w:val="007D2EC3"/>
    <w:rsid w:val="007D30AE"/>
    <w:rsid w:val="007D376B"/>
    <w:rsid w:val="007D3B60"/>
    <w:rsid w:val="007D5333"/>
    <w:rsid w:val="007D5440"/>
    <w:rsid w:val="007D6340"/>
    <w:rsid w:val="007D6899"/>
    <w:rsid w:val="007D69EB"/>
    <w:rsid w:val="007D78D8"/>
    <w:rsid w:val="007D7FAB"/>
    <w:rsid w:val="007E0258"/>
    <w:rsid w:val="007E02EF"/>
    <w:rsid w:val="007E0377"/>
    <w:rsid w:val="007E0418"/>
    <w:rsid w:val="007E0769"/>
    <w:rsid w:val="007E0824"/>
    <w:rsid w:val="007E0AD2"/>
    <w:rsid w:val="007E128F"/>
    <w:rsid w:val="007E231B"/>
    <w:rsid w:val="007E2944"/>
    <w:rsid w:val="007E31B1"/>
    <w:rsid w:val="007E3BF3"/>
    <w:rsid w:val="007E449E"/>
    <w:rsid w:val="007E585F"/>
    <w:rsid w:val="007E5981"/>
    <w:rsid w:val="007E5CF5"/>
    <w:rsid w:val="007E62BC"/>
    <w:rsid w:val="007E6800"/>
    <w:rsid w:val="007E6813"/>
    <w:rsid w:val="007E6945"/>
    <w:rsid w:val="007E6ECE"/>
    <w:rsid w:val="007E7B92"/>
    <w:rsid w:val="007F06DA"/>
    <w:rsid w:val="007F1017"/>
    <w:rsid w:val="007F137A"/>
    <w:rsid w:val="007F16C4"/>
    <w:rsid w:val="007F2FBD"/>
    <w:rsid w:val="007F3E25"/>
    <w:rsid w:val="007F4A3F"/>
    <w:rsid w:val="007F4A61"/>
    <w:rsid w:val="007F5255"/>
    <w:rsid w:val="007F56CC"/>
    <w:rsid w:val="007F57A0"/>
    <w:rsid w:val="007F61C2"/>
    <w:rsid w:val="007F6EAC"/>
    <w:rsid w:val="007F7523"/>
    <w:rsid w:val="007F7843"/>
    <w:rsid w:val="00800BA2"/>
    <w:rsid w:val="00800CCC"/>
    <w:rsid w:val="00800F3F"/>
    <w:rsid w:val="00801524"/>
    <w:rsid w:val="00801A92"/>
    <w:rsid w:val="00801C9C"/>
    <w:rsid w:val="0080232C"/>
    <w:rsid w:val="008033DF"/>
    <w:rsid w:val="00803A96"/>
    <w:rsid w:val="00803AA7"/>
    <w:rsid w:val="00804897"/>
    <w:rsid w:val="00804A75"/>
    <w:rsid w:val="00805142"/>
    <w:rsid w:val="00805492"/>
    <w:rsid w:val="00805C27"/>
    <w:rsid w:val="00805FCE"/>
    <w:rsid w:val="00806608"/>
    <w:rsid w:val="008074BE"/>
    <w:rsid w:val="00807A8B"/>
    <w:rsid w:val="0081076F"/>
    <w:rsid w:val="00810BC7"/>
    <w:rsid w:val="00811383"/>
    <w:rsid w:val="008115B0"/>
    <w:rsid w:val="00811AD4"/>
    <w:rsid w:val="00811F06"/>
    <w:rsid w:val="00812149"/>
    <w:rsid w:val="008123BE"/>
    <w:rsid w:val="00812AC7"/>
    <w:rsid w:val="00812ACE"/>
    <w:rsid w:val="00812B8C"/>
    <w:rsid w:val="00812CAC"/>
    <w:rsid w:val="00813926"/>
    <w:rsid w:val="0081436F"/>
    <w:rsid w:val="00814463"/>
    <w:rsid w:val="008144A3"/>
    <w:rsid w:val="0081477B"/>
    <w:rsid w:val="00814997"/>
    <w:rsid w:val="008153A9"/>
    <w:rsid w:val="008156B7"/>
    <w:rsid w:val="00815BB1"/>
    <w:rsid w:val="00816361"/>
    <w:rsid w:val="008166EF"/>
    <w:rsid w:val="00816FEF"/>
    <w:rsid w:val="00817513"/>
    <w:rsid w:val="00817722"/>
    <w:rsid w:val="00820A2E"/>
    <w:rsid w:val="00820A8C"/>
    <w:rsid w:val="00820E6B"/>
    <w:rsid w:val="008215FB"/>
    <w:rsid w:val="008220CC"/>
    <w:rsid w:val="00823174"/>
    <w:rsid w:val="008234E9"/>
    <w:rsid w:val="008239D7"/>
    <w:rsid w:val="00824C42"/>
    <w:rsid w:val="008255A8"/>
    <w:rsid w:val="00825751"/>
    <w:rsid w:val="00825E5D"/>
    <w:rsid w:val="008264EB"/>
    <w:rsid w:val="008268CE"/>
    <w:rsid w:val="00826FCF"/>
    <w:rsid w:val="00827674"/>
    <w:rsid w:val="00827C23"/>
    <w:rsid w:val="00827E25"/>
    <w:rsid w:val="008315E4"/>
    <w:rsid w:val="00831641"/>
    <w:rsid w:val="00831B31"/>
    <w:rsid w:val="00832737"/>
    <w:rsid w:val="00832A33"/>
    <w:rsid w:val="008333DA"/>
    <w:rsid w:val="00833B01"/>
    <w:rsid w:val="00833B05"/>
    <w:rsid w:val="00834208"/>
    <w:rsid w:val="00834275"/>
    <w:rsid w:val="00834BA8"/>
    <w:rsid w:val="00835490"/>
    <w:rsid w:val="0083561E"/>
    <w:rsid w:val="008362B4"/>
    <w:rsid w:val="00836D6F"/>
    <w:rsid w:val="008377C3"/>
    <w:rsid w:val="00837D9F"/>
    <w:rsid w:val="00837FF7"/>
    <w:rsid w:val="008404B5"/>
    <w:rsid w:val="00840503"/>
    <w:rsid w:val="00840903"/>
    <w:rsid w:val="00840CA2"/>
    <w:rsid w:val="008415CF"/>
    <w:rsid w:val="00841B6A"/>
    <w:rsid w:val="00841F02"/>
    <w:rsid w:val="00842145"/>
    <w:rsid w:val="00842BC5"/>
    <w:rsid w:val="00842DEF"/>
    <w:rsid w:val="008430C0"/>
    <w:rsid w:val="0084374F"/>
    <w:rsid w:val="008449E6"/>
    <w:rsid w:val="00844A22"/>
    <w:rsid w:val="0084517D"/>
    <w:rsid w:val="00845DBE"/>
    <w:rsid w:val="00847582"/>
    <w:rsid w:val="00847703"/>
    <w:rsid w:val="00847DF5"/>
    <w:rsid w:val="00847E91"/>
    <w:rsid w:val="008513C1"/>
    <w:rsid w:val="00851827"/>
    <w:rsid w:val="008529EC"/>
    <w:rsid w:val="0085309D"/>
    <w:rsid w:val="008530F6"/>
    <w:rsid w:val="00853A82"/>
    <w:rsid w:val="00853DA2"/>
    <w:rsid w:val="00853E33"/>
    <w:rsid w:val="0085450B"/>
    <w:rsid w:val="00855F19"/>
    <w:rsid w:val="008563DC"/>
    <w:rsid w:val="00856897"/>
    <w:rsid w:val="00856AED"/>
    <w:rsid w:val="00856E9A"/>
    <w:rsid w:val="00857114"/>
    <w:rsid w:val="0085723D"/>
    <w:rsid w:val="008576C8"/>
    <w:rsid w:val="00857FD4"/>
    <w:rsid w:val="0086075D"/>
    <w:rsid w:val="00860CD2"/>
    <w:rsid w:val="008613AB"/>
    <w:rsid w:val="00861F86"/>
    <w:rsid w:val="0086248E"/>
    <w:rsid w:val="00862502"/>
    <w:rsid w:val="00862C0B"/>
    <w:rsid w:val="00862CC1"/>
    <w:rsid w:val="008639BB"/>
    <w:rsid w:val="00863A71"/>
    <w:rsid w:val="008642A7"/>
    <w:rsid w:val="0086432E"/>
    <w:rsid w:val="00864409"/>
    <w:rsid w:val="008660D4"/>
    <w:rsid w:val="00866719"/>
    <w:rsid w:val="008718ED"/>
    <w:rsid w:val="00871AD3"/>
    <w:rsid w:val="00871FA9"/>
    <w:rsid w:val="0087257A"/>
    <w:rsid w:val="008728E9"/>
    <w:rsid w:val="00873220"/>
    <w:rsid w:val="008737B9"/>
    <w:rsid w:val="0087475C"/>
    <w:rsid w:val="00874B50"/>
    <w:rsid w:val="00875082"/>
    <w:rsid w:val="00875686"/>
    <w:rsid w:val="0087608A"/>
    <w:rsid w:val="008762D5"/>
    <w:rsid w:val="008764E1"/>
    <w:rsid w:val="0087772C"/>
    <w:rsid w:val="00877A03"/>
    <w:rsid w:val="00877ED0"/>
    <w:rsid w:val="0088004E"/>
    <w:rsid w:val="00880190"/>
    <w:rsid w:val="00880869"/>
    <w:rsid w:val="00881236"/>
    <w:rsid w:val="0088149B"/>
    <w:rsid w:val="008822D6"/>
    <w:rsid w:val="008827F9"/>
    <w:rsid w:val="00882874"/>
    <w:rsid w:val="00882C6F"/>
    <w:rsid w:val="00882CA4"/>
    <w:rsid w:val="00882E3C"/>
    <w:rsid w:val="0088308A"/>
    <w:rsid w:val="00883212"/>
    <w:rsid w:val="00883787"/>
    <w:rsid w:val="00883A99"/>
    <w:rsid w:val="008847AD"/>
    <w:rsid w:val="00884A26"/>
    <w:rsid w:val="008855E4"/>
    <w:rsid w:val="00885655"/>
    <w:rsid w:val="00885A40"/>
    <w:rsid w:val="00886722"/>
    <w:rsid w:val="00886911"/>
    <w:rsid w:val="00886ABE"/>
    <w:rsid w:val="00886CD2"/>
    <w:rsid w:val="00887733"/>
    <w:rsid w:val="00887776"/>
    <w:rsid w:val="00887885"/>
    <w:rsid w:val="008878A2"/>
    <w:rsid w:val="00887F51"/>
    <w:rsid w:val="00890D36"/>
    <w:rsid w:val="00891222"/>
    <w:rsid w:val="008913B2"/>
    <w:rsid w:val="0089148A"/>
    <w:rsid w:val="00891641"/>
    <w:rsid w:val="00891E6F"/>
    <w:rsid w:val="0089209F"/>
    <w:rsid w:val="008921BC"/>
    <w:rsid w:val="008923AF"/>
    <w:rsid w:val="0089275D"/>
    <w:rsid w:val="00892A36"/>
    <w:rsid w:val="00892BA5"/>
    <w:rsid w:val="00892F07"/>
    <w:rsid w:val="00893239"/>
    <w:rsid w:val="00893416"/>
    <w:rsid w:val="00894489"/>
    <w:rsid w:val="0089449F"/>
    <w:rsid w:val="00894CD6"/>
    <w:rsid w:val="00894CE9"/>
    <w:rsid w:val="00894DCF"/>
    <w:rsid w:val="00894E87"/>
    <w:rsid w:val="00895779"/>
    <w:rsid w:val="0089580D"/>
    <w:rsid w:val="00895DAE"/>
    <w:rsid w:val="008963A5"/>
    <w:rsid w:val="008966E1"/>
    <w:rsid w:val="00896D5D"/>
    <w:rsid w:val="008A0ACE"/>
    <w:rsid w:val="008A10C1"/>
    <w:rsid w:val="008A172C"/>
    <w:rsid w:val="008A189C"/>
    <w:rsid w:val="008A3158"/>
    <w:rsid w:val="008A3363"/>
    <w:rsid w:val="008A3371"/>
    <w:rsid w:val="008A381F"/>
    <w:rsid w:val="008A394E"/>
    <w:rsid w:val="008A3C3E"/>
    <w:rsid w:val="008A3C5C"/>
    <w:rsid w:val="008A4118"/>
    <w:rsid w:val="008A574E"/>
    <w:rsid w:val="008A576B"/>
    <w:rsid w:val="008A67DE"/>
    <w:rsid w:val="008A6844"/>
    <w:rsid w:val="008A6E43"/>
    <w:rsid w:val="008A79DE"/>
    <w:rsid w:val="008B082D"/>
    <w:rsid w:val="008B087F"/>
    <w:rsid w:val="008B1757"/>
    <w:rsid w:val="008B1C33"/>
    <w:rsid w:val="008B2428"/>
    <w:rsid w:val="008B25D6"/>
    <w:rsid w:val="008B301E"/>
    <w:rsid w:val="008B3AEC"/>
    <w:rsid w:val="008B4258"/>
    <w:rsid w:val="008B4AB0"/>
    <w:rsid w:val="008B4B6F"/>
    <w:rsid w:val="008B68B9"/>
    <w:rsid w:val="008B709C"/>
    <w:rsid w:val="008B7205"/>
    <w:rsid w:val="008B7992"/>
    <w:rsid w:val="008B7D7E"/>
    <w:rsid w:val="008C00F2"/>
    <w:rsid w:val="008C20D3"/>
    <w:rsid w:val="008C27AE"/>
    <w:rsid w:val="008C2ECA"/>
    <w:rsid w:val="008C4145"/>
    <w:rsid w:val="008C43C2"/>
    <w:rsid w:val="008C46F0"/>
    <w:rsid w:val="008C4B8E"/>
    <w:rsid w:val="008C5001"/>
    <w:rsid w:val="008C51BE"/>
    <w:rsid w:val="008C52C3"/>
    <w:rsid w:val="008C5610"/>
    <w:rsid w:val="008C5739"/>
    <w:rsid w:val="008C5A10"/>
    <w:rsid w:val="008C5EDB"/>
    <w:rsid w:val="008C5EFD"/>
    <w:rsid w:val="008C627B"/>
    <w:rsid w:val="008C6E77"/>
    <w:rsid w:val="008C7245"/>
    <w:rsid w:val="008C7282"/>
    <w:rsid w:val="008C72AB"/>
    <w:rsid w:val="008C76AA"/>
    <w:rsid w:val="008C76F6"/>
    <w:rsid w:val="008C7ECB"/>
    <w:rsid w:val="008D0173"/>
    <w:rsid w:val="008D13DB"/>
    <w:rsid w:val="008D1454"/>
    <w:rsid w:val="008D282D"/>
    <w:rsid w:val="008D3B15"/>
    <w:rsid w:val="008D3B86"/>
    <w:rsid w:val="008D43FD"/>
    <w:rsid w:val="008D4755"/>
    <w:rsid w:val="008D48E0"/>
    <w:rsid w:val="008D49D8"/>
    <w:rsid w:val="008D4C3D"/>
    <w:rsid w:val="008D564C"/>
    <w:rsid w:val="008D569C"/>
    <w:rsid w:val="008D610B"/>
    <w:rsid w:val="008D6523"/>
    <w:rsid w:val="008D6C05"/>
    <w:rsid w:val="008D6F91"/>
    <w:rsid w:val="008D6FB0"/>
    <w:rsid w:val="008D714E"/>
    <w:rsid w:val="008D743C"/>
    <w:rsid w:val="008E052D"/>
    <w:rsid w:val="008E0BAB"/>
    <w:rsid w:val="008E0D3C"/>
    <w:rsid w:val="008E12AF"/>
    <w:rsid w:val="008E1407"/>
    <w:rsid w:val="008E1B9E"/>
    <w:rsid w:val="008E1BD9"/>
    <w:rsid w:val="008E1C13"/>
    <w:rsid w:val="008E1C15"/>
    <w:rsid w:val="008E1E5F"/>
    <w:rsid w:val="008E2818"/>
    <w:rsid w:val="008E304A"/>
    <w:rsid w:val="008E3E35"/>
    <w:rsid w:val="008E47BE"/>
    <w:rsid w:val="008E48EC"/>
    <w:rsid w:val="008E55AB"/>
    <w:rsid w:val="008E62B0"/>
    <w:rsid w:val="008E714E"/>
    <w:rsid w:val="008E76C4"/>
    <w:rsid w:val="008E79E6"/>
    <w:rsid w:val="008F0603"/>
    <w:rsid w:val="008F09C3"/>
    <w:rsid w:val="008F0EE9"/>
    <w:rsid w:val="008F120A"/>
    <w:rsid w:val="008F1B25"/>
    <w:rsid w:val="008F1D74"/>
    <w:rsid w:val="008F22F6"/>
    <w:rsid w:val="008F27E0"/>
    <w:rsid w:val="008F36AD"/>
    <w:rsid w:val="008F37FB"/>
    <w:rsid w:val="008F38F1"/>
    <w:rsid w:val="008F4431"/>
    <w:rsid w:val="008F48EB"/>
    <w:rsid w:val="008F49B8"/>
    <w:rsid w:val="008F4F0B"/>
    <w:rsid w:val="008F6397"/>
    <w:rsid w:val="008F6965"/>
    <w:rsid w:val="009000AC"/>
    <w:rsid w:val="009009A7"/>
    <w:rsid w:val="00900D84"/>
    <w:rsid w:val="00900DEC"/>
    <w:rsid w:val="0090187B"/>
    <w:rsid w:val="00901B7A"/>
    <w:rsid w:val="00901D87"/>
    <w:rsid w:val="00901EEB"/>
    <w:rsid w:val="00902102"/>
    <w:rsid w:val="009022EA"/>
    <w:rsid w:val="0090270E"/>
    <w:rsid w:val="00902B99"/>
    <w:rsid w:val="009032DA"/>
    <w:rsid w:val="0090370B"/>
    <w:rsid w:val="00903EBD"/>
    <w:rsid w:val="00903F60"/>
    <w:rsid w:val="009046C4"/>
    <w:rsid w:val="00904735"/>
    <w:rsid w:val="009049F2"/>
    <w:rsid w:val="009060D1"/>
    <w:rsid w:val="0090626A"/>
    <w:rsid w:val="009062A5"/>
    <w:rsid w:val="009063DE"/>
    <w:rsid w:val="00906DFD"/>
    <w:rsid w:val="00907699"/>
    <w:rsid w:val="00907ED6"/>
    <w:rsid w:val="00910958"/>
    <w:rsid w:val="00910CFD"/>
    <w:rsid w:val="00910FA7"/>
    <w:rsid w:val="00911272"/>
    <w:rsid w:val="00911339"/>
    <w:rsid w:val="00911BCA"/>
    <w:rsid w:val="0091328A"/>
    <w:rsid w:val="009132EA"/>
    <w:rsid w:val="009135D6"/>
    <w:rsid w:val="009141B3"/>
    <w:rsid w:val="0091455C"/>
    <w:rsid w:val="00914947"/>
    <w:rsid w:val="00914C77"/>
    <w:rsid w:val="00915494"/>
    <w:rsid w:val="00915665"/>
    <w:rsid w:val="00915D3A"/>
    <w:rsid w:val="009165DD"/>
    <w:rsid w:val="0091680B"/>
    <w:rsid w:val="00916F8A"/>
    <w:rsid w:val="0091702F"/>
    <w:rsid w:val="00917487"/>
    <w:rsid w:val="00917DCA"/>
    <w:rsid w:val="009204AC"/>
    <w:rsid w:val="009212B1"/>
    <w:rsid w:val="009214C3"/>
    <w:rsid w:val="009215D9"/>
    <w:rsid w:val="0092164F"/>
    <w:rsid w:val="00921ACB"/>
    <w:rsid w:val="00921D27"/>
    <w:rsid w:val="00922125"/>
    <w:rsid w:val="00922342"/>
    <w:rsid w:val="009223C3"/>
    <w:rsid w:val="0092369B"/>
    <w:rsid w:val="00923817"/>
    <w:rsid w:val="0092413B"/>
    <w:rsid w:val="0092439A"/>
    <w:rsid w:val="00924AA5"/>
    <w:rsid w:val="0092548B"/>
    <w:rsid w:val="00925AA2"/>
    <w:rsid w:val="00925AC2"/>
    <w:rsid w:val="009260F5"/>
    <w:rsid w:val="009262C0"/>
    <w:rsid w:val="00926671"/>
    <w:rsid w:val="00927122"/>
    <w:rsid w:val="0092712B"/>
    <w:rsid w:val="0092779C"/>
    <w:rsid w:val="00930208"/>
    <w:rsid w:val="00930447"/>
    <w:rsid w:val="00930BFB"/>
    <w:rsid w:val="00930E03"/>
    <w:rsid w:val="009317C3"/>
    <w:rsid w:val="009323B1"/>
    <w:rsid w:val="009329AD"/>
    <w:rsid w:val="0093303C"/>
    <w:rsid w:val="00933213"/>
    <w:rsid w:val="0093333A"/>
    <w:rsid w:val="00933C84"/>
    <w:rsid w:val="00934988"/>
    <w:rsid w:val="00934AD5"/>
    <w:rsid w:val="00935836"/>
    <w:rsid w:val="00936425"/>
    <w:rsid w:val="00936721"/>
    <w:rsid w:val="00936A1F"/>
    <w:rsid w:val="00937089"/>
    <w:rsid w:val="00937384"/>
    <w:rsid w:val="009377C2"/>
    <w:rsid w:val="0094071F"/>
    <w:rsid w:val="00941462"/>
    <w:rsid w:val="0094199E"/>
    <w:rsid w:val="00941E33"/>
    <w:rsid w:val="0094223F"/>
    <w:rsid w:val="00943059"/>
    <w:rsid w:val="00943A44"/>
    <w:rsid w:val="00944F8A"/>
    <w:rsid w:val="009453A5"/>
    <w:rsid w:val="00945532"/>
    <w:rsid w:val="00945C1E"/>
    <w:rsid w:val="00945C5D"/>
    <w:rsid w:val="00945F4B"/>
    <w:rsid w:val="00946D5C"/>
    <w:rsid w:val="00946E48"/>
    <w:rsid w:val="0094739E"/>
    <w:rsid w:val="009474FB"/>
    <w:rsid w:val="00947DE9"/>
    <w:rsid w:val="00950265"/>
    <w:rsid w:val="009510A2"/>
    <w:rsid w:val="009511B9"/>
    <w:rsid w:val="009511C5"/>
    <w:rsid w:val="00951504"/>
    <w:rsid w:val="00952583"/>
    <w:rsid w:val="009531C3"/>
    <w:rsid w:val="00953257"/>
    <w:rsid w:val="00953294"/>
    <w:rsid w:val="00953399"/>
    <w:rsid w:val="00953C4F"/>
    <w:rsid w:val="00953DF1"/>
    <w:rsid w:val="00954481"/>
    <w:rsid w:val="0095474C"/>
    <w:rsid w:val="009549B0"/>
    <w:rsid w:val="009549FE"/>
    <w:rsid w:val="00954E7A"/>
    <w:rsid w:val="0095509F"/>
    <w:rsid w:val="009552E4"/>
    <w:rsid w:val="009558EA"/>
    <w:rsid w:val="00955AC4"/>
    <w:rsid w:val="009560BE"/>
    <w:rsid w:val="00956916"/>
    <w:rsid w:val="009579E2"/>
    <w:rsid w:val="00957D92"/>
    <w:rsid w:val="00960437"/>
    <w:rsid w:val="00960690"/>
    <w:rsid w:val="009606AE"/>
    <w:rsid w:val="00960A35"/>
    <w:rsid w:val="00961185"/>
    <w:rsid w:val="009622DE"/>
    <w:rsid w:val="00962CB9"/>
    <w:rsid w:val="00963287"/>
    <w:rsid w:val="009642CD"/>
    <w:rsid w:val="00964312"/>
    <w:rsid w:val="00964510"/>
    <w:rsid w:val="00964785"/>
    <w:rsid w:val="00965A31"/>
    <w:rsid w:val="00965B8A"/>
    <w:rsid w:val="009666AF"/>
    <w:rsid w:val="00966944"/>
    <w:rsid w:val="00967352"/>
    <w:rsid w:val="009673B1"/>
    <w:rsid w:val="00967705"/>
    <w:rsid w:val="00967E55"/>
    <w:rsid w:val="00967E6D"/>
    <w:rsid w:val="0097071F"/>
    <w:rsid w:val="00970FA4"/>
    <w:rsid w:val="00971695"/>
    <w:rsid w:val="009717AC"/>
    <w:rsid w:val="009734FD"/>
    <w:rsid w:val="00973860"/>
    <w:rsid w:val="00974741"/>
    <w:rsid w:val="009751C1"/>
    <w:rsid w:val="0097527C"/>
    <w:rsid w:val="009769BF"/>
    <w:rsid w:val="009773C9"/>
    <w:rsid w:val="0098035B"/>
    <w:rsid w:val="00980535"/>
    <w:rsid w:val="009809BD"/>
    <w:rsid w:val="009811F1"/>
    <w:rsid w:val="00981955"/>
    <w:rsid w:val="009830B6"/>
    <w:rsid w:val="00983386"/>
    <w:rsid w:val="00983E57"/>
    <w:rsid w:val="00984060"/>
    <w:rsid w:val="0098445A"/>
    <w:rsid w:val="00985356"/>
    <w:rsid w:val="00985396"/>
    <w:rsid w:val="00985DE2"/>
    <w:rsid w:val="00986648"/>
    <w:rsid w:val="0098675D"/>
    <w:rsid w:val="00987211"/>
    <w:rsid w:val="00987BA4"/>
    <w:rsid w:val="00990060"/>
    <w:rsid w:val="0099070C"/>
    <w:rsid w:val="00990852"/>
    <w:rsid w:val="00990900"/>
    <w:rsid w:val="0099147A"/>
    <w:rsid w:val="00991A5C"/>
    <w:rsid w:val="00992344"/>
    <w:rsid w:val="009926E0"/>
    <w:rsid w:val="00992B80"/>
    <w:rsid w:val="0099393F"/>
    <w:rsid w:val="0099434E"/>
    <w:rsid w:val="009944B9"/>
    <w:rsid w:val="0099451E"/>
    <w:rsid w:val="00994760"/>
    <w:rsid w:val="00995005"/>
    <w:rsid w:val="009951C2"/>
    <w:rsid w:val="0099521B"/>
    <w:rsid w:val="00996B1A"/>
    <w:rsid w:val="0099739A"/>
    <w:rsid w:val="009979FE"/>
    <w:rsid w:val="009A03F9"/>
    <w:rsid w:val="009A100A"/>
    <w:rsid w:val="009A18F6"/>
    <w:rsid w:val="009A1A06"/>
    <w:rsid w:val="009A2442"/>
    <w:rsid w:val="009A2524"/>
    <w:rsid w:val="009A2C95"/>
    <w:rsid w:val="009A2DCC"/>
    <w:rsid w:val="009A2ECD"/>
    <w:rsid w:val="009A399F"/>
    <w:rsid w:val="009A4082"/>
    <w:rsid w:val="009A4385"/>
    <w:rsid w:val="009A43B7"/>
    <w:rsid w:val="009A543C"/>
    <w:rsid w:val="009A5743"/>
    <w:rsid w:val="009A5A63"/>
    <w:rsid w:val="009A5ABC"/>
    <w:rsid w:val="009A60A2"/>
    <w:rsid w:val="009A6B0C"/>
    <w:rsid w:val="009A77B1"/>
    <w:rsid w:val="009A7A37"/>
    <w:rsid w:val="009A7F10"/>
    <w:rsid w:val="009B0041"/>
    <w:rsid w:val="009B058B"/>
    <w:rsid w:val="009B09C4"/>
    <w:rsid w:val="009B0BF8"/>
    <w:rsid w:val="009B0F80"/>
    <w:rsid w:val="009B185C"/>
    <w:rsid w:val="009B18AD"/>
    <w:rsid w:val="009B1BB0"/>
    <w:rsid w:val="009B1EAD"/>
    <w:rsid w:val="009B20C0"/>
    <w:rsid w:val="009B274A"/>
    <w:rsid w:val="009B2A7D"/>
    <w:rsid w:val="009B3C65"/>
    <w:rsid w:val="009B3E26"/>
    <w:rsid w:val="009B5B3E"/>
    <w:rsid w:val="009B5BA6"/>
    <w:rsid w:val="009B5EAF"/>
    <w:rsid w:val="009B5F76"/>
    <w:rsid w:val="009B623E"/>
    <w:rsid w:val="009B759B"/>
    <w:rsid w:val="009C0557"/>
    <w:rsid w:val="009C11D4"/>
    <w:rsid w:val="009C1271"/>
    <w:rsid w:val="009C1344"/>
    <w:rsid w:val="009C1EBD"/>
    <w:rsid w:val="009C2AEF"/>
    <w:rsid w:val="009C31FC"/>
    <w:rsid w:val="009C3706"/>
    <w:rsid w:val="009C3A3A"/>
    <w:rsid w:val="009C454E"/>
    <w:rsid w:val="009C4690"/>
    <w:rsid w:val="009C5177"/>
    <w:rsid w:val="009C594A"/>
    <w:rsid w:val="009C6275"/>
    <w:rsid w:val="009C687B"/>
    <w:rsid w:val="009C6CEA"/>
    <w:rsid w:val="009C75E3"/>
    <w:rsid w:val="009C7780"/>
    <w:rsid w:val="009C77EA"/>
    <w:rsid w:val="009C7B85"/>
    <w:rsid w:val="009C7F7C"/>
    <w:rsid w:val="009D016F"/>
    <w:rsid w:val="009D0254"/>
    <w:rsid w:val="009D0A6D"/>
    <w:rsid w:val="009D1A64"/>
    <w:rsid w:val="009D1C38"/>
    <w:rsid w:val="009D261E"/>
    <w:rsid w:val="009D2E29"/>
    <w:rsid w:val="009D39AF"/>
    <w:rsid w:val="009D4112"/>
    <w:rsid w:val="009D463B"/>
    <w:rsid w:val="009D46F6"/>
    <w:rsid w:val="009D58EB"/>
    <w:rsid w:val="009D5B91"/>
    <w:rsid w:val="009D625E"/>
    <w:rsid w:val="009D72CB"/>
    <w:rsid w:val="009D77B8"/>
    <w:rsid w:val="009D792E"/>
    <w:rsid w:val="009E04DA"/>
    <w:rsid w:val="009E0541"/>
    <w:rsid w:val="009E0DFE"/>
    <w:rsid w:val="009E282B"/>
    <w:rsid w:val="009E2D90"/>
    <w:rsid w:val="009E3149"/>
    <w:rsid w:val="009E31F6"/>
    <w:rsid w:val="009E4225"/>
    <w:rsid w:val="009E4C07"/>
    <w:rsid w:val="009E4D55"/>
    <w:rsid w:val="009E4DC9"/>
    <w:rsid w:val="009E5558"/>
    <w:rsid w:val="009E5975"/>
    <w:rsid w:val="009E6258"/>
    <w:rsid w:val="009E6AFA"/>
    <w:rsid w:val="009E765F"/>
    <w:rsid w:val="009E777F"/>
    <w:rsid w:val="009E7CBF"/>
    <w:rsid w:val="009E7F65"/>
    <w:rsid w:val="009F04E8"/>
    <w:rsid w:val="009F1718"/>
    <w:rsid w:val="009F196D"/>
    <w:rsid w:val="009F24EC"/>
    <w:rsid w:val="009F277D"/>
    <w:rsid w:val="009F3884"/>
    <w:rsid w:val="009F395D"/>
    <w:rsid w:val="009F39A0"/>
    <w:rsid w:val="009F3B0F"/>
    <w:rsid w:val="009F3C63"/>
    <w:rsid w:val="009F51F3"/>
    <w:rsid w:val="009F6120"/>
    <w:rsid w:val="009F6E49"/>
    <w:rsid w:val="00A00930"/>
    <w:rsid w:val="00A00D76"/>
    <w:rsid w:val="00A00E5A"/>
    <w:rsid w:val="00A01184"/>
    <w:rsid w:val="00A013A0"/>
    <w:rsid w:val="00A01449"/>
    <w:rsid w:val="00A0150F"/>
    <w:rsid w:val="00A01B0E"/>
    <w:rsid w:val="00A01DB8"/>
    <w:rsid w:val="00A02951"/>
    <w:rsid w:val="00A02AF5"/>
    <w:rsid w:val="00A037C2"/>
    <w:rsid w:val="00A03C64"/>
    <w:rsid w:val="00A03D43"/>
    <w:rsid w:val="00A04380"/>
    <w:rsid w:val="00A04786"/>
    <w:rsid w:val="00A053BA"/>
    <w:rsid w:val="00A05472"/>
    <w:rsid w:val="00A05596"/>
    <w:rsid w:val="00A05C32"/>
    <w:rsid w:val="00A063C0"/>
    <w:rsid w:val="00A0653F"/>
    <w:rsid w:val="00A07A83"/>
    <w:rsid w:val="00A10254"/>
    <w:rsid w:val="00A1149F"/>
    <w:rsid w:val="00A11CD0"/>
    <w:rsid w:val="00A12311"/>
    <w:rsid w:val="00A12A10"/>
    <w:rsid w:val="00A12B20"/>
    <w:rsid w:val="00A13948"/>
    <w:rsid w:val="00A13C17"/>
    <w:rsid w:val="00A14408"/>
    <w:rsid w:val="00A1555B"/>
    <w:rsid w:val="00A155C5"/>
    <w:rsid w:val="00A15A22"/>
    <w:rsid w:val="00A16067"/>
    <w:rsid w:val="00A16171"/>
    <w:rsid w:val="00A16596"/>
    <w:rsid w:val="00A16AD8"/>
    <w:rsid w:val="00A16BDE"/>
    <w:rsid w:val="00A17140"/>
    <w:rsid w:val="00A1732D"/>
    <w:rsid w:val="00A1785B"/>
    <w:rsid w:val="00A2021E"/>
    <w:rsid w:val="00A20355"/>
    <w:rsid w:val="00A210BA"/>
    <w:rsid w:val="00A21C95"/>
    <w:rsid w:val="00A21CF3"/>
    <w:rsid w:val="00A21D80"/>
    <w:rsid w:val="00A22039"/>
    <w:rsid w:val="00A2209F"/>
    <w:rsid w:val="00A22128"/>
    <w:rsid w:val="00A22236"/>
    <w:rsid w:val="00A223ED"/>
    <w:rsid w:val="00A22B8C"/>
    <w:rsid w:val="00A230B7"/>
    <w:rsid w:val="00A23349"/>
    <w:rsid w:val="00A23AFE"/>
    <w:rsid w:val="00A24813"/>
    <w:rsid w:val="00A24D48"/>
    <w:rsid w:val="00A252FE"/>
    <w:rsid w:val="00A255C2"/>
    <w:rsid w:val="00A25BC8"/>
    <w:rsid w:val="00A25F5E"/>
    <w:rsid w:val="00A266B8"/>
    <w:rsid w:val="00A27303"/>
    <w:rsid w:val="00A27AEC"/>
    <w:rsid w:val="00A30684"/>
    <w:rsid w:val="00A30EDD"/>
    <w:rsid w:val="00A312C0"/>
    <w:rsid w:val="00A3158B"/>
    <w:rsid w:val="00A31D47"/>
    <w:rsid w:val="00A31DF4"/>
    <w:rsid w:val="00A320DB"/>
    <w:rsid w:val="00A326E8"/>
    <w:rsid w:val="00A33656"/>
    <w:rsid w:val="00A34D7D"/>
    <w:rsid w:val="00A35D16"/>
    <w:rsid w:val="00A36C5B"/>
    <w:rsid w:val="00A37599"/>
    <w:rsid w:val="00A37819"/>
    <w:rsid w:val="00A378D4"/>
    <w:rsid w:val="00A378EF"/>
    <w:rsid w:val="00A37BCD"/>
    <w:rsid w:val="00A37CB0"/>
    <w:rsid w:val="00A37EF1"/>
    <w:rsid w:val="00A40BF9"/>
    <w:rsid w:val="00A412BA"/>
    <w:rsid w:val="00A41689"/>
    <w:rsid w:val="00A42592"/>
    <w:rsid w:val="00A425B2"/>
    <w:rsid w:val="00A428A5"/>
    <w:rsid w:val="00A4368E"/>
    <w:rsid w:val="00A43C59"/>
    <w:rsid w:val="00A44455"/>
    <w:rsid w:val="00A446E9"/>
    <w:rsid w:val="00A44775"/>
    <w:rsid w:val="00A45355"/>
    <w:rsid w:val="00A455C7"/>
    <w:rsid w:val="00A4579B"/>
    <w:rsid w:val="00A457A1"/>
    <w:rsid w:val="00A457BE"/>
    <w:rsid w:val="00A45974"/>
    <w:rsid w:val="00A45CCF"/>
    <w:rsid w:val="00A46612"/>
    <w:rsid w:val="00A476D7"/>
    <w:rsid w:val="00A50ECD"/>
    <w:rsid w:val="00A518F3"/>
    <w:rsid w:val="00A52688"/>
    <w:rsid w:val="00A52729"/>
    <w:rsid w:val="00A52D1E"/>
    <w:rsid w:val="00A52DA0"/>
    <w:rsid w:val="00A53675"/>
    <w:rsid w:val="00A546BD"/>
    <w:rsid w:val="00A5479A"/>
    <w:rsid w:val="00A55404"/>
    <w:rsid w:val="00A564D7"/>
    <w:rsid w:val="00A56B6A"/>
    <w:rsid w:val="00A578DC"/>
    <w:rsid w:val="00A61173"/>
    <w:rsid w:val="00A61261"/>
    <w:rsid w:val="00A61BE4"/>
    <w:rsid w:val="00A61C50"/>
    <w:rsid w:val="00A61CC1"/>
    <w:rsid w:val="00A62150"/>
    <w:rsid w:val="00A62638"/>
    <w:rsid w:val="00A62725"/>
    <w:rsid w:val="00A62999"/>
    <w:rsid w:val="00A636A2"/>
    <w:rsid w:val="00A63CBE"/>
    <w:rsid w:val="00A63E83"/>
    <w:rsid w:val="00A640E2"/>
    <w:rsid w:val="00A6449E"/>
    <w:rsid w:val="00A64B8C"/>
    <w:rsid w:val="00A64D65"/>
    <w:rsid w:val="00A64E53"/>
    <w:rsid w:val="00A65338"/>
    <w:rsid w:val="00A657E4"/>
    <w:rsid w:val="00A65FC4"/>
    <w:rsid w:val="00A66130"/>
    <w:rsid w:val="00A6725B"/>
    <w:rsid w:val="00A67510"/>
    <w:rsid w:val="00A67780"/>
    <w:rsid w:val="00A67B62"/>
    <w:rsid w:val="00A67B8E"/>
    <w:rsid w:val="00A70605"/>
    <w:rsid w:val="00A709E4"/>
    <w:rsid w:val="00A71070"/>
    <w:rsid w:val="00A710E8"/>
    <w:rsid w:val="00A711D7"/>
    <w:rsid w:val="00A71522"/>
    <w:rsid w:val="00A72302"/>
    <w:rsid w:val="00A72960"/>
    <w:rsid w:val="00A72B66"/>
    <w:rsid w:val="00A73134"/>
    <w:rsid w:val="00A7352D"/>
    <w:rsid w:val="00A7365A"/>
    <w:rsid w:val="00A73E16"/>
    <w:rsid w:val="00A743D4"/>
    <w:rsid w:val="00A75A8B"/>
    <w:rsid w:val="00A75BCB"/>
    <w:rsid w:val="00A75E93"/>
    <w:rsid w:val="00A76001"/>
    <w:rsid w:val="00A76460"/>
    <w:rsid w:val="00A777B2"/>
    <w:rsid w:val="00A804F2"/>
    <w:rsid w:val="00A80CBA"/>
    <w:rsid w:val="00A81AC1"/>
    <w:rsid w:val="00A81E39"/>
    <w:rsid w:val="00A81ED3"/>
    <w:rsid w:val="00A825D4"/>
    <w:rsid w:val="00A828F6"/>
    <w:rsid w:val="00A82B2A"/>
    <w:rsid w:val="00A82B73"/>
    <w:rsid w:val="00A82C1D"/>
    <w:rsid w:val="00A83C79"/>
    <w:rsid w:val="00A847AD"/>
    <w:rsid w:val="00A84F5C"/>
    <w:rsid w:val="00A8551E"/>
    <w:rsid w:val="00A856B3"/>
    <w:rsid w:val="00A85B18"/>
    <w:rsid w:val="00A85B40"/>
    <w:rsid w:val="00A86660"/>
    <w:rsid w:val="00A86E8B"/>
    <w:rsid w:val="00A87164"/>
    <w:rsid w:val="00A87199"/>
    <w:rsid w:val="00A871A9"/>
    <w:rsid w:val="00A87855"/>
    <w:rsid w:val="00A90141"/>
    <w:rsid w:val="00A901CC"/>
    <w:rsid w:val="00A92AB6"/>
    <w:rsid w:val="00A92BCE"/>
    <w:rsid w:val="00A93072"/>
    <w:rsid w:val="00A93112"/>
    <w:rsid w:val="00A93267"/>
    <w:rsid w:val="00A938BD"/>
    <w:rsid w:val="00A93953"/>
    <w:rsid w:val="00A93C2D"/>
    <w:rsid w:val="00A94329"/>
    <w:rsid w:val="00A946DA"/>
    <w:rsid w:val="00A95011"/>
    <w:rsid w:val="00A959D8"/>
    <w:rsid w:val="00A96E79"/>
    <w:rsid w:val="00A96EEA"/>
    <w:rsid w:val="00A9744B"/>
    <w:rsid w:val="00A97669"/>
    <w:rsid w:val="00A977D6"/>
    <w:rsid w:val="00AA00C6"/>
    <w:rsid w:val="00AA05A1"/>
    <w:rsid w:val="00AA0E14"/>
    <w:rsid w:val="00AA113D"/>
    <w:rsid w:val="00AA131A"/>
    <w:rsid w:val="00AA1CF7"/>
    <w:rsid w:val="00AA2A9D"/>
    <w:rsid w:val="00AA2BC1"/>
    <w:rsid w:val="00AA2D29"/>
    <w:rsid w:val="00AA35BF"/>
    <w:rsid w:val="00AA3E84"/>
    <w:rsid w:val="00AA4542"/>
    <w:rsid w:val="00AA484E"/>
    <w:rsid w:val="00AA5777"/>
    <w:rsid w:val="00AA589E"/>
    <w:rsid w:val="00AA6BD5"/>
    <w:rsid w:val="00AA6BD8"/>
    <w:rsid w:val="00AA6C7D"/>
    <w:rsid w:val="00AA72E3"/>
    <w:rsid w:val="00AA7F55"/>
    <w:rsid w:val="00AA7FD6"/>
    <w:rsid w:val="00AB042A"/>
    <w:rsid w:val="00AB06B0"/>
    <w:rsid w:val="00AB0C07"/>
    <w:rsid w:val="00AB11AD"/>
    <w:rsid w:val="00AB18D1"/>
    <w:rsid w:val="00AB19EF"/>
    <w:rsid w:val="00AB2495"/>
    <w:rsid w:val="00AB2D34"/>
    <w:rsid w:val="00AB2D95"/>
    <w:rsid w:val="00AB32A4"/>
    <w:rsid w:val="00AB3430"/>
    <w:rsid w:val="00AB37B9"/>
    <w:rsid w:val="00AB3BA8"/>
    <w:rsid w:val="00AB3C51"/>
    <w:rsid w:val="00AB4372"/>
    <w:rsid w:val="00AB446D"/>
    <w:rsid w:val="00AB4AD1"/>
    <w:rsid w:val="00AB4AE1"/>
    <w:rsid w:val="00AB4C48"/>
    <w:rsid w:val="00AB51FB"/>
    <w:rsid w:val="00AB5E07"/>
    <w:rsid w:val="00AB6B32"/>
    <w:rsid w:val="00AB6F66"/>
    <w:rsid w:val="00AB75F4"/>
    <w:rsid w:val="00AB7A58"/>
    <w:rsid w:val="00AB7CFA"/>
    <w:rsid w:val="00AC077D"/>
    <w:rsid w:val="00AC3C22"/>
    <w:rsid w:val="00AC4A4D"/>
    <w:rsid w:val="00AC5177"/>
    <w:rsid w:val="00AC5685"/>
    <w:rsid w:val="00AC5B42"/>
    <w:rsid w:val="00AC5B48"/>
    <w:rsid w:val="00AC5D14"/>
    <w:rsid w:val="00AC634D"/>
    <w:rsid w:val="00AC6717"/>
    <w:rsid w:val="00AC699C"/>
    <w:rsid w:val="00AC7273"/>
    <w:rsid w:val="00AC75F2"/>
    <w:rsid w:val="00AD1433"/>
    <w:rsid w:val="00AD1450"/>
    <w:rsid w:val="00AD15E8"/>
    <w:rsid w:val="00AD193D"/>
    <w:rsid w:val="00AD1E13"/>
    <w:rsid w:val="00AD1F32"/>
    <w:rsid w:val="00AD202A"/>
    <w:rsid w:val="00AD28F8"/>
    <w:rsid w:val="00AD3071"/>
    <w:rsid w:val="00AD356D"/>
    <w:rsid w:val="00AD3B06"/>
    <w:rsid w:val="00AD410D"/>
    <w:rsid w:val="00AD4AC9"/>
    <w:rsid w:val="00AD506D"/>
    <w:rsid w:val="00AD522A"/>
    <w:rsid w:val="00AD5FC8"/>
    <w:rsid w:val="00AD6502"/>
    <w:rsid w:val="00AD6564"/>
    <w:rsid w:val="00AD6AD9"/>
    <w:rsid w:val="00AD706B"/>
    <w:rsid w:val="00AD7280"/>
    <w:rsid w:val="00AE01F2"/>
    <w:rsid w:val="00AE0695"/>
    <w:rsid w:val="00AE077F"/>
    <w:rsid w:val="00AE2DBC"/>
    <w:rsid w:val="00AE2DC8"/>
    <w:rsid w:val="00AE2E6E"/>
    <w:rsid w:val="00AE2F26"/>
    <w:rsid w:val="00AE3E7E"/>
    <w:rsid w:val="00AE430B"/>
    <w:rsid w:val="00AE434A"/>
    <w:rsid w:val="00AE4797"/>
    <w:rsid w:val="00AE4917"/>
    <w:rsid w:val="00AE52AE"/>
    <w:rsid w:val="00AE5713"/>
    <w:rsid w:val="00AE5F75"/>
    <w:rsid w:val="00AE7681"/>
    <w:rsid w:val="00AE7A5B"/>
    <w:rsid w:val="00AE7E53"/>
    <w:rsid w:val="00AF1116"/>
    <w:rsid w:val="00AF12DF"/>
    <w:rsid w:val="00AF1315"/>
    <w:rsid w:val="00AF19BF"/>
    <w:rsid w:val="00AF1C99"/>
    <w:rsid w:val="00AF274A"/>
    <w:rsid w:val="00AF2C23"/>
    <w:rsid w:val="00AF2DC3"/>
    <w:rsid w:val="00AF330D"/>
    <w:rsid w:val="00AF33B6"/>
    <w:rsid w:val="00AF3B8B"/>
    <w:rsid w:val="00AF4491"/>
    <w:rsid w:val="00AF569C"/>
    <w:rsid w:val="00AF5DED"/>
    <w:rsid w:val="00AF6D84"/>
    <w:rsid w:val="00AF6F00"/>
    <w:rsid w:val="00B00127"/>
    <w:rsid w:val="00B01321"/>
    <w:rsid w:val="00B02226"/>
    <w:rsid w:val="00B033C6"/>
    <w:rsid w:val="00B033E5"/>
    <w:rsid w:val="00B03A2C"/>
    <w:rsid w:val="00B03A63"/>
    <w:rsid w:val="00B03D34"/>
    <w:rsid w:val="00B042A9"/>
    <w:rsid w:val="00B04E6F"/>
    <w:rsid w:val="00B05503"/>
    <w:rsid w:val="00B05774"/>
    <w:rsid w:val="00B059C3"/>
    <w:rsid w:val="00B06238"/>
    <w:rsid w:val="00B065B5"/>
    <w:rsid w:val="00B066D7"/>
    <w:rsid w:val="00B06A0F"/>
    <w:rsid w:val="00B0779E"/>
    <w:rsid w:val="00B07948"/>
    <w:rsid w:val="00B104F1"/>
    <w:rsid w:val="00B10965"/>
    <w:rsid w:val="00B10F72"/>
    <w:rsid w:val="00B1121A"/>
    <w:rsid w:val="00B114F6"/>
    <w:rsid w:val="00B11F4A"/>
    <w:rsid w:val="00B129A4"/>
    <w:rsid w:val="00B13217"/>
    <w:rsid w:val="00B13439"/>
    <w:rsid w:val="00B13DD9"/>
    <w:rsid w:val="00B14034"/>
    <w:rsid w:val="00B14231"/>
    <w:rsid w:val="00B14660"/>
    <w:rsid w:val="00B14BAA"/>
    <w:rsid w:val="00B15226"/>
    <w:rsid w:val="00B15464"/>
    <w:rsid w:val="00B154C1"/>
    <w:rsid w:val="00B156C2"/>
    <w:rsid w:val="00B15768"/>
    <w:rsid w:val="00B16AA1"/>
    <w:rsid w:val="00B16EC7"/>
    <w:rsid w:val="00B201A4"/>
    <w:rsid w:val="00B201D1"/>
    <w:rsid w:val="00B20D56"/>
    <w:rsid w:val="00B210AA"/>
    <w:rsid w:val="00B213A6"/>
    <w:rsid w:val="00B22157"/>
    <w:rsid w:val="00B22701"/>
    <w:rsid w:val="00B235B0"/>
    <w:rsid w:val="00B248B7"/>
    <w:rsid w:val="00B24DF6"/>
    <w:rsid w:val="00B24E40"/>
    <w:rsid w:val="00B259A7"/>
    <w:rsid w:val="00B2631B"/>
    <w:rsid w:val="00B2641B"/>
    <w:rsid w:val="00B268DC"/>
    <w:rsid w:val="00B26BAB"/>
    <w:rsid w:val="00B26F8D"/>
    <w:rsid w:val="00B27300"/>
    <w:rsid w:val="00B27572"/>
    <w:rsid w:val="00B278BC"/>
    <w:rsid w:val="00B27A61"/>
    <w:rsid w:val="00B300C9"/>
    <w:rsid w:val="00B32CC0"/>
    <w:rsid w:val="00B33BEA"/>
    <w:rsid w:val="00B340D5"/>
    <w:rsid w:val="00B34FE2"/>
    <w:rsid w:val="00B35166"/>
    <w:rsid w:val="00B357D8"/>
    <w:rsid w:val="00B360F4"/>
    <w:rsid w:val="00B36435"/>
    <w:rsid w:val="00B366DE"/>
    <w:rsid w:val="00B36A00"/>
    <w:rsid w:val="00B36A9E"/>
    <w:rsid w:val="00B36C89"/>
    <w:rsid w:val="00B3792B"/>
    <w:rsid w:val="00B37BFC"/>
    <w:rsid w:val="00B40358"/>
    <w:rsid w:val="00B40907"/>
    <w:rsid w:val="00B40A9B"/>
    <w:rsid w:val="00B41614"/>
    <w:rsid w:val="00B41CE1"/>
    <w:rsid w:val="00B42851"/>
    <w:rsid w:val="00B42E6D"/>
    <w:rsid w:val="00B42F80"/>
    <w:rsid w:val="00B435CB"/>
    <w:rsid w:val="00B439BB"/>
    <w:rsid w:val="00B43CB0"/>
    <w:rsid w:val="00B43E61"/>
    <w:rsid w:val="00B43FE3"/>
    <w:rsid w:val="00B44F2A"/>
    <w:rsid w:val="00B44F4E"/>
    <w:rsid w:val="00B44FF1"/>
    <w:rsid w:val="00B45459"/>
    <w:rsid w:val="00B45C4A"/>
    <w:rsid w:val="00B465EC"/>
    <w:rsid w:val="00B466FC"/>
    <w:rsid w:val="00B46986"/>
    <w:rsid w:val="00B46DF8"/>
    <w:rsid w:val="00B47C3E"/>
    <w:rsid w:val="00B47D08"/>
    <w:rsid w:val="00B505C8"/>
    <w:rsid w:val="00B5095F"/>
    <w:rsid w:val="00B50DB8"/>
    <w:rsid w:val="00B51280"/>
    <w:rsid w:val="00B518DB"/>
    <w:rsid w:val="00B5271B"/>
    <w:rsid w:val="00B52AC4"/>
    <w:rsid w:val="00B52FA8"/>
    <w:rsid w:val="00B53197"/>
    <w:rsid w:val="00B53409"/>
    <w:rsid w:val="00B53454"/>
    <w:rsid w:val="00B53489"/>
    <w:rsid w:val="00B53654"/>
    <w:rsid w:val="00B5370E"/>
    <w:rsid w:val="00B537B7"/>
    <w:rsid w:val="00B53905"/>
    <w:rsid w:val="00B53B26"/>
    <w:rsid w:val="00B53D8F"/>
    <w:rsid w:val="00B54063"/>
    <w:rsid w:val="00B546DB"/>
    <w:rsid w:val="00B54A99"/>
    <w:rsid w:val="00B54B5B"/>
    <w:rsid w:val="00B554B1"/>
    <w:rsid w:val="00B554F9"/>
    <w:rsid w:val="00B5562E"/>
    <w:rsid w:val="00B55862"/>
    <w:rsid w:val="00B55C82"/>
    <w:rsid w:val="00B55CD6"/>
    <w:rsid w:val="00B55D65"/>
    <w:rsid w:val="00B56305"/>
    <w:rsid w:val="00B5663E"/>
    <w:rsid w:val="00B5667E"/>
    <w:rsid w:val="00B57000"/>
    <w:rsid w:val="00B57BE4"/>
    <w:rsid w:val="00B57C22"/>
    <w:rsid w:val="00B608FC"/>
    <w:rsid w:val="00B60939"/>
    <w:rsid w:val="00B60A1A"/>
    <w:rsid w:val="00B60AFD"/>
    <w:rsid w:val="00B6221E"/>
    <w:rsid w:val="00B6242B"/>
    <w:rsid w:val="00B62715"/>
    <w:rsid w:val="00B62D15"/>
    <w:rsid w:val="00B637F8"/>
    <w:rsid w:val="00B63AE5"/>
    <w:rsid w:val="00B63C8F"/>
    <w:rsid w:val="00B64319"/>
    <w:rsid w:val="00B64899"/>
    <w:rsid w:val="00B648F5"/>
    <w:rsid w:val="00B64D8D"/>
    <w:rsid w:val="00B65611"/>
    <w:rsid w:val="00B65C37"/>
    <w:rsid w:val="00B6606A"/>
    <w:rsid w:val="00B661DC"/>
    <w:rsid w:val="00B6685C"/>
    <w:rsid w:val="00B66A8E"/>
    <w:rsid w:val="00B67BF4"/>
    <w:rsid w:val="00B67CC6"/>
    <w:rsid w:val="00B70089"/>
    <w:rsid w:val="00B700D9"/>
    <w:rsid w:val="00B70E8E"/>
    <w:rsid w:val="00B717D3"/>
    <w:rsid w:val="00B7289C"/>
    <w:rsid w:val="00B7297C"/>
    <w:rsid w:val="00B72BB8"/>
    <w:rsid w:val="00B733D4"/>
    <w:rsid w:val="00B73CAE"/>
    <w:rsid w:val="00B74BAB"/>
    <w:rsid w:val="00B75078"/>
    <w:rsid w:val="00B75545"/>
    <w:rsid w:val="00B75601"/>
    <w:rsid w:val="00B767EF"/>
    <w:rsid w:val="00B76C92"/>
    <w:rsid w:val="00B7722B"/>
    <w:rsid w:val="00B77328"/>
    <w:rsid w:val="00B801BD"/>
    <w:rsid w:val="00B801CA"/>
    <w:rsid w:val="00B80906"/>
    <w:rsid w:val="00B80EFD"/>
    <w:rsid w:val="00B818A4"/>
    <w:rsid w:val="00B81A2E"/>
    <w:rsid w:val="00B81A4A"/>
    <w:rsid w:val="00B82831"/>
    <w:rsid w:val="00B83739"/>
    <w:rsid w:val="00B84117"/>
    <w:rsid w:val="00B84466"/>
    <w:rsid w:val="00B858F0"/>
    <w:rsid w:val="00B85AA2"/>
    <w:rsid w:val="00B85DEB"/>
    <w:rsid w:val="00B85E2A"/>
    <w:rsid w:val="00B86466"/>
    <w:rsid w:val="00B8649C"/>
    <w:rsid w:val="00B8695D"/>
    <w:rsid w:val="00B86B6D"/>
    <w:rsid w:val="00B86CC2"/>
    <w:rsid w:val="00B87062"/>
    <w:rsid w:val="00B87A84"/>
    <w:rsid w:val="00B87C4B"/>
    <w:rsid w:val="00B87F0A"/>
    <w:rsid w:val="00B90173"/>
    <w:rsid w:val="00B90D18"/>
    <w:rsid w:val="00B9108D"/>
    <w:rsid w:val="00B916C4"/>
    <w:rsid w:val="00B9179E"/>
    <w:rsid w:val="00B91D25"/>
    <w:rsid w:val="00B92D0B"/>
    <w:rsid w:val="00B92E2E"/>
    <w:rsid w:val="00B9446A"/>
    <w:rsid w:val="00B94945"/>
    <w:rsid w:val="00B94DD6"/>
    <w:rsid w:val="00B954ED"/>
    <w:rsid w:val="00B956E5"/>
    <w:rsid w:val="00B958A7"/>
    <w:rsid w:val="00B95E74"/>
    <w:rsid w:val="00B961A3"/>
    <w:rsid w:val="00B9627E"/>
    <w:rsid w:val="00B96282"/>
    <w:rsid w:val="00B9674A"/>
    <w:rsid w:val="00B96F09"/>
    <w:rsid w:val="00B9709F"/>
    <w:rsid w:val="00B9727C"/>
    <w:rsid w:val="00B9740F"/>
    <w:rsid w:val="00BA08F4"/>
    <w:rsid w:val="00BA23F7"/>
    <w:rsid w:val="00BA322D"/>
    <w:rsid w:val="00BA33C3"/>
    <w:rsid w:val="00BA3456"/>
    <w:rsid w:val="00BA351D"/>
    <w:rsid w:val="00BA41FA"/>
    <w:rsid w:val="00BA44C0"/>
    <w:rsid w:val="00BA44FA"/>
    <w:rsid w:val="00BA4521"/>
    <w:rsid w:val="00BA4995"/>
    <w:rsid w:val="00BA49FB"/>
    <w:rsid w:val="00BA4F84"/>
    <w:rsid w:val="00BA5C1E"/>
    <w:rsid w:val="00BA5F53"/>
    <w:rsid w:val="00BA5FF7"/>
    <w:rsid w:val="00BA63FA"/>
    <w:rsid w:val="00BA6629"/>
    <w:rsid w:val="00BA663F"/>
    <w:rsid w:val="00BA6A78"/>
    <w:rsid w:val="00BA6F1F"/>
    <w:rsid w:val="00BA6FFF"/>
    <w:rsid w:val="00BA7F08"/>
    <w:rsid w:val="00BB00B3"/>
    <w:rsid w:val="00BB04E3"/>
    <w:rsid w:val="00BB0BDD"/>
    <w:rsid w:val="00BB154A"/>
    <w:rsid w:val="00BB176C"/>
    <w:rsid w:val="00BB1827"/>
    <w:rsid w:val="00BB1EE0"/>
    <w:rsid w:val="00BB23E0"/>
    <w:rsid w:val="00BB2A73"/>
    <w:rsid w:val="00BB2B16"/>
    <w:rsid w:val="00BB2EB6"/>
    <w:rsid w:val="00BB3A45"/>
    <w:rsid w:val="00BB4365"/>
    <w:rsid w:val="00BB494D"/>
    <w:rsid w:val="00BB4963"/>
    <w:rsid w:val="00BB4ACC"/>
    <w:rsid w:val="00BB4C0C"/>
    <w:rsid w:val="00BB501B"/>
    <w:rsid w:val="00BB6069"/>
    <w:rsid w:val="00BB6954"/>
    <w:rsid w:val="00BB6EF3"/>
    <w:rsid w:val="00BB703E"/>
    <w:rsid w:val="00BB732D"/>
    <w:rsid w:val="00BB7405"/>
    <w:rsid w:val="00BC0269"/>
    <w:rsid w:val="00BC07BC"/>
    <w:rsid w:val="00BC1307"/>
    <w:rsid w:val="00BC16DB"/>
    <w:rsid w:val="00BC2827"/>
    <w:rsid w:val="00BC323C"/>
    <w:rsid w:val="00BC3631"/>
    <w:rsid w:val="00BC470F"/>
    <w:rsid w:val="00BC579A"/>
    <w:rsid w:val="00BC591F"/>
    <w:rsid w:val="00BC62EA"/>
    <w:rsid w:val="00BC6D7C"/>
    <w:rsid w:val="00BC7066"/>
    <w:rsid w:val="00BC7D6D"/>
    <w:rsid w:val="00BD0689"/>
    <w:rsid w:val="00BD08E2"/>
    <w:rsid w:val="00BD10C4"/>
    <w:rsid w:val="00BD1617"/>
    <w:rsid w:val="00BD1BB8"/>
    <w:rsid w:val="00BD2108"/>
    <w:rsid w:val="00BD230A"/>
    <w:rsid w:val="00BD24D3"/>
    <w:rsid w:val="00BD322A"/>
    <w:rsid w:val="00BD3473"/>
    <w:rsid w:val="00BD4556"/>
    <w:rsid w:val="00BD47AA"/>
    <w:rsid w:val="00BD4D55"/>
    <w:rsid w:val="00BD5D77"/>
    <w:rsid w:val="00BD5E5D"/>
    <w:rsid w:val="00BD652A"/>
    <w:rsid w:val="00BD68A3"/>
    <w:rsid w:val="00BD6938"/>
    <w:rsid w:val="00BD6CF3"/>
    <w:rsid w:val="00BD7AD3"/>
    <w:rsid w:val="00BD7DB7"/>
    <w:rsid w:val="00BD7F72"/>
    <w:rsid w:val="00BE08C0"/>
    <w:rsid w:val="00BE0ECA"/>
    <w:rsid w:val="00BE143E"/>
    <w:rsid w:val="00BE1F4A"/>
    <w:rsid w:val="00BE2180"/>
    <w:rsid w:val="00BE21F2"/>
    <w:rsid w:val="00BE2434"/>
    <w:rsid w:val="00BE2550"/>
    <w:rsid w:val="00BE2905"/>
    <w:rsid w:val="00BE2CE8"/>
    <w:rsid w:val="00BE3720"/>
    <w:rsid w:val="00BE384D"/>
    <w:rsid w:val="00BE3A19"/>
    <w:rsid w:val="00BE4275"/>
    <w:rsid w:val="00BE466A"/>
    <w:rsid w:val="00BE490D"/>
    <w:rsid w:val="00BE5161"/>
    <w:rsid w:val="00BE5338"/>
    <w:rsid w:val="00BE59DF"/>
    <w:rsid w:val="00BE72D6"/>
    <w:rsid w:val="00BF06AE"/>
    <w:rsid w:val="00BF0903"/>
    <w:rsid w:val="00BF0F95"/>
    <w:rsid w:val="00BF136E"/>
    <w:rsid w:val="00BF14DF"/>
    <w:rsid w:val="00BF1799"/>
    <w:rsid w:val="00BF192C"/>
    <w:rsid w:val="00BF1BD0"/>
    <w:rsid w:val="00BF2433"/>
    <w:rsid w:val="00BF2E6E"/>
    <w:rsid w:val="00BF3219"/>
    <w:rsid w:val="00BF420D"/>
    <w:rsid w:val="00BF4574"/>
    <w:rsid w:val="00BF4E06"/>
    <w:rsid w:val="00BF5197"/>
    <w:rsid w:val="00BF55BB"/>
    <w:rsid w:val="00BF5AAF"/>
    <w:rsid w:val="00BF6118"/>
    <w:rsid w:val="00BF61C9"/>
    <w:rsid w:val="00BF635A"/>
    <w:rsid w:val="00BF65DC"/>
    <w:rsid w:val="00BF6A21"/>
    <w:rsid w:val="00BF6C94"/>
    <w:rsid w:val="00BF70B2"/>
    <w:rsid w:val="00BF7729"/>
    <w:rsid w:val="00C00424"/>
    <w:rsid w:val="00C009F0"/>
    <w:rsid w:val="00C00A7D"/>
    <w:rsid w:val="00C00BB0"/>
    <w:rsid w:val="00C029C7"/>
    <w:rsid w:val="00C030F1"/>
    <w:rsid w:val="00C042D3"/>
    <w:rsid w:val="00C04631"/>
    <w:rsid w:val="00C04847"/>
    <w:rsid w:val="00C052F7"/>
    <w:rsid w:val="00C0561F"/>
    <w:rsid w:val="00C05981"/>
    <w:rsid w:val="00C062BF"/>
    <w:rsid w:val="00C06907"/>
    <w:rsid w:val="00C06C24"/>
    <w:rsid w:val="00C06CAB"/>
    <w:rsid w:val="00C0729F"/>
    <w:rsid w:val="00C07BDB"/>
    <w:rsid w:val="00C10C54"/>
    <w:rsid w:val="00C10D55"/>
    <w:rsid w:val="00C11747"/>
    <w:rsid w:val="00C1179F"/>
    <w:rsid w:val="00C11B2B"/>
    <w:rsid w:val="00C1213B"/>
    <w:rsid w:val="00C127B9"/>
    <w:rsid w:val="00C128FA"/>
    <w:rsid w:val="00C12C14"/>
    <w:rsid w:val="00C130DC"/>
    <w:rsid w:val="00C134FE"/>
    <w:rsid w:val="00C14A36"/>
    <w:rsid w:val="00C15A5D"/>
    <w:rsid w:val="00C15EF2"/>
    <w:rsid w:val="00C15F04"/>
    <w:rsid w:val="00C16163"/>
    <w:rsid w:val="00C17802"/>
    <w:rsid w:val="00C179B3"/>
    <w:rsid w:val="00C17E3F"/>
    <w:rsid w:val="00C200AA"/>
    <w:rsid w:val="00C20582"/>
    <w:rsid w:val="00C20992"/>
    <w:rsid w:val="00C20F8B"/>
    <w:rsid w:val="00C211C2"/>
    <w:rsid w:val="00C2128B"/>
    <w:rsid w:val="00C212FF"/>
    <w:rsid w:val="00C22352"/>
    <w:rsid w:val="00C2235B"/>
    <w:rsid w:val="00C229F5"/>
    <w:rsid w:val="00C237ED"/>
    <w:rsid w:val="00C23B07"/>
    <w:rsid w:val="00C24632"/>
    <w:rsid w:val="00C248D5"/>
    <w:rsid w:val="00C24F47"/>
    <w:rsid w:val="00C252A9"/>
    <w:rsid w:val="00C25418"/>
    <w:rsid w:val="00C2595B"/>
    <w:rsid w:val="00C25D9C"/>
    <w:rsid w:val="00C25F9A"/>
    <w:rsid w:val="00C261B7"/>
    <w:rsid w:val="00C2729C"/>
    <w:rsid w:val="00C2754F"/>
    <w:rsid w:val="00C2778B"/>
    <w:rsid w:val="00C27BAC"/>
    <w:rsid w:val="00C27F20"/>
    <w:rsid w:val="00C300A1"/>
    <w:rsid w:val="00C301C6"/>
    <w:rsid w:val="00C30C6D"/>
    <w:rsid w:val="00C31649"/>
    <w:rsid w:val="00C31717"/>
    <w:rsid w:val="00C31CCA"/>
    <w:rsid w:val="00C3239B"/>
    <w:rsid w:val="00C32AF2"/>
    <w:rsid w:val="00C32B50"/>
    <w:rsid w:val="00C334FF"/>
    <w:rsid w:val="00C33655"/>
    <w:rsid w:val="00C33755"/>
    <w:rsid w:val="00C33798"/>
    <w:rsid w:val="00C33B3A"/>
    <w:rsid w:val="00C3434C"/>
    <w:rsid w:val="00C350D1"/>
    <w:rsid w:val="00C35690"/>
    <w:rsid w:val="00C35A87"/>
    <w:rsid w:val="00C36211"/>
    <w:rsid w:val="00C379A9"/>
    <w:rsid w:val="00C401CA"/>
    <w:rsid w:val="00C40385"/>
    <w:rsid w:val="00C40CF2"/>
    <w:rsid w:val="00C41768"/>
    <w:rsid w:val="00C41971"/>
    <w:rsid w:val="00C42F4E"/>
    <w:rsid w:val="00C4309F"/>
    <w:rsid w:val="00C44094"/>
    <w:rsid w:val="00C44803"/>
    <w:rsid w:val="00C44C65"/>
    <w:rsid w:val="00C450BE"/>
    <w:rsid w:val="00C4579D"/>
    <w:rsid w:val="00C45E64"/>
    <w:rsid w:val="00C475AA"/>
    <w:rsid w:val="00C50BE0"/>
    <w:rsid w:val="00C51985"/>
    <w:rsid w:val="00C51BB8"/>
    <w:rsid w:val="00C522DD"/>
    <w:rsid w:val="00C52322"/>
    <w:rsid w:val="00C527C7"/>
    <w:rsid w:val="00C529C9"/>
    <w:rsid w:val="00C5308F"/>
    <w:rsid w:val="00C53446"/>
    <w:rsid w:val="00C53B7F"/>
    <w:rsid w:val="00C53C98"/>
    <w:rsid w:val="00C563A7"/>
    <w:rsid w:val="00C56FCF"/>
    <w:rsid w:val="00C5705A"/>
    <w:rsid w:val="00C57B6C"/>
    <w:rsid w:val="00C57DB8"/>
    <w:rsid w:val="00C57E27"/>
    <w:rsid w:val="00C604FF"/>
    <w:rsid w:val="00C61651"/>
    <w:rsid w:val="00C61A59"/>
    <w:rsid w:val="00C61CA9"/>
    <w:rsid w:val="00C628A6"/>
    <w:rsid w:val="00C62A0E"/>
    <w:rsid w:val="00C62BC1"/>
    <w:rsid w:val="00C63C79"/>
    <w:rsid w:val="00C64160"/>
    <w:rsid w:val="00C64344"/>
    <w:rsid w:val="00C65108"/>
    <w:rsid w:val="00C65576"/>
    <w:rsid w:val="00C65FE8"/>
    <w:rsid w:val="00C66165"/>
    <w:rsid w:val="00C66FB5"/>
    <w:rsid w:val="00C673D0"/>
    <w:rsid w:val="00C67BEE"/>
    <w:rsid w:val="00C7060A"/>
    <w:rsid w:val="00C71071"/>
    <w:rsid w:val="00C7147D"/>
    <w:rsid w:val="00C7151A"/>
    <w:rsid w:val="00C717E3"/>
    <w:rsid w:val="00C71F60"/>
    <w:rsid w:val="00C72241"/>
    <w:rsid w:val="00C7235C"/>
    <w:rsid w:val="00C72F96"/>
    <w:rsid w:val="00C7368C"/>
    <w:rsid w:val="00C73997"/>
    <w:rsid w:val="00C743CA"/>
    <w:rsid w:val="00C74A21"/>
    <w:rsid w:val="00C74B13"/>
    <w:rsid w:val="00C750C8"/>
    <w:rsid w:val="00C7560F"/>
    <w:rsid w:val="00C75D5B"/>
    <w:rsid w:val="00C76F6E"/>
    <w:rsid w:val="00C773B1"/>
    <w:rsid w:val="00C7741C"/>
    <w:rsid w:val="00C77446"/>
    <w:rsid w:val="00C7761B"/>
    <w:rsid w:val="00C778FB"/>
    <w:rsid w:val="00C77E7E"/>
    <w:rsid w:val="00C77F3C"/>
    <w:rsid w:val="00C80076"/>
    <w:rsid w:val="00C80528"/>
    <w:rsid w:val="00C806B6"/>
    <w:rsid w:val="00C80A0E"/>
    <w:rsid w:val="00C80DA9"/>
    <w:rsid w:val="00C80EEF"/>
    <w:rsid w:val="00C80F9E"/>
    <w:rsid w:val="00C8100A"/>
    <w:rsid w:val="00C8139E"/>
    <w:rsid w:val="00C81744"/>
    <w:rsid w:val="00C8213F"/>
    <w:rsid w:val="00C8250B"/>
    <w:rsid w:val="00C82828"/>
    <w:rsid w:val="00C82A17"/>
    <w:rsid w:val="00C82C1D"/>
    <w:rsid w:val="00C82DCB"/>
    <w:rsid w:val="00C8303F"/>
    <w:rsid w:val="00C83646"/>
    <w:rsid w:val="00C84A59"/>
    <w:rsid w:val="00C85154"/>
    <w:rsid w:val="00C85A70"/>
    <w:rsid w:val="00C85C09"/>
    <w:rsid w:val="00C85CAB"/>
    <w:rsid w:val="00C85D2E"/>
    <w:rsid w:val="00C86617"/>
    <w:rsid w:val="00C87516"/>
    <w:rsid w:val="00C8797A"/>
    <w:rsid w:val="00C87B13"/>
    <w:rsid w:val="00C87BF1"/>
    <w:rsid w:val="00C87EB1"/>
    <w:rsid w:val="00C900B8"/>
    <w:rsid w:val="00C90197"/>
    <w:rsid w:val="00C90AF4"/>
    <w:rsid w:val="00C90C71"/>
    <w:rsid w:val="00C90ED4"/>
    <w:rsid w:val="00C90FFE"/>
    <w:rsid w:val="00C917E4"/>
    <w:rsid w:val="00C91F54"/>
    <w:rsid w:val="00C91FD1"/>
    <w:rsid w:val="00C920D9"/>
    <w:rsid w:val="00C9217D"/>
    <w:rsid w:val="00C93004"/>
    <w:rsid w:val="00C931CF"/>
    <w:rsid w:val="00C93844"/>
    <w:rsid w:val="00C938CF"/>
    <w:rsid w:val="00C93C3E"/>
    <w:rsid w:val="00C93D84"/>
    <w:rsid w:val="00C94053"/>
    <w:rsid w:val="00C94185"/>
    <w:rsid w:val="00C94509"/>
    <w:rsid w:val="00C94896"/>
    <w:rsid w:val="00C94ECA"/>
    <w:rsid w:val="00C95F5B"/>
    <w:rsid w:val="00C9624D"/>
    <w:rsid w:val="00C965BD"/>
    <w:rsid w:val="00C96765"/>
    <w:rsid w:val="00C968FB"/>
    <w:rsid w:val="00C969DA"/>
    <w:rsid w:val="00C96AC9"/>
    <w:rsid w:val="00CA040C"/>
    <w:rsid w:val="00CA0E65"/>
    <w:rsid w:val="00CA1422"/>
    <w:rsid w:val="00CA1788"/>
    <w:rsid w:val="00CA1A51"/>
    <w:rsid w:val="00CA2B35"/>
    <w:rsid w:val="00CA2BEC"/>
    <w:rsid w:val="00CA2C77"/>
    <w:rsid w:val="00CA33ED"/>
    <w:rsid w:val="00CA3715"/>
    <w:rsid w:val="00CA444F"/>
    <w:rsid w:val="00CA5245"/>
    <w:rsid w:val="00CA5BDB"/>
    <w:rsid w:val="00CA5F16"/>
    <w:rsid w:val="00CA6C78"/>
    <w:rsid w:val="00CA71F4"/>
    <w:rsid w:val="00CA7B09"/>
    <w:rsid w:val="00CA7BE5"/>
    <w:rsid w:val="00CB12A5"/>
    <w:rsid w:val="00CB13FA"/>
    <w:rsid w:val="00CB1CAC"/>
    <w:rsid w:val="00CB250F"/>
    <w:rsid w:val="00CB2958"/>
    <w:rsid w:val="00CB2C64"/>
    <w:rsid w:val="00CB2F2A"/>
    <w:rsid w:val="00CB387F"/>
    <w:rsid w:val="00CB3DCE"/>
    <w:rsid w:val="00CB45A2"/>
    <w:rsid w:val="00CB569E"/>
    <w:rsid w:val="00CB574F"/>
    <w:rsid w:val="00CB5B1A"/>
    <w:rsid w:val="00CB5FBB"/>
    <w:rsid w:val="00CB6531"/>
    <w:rsid w:val="00CB6892"/>
    <w:rsid w:val="00CB6A93"/>
    <w:rsid w:val="00CB6B22"/>
    <w:rsid w:val="00CB7B68"/>
    <w:rsid w:val="00CB7F5F"/>
    <w:rsid w:val="00CC0493"/>
    <w:rsid w:val="00CC07C3"/>
    <w:rsid w:val="00CC1B39"/>
    <w:rsid w:val="00CC1BFA"/>
    <w:rsid w:val="00CC2693"/>
    <w:rsid w:val="00CC2E10"/>
    <w:rsid w:val="00CC2E9F"/>
    <w:rsid w:val="00CC2F03"/>
    <w:rsid w:val="00CC35EA"/>
    <w:rsid w:val="00CC3848"/>
    <w:rsid w:val="00CC394B"/>
    <w:rsid w:val="00CC41AE"/>
    <w:rsid w:val="00CC45F5"/>
    <w:rsid w:val="00CC46F7"/>
    <w:rsid w:val="00CC4973"/>
    <w:rsid w:val="00CC67CE"/>
    <w:rsid w:val="00CC68BF"/>
    <w:rsid w:val="00CC6A28"/>
    <w:rsid w:val="00CC6D1B"/>
    <w:rsid w:val="00CC6D5E"/>
    <w:rsid w:val="00CC71CC"/>
    <w:rsid w:val="00CD0041"/>
    <w:rsid w:val="00CD0200"/>
    <w:rsid w:val="00CD0A14"/>
    <w:rsid w:val="00CD1122"/>
    <w:rsid w:val="00CD1A80"/>
    <w:rsid w:val="00CD1AA9"/>
    <w:rsid w:val="00CD1D91"/>
    <w:rsid w:val="00CD24DC"/>
    <w:rsid w:val="00CD2DBF"/>
    <w:rsid w:val="00CD2E72"/>
    <w:rsid w:val="00CD3144"/>
    <w:rsid w:val="00CD3F77"/>
    <w:rsid w:val="00CD482A"/>
    <w:rsid w:val="00CD4E8C"/>
    <w:rsid w:val="00CD5048"/>
    <w:rsid w:val="00CD5DAA"/>
    <w:rsid w:val="00CD61C0"/>
    <w:rsid w:val="00CD6ADC"/>
    <w:rsid w:val="00CD6C1D"/>
    <w:rsid w:val="00CD7193"/>
    <w:rsid w:val="00CD7491"/>
    <w:rsid w:val="00CD7DB1"/>
    <w:rsid w:val="00CE0257"/>
    <w:rsid w:val="00CE0376"/>
    <w:rsid w:val="00CE0AB3"/>
    <w:rsid w:val="00CE1865"/>
    <w:rsid w:val="00CE1CFD"/>
    <w:rsid w:val="00CE32F3"/>
    <w:rsid w:val="00CE38C8"/>
    <w:rsid w:val="00CE524F"/>
    <w:rsid w:val="00CE58CC"/>
    <w:rsid w:val="00CE6274"/>
    <w:rsid w:val="00CE6E87"/>
    <w:rsid w:val="00CE7040"/>
    <w:rsid w:val="00CE712B"/>
    <w:rsid w:val="00CE77B6"/>
    <w:rsid w:val="00CE7928"/>
    <w:rsid w:val="00CF0447"/>
    <w:rsid w:val="00CF0A19"/>
    <w:rsid w:val="00CF1AD1"/>
    <w:rsid w:val="00CF1C1E"/>
    <w:rsid w:val="00CF2751"/>
    <w:rsid w:val="00CF2B8D"/>
    <w:rsid w:val="00CF2E11"/>
    <w:rsid w:val="00CF3350"/>
    <w:rsid w:val="00CF362A"/>
    <w:rsid w:val="00CF3A1B"/>
    <w:rsid w:val="00CF44B3"/>
    <w:rsid w:val="00CF456B"/>
    <w:rsid w:val="00CF5A22"/>
    <w:rsid w:val="00CF6E28"/>
    <w:rsid w:val="00CF7368"/>
    <w:rsid w:val="00CF75DF"/>
    <w:rsid w:val="00D0028E"/>
    <w:rsid w:val="00D008B7"/>
    <w:rsid w:val="00D018B0"/>
    <w:rsid w:val="00D01C92"/>
    <w:rsid w:val="00D021A7"/>
    <w:rsid w:val="00D021BD"/>
    <w:rsid w:val="00D0262E"/>
    <w:rsid w:val="00D03679"/>
    <w:rsid w:val="00D05E3D"/>
    <w:rsid w:val="00D06139"/>
    <w:rsid w:val="00D0664C"/>
    <w:rsid w:val="00D0668F"/>
    <w:rsid w:val="00D06D68"/>
    <w:rsid w:val="00D10699"/>
    <w:rsid w:val="00D110BD"/>
    <w:rsid w:val="00D1192D"/>
    <w:rsid w:val="00D11EC7"/>
    <w:rsid w:val="00D1240B"/>
    <w:rsid w:val="00D12B52"/>
    <w:rsid w:val="00D13675"/>
    <w:rsid w:val="00D13800"/>
    <w:rsid w:val="00D13E2D"/>
    <w:rsid w:val="00D13ED7"/>
    <w:rsid w:val="00D13F1E"/>
    <w:rsid w:val="00D141E1"/>
    <w:rsid w:val="00D149A5"/>
    <w:rsid w:val="00D15314"/>
    <w:rsid w:val="00D15B48"/>
    <w:rsid w:val="00D15EA0"/>
    <w:rsid w:val="00D16046"/>
    <w:rsid w:val="00D16112"/>
    <w:rsid w:val="00D1643A"/>
    <w:rsid w:val="00D17C92"/>
    <w:rsid w:val="00D17D6C"/>
    <w:rsid w:val="00D201FF"/>
    <w:rsid w:val="00D2155B"/>
    <w:rsid w:val="00D2191F"/>
    <w:rsid w:val="00D226D8"/>
    <w:rsid w:val="00D23016"/>
    <w:rsid w:val="00D238C1"/>
    <w:rsid w:val="00D23C29"/>
    <w:rsid w:val="00D23D11"/>
    <w:rsid w:val="00D244B6"/>
    <w:rsid w:val="00D25095"/>
    <w:rsid w:val="00D2560A"/>
    <w:rsid w:val="00D25977"/>
    <w:rsid w:val="00D25CF5"/>
    <w:rsid w:val="00D25DC8"/>
    <w:rsid w:val="00D26F26"/>
    <w:rsid w:val="00D2714A"/>
    <w:rsid w:val="00D2754D"/>
    <w:rsid w:val="00D27B27"/>
    <w:rsid w:val="00D30D5B"/>
    <w:rsid w:val="00D30EF2"/>
    <w:rsid w:val="00D30EF4"/>
    <w:rsid w:val="00D32815"/>
    <w:rsid w:val="00D32EAB"/>
    <w:rsid w:val="00D33BE9"/>
    <w:rsid w:val="00D33F93"/>
    <w:rsid w:val="00D3435E"/>
    <w:rsid w:val="00D34AF2"/>
    <w:rsid w:val="00D357FF"/>
    <w:rsid w:val="00D369FA"/>
    <w:rsid w:val="00D36BA4"/>
    <w:rsid w:val="00D37841"/>
    <w:rsid w:val="00D37C4D"/>
    <w:rsid w:val="00D40328"/>
    <w:rsid w:val="00D40875"/>
    <w:rsid w:val="00D410E4"/>
    <w:rsid w:val="00D41578"/>
    <w:rsid w:val="00D423F9"/>
    <w:rsid w:val="00D424C7"/>
    <w:rsid w:val="00D43972"/>
    <w:rsid w:val="00D43B2A"/>
    <w:rsid w:val="00D43CF1"/>
    <w:rsid w:val="00D43D83"/>
    <w:rsid w:val="00D4494D"/>
    <w:rsid w:val="00D458F2"/>
    <w:rsid w:val="00D46973"/>
    <w:rsid w:val="00D46D58"/>
    <w:rsid w:val="00D47575"/>
    <w:rsid w:val="00D47909"/>
    <w:rsid w:val="00D50238"/>
    <w:rsid w:val="00D50BC2"/>
    <w:rsid w:val="00D50C8E"/>
    <w:rsid w:val="00D50E82"/>
    <w:rsid w:val="00D50FA4"/>
    <w:rsid w:val="00D50FEB"/>
    <w:rsid w:val="00D51DB1"/>
    <w:rsid w:val="00D51E11"/>
    <w:rsid w:val="00D5243B"/>
    <w:rsid w:val="00D52498"/>
    <w:rsid w:val="00D526BC"/>
    <w:rsid w:val="00D533EC"/>
    <w:rsid w:val="00D535CF"/>
    <w:rsid w:val="00D5409B"/>
    <w:rsid w:val="00D552C2"/>
    <w:rsid w:val="00D55740"/>
    <w:rsid w:val="00D5623C"/>
    <w:rsid w:val="00D56A95"/>
    <w:rsid w:val="00D56C29"/>
    <w:rsid w:val="00D57878"/>
    <w:rsid w:val="00D5796A"/>
    <w:rsid w:val="00D6023A"/>
    <w:rsid w:val="00D6076E"/>
    <w:rsid w:val="00D62B11"/>
    <w:rsid w:val="00D62C91"/>
    <w:rsid w:val="00D6373F"/>
    <w:rsid w:val="00D63A47"/>
    <w:rsid w:val="00D63F8E"/>
    <w:rsid w:val="00D65108"/>
    <w:rsid w:val="00D652E5"/>
    <w:rsid w:val="00D65853"/>
    <w:rsid w:val="00D65973"/>
    <w:rsid w:val="00D660DC"/>
    <w:rsid w:val="00D67F42"/>
    <w:rsid w:val="00D70495"/>
    <w:rsid w:val="00D70ADC"/>
    <w:rsid w:val="00D70F16"/>
    <w:rsid w:val="00D71AB3"/>
    <w:rsid w:val="00D71E9E"/>
    <w:rsid w:val="00D72147"/>
    <w:rsid w:val="00D7216E"/>
    <w:rsid w:val="00D72617"/>
    <w:rsid w:val="00D72C35"/>
    <w:rsid w:val="00D72EF0"/>
    <w:rsid w:val="00D72F57"/>
    <w:rsid w:val="00D7300C"/>
    <w:rsid w:val="00D735C9"/>
    <w:rsid w:val="00D74DDD"/>
    <w:rsid w:val="00D75FBA"/>
    <w:rsid w:val="00D76A44"/>
    <w:rsid w:val="00D76C60"/>
    <w:rsid w:val="00D76F0F"/>
    <w:rsid w:val="00D8046E"/>
    <w:rsid w:val="00D808F6"/>
    <w:rsid w:val="00D8090F"/>
    <w:rsid w:val="00D8153C"/>
    <w:rsid w:val="00D815EF"/>
    <w:rsid w:val="00D8177B"/>
    <w:rsid w:val="00D81949"/>
    <w:rsid w:val="00D81B01"/>
    <w:rsid w:val="00D81F26"/>
    <w:rsid w:val="00D822E2"/>
    <w:rsid w:val="00D8425E"/>
    <w:rsid w:val="00D843F2"/>
    <w:rsid w:val="00D84C7E"/>
    <w:rsid w:val="00D854A5"/>
    <w:rsid w:val="00D85542"/>
    <w:rsid w:val="00D85651"/>
    <w:rsid w:val="00D856DF"/>
    <w:rsid w:val="00D86231"/>
    <w:rsid w:val="00D86D65"/>
    <w:rsid w:val="00D8719D"/>
    <w:rsid w:val="00D87591"/>
    <w:rsid w:val="00D87730"/>
    <w:rsid w:val="00D87887"/>
    <w:rsid w:val="00D87C01"/>
    <w:rsid w:val="00D87E51"/>
    <w:rsid w:val="00D87E7B"/>
    <w:rsid w:val="00D912AB"/>
    <w:rsid w:val="00D91352"/>
    <w:rsid w:val="00D9164D"/>
    <w:rsid w:val="00D91923"/>
    <w:rsid w:val="00D91D96"/>
    <w:rsid w:val="00D91EEE"/>
    <w:rsid w:val="00D92144"/>
    <w:rsid w:val="00D926F6"/>
    <w:rsid w:val="00D9289A"/>
    <w:rsid w:val="00D93430"/>
    <w:rsid w:val="00D93753"/>
    <w:rsid w:val="00D93990"/>
    <w:rsid w:val="00D943B3"/>
    <w:rsid w:val="00D95929"/>
    <w:rsid w:val="00D96222"/>
    <w:rsid w:val="00D96498"/>
    <w:rsid w:val="00D96A3B"/>
    <w:rsid w:val="00D96D5B"/>
    <w:rsid w:val="00D97549"/>
    <w:rsid w:val="00D97AFD"/>
    <w:rsid w:val="00D97EA8"/>
    <w:rsid w:val="00DA0BAE"/>
    <w:rsid w:val="00DA137B"/>
    <w:rsid w:val="00DA26F2"/>
    <w:rsid w:val="00DA3167"/>
    <w:rsid w:val="00DA3206"/>
    <w:rsid w:val="00DA385F"/>
    <w:rsid w:val="00DA4ACE"/>
    <w:rsid w:val="00DA4DC3"/>
    <w:rsid w:val="00DA4E6B"/>
    <w:rsid w:val="00DA687E"/>
    <w:rsid w:val="00DA6E89"/>
    <w:rsid w:val="00DA7270"/>
    <w:rsid w:val="00DA77A5"/>
    <w:rsid w:val="00DB0020"/>
    <w:rsid w:val="00DB0A02"/>
    <w:rsid w:val="00DB0E36"/>
    <w:rsid w:val="00DB15EA"/>
    <w:rsid w:val="00DB2E44"/>
    <w:rsid w:val="00DB3B73"/>
    <w:rsid w:val="00DB3DBF"/>
    <w:rsid w:val="00DB3EBD"/>
    <w:rsid w:val="00DB45FD"/>
    <w:rsid w:val="00DB484F"/>
    <w:rsid w:val="00DB4B0B"/>
    <w:rsid w:val="00DB4B7B"/>
    <w:rsid w:val="00DB57A2"/>
    <w:rsid w:val="00DB60E5"/>
    <w:rsid w:val="00DB6922"/>
    <w:rsid w:val="00DB75FD"/>
    <w:rsid w:val="00DB7F1D"/>
    <w:rsid w:val="00DC00BF"/>
    <w:rsid w:val="00DC04F6"/>
    <w:rsid w:val="00DC0690"/>
    <w:rsid w:val="00DC1D65"/>
    <w:rsid w:val="00DC1E49"/>
    <w:rsid w:val="00DC1EA0"/>
    <w:rsid w:val="00DC2382"/>
    <w:rsid w:val="00DC2EE3"/>
    <w:rsid w:val="00DC3679"/>
    <w:rsid w:val="00DC3C57"/>
    <w:rsid w:val="00DC3EC9"/>
    <w:rsid w:val="00DC496F"/>
    <w:rsid w:val="00DC4DDD"/>
    <w:rsid w:val="00DC5501"/>
    <w:rsid w:val="00DC574F"/>
    <w:rsid w:val="00DC59D8"/>
    <w:rsid w:val="00DC59E5"/>
    <w:rsid w:val="00DC5DE4"/>
    <w:rsid w:val="00DC609D"/>
    <w:rsid w:val="00DC62DF"/>
    <w:rsid w:val="00DC63AB"/>
    <w:rsid w:val="00DC7154"/>
    <w:rsid w:val="00DC783D"/>
    <w:rsid w:val="00DC79EC"/>
    <w:rsid w:val="00DC7E8A"/>
    <w:rsid w:val="00DD03D2"/>
    <w:rsid w:val="00DD0C0E"/>
    <w:rsid w:val="00DD0F78"/>
    <w:rsid w:val="00DD0FB6"/>
    <w:rsid w:val="00DD1D05"/>
    <w:rsid w:val="00DD23CD"/>
    <w:rsid w:val="00DD273C"/>
    <w:rsid w:val="00DD2918"/>
    <w:rsid w:val="00DD2C75"/>
    <w:rsid w:val="00DD2D75"/>
    <w:rsid w:val="00DD320E"/>
    <w:rsid w:val="00DD3DBC"/>
    <w:rsid w:val="00DD3E08"/>
    <w:rsid w:val="00DD3F28"/>
    <w:rsid w:val="00DD3FFA"/>
    <w:rsid w:val="00DD40B4"/>
    <w:rsid w:val="00DD4446"/>
    <w:rsid w:val="00DD4537"/>
    <w:rsid w:val="00DD4B45"/>
    <w:rsid w:val="00DD4E15"/>
    <w:rsid w:val="00DD6999"/>
    <w:rsid w:val="00DD6B88"/>
    <w:rsid w:val="00DD6F31"/>
    <w:rsid w:val="00DE083A"/>
    <w:rsid w:val="00DE0873"/>
    <w:rsid w:val="00DE1488"/>
    <w:rsid w:val="00DE1A49"/>
    <w:rsid w:val="00DE2304"/>
    <w:rsid w:val="00DE2342"/>
    <w:rsid w:val="00DE2646"/>
    <w:rsid w:val="00DE3138"/>
    <w:rsid w:val="00DE3742"/>
    <w:rsid w:val="00DE37F8"/>
    <w:rsid w:val="00DE4273"/>
    <w:rsid w:val="00DE42F2"/>
    <w:rsid w:val="00DE4FCB"/>
    <w:rsid w:val="00DE5437"/>
    <w:rsid w:val="00DE5A73"/>
    <w:rsid w:val="00DE5CE5"/>
    <w:rsid w:val="00DE5D07"/>
    <w:rsid w:val="00DE61C4"/>
    <w:rsid w:val="00DE64A3"/>
    <w:rsid w:val="00DE72A7"/>
    <w:rsid w:val="00DE7511"/>
    <w:rsid w:val="00DE7832"/>
    <w:rsid w:val="00DF03E9"/>
    <w:rsid w:val="00DF0416"/>
    <w:rsid w:val="00DF093C"/>
    <w:rsid w:val="00DF0977"/>
    <w:rsid w:val="00DF18FC"/>
    <w:rsid w:val="00DF1AE7"/>
    <w:rsid w:val="00DF1E11"/>
    <w:rsid w:val="00DF1E23"/>
    <w:rsid w:val="00DF1E77"/>
    <w:rsid w:val="00DF2707"/>
    <w:rsid w:val="00DF2CDC"/>
    <w:rsid w:val="00DF2F18"/>
    <w:rsid w:val="00DF36D5"/>
    <w:rsid w:val="00DF597D"/>
    <w:rsid w:val="00DF5CBE"/>
    <w:rsid w:val="00DF5D2B"/>
    <w:rsid w:val="00DF6276"/>
    <w:rsid w:val="00DF6341"/>
    <w:rsid w:val="00DF635F"/>
    <w:rsid w:val="00DF6E18"/>
    <w:rsid w:val="00DF7924"/>
    <w:rsid w:val="00DF7DBF"/>
    <w:rsid w:val="00E00E8E"/>
    <w:rsid w:val="00E00EDA"/>
    <w:rsid w:val="00E00FE9"/>
    <w:rsid w:val="00E01EA6"/>
    <w:rsid w:val="00E02292"/>
    <w:rsid w:val="00E02541"/>
    <w:rsid w:val="00E02D06"/>
    <w:rsid w:val="00E048B3"/>
    <w:rsid w:val="00E04A61"/>
    <w:rsid w:val="00E051A4"/>
    <w:rsid w:val="00E05630"/>
    <w:rsid w:val="00E05706"/>
    <w:rsid w:val="00E05B33"/>
    <w:rsid w:val="00E06996"/>
    <w:rsid w:val="00E06B3C"/>
    <w:rsid w:val="00E06BEE"/>
    <w:rsid w:val="00E06C65"/>
    <w:rsid w:val="00E06DBB"/>
    <w:rsid w:val="00E07704"/>
    <w:rsid w:val="00E07B27"/>
    <w:rsid w:val="00E10149"/>
    <w:rsid w:val="00E10466"/>
    <w:rsid w:val="00E11340"/>
    <w:rsid w:val="00E11665"/>
    <w:rsid w:val="00E1166E"/>
    <w:rsid w:val="00E11F34"/>
    <w:rsid w:val="00E11F9E"/>
    <w:rsid w:val="00E122A1"/>
    <w:rsid w:val="00E13429"/>
    <w:rsid w:val="00E142E4"/>
    <w:rsid w:val="00E15822"/>
    <w:rsid w:val="00E16284"/>
    <w:rsid w:val="00E16372"/>
    <w:rsid w:val="00E167F8"/>
    <w:rsid w:val="00E168E7"/>
    <w:rsid w:val="00E1699F"/>
    <w:rsid w:val="00E16AD8"/>
    <w:rsid w:val="00E17FFA"/>
    <w:rsid w:val="00E20E4D"/>
    <w:rsid w:val="00E20ED6"/>
    <w:rsid w:val="00E21358"/>
    <w:rsid w:val="00E21BE1"/>
    <w:rsid w:val="00E22169"/>
    <w:rsid w:val="00E2249B"/>
    <w:rsid w:val="00E226DD"/>
    <w:rsid w:val="00E22A0D"/>
    <w:rsid w:val="00E231C9"/>
    <w:rsid w:val="00E234DB"/>
    <w:rsid w:val="00E244F6"/>
    <w:rsid w:val="00E258DB"/>
    <w:rsid w:val="00E25E14"/>
    <w:rsid w:val="00E267F1"/>
    <w:rsid w:val="00E26A3C"/>
    <w:rsid w:val="00E26EAB"/>
    <w:rsid w:val="00E2771E"/>
    <w:rsid w:val="00E27DE4"/>
    <w:rsid w:val="00E302E8"/>
    <w:rsid w:val="00E311EF"/>
    <w:rsid w:val="00E31869"/>
    <w:rsid w:val="00E318E4"/>
    <w:rsid w:val="00E32180"/>
    <w:rsid w:val="00E322F0"/>
    <w:rsid w:val="00E33A3F"/>
    <w:rsid w:val="00E34948"/>
    <w:rsid w:val="00E34A0E"/>
    <w:rsid w:val="00E357CE"/>
    <w:rsid w:val="00E36253"/>
    <w:rsid w:val="00E36BA6"/>
    <w:rsid w:val="00E3755D"/>
    <w:rsid w:val="00E37569"/>
    <w:rsid w:val="00E377F3"/>
    <w:rsid w:val="00E401B2"/>
    <w:rsid w:val="00E40784"/>
    <w:rsid w:val="00E417A0"/>
    <w:rsid w:val="00E41E30"/>
    <w:rsid w:val="00E420B7"/>
    <w:rsid w:val="00E42BF7"/>
    <w:rsid w:val="00E42F73"/>
    <w:rsid w:val="00E43D70"/>
    <w:rsid w:val="00E4463B"/>
    <w:rsid w:val="00E466F3"/>
    <w:rsid w:val="00E479B3"/>
    <w:rsid w:val="00E47B2C"/>
    <w:rsid w:val="00E47BD7"/>
    <w:rsid w:val="00E50528"/>
    <w:rsid w:val="00E5066A"/>
    <w:rsid w:val="00E5082D"/>
    <w:rsid w:val="00E50FB9"/>
    <w:rsid w:val="00E51560"/>
    <w:rsid w:val="00E51821"/>
    <w:rsid w:val="00E51FBB"/>
    <w:rsid w:val="00E52799"/>
    <w:rsid w:val="00E52A3B"/>
    <w:rsid w:val="00E53C8F"/>
    <w:rsid w:val="00E53FC8"/>
    <w:rsid w:val="00E54347"/>
    <w:rsid w:val="00E54823"/>
    <w:rsid w:val="00E54B05"/>
    <w:rsid w:val="00E54FF5"/>
    <w:rsid w:val="00E55424"/>
    <w:rsid w:val="00E55915"/>
    <w:rsid w:val="00E55BB5"/>
    <w:rsid w:val="00E5675A"/>
    <w:rsid w:val="00E56C82"/>
    <w:rsid w:val="00E570C7"/>
    <w:rsid w:val="00E57276"/>
    <w:rsid w:val="00E57A02"/>
    <w:rsid w:val="00E6033A"/>
    <w:rsid w:val="00E60806"/>
    <w:rsid w:val="00E60AF3"/>
    <w:rsid w:val="00E611DF"/>
    <w:rsid w:val="00E616B2"/>
    <w:rsid w:val="00E6174F"/>
    <w:rsid w:val="00E625F6"/>
    <w:rsid w:val="00E6270E"/>
    <w:rsid w:val="00E627CD"/>
    <w:rsid w:val="00E629CF"/>
    <w:rsid w:val="00E643B3"/>
    <w:rsid w:val="00E657BB"/>
    <w:rsid w:val="00E65E79"/>
    <w:rsid w:val="00E66BA2"/>
    <w:rsid w:val="00E66C43"/>
    <w:rsid w:val="00E66D23"/>
    <w:rsid w:val="00E66F84"/>
    <w:rsid w:val="00E67416"/>
    <w:rsid w:val="00E70611"/>
    <w:rsid w:val="00E7062D"/>
    <w:rsid w:val="00E70650"/>
    <w:rsid w:val="00E70780"/>
    <w:rsid w:val="00E70890"/>
    <w:rsid w:val="00E70980"/>
    <w:rsid w:val="00E70D7B"/>
    <w:rsid w:val="00E70E8F"/>
    <w:rsid w:val="00E70F93"/>
    <w:rsid w:val="00E715DE"/>
    <w:rsid w:val="00E716B3"/>
    <w:rsid w:val="00E718B6"/>
    <w:rsid w:val="00E71C14"/>
    <w:rsid w:val="00E72031"/>
    <w:rsid w:val="00E7215F"/>
    <w:rsid w:val="00E723BA"/>
    <w:rsid w:val="00E73581"/>
    <w:rsid w:val="00E73769"/>
    <w:rsid w:val="00E73B3A"/>
    <w:rsid w:val="00E74294"/>
    <w:rsid w:val="00E747B0"/>
    <w:rsid w:val="00E7610E"/>
    <w:rsid w:val="00E7775D"/>
    <w:rsid w:val="00E77DFD"/>
    <w:rsid w:val="00E80404"/>
    <w:rsid w:val="00E80863"/>
    <w:rsid w:val="00E813F4"/>
    <w:rsid w:val="00E81ADA"/>
    <w:rsid w:val="00E81FAA"/>
    <w:rsid w:val="00E823FB"/>
    <w:rsid w:val="00E82BDA"/>
    <w:rsid w:val="00E833F7"/>
    <w:rsid w:val="00E83438"/>
    <w:rsid w:val="00E83640"/>
    <w:rsid w:val="00E83BDF"/>
    <w:rsid w:val="00E840C0"/>
    <w:rsid w:val="00E84C0F"/>
    <w:rsid w:val="00E856B2"/>
    <w:rsid w:val="00E85CD1"/>
    <w:rsid w:val="00E86C13"/>
    <w:rsid w:val="00E86FCC"/>
    <w:rsid w:val="00E87608"/>
    <w:rsid w:val="00E8799B"/>
    <w:rsid w:val="00E87A1D"/>
    <w:rsid w:val="00E90619"/>
    <w:rsid w:val="00E9094A"/>
    <w:rsid w:val="00E9112D"/>
    <w:rsid w:val="00E915E8"/>
    <w:rsid w:val="00E91850"/>
    <w:rsid w:val="00E91D35"/>
    <w:rsid w:val="00E92219"/>
    <w:rsid w:val="00E9246F"/>
    <w:rsid w:val="00E926A5"/>
    <w:rsid w:val="00E92AB6"/>
    <w:rsid w:val="00E92B85"/>
    <w:rsid w:val="00E9346C"/>
    <w:rsid w:val="00E93618"/>
    <w:rsid w:val="00E94779"/>
    <w:rsid w:val="00E949C1"/>
    <w:rsid w:val="00E962CC"/>
    <w:rsid w:val="00E963D9"/>
    <w:rsid w:val="00E964F2"/>
    <w:rsid w:val="00E9683E"/>
    <w:rsid w:val="00E96982"/>
    <w:rsid w:val="00E97272"/>
    <w:rsid w:val="00EA0F5F"/>
    <w:rsid w:val="00EA17C3"/>
    <w:rsid w:val="00EA1C22"/>
    <w:rsid w:val="00EA2578"/>
    <w:rsid w:val="00EA2864"/>
    <w:rsid w:val="00EA29B6"/>
    <w:rsid w:val="00EA2CAA"/>
    <w:rsid w:val="00EA31E9"/>
    <w:rsid w:val="00EA3864"/>
    <w:rsid w:val="00EA3FE5"/>
    <w:rsid w:val="00EA441E"/>
    <w:rsid w:val="00EA5665"/>
    <w:rsid w:val="00EA6EC6"/>
    <w:rsid w:val="00EA7174"/>
    <w:rsid w:val="00EA7F1C"/>
    <w:rsid w:val="00EB05A5"/>
    <w:rsid w:val="00EB0813"/>
    <w:rsid w:val="00EB1028"/>
    <w:rsid w:val="00EB15B6"/>
    <w:rsid w:val="00EB191D"/>
    <w:rsid w:val="00EB21E7"/>
    <w:rsid w:val="00EB23A4"/>
    <w:rsid w:val="00EB2E05"/>
    <w:rsid w:val="00EB3979"/>
    <w:rsid w:val="00EB3A64"/>
    <w:rsid w:val="00EB3C6E"/>
    <w:rsid w:val="00EB3D06"/>
    <w:rsid w:val="00EB4916"/>
    <w:rsid w:val="00EB589A"/>
    <w:rsid w:val="00EB6581"/>
    <w:rsid w:val="00EB6FFD"/>
    <w:rsid w:val="00EC00C9"/>
    <w:rsid w:val="00EC0496"/>
    <w:rsid w:val="00EC096C"/>
    <w:rsid w:val="00EC0DD9"/>
    <w:rsid w:val="00EC231B"/>
    <w:rsid w:val="00EC2649"/>
    <w:rsid w:val="00EC31ED"/>
    <w:rsid w:val="00EC37B6"/>
    <w:rsid w:val="00EC38AB"/>
    <w:rsid w:val="00EC3D14"/>
    <w:rsid w:val="00EC4E12"/>
    <w:rsid w:val="00EC5836"/>
    <w:rsid w:val="00EC60A4"/>
    <w:rsid w:val="00EC688C"/>
    <w:rsid w:val="00EC7A8E"/>
    <w:rsid w:val="00EC7DD8"/>
    <w:rsid w:val="00EC7FEF"/>
    <w:rsid w:val="00ED0A50"/>
    <w:rsid w:val="00ED0D92"/>
    <w:rsid w:val="00ED12E3"/>
    <w:rsid w:val="00ED14A9"/>
    <w:rsid w:val="00ED2072"/>
    <w:rsid w:val="00ED4B04"/>
    <w:rsid w:val="00ED57EA"/>
    <w:rsid w:val="00ED5BC7"/>
    <w:rsid w:val="00ED5BD4"/>
    <w:rsid w:val="00ED5CC3"/>
    <w:rsid w:val="00ED7F24"/>
    <w:rsid w:val="00EE07D3"/>
    <w:rsid w:val="00EE1996"/>
    <w:rsid w:val="00EE1C01"/>
    <w:rsid w:val="00EE212A"/>
    <w:rsid w:val="00EE22AF"/>
    <w:rsid w:val="00EE26AC"/>
    <w:rsid w:val="00EE2C11"/>
    <w:rsid w:val="00EE2E0F"/>
    <w:rsid w:val="00EE410B"/>
    <w:rsid w:val="00EE4409"/>
    <w:rsid w:val="00EE4BB5"/>
    <w:rsid w:val="00EE4E4C"/>
    <w:rsid w:val="00EE57FB"/>
    <w:rsid w:val="00EE75DA"/>
    <w:rsid w:val="00EE7C3F"/>
    <w:rsid w:val="00EE7F22"/>
    <w:rsid w:val="00EE7F71"/>
    <w:rsid w:val="00EF0171"/>
    <w:rsid w:val="00EF1B25"/>
    <w:rsid w:val="00EF1D5E"/>
    <w:rsid w:val="00EF1DA0"/>
    <w:rsid w:val="00EF3134"/>
    <w:rsid w:val="00EF4747"/>
    <w:rsid w:val="00EF4BF8"/>
    <w:rsid w:val="00EF5DD2"/>
    <w:rsid w:val="00EF6A54"/>
    <w:rsid w:val="00EF6DD5"/>
    <w:rsid w:val="00EF7386"/>
    <w:rsid w:val="00F008C3"/>
    <w:rsid w:val="00F01134"/>
    <w:rsid w:val="00F01152"/>
    <w:rsid w:val="00F02253"/>
    <w:rsid w:val="00F03731"/>
    <w:rsid w:val="00F03C2E"/>
    <w:rsid w:val="00F03FEA"/>
    <w:rsid w:val="00F047FB"/>
    <w:rsid w:val="00F04A66"/>
    <w:rsid w:val="00F04B4B"/>
    <w:rsid w:val="00F0516C"/>
    <w:rsid w:val="00F055F1"/>
    <w:rsid w:val="00F063C7"/>
    <w:rsid w:val="00F067A2"/>
    <w:rsid w:val="00F06872"/>
    <w:rsid w:val="00F07B9E"/>
    <w:rsid w:val="00F10094"/>
    <w:rsid w:val="00F1116F"/>
    <w:rsid w:val="00F1213F"/>
    <w:rsid w:val="00F125CB"/>
    <w:rsid w:val="00F1263A"/>
    <w:rsid w:val="00F131A9"/>
    <w:rsid w:val="00F139C5"/>
    <w:rsid w:val="00F13E33"/>
    <w:rsid w:val="00F15161"/>
    <w:rsid w:val="00F1544D"/>
    <w:rsid w:val="00F15B77"/>
    <w:rsid w:val="00F15D19"/>
    <w:rsid w:val="00F15D77"/>
    <w:rsid w:val="00F160DF"/>
    <w:rsid w:val="00F16241"/>
    <w:rsid w:val="00F1756C"/>
    <w:rsid w:val="00F17740"/>
    <w:rsid w:val="00F20721"/>
    <w:rsid w:val="00F21236"/>
    <w:rsid w:val="00F21661"/>
    <w:rsid w:val="00F220D1"/>
    <w:rsid w:val="00F2237E"/>
    <w:rsid w:val="00F22EFE"/>
    <w:rsid w:val="00F231A0"/>
    <w:rsid w:val="00F23298"/>
    <w:rsid w:val="00F239DF"/>
    <w:rsid w:val="00F23EBB"/>
    <w:rsid w:val="00F241F8"/>
    <w:rsid w:val="00F242B9"/>
    <w:rsid w:val="00F24837"/>
    <w:rsid w:val="00F2531A"/>
    <w:rsid w:val="00F2575F"/>
    <w:rsid w:val="00F258F9"/>
    <w:rsid w:val="00F2610B"/>
    <w:rsid w:val="00F26B67"/>
    <w:rsid w:val="00F27565"/>
    <w:rsid w:val="00F27E49"/>
    <w:rsid w:val="00F30548"/>
    <w:rsid w:val="00F307FD"/>
    <w:rsid w:val="00F30B24"/>
    <w:rsid w:val="00F310D4"/>
    <w:rsid w:val="00F31D5A"/>
    <w:rsid w:val="00F32070"/>
    <w:rsid w:val="00F323CE"/>
    <w:rsid w:val="00F3248F"/>
    <w:rsid w:val="00F33975"/>
    <w:rsid w:val="00F339E3"/>
    <w:rsid w:val="00F33DE9"/>
    <w:rsid w:val="00F35667"/>
    <w:rsid w:val="00F35E6D"/>
    <w:rsid w:val="00F35EC2"/>
    <w:rsid w:val="00F3619A"/>
    <w:rsid w:val="00F36A3C"/>
    <w:rsid w:val="00F37780"/>
    <w:rsid w:val="00F40990"/>
    <w:rsid w:val="00F40AAA"/>
    <w:rsid w:val="00F40BA7"/>
    <w:rsid w:val="00F40F9D"/>
    <w:rsid w:val="00F41818"/>
    <w:rsid w:val="00F41ACD"/>
    <w:rsid w:val="00F41CE1"/>
    <w:rsid w:val="00F4257B"/>
    <w:rsid w:val="00F42883"/>
    <w:rsid w:val="00F42B83"/>
    <w:rsid w:val="00F4330D"/>
    <w:rsid w:val="00F45728"/>
    <w:rsid w:val="00F45FDA"/>
    <w:rsid w:val="00F466DE"/>
    <w:rsid w:val="00F46CB6"/>
    <w:rsid w:val="00F46F63"/>
    <w:rsid w:val="00F4756D"/>
    <w:rsid w:val="00F47DE8"/>
    <w:rsid w:val="00F47EF0"/>
    <w:rsid w:val="00F50350"/>
    <w:rsid w:val="00F50E75"/>
    <w:rsid w:val="00F52819"/>
    <w:rsid w:val="00F53760"/>
    <w:rsid w:val="00F541C1"/>
    <w:rsid w:val="00F542C1"/>
    <w:rsid w:val="00F54955"/>
    <w:rsid w:val="00F54D55"/>
    <w:rsid w:val="00F54ED6"/>
    <w:rsid w:val="00F550E3"/>
    <w:rsid w:val="00F5520A"/>
    <w:rsid w:val="00F5597F"/>
    <w:rsid w:val="00F55E73"/>
    <w:rsid w:val="00F55EDA"/>
    <w:rsid w:val="00F55FF1"/>
    <w:rsid w:val="00F561A5"/>
    <w:rsid w:val="00F56C80"/>
    <w:rsid w:val="00F56CFA"/>
    <w:rsid w:val="00F571EB"/>
    <w:rsid w:val="00F57E70"/>
    <w:rsid w:val="00F60092"/>
    <w:rsid w:val="00F610EC"/>
    <w:rsid w:val="00F6125C"/>
    <w:rsid w:val="00F61376"/>
    <w:rsid w:val="00F619FF"/>
    <w:rsid w:val="00F61C18"/>
    <w:rsid w:val="00F6250C"/>
    <w:rsid w:val="00F626F0"/>
    <w:rsid w:val="00F6365B"/>
    <w:rsid w:val="00F640D1"/>
    <w:rsid w:val="00F64724"/>
    <w:rsid w:val="00F64F61"/>
    <w:rsid w:val="00F658A2"/>
    <w:rsid w:val="00F65A79"/>
    <w:rsid w:val="00F65CB5"/>
    <w:rsid w:val="00F65F4B"/>
    <w:rsid w:val="00F6654F"/>
    <w:rsid w:val="00F667FA"/>
    <w:rsid w:val="00F66E61"/>
    <w:rsid w:val="00F67775"/>
    <w:rsid w:val="00F678C2"/>
    <w:rsid w:val="00F67A20"/>
    <w:rsid w:val="00F67A69"/>
    <w:rsid w:val="00F67BA6"/>
    <w:rsid w:val="00F70153"/>
    <w:rsid w:val="00F70866"/>
    <w:rsid w:val="00F70986"/>
    <w:rsid w:val="00F70BE9"/>
    <w:rsid w:val="00F70BFF"/>
    <w:rsid w:val="00F70C9D"/>
    <w:rsid w:val="00F71194"/>
    <w:rsid w:val="00F71C4F"/>
    <w:rsid w:val="00F727B6"/>
    <w:rsid w:val="00F72960"/>
    <w:rsid w:val="00F72F11"/>
    <w:rsid w:val="00F733C5"/>
    <w:rsid w:val="00F736C7"/>
    <w:rsid w:val="00F738D3"/>
    <w:rsid w:val="00F73E08"/>
    <w:rsid w:val="00F73E54"/>
    <w:rsid w:val="00F741D3"/>
    <w:rsid w:val="00F74329"/>
    <w:rsid w:val="00F7476C"/>
    <w:rsid w:val="00F74CD9"/>
    <w:rsid w:val="00F759E8"/>
    <w:rsid w:val="00F75B93"/>
    <w:rsid w:val="00F75E61"/>
    <w:rsid w:val="00F76948"/>
    <w:rsid w:val="00F772E6"/>
    <w:rsid w:val="00F776EA"/>
    <w:rsid w:val="00F807A5"/>
    <w:rsid w:val="00F80A3B"/>
    <w:rsid w:val="00F80A7B"/>
    <w:rsid w:val="00F80B5B"/>
    <w:rsid w:val="00F80E5D"/>
    <w:rsid w:val="00F81578"/>
    <w:rsid w:val="00F81E78"/>
    <w:rsid w:val="00F829DA"/>
    <w:rsid w:val="00F829F4"/>
    <w:rsid w:val="00F83916"/>
    <w:rsid w:val="00F83A0E"/>
    <w:rsid w:val="00F83ECF"/>
    <w:rsid w:val="00F843F8"/>
    <w:rsid w:val="00F84420"/>
    <w:rsid w:val="00F8467C"/>
    <w:rsid w:val="00F847B8"/>
    <w:rsid w:val="00F851CE"/>
    <w:rsid w:val="00F86300"/>
    <w:rsid w:val="00F86413"/>
    <w:rsid w:val="00F86458"/>
    <w:rsid w:val="00F869D1"/>
    <w:rsid w:val="00F87410"/>
    <w:rsid w:val="00F90DC4"/>
    <w:rsid w:val="00F91219"/>
    <w:rsid w:val="00F91355"/>
    <w:rsid w:val="00F913B4"/>
    <w:rsid w:val="00F92444"/>
    <w:rsid w:val="00F92AE6"/>
    <w:rsid w:val="00F92CC6"/>
    <w:rsid w:val="00F92E18"/>
    <w:rsid w:val="00F933FA"/>
    <w:rsid w:val="00F93661"/>
    <w:rsid w:val="00F9393E"/>
    <w:rsid w:val="00F93CCD"/>
    <w:rsid w:val="00F93E61"/>
    <w:rsid w:val="00F943B6"/>
    <w:rsid w:val="00F95265"/>
    <w:rsid w:val="00F9551B"/>
    <w:rsid w:val="00F9676C"/>
    <w:rsid w:val="00F96FBD"/>
    <w:rsid w:val="00F96FD0"/>
    <w:rsid w:val="00F97A78"/>
    <w:rsid w:val="00F97CFE"/>
    <w:rsid w:val="00FA0B20"/>
    <w:rsid w:val="00FA0E00"/>
    <w:rsid w:val="00FA20A2"/>
    <w:rsid w:val="00FA24E7"/>
    <w:rsid w:val="00FA5EE6"/>
    <w:rsid w:val="00FA6700"/>
    <w:rsid w:val="00FA7484"/>
    <w:rsid w:val="00FA7741"/>
    <w:rsid w:val="00FA788B"/>
    <w:rsid w:val="00FA7956"/>
    <w:rsid w:val="00FB004F"/>
    <w:rsid w:val="00FB0824"/>
    <w:rsid w:val="00FB0F5A"/>
    <w:rsid w:val="00FB10AA"/>
    <w:rsid w:val="00FB123D"/>
    <w:rsid w:val="00FB2FCB"/>
    <w:rsid w:val="00FB342B"/>
    <w:rsid w:val="00FB3B54"/>
    <w:rsid w:val="00FB405A"/>
    <w:rsid w:val="00FB40D9"/>
    <w:rsid w:val="00FB44B9"/>
    <w:rsid w:val="00FB4C9C"/>
    <w:rsid w:val="00FB4D38"/>
    <w:rsid w:val="00FB4F83"/>
    <w:rsid w:val="00FB526E"/>
    <w:rsid w:val="00FB5933"/>
    <w:rsid w:val="00FB5A6F"/>
    <w:rsid w:val="00FB5C14"/>
    <w:rsid w:val="00FB5DFB"/>
    <w:rsid w:val="00FB76CE"/>
    <w:rsid w:val="00FB7BF9"/>
    <w:rsid w:val="00FB7C55"/>
    <w:rsid w:val="00FC0021"/>
    <w:rsid w:val="00FC00EB"/>
    <w:rsid w:val="00FC04E9"/>
    <w:rsid w:val="00FC0903"/>
    <w:rsid w:val="00FC1074"/>
    <w:rsid w:val="00FC1424"/>
    <w:rsid w:val="00FC1884"/>
    <w:rsid w:val="00FC1D21"/>
    <w:rsid w:val="00FC208E"/>
    <w:rsid w:val="00FC371D"/>
    <w:rsid w:val="00FC37A4"/>
    <w:rsid w:val="00FC38E5"/>
    <w:rsid w:val="00FC3AB7"/>
    <w:rsid w:val="00FC424C"/>
    <w:rsid w:val="00FC42A3"/>
    <w:rsid w:val="00FC49B0"/>
    <w:rsid w:val="00FC5F0B"/>
    <w:rsid w:val="00FC6D5B"/>
    <w:rsid w:val="00FC7794"/>
    <w:rsid w:val="00FD0450"/>
    <w:rsid w:val="00FD0B34"/>
    <w:rsid w:val="00FD1519"/>
    <w:rsid w:val="00FD16FB"/>
    <w:rsid w:val="00FD2100"/>
    <w:rsid w:val="00FD2A6E"/>
    <w:rsid w:val="00FD30C6"/>
    <w:rsid w:val="00FD35CD"/>
    <w:rsid w:val="00FD35F8"/>
    <w:rsid w:val="00FD3F80"/>
    <w:rsid w:val="00FD436C"/>
    <w:rsid w:val="00FD446D"/>
    <w:rsid w:val="00FD4649"/>
    <w:rsid w:val="00FD4ED6"/>
    <w:rsid w:val="00FD4F2C"/>
    <w:rsid w:val="00FD51C9"/>
    <w:rsid w:val="00FD530A"/>
    <w:rsid w:val="00FD53F6"/>
    <w:rsid w:val="00FD5A29"/>
    <w:rsid w:val="00FD6033"/>
    <w:rsid w:val="00FD60B0"/>
    <w:rsid w:val="00FD6394"/>
    <w:rsid w:val="00FD7686"/>
    <w:rsid w:val="00FE088E"/>
    <w:rsid w:val="00FE0E6C"/>
    <w:rsid w:val="00FE1CDC"/>
    <w:rsid w:val="00FE21DB"/>
    <w:rsid w:val="00FE4DDE"/>
    <w:rsid w:val="00FE59B0"/>
    <w:rsid w:val="00FE5ADC"/>
    <w:rsid w:val="00FE6297"/>
    <w:rsid w:val="00FE65D6"/>
    <w:rsid w:val="00FE65E9"/>
    <w:rsid w:val="00FE67A2"/>
    <w:rsid w:val="00FE67B1"/>
    <w:rsid w:val="00FE70C3"/>
    <w:rsid w:val="00FE7C85"/>
    <w:rsid w:val="00FE7CF7"/>
    <w:rsid w:val="00FF1A8B"/>
    <w:rsid w:val="00FF1AB4"/>
    <w:rsid w:val="00FF1DA9"/>
    <w:rsid w:val="00FF2AD9"/>
    <w:rsid w:val="00FF359F"/>
    <w:rsid w:val="00FF377B"/>
    <w:rsid w:val="00FF3DCF"/>
    <w:rsid w:val="00FF3FD6"/>
    <w:rsid w:val="00FF406D"/>
    <w:rsid w:val="00FF492C"/>
    <w:rsid w:val="00FF4A21"/>
    <w:rsid w:val="00FF4F45"/>
    <w:rsid w:val="00FF4FD1"/>
    <w:rsid w:val="00FF5AA3"/>
    <w:rsid w:val="00FF5AD8"/>
    <w:rsid w:val="00FF60A9"/>
    <w:rsid w:val="00FF6462"/>
    <w:rsid w:val="00FF6C77"/>
    <w:rsid w:val="00FF6EE2"/>
    <w:rsid w:val="00FF739E"/>
    <w:rsid w:val="00FF7B45"/>
    <w:rsid w:val="00FF7F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130"/>
    <w:pPr>
      <w:jc w:val="both"/>
    </w:pPr>
    <w:rPr>
      <w:rFonts w:ascii="Calibri" w:hAnsi="Calibri" w:cs="Arial"/>
      <w:sz w:val="24"/>
      <w:szCs w:val="24"/>
    </w:rPr>
  </w:style>
  <w:style w:type="paragraph" w:styleId="Heading1">
    <w:name w:val="heading 1"/>
    <w:aliases w:val="CC heading,1 Report heading,Heading 1 Char Char,Bayer-Heading 1"/>
    <w:basedOn w:val="Normal"/>
    <w:next w:val="Normal"/>
    <w:uiPriority w:val="1"/>
    <w:qFormat/>
    <w:rsid w:val="001B204E"/>
    <w:pPr>
      <w:ind w:left="720" w:hanging="720"/>
      <w:outlineLvl w:val="0"/>
    </w:pPr>
    <w:rPr>
      <w:b/>
      <w:caps/>
      <w:sz w:val="32"/>
    </w:rPr>
  </w:style>
  <w:style w:type="paragraph" w:styleId="Heading2">
    <w:name w:val="heading 2"/>
    <w:aliases w:val="1.1 Report heading,Bayer-Heading 2"/>
    <w:next w:val="Normal"/>
    <w:link w:val="Heading2Char"/>
    <w:qFormat/>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aliases w:val="Bayer-Heading 6"/>
    <w:basedOn w:val="Normal"/>
    <w:next w:val="Normal"/>
    <w:rsid w:val="00124A51"/>
    <w:pPr>
      <w:spacing w:before="240" w:after="60"/>
      <w:outlineLvl w:val="5"/>
    </w:pPr>
    <w:rPr>
      <w:b/>
      <w:bCs/>
      <w:i/>
    </w:rPr>
  </w:style>
  <w:style w:type="paragraph" w:styleId="Heading7">
    <w:name w:val="heading 7"/>
    <w:aliases w:val="Bayer-Heading 7"/>
    <w:basedOn w:val="Normal"/>
    <w:next w:val="Normal"/>
    <w:link w:val="Heading7Char"/>
    <w:rsid w:val="00124A51"/>
    <w:pPr>
      <w:keepNext/>
      <w:jc w:val="center"/>
      <w:outlineLvl w:val="6"/>
    </w:pPr>
    <w:rPr>
      <w:b/>
      <w:sz w:val="20"/>
    </w:rPr>
  </w:style>
  <w:style w:type="paragraph" w:styleId="Heading8">
    <w:name w:val="heading 8"/>
    <w:aliases w:val="Bayer-Heading 8"/>
    <w:basedOn w:val="Normal"/>
    <w:next w:val="Normal"/>
    <w:link w:val="Heading8Char"/>
    <w:uiPriority w:val="7"/>
    <w:rsid w:val="00124A51"/>
    <w:pPr>
      <w:keepNext/>
      <w:jc w:val="right"/>
      <w:outlineLvl w:val="7"/>
    </w:pPr>
    <w:rPr>
      <w:b/>
    </w:rPr>
  </w:style>
  <w:style w:type="paragraph" w:styleId="Heading9">
    <w:name w:val="heading 9"/>
    <w:aliases w:val="Bayer-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1.1 Report heading Char,Bayer-Heading 2 Char"/>
    <w:link w:val="Heading2"/>
    <w:rsid w:val="00D410E4"/>
    <w:rPr>
      <w:rFonts w:ascii="Calibri" w:hAnsi="Calibri" w:cs="Arial"/>
      <w:b/>
      <w:i/>
      <w:sz w:val="28"/>
      <w:szCs w:val="24"/>
    </w:rPr>
  </w:style>
  <w:style w:type="character" w:customStyle="1" w:styleId="Heading7Char">
    <w:name w:val="Heading 7 Char"/>
    <w:aliases w:val="Bayer-Heading 7 Char"/>
    <w:basedOn w:val="DefaultParagraphFont"/>
    <w:link w:val="Heading7"/>
    <w:rsid w:val="00124A51"/>
    <w:rPr>
      <w:rFonts w:ascii="Arial" w:hAnsi="Arial"/>
      <w:b/>
      <w:snapToGrid w:val="0"/>
      <w:lang w:eastAsia="en-US"/>
    </w:rPr>
  </w:style>
  <w:style w:type="character" w:customStyle="1" w:styleId="Heading8Char">
    <w:name w:val="Heading 8 Char"/>
    <w:aliases w:val="Bayer-Heading 8 Char"/>
    <w:basedOn w:val="DefaultParagraphFont"/>
    <w:link w:val="Heading8"/>
    <w:rsid w:val="00124A51"/>
    <w:rPr>
      <w:b/>
      <w:snapToGrid w:val="0"/>
      <w:sz w:val="24"/>
      <w:lang w:eastAsia="en-US"/>
    </w:rPr>
  </w:style>
  <w:style w:type="character" w:customStyle="1" w:styleId="Heading9Char">
    <w:name w:val="Heading 9 Char"/>
    <w:aliases w:val="Bayer-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6"/>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Numbered para,BulletPoints,Footnote,Bullet point,List Paragraph1,List Paragraph11,Recommendation,ES Paragraph,PBAC ES Paragraph,PBAC normal points,Bullet List,Figure_name,Numbered Indented Text,Bullet- First level,List NUmber,Table Legend"/>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Figure_name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RTI AMCP Table,new style,Conclusion box,Table Grid nm,PBAC table,MSD Table Grid,Lash Style Table,HTAtableplain"/>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FB4D38"/>
    <w:pPr>
      <w:numPr>
        <w:ilvl w:val="1"/>
        <w:numId w:val="1"/>
      </w:numPr>
      <w:ind w:left="720" w:hanging="720"/>
    </w:pPr>
  </w:style>
  <w:style w:type="character" w:customStyle="1" w:styleId="COMexecsumnumberedparaChar">
    <w:name w:val="COM exec sum numbered para Char"/>
    <w:basedOn w:val="ListParagraphChar"/>
    <w:link w:val="COMexecsumnumberedpara"/>
    <w:rsid w:val="00FB4D38"/>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paragraph" w:customStyle="1" w:styleId="Tabletext">
    <w:name w:val="Table text"/>
    <w:link w:val="TabletextChar"/>
    <w:uiPriority w:val="99"/>
    <w:qFormat/>
    <w:rsid w:val="00260118"/>
    <w:pPr>
      <w:keepNext/>
      <w:spacing w:before="40" w:after="40"/>
    </w:pPr>
    <w:rPr>
      <w:rFonts w:ascii="Arial Narrow" w:eastAsia="Calibri" w:hAnsi="Arial Narrow"/>
      <w:lang w:eastAsia="en-US"/>
    </w:rPr>
  </w:style>
  <w:style w:type="character" w:customStyle="1" w:styleId="TabletextChar">
    <w:name w:val="Table text Char"/>
    <w:link w:val="Tabletext"/>
    <w:uiPriority w:val="99"/>
    <w:rsid w:val="00260118"/>
    <w:rPr>
      <w:rFonts w:ascii="Arial Narrow" w:eastAsia="Calibri" w:hAnsi="Arial Narrow"/>
      <w:lang w:eastAsia="en-US"/>
    </w:rPr>
  </w:style>
  <w:style w:type="paragraph" w:customStyle="1" w:styleId="TableFooter">
    <w:name w:val="Table Footer"/>
    <w:basedOn w:val="Normal"/>
    <w:link w:val="TableFooterChar"/>
    <w:qFormat/>
    <w:rsid w:val="00594BB2"/>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594BB2"/>
    <w:rPr>
      <w:rFonts w:ascii="Arial Narrow" w:hAnsi="Arial Narrow" w:cs="Arial"/>
      <w:snapToGrid w:val="0"/>
      <w:sz w:val="18"/>
      <w:szCs w:val="22"/>
      <w:lang w:eastAsia="en-US"/>
    </w:rPr>
  </w:style>
  <w:style w:type="paragraph" w:customStyle="1" w:styleId="TableText0">
    <w:name w:val="Table Text"/>
    <w:link w:val="TableTextChar0"/>
    <w:qFormat/>
    <w:rsid w:val="00CC46F7"/>
    <w:pPr>
      <w:keepNext/>
    </w:pPr>
    <w:rPr>
      <w:rFonts w:ascii="Arial Narrow" w:eastAsiaTheme="majorEastAsia" w:hAnsi="Arial Narrow" w:cstheme="majorBidi"/>
      <w:bCs/>
      <w:szCs w:val="24"/>
    </w:rPr>
  </w:style>
  <w:style w:type="paragraph" w:customStyle="1" w:styleId="Tableheadingrow">
    <w:name w:val="Table heading row"/>
    <w:qFormat/>
    <w:rsid w:val="00CC46F7"/>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CC46F7"/>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CC46F7"/>
    <w:rPr>
      <w:rFonts w:ascii="Arial Narrow" w:eastAsiaTheme="majorEastAsia" w:hAnsi="Arial Narrow" w:cstheme="majorBidi"/>
      <w:b/>
      <w:bCs/>
      <w:szCs w:val="24"/>
    </w:rPr>
  </w:style>
  <w:style w:type="character" w:customStyle="1" w:styleId="TableTextChar0">
    <w:name w:val="Table Text Char"/>
    <w:basedOn w:val="DefaultParagraphFont"/>
    <w:link w:val="TableText0"/>
    <w:rsid w:val="00CC46F7"/>
    <w:rPr>
      <w:rFonts w:ascii="Arial Narrow" w:eastAsiaTheme="majorEastAsia" w:hAnsi="Arial Narrow" w:cstheme="majorBidi"/>
      <w:bCs/>
      <w:szCs w:val="24"/>
    </w:rPr>
  </w:style>
  <w:style w:type="paragraph" w:customStyle="1" w:styleId="PBACTabletext">
    <w:name w:val="PBAC Table text"/>
    <w:qFormat/>
    <w:rsid w:val="007C2209"/>
    <w:pPr>
      <w:keepNext/>
      <w:keepLines/>
      <w:suppressLineNumbers/>
      <w:spacing w:after="20"/>
      <w:textboxTightWrap w:val="allLines"/>
    </w:pPr>
    <w:rPr>
      <w:rFonts w:asciiTheme="minorHAnsi" w:hAnsiTheme="minorHAnsi" w:cs="Arial"/>
      <w:szCs w:val="24"/>
      <w:lang w:eastAsia="en-GB"/>
    </w:rPr>
  </w:style>
  <w:style w:type="paragraph" w:styleId="FootnoteText">
    <w:name w:val="footnote text"/>
    <w:aliases w:val="Char"/>
    <w:basedOn w:val="Normal"/>
    <w:link w:val="FootnoteTextChar"/>
    <w:semiHidden/>
    <w:rsid w:val="007C2209"/>
    <w:pPr>
      <w:spacing w:line="276" w:lineRule="auto"/>
    </w:pPr>
    <w:rPr>
      <w:rFonts w:ascii="Times New Roman" w:hAnsi="Times New Roman" w:cs="Times New Roman"/>
      <w:sz w:val="20"/>
      <w:szCs w:val="20"/>
      <w:lang w:eastAsia="en-US"/>
    </w:rPr>
  </w:style>
  <w:style w:type="character" w:customStyle="1" w:styleId="FootnoteTextChar">
    <w:name w:val="Footnote Text Char"/>
    <w:aliases w:val="Char Char"/>
    <w:basedOn w:val="DefaultParagraphFont"/>
    <w:link w:val="FootnoteText"/>
    <w:semiHidden/>
    <w:rsid w:val="007C2209"/>
    <w:rPr>
      <w:lang w:eastAsia="en-US"/>
    </w:rPr>
  </w:style>
  <w:style w:type="paragraph" w:styleId="Header">
    <w:name w:val="header"/>
    <w:aliases w:val="Page Header,Header title,he=header,cntr/bld"/>
    <w:basedOn w:val="Normal"/>
    <w:link w:val="HeaderChar"/>
    <w:uiPriority w:val="99"/>
    <w:unhideWhenUsed/>
    <w:qFormat/>
    <w:rsid w:val="00307B0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307B0C"/>
    <w:rPr>
      <w:rFonts w:ascii="Calibri" w:hAnsi="Calibri" w:cs="Arial"/>
      <w:sz w:val="24"/>
      <w:szCs w:val="24"/>
    </w:rPr>
  </w:style>
  <w:style w:type="paragraph" w:styleId="Footer">
    <w:name w:val="footer"/>
    <w:basedOn w:val="Normal"/>
    <w:link w:val="FooterChar"/>
    <w:uiPriority w:val="99"/>
    <w:unhideWhenUsed/>
    <w:rsid w:val="00307B0C"/>
    <w:pPr>
      <w:tabs>
        <w:tab w:val="center" w:pos="4513"/>
        <w:tab w:val="right" w:pos="9026"/>
      </w:tabs>
    </w:pPr>
  </w:style>
  <w:style w:type="character" w:customStyle="1" w:styleId="FooterChar">
    <w:name w:val="Footer Char"/>
    <w:basedOn w:val="DefaultParagraphFont"/>
    <w:link w:val="Footer"/>
    <w:uiPriority w:val="99"/>
    <w:rsid w:val="00307B0C"/>
    <w:rPr>
      <w:rFonts w:ascii="Calibri" w:hAnsi="Calibri" w:cs="Arial"/>
      <w:sz w:val="24"/>
      <w:szCs w:val="24"/>
    </w:rPr>
  </w:style>
  <w:style w:type="paragraph" w:customStyle="1" w:styleId="TableHeading">
    <w:name w:val="Table Heading"/>
    <w:basedOn w:val="Normal"/>
    <w:link w:val="TableHeadingChar"/>
    <w:qFormat/>
    <w:rsid w:val="00203587"/>
    <w:pPr>
      <w:keepNext/>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203587"/>
    <w:rPr>
      <w:rFonts w:ascii="Arial Narrow" w:eastAsiaTheme="minorHAnsi" w:hAnsi="Arial Narrow" w:cstheme="minorBidi"/>
      <w:b/>
      <w:szCs w:val="22"/>
      <w:lang w:eastAsia="en-US"/>
    </w:rPr>
  </w:style>
  <w:style w:type="paragraph" w:customStyle="1" w:styleId="TableFigureFooter">
    <w:name w:val="Table/Figure Footer"/>
    <w:basedOn w:val="Normal"/>
    <w:link w:val="TableFigureFooterChar"/>
    <w:qFormat/>
    <w:rsid w:val="00E06C65"/>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06C65"/>
    <w:rPr>
      <w:rFonts w:ascii="Arial Narrow" w:hAnsi="Arial Narrow" w:cs="Arial"/>
      <w:snapToGrid w:val="0"/>
      <w:sz w:val="18"/>
      <w:szCs w:val="22"/>
    </w:rPr>
  </w:style>
  <w:style w:type="paragraph" w:customStyle="1" w:styleId="4-SubsectSubhead">
    <w:name w:val="4-Subsect Subhead"/>
    <w:basedOn w:val="Heading3"/>
    <w:next w:val="Normal"/>
    <w:link w:val="4-SubsectSubheadChar"/>
    <w:qFormat/>
    <w:rsid w:val="00E06C65"/>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E06C65"/>
    <w:rPr>
      <w:rFonts w:asciiTheme="minorHAnsi" w:eastAsiaTheme="majorEastAsia" w:hAnsiTheme="minorHAnsi" w:cstheme="majorBidi"/>
      <w:b/>
      <w:color w:val="000000" w:themeColor="text1"/>
      <w:sz w:val="28"/>
      <w:szCs w:val="28"/>
    </w:rPr>
  </w:style>
  <w:style w:type="paragraph" w:customStyle="1" w:styleId="Commentitalics">
    <w:name w:val="Comment (italics)"/>
    <w:basedOn w:val="Normal"/>
    <w:next w:val="Normal"/>
    <w:rsid w:val="007B0DD2"/>
    <w:rPr>
      <w:i/>
    </w:rPr>
  </w:style>
  <w:style w:type="paragraph" w:customStyle="1" w:styleId="V50Instructions">
    <w:name w:val="V5.0 Instructions"/>
    <w:basedOn w:val="Normal"/>
    <w:link w:val="V50InstructionsChar"/>
    <w:qFormat/>
    <w:rsid w:val="00D30EF4"/>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D30EF4"/>
    <w:rPr>
      <w:rFonts w:asciiTheme="minorHAnsi" w:eastAsiaTheme="minorHAnsi" w:hAnsiTheme="minorHAnsi" w:cstheme="minorBidi"/>
      <w:color w:val="4BACC6" w:themeColor="accent5"/>
      <w:sz w:val="24"/>
      <w:szCs w:val="22"/>
      <w:lang w:eastAsia="en-US"/>
    </w:rPr>
  </w:style>
  <w:style w:type="character" w:styleId="CommentReference">
    <w:name w:val="annotation reference"/>
    <w:aliases w:val="Table Title"/>
    <w:basedOn w:val="DefaultParagraphFont"/>
    <w:unhideWhenUsed/>
    <w:qFormat/>
    <w:rsid w:val="003F241D"/>
    <w:rPr>
      <w:sz w:val="16"/>
      <w:szCs w:val="16"/>
    </w:rPr>
  </w:style>
  <w:style w:type="character" w:customStyle="1" w:styleId="COMBodyChar0">
    <w:name w:val="COMBody Char"/>
    <w:basedOn w:val="DefaultParagraphFont"/>
    <w:link w:val="COMBody0"/>
    <w:locked/>
    <w:rsid w:val="004A78C9"/>
    <w:rPr>
      <w:rFonts w:ascii="Calibri" w:hAnsi="Calibri" w:cs="Arial"/>
      <w:sz w:val="24"/>
    </w:rPr>
  </w:style>
  <w:style w:type="paragraph" w:customStyle="1" w:styleId="COMBody0">
    <w:name w:val="COMBody"/>
    <w:basedOn w:val="Normal"/>
    <w:link w:val="COMBodyChar0"/>
    <w:qFormat/>
    <w:rsid w:val="004A78C9"/>
    <w:pPr>
      <w:widowControl w:val="0"/>
      <w:snapToGrid w:val="0"/>
    </w:pPr>
    <w:rPr>
      <w:szCs w:val="20"/>
    </w:rPr>
  </w:style>
  <w:style w:type="paragraph" w:styleId="CommentText">
    <w:name w:val="annotation text"/>
    <w:basedOn w:val="Normal"/>
    <w:link w:val="CommentTextChar"/>
    <w:unhideWhenUsed/>
    <w:rsid w:val="00777922"/>
    <w:rPr>
      <w:sz w:val="20"/>
      <w:szCs w:val="20"/>
    </w:rPr>
  </w:style>
  <w:style w:type="character" w:customStyle="1" w:styleId="CommentTextChar">
    <w:name w:val="Comment Text Char"/>
    <w:basedOn w:val="DefaultParagraphFont"/>
    <w:link w:val="CommentText"/>
    <w:rsid w:val="00777922"/>
    <w:rPr>
      <w:rFonts w:ascii="Calibri" w:hAnsi="Calibri" w:cs="Arial"/>
    </w:rPr>
  </w:style>
  <w:style w:type="paragraph" w:customStyle="1" w:styleId="5-SubSubSubHead">
    <w:name w:val="5-Sub Sub Sub Head"/>
    <w:basedOn w:val="Heading4"/>
    <w:qFormat/>
    <w:rsid w:val="00051C16"/>
  </w:style>
  <w:style w:type="character" w:styleId="Hyperlink">
    <w:name w:val="Hyperlink"/>
    <w:basedOn w:val="DefaultParagraphFont"/>
    <w:uiPriority w:val="99"/>
    <w:unhideWhenUsed/>
    <w:rsid w:val="00051C16"/>
    <w:rPr>
      <w:color w:val="0000FF" w:themeColor="hyperlink"/>
      <w:u w:val="single"/>
    </w:rPr>
  </w:style>
  <w:style w:type="paragraph" w:customStyle="1" w:styleId="Bulletpoints">
    <w:name w:val="Bullet points"/>
    <w:basedOn w:val="Normal"/>
    <w:rsid w:val="00051C16"/>
    <w:pPr>
      <w:spacing w:after="120"/>
      <w:ind w:left="720" w:hanging="360"/>
      <w:contextualSpacing/>
    </w:pPr>
    <w:rPr>
      <w:rFonts w:asciiTheme="minorHAnsi" w:hAnsiTheme="minorHAnsi"/>
      <w:snapToGrid w:val="0"/>
    </w:rPr>
  </w:style>
  <w:style w:type="paragraph" w:customStyle="1" w:styleId="2-SectionHeading">
    <w:name w:val="2-Section Heading"/>
    <w:qFormat/>
    <w:rsid w:val="00051C16"/>
    <w:pPr>
      <w:keepNext/>
      <w:spacing w:before="240" w:after="120"/>
      <w:ind w:left="720" w:hanging="720"/>
      <w:outlineLvl w:val="0"/>
    </w:pPr>
    <w:rPr>
      <w:rFonts w:asciiTheme="minorHAnsi" w:hAnsiTheme="minorHAnsi" w:cs="Arial"/>
      <w:b/>
      <w:snapToGrid w:val="0"/>
      <w:sz w:val="32"/>
      <w:szCs w:val="32"/>
    </w:rPr>
  </w:style>
  <w:style w:type="paragraph" w:customStyle="1" w:styleId="1-MainHeading">
    <w:name w:val="1- Main Heading"/>
    <w:link w:val="1-MainHeadingChar"/>
    <w:qFormat/>
    <w:rsid w:val="00051C1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051C16"/>
    <w:rPr>
      <w:rFonts w:asciiTheme="minorHAnsi" w:eastAsiaTheme="majorEastAsia" w:hAnsiTheme="minorHAnsi" w:cstheme="majorBidi"/>
      <w:b/>
      <w:spacing w:val="5"/>
      <w:kern w:val="28"/>
      <w:sz w:val="36"/>
      <w:szCs w:val="36"/>
    </w:rPr>
  </w:style>
  <w:style w:type="paragraph" w:customStyle="1" w:styleId="ExecSumBodyText">
    <w:name w:val="Exec Sum Body Text"/>
    <w:basedOn w:val="Normal"/>
    <w:link w:val="ExecSumBodyTextChar"/>
    <w:qFormat/>
    <w:rsid w:val="00051C16"/>
    <w:p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051C16"/>
    <w:rPr>
      <w:rFonts w:asciiTheme="minorHAnsi" w:hAnsiTheme="minorHAnsi" w:cs="Arial"/>
      <w:snapToGrid w:val="0"/>
      <w:sz w:val="24"/>
      <w:szCs w:val="24"/>
    </w:rPr>
  </w:style>
  <w:style w:type="paragraph" w:customStyle="1" w:styleId="3-SubsectionHeading">
    <w:name w:val="3-Subsection Heading"/>
    <w:basedOn w:val="Heading2"/>
    <w:next w:val="ExecSumBodyText"/>
    <w:link w:val="3-SubsectionHeadingChar"/>
    <w:qFormat/>
    <w:rsid w:val="00051C16"/>
    <w:pPr>
      <w:keepNext/>
      <w:spacing w:before="120" w:after="120"/>
      <w:jc w:val="both"/>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051C16"/>
    <w:rPr>
      <w:rFonts w:asciiTheme="minorHAnsi" w:eastAsiaTheme="majorEastAsia" w:hAnsiTheme="minorHAnsi" w:cstheme="majorBidi"/>
      <w:b/>
      <w:i/>
      <w:spacing w:val="5"/>
      <w:kern w:val="28"/>
      <w:sz w:val="28"/>
      <w:szCs w:val="36"/>
    </w:rPr>
  </w:style>
  <w:style w:type="paragraph" w:customStyle="1" w:styleId="COMtbl-HEADLeftAligned">
    <w:name w:val="COMtbl-HEAD Left Aligned"/>
    <w:basedOn w:val="Normal"/>
    <w:qFormat/>
    <w:rsid w:val="00051C16"/>
    <w:pPr>
      <w:widowControl w:val="0"/>
      <w:tabs>
        <w:tab w:val="left" w:pos="720"/>
      </w:tabs>
      <w:jc w:val="left"/>
    </w:pPr>
    <w:rPr>
      <w:rFonts w:ascii="Arial Narrow" w:hAnsi="Arial Narrow"/>
      <w:b/>
      <w:snapToGrid w:val="0"/>
      <w:sz w:val="20"/>
      <w:szCs w:val="20"/>
      <w:lang w:eastAsia="en-US"/>
    </w:rPr>
  </w:style>
  <w:style w:type="paragraph" w:customStyle="1" w:styleId="COMtbl-HEADCentred">
    <w:name w:val="COMtbl-HEAD Centred"/>
    <w:basedOn w:val="COMtbl-HEADLeftAligned"/>
    <w:qFormat/>
    <w:rsid w:val="00051C16"/>
    <w:pPr>
      <w:jc w:val="center"/>
    </w:pPr>
  </w:style>
  <w:style w:type="paragraph" w:customStyle="1" w:styleId="COMtbl-textLeftAligned">
    <w:name w:val="COMtbl-text Left Aligned"/>
    <w:basedOn w:val="COMtbl-HEADLeftAligned"/>
    <w:qFormat/>
    <w:rsid w:val="00051C16"/>
    <w:rPr>
      <w:b w:val="0"/>
    </w:rPr>
  </w:style>
  <w:style w:type="paragraph" w:customStyle="1" w:styleId="COMtbl-textCentred">
    <w:name w:val="COMtbl-text Centred"/>
    <w:basedOn w:val="COMtbl-HEADCentred"/>
    <w:qFormat/>
    <w:rsid w:val="00051C16"/>
    <w:rPr>
      <w:b w:val="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051C16"/>
    <w:pPr>
      <w:spacing w:after="200"/>
    </w:pPr>
    <w:rPr>
      <w:i/>
      <w:iCs/>
      <w:color w:val="1F497D" w:themeColor="text2"/>
      <w:sz w:val="18"/>
      <w:szCs w:val="18"/>
    </w:rPr>
  </w:style>
  <w:style w:type="paragraph" w:styleId="CommentSubject">
    <w:name w:val="annotation subject"/>
    <w:basedOn w:val="CommentText"/>
    <w:next w:val="CommentText"/>
    <w:link w:val="CommentSubjectChar"/>
    <w:semiHidden/>
    <w:unhideWhenUsed/>
    <w:rsid w:val="00051C16"/>
    <w:rPr>
      <w:b/>
      <w:bCs/>
    </w:rPr>
  </w:style>
  <w:style w:type="character" w:customStyle="1" w:styleId="CommentSubjectChar">
    <w:name w:val="Comment Subject Char"/>
    <w:basedOn w:val="CommentTextChar"/>
    <w:link w:val="CommentSubject"/>
    <w:semiHidden/>
    <w:rsid w:val="00051C16"/>
    <w:rPr>
      <w:rFonts w:ascii="Calibri" w:hAnsi="Calibri" w:cs="Arial"/>
      <w:b/>
      <w:bCs/>
    </w:rPr>
  </w:style>
  <w:style w:type="character" w:styleId="UnresolvedMention">
    <w:name w:val="Unresolved Mention"/>
    <w:basedOn w:val="DefaultParagraphFont"/>
    <w:uiPriority w:val="99"/>
    <w:semiHidden/>
    <w:unhideWhenUsed/>
    <w:rsid w:val="00051C16"/>
    <w:rPr>
      <w:color w:val="605E5C"/>
      <w:shd w:val="clear" w:color="auto" w:fill="E1DFDD"/>
    </w:rPr>
  </w:style>
  <w:style w:type="paragraph" w:styleId="NormalWeb">
    <w:name w:val="Normal (Web)"/>
    <w:basedOn w:val="Normal"/>
    <w:uiPriority w:val="99"/>
    <w:unhideWhenUsed/>
    <w:rsid w:val="00051C16"/>
    <w:pPr>
      <w:spacing w:before="100" w:beforeAutospacing="1" w:after="100" w:afterAutospacing="1"/>
      <w:jc w:val="left"/>
    </w:pPr>
    <w:rPr>
      <w:rFonts w:ascii="Times New Roman" w:hAnsi="Times New Roman" w:cs="Times New Roman"/>
    </w:rPr>
  </w:style>
  <w:style w:type="paragraph" w:customStyle="1" w:styleId="Resubmissiontext">
    <w:name w:val="Resubmission text"/>
    <w:basedOn w:val="Normal"/>
    <w:qFormat/>
    <w:rsid w:val="001D1D16"/>
    <w:pPr>
      <w:spacing w:after="240" w:line="276" w:lineRule="auto"/>
    </w:pPr>
    <w:rPr>
      <w:rFonts w:asciiTheme="minorHAnsi" w:hAnsiTheme="minorHAnsi"/>
      <w:iCs/>
      <w:color w:val="4F81BD" w:themeColor="accent1"/>
      <w:sz w:val="22"/>
      <w:lang w:eastAsia="en-GB"/>
    </w:rPr>
  </w:style>
  <w:style w:type="paragraph" w:customStyle="1" w:styleId="PBACH4">
    <w:name w:val="PBAC H4"/>
    <w:basedOn w:val="Heading4"/>
    <w:next w:val="Normal"/>
    <w:qFormat/>
    <w:rsid w:val="00086AEA"/>
    <w:pPr>
      <w:keepLines/>
      <w:spacing w:after="120"/>
      <w:jc w:val="left"/>
    </w:pPr>
    <w:rPr>
      <w:rFonts w:asciiTheme="minorHAnsi" w:eastAsiaTheme="majorEastAsia" w:hAnsiTheme="minorHAnsi" w:cstheme="majorBidi"/>
      <w:i w:val="0"/>
      <w:iCs/>
      <w:sz w:val="22"/>
      <w:szCs w:val="24"/>
      <w:lang w:eastAsia="en-GB"/>
    </w:rPr>
  </w:style>
  <w:style w:type="paragraph" w:customStyle="1" w:styleId="PBACTblFignote">
    <w:name w:val="PBAC Tbl/Fig note"/>
    <w:qFormat/>
    <w:rsid w:val="00086AEA"/>
    <w:pPr>
      <w:keepNext/>
      <w:keepLines/>
      <w:spacing w:after="360"/>
      <w:contextualSpacing/>
      <w:textboxTightWrap w:val="allLines"/>
    </w:pPr>
    <w:rPr>
      <w:rFonts w:asciiTheme="minorHAnsi" w:hAnsiTheme="minorHAnsi" w:cs="Arial"/>
      <w:sz w:val="18"/>
      <w:szCs w:val="24"/>
      <w:lang w:eastAsia="en-GB"/>
    </w:rPr>
  </w:style>
  <w:style w:type="paragraph" w:customStyle="1" w:styleId="PBACH3">
    <w:name w:val="PBAC H3#"/>
    <w:basedOn w:val="Heading3"/>
    <w:next w:val="Normal"/>
    <w:qFormat/>
    <w:rsid w:val="00086AEA"/>
    <w:pPr>
      <w:tabs>
        <w:tab w:val="num" w:pos="851"/>
      </w:tabs>
      <w:spacing w:before="360" w:after="120"/>
      <w:ind w:left="851" w:hanging="851"/>
      <w:jc w:val="left"/>
    </w:pPr>
    <w:rPr>
      <w:rFonts w:asciiTheme="minorHAnsi" w:hAnsiTheme="minorHAnsi"/>
      <w:b/>
      <w:u w:val="none"/>
      <w:lang w:val="en-US" w:eastAsia="en-GB"/>
    </w:rPr>
  </w:style>
  <w:style w:type="paragraph" w:customStyle="1" w:styleId="PBACH5">
    <w:name w:val="PBAC H5"/>
    <w:basedOn w:val="Heading5"/>
    <w:next w:val="Normal"/>
    <w:qFormat/>
    <w:rsid w:val="00086AEA"/>
    <w:pPr>
      <w:spacing w:after="120"/>
      <w:jc w:val="left"/>
    </w:pPr>
    <w:rPr>
      <w:rFonts w:ascii="Arial" w:hAnsi="Arial"/>
      <w:bCs w:val="0"/>
      <w:i/>
      <w:iCs w:val="0"/>
      <w:sz w:val="22"/>
      <w:szCs w:val="24"/>
      <w:lang w:eastAsia="en-GB"/>
    </w:rPr>
  </w:style>
  <w:style w:type="paragraph" w:customStyle="1" w:styleId="PBACH6">
    <w:name w:val="PBAC H6"/>
    <w:basedOn w:val="Heading6"/>
    <w:next w:val="Normal"/>
    <w:qFormat/>
    <w:rsid w:val="00086AEA"/>
    <w:pPr>
      <w:keepNext/>
      <w:keepLines/>
      <w:spacing w:after="120"/>
      <w:jc w:val="left"/>
    </w:pPr>
    <w:rPr>
      <w:rFonts w:ascii="Arial" w:eastAsiaTheme="majorEastAsia" w:hAnsi="Arial" w:cstheme="majorBidi"/>
      <w:b w:val="0"/>
      <w:iCs/>
      <w:sz w:val="22"/>
      <w:szCs w:val="28"/>
      <w:lang w:eastAsia="en-GB"/>
    </w:rPr>
  </w:style>
  <w:style w:type="paragraph" w:customStyle="1" w:styleId="PBACH7">
    <w:name w:val="PBAC H7"/>
    <w:basedOn w:val="Heading7"/>
    <w:next w:val="Normal"/>
    <w:qFormat/>
    <w:rsid w:val="00086AEA"/>
    <w:pPr>
      <w:keepLines/>
      <w:spacing w:before="240" w:after="120"/>
      <w:jc w:val="left"/>
    </w:pPr>
    <w:rPr>
      <w:rFonts w:ascii="Arial" w:eastAsiaTheme="majorEastAsia" w:hAnsi="Arial" w:cstheme="majorBidi"/>
      <w:b w:val="0"/>
      <w:sz w:val="22"/>
      <w:szCs w:val="26"/>
      <w:u w:val="single"/>
      <w:lang w:eastAsia="en-GB"/>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rsid w:val="00086AEA"/>
    <w:rPr>
      <w:rFonts w:ascii="Calibri" w:hAnsi="Calibri" w:cs="Arial"/>
      <w:i/>
      <w:iCs/>
      <w:color w:val="1F497D" w:themeColor="text2"/>
      <w:sz w:val="18"/>
      <w:szCs w:val="18"/>
    </w:rPr>
  </w:style>
  <w:style w:type="character" w:customStyle="1" w:styleId="cf01">
    <w:name w:val="cf01"/>
    <w:basedOn w:val="DefaultParagraphFont"/>
    <w:rsid w:val="001D7133"/>
    <w:rPr>
      <w:rFonts w:ascii="Segoe UI" w:hAnsi="Segoe UI" w:cs="Segoe UI" w:hint="default"/>
      <w:sz w:val="18"/>
      <w:szCs w:val="18"/>
    </w:rPr>
  </w:style>
  <w:style w:type="paragraph" w:customStyle="1" w:styleId="PBACESText">
    <w:name w:val="PBAC ES Text"/>
    <w:basedOn w:val="Normal"/>
    <w:qFormat/>
    <w:rsid w:val="00454967"/>
    <w:pPr>
      <w:spacing w:before="60" w:after="160"/>
    </w:pPr>
    <w:rPr>
      <w:rFonts w:asciiTheme="minorHAnsi" w:hAnsiTheme="minorHAnsi"/>
      <w:sz w:val="22"/>
      <w:lang w:eastAsia="en-GB"/>
    </w:rPr>
  </w:style>
  <w:style w:type="table" w:customStyle="1" w:styleId="TableGrid111">
    <w:name w:val="Table Grid111"/>
    <w:basedOn w:val="TableNormal"/>
    <w:next w:val="TableGrid"/>
    <w:uiPriority w:val="59"/>
    <w:rsid w:val="009952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99521B"/>
    <w:pPr>
      <w:numPr>
        <w:numId w:val="16"/>
      </w:numPr>
    </w:pPr>
  </w:style>
  <w:style w:type="paragraph" w:customStyle="1" w:styleId="pf0">
    <w:name w:val="pf0"/>
    <w:basedOn w:val="Normal"/>
    <w:rsid w:val="00743F92"/>
    <w:pPr>
      <w:spacing w:before="100" w:beforeAutospacing="1" w:after="100" w:afterAutospacing="1"/>
      <w:jc w:val="left"/>
    </w:pPr>
    <w:rPr>
      <w:rFonts w:ascii="Times New Roman" w:hAnsi="Times New Roman" w:cs="Times New Roman"/>
    </w:rPr>
  </w:style>
  <w:style w:type="paragraph" w:styleId="TOC5">
    <w:name w:val="toc 5"/>
    <w:basedOn w:val="Normal"/>
    <w:next w:val="Normal"/>
    <w:autoRedefine/>
    <w:uiPriority w:val="39"/>
    <w:rsid w:val="006443DE"/>
    <w:pPr>
      <w:spacing w:after="100" w:line="276" w:lineRule="auto"/>
      <w:ind w:left="880"/>
    </w:pPr>
    <w:rPr>
      <w:rFonts w:asciiTheme="minorHAnsi" w:eastAsiaTheme="minorEastAsia" w:hAnsiTheme="minorHAnsi"/>
      <w:sz w:val="22"/>
    </w:rPr>
  </w:style>
  <w:style w:type="character" w:styleId="Emphasis">
    <w:name w:val="Emphasis"/>
    <w:basedOn w:val="DefaultParagraphFont"/>
    <w:uiPriority w:val="20"/>
    <w:qFormat/>
    <w:rsid w:val="00766F70"/>
    <w:rPr>
      <w:i/>
      <w:iCs/>
    </w:rPr>
  </w:style>
  <w:style w:type="paragraph" w:customStyle="1" w:styleId="Default">
    <w:name w:val="Default"/>
    <w:rsid w:val="00E7775D"/>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0E703B"/>
    <w:pPr>
      <w:jc w:val="left"/>
    </w:pPr>
    <w:rPr>
      <w:rFonts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0E703B"/>
    <w:rPr>
      <w:rFonts w:ascii="Calibri" w:eastAsiaTheme="minorHAnsi" w:hAnsi="Calibri" w:cstheme="minorBidi"/>
      <w:sz w:val="22"/>
      <w:szCs w:val="21"/>
      <w:lang w:eastAsia="en-US"/>
    </w:rPr>
  </w:style>
  <w:style w:type="paragraph" w:styleId="TOC7">
    <w:name w:val="toc 7"/>
    <w:basedOn w:val="Normal"/>
    <w:next w:val="Normal"/>
    <w:autoRedefine/>
    <w:uiPriority w:val="39"/>
    <w:rsid w:val="000E703B"/>
    <w:pPr>
      <w:spacing w:after="100" w:line="276" w:lineRule="auto"/>
      <w:ind w:left="1320"/>
    </w:pPr>
    <w:rPr>
      <w:rFonts w:asciiTheme="minorHAnsi" w:eastAsiaTheme="minorEastAsia" w:hAnsiTheme="minorHAnsi"/>
      <w:sz w:val="22"/>
    </w:rPr>
  </w:style>
  <w:style w:type="paragraph" w:customStyle="1" w:styleId="PBACHeading1">
    <w:name w:val="PBAC Heading 1"/>
    <w:qFormat/>
    <w:rsid w:val="002D381F"/>
    <w:pPr>
      <w:ind w:left="720" w:hanging="720"/>
      <w:outlineLvl w:val="0"/>
    </w:pPr>
    <w:rPr>
      <w:rFonts w:ascii="Calibri" w:hAnsi="Calibri" w:cs="Calibri"/>
      <w:b/>
      <w:snapToGrid w:val="0"/>
      <w:sz w:val="32"/>
      <w:szCs w:val="32"/>
      <w:lang w:eastAsia="en-US"/>
    </w:rPr>
  </w:style>
  <w:style w:type="character" w:customStyle="1" w:styleId="normaltextrun">
    <w:name w:val="normaltextrun"/>
    <w:basedOn w:val="DefaultParagraphFont"/>
    <w:rsid w:val="00021BC2"/>
  </w:style>
  <w:style w:type="character" w:customStyle="1" w:styleId="eop">
    <w:name w:val="eop"/>
    <w:basedOn w:val="DefaultParagraphFont"/>
    <w:rsid w:val="00021BC2"/>
  </w:style>
  <w:style w:type="character" w:styleId="Strong">
    <w:name w:val="Strong"/>
    <w:basedOn w:val="DefaultParagraphFont"/>
    <w:uiPriority w:val="22"/>
    <w:qFormat/>
    <w:rsid w:val="009D0A6D"/>
    <w:rPr>
      <w:b/>
      <w:bCs/>
    </w:rPr>
  </w:style>
  <w:style w:type="paragraph" w:customStyle="1" w:styleId="4-SubsectionHeading">
    <w:name w:val="4-Subsection Heading"/>
    <w:basedOn w:val="Heading2"/>
    <w:next w:val="Normal"/>
    <w:link w:val="4-SubsectionHeadingChar"/>
    <w:qFormat/>
    <w:rsid w:val="000C4304"/>
    <w:pPr>
      <w:keepNext/>
      <w:spacing w:before="120" w:after="120"/>
      <w:jc w:val="both"/>
    </w:pPr>
    <w:rPr>
      <w:rFonts w:asciiTheme="minorHAnsi" w:eastAsiaTheme="majorEastAsia" w:hAnsiTheme="minorHAnsi" w:cstheme="majorBidi"/>
      <w:spacing w:val="5"/>
      <w:kern w:val="28"/>
      <w:szCs w:val="36"/>
    </w:rPr>
  </w:style>
  <w:style w:type="character" w:customStyle="1" w:styleId="4-SubsectionHeadingChar">
    <w:name w:val="4-Subsection Heading Char"/>
    <w:basedOn w:val="DefaultParagraphFont"/>
    <w:link w:val="4-SubsectionHeading"/>
    <w:rsid w:val="000C4304"/>
    <w:rPr>
      <w:rFonts w:asciiTheme="minorHAnsi" w:eastAsiaTheme="majorEastAsia" w:hAnsiTheme="minorHAnsi" w:cstheme="majorBidi"/>
      <w:b/>
      <w:i/>
      <w:spacing w:val="5"/>
      <w:kern w:val="28"/>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951322">
      <w:bodyDiv w:val="1"/>
      <w:marLeft w:val="0"/>
      <w:marRight w:val="0"/>
      <w:marTop w:val="0"/>
      <w:marBottom w:val="0"/>
      <w:divBdr>
        <w:top w:val="none" w:sz="0" w:space="0" w:color="auto"/>
        <w:left w:val="none" w:sz="0" w:space="0" w:color="auto"/>
        <w:bottom w:val="none" w:sz="0" w:space="0" w:color="auto"/>
        <w:right w:val="none" w:sz="0" w:space="0" w:color="auto"/>
      </w:divBdr>
    </w:div>
    <w:div w:id="267471961">
      <w:bodyDiv w:val="1"/>
      <w:marLeft w:val="0"/>
      <w:marRight w:val="0"/>
      <w:marTop w:val="0"/>
      <w:marBottom w:val="0"/>
      <w:divBdr>
        <w:top w:val="none" w:sz="0" w:space="0" w:color="auto"/>
        <w:left w:val="none" w:sz="0" w:space="0" w:color="auto"/>
        <w:bottom w:val="none" w:sz="0" w:space="0" w:color="auto"/>
        <w:right w:val="none" w:sz="0" w:space="0" w:color="auto"/>
      </w:divBdr>
    </w:div>
    <w:div w:id="267931117">
      <w:bodyDiv w:val="1"/>
      <w:marLeft w:val="0"/>
      <w:marRight w:val="0"/>
      <w:marTop w:val="0"/>
      <w:marBottom w:val="0"/>
      <w:divBdr>
        <w:top w:val="none" w:sz="0" w:space="0" w:color="auto"/>
        <w:left w:val="none" w:sz="0" w:space="0" w:color="auto"/>
        <w:bottom w:val="none" w:sz="0" w:space="0" w:color="auto"/>
        <w:right w:val="none" w:sz="0" w:space="0" w:color="auto"/>
      </w:divBdr>
      <w:divsChild>
        <w:div w:id="767966309">
          <w:marLeft w:val="360"/>
          <w:marRight w:val="0"/>
          <w:marTop w:val="2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2124042">
      <w:bodyDiv w:val="1"/>
      <w:marLeft w:val="0"/>
      <w:marRight w:val="0"/>
      <w:marTop w:val="0"/>
      <w:marBottom w:val="0"/>
      <w:divBdr>
        <w:top w:val="none" w:sz="0" w:space="0" w:color="auto"/>
        <w:left w:val="none" w:sz="0" w:space="0" w:color="auto"/>
        <w:bottom w:val="none" w:sz="0" w:space="0" w:color="auto"/>
        <w:right w:val="none" w:sz="0" w:space="0" w:color="auto"/>
      </w:divBdr>
    </w:div>
    <w:div w:id="404642956">
      <w:bodyDiv w:val="1"/>
      <w:marLeft w:val="0"/>
      <w:marRight w:val="0"/>
      <w:marTop w:val="0"/>
      <w:marBottom w:val="0"/>
      <w:divBdr>
        <w:top w:val="none" w:sz="0" w:space="0" w:color="auto"/>
        <w:left w:val="none" w:sz="0" w:space="0" w:color="auto"/>
        <w:bottom w:val="none" w:sz="0" w:space="0" w:color="auto"/>
        <w:right w:val="none" w:sz="0" w:space="0" w:color="auto"/>
      </w:divBdr>
    </w:div>
    <w:div w:id="50490610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15359898">
      <w:bodyDiv w:val="1"/>
      <w:marLeft w:val="0"/>
      <w:marRight w:val="0"/>
      <w:marTop w:val="0"/>
      <w:marBottom w:val="0"/>
      <w:divBdr>
        <w:top w:val="none" w:sz="0" w:space="0" w:color="auto"/>
        <w:left w:val="none" w:sz="0" w:space="0" w:color="auto"/>
        <w:bottom w:val="none" w:sz="0" w:space="0" w:color="auto"/>
        <w:right w:val="none" w:sz="0" w:space="0" w:color="auto"/>
      </w:divBdr>
    </w:div>
    <w:div w:id="919750606">
      <w:bodyDiv w:val="1"/>
      <w:marLeft w:val="0"/>
      <w:marRight w:val="0"/>
      <w:marTop w:val="0"/>
      <w:marBottom w:val="0"/>
      <w:divBdr>
        <w:top w:val="none" w:sz="0" w:space="0" w:color="auto"/>
        <w:left w:val="none" w:sz="0" w:space="0" w:color="auto"/>
        <w:bottom w:val="none" w:sz="0" w:space="0" w:color="auto"/>
        <w:right w:val="none" w:sz="0" w:space="0" w:color="auto"/>
      </w:divBdr>
    </w:div>
    <w:div w:id="1029792937">
      <w:bodyDiv w:val="1"/>
      <w:marLeft w:val="0"/>
      <w:marRight w:val="0"/>
      <w:marTop w:val="0"/>
      <w:marBottom w:val="0"/>
      <w:divBdr>
        <w:top w:val="none" w:sz="0" w:space="0" w:color="auto"/>
        <w:left w:val="none" w:sz="0" w:space="0" w:color="auto"/>
        <w:bottom w:val="none" w:sz="0" w:space="0" w:color="auto"/>
        <w:right w:val="none" w:sz="0" w:space="0" w:color="auto"/>
      </w:divBdr>
    </w:div>
    <w:div w:id="1054933855">
      <w:bodyDiv w:val="1"/>
      <w:marLeft w:val="0"/>
      <w:marRight w:val="0"/>
      <w:marTop w:val="0"/>
      <w:marBottom w:val="0"/>
      <w:divBdr>
        <w:top w:val="none" w:sz="0" w:space="0" w:color="auto"/>
        <w:left w:val="none" w:sz="0" w:space="0" w:color="auto"/>
        <w:bottom w:val="none" w:sz="0" w:space="0" w:color="auto"/>
        <w:right w:val="none" w:sz="0" w:space="0" w:color="auto"/>
      </w:divBdr>
    </w:div>
    <w:div w:id="107767730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6457391">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9755107">
      <w:bodyDiv w:val="1"/>
      <w:marLeft w:val="0"/>
      <w:marRight w:val="0"/>
      <w:marTop w:val="0"/>
      <w:marBottom w:val="0"/>
      <w:divBdr>
        <w:top w:val="none" w:sz="0" w:space="0" w:color="auto"/>
        <w:left w:val="none" w:sz="0" w:space="0" w:color="auto"/>
        <w:bottom w:val="none" w:sz="0" w:space="0" w:color="auto"/>
        <w:right w:val="none" w:sz="0" w:space="0" w:color="auto"/>
      </w:divBdr>
    </w:div>
    <w:div w:id="1268931018">
      <w:bodyDiv w:val="1"/>
      <w:marLeft w:val="0"/>
      <w:marRight w:val="0"/>
      <w:marTop w:val="0"/>
      <w:marBottom w:val="0"/>
      <w:divBdr>
        <w:top w:val="none" w:sz="0" w:space="0" w:color="auto"/>
        <w:left w:val="none" w:sz="0" w:space="0" w:color="auto"/>
        <w:bottom w:val="none" w:sz="0" w:space="0" w:color="auto"/>
        <w:right w:val="none" w:sz="0" w:space="0" w:color="auto"/>
      </w:divBdr>
    </w:div>
    <w:div w:id="1343514286">
      <w:bodyDiv w:val="1"/>
      <w:marLeft w:val="0"/>
      <w:marRight w:val="0"/>
      <w:marTop w:val="0"/>
      <w:marBottom w:val="0"/>
      <w:divBdr>
        <w:top w:val="none" w:sz="0" w:space="0" w:color="auto"/>
        <w:left w:val="none" w:sz="0" w:space="0" w:color="auto"/>
        <w:bottom w:val="none" w:sz="0" w:space="0" w:color="auto"/>
        <w:right w:val="none" w:sz="0" w:space="0" w:color="auto"/>
      </w:divBdr>
    </w:div>
    <w:div w:id="1368095693">
      <w:bodyDiv w:val="1"/>
      <w:marLeft w:val="0"/>
      <w:marRight w:val="0"/>
      <w:marTop w:val="0"/>
      <w:marBottom w:val="0"/>
      <w:divBdr>
        <w:top w:val="none" w:sz="0" w:space="0" w:color="auto"/>
        <w:left w:val="none" w:sz="0" w:space="0" w:color="auto"/>
        <w:bottom w:val="none" w:sz="0" w:space="0" w:color="auto"/>
        <w:right w:val="none" w:sz="0" w:space="0" w:color="auto"/>
      </w:divBdr>
    </w:div>
    <w:div w:id="1374649403">
      <w:bodyDiv w:val="1"/>
      <w:marLeft w:val="0"/>
      <w:marRight w:val="0"/>
      <w:marTop w:val="0"/>
      <w:marBottom w:val="0"/>
      <w:divBdr>
        <w:top w:val="none" w:sz="0" w:space="0" w:color="auto"/>
        <w:left w:val="none" w:sz="0" w:space="0" w:color="auto"/>
        <w:bottom w:val="none" w:sz="0" w:space="0" w:color="auto"/>
        <w:right w:val="none" w:sz="0" w:space="0" w:color="auto"/>
      </w:divBdr>
    </w:div>
    <w:div w:id="1447777043">
      <w:bodyDiv w:val="1"/>
      <w:marLeft w:val="0"/>
      <w:marRight w:val="0"/>
      <w:marTop w:val="0"/>
      <w:marBottom w:val="0"/>
      <w:divBdr>
        <w:top w:val="none" w:sz="0" w:space="0" w:color="auto"/>
        <w:left w:val="none" w:sz="0" w:space="0" w:color="auto"/>
        <w:bottom w:val="none" w:sz="0" w:space="0" w:color="auto"/>
        <w:right w:val="none" w:sz="0" w:space="0" w:color="auto"/>
      </w:divBdr>
    </w:div>
    <w:div w:id="1743873702">
      <w:bodyDiv w:val="1"/>
      <w:marLeft w:val="0"/>
      <w:marRight w:val="0"/>
      <w:marTop w:val="0"/>
      <w:marBottom w:val="0"/>
      <w:divBdr>
        <w:top w:val="none" w:sz="0" w:space="0" w:color="auto"/>
        <w:left w:val="none" w:sz="0" w:space="0" w:color="auto"/>
        <w:bottom w:val="none" w:sz="0" w:space="0" w:color="auto"/>
        <w:right w:val="none" w:sz="0" w:space="0" w:color="auto"/>
      </w:divBdr>
    </w:div>
    <w:div w:id="1771000664">
      <w:bodyDiv w:val="1"/>
      <w:marLeft w:val="0"/>
      <w:marRight w:val="0"/>
      <w:marTop w:val="0"/>
      <w:marBottom w:val="0"/>
      <w:divBdr>
        <w:top w:val="none" w:sz="0" w:space="0" w:color="auto"/>
        <w:left w:val="none" w:sz="0" w:space="0" w:color="auto"/>
        <w:bottom w:val="none" w:sz="0" w:space="0" w:color="auto"/>
        <w:right w:val="none" w:sz="0" w:space="0" w:color="auto"/>
      </w:divBdr>
    </w:div>
    <w:div w:id="1832141296">
      <w:bodyDiv w:val="1"/>
      <w:marLeft w:val="0"/>
      <w:marRight w:val="0"/>
      <w:marTop w:val="0"/>
      <w:marBottom w:val="0"/>
      <w:divBdr>
        <w:top w:val="none" w:sz="0" w:space="0" w:color="auto"/>
        <w:left w:val="none" w:sz="0" w:space="0" w:color="auto"/>
        <w:bottom w:val="none" w:sz="0" w:space="0" w:color="auto"/>
        <w:right w:val="none" w:sz="0" w:space="0" w:color="auto"/>
      </w:divBdr>
    </w:div>
    <w:div w:id="188632822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005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17265</Words>
  <Characters>98417</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2023-06-27T00:14:00Z</dcterms:created>
  <dcterms:modified xsi:type="dcterms:W3CDTF">2023-06-27T00:15:00Z</dcterms:modified>
</cp:coreProperties>
</file>