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E98D" w14:textId="2CC953C3" w:rsidR="00686935" w:rsidRDefault="00686935" w:rsidP="002D4BD0">
      <w:pPr>
        <w:autoSpaceDE w:val="0"/>
        <w:autoSpaceDN w:val="0"/>
        <w:adjustRightInd w:val="0"/>
      </w:pPr>
      <w:bookmarkStart w:id="0" w:name="_Hlk130299912"/>
      <w:r w:rsidRPr="005437E5">
        <w:rPr>
          <w:i/>
          <w:iCs/>
          <w:color w:val="FF0000"/>
        </w:rPr>
        <w:t xml:space="preserve">An addendum has been included at the end of the </w:t>
      </w:r>
      <w:r w:rsidR="00924834">
        <w:rPr>
          <w:i/>
          <w:iCs/>
          <w:color w:val="FF0000"/>
        </w:rPr>
        <w:t>Public Summary Document (PSD)</w:t>
      </w:r>
      <w:r>
        <w:rPr>
          <w:i/>
          <w:iCs/>
          <w:color w:val="FF0000"/>
        </w:rPr>
        <w:t>.</w:t>
      </w:r>
    </w:p>
    <w:p w14:paraId="181DB627" w14:textId="64819D1A" w:rsidR="00872E8F" w:rsidRPr="007A5C88" w:rsidRDefault="00AC19E0" w:rsidP="001125A5">
      <w:pPr>
        <w:pStyle w:val="1-MainHeading"/>
      </w:pPr>
      <w:r>
        <w:t>5</w:t>
      </w:r>
      <w:r w:rsidR="70971A32">
        <w:t>.</w:t>
      </w:r>
      <w:r>
        <w:t>17</w:t>
      </w:r>
      <w:bookmarkEnd w:id="0"/>
      <w:r w:rsidR="00872E8F">
        <w:tab/>
      </w:r>
      <w:bookmarkStart w:id="1" w:name="_Hlk129348291"/>
      <w:r w:rsidR="005206EE">
        <w:t>HY</w:t>
      </w:r>
      <w:r w:rsidR="00FF6E17">
        <w:t xml:space="preserve">ALURONIC ACID WITH POLYETHYLENE GLYCOL </w:t>
      </w:r>
      <w:r w:rsidR="004D6599">
        <w:t>400</w:t>
      </w:r>
      <w:r w:rsidR="70971A32">
        <w:t xml:space="preserve"> </w:t>
      </w:r>
      <w:r w:rsidR="004D6599">
        <w:t>WITH PROPYLENE GLYCOL</w:t>
      </w:r>
      <w:r w:rsidR="005612BB">
        <w:t xml:space="preserve"> WITH </w:t>
      </w:r>
      <w:bookmarkStart w:id="2" w:name="_Hlk130299833"/>
      <w:r w:rsidR="005612BB">
        <w:t>HYDROXYPROPYL GUAR</w:t>
      </w:r>
      <w:bookmarkEnd w:id="1"/>
      <w:r w:rsidR="001125A5">
        <w:br/>
      </w:r>
      <w:bookmarkEnd w:id="2"/>
      <w:r w:rsidR="00605F6A" w:rsidRPr="00605F6A">
        <w:t xml:space="preserve">Eye drops containing </w:t>
      </w:r>
      <w:r w:rsidR="00F04949">
        <w:t xml:space="preserve">sodium </w:t>
      </w:r>
      <w:r w:rsidR="00605F6A" w:rsidRPr="00605F6A">
        <w:t xml:space="preserve">hyaluronate 1.5 mg per mL with polyethylene glycol 400, propylene glycol and </w:t>
      </w:r>
      <w:bookmarkStart w:id="3" w:name="_Hlk130299858"/>
      <w:r w:rsidR="00605F6A" w:rsidRPr="00605F6A">
        <w:t>hydroxypropyl guar</w:t>
      </w:r>
      <w:bookmarkEnd w:id="3"/>
      <w:r w:rsidR="00605F6A" w:rsidRPr="00605F6A">
        <w:t>, 10 mL</w:t>
      </w:r>
      <w:r w:rsidR="70971A32">
        <w:t>,</w:t>
      </w:r>
      <w:r w:rsidR="00872E8F">
        <w:br/>
      </w:r>
      <w:r w:rsidR="0020293B">
        <w:t>Systane</w:t>
      </w:r>
      <w:r w:rsidR="70971A32">
        <w:t>®</w:t>
      </w:r>
      <w:r w:rsidR="003F668D">
        <w:t xml:space="preserve"> Hydration</w:t>
      </w:r>
      <w:r w:rsidR="70971A32">
        <w:t>,</w:t>
      </w:r>
      <w:r w:rsidR="00872E8F">
        <w:br/>
      </w:r>
      <w:r w:rsidR="005206EE">
        <w:t>Alcon Laboratories</w:t>
      </w:r>
      <w:r w:rsidR="00D4428F">
        <w:t xml:space="preserve"> (Australia) Pty Ltd</w:t>
      </w:r>
    </w:p>
    <w:p w14:paraId="48E19D1B" w14:textId="66174A70" w:rsidR="0012799E" w:rsidRPr="00D575B0" w:rsidRDefault="007E490F" w:rsidP="00032E57">
      <w:pPr>
        <w:pStyle w:val="2-SectionHeading"/>
        <w:rPr>
          <w:rFonts w:eastAsiaTheme="minorEastAsia" w:cstheme="minorHAnsi"/>
          <w:szCs w:val="24"/>
        </w:rPr>
      </w:pPr>
      <w:r w:rsidRPr="0033263D">
        <w:t xml:space="preserve">Purpose of </w:t>
      </w:r>
      <w:r w:rsidR="00FA0B04">
        <w:t>Submission</w:t>
      </w:r>
    </w:p>
    <w:p w14:paraId="54D6562E" w14:textId="211448A9" w:rsidR="00E11F44" w:rsidRPr="00020070" w:rsidRDefault="00D575B0" w:rsidP="009D53FA">
      <w:pPr>
        <w:pStyle w:val="3Bodytext"/>
        <w:jc w:val="both"/>
        <w:rPr>
          <w:rFonts w:cstheme="minorHAnsi"/>
        </w:rPr>
      </w:pPr>
      <w:r>
        <w:rPr>
          <w:rFonts w:cstheme="minorHAnsi"/>
        </w:rPr>
        <w:t>T</w:t>
      </w:r>
      <w:r w:rsidR="00A15746" w:rsidRPr="007E23EB">
        <w:rPr>
          <w:rFonts w:cstheme="minorHAnsi"/>
        </w:rPr>
        <w:t xml:space="preserve">he </w:t>
      </w:r>
      <w:r w:rsidR="00E11F44" w:rsidRPr="007E23EB">
        <w:rPr>
          <w:rFonts w:cstheme="minorHAnsi"/>
        </w:rPr>
        <w:t>Category 3 submission</w:t>
      </w:r>
      <w:r w:rsidR="0012799E" w:rsidRPr="007E23EB">
        <w:rPr>
          <w:rFonts w:cstheme="minorHAnsi"/>
        </w:rPr>
        <w:t xml:space="preserve"> </w:t>
      </w:r>
      <w:r w:rsidR="0012799E" w:rsidRPr="005612BB">
        <w:rPr>
          <w:rFonts w:cstheme="minorHAnsi"/>
        </w:rPr>
        <w:t xml:space="preserve">requested </w:t>
      </w:r>
      <w:r w:rsidR="0012799E" w:rsidRPr="0012799E">
        <w:rPr>
          <w:rFonts w:cstheme="minorHAnsi"/>
          <w:szCs w:val="24"/>
        </w:rPr>
        <w:t xml:space="preserve">a General Schedule, Authority </w:t>
      </w:r>
      <w:r>
        <w:rPr>
          <w:rFonts w:cstheme="minorHAnsi"/>
          <w:szCs w:val="24"/>
        </w:rPr>
        <w:t>R</w:t>
      </w:r>
      <w:r w:rsidRPr="0012799E">
        <w:rPr>
          <w:rFonts w:cstheme="minorHAnsi"/>
          <w:szCs w:val="24"/>
        </w:rPr>
        <w:t xml:space="preserve">equired </w:t>
      </w:r>
      <w:r w:rsidR="0012799E" w:rsidRPr="0012799E">
        <w:rPr>
          <w:rFonts w:cstheme="minorHAnsi"/>
          <w:szCs w:val="24"/>
        </w:rPr>
        <w:t>(</w:t>
      </w:r>
      <w:r w:rsidRPr="0012799E">
        <w:rPr>
          <w:rFonts w:cstheme="minorHAnsi"/>
          <w:szCs w:val="24"/>
        </w:rPr>
        <w:t>STREAMLINED</w:t>
      </w:r>
      <w:r w:rsidR="0012799E" w:rsidRPr="0012799E">
        <w:rPr>
          <w:rFonts w:cstheme="minorHAnsi"/>
          <w:szCs w:val="24"/>
        </w:rPr>
        <w:t>) listing for</w:t>
      </w:r>
      <w:r w:rsidR="005B64DF">
        <w:rPr>
          <w:rFonts w:cstheme="minorHAnsi"/>
          <w:szCs w:val="24"/>
        </w:rPr>
        <w:t xml:space="preserve"> hyaluronic acid with polyethylene glycol 400 with propylene glycol with hydroxypropyl guar</w:t>
      </w:r>
      <w:r w:rsidR="0012799E" w:rsidRPr="0012799E">
        <w:rPr>
          <w:rFonts w:cstheme="minorHAnsi"/>
          <w:szCs w:val="24"/>
        </w:rPr>
        <w:t xml:space="preserve"> </w:t>
      </w:r>
      <w:r w:rsidR="005B64DF">
        <w:rPr>
          <w:rFonts w:cstheme="minorHAnsi"/>
          <w:szCs w:val="24"/>
        </w:rPr>
        <w:t>(</w:t>
      </w:r>
      <w:r w:rsidR="0012799E" w:rsidRPr="0012799E">
        <w:rPr>
          <w:rFonts w:cstheme="minorHAnsi"/>
          <w:szCs w:val="24"/>
        </w:rPr>
        <w:t>Systane</w:t>
      </w:r>
      <w:r w:rsidR="003F668D">
        <w:rPr>
          <w:rFonts w:cstheme="minorHAnsi"/>
          <w:szCs w:val="24"/>
        </w:rPr>
        <w:t>®</w:t>
      </w:r>
      <w:r w:rsidR="0012799E" w:rsidRPr="0012799E">
        <w:rPr>
          <w:rFonts w:cstheme="minorHAnsi"/>
          <w:szCs w:val="24"/>
        </w:rPr>
        <w:t xml:space="preserve"> </w:t>
      </w:r>
      <w:r w:rsidR="00B86618">
        <w:rPr>
          <w:rFonts w:cstheme="minorHAnsi"/>
          <w:szCs w:val="24"/>
        </w:rPr>
        <w:t>Hydration</w:t>
      </w:r>
      <w:r w:rsidR="005B64DF">
        <w:rPr>
          <w:rFonts w:cstheme="minorHAnsi"/>
          <w:szCs w:val="24"/>
        </w:rPr>
        <w:t>)</w:t>
      </w:r>
      <w:r w:rsidR="00B86618">
        <w:rPr>
          <w:rFonts w:cstheme="minorHAnsi"/>
          <w:szCs w:val="24"/>
        </w:rPr>
        <w:t xml:space="preserve"> </w:t>
      </w:r>
      <w:r w:rsidR="0012799E" w:rsidRPr="0012799E">
        <w:rPr>
          <w:rFonts w:cstheme="minorHAnsi"/>
          <w:szCs w:val="24"/>
        </w:rPr>
        <w:t>multi-dose pre</w:t>
      </w:r>
      <w:r>
        <w:rPr>
          <w:rFonts w:cstheme="minorHAnsi"/>
          <w:szCs w:val="24"/>
        </w:rPr>
        <w:t>ser</w:t>
      </w:r>
      <w:r w:rsidR="0012799E" w:rsidRPr="0012799E">
        <w:rPr>
          <w:rFonts w:cstheme="minorHAnsi"/>
          <w:szCs w:val="24"/>
        </w:rPr>
        <w:t xml:space="preserve">vative free (MDPF) </w:t>
      </w:r>
      <w:r w:rsidR="003F668D">
        <w:rPr>
          <w:rFonts w:cstheme="minorHAnsi"/>
          <w:szCs w:val="24"/>
        </w:rPr>
        <w:t xml:space="preserve">(herein referred to as Systane Hydration) </w:t>
      </w:r>
      <w:r w:rsidR="0012799E" w:rsidRPr="0012799E">
        <w:rPr>
          <w:rFonts w:cstheme="minorHAnsi"/>
          <w:szCs w:val="24"/>
        </w:rPr>
        <w:t>eye drops for the treatment of severe dry eye syndrome in patients who are sensitive to preservatives in multi-dose eye drops.</w:t>
      </w:r>
    </w:p>
    <w:p w14:paraId="364A62E6" w14:textId="268F959D" w:rsidR="00B55B29" w:rsidRPr="00FD6D8E" w:rsidRDefault="007E490F" w:rsidP="009D53FA">
      <w:pPr>
        <w:pStyle w:val="2-SectionHeading"/>
        <w:jc w:val="both"/>
      </w:pPr>
      <w:r w:rsidRPr="009E2E8E">
        <w:t>Background</w:t>
      </w:r>
    </w:p>
    <w:p w14:paraId="5FEDC014" w14:textId="015E94B2" w:rsidR="00A15746" w:rsidRPr="007E23EB" w:rsidRDefault="00A15746" w:rsidP="009D53FA">
      <w:pPr>
        <w:pStyle w:val="3Bodytext"/>
        <w:jc w:val="both"/>
        <w:rPr>
          <w:szCs w:val="24"/>
        </w:rPr>
      </w:pPr>
      <w:r w:rsidRPr="007E23EB">
        <w:rPr>
          <w:szCs w:val="24"/>
        </w:rPr>
        <w:t>Systane Hydration contain</w:t>
      </w:r>
      <w:r w:rsidR="002D567B">
        <w:rPr>
          <w:szCs w:val="24"/>
        </w:rPr>
        <w:t>s</w:t>
      </w:r>
      <w:r w:rsidRPr="007E23EB">
        <w:rPr>
          <w:szCs w:val="24"/>
        </w:rPr>
        <w:t xml:space="preserve"> both hyaluronate sodium and hydroxypropyl guar, which provides a</w:t>
      </w:r>
      <w:r w:rsidR="00677B2E">
        <w:rPr>
          <w:szCs w:val="24"/>
        </w:rPr>
        <w:t xml:space="preserve"> </w:t>
      </w:r>
      <w:r w:rsidRPr="007E23EB">
        <w:rPr>
          <w:szCs w:val="24"/>
        </w:rPr>
        <w:t>treatment option for patients with severe dry eye syndrome who are sensitive to preservatives in multi-dose eye drops.</w:t>
      </w:r>
    </w:p>
    <w:p w14:paraId="33C2C319" w14:textId="66DF215F" w:rsidR="007E490F" w:rsidRDefault="007E490F" w:rsidP="009D53FA">
      <w:pPr>
        <w:pStyle w:val="4-SubsectionHeading"/>
      </w:pPr>
      <w:r>
        <w:t>Registration</w:t>
      </w:r>
      <w:r w:rsidRPr="009324A6">
        <w:t xml:space="preserve"> status</w:t>
      </w:r>
    </w:p>
    <w:p w14:paraId="118FFFC3" w14:textId="0892672F" w:rsidR="00111EAE" w:rsidRPr="005612BB" w:rsidRDefault="00B40512" w:rsidP="009D53FA">
      <w:pPr>
        <w:pStyle w:val="3Bodytext"/>
        <w:jc w:val="both"/>
      </w:pPr>
      <w:r w:rsidRPr="007E23EB">
        <w:t>Systane</w:t>
      </w:r>
      <w:r w:rsidR="00020A5C" w:rsidRPr="007E23EB">
        <w:t xml:space="preserve"> Hydration </w:t>
      </w:r>
      <w:r w:rsidR="0033134A">
        <w:t>was</w:t>
      </w:r>
      <w:r w:rsidR="00020A5C" w:rsidRPr="005612BB">
        <w:t xml:space="preserve"> registered on the Australian Register of Therapeutic Goods (ARTG)</w:t>
      </w:r>
      <w:r w:rsidR="007E490F" w:rsidRPr="005612BB">
        <w:t xml:space="preserve"> on </w:t>
      </w:r>
      <w:r w:rsidR="00020A5C" w:rsidRPr="007E23EB">
        <w:t>10 June 2022</w:t>
      </w:r>
      <w:r w:rsidR="007E490F" w:rsidRPr="005612BB">
        <w:t xml:space="preserve"> </w:t>
      </w:r>
      <w:r w:rsidR="00020A5C" w:rsidRPr="005612BB">
        <w:t>as a</w:t>
      </w:r>
      <w:r w:rsidR="007E490F" w:rsidRPr="005612BB" w:rsidDel="009A61CA">
        <w:t xml:space="preserve"> </w:t>
      </w:r>
      <w:r w:rsidR="00020A5C" w:rsidRPr="007E23EB">
        <w:t>Medical Device Class III</w:t>
      </w:r>
      <w:r w:rsidR="00B27795" w:rsidRPr="007E23EB">
        <w:t xml:space="preserve"> (Lubricant, eye)</w:t>
      </w:r>
      <w:r w:rsidR="00020A5C" w:rsidRPr="007E23EB">
        <w:t xml:space="preserve"> for the</w:t>
      </w:r>
      <w:r w:rsidR="00111EAE" w:rsidRPr="007E23EB">
        <w:t>:</w:t>
      </w:r>
    </w:p>
    <w:p w14:paraId="3CD4CEDC" w14:textId="77777777" w:rsidR="00111EAE" w:rsidRPr="00DC1CF9" w:rsidRDefault="00020A5C" w:rsidP="009D53FA">
      <w:pPr>
        <w:pStyle w:val="3Bodytext"/>
        <w:numPr>
          <w:ilvl w:val="0"/>
          <w:numId w:val="26"/>
        </w:numPr>
        <w:ind w:left="1134"/>
        <w:jc w:val="both"/>
      </w:pPr>
      <w:r w:rsidRPr="00DC1CF9">
        <w:t>temporary relief of burning and irritation due to dryness of the eye</w:t>
      </w:r>
    </w:p>
    <w:p w14:paraId="773783E8" w14:textId="538365D0" w:rsidR="007E490F" w:rsidRPr="007E23EB" w:rsidRDefault="00111EAE" w:rsidP="009D53FA">
      <w:pPr>
        <w:pStyle w:val="3Bodytext"/>
        <w:numPr>
          <w:ilvl w:val="0"/>
          <w:numId w:val="26"/>
        </w:numPr>
        <w:ind w:left="1134"/>
        <w:jc w:val="both"/>
      </w:pPr>
      <w:r w:rsidRPr="007E23EB">
        <w:t>lubricate and rewet silicone hydrogel and soft (hydrophilic) contact lenses</w:t>
      </w:r>
      <w:r w:rsidR="00D1512F">
        <w:t>.</w:t>
      </w:r>
    </w:p>
    <w:p w14:paraId="0094486E" w14:textId="72E5C130" w:rsidR="007E490F" w:rsidRDefault="007E490F" w:rsidP="009D53FA">
      <w:pPr>
        <w:pStyle w:val="4-SubsectionHeading"/>
      </w:pPr>
      <w:r w:rsidRPr="0012749D">
        <w:t>Previous PBAC consideration</w:t>
      </w:r>
    </w:p>
    <w:p w14:paraId="1C05B41F" w14:textId="45233856" w:rsidR="00D11380" w:rsidRDefault="00111EAE" w:rsidP="009D53FA">
      <w:pPr>
        <w:pStyle w:val="3Bodytext"/>
        <w:jc w:val="both"/>
      </w:pPr>
      <w:r w:rsidRPr="00111EAE">
        <w:rPr>
          <w:rFonts w:cstheme="minorHAnsi"/>
          <w:szCs w:val="24"/>
        </w:rPr>
        <w:t>Systane</w:t>
      </w:r>
      <w:r w:rsidR="00E011B9">
        <w:rPr>
          <w:rFonts w:cstheme="minorHAnsi"/>
          <w:szCs w:val="24"/>
        </w:rPr>
        <w:t xml:space="preserve"> Hydration</w:t>
      </w:r>
      <w:r w:rsidRPr="00111EAE">
        <w:rPr>
          <w:rFonts w:cstheme="minorHAnsi"/>
          <w:szCs w:val="24"/>
        </w:rPr>
        <w:t xml:space="preserve"> </w:t>
      </w:r>
      <w:r w:rsidR="0033134A">
        <w:rPr>
          <w:rFonts w:cstheme="minorHAnsi"/>
          <w:szCs w:val="24"/>
        </w:rPr>
        <w:t>has</w:t>
      </w:r>
      <w:r w:rsidRPr="00657C63">
        <w:t xml:space="preserve"> not been considered by the PBAC previously.</w:t>
      </w:r>
    </w:p>
    <w:p w14:paraId="733502DF" w14:textId="77777777" w:rsidR="00D11380" w:rsidRDefault="00D11380">
      <w:pPr>
        <w:jc w:val="left"/>
        <w:rPr>
          <w:rFonts w:asciiTheme="minorHAnsi" w:eastAsiaTheme="minorHAnsi" w:hAnsiTheme="minorHAnsi" w:cstheme="minorBidi"/>
          <w:szCs w:val="22"/>
        </w:rPr>
      </w:pPr>
      <w:r>
        <w:br w:type="page"/>
      </w:r>
    </w:p>
    <w:p w14:paraId="1B8790B6" w14:textId="73314C77" w:rsidR="00964A9F" w:rsidRDefault="00964A9F" w:rsidP="009D53FA">
      <w:pPr>
        <w:pStyle w:val="2-SectionHeading"/>
        <w:jc w:val="both"/>
      </w:pPr>
      <w:r w:rsidRPr="009D507A">
        <w:lastRenderedPageBreak/>
        <w:t>Requested listing</w:t>
      </w:r>
    </w:p>
    <w:p w14:paraId="09E5448E" w14:textId="5B059247" w:rsidR="00CD5857" w:rsidRPr="009D53FA" w:rsidRDefault="00964A9F" w:rsidP="009D53FA">
      <w:pPr>
        <w:pStyle w:val="3Bodytext"/>
        <w:jc w:val="both"/>
      </w:pPr>
      <w:r w:rsidRPr="00E0207E">
        <w:t>The submission requested the following</w:t>
      </w:r>
      <w:r w:rsidRPr="00A15746">
        <w:t xml:space="preserve"> </w:t>
      </w:r>
      <w:r w:rsidRPr="007E23EB">
        <w:t>new listing</w:t>
      </w:r>
      <w:r w:rsidR="00DE5B13" w:rsidRPr="007E23EB">
        <w:t xml:space="preserve"> </w:t>
      </w:r>
      <w:r w:rsidR="00A15746">
        <w:t>with the same restrictions</w:t>
      </w:r>
      <w:r w:rsidR="00DE5B13" w:rsidRPr="007E23EB">
        <w:t xml:space="preserve"> </w:t>
      </w:r>
      <w:r w:rsidR="007E2FB3">
        <w:t xml:space="preserve">as </w:t>
      </w:r>
      <w:r w:rsidR="00DE5B13" w:rsidRPr="007E23EB">
        <w:t>other MDPF eye drops currently listed on the PBS</w:t>
      </w:r>
      <w:r w:rsidR="006A54DA">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701"/>
      </w:tblGrid>
      <w:tr w:rsidR="00CD5857" w:rsidRPr="009A610D" w14:paraId="2B022B33" w14:textId="77777777" w:rsidTr="00416BED">
        <w:trPr>
          <w:cantSplit/>
          <w:trHeight w:val="471"/>
        </w:trPr>
        <w:tc>
          <w:tcPr>
            <w:tcW w:w="3964" w:type="dxa"/>
          </w:tcPr>
          <w:p w14:paraId="3B83B222" w14:textId="77777777" w:rsidR="00CD5857" w:rsidRPr="009D53FA" w:rsidRDefault="00CD5857" w:rsidP="003E16E6">
            <w:pPr>
              <w:keepNext/>
              <w:ind w:left="-57"/>
              <w:rPr>
                <w:rFonts w:ascii="Arial Narrow" w:hAnsi="Arial Narrow" w:cs="Arial"/>
                <w:b/>
                <w:bCs/>
                <w:sz w:val="20"/>
                <w:szCs w:val="20"/>
              </w:rPr>
            </w:pPr>
            <w:r w:rsidRPr="009D53FA">
              <w:rPr>
                <w:rFonts w:ascii="Arial Narrow" w:hAnsi="Arial Narrow" w:cs="Arial"/>
                <w:b/>
                <w:bCs/>
                <w:sz w:val="20"/>
                <w:szCs w:val="20"/>
              </w:rPr>
              <w:t>MEDICINAL PRODUCT</w:t>
            </w:r>
          </w:p>
          <w:p w14:paraId="4655A52F" w14:textId="77777777" w:rsidR="00CD5857" w:rsidRPr="009D53FA" w:rsidRDefault="00CD5857" w:rsidP="003E16E6">
            <w:pPr>
              <w:keepNext/>
              <w:ind w:left="-57"/>
              <w:rPr>
                <w:rFonts w:ascii="Arial Narrow" w:hAnsi="Arial Narrow" w:cs="Arial"/>
                <w:b/>
                <w:sz w:val="20"/>
                <w:szCs w:val="20"/>
              </w:rPr>
            </w:pPr>
            <w:r w:rsidRPr="009D53FA">
              <w:rPr>
                <w:rFonts w:ascii="Arial Narrow" w:hAnsi="Arial Narrow" w:cs="Arial"/>
                <w:b/>
                <w:bCs/>
                <w:sz w:val="20"/>
                <w:szCs w:val="20"/>
              </w:rPr>
              <w:t>medicinal product pack</w:t>
            </w:r>
          </w:p>
        </w:tc>
        <w:tc>
          <w:tcPr>
            <w:tcW w:w="993" w:type="dxa"/>
          </w:tcPr>
          <w:p w14:paraId="5EAEC5F4" w14:textId="77777777" w:rsidR="00CD5857" w:rsidRPr="009D53FA" w:rsidRDefault="00CD5857" w:rsidP="003E16E6">
            <w:pPr>
              <w:keepNext/>
              <w:ind w:left="-108"/>
              <w:jc w:val="center"/>
              <w:rPr>
                <w:rFonts w:ascii="Arial Narrow" w:hAnsi="Arial Narrow" w:cs="Arial"/>
                <w:b/>
                <w:sz w:val="20"/>
                <w:szCs w:val="20"/>
              </w:rPr>
            </w:pPr>
            <w:r w:rsidRPr="009D53FA">
              <w:rPr>
                <w:rFonts w:ascii="Arial Narrow" w:hAnsi="Arial Narrow" w:cs="Arial"/>
                <w:b/>
                <w:sz w:val="20"/>
                <w:szCs w:val="20"/>
              </w:rPr>
              <w:t>PBS item code</w:t>
            </w:r>
          </w:p>
        </w:tc>
        <w:tc>
          <w:tcPr>
            <w:tcW w:w="850" w:type="dxa"/>
          </w:tcPr>
          <w:p w14:paraId="71ECFF39" w14:textId="77777777" w:rsidR="00CD5857" w:rsidRPr="009D53FA" w:rsidRDefault="00CD5857" w:rsidP="003E16E6">
            <w:pPr>
              <w:keepNext/>
              <w:ind w:left="-108"/>
              <w:jc w:val="center"/>
              <w:rPr>
                <w:rFonts w:ascii="Arial Narrow" w:hAnsi="Arial Narrow" w:cs="Arial"/>
                <w:b/>
                <w:sz w:val="20"/>
                <w:szCs w:val="20"/>
              </w:rPr>
            </w:pPr>
            <w:r w:rsidRPr="009D53FA">
              <w:rPr>
                <w:rFonts w:ascii="Arial Narrow" w:hAnsi="Arial Narrow" w:cs="Arial"/>
                <w:b/>
                <w:sz w:val="20"/>
                <w:szCs w:val="20"/>
              </w:rPr>
              <w:t>Max. qty packs</w:t>
            </w:r>
          </w:p>
        </w:tc>
        <w:tc>
          <w:tcPr>
            <w:tcW w:w="851" w:type="dxa"/>
          </w:tcPr>
          <w:p w14:paraId="2C0828E4" w14:textId="77777777" w:rsidR="00CD5857" w:rsidRPr="009D53FA" w:rsidRDefault="00CD5857" w:rsidP="003E16E6">
            <w:pPr>
              <w:keepNext/>
              <w:ind w:left="-108"/>
              <w:jc w:val="center"/>
              <w:rPr>
                <w:rFonts w:ascii="Arial Narrow" w:hAnsi="Arial Narrow" w:cs="Arial"/>
                <w:b/>
                <w:sz w:val="20"/>
                <w:szCs w:val="20"/>
              </w:rPr>
            </w:pPr>
            <w:r w:rsidRPr="009D53FA">
              <w:rPr>
                <w:rFonts w:ascii="Arial Narrow" w:hAnsi="Arial Narrow" w:cs="Arial"/>
                <w:b/>
                <w:sz w:val="20"/>
                <w:szCs w:val="20"/>
              </w:rPr>
              <w:t>Max. qty units</w:t>
            </w:r>
          </w:p>
        </w:tc>
        <w:tc>
          <w:tcPr>
            <w:tcW w:w="708" w:type="dxa"/>
          </w:tcPr>
          <w:p w14:paraId="50157DFB" w14:textId="77777777" w:rsidR="00CD5857" w:rsidRPr="009D53FA" w:rsidRDefault="00CD5857" w:rsidP="003E16E6">
            <w:pPr>
              <w:keepNext/>
              <w:ind w:left="-108"/>
              <w:jc w:val="center"/>
              <w:rPr>
                <w:rFonts w:ascii="Arial Narrow" w:hAnsi="Arial Narrow" w:cs="Arial"/>
                <w:b/>
                <w:sz w:val="20"/>
                <w:szCs w:val="20"/>
              </w:rPr>
            </w:pPr>
            <w:r w:rsidRPr="009D53FA">
              <w:rPr>
                <w:rFonts w:ascii="Arial Narrow" w:hAnsi="Arial Narrow" w:cs="Arial"/>
                <w:b/>
                <w:sz w:val="20"/>
                <w:szCs w:val="20"/>
              </w:rPr>
              <w:t>№.of</w:t>
            </w:r>
          </w:p>
          <w:p w14:paraId="638EE724" w14:textId="77777777" w:rsidR="00CD5857" w:rsidRPr="009D53FA" w:rsidRDefault="00CD5857" w:rsidP="003E16E6">
            <w:pPr>
              <w:keepNext/>
              <w:ind w:left="-108"/>
              <w:jc w:val="center"/>
              <w:rPr>
                <w:rFonts w:ascii="Arial Narrow" w:hAnsi="Arial Narrow" w:cs="Arial"/>
                <w:b/>
                <w:sz w:val="20"/>
                <w:szCs w:val="20"/>
              </w:rPr>
            </w:pPr>
            <w:r w:rsidRPr="009D53FA">
              <w:rPr>
                <w:rFonts w:ascii="Arial Narrow" w:hAnsi="Arial Narrow" w:cs="Arial"/>
                <w:b/>
                <w:sz w:val="20"/>
                <w:szCs w:val="20"/>
              </w:rPr>
              <w:t>Rpts</w:t>
            </w:r>
          </w:p>
        </w:tc>
        <w:tc>
          <w:tcPr>
            <w:tcW w:w="1701" w:type="dxa"/>
          </w:tcPr>
          <w:p w14:paraId="7C462B90" w14:textId="77777777" w:rsidR="00CD5857" w:rsidRPr="009D53FA" w:rsidRDefault="00CD5857" w:rsidP="003E16E6">
            <w:pPr>
              <w:keepNext/>
              <w:rPr>
                <w:rFonts w:ascii="Arial Narrow" w:hAnsi="Arial Narrow" w:cs="Arial"/>
                <w:b/>
                <w:sz w:val="20"/>
                <w:szCs w:val="20"/>
                <w:lang w:val="fr-FR"/>
              </w:rPr>
            </w:pPr>
            <w:r w:rsidRPr="009D53FA">
              <w:rPr>
                <w:rFonts w:ascii="Arial Narrow" w:hAnsi="Arial Narrow" w:cs="Arial"/>
                <w:b/>
                <w:sz w:val="20"/>
                <w:szCs w:val="20"/>
              </w:rPr>
              <w:t>Available brands</w:t>
            </w:r>
          </w:p>
        </w:tc>
      </w:tr>
      <w:tr w:rsidR="00CD5857" w:rsidRPr="009A610D" w14:paraId="1D2C96AC" w14:textId="77777777" w:rsidTr="00CA561D">
        <w:trPr>
          <w:cantSplit/>
          <w:trHeight w:val="224"/>
        </w:trPr>
        <w:tc>
          <w:tcPr>
            <w:tcW w:w="9067" w:type="dxa"/>
            <w:gridSpan w:val="6"/>
          </w:tcPr>
          <w:p w14:paraId="6D8B89A6" w14:textId="03A8A1DD" w:rsidR="00CD5857" w:rsidRPr="009D53FA" w:rsidRDefault="00CD5857" w:rsidP="0016075C">
            <w:pPr>
              <w:keepNext/>
              <w:ind w:left="-57"/>
              <w:rPr>
                <w:rFonts w:ascii="Arial Narrow" w:hAnsi="Arial Narrow" w:cs="Arial"/>
                <w:sz w:val="20"/>
                <w:szCs w:val="20"/>
              </w:rPr>
            </w:pPr>
            <w:r w:rsidRPr="009D53FA">
              <w:rPr>
                <w:rFonts w:ascii="Arial Narrow" w:hAnsi="Arial Narrow" w:cs="Arial"/>
                <w:sz w:val="20"/>
                <w:szCs w:val="20"/>
              </w:rPr>
              <w:t xml:space="preserve"> HYALURONATE SODIUM + </w:t>
            </w:r>
            <w:r w:rsidR="009D01BB" w:rsidRPr="009D53FA">
              <w:rPr>
                <w:rFonts w:ascii="Arial Narrow" w:hAnsi="Arial Narrow" w:cs="Arial"/>
                <w:sz w:val="20"/>
                <w:szCs w:val="20"/>
              </w:rPr>
              <w:t>POLYETHYLENE GLYCOL-400</w:t>
            </w:r>
            <w:r w:rsidRPr="009D53FA">
              <w:rPr>
                <w:rFonts w:ascii="Arial Narrow" w:hAnsi="Arial Narrow" w:cs="Arial"/>
                <w:sz w:val="20"/>
                <w:szCs w:val="20"/>
              </w:rPr>
              <w:t xml:space="preserve"> + PROPYLENE GLYCOL + HYDROXYPROPYL GUAR</w:t>
            </w:r>
          </w:p>
        </w:tc>
      </w:tr>
      <w:tr w:rsidR="00CD5857" w:rsidRPr="009A610D" w14:paraId="115A274A" w14:textId="77777777" w:rsidTr="00983BEC">
        <w:trPr>
          <w:cantSplit/>
          <w:trHeight w:val="596"/>
        </w:trPr>
        <w:tc>
          <w:tcPr>
            <w:tcW w:w="3964" w:type="dxa"/>
          </w:tcPr>
          <w:p w14:paraId="6F9E7376" w14:textId="7A5AE888" w:rsidR="00CD5857" w:rsidRPr="009D53FA" w:rsidRDefault="00CD5857" w:rsidP="003E16E6">
            <w:pPr>
              <w:keepNext/>
              <w:ind w:left="-57"/>
              <w:rPr>
                <w:rFonts w:ascii="Arial Narrow" w:hAnsi="Arial Narrow" w:cs="Arial"/>
                <w:sz w:val="20"/>
                <w:szCs w:val="20"/>
              </w:rPr>
            </w:pPr>
            <w:r w:rsidRPr="009D53FA">
              <w:rPr>
                <w:rFonts w:ascii="Arial Narrow" w:hAnsi="Arial Narrow" w:cs="Arial"/>
                <w:sz w:val="20"/>
                <w:szCs w:val="20"/>
              </w:rPr>
              <w:t xml:space="preserve">hyaluronate sodium 0.15% + </w:t>
            </w:r>
            <w:r w:rsidR="00810992" w:rsidRPr="009D53FA">
              <w:rPr>
                <w:rFonts w:ascii="Arial Narrow" w:hAnsi="Arial Narrow" w:cs="Arial"/>
                <w:sz w:val="20"/>
                <w:szCs w:val="20"/>
              </w:rPr>
              <w:t>polyethylene glycol</w:t>
            </w:r>
            <w:r w:rsidRPr="009D53FA">
              <w:rPr>
                <w:rFonts w:ascii="Arial Narrow" w:hAnsi="Arial Narrow" w:cs="Arial"/>
                <w:sz w:val="20"/>
                <w:szCs w:val="20"/>
              </w:rPr>
              <w:t>-400 + propylene glycol + hydroxypropyl guar eye drops, 10 mL</w:t>
            </w:r>
          </w:p>
        </w:tc>
        <w:tc>
          <w:tcPr>
            <w:tcW w:w="993" w:type="dxa"/>
          </w:tcPr>
          <w:p w14:paraId="2CC068E2" w14:textId="77777777" w:rsidR="00CD5857" w:rsidRPr="009D53FA" w:rsidRDefault="00CD5857" w:rsidP="003E16E6">
            <w:pPr>
              <w:keepNext/>
              <w:jc w:val="center"/>
              <w:rPr>
                <w:rFonts w:ascii="Arial Narrow" w:hAnsi="Arial Narrow" w:cs="Arial"/>
                <w:sz w:val="20"/>
                <w:szCs w:val="20"/>
              </w:rPr>
            </w:pPr>
            <w:r w:rsidRPr="009D53FA">
              <w:rPr>
                <w:rFonts w:ascii="Arial Narrow" w:hAnsi="Arial Narrow" w:cs="Arial"/>
                <w:sz w:val="20"/>
                <w:szCs w:val="20"/>
              </w:rPr>
              <w:t>NEW</w:t>
            </w:r>
          </w:p>
        </w:tc>
        <w:tc>
          <w:tcPr>
            <w:tcW w:w="850" w:type="dxa"/>
          </w:tcPr>
          <w:p w14:paraId="6C84790B" w14:textId="77777777" w:rsidR="00CD5857" w:rsidRPr="009D53FA" w:rsidRDefault="00CD5857" w:rsidP="003E16E6">
            <w:pPr>
              <w:keepNext/>
              <w:jc w:val="center"/>
              <w:rPr>
                <w:rFonts w:ascii="Arial Narrow" w:hAnsi="Arial Narrow" w:cs="Arial"/>
                <w:sz w:val="20"/>
                <w:szCs w:val="20"/>
              </w:rPr>
            </w:pPr>
            <w:r w:rsidRPr="009D53FA">
              <w:rPr>
                <w:rFonts w:ascii="Arial Narrow" w:hAnsi="Arial Narrow" w:cs="Arial"/>
                <w:sz w:val="20"/>
                <w:szCs w:val="20"/>
              </w:rPr>
              <w:t>1</w:t>
            </w:r>
          </w:p>
        </w:tc>
        <w:tc>
          <w:tcPr>
            <w:tcW w:w="851" w:type="dxa"/>
          </w:tcPr>
          <w:p w14:paraId="31249E1F" w14:textId="77777777" w:rsidR="00CD5857" w:rsidRPr="009D53FA" w:rsidRDefault="00CD5857" w:rsidP="003E16E6">
            <w:pPr>
              <w:keepNext/>
              <w:jc w:val="center"/>
              <w:rPr>
                <w:rFonts w:ascii="Arial Narrow" w:hAnsi="Arial Narrow" w:cs="Arial"/>
                <w:sz w:val="20"/>
                <w:szCs w:val="20"/>
              </w:rPr>
            </w:pPr>
            <w:r w:rsidRPr="009D53FA">
              <w:rPr>
                <w:rFonts w:ascii="Arial Narrow" w:hAnsi="Arial Narrow" w:cs="Arial"/>
                <w:sz w:val="20"/>
                <w:szCs w:val="20"/>
              </w:rPr>
              <w:t>1</w:t>
            </w:r>
          </w:p>
        </w:tc>
        <w:tc>
          <w:tcPr>
            <w:tcW w:w="708" w:type="dxa"/>
          </w:tcPr>
          <w:p w14:paraId="64D2E04E" w14:textId="77777777" w:rsidR="00CD5857" w:rsidRPr="009D53FA" w:rsidRDefault="00CD5857" w:rsidP="003E16E6">
            <w:pPr>
              <w:keepNext/>
              <w:jc w:val="center"/>
              <w:rPr>
                <w:rFonts w:ascii="Arial Narrow" w:hAnsi="Arial Narrow" w:cs="Arial"/>
                <w:sz w:val="20"/>
                <w:szCs w:val="20"/>
              </w:rPr>
            </w:pPr>
            <w:r w:rsidRPr="009D53FA">
              <w:rPr>
                <w:rFonts w:ascii="Arial Narrow" w:hAnsi="Arial Narrow" w:cs="Arial"/>
                <w:sz w:val="20"/>
                <w:szCs w:val="20"/>
              </w:rPr>
              <w:t>5</w:t>
            </w:r>
          </w:p>
        </w:tc>
        <w:tc>
          <w:tcPr>
            <w:tcW w:w="1701" w:type="dxa"/>
          </w:tcPr>
          <w:p w14:paraId="08F3F066" w14:textId="23D5A77D" w:rsidR="00CD5857" w:rsidRPr="009D53FA" w:rsidRDefault="00EB4C5C" w:rsidP="003E16E6">
            <w:pPr>
              <w:keepNext/>
              <w:jc w:val="left"/>
              <w:rPr>
                <w:rFonts w:ascii="Arial Narrow" w:hAnsi="Arial Narrow" w:cs="Arial"/>
                <w:sz w:val="20"/>
                <w:szCs w:val="20"/>
              </w:rPr>
            </w:pPr>
            <w:r w:rsidRPr="009D53FA">
              <w:rPr>
                <w:rFonts w:ascii="Arial Narrow" w:hAnsi="Arial Narrow" w:cs="Arial"/>
                <w:sz w:val="20"/>
                <w:szCs w:val="20"/>
              </w:rPr>
              <w:t>Systane Hydration Lubricant</w:t>
            </w:r>
          </w:p>
        </w:tc>
      </w:tr>
      <w:tr w:rsidR="00CD5857" w:rsidRPr="00120A12" w14:paraId="42B8F74F" w14:textId="77777777" w:rsidTr="00CA561D">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4AA1F821" w14:textId="57E562C5" w:rsidR="00CD5857" w:rsidRPr="009D53FA" w:rsidRDefault="00CD5857" w:rsidP="003E16E6">
            <w:pPr>
              <w:keepNext/>
              <w:rPr>
                <w:rFonts w:ascii="Arial Narrow" w:hAnsi="Arial Narrow" w:cs="Arial"/>
                <w:sz w:val="20"/>
                <w:szCs w:val="20"/>
              </w:rPr>
            </w:pPr>
          </w:p>
        </w:tc>
      </w:tr>
      <w:tr w:rsidR="00CD5857" w:rsidRPr="00120A12" w14:paraId="57E27DE6" w14:textId="77777777" w:rsidTr="00CA561D">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4CF46C10" w14:textId="33DF08C1" w:rsidR="00CD5857" w:rsidRPr="009D53FA" w:rsidRDefault="00CD5857" w:rsidP="003E16E6">
            <w:pPr>
              <w:keepNext/>
              <w:rPr>
                <w:rFonts w:ascii="Arial Narrow" w:hAnsi="Arial Narrow" w:cs="Arial"/>
                <w:b/>
                <w:sz w:val="20"/>
                <w:szCs w:val="20"/>
              </w:rPr>
            </w:pPr>
            <w:r w:rsidRPr="009D53FA">
              <w:rPr>
                <w:rFonts w:ascii="Arial Narrow" w:hAnsi="Arial Narrow"/>
                <w:b/>
                <w:sz w:val="20"/>
                <w:szCs w:val="20"/>
              </w:rPr>
              <w:t xml:space="preserve">Restriction Summary / Treatment of Concept </w:t>
            </w:r>
          </w:p>
        </w:tc>
      </w:tr>
      <w:tr w:rsidR="0016075C" w:rsidRPr="00120A12" w14:paraId="589BBF47" w14:textId="77777777" w:rsidTr="002D4BD0">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602723F8" w14:textId="454F5F26" w:rsidR="0016075C" w:rsidRPr="009D53FA" w:rsidRDefault="0016075C" w:rsidP="003E16E6">
            <w:pPr>
              <w:keepNext/>
              <w:rPr>
                <w:rFonts w:ascii="Arial Narrow" w:hAnsi="Arial Narrow" w:cs="Arial"/>
                <w:sz w:val="20"/>
                <w:szCs w:val="20"/>
              </w:rPr>
            </w:pPr>
            <w:r w:rsidRPr="009D53FA">
              <w:rPr>
                <w:rFonts w:ascii="Arial Narrow" w:hAnsi="Arial Narrow" w:cs="Arial"/>
                <w:b/>
                <w:sz w:val="20"/>
                <w:szCs w:val="20"/>
              </w:rPr>
              <w:t>Category / Program:</w:t>
            </w:r>
            <w:r>
              <w:rPr>
                <w:rFonts w:ascii="Arial Narrow" w:hAnsi="Arial Narrow" w:cs="Arial"/>
                <w:b/>
                <w:sz w:val="20"/>
                <w:szCs w:val="20"/>
              </w:rPr>
              <w:t xml:space="preserve"> </w:t>
            </w:r>
            <w:r w:rsidRPr="009D53FA">
              <w:rPr>
                <w:rFonts w:ascii="Arial Narrow" w:hAnsi="Arial Narrow" w:cs="Arial"/>
                <w:sz w:val="20"/>
                <w:szCs w:val="20"/>
              </w:rPr>
              <w:t xml:space="preserve">GENERAL – General Schedule (Code GE) </w:t>
            </w:r>
          </w:p>
        </w:tc>
      </w:tr>
      <w:tr w:rsidR="0016075C" w:rsidRPr="00120A12" w14:paraId="4189C607" w14:textId="77777777" w:rsidTr="002D4BD0">
        <w:tblPrEx>
          <w:tblCellMar>
            <w:top w:w="15" w:type="dxa"/>
            <w:left w:w="15" w:type="dxa"/>
            <w:bottom w:w="15" w:type="dxa"/>
            <w:right w:w="15" w:type="dxa"/>
          </w:tblCellMar>
        </w:tblPrEx>
        <w:trPr>
          <w:trHeight w:val="240"/>
        </w:trPr>
        <w:tc>
          <w:tcPr>
            <w:tcW w:w="9067" w:type="dxa"/>
            <w:gridSpan w:val="6"/>
            <w:tcBorders>
              <w:top w:val="single" w:sz="4" w:space="0" w:color="auto"/>
              <w:left w:val="single" w:sz="4" w:space="0" w:color="auto"/>
              <w:bottom w:val="single" w:sz="4" w:space="0" w:color="auto"/>
              <w:right w:val="single" w:sz="4" w:space="0" w:color="auto"/>
            </w:tcBorders>
          </w:tcPr>
          <w:p w14:paraId="0061C330" w14:textId="2C329D7D" w:rsidR="0016075C" w:rsidRPr="009D53FA" w:rsidRDefault="0016075C" w:rsidP="003E16E6">
            <w:pPr>
              <w:keepNext/>
              <w:rPr>
                <w:rFonts w:ascii="Arial Narrow" w:hAnsi="Arial Narrow" w:cs="Arial"/>
                <w:b/>
                <w:sz w:val="20"/>
                <w:szCs w:val="20"/>
              </w:rPr>
            </w:pPr>
            <w:r w:rsidRPr="009D53FA">
              <w:rPr>
                <w:rFonts w:ascii="Arial Narrow" w:hAnsi="Arial Narrow" w:cs="Arial"/>
                <w:b/>
                <w:sz w:val="20"/>
                <w:szCs w:val="20"/>
              </w:rPr>
              <w:t xml:space="preserve">Prescriber type </w:t>
            </w:r>
            <w:r w:rsidRPr="009D53FA">
              <w:rPr>
                <w:rFonts w:ascii="Arial Narrow" w:hAnsi="Arial Narrow" w:cs="Arial"/>
                <w:sz w:val="20"/>
                <w:szCs w:val="20"/>
              </w:rPr>
              <w:fldChar w:fldCharType="begin">
                <w:ffData>
                  <w:name w:val=""/>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Medical Practitioners</w:t>
            </w:r>
            <w:r>
              <w:rPr>
                <w:rFonts w:ascii="Arial Narrow" w:hAnsi="Arial Narrow" w:cs="Arial"/>
                <w:sz w:val="20"/>
                <w:szCs w:val="20"/>
              </w:rPr>
              <w:t xml:space="preserve">  </w:t>
            </w:r>
            <w:r w:rsidRPr="009D53FA">
              <w:rPr>
                <w:rFonts w:ascii="Arial Narrow" w:hAnsi="Arial Narrow" w:cs="Arial"/>
                <w:sz w:val="20"/>
                <w:szCs w:val="20"/>
              </w:rPr>
              <w:fldChar w:fldCharType="begin">
                <w:ffData>
                  <w:name w:val="Check3"/>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Nurse practitioners</w:t>
            </w:r>
            <w:r>
              <w:rPr>
                <w:rFonts w:ascii="Arial Narrow" w:hAnsi="Arial Narrow" w:cs="Arial"/>
                <w:sz w:val="20"/>
                <w:szCs w:val="20"/>
              </w:rPr>
              <w:t xml:space="preserve">  </w:t>
            </w:r>
            <w:r w:rsidRPr="009D53FA">
              <w:rPr>
                <w:rFonts w:ascii="Arial Narrow" w:hAnsi="Arial Narrow" w:cs="Arial"/>
                <w:sz w:val="20"/>
                <w:szCs w:val="20"/>
              </w:rPr>
              <w:fldChar w:fldCharType="begin">
                <w:ffData>
                  <w:name w:val=""/>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 xml:space="preserve">Optometrists </w:t>
            </w:r>
          </w:p>
        </w:tc>
      </w:tr>
      <w:tr w:rsidR="0016075C" w:rsidRPr="00120A12" w14:paraId="7A1433EF" w14:textId="77777777" w:rsidTr="002D4BD0">
        <w:tblPrEx>
          <w:tblCellMar>
            <w:top w:w="15" w:type="dxa"/>
            <w:left w:w="15" w:type="dxa"/>
            <w:bottom w:w="15" w:type="dxa"/>
            <w:right w:w="15" w:type="dxa"/>
          </w:tblCellMar>
        </w:tblPrEx>
        <w:trPr>
          <w:trHeight w:val="507"/>
        </w:trPr>
        <w:tc>
          <w:tcPr>
            <w:tcW w:w="9067" w:type="dxa"/>
            <w:gridSpan w:val="6"/>
            <w:tcBorders>
              <w:top w:val="single" w:sz="4" w:space="0" w:color="auto"/>
              <w:left w:val="single" w:sz="4" w:space="0" w:color="auto"/>
              <w:bottom w:val="single" w:sz="4" w:space="0" w:color="auto"/>
              <w:right w:val="single" w:sz="4" w:space="0" w:color="auto"/>
            </w:tcBorders>
          </w:tcPr>
          <w:p w14:paraId="676CBF39" w14:textId="2CD08EF7" w:rsidR="0016075C" w:rsidRPr="009D53FA" w:rsidRDefault="0016075C" w:rsidP="003E16E6">
            <w:pPr>
              <w:keepNext/>
              <w:rPr>
                <w:rFonts w:ascii="Arial Narrow" w:hAnsi="Arial Narrow" w:cs="Arial"/>
                <w:b/>
                <w:sz w:val="20"/>
                <w:szCs w:val="20"/>
              </w:rPr>
            </w:pPr>
            <w:r w:rsidRPr="009D53FA">
              <w:rPr>
                <w:rFonts w:ascii="Arial Narrow" w:hAnsi="Arial Narrow" w:cs="Arial"/>
                <w:b/>
                <w:sz w:val="20"/>
                <w:szCs w:val="20"/>
              </w:rPr>
              <w:t>Restriction type:</w:t>
            </w:r>
          </w:p>
          <w:p w14:paraId="2242DC90" w14:textId="4516D123" w:rsidR="0016075C" w:rsidRPr="009D53FA" w:rsidRDefault="0016075C" w:rsidP="003E16E6">
            <w:pPr>
              <w:keepNext/>
              <w:rPr>
                <w:rFonts w:ascii="Arial Narrow" w:eastAsia="Calibri" w:hAnsi="Arial Narrow" w:cs="Arial"/>
                <w:sz w:val="20"/>
                <w:szCs w:val="20"/>
              </w:rPr>
            </w:pPr>
            <w:r w:rsidRPr="009D53FA">
              <w:rPr>
                <w:rFonts w:ascii="Arial Narrow" w:hAnsi="Arial Narrow" w:cs="Arial"/>
                <w:sz w:val="20"/>
                <w:szCs w:val="20"/>
              </w:rPr>
              <w:fldChar w:fldCharType="begin">
                <w:ffData>
                  <w:name w:val=""/>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Authority Required - Streamlined</w:t>
            </w:r>
            <w:r w:rsidRPr="009D53FA">
              <w:rPr>
                <w:rFonts w:ascii="Arial Narrow" w:eastAsia="Calibri" w:hAnsi="Arial Narrow" w:cs="Arial"/>
                <w:sz w:val="20"/>
                <w:szCs w:val="20"/>
              </w:rPr>
              <w:t xml:space="preserve"> [new code] </w:t>
            </w:r>
          </w:p>
        </w:tc>
      </w:tr>
      <w:tr w:rsidR="0016075C" w:rsidRPr="00120A12" w14:paraId="34772EB8" w14:textId="77777777" w:rsidTr="002D4BD0">
        <w:tblPrEx>
          <w:tblCellMar>
            <w:top w:w="15" w:type="dxa"/>
            <w:left w:w="15" w:type="dxa"/>
            <w:bottom w:w="15" w:type="dxa"/>
            <w:right w:w="15" w:type="dxa"/>
          </w:tblCellMar>
        </w:tblPrEx>
        <w:trPr>
          <w:trHeight w:val="444"/>
        </w:trPr>
        <w:tc>
          <w:tcPr>
            <w:tcW w:w="9067" w:type="dxa"/>
            <w:gridSpan w:val="6"/>
            <w:vAlign w:val="center"/>
          </w:tcPr>
          <w:p w14:paraId="2F1EAF07" w14:textId="77777777" w:rsidR="0016075C" w:rsidRPr="009D53FA" w:rsidRDefault="0016075C" w:rsidP="003E16E6">
            <w:pPr>
              <w:keepNext/>
              <w:rPr>
                <w:rFonts w:ascii="Arial Narrow" w:hAnsi="Arial Narrow"/>
                <w:sz w:val="20"/>
                <w:szCs w:val="20"/>
              </w:rPr>
            </w:pPr>
            <w:r w:rsidRPr="009D53FA">
              <w:rPr>
                <w:rFonts w:ascii="Arial Narrow" w:hAnsi="Arial Narrow"/>
                <w:b/>
                <w:bCs/>
                <w:sz w:val="20"/>
                <w:szCs w:val="20"/>
              </w:rPr>
              <w:t>Administrative Advice:</w:t>
            </w:r>
          </w:p>
          <w:p w14:paraId="472D6B38" w14:textId="3AC8707A" w:rsidR="0016075C" w:rsidRPr="009D53FA" w:rsidRDefault="0016075C" w:rsidP="003E16E6">
            <w:pPr>
              <w:keepNext/>
              <w:rPr>
                <w:rFonts w:ascii="Arial Narrow" w:hAnsi="Arial Narrow"/>
                <w:sz w:val="20"/>
                <w:szCs w:val="20"/>
              </w:rPr>
            </w:pPr>
            <w:r w:rsidRPr="009D53FA">
              <w:rPr>
                <w:rFonts w:ascii="Arial Narrow" w:hAnsi="Arial Narrow" w:cs="Arial Narrow"/>
                <w:i/>
                <w:iCs/>
                <w:sz w:val="20"/>
                <w:szCs w:val="20"/>
              </w:rPr>
              <w:t>The in-use shelf life of this product is 3 months from the date of opening</w:t>
            </w:r>
          </w:p>
        </w:tc>
      </w:tr>
      <w:tr w:rsidR="0016075C" w:rsidRPr="00120A12" w14:paraId="0E1A89C3" w14:textId="77777777" w:rsidTr="002D4BD0">
        <w:tblPrEx>
          <w:tblCellMar>
            <w:top w:w="15" w:type="dxa"/>
            <w:left w:w="15" w:type="dxa"/>
            <w:bottom w:w="15" w:type="dxa"/>
            <w:right w:w="15" w:type="dxa"/>
          </w:tblCellMar>
        </w:tblPrEx>
        <w:tc>
          <w:tcPr>
            <w:tcW w:w="9067" w:type="dxa"/>
            <w:gridSpan w:val="6"/>
            <w:vAlign w:val="center"/>
          </w:tcPr>
          <w:p w14:paraId="5B81655D" w14:textId="77777777" w:rsidR="0016075C" w:rsidRPr="009D53FA" w:rsidRDefault="0016075C" w:rsidP="003E16E6">
            <w:pPr>
              <w:keepNext/>
              <w:rPr>
                <w:rFonts w:ascii="Arial Narrow" w:hAnsi="Arial Narrow"/>
                <w:b/>
                <w:bCs/>
                <w:sz w:val="20"/>
                <w:szCs w:val="20"/>
              </w:rPr>
            </w:pPr>
            <w:r w:rsidRPr="009D53FA">
              <w:rPr>
                <w:rFonts w:ascii="Arial Narrow" w:hAnsi="Arial Narrow"/>
                <w:b/>
                <w:bCs/>
                <w:sz w:val="20"/>
                <w:szCs w:val="20"/>
              </w:rPr>
              <w:t xml:space="preserve">Severity: </w:t>
            </w:r>
            <w:r w:rsidRPr="009D53FA">
              <w:rPr>
                <w:rFonts w:ascii="Arial Narrow" w:hAnsi="Arial Narrow"/>
                <w:bCs/>
                <w:sz w:val="20"/>
                <w:szCs w:val="20"/>
              </w:rPr>
              <w:t>Severe</w:t>
            </w:r>
          </w:p>
        </w:tc>
      </w:tr>
      <w:tr w:rsidR="0016075C" w:rsidRPr="00120A12" w14:paraId="7895E9AE" w14:textId="77777777" w:rsidTr="002D4BD0">
        <w:tblPrEx>
          <w:tblCellMar>
            <w:top w:w="15" w:type="dxa"/>
            <w:left w:w="15" w:type="dxa"/>
            <w:bottom w:w="15" w:type="dxa"/>
            <w:right w:w="15" w:type="dxa"/>
          </w:tblCellMar>
        </w:tblPrEx>
        <w:tc>
          <w:tcPr>
            <w:tcW w:w="9067" w:type="dxa"/>
            <w:gridSpan w:val="6"/>
            <w:vAlign w:val="center"/>
          </w:tcPr>
          <w:p w14:paraId="1616826A" w14:textId="3DE68504" w:rsidR="0016075C" w:rsidRPr="009D53FA" w:rsidRDefault="0016075C" w:rsidP="003E16E6">
            <w:pPr>
              <w:keepNext/>
              <w:rPr>
                <w:rFonts w:ascii="Arial Narrow" w:hAnsi="Arial Narrow"/>
                <w:b/>
                <w:bCs/>
                <w:sz w:val="20"/>
                <w:szCs w:val="20"/>
              </w:rPr>
            </w:pPr>
            <w:r w:rsidRPr="009D53FA">
              <w:rPr>
                <w:rFonts w:ascii="Arial Narrow" w:hAnsi="Arial Narrow"/>
                <w:b/>
                <w:bCs/>
                <w:sz w:val="20"/>
                <w:szCs w:val="20"/>
              </w:rPr>
              <w:t xml:space="preserve">Condition: </w:t>
            </w:r>
            <w:r w:rsidRPr="009D53FA">
              <w:rPr>
                <w:rFonts w:ascii="Arial Narrow" w:hAnsi="Arial Narrow"/>
                <w:sz w:val="20"/>
                <w:szCs w:val="20"/>
              </w:rPr>
              <w:t>Dry Eye Syndrome</w:t>
            </w:r>
          </w:p>
        </w:tc>
      </w:tr>
      <w:tr w:rsidR="0016075C" w:rsidRPr="00120A12" w14:paraId="638D80F1" w14:textId="77777777" w:rsidTr="002D4BD0">
        <w:tblPrEx>
          <w:tblCellMar>
            <w:top w:w="15" w:type="dxa"/>
            <w:left w:w="15" w:type="dxa"/>
            <w:bottom w:w="15" w:type="dxa"/>
            <w:right w:w="15" w:type="dxa"/>
          </w:tblCellMar>
        </w:tblPrEx>
        <w:tc>
          <w:tcPr>
            <w:tcW w:w="9067" w:type="dxa"/>
            <w:gridSpan w:val="6"/>
            <w:vAlign w:val="center"/>
            <w:hideMark/>
          </w:tcPr>
          <w:p w14:paraId="775DC64D" w14:textId="77777777" w:rsidR="0016075C" w:rsidRPr="009D53FA" w:rsidRDefault="0016075C" w:rsidP="003E16E6">
            <w:pPr>
              <w:keepNext/>
              <w:rPr>
                <w:rFonts w:ascii="Arial Narrow" w:hAnsi="Arial Narrow"/>
                <w:sz w:val="20"/>
                <w:szCs w:val="20"/>
              </w:rPr>
            </w:pPr>
            <w:r w:rsidRPr="009D53FA">
              <w:rPr>
                <w:rFonts w:ascii="Arial Narrow" w:hAnsi="Arial Narrow"/>
                <w:b/>
                <w:bCs/>
                <w:sz w:val="20"/>
                <w:szCs w:val="20"/>
              </w:rPr>
              <w:t>Indication:</w:t>
            </w:r>
            <w:r w:rsidRPr="009D53FA">
              <w:rPr>
                <w:rFonts w:ascii="Arial Narrow" w:hAnsi="Arial Narrow"/>
                <w:sz w:val="20"/>
                <w:szCs w:val="20"/>
              </w:rPr>
              <w:t xml:space="preserve"> Severe Dry Eye Syndrome</w:t>
            </w:r>
          </w:p>
        </w:tc>
      </w:tr>
      <w:tr w:rsidR="0016075C" w:rsidRPr="007F2BB2" w14:paraId="464AF41A" w14:textId="77777777" w:rsidTr="002D4BD0">
        <w:tblPrEx>
          <w:tblCellMar>
            <w:top w:w="15" w:type="dxa"/>
            <w:left w:w="15" w:type="dxa"/>
            <w:bottom w:w="15" w:type="dxa"/>
            <w:right w:w="15" w:type="dxa"/>
          </w:tblCellMar>
        </w:tblPrEx>
        <w:tc>
          <w:tcPr>
            <w:tcW w:w="9067" w:type="dxa"/>
            <w:gridSpan w:val="6"/>
            <w:vAlign w:val="center"/>
            <w:hideMark/>
          </w:tcPr>
          <w:p w14:paraId="622526B6" w14:textId="77777777" w:rsidR="0016075C" w:rsidRPr="009D53FA" w:rsidRDefault="0016075C" w:rsidP="003E16E6">
            <w:pPr>
              <w:keepNext/>
              <w:rPr>
                <w:rFonts w:ascii="Arial Narrow" w:hAnsi="Arial Narrow"/>
                <w:sz w:val="20"/>
                <w:szCs w:val="20"/>
              </w:rPr>
            </w:pPr>
            <w:r w:rsidRPr="009D53FA">
              <w:rPr>
                <w:rFonts w:ascii="Arial Narrow" w:hAnsi="Arial Narrow"/>
                <w:b/>
                <w:bCs/>
                <w:sz w:val="20"/>
                <w:szCs w:val="20"/>
              </w:rPr>
              <w:t xml:space="preserve">Clinical criteria: </w:t>
            </w:r>
          </w:p>
        </w:tc>
      </w:tr>
      <w:tr w:rsidR="0016075C" w:rsidRPr="00720161" w14:paraId="6AEBFA03" w14:textId="77777777" w:rsidTr="002D4BD0">
        <w:tblPrEx>
          <w:tblCellMar>
            <w:top w:w="15" w:type="dxa"/>
            <w:left w:w="15" w:type="dxa"/>
            <w:bottom w:w="15" w:type="dxa"/>
            <w:right w:w="15" w:type="dxa"/>
          </w:tblCellMar>
        </w:tblPrEx>
        <w:tc>
          <w:tcPr>
            <w:tcW w:w="9067" w:type="dxa"/>
            <w:gridSpan w:val="6"/>
            <w:vAlign w:val="center"/>
            <w:hideMark/>
          </w:tcPr>
          <w:p w14:paraId="7DB02E45" w14:textId="77777777" w:rsidR="0016075C" w:rsidRPr="009D53FA" w:rsidRDefault="0016075C" w:rsidP="003E16E6">
            <w:pPr>
              <w:keepNext/>
              <w:rPr>
                <w:rFonts w:ascii="Arial Narrow" w:hAnsi="Arial Narrow"/>
                <w:sz w:val="20"/>
                <w:szCs w:val="20"/>
              </w:rPr>
            </w:pPr>
            <w:r w:rsidRPr="009D53FA">
              <w:rPr>
                <w:rFonts w:ascii="Arial Narrow" w:hAnsi="Arial Narrow" w:cs="Arial Narrow"/>
                <w:sz w:val="20"/>
                <w:szCs w:val="20"/>
              </w:rPr>
              <w:t>Patient must be sensitive to preservatives in multi-dose eye drops</w:t>
            </w:r>
          </w:p>
        </w:tc>
      </w:tr>
    </w:tbl>
    <w:p w14:paraId="666246A0" w14:textId="77777777" w:rsidR="00CD5857" w:rsidRPr="009D53FA" w:rsidRDefault="00CD5857" w:rsidP="003E16E6">
      <w:pPr>
        <w:pStyle w:val="TableFigureFooter"/>
        <w:keepNext/>
        <w:spacing w:after="0"/>
        <w:rPr>
          <w:rFonts w:asciiTheme="minorHAnsi" w:hAnsiTheme="minorHAnsi" w:cstheme="minorHAnsi"/>
          <w:sz w:val="24"/>
          <w:szCs w:val="24"/>
        </w:rPr>
      </w:pPr>
    </w:p>
    <w:p w14:paraId="363E31A7" w14:textId="0B481FD5" w:rsidR="00A71C5D" w:rsidRPr="00B8376D" w:rsidRDefault="00A71C5D" w:rsidP="009D53FA">
      <w:pPr>
        <w:pStyle w:val="3Bodytext"/>
        <w:jc w:val="both"/>
        <w:rPr>
          <w:rFonts w:cstheme="minorHAnsi"/>
          <w:szCs w:val="24"/>
        </w:rPr>
      </w:pPr>
      <w:r>
        <w:t xml:space="preserve">The submission has requested that </w:t>
      </w:r>
      <w:r w:rsidRPr="007E23EB">
        <w:t xml:space="preserve">Systane Hydration be </w:t>
      </w:r>
      <w:r>
        <w:t>considered as substitutable</w:t>
      </w:r>
      <w:r w:rsidRPr="007E23EB">
        <w:t xml:space="preserve"> with other PBS listed MDPF eye drops</w:t>
      </w:r>
      <w:r>
        <w:t>.</w:t>
      </w:r>
    </w:p>
    <w:p w14:paraId="29A96004" w14:textId="5809694E" w:rsidR="00C27C1C" w:rsidRPr="00980B0E" w:rsidRDefault="00C27C1C" w:rsidP="009D53FA">
      <w:pPr>
        <w:pStyle w:val="2-SectionHeading"/>
        <w:jc w:val="both"/>
        <w:rPr>
          <w:color w:val="FF0000"/>
        </w:rPr>
      </w:pPr>
      <w:r w:rsidRPr="003C2FB5">
        <w:t>Comparator</w:t>
      </w:r>
    </w:p>
    <w:p w14:paraId="5A35AD53" w14:textId="77565EA5" w:rsidR="00C27C1C" w:rsidRPr="000F5DC7" w:rsidRDefault="00C27C1C" w:rsidP="009D53FA">
      <w:pPr>
        <w:pStyle w:val="3Bodytext"/>
        <w:jc w:val="both"/>
      </w:pPr>
      <w:r w:rsidRPr="00092644">
        <w:t xml:space="preserve">The submission nominated </w:t>
      </w:r>
      <w:r w:rsidR="008A09FC" w:rsidRPr="007E23EB">
        <w:t xml:space="preserve">0.1/0.2% hyaluronate sodium MDPF eye drops (Hylo-Fresh and Hylo-Forte respectively) </w:t>
      </w:r>
      <w:r w:rsidRPr="00092644">
        <w:t>as the main comparator</w:t>
      </w:r>
      <w:r w:rsidR="00AF142E">
        <w:t>s</w:t>
      </w:r>
      <w:r w:rsidR="00CE236E" w:rsidRPr="00092644">
        <w:t xml:space="preserve"> </w:t>
      </w:r>
      <w:r w:rsidR="00C86889">
        <w:t>noting that</w:t>
      </w:r>
      <w:r w:rsidR="00C86889" w:rsidRPr="00092644">
        <w:t xml:space="preserve"> </w:t>
      </w:r>
      <w:r w:rsidR="00FC5B75" w:rsidRPr="00092644">
        <w:t>the</w:t>
      </w:r>
      <w:r w:rsidR="008D13A1" w:rsidRPr="00092644">
        <w:t>y</w:t>
      </w:r>
      <w:r w:rsidR="00FD450D" w:rsidRPr="00092644">
        <w:t xml:space="preserve"> have the </w:t>
      </w:r>
      <w:r w:rsidR="008D13A1" w:rsidRPr="00092644">
        <w:t>greatest</w:t>
      </w:r>
      <w:r w:rsidR="00FD450D" w:rsidRPr="00092644">
        <w:t xml:space="preserve"> market share for </w:t>
      </w:r>
      <w:r w:rsidR="00AF142E" w:rsidRPr="00092644">
        <w:t>th</w:t>
      </w:r>
      <w:r w:rsidR="00AF142E">
        <w:t>is</w:t>
      </w:r>
      <w:r w:rsidR="00AF142E" w:rsidRPr="00092644">
        <w:t xml:space="preserve"> </w:t>
      </w:r>
      <w:r w:rsidR="00FD450D" w:rsidRPr="00092644">
        <w:t>PBS indication</w:t>
      </w:r>
      <w:r w:rsidR="00AF142E">
        <w:t>.</w:t>
      </w:r>
      <w:r w:rsidR="00257F3A">
        <w:t xml:space="preserve"> These products have been PBS listed since December 2012.</w:t>
      </w:r>
      <w:r w:rsidR="00AF142E">
        <w:t xml:space="preserve"> The submission nominated c</w:t>
      </w:r>
      <w:r w:rsidR="00CE236E" w:rsidRPr="00092644">
        <w:t>ationic ophthalmic emulsion MDPF eye drops (Cationorm</w:t>
      </w:r>
      <w:r w:rsidR="00AF142E">
        <w:t>®</w:t>
      </w:r>
      <w:r w:rsidR="00CE236E" w:rsidRPr="00092644">
        <w:t xml:space="preserve">) as </w:t>
      </w:r>
      <w:r w:rsidR="000B3372">
        <w:t>a</w:t>
      </w:r>
      <w:r w:rsidR="000B3372" w:rsidRPr="00092644">
        <w:t xml:space="preserve"> </w:t>
      </w:r>
      <w:r w:rsidR="00CE236E" w:rsidRPr="00092644">
        <w:t>supplementary comparator</w:t>
      </w:r>
      <w:r w:rsidR="00D05250" w:rsidRPr="00092644">
        <w:t xml:space="preserve"> </w:t>
      </w:r>
      <w:r w:rsidR="005C5A4A">
        <w:t>noting that the PBAC</w:t>
      </w:r>
      <w:r w:rsidR="008A7C16">
        <w:t>,</w:t>
      </w:r>
      <w:r w:rsidR="005C5A4A">
        <w:t xml:space="preserve"> in its July 2020 consideration of Cationorm</w:t>
      </w:r>
      <w:r w:rsidR="008A7C16">
        <w:t>,</w:t>
      </w:r>
      <w:r w:rsidR="005C5A4A">
        <w:t xml:space="preserve"> recommended that </w:t>
      </w:r>
      <w:r w:rsidR="005C5A4A" w:rsidRPr="005C5A4A">
        <w:rPr>
          <w:iCs/>
        </w:rPr>
        <w:t>‘all preservative free, multi</w:t>
      </w:r>
      <w:r w:rsidR="00D11380">
        <w:rPr>
          <w:iCs/>
        </w:rPr>
        <w:noBreakHyphen/>
      </w:r>
      <w:r w:rsidR="005C5A4A" w:rsidRPr="005C5A4A">
        <w:rPr>
          <w:iCs/>
        </w:rPr>
        <w:t>dose ocular lubricants currently listed on the PBS were appropriate comparators’</w:t>
      </w:r>
      <w:r w:rsidRPr="00092644">
        <w:t>.</w:t>
      </w:r>
      <w:r w:rsidR="00EB7210" w:rsidRPr="00092644">
        <w:t xml:space="preserve"> </w:t>
      </w:r>
      <w:r w:rsidR="00EB7210" w:rsidRPr="003A753A">
        <w:t>This was</w:t>
      </w:r>
      <w:r w:rsidR="00FC5B75" w:rsidRPr="003A753A">
        <w:t xml:space="preserve"> considered</w:t>
      </w:r>
      <w:r w:rsidR="00EB7210" w:rsidRPr="003A753A">
        <w:t xml:space="preserve"> appropriate</w:t>
      </w:r>
      <w:r w:rsidR="00EB26C4" w:rsidRPr="003A753A">
        <w:t>,</w:t>
      </w:r>
      <w:r w:rsidR="00EB26C4" w:rsidRPr="003A753A">
        <w:rPr>
          <w:iCs/>
        </w:rPr>
        <w:t xml:space="preserve"> however</w:t>
      </w:r>
      <w:r w:rsidR="00C86889">
        <w:rPr>
          <w:iCs/>
        </w:rPr>
        <w:t>,</w:t>
      </w:r>
      <w:r w:rsidR="00EB26C4" w:rsidRPr="003A753A">
        <w:rPr>
          <w:iCs/>
        </w:rPr>
        <w:t xml:space="preserve"> </w:t>
      </w:r>
      <w:r w:rsidR="00504399">
        <w:rPr>
          <w:iCs/>
        </w:rPr>
        <w:t xml:space="preserve">the PBAC has previously considered that </w:t>
      </w:r>
      <w:r w:rsidR="00EB26C4" w:rsidRPr="003A753A">
        <w:rPr>
          <w:iCs/>
        </w:rPr>
        <w:t>all PBS-listed ocular lubricants are relevant comparators (</w:t>
      </w:r>
      <w:r w:rsidR="00D11380" w:rsidRPr="003A753A">
        <w:rPr>
          <w:iCs/>
        </w:rPr>
        <w:t>see</w:t>
      </w:r>
      <w:r w:rsidR="00D11380">
        <w:rPr>
          <w:iCs/>
        </w:rPr>
        <w:t> </w:t>
      </w:r>
      <w:r w:rsidR="00EB26C4" w:rsidRPr="003A753A">
        <w:rPr>
          <w:iCs/>
        </w:rPr>
        <w:t>para</w:t>
      </w:r>
      <w:r w:rsidR="00985A85">
        <w:rPr>
          <w:iCs/>
        </w:rPr>
        <w:t>graph</w:t>
      </w:r>
      <w:r w:rsidR="00EB26C4" w:rsidRPr="003A753A">
        <w:rPr>
          <w:iCs/>
        </w:rPr>
        <w:t xml:space="preserve"> 5.</w:t>
      </w:r>
      <w:r w:rsidR="00504399" w:rsidRPr="003A753A">
        <w:rPr>
          <w:iCs/>
        </w:rPr>
        <w:t>2</w:t>
      </w:r>
      <w:r w:rsidR="00504399">
        <w:rPr>
          <w:iCs/>
        </w:rPr>
        <w:t>3</w:t>
      </w:r>
      <w:r w:rsidR="00EB26C4" w:rsidRPr="003A753A">
        <w:rPr>
          <w:iCs/>
        </w:rPr>
        <w:t>).</w:t>
      </w:r>
    </w:p>
    <w:p w14:paraId="1F02DD4B" w14:textId="76EE6D37" w:rsidR="0016075C" w:rsidRDefault="000F5DC7" w:rsidP="000F5DC7">
      <w:pPr>
        <w:pStyle w:val="3-BodyText"/>
        <w:numPr>
          <w:ilvl w:val="0"/>
          <w:numId w:val="0"/>
        </w:numPr>
        <w:ind w:left="720"/>
        <w:rPr>
          <w:i/>
          <w:iCs/>
        </w:rPr>
      </w:pPr>
      <w:r w:rsidRPr="003E298A">
        <w:rPr>
          <w:i/>
          <w:iCs/>
        </w:rPr>
        <w:t>For more detail on PBAC’s view, see section 6 PBAC outcome.</w:t>
      </w:r>
    </w:p>
    <w:p w14:paraId="33E0CF8B" w14:textId="77777777" w:rsidR="0016075C" w:rsidRDefault="0016075C">
      <w:pPr>
        <w:jc w:val="left"/>
        <w:rPr>
          <w:rFonts w:asciiTheme="minorHAnsi" w:eastAsiaTheme="minorHAnsi" w:hAnsiTheme="minorHAnsi" w:cstheme="minorBidi"/>
          <w:i/>
          <w:iCs/>
          <w:szCs w:val="22"/>
        </w:rPr>
      </w:pPr>
      <w:r>
        <w:rPr>
          <w:i/>
          <w:iCs/>
        </w:rPr>
        <w:br w:type="page"/>
      </w:r>
    </w:p>
    <w:p w14:paraId="313E55A0" w14:textId="5FDFCB14" w:rsidR="00C27C1C" w:rsidRPr="00356E5B" w:rsidRDefault="00C27C1C" w:rsidP="009D53FA">
      <w:pPr>
        <w:pStyle w:val="2-SectionHeading"/>
        <w:jc w:val="both"/>
      </w:pPr>
      <w:r w:rsidRPr="003C2FB5">
        <w:lastRenderedPageBreak/>
        <w:t>Consideration of the evidence</w:t>
      </w:r>
    </w:p>
    <w:p w14:paraId="39CC8FE5" w14:textId="19D20273" w:rsidR="000F5DC7" w:rsidRDefault="000F5DC7" w:rsidP="009D53FA">
      <w:pPr>
        <w:pStyle w:val="4-SubsectionHeading"/>
        <w:keepNext w:val="0"/>
        <w:rPr>
          <w:lang w:eastAsia="en-US"/>
        </w:rPr>
      </w:pPr>
      <w:r>
        <w:rPr>
          <w:lang w:eastAsia="en-US"/>
        </w:rPr>
        <w:t>Sponsor hearing</w:t>
      </w:r>
    </w:p>
    <w:p w14:paraId="28B4A582" w14:textId="6CB4922C" w:rsidR="000F5DC7" w:rsidRDefault="000F5DC7" w:rsidP="000F5DC7">
      <w:pPr>
        <w:pStyle w:val="3Bodytext"/>
        <w:rPr>
          <w:lang w:eastAsia="en-US"/>
        </w:rPr>
      </w:pPr>
      <w:r>
        <w:rPr>
          <w:lang w:eastAsia="en-US"/>
        </w:rPr>
        <w:t>There was no hearing for this item.</w:t>
      </w:r>
    </w:p>
    <w:p w14:paraId="4AC2A605" w14:textId="489ECFED" w:rsidR="000F5DC7" w:rsidRDefault="000F5DC7" w:rsidP="009D53FA">
      <w:pPr>
        <w:pStyle w:val="4-SubsectionHeading"/>
        <w:keepNext w:val="0"/>
        <w:rPr>
          <w:lang w:eastAsia="en-US"/>
        </w:rPr>
      </w:pPr>
      <w:r>
        <w:rPr>
          <w:lang w:eastAsia="en-US"/>
        </w:rPr>
        <w:t>Consumer comments</w:t>
      </w:r>
    </w:p>
    <w:p w14:paraId="7374E305" w14:textId="341CE936" w:rsidR="000F5DC7" w:rsidRPr="000F5DC7" w:rsidRDefault="00145D51" w:rsidP="000F5DC7">
      <w:pPr>
        <w:pStyle w:val="3Bodytext"/>
        <w:rPr>
          <w:lang w:eastAsia="en-US"/>
        </w:rPr>
      </w:pPr>
      <w:r w:rsidRPr="00836F75">
        <w:rPr>
          <w:rFonts w:cs="Arial"/>
          <w:bCs/>
          <w:snapToGrid w:val="0"/>
        </w:rPr>
        <w:t>The PBAC noted that no consumer comments were received for this item</w:t>
      </w:r>
      <w:r w:rsidR="00943CBB">
        <w:rPr>
          <w:rFonts w:cs="Arial"/>
          <w:bCs/>
          <w:snapToGrid w:val="0"/>
        </w:rPr>
        <w:t>.</w:t>
      </w:r>
    </w:p>
    <w:p w14:paraId="32F3F175" w14:textId="7FD2697B" w:rsidR="007E2FB3" w:rsidRDefault="00C27C1C" w:rsidP="009D53FA">
      <w:pPr>
        <w:pStyle w:val="4-SubsectionHeading"/>
        <w:keepNext w:val="0"/>
        <w:rPr>
          <w:lang w:eastAsia="en-US"/>
        </w:rPr>
      </w:pPr>
      <w:r w:rsidRPr="003C2FB5">
        <w:rPr>
          <w:lang w:eastAsia="en-US"/>
        </w:rPr>
        <w:t>Clinical trials</w:t>
      </w:r>
    </w:p>
    <w:p w14:paraId="17A3EF88" w14:textId="45602BBF" w:rsidR="007E23EB" w:rsidRDefault="00C153D4" w:rsidP="009D53FA">
      <w:pPr>
        <w:pStyle w:val="3Bodytext"/>
        <w:jc w:val="both"/>
      </w:pPr>
      <w:r w:rsidRPr="009E2E8E">
        <w:t>The submission</w:t>
      </w:r>
      <w:r>
        <w:t xml:space="preserve"> </w:t>
      </w:r>
      <w:r w:rsidR="00974874">
        <w:t xml:space="preserve">included two trials to demonstrate </w:t>
      </w:r>
      <w:r>
        <w:t xml:space="preserve">the comparative efficacy and safety of Systane Hydration </w:t>
      </w:r>
      <w:r w:rsidR="0019697B">
        <w:t>(outlined in Table 1)</w:t>
      </w:r>
      <w:r w:rsidR="00EE2AE8">
        <w:t xml:space="preserve">. The Labetoulle et al </w:t>
      </w:r>
      <w:r w:rsidR="00437B12">
        <w:t xml:space="preserve">2018 study (herein referred to as the ‘Labetoulle study’) compared Systane Hydration with </w:t>
      </w:r>
      <w:r w:rsidR="002B3934">
        <w:t>hyaluronate sodium 0.15%</w:t>
      </w:r>
      <w:r>
        <w:t>, and</w:t>
      </w:r>
      <w:r w:rsidR="00437B12">
        <w:t xml:space="preserve"> the Robert, Pierre-Yves et al. 2016 study (herein referred to as the ‘Robert study’) compared</w:t>
      </w:r>
      <w:r>
        <w:t xml:space="preserve"> </w:t>
      </w:r>
      <w:r w:rsidR="00F83CA1">
        <w:t>hyaluronate sodium 0.18%</w:t>
      </w:r>
      <w:r>
        <w:t xml:space="preserve"> </w:t>
      </w:r>
      <w:r w:rsidR="00437B12">
        <w:t xml:space="preserve">with </w:t>
      </w:r>
      <w:r>
        <w:t>Cationorm.</w:t>
      </w:r>
      <w:r w:rsidR="00AF0E4A">
        <w:t xml:space="preserve"> The common reference arm between these studies was hyaluronate sodium.</w:t>
      </w:r>
    </w:p>
    <w:p w14:paraId="47B1A940" w14:textId="357ACED0" w:rsidR="00CC02EB" w:rsidRDefault="00CC02EB" w:rsidP="009D53FA">
      <w:pPr>
        <w:pStyle w:val="3Bodytext"/>
        <w:jc w:val="both"/>
      </w:pPr>
      <w:r>
        <w:t xml:space="preserve">The </w:t>
      </w:r>
      <w:r w:rsidR="0019697B">
        <w:t xml:space="preserve">proposed </w:t>
      </w:r>
      <w:r>
        <w:t>PBS population is patients with severe dry eye syndrome. As the</w:t>
      </w:r>
      <w:r w:rsidR="0019697B">
        <w:t xml:space="preserve"> PBS criteria does not specify clinical criteria for </w:t>
      </w:r>
      <w:r>
        <w:t xml:space="preserve">the severity of </w:t>
      </w:r>
      <w:r w:rsidR="0019697B">
        <w:t xml:space="preserve">‘severe’ </w:t>
      </w:r>
      <w:r>
        <w:t>dry eye</w:t>
      </w:r>
      <w:r w:rsidR="00CC7172">
        <w:t>,</w:t>
      </w:r>
      <w:r>
        <w:t xml:space="preserve"> patients </w:t>
      </w:r>
      <w:r w:rsidR="00CC7172">
        <w:t>in the t</w:t>
      </w:r>
      <w:r w:rsidR="00214DB4">
        <w:t>rials</w:t>
      </w:r>
      <w:r w:rsidR="00CC7172">
        <w:t xml:space="preserve"> </w:t>
      </w:r>
      <w:r>
        <w:t>were required to have symptoms of moderate to severe dry eye syndrome.</w:t>
      </w:r>
    </w:p>
    <w:p w14:paraId="0FB22BCE" w14:textId="498937B2" w:rsidR="00DF12AE" w:rsidRDefault="00DF12AE" w:rsidP="009D53FA">
      <w:pPr>
        <w:pStyle w:val="3Bodytext"/>
        <w:jc w:val="both"/>
      </w:pPr>
      <w:r w:rsidRPr="00CC7172">
        <w:rPr>
          <w:szCs w:val="24"/>
        </w:rPr>
        <w:t>The randomised con</w:t>
      </w:r>
      <w:r w:rsidRPr="009024ED">
        <w:rPr>
          <w:szCs w:val="24"/>
        </w:rPr>
        <w:t>trolled clinical trials that were used to determine the therapeutic conclusions employed a fixed dosing regimen whereby patients received one drop in each eye four time</w:t>
      </w:r>
      <w:r w:rsidR="00CC7172" w:rsidRPr="009024ED">
        <w:rPr>
          <w:szCs w:val="24"/>
        </w:rPr>
        <w:t>s</w:t>
      </w:r>
      <w:r w:rsidRPr="009024ED">
        <w:rPr>
          <w:szCs w:val="24"/>
        </w:rPr>
        <w:t xml:space="preserve"> </w:t>
      </w:r>
      <w:r w:rsidRPr="00CC7172">
        <w:t>daily</w:t>
      </w:r>
      <w:r w:rsidR="00CC7172" w:rsidRPr="00CC7172">
        <w:t>.</w:t>
      </w:r>
    </w:p>
    <w:p w14:paraId="28ADCA73" w14:textId="0C45CD85" w:rsidR="00C153D4" w:rsidRPr="007E23EB" w:rsidRDefault="00C153D4" w:rsidP="00032E57">
      <w:pPr>
        <w:pStyle w:val="TableFigureHeading"/>
      </w:pPr>
      <w:r w:rsidRPr="00974874">
        <w:t xml:space="preserve">Table 1: </w:t>
      </w:r>
      <w:r w:rsidRPr="00974874">
        <w:rPr>
          <w:rStyle w:val="CommentReference"/>
          <w:sz w:val="20"/>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and associated reports presented in the submission"/>
      </w:tblPr>
      <w:tblGrid>
        <w:gridCol w:w="2122"/>
        <w:gridCol w:w="4371"/>
        <w:gridCol w:w="2523"/>
      </w:tblGrid>
      <w:tr w:rsidR="00C153D4" w:rsidRPr="00B41614" w14:paraId="60B2D270" w14:textId="77777777" w:rsidTr="005F6344">
        <w:trPr>
          <w:cantSplit/>
          <w:tblHeader/>
        </w:trPr>
        <w:tc>
          <w:tcPr>
            <w:tcW w:w="1177" w:type="pct"/>
            <w:vAlign w:val="center"/>
          </w:tcPr>
          <w:p w14:paraId="69583165" w14:textId="77777777" w:rsidR="00C153D4" w:rsidRPr="00B41614" w:rsidRDefault="00C153D4" w:rsidP="005F6344">
            <w:pPr>
              <w:pStyle w:val="In-tableHeading"/>
              <w:jc w:val="center"/>
            </w:pPr>
            <w:r w:rsidRPr="00B41614">
              <w:t>Trial ID</w:t>
            </w:r>
          </w:p>
        </w:tc>
        <w:tc>
          <w:tcPr>
            <w:tcW w:w="2424" w:type="pct"/>
            <w:vAlign w:val="center"/>
          </w:tcPr>
          <w:p w14:paraId="776BD4B1" w14:textId="77777777" w:rsidR="00C153D4" w:rsidRPr="00B41614" w:rsidRDefault="00C153D4" w:rsidP="005F6344">
            <w:pPr>
              <w:pStyle w:val="In-tableHeading"/>
            </w:pPr>
            <w:r w:rsidRPr="00B41614">
              <w:t>Protocol title/ Publication title</w:t>
            </w:r>
          </w:p>
        </w:tc>
        <w:tc>
          <w:tcPr>
            <w:tcW w:w="1399" w:type="pct"/>
            <w:vAlign w:val="center"/>
          </w:tcPr>
          <w:p w14:paraId="7ECB84CE" w14:textId="77777777" w:rsidR="00C153D4" w:rsidRPr="00B41614" w:rsidRDefault="00C153D4" w:rsidP="005F6344">
            <w:pPr>
              <w:pStyle w:val="In-tableHeading"/>
            </w:pPr>
            <w:r w:rsidRPr="00B41614">
              <w:t>Publication citation</w:t>
            </w:r>
          </w:p>
        </w:tc>
      </w:tr>
      <w:tr w:rsidR="00C153D4" w:rsidRPr="00CB38A8" w14:paraId="3C9F3C46" w14:textId="77777777" w:rsidTr="005F6344">
        <w:trPr>
          <w:cantSplit/>
        </w:trPr>
        <w:tc>
          <w:tcPr>
            <w:tcW w:w="1177" w:type="pct"/>
            <w:tcBorders>
              <w:top w:val="single" w:sz="4" w:space="0" w:color="auto"/>
              <w:bottom w:val="single" w:sz="4" w:space="0" w:color="auto"/>
            </w:tcBorders>
            <w:vAlign w:val="center"/>
          </w:tcPr>
          <w:p w14:paraId="473FF96A" w14:textId="77777777" w:rsidR="00C153D4" w:rsidRPr="005F6344" w:rsidRDefault="00C153D4" w:rsidP="005F6344">
            <w:pPr>
              <w:pStyle w:val="TableText0"/>
              <w:jc w:val="center"/>
              <w:rPr>
                <w:b/>
                <w:bCs w:val="0"/>
              </w:rPr>
            </w:pPr>
            <w:r w:rsidRPr="005F6344">
              <w:rPr>
                <w:b/>
                <w:bCs w:val="0"/>
              </w:rPr>
              <w:t>NCT02470429</w:t>
            </w:r>
            <w:r>
              <w:rPr>
                <w:b/>
                <w:bCs w:val="0"/>
              </w:rPr>
              <w:t xml:space="preserve">/ Labetoulle (2018) </w:t>
            </w:r>
          </w:p>
        </w:tc>
        <w:tc>
          <w:tcPr>
            <w:tcW w:w="2424" w:type="pct"/>
            <w:tcBorders>
              <w:top w:val="single" w:sz="4" w:space="0" w:color="auto"/>
              <w:bottom w:val="single" w:sz="4" w:space="0" w:color="auto"/>
            </w:tcBorders>
            <w:vAlign w:val="center"/>
          </w:tcPr>
          <w:p w14:paraId="2BAD1311" w14:textId="6A1BA60C" w:rsidR="00C153D4" w:rsidRPr="00E34A35" w:rsidRDefault="00C153D4" w:rsidP="005F6344">
            <w:pPr>
              <w:pStyle w:val="TableText0"/>
            </w:pPr>
            <w:r>
              <w:t xml:space="preserve">Labetoulle et al - </w:t>
            </w:r>
            <w:r w:rsidRPr="005F6344">
              <w:rPr>
                <w:i/>
                <w:iCs/>
              </w:rPr>
              <w:t>Efficacy and safety of dual polymer hydroxypropyl guar- and hyaluronic acid- containing lubricant eyedrops for the management of dry eye disease: a randomised double masked clinical study</w:t>
            </w:r>
            <w:r>
              <w:t>.</w:t>
            </w:r>
          </w:p>
        </w:tc>
        <w:tc>
          <w:tcPr>
            <w:tcW w:w="1399" w:type="pct"/>
            <w:tcBorders>
              <w:top w:val="single" w:sz="4" w:space="0" w:color="auto"/>
              <w:bottom w:val="single" w:sz="4" w:space="0" w:color="auto"/>
            </w:tcBorders>
            <w:vAlign w:val="center"/>
          </w:tcPr>
          <w:p w14:paraId="29C13530" w14:textId="4625A1AC" w:rsidR="00C153D4" w:rsidRPr="005F6344" w:rsidRDefault="00C153D4" w:rsidP="005F6344">
            <w:pPr>
              <w:pStyle w:val="TableText0"/>
              <w:rPr>
                <w:iCs/>
              </w:rPr>
            </w:pPr>
            <w:r w:rsidRPr="005F6344">
              <w:rPr>
                <w:iCs/>
              </w:rPr>
              <w:t>5 December 2018</w:t>
            </w:r>
          </w:p>
          <w:p w14:paraId="74224D3F" w14:textId="77777777" w:rsidR="00C153D4" w:rsidRPr="005F6344" w:rsidRDefault="00C153D4" w:rsidP="005F6344">
            <w:pPr>
              <w:pStyle w:val="TableText0"/>
              <w:rPr>
                <w:iCs/>
              </w:rPr>
            </w:pPr>
          </w:p>
          <w:p w14:paraId="62FA6FC8" w14:textId="77777777" w:rsidR="00C153D4" w:rsidRPr="00E34A35" w:rsidRDefault="00C153D4" w:rsidP="005F6344">
            <w:pPr>
              <w:pStyle w:val="TableText0"/>
            </w:pPr>
            <w:r w:rsidRPr="005F6344">
              <w:rPr>
                <w:iCs/>
              </w:rPr>
              <w:t>Clin Ophthamol</w:t>
            </w:r>
            <w:r w:rsidRPr="00DB015C">
              <w:rPr>
                <w:iCs/>
              </w:rPr>
              <w:t xml:space="preserve"> </w:t>
            </w:r>
            <w:r w:rsidRPr="00020070">
              <w:rPr>
                <w:iCs/>
              </w:rPr>
              <w:t>2018</w:t>
            </w:r>
            <w:r w:rsidRPr="005F6344">
              <w:rPr>
                <w:iCs/>
              </w:rPr>
              <w:t>; Vol(12.): 2499-2508</w:t>
            </w:r>
          </w:p>
        </w:tc>
      </w:tr>
      <w:tr w:rsidR="00C153D4" w:rsidRPr="00CB38A8" w14:paraId="10FC6324" w14:textId="77777777" w:rsidTr="005F6344">
        <w:trPr>
          <w:cantSplit/>
        </w:trPr>
        <w:tc>
          <w:tcPr>
            <w:tcW w:w="1177" w:type="pct"/>
            <w:tcBorders>
              <w:top w:val="single" w:sz="4" w:space="0" w:color="auto"/>
              <w:bottom w:val="single" w:sz="4" w:space="0" w:color="auto"/>
            </w:tcBorders>
            <w:vAlign w:val="center"/>
          </w:tcPr>
          <w:p w14:paraId="43D8237E" w14:textId="77777777" w:rsidR="00C153D4" w:rsidRPr="005F6344" w:rsidRDefault="00C153D4" w:rsidP="005F6344">
            <w:pPr>
              <w:pStyle w:val="TableText0"/>
              <w:jc w:val="center"/>
              <w:rPr>
                <w:b/>
              </w:rPr>
            </w:pPr>
            <w:r w:rsidRPr="00DB015C">
              <w:rPr>
                <w:b/>
              </w:rPr>
              <w:t>NVG11F1</w:t>
            </w:r>
            <w:r w:rsidRPr="00447951">
              <w:rPr>
                <w:b/>
              </w:rPr>
              <w:t>20</w:t>
            </w:r>
            <w:r w:rsidRPr="00020070">
              <w:rPr>
                <w:b/>
              </w:rPr>
              <w:t xml:space="preserve">/ </w:t>
            </w:r>
            <w:r w:rsidRPr="00473BC7">
              <w:rPr>
                <w:b/>
              </w:rPr>
              <w:t>Robert (2016)</w:t>
            </w:r>
          </w:p>
        </w:tc>
        <w:tc>
          <w:tcPr>
            <w:tcW w:w="2424" w:type="pct"/>
            <w:tcBorders>
              <w:top w:val="single" w:sz="4" w:space="0" w:color="auto"/>
              <w:bottom w:val="single" w:sz="4" w:space="0" w:color="auto"/>
            </w:tcBorders>
            <w:vAlign w:val="center"/>
          </w:tcPr>
          <w:p w14:paraId="20E06CB9" w14:textId="33D765F4" w:rsidR="00C153D4" w:rsidRPr="00DB015C" w:rsidDel="00FD450D" w:rsidRDefault="00C153D4" w:rsidP="005F6344">
            <w:pPr>
              <w:pStyle w:val="TableText0"/>
              <w:rPr>
                <w:bCs w:val="0"/>
              </w:rPr>
            </w:pPr>
            <w:r w:rsidRPr="005F6344">
              <w:rPr>
                <w:bCs w:val="0"/>
              </w:rPr>
              <w:t xml:space="preserve">Robert, Pierre-Yves et al. </w:t>
            </w:r>
            <w:r w:rsidRPr="005F6344">
              <w:rPr>
                <w:bCs w:val="0"/>
                <w:i/>
                <w:iCs/>
              </w:rPr>
              <w:t>Efficacy and safety of a cationic emulsion in the treatment of moderate to severe dry eye disease: a randomized controlled study</w:t>
            </w:r>
            <w:r w:rsidRPr="005F6344">
              <w:rPr>
                <w:bCs w:val="0"/>
              </w:rPr>
              <w:t>.</w:t>
            </w:r>
          </w:p>
        </w:tc>
        <w:tc>
          <w:tcPr>
            <w:tcW w:w="1399" w:type="pct"/>
            <w:tcBorders>
              <w:top w:val="single" w:sz="4" w:space="0" w:color="auto"/>
              <w:bottom w:val="single" w:sz="4" w:space="0" w:color="auto"/>
            </w:tcBorders>
            <w:vAlign w:val="center"/>
          </w:tcPr>
          <w:p w14:paraId="5CB7C48E" w14:textId="77777777" w:rsidR="00C153D4" w:rsidRPr="00DB015C" w:rsidRDefault="00C153D4" w:rsidP="005F6344">
            <w:pPr>
              <w:pStyle w:val="TableText0"/>
              <w:rPr>
                <w:bCs w:val="0"/>
                <w:i/>
              </w:rPr>
            </w:pPr>
            <w:r w:rsidRPr="005F6344">
              <w:rPr>
                <w:bCs w:val="0"/>
              </w:rPr>
              <w:t xml:space="preserve">European Journal of Opthalmology 2016; 26(6): 546 – 555 </w:t>
            </w:r>
          </w:p>
        </w:tc>
      </w:tr>
    </w:tbl>
    <w:p w14:paraId="3ACDF874" w14:textId="5CF593D8" w:rsidR="00C153D4" w:rsidRDefault="00974874" w:rsidP="00032E57">
      <w:pPr>
        <w:pStyle w:val="TableFigureFooter"/>
      </w:pPr>
      <w:r>
        <w:t xml:space="preserve">Source: </w:t>
      </w:r>
      <w:r w:rsidR="00396A25">
        <w:t>Table ES-</w:t>
      </w:r>
      <w:r w:rsidR="00E92BD9">
        <w:t>6</w:t>
      </w:r>
      <w:r>
        <w:t xml:space="preserve"> </w:t>
      </w:r>
      <w:r w:rsidRPr="00D13A3E">
        <w:t xml:space="preserve">of the </w:t>
      </w:r>
      <w:r>
        <w:t>submission.</w:t>
      </w:r>
    </w:p>
    <w:p w14:paraId="53B0BDBF" w14:textId="7A9C878C" w:rsidR="00C153D4" w:rsidRDefault="00D141B6" w:rsidP="009D53FA">
      <w:pPr>
        <w:pStyle w:val="3Bodytext"/>
        <w:jc w:val="both"/>
      </w:pPr>
      <w:r>
        <w:t>T</w:t>
      </w:r>
      <w:r w:rsidR="00C153D4">
        <w:t>he Labetoulle study</w:t>
      </w:r>
      <w:r>
        <w:t xml:space="preserve"> used</w:t>
      </w:r>
      <w:r w:rsidR="00C153D4">
        <w:t xml:space="preserve"> Systane Hydration preservative containing (PC) eye drops</w:t>
      </w:r>
      <w:r w:rsidR="00AB60CB">
        <w:t xml:space="preserve"> (herein referred to as Systane Hydration PC)</w:t>
      </w:r>
      <w:r w:rsidR="00C153D4">
        <w:t xml:space="preserve"> as a proxy rather than the proposed medicine of Systane Hydration MDPF due to the absence of randomised controlled evidence for the proposed medicine.</w:t>
      </w:r>
      <w:r w:rsidR="00F4340E">
        <w:t xml:space="preserve"> </w:t>
      </w:r>
      <w:r w:rsidR="00206C44">
        <w:t xml:space="preserve">The PBAC has previously stated that </w:t>
      </w:r>
      <w:r w:rsidR="00FA1DB1">
        <w:t xml:space="preserve">preservative free (PF) </w:t>
      </w:r>
      <w:r w:rsidR="00206C44">
        <w:t>eye drops are ‘likely to have superior safety, although there is no evidence of improvement in efficacy’</w:t>
      </w:r>
      <w:r w:rsidR="00ED2A4D">
        <w:t xml:space="preserve"> </w:t>
      </w:r>
      <w:r w:rsidR="00032E57">
        <w:t>(</w:t>
      </w:r>
      <w:r w:rsidR="009E0F8A">
        <w:t xml:space="preserve">paragraph 6.2, </w:t>
      </w:r>
      <w:r w:rsidR="00032E57">
        <w:t>Evolve Carmellose 0.5% PSD</w:t>
      </w:r>
      <w:r w:rsidR="009E0F8A">
        <w:t>,</w:t>
      </w:r>
      <w:r w:rsidR="00032E57">
        <w:t xml:space="preserve"> July 2019</w:t>
      </w:r>
      <w:r w:rsidR="009E0F8A">
        <w:t xml:space="preserve"> PBAC Meeting</w:t>
      </w:r>
      <w:r w:rsidR="00032E57">
        <w:t xml:space="preserve">) </w:t>
      </w:r>
      <w:r w:rsidR="00206C44">
        <w:t>compared to PC eye drops. T</w:t>
      </w:r>
      <w:r w:rsidR="00B629A1">
        <w:t>he submission t</w:t>
      </w:r>
      <w:r w:rsidR="00206C44">
        <w:t>herefore</w:t>
      </w:r>
      <w:r w:rsidR="00B629A1">
        <w:t xml:space="preserve"> claimed that</w:t>
      </w:r>
      <w:r w:rsidR="00206C44">
        <w:t xml:space="preserve"> Systane Hydration MDPF eye drops are expected to have the same efficacy, but superior safety compared to Systane Hydration PC eye drops.</w:t>
      </w:r>
      <w:r w:rsidR="00F4340E">
        <w:t xml:space="preserve"> </w:t>
      </w:r>
    </w:p>
    <w:p w14:paraId="54FA13CA" w14:textId="2B77A467" w:rsidR="00C153D4" w:rsidRPr="007E23EB" w:rsidRDefault="006F4F26" w:rsidP="009D53FA">
      <w:pPr>
        <w:pStyle w:val="3Bodytext"/>
        <w:jc w:val="both"/>
        <w:rPr>
          <w:color w:val="FF0000"/>
        </w:rPr>
      </w:pPr>
      <w:r>
        <w:t xml:space="preserve">The </w:t>
      </w:r>
      <w:r w:rsidR="00C1016A">
        <w:t xml:space="preserve">Labetoulle </w:t>
      </w:r>
      <w:r>
        <w:t>study used 0.15% hyaluronate sodium PF</w:t>
      </w:r>
      <w:r w:rsidR="00782E48">
        <w:t xml:space="preserve"> eye drops</w:t>
      </w:r>
      <w:r>
        <w:t xml:space="preserve"> (Hyabak</w:t>
      </w:r>
      <w:r w:rsidR="003A0401">
        <w:t>®</w:t>
      </w:r>
      <w:r>
        <w:t xml:space="preserve"> 0.15%) </w:t>
      </w:r>
      <w:r w:rsidR="00551E04">
        <w:t xml:space="preserve">as a proxy for the efficacy of the PBS listed </w:t>
      </w:r>
      <w:r w:rsidR="00C1016A">
        <w:t xml:space="preserve">formulations of hyaluronate sodium MDPF </w:t>
      </w:r>
      <w:r w:rsidR="00C1016A">
        <w:lastRenderedPageBreak/>
        <w:t>eye drops</w:t>
      </w:r>
      <w:r w:rsidR="001D0B14">
        <w:t xml:space="preserve"> (e.g. Hylo-Fresh/Forte)</w:t>
      </w:r>
      <w:r w:rsidR="00C1016A">
        <w:t>.</w:t>
      </w:r>
      <w:r w:rsidR="00206C44">
        <w:t xml:space="preserve"> While Hyabak 0.15% is not PBS listed</w:t>
      </w:r>
      <w:r w:rsidR="003A0401">
        <w:t>,</w:t>
      </w:r>
      <w:r w:rsidR="00C1016A">
        <w:t xml:space="preserve"> </w:t>
      </w:r>
      <w:r w:rsidR="00206C44">
        <w:t>t</w:t>
      </w:r>
      <w:r w:rsidR="00C1016A">
        <w:t>he PBAC has previously accepted th</w:t>
      </w:r>
      <w:r w:rsidR="000B31C4">
        <w:t>e</w:t>
      </w:r>
      <w:r w:rsidR="00C1016A">
        <w:t xml:space="preserve"> approach of using non-PBS listed PF</w:t>
      </w:r>
      <w:r w:rsidR="003A0401">
        <w:t xml:space="preserve"> eye drops</w:t>
      </w:r>
      <w:r w:rsidR="00C1016A">
        <w:t xml:space="preserve"> as a proxy </w:t>
      </w:r>
      <w:r w:rsidR="003A0401">
        <w:t>f</w:t>
      </w:r>
      <w:r w:rsidR="00C1016A">
        <w:t>or PBS-listed PF eye drops</w:t>
      </w:r>
      <w:r w:rsidR="006B133A">
        <w:t xml:space="preserve"> (</w:t>
      </w:r>
      <w:r w:rsidR="006B133A">
        <w:rPr>
          <w:rFonts w:cstheme="minorHAnsi"/>
          <w:iCs/>
          <w:snapToGrid w:val="0"/>
          <w:lang w:eastAsia="en-US"/>
        </w:rPr>
        <w:t>paragraph 5.6, Cationorm</w:t>
      </w:r>
      <w:r w:rsidR="006B133A" w:rsidRPr="009466E3">
        <w:rPr>
          <w:rFonts w:cstheme="minorHAnsi"/>
          <w:iCs/>
          <w:snapToGrid w:val="0"/>
          <w:lang w:eastAsia="en-US"/>
        </w:rPr>
        <w:t xml:space="preserve"> PSD</w:t>
      </w:r>
      <w:r w:rsidR="006B133A">
        <w:rPr>
          <w:rFonts w:cstheme="minorHAnsi"/>
          <w:iCs/>
          <w:snapToGrid w:val="0"/>
          <w:lang w:eastAsia="en-US"/>
        </w:rPr>
        <w:t>,</w:t>
      </w:r>
      <w:r w:rsidR="006B133A" w:rsidRPr="009466E3">
        <w:rPr>
          <w:rFonts w:cstheme="minorHAnsi"/>
          <w:iCs/>
          <w:snapToGrid w:val="0"/>
          <w:lang w:eastAsia="en-US"/>
        </w:rPr>
        <w:t xml:space="preserve"> July 2020</w:t>
      </w:r>
      <w:r w:rsidR="006B133A">
        <w:rPr>
          <w:rFonts w:cstheme="minorHAnsi"/>
          <w:iCs/>
          <w:snapToGrid w:val="0"/>
          <w:lang w:eastAsia="en-US"/>
        </w:rPr>
        <w:t xml:space="preserve"> PBAC Meeting</w:t>
      </w:r>
      <w:r w:rsidR="006B133A" w:rsidRPr="009466E3">
        <w:rPr>
          <w:rFonts w:cstheme="minorHAnsi"/>
          <w:iCs/>
          <w:snapToGrid w:val="0"/>
          <w:lang w:eastAsia="en-US"/>
        </w:rPr>
        <w:t>)</w:t>
      </w:r>
      <w:r w:rsidR="00206C44">
        <w:t>.</w:t>
      </w:r>
    </w:p>
    <w:p w14:paraId="43429B06" w14:textId="7FDF523D" w:rsidR="00BB298A" w:rsidRPr="00DC05E1" w:rsidRDefault="00BB298A" w:rsidP="009D53FA">
      <w:pPr>
        <w:pStyle w:val="3Bodytext"/>
        <w:jc w:val="both"/>
      </w:pPr>
      <w:r w:rsidRPr="00DC05E1">
        <w:rPr>
          <w:lang w:eastAsia="en-US"/>
        </w:rPr>
        <w:t xml:space="preserve">As </w:t>
      </w:r>
      <w:r w:rsidRPr="003678C1">
        <w:rPr>
          <w:lang w:eastAsia="en-US"/>
        </w:rPr>
        <w:t xml:space="preserve">a </w:t>
      </w:r>
      <w:r w:rsidRPr="007E23EB">
        <w:rPr>
          <w:lang w:eastAsia="en-US"/>
        </w:rPr>
        <w:t xml:space="preserve">Category </w:t>
      </w:r>
      <w:r w:rsidR="008D13A1" w:rsidRPr="007E23EB">
        <w:rPr>
          <w:lang w:eastAsia="en-US"/>
        </w:rPr>
        <w:t>3</w:t>
      </w:r>
      <w:r w:rsidRPr="003678C1">
        <w:rPr>
          <w:lang w:eastAsia="en-US"/>
        </w:rPr>
        <w:t xml:space="preserve"> submission</w:t>
      </w:r>
      <w:r w:rsidRPr="00DC05E1">
        <w:rPr>
          <w:lang w:eastAsia="en-US"/>
        </w:rPr>
        <w:t>, no evaluation of the clinical evidence was undertaken</w:t>
      </w:r>
      <w:r w:rsidRPr="00DC05E1">
        <w:t>.</w:t>
      </w:r>
    </w:p>
    <w:p w14:paraId="402A7776" w14:textId="1B74DB74" w:rsidR="00C27C1C" w:rsidRDefault="00C27C1C" w:rsidP="009D53FA">
      <w:pPr>
        <w:pStyle w:val="4-SubsectionHeading"/>
        <w:rPr>
          <w:lang w:eastAsia="en-US"/>
        </w:rPr>
      </w:pPr>
      <w:r>
        <w:rPr>
          <w:lang w:eastAsia="en-US"/>
        </w:rPr>
        <w:t xml:space="preserve">Comparative </w:t>
      </w:r>
      <w:r w:rsidRPr="000214D1">
        <w:rPr>
          <w:lang w:eastAsia="en-US"/>
        </w:rPr>
        <w:t>effectiveness</w:t>
      </w:r>
    </w:p>
    <w:p w14:paraId="4B4432E0" w14:textId="773CE9E6" w:rsidR="00254DDD" w:rsidRDefault="000B31C4" w:rsidP="009D53FA">
      <w:pPr>
        <w:pStyle w:val="3Bodytext"/>
        <w:jc w:val="both"/>
        <w:rPr>
          <w:lang w:eastAsia="en-US"/>
        </w:rPr>
      </w:pPr>
      <w:r>
        <w:rPr>
          <w:lang w:eastAsia="en-US"/>
        </w:rPr>
        <w:t>The clinical claim for efficacy was based on the primary outcome of the mean change from baseline to day 42</w:t>
      </w:r>
      <w:r w:rsidR="00633D59">
        <w:rPr>
          <w:lang w:eastAsia="en-US"/>
        </w:rPr>
        <w:t xml:space="preserve"> </w:t>
      </w:r>
      <w:r w:rsidR="004A4CCD">
        <w:rPr>
          <w:lang w:eastAsia="en-US"/>
        </w:rPr>
        <w:t>f</w:t>
      </w:r>
      <w:r w:rsidR="00633D59">
        <w:rPr>
          <w:lang w:eastAsia="en-US"/>
        </w:rPr>
        <w:t>or Systane Hydration vs Hyabak 0.15%</w:t>
      </w:r>
      <w:r w:rsidR="004A4CCD">
        <w:rPr>
          <w:lang w:eastAsia="en-US"/>
        </w:rPr>
        <w:t xml:space="preserve"> </w:t>
      </w:r>
      <w:r>
        <w:rPr>
          <w:lang w:eastAsia="en-US"/>
        </w:rPr>
        <w:t>in the ocular surface score (OSS).</w:t>
      </w:r>
    </w:p>
    <w:p w14:paraId="23113E9B" w14:textId="0EF3440C" w:rsidR="00633D59" w:rsidRDefault="00633D59" w:rsidP="009D53FA">
      <w:pPr>
        <w:pStyle w:val="3Bodytext"/>
        <w:jc w:val="both"/>
        <w:rPr>
          <w:lang w:eastAsia="en-US"/>
        </w:rPr>
      </w:pPr>
      <w:r>
        <w:rPr>
          <w:lang w:eastAsia="en-US"/>
        </w:rPr>
        <w:t xml:space="preserve">The clinical claim for </w:t>
      </w:r>
      <w:r w:rsidR="00CC02EB">
        <w:rPr>
          <w:lang w:eastAsia="en-US"/>
        </w:rPr>
        <w:t>efficacy</w:t>
      </w:r>
      <w:r>
        <w:rPr>
          <w:lang w:eastAsia="en-US"/>
        </w:rPr>
        <w:t xml:space="preserve"> for Systane Hydration MDPF eye drops </w:t>
      </w:r>
      <w:r w:rsidR="00CC02EB">
        <w:rPr>
          <w:lang w:eastAsia="en-US"/>
        </w:rPr>
        <w:t>was based on an indirect comparison of two randomised control trials (</w:t>
      </w:r>
      <w:r w:rsidR="00861BDE">
        <w:rPr>
          <w:lang w:eastAsia="en-US"/>
        </w:rPr>
        <w:t xml:space="preserve">the </w:t>
      </w:r>
      <w:r w:rsidR="00CC02EB">
        <w:rPr>
          <w:lang w:eastAsia="en-US"/>
        </w:rPr>
        <w:t xml:space="preserve">Labetoulle </w:t>
      </w:r>
      <w:r w:rsidR="00D817FD">
        <w:rPr>
          <w:lang w:eastAsia="en-US"/>
        </w:rPr>
        <w:t>study</w:t>
      </w:r>
      <w:r w:rsidR="00861BDE">
        <w:rPr>
          <w:lang w:eastAsia="en-US"/>
        </w:rPr>
        <w:t xml:space="preserve"> and the Robert study) wh</w:t>
      </w:r>
      <w:r w:rsidR="00AF0E4A">
        <w:rPr>
          <w:lang w:eastAsia="en-US"/>
        </w:rPr>
        <w:t xml:space="preserve">ere </w:t>
      </w:r>
      <w:r w:rsidR="00CC02EB">
        <w:rPr>
          <w:lang w:eastAsia="en-US"/>
        </w:rPr>
        <w:t xml:space="preserve">hyaluronate sodium PF eye drops </w:t>
      </w:r>
      <w:r w:rsidR="00AF0E4A">
        <w:rPr>
          <w:lang w:eastAsia="en-US"/>
        </w:rPr>
        <w:t>w</w:t>
      </w:r>
      <w:r w:rsidR="00CC02EB">
        <w:rPr>
          <w:lang w:eastAsia="en-US"/>
        </w:rPr>
        <w:t>as the common reference arm</w:t>
      </w:r>
      <w:r w:rsidR="00AF0E4A">
        <w:rPr>
          <w:lang w:eastAsia="en-US"/>
        </w:rPr>
        <w:t>,</w:t>
      </w:r>
      <w:r w:rsidR="001D0B14">
        <w:rPr>
          <w:lang w:eastAsia="en-US"/>
        </w:rPr>
        <w:t xml:space="preserve"> to demonstrate </w:t>
      </w:r>
      <w:r w:rsidR="00AF0E4A">
        <w:rPr>
          <w:lang w:eastAsia="en-US"/>
        </w:rPr>
        <w:t xml:space="preserve">the </w:t>
      </w:r>
      <w:r w:rsidR="0010113B">
        <w:rPr>
          <w:lang w:eastAsia="en-US"/>
        </w:rPr>
        <w:t>efficacy between Systane Hydration MDPF and Cationorm</w:t>
      </w:r>
      <w:r w:rsidR="00CC02EB">
        <w:rPr>
          <w:lang w:eastAsia="en-US"/>
        </w:rPr>
        <w:t xml:space="preserve">. </w:t>
      </w:r>
      <w:r w:rsidR="0093575C">
        <w:rPr>
          <w:lang w:eastAsia="en-US"/>
        </w:rPr>
        <w:t>Both trials reported the mean change from baseline in the OSS scores as the primary outcome.</w:t>
      </w:r>
    </w:p>
    <w:p w14:paraId="7DFEDA16" w14:textId="4779C518" w:rsidR="0093575C" w:rsidRDefault="0010113B" w:rsidP="009D53FA">
      <w:pPr>
        <w:pStyle w:val="3Bodytext"/>
        <w:jc w:val="both"/>
        <w:rPr>
          <w:lang w:eastAsia="en-US"/>
        </w:rPr>
      </w:pPr>
      <w:r>
        <w:rPr>
          <w:lang w:eastAsia="en-US"/>
        </w:rPr>
        <w:t>The treatment duration was shorter in the Labetoulle study compared to the Robert study</w:t>
      </w:r>
      <w:r w:rsidR="00BF1362">
        <w:rPr>
          <w:lang w:eastAsia="en-US"/>
        </w:rPr>
        <w:t>, however, t</w:t>
      </w:r>
      <w:r w:rsidR="00D20745">
        <w:rPr>
          <w:lang w:eastAsia="en-US"/>
        </w:rPr>
        <w:t xml:space="preserve">he </w:t>
      </w:r>
      <w:r w:rsidR="0093575C">
        <w:rPr>
          <w:lang w:eastAsia="en-US"/>
        </w:rPr>
        <w:t>Labetoulle</w:t>
      </w:r>
      <w:r w:rsidR="00D20745">
        <w:rPr>
          <w:lang w:eastAsia="en-US"/>
        </w:rPr>
        <w:t xml:space="preserve"> study</w:t>
      </w:r>
      <w:r w:rsidR="0093575C">
        <w:rPr>
          <w:lang w:eastAsia="en-US"/>
        </w:rPr>
        <w:t xml:space="preserve"> assessed the outcome at day 42 in the </w:t>
      </w:r>
      <w:r w:rsidR="00DF53E1">
        <w:rPr>
          <w:lang w:eastAsia="en-US"/>
        </w:rPr>
        <w:t>I</w:t>
      </w:r>
      <w:r w:rsidR="0093575C">
        <w:rPr>
          <w:lang w:eastAsia="en-US"/>
        </w:rPr>
        <w:t>n</w:t>
      </w:r>
      <w:r w:rsidR="009F5B81">
        <w:rPr>
          <w:lang w:eastAsia="en-US"/>
        </w:rPr>
        <w:t>t</w:t>
      </w:r>
      <w:r w:rsidR="0093575C">
        <w:rPr>
          <w:lang w:eastAsia="en-US"/>
        </w:rPr>
        <w:t>ention</w:t>
      </w:r>
      <w:r w:rsidR="001E52FC">
        <w:rPr>
          <w:lang w:eastAsia="en-US"/>
        </w:rPr>
        <w:noBreakHyphen/>
      </w:r>
      <w:r w:rsidR="0093575C">
        <w:rPr>
          <w:lang w:eastAsia="en-US"/>
        </w:rPr>
        <w:t>to</w:t>
      </w:r>
      <w:r w:rsidR="00BF1362">
        <w:rPr>
          <w:lang w:eastAsia="en-US"/>
        </w:rPr>
        <w:t>-</w:t>
      </w:r>
      <w:r w:rsidR="0093575C">
        <w:rPr>
          <w:lang w:eastAsia="en-US"/>
        </w:rPr>
        <w:t>treat (ITT) population</w:t>
      </w:r>
      <w:r w:rsidR="00AB335B">
        <w:rPr>
          <w:lang w:eastAsia="en-US"/>
        </w:rPr>
        <w:t xml:space="preserve">, </w:t>
      </w:r>
      <w:r>
        <w:rPr>
          <w:lang w:eastAsia="en-US"/>
        </w:rPr>
        <w:t>whereas the</w:t>
      </w:r>
      <w:r w:rsidR="00AB335B">
        <w:rPr>
          <w:lang w:eastAsia="en-US"/>
        </w:rPr>
        <w:t xml:space="preserve"> Robert </w:t>
      </w:r>
      <w:r>
        <w:rPr>
          <w:lang w:eastAsia="en-US"/>
        </w:rPr>
        <w:t>study</w:t>
      </w:r>
      <w:r w:rsidR="00AB335B">
        <w:rPr>
          <w:lang w:eastAsia="en-US"/>
        </w:rPr>
        <w:t xml:space="preserve"> assessed at Day 2</w:t>
      </w:r>
      <w:r w:rsidR="00FC3682">
        <w:rPr>
          <w:lang w:eastAsia="en-US"/>
        </w:rPr>
        <w:t>8</w:t>
      </w:r>
      <w:r w:rsidR="00AB335B">
        <w:rPr>
          <w:lang w:eastAsia="en-US"/>
        </w:rPr>
        <w:t xml:space="preserve"> in the Full </w:t>
      </w:r>
      <w:r w:rsidR="00BF1362">
        <w:rPr>
          <w:lang w:eastAsia="en-US"/>
        </w:rPr>
        <w:t>A</w:t>
      </w:r>
      <w:r w:rsidR="00AB335B">
        <w:rPr>
          <w:lang w:eastAsia="en-US"/>
        </w:rPr>
        <w:t>nalysis Set (FAS) despite the total treatment duration being 84 days.</w:t>
      </w:r>
    </w:p>
    <w:p w14:paraId="7B2C7FE6" w14:textId="2CB8256B" w:rsidR="00633D59" w:rsidRDefault="000B31C4" w:rsidP="009D53FA">
      <w:pPr>
        <w:pStyle w:val="3Bodytext"/>
        <w:jc w:val="both"/>
        <w:rPr>
          <w:lang w:eastAsia="en-US"/>
        </w:rPr>
      </w:pPr>
      <w:r>
        <w:rPr>
          <w:lang w:eastAsia="en-US"/>
        </w:rPr>
        <w:t>Both trials applied a non-inferiority margin of 2 to the upper limit of the 95% confidence interval for the least square mean (LSM) treatment difference.</w:t>
      </w:r>
    </w:p>
    <w:p w14:paraId="01F448BA" w14:textId="0F50923C" w:rsidR="00045AEE" w:rsidRDefault="00101ABF" w:rsidP="009D53FA">
      <w:pPr>
        <w:pStyle w:val="3Bodytext"/>
        <w:jc w:val="both"/>
        <w:rPr>
          <w:szCs w:val="24"/>
          <w:lang w:eastAsia="en-US"/>
        </w:rPr>
      </w:pPr>
      <w:r>
        <w:rPr>
          <w:lang w:eastAsia="en-US"/>
        </w:rPr>
        <w:t xml:space="preserve">The submission stated the ITT population was used to assess efficacy outcomes in the Labetoulle </w:t>
      </w:r>
      <w:r w:rsidR="00BF1362">
        <w:rPr>
          <w:lang w:eastAsia="en-US"/>
        </w:rPr>
        <w:t>study</w:t>
      </w:r>
      <w:r>
        <w:rPr>
          <w:lang w:eastAsia="en-US"/>
        </w:rPr>
        <w:t xml:space="preserve"> which consisted of randomised patients. In </w:t>
      </w:r>
      <w:r w:rsidR="00BF1362">
        <w:rPr>
          <w:lang w:eastAsia="en-US"/>
        </w:rPr>
        <w:t xml:space="preserve">the </w:t>
      </w:r>
      <w:r>
        <w:rPr>
          <w:lang w:eastAsia="en-US"/>
        </w:rPr>
        <w:t xml:space="preserve">Robert </w:t>
      </w:r>
      <w:r w:rsidR="00BF1362">
        <w:rPr>
          <w:lang w:eastAsia="en-US"/>
        </w:rPr>
        <w:t>study</w:t>
      </w:r>
      <w:r>
        <w:rPr>
          <w:lang w:eastAsia="en-US"/>
        </w:rPr>
        <w:t xml:space="preserve"> the primary outcome was assessed in both the FAS (randomised patients)</w:t>
      </w:r>
      <w:r w:rsidR="00BF1362">
        <w:rPr>
          <w:lang w:eastAsia="en-US"/>
        </w:rPr>
        <w:t xml:space="preserve"> </w:t>
      </w:r>
      <w:r>
        <w:rPr>
          <w:lang w:eastAsia="en-US"/>
        </w:rPr>
        <w:t xml:space="preserve">and the </w:t>
      </w:r>
      <w:r w:rsidR="005B0F60">
        <w:rPr>
          <w:lang w:eastAsia="en-US"/>
        </w:rPr>
        <w:t>per protocol (</w:t>
      </w:r>
      <w:r>
        <w:rPr>
          <w:lang w:eastAsia="en-US"/>
        </w:rPr>
        <w:t>PP</w:t>
      </w:r>
      <w:r w:rsidR="005B0F60">
        <w:rPr>
          <w:lang w:eastAsia="en-US"/>
        </w:rPr>
        <w:t>)</w:t>
      </w:r>
      <w:r>
        <w:rPr>
          <w:lang w:eastAsia="en-US"/>
        </w:rPr>
        <w:t xml:space="preserve"> population (patients within the FAS without major protocol deviations). </w:t>
      </w:r>
      <w:r w:rsidR="00A21335">
        <w:rPr>
          <w:szCs w:val="24"/>
          <w:lang w:eastAsia="en-US"/>
        </w:rPr>
        <w:t xml:space="preserve">A </w:t>
      </w:r>
      <w:r w:rsidR="00573728" w:rsidRPr="00C153D4">
        <w:rPr>
          <w:szCs w:val="24"/>
          <w:lang w:eastAsia="en-US"/>
        </w:rPr>
        <w:t>LSM</w:t>
      </w:r>
      <w:r w:rsidR="00045AEE" w:rsidRPr="007E23EB">
        <w:rPr>
          <w:szCs w:val="24"/>
        </w:rPr>
        <w:t xml:space="preserve"> treatment difference </w:t>
      </w:r>
      <w:r w:rsidR="00573728" w:rsidRPr="007E23EB">
        <w:rPr>
          <w:szCs w:val="24"/>
        </w:rPr>
        <w:t>of</w:t>
      </w:r>
      <w:r w:rsidR="00045AEE" w:rsidRPr="007E23EB">
        <w:rPr>
          <w:szCs w:val="24"/>
        </w:rPr>
        <w:t xml:space="preserve"> -0.24 (95% CI: -0.90, 0.42; p=0.476)</w:t>
      </w:r>
      <w:r w:rsidR="00AB60CB">
        <w:rPr>
          <w:szCs w:val="24"/>
        </w:rPr>
        <w:t xml:space="preserve"> was observed</w:t>
      </w:r>
      <w:r w:rsidR="00822749">
        <w:rPr>
          <w:szCs w:val="24"/>
        </w:rPr>
        <w:t xml:space="preserve"> between Systane Hydration PC and Hyabak</w:t>
      </w:r>
      <w:r w:rsidR="00045AEE" w:rsidRPr="007E23EB">
        <w:rPr>
          <w:szCs w:val="24"/>
        </w:rPr>
        <w:t>, with the upper limit of the 95% CI not exceeding the non-inferiority margin of 2.</w:t>
      </w:r>
    </w:p>
    <w:p w14:paraId="7F6F244E" w14:textId="02162692" w:rsidR="000C04D4" w:rsidRDefault="00255503" w:rsidP="009D53FA">
      <w:pPr>
        <w:pStyle w:val="3Bodytext"/>
        <w:jc w:val="both"/>
        <w:rPr>
          <w:lang w:eastAsia="en-US"/>
        </w:rPr>
      </w:pPr>
      <w:r>
        <w:rPr>
          <w:lang w:eastAsia="en-US"/>
        </w:rPr>
        <w:t>The</w:t>
      </w:r>
      <w:r w:rsidR="005B0F60">
        <w:rPr>
          <w:lang w:eastAsia="en-US"/>
        </w:rPr>
        <w:t xml:space="preserve"> submission noted that the</w:t>
      </w:r>
      <w:r>
        <w:rPr>
          <w:lang w:eastAsia="en-US"/>
        </w:rPr>
        <w:t xml:space="preserve">re was no statistically significant difference between Systane Hydration PC and </w:t>
      </w:r>
      <w:r w:rsidR="00822749">
        <w:rPr>
          <w:lang w:eastAsia="en-US"/>
        </w:rPr>
        <w:t>Cationorm</w:t>
      </w:r>
      <w:r>
        <w:rPr>
          <w:lang w:eastAsia="en-US"/>
        </w:rPr>
        <w:t xml:space="preserve"> for the mean change in OSS scores</w:t>
      </w:r>
      <w:r w:rsidR="005F47FC">
        <w:rPr>
          <w:lang w:eastAsia="en-US"/>
        </w:rPr>
        <w:t xml:space="preserve"> between the two trials</w:t>
      </w:r>
      <w:r>
        <w:rPr>
          <w:lang w:eastAsia="en-US"/>
        </w:rPr>
        <w:t xml:space="preserve"> (LSM 0.07, 95% CI: - 0.87, 1.01; p=0.8840)</w:t>
      </w:r>
      <w:r w:rsidR="00206F1B">
        <w:rPr>
          <w:lang w:eastAsia="en-US"/>
        </w:rPr>
        <w:t xml:space="preserve">, </w:t>
      </w:r>
      <w:r w:rsidR="005B0F60">
        <w:rPr>
          <w:lang w:eastAsia="en-US"/>
        </w:rPr>
        <w:t xml:space="preserve">which </w:t>
      </w:r>
      <w:r>
        <w:rPr>
          <w:lang w:eastAsia="en-US"/>
        </w:rPr>
        <w:t>support</w:t>
      </w:r>
      <w:r w:rsidR="009C0603">
        <w:rPr>
          <w:lang w:eastAsia="en-US"/>
        </w:rPr>
        <w:t>ed a</w:t>
      </w:r>
      <w:r>
        <w:rPr>
          <w:lang w:eastAsia="en-US"/>
        </w:rPr>
        <w:t xml:space="preserve"> non-inferiority claim for efficacy.</w:t>
      </w:r>
    </w:p>
    <w:p w14:paraId="30DB201F" w14:textId="69F9BD88" w:rsidR="00CA5A12" w:rsidRDefault="00CA5A12" w:rsidP="009D53FA">
      <w:pPr>
        <w:pStyle w:val="4-SubsectionHeading"/>
        <w:rPr>
          <w:lang w:eastAsia="en-US"/>
        </w:rPr>
      </w:pPr>
      <w:r>
        <w:rPr>
          <w:lang w:eastAsia="en-US"/>
        </w:rPr>
        <w:t>Comparative safety</w:t>
      </w:r>
    </w:p>
    <w:p w14:paraId="03AFA547" w14:textId="3A4172B0" w:rsidR="006D3320" w:rsidRPr="00DB015C" w:rsidRDefault="006D3320" w:rsidP="009D53FA">
      <w:pPr>
        <w:pStyle w:val="3Bodytext"/>
        <w:jc w:val="both"/>
        <w:rPr>
          <w:color w:val="FF0000"/>
        </w:rPr>
      </w:pPr>
      <w:r>
        <w:t>The clinical claim for safety was measured by the proportion of patients who experienced treatment-emergent adverse events (TEAEs)</w:t>
      </w:r>
      <w:r w:rsidR="00AB335B">
        <w:t>.</w:t>
      </w:r>
    </w:p>
    <w:p w14:paraId="3F3A087C" w14:textId="2F803CDC" w:rsidR="006F426B" w:rsidRDefault="00CA5A12" w:rsidP="009D53FA">
      <w:pPr>
        <w:pStyle w:val="3Bodytext"/>
        <w:jc w:val="both"/>
        <w:rPr>
          <w:szCs w:val="24"/>
          <w:lang w:eastAsia="en-US"/>
        </w:rPr>
      </w:pPr>
      <w:r>
        <w:rPr>
          <w:szCs w:val="24"/>
          <w:lang w:eastAsia="en-US"/>
        </w:rPr>
        <w:t>The</w:t>
      </w:r>
      <w:r w:rsidR="009F5B81">
        <w:rPr>
          <w:szCs w:val="24"/>
          <w:lang w:eastAsia="en-US"/>
        </w:rPr>
        <w:t xml:space="preserve"> clinical claim of non-inferior safety between Systane Hydration PC and Hyabak was based on the absence of a statistically significant difference in the proportion of patients experiencing </w:t>
      </w:r>
      <w:r w:rsidR="00DF12AE">
        <w:rPr>
          <w:szCs w:val="24"/>
          <w:lang w:eastAsia="en-US"/>
        </w:rPr>
        <w:t xml:space="preserve">treatment emergent </w:t>
      </w:r>
      <w:r w:rsidR="009F5B81">
        <w:rPr>
          <w:szCs w:val="24"/>
          <w:lang w:eastAsia="en-US"/>
        </w:rPr>
        <w:t>adverse events (</w:t>
      </w:r>
      <w:r w:rsidR="00DF12AE">
        <w:rPr>
          <w:szCs w:val="24"/>
          <w:lang w:eastAsia="en-US"/>
        </w:rPr>
        <w:t>TE</w:t>
      </w:r>
      <w:r w:rsidR="009F5B81">
        <w:rPr>
          <w:szCs w:val="24"/>
          <w:lang w:eastAsia="en-US"/>
        </w:rPr>
        <w:t>AEs) up to Day 42</w:t>
      </w:r>
      <w:r w:rsidR="00D82AD2">
        <w:rPr>
          <w:szCs w:val="24"/>
          <w:lang w:eastAsia="en-US"/>
        </w:rPr>
        <w:t xml:space="preserve"> </w:t>
      </w:r>
      <w:r w:rsidR="00AB335B" w:rsidRPr="00254DDD">
        <w:rPr>
          <w:szCs w:val="24"/>
          <w:lang w:eastAsia="en-US"/>
        </w:rPr>
        <w:t xml:space="preserve">in </w:t>
      </w:r>
      <w:r w:rsidR="009C0603">
        <w:rPr>
          <w:szCs w:val="24"/>
          <w:lang w:eastAsia="en-US"/>
        </w:rPr>
        <w:t xml:space="preserve">the </w:t>
      </w:r>
      <w:r w:rsidR="00AB335B" w:rsidRPr="00254DDD">
        <w:rPr>
          <w:szCs w:val="24"/>
          <w:lang w:eastAsia="en-US"/>
        </w:rPr>
        <w:t xml:space="preserve">Labetoulle </w:t>
      </w:r>
      <w:r w:rsidR="009C0603">
        <w:rPr>
          <w:szCs w:val="24"/>
          <w:lang w:eastAsia="en-US"/>
        </w:rPr>
        <w:t>study</w:t>
      </w:r>
      <w:r w:rsidR="00AB335B" w:rsidRPr="00254DDD">
        <w:rPr>
          <w:szCs w:val="24"/>
          <w:lang w:eastAsia="en-US"/>
        </w:rPr>
        <w:t xml:space="preserve"> and up to Day 84 in </w:t>
      </w:r>
      <w:r w:rsidR="009C0603">
        <w:rPr>
          <w:szCs w:val="24"/>
          <w:lang w:eastAsia="en-US"/>
        </w:rPr>
        <w:t xml:space="preserve">the </w:t>
      </w:r>
      <w:r w:rsidR="00AB335B" w:rsidRPr="00254DDD">
        <w:rPr>
          <w:szCs w:val="24"/>
          <w:lang w:eastAsia="en-US"/>
        </w:rPr>
        <w:t xml:space="preserve">Robert </w:t>
      </w:r>
      <w:r w:rsidR="009C0603">
        <w:rPr>
          <w:szCs w:val="24"/>
          <w:lang w:eastAsia="en-US"/>
        </w:rPr>
        <w:t>study</w:t>
      </w:r>
      <w:r w:rsidR="001B09FC" w:rsidRPr="00254DDD">
        <w:rPr>
          <w:szCs w:val="24"/>
          <w:lang w:eastAsia="en-US"/>
        </w:rPr>
        <w:t>.</w:t>
      </w:r>
    </w:p>
    <w:p w14:paraId="281F1A86" w14:textId="703F15F3" w:rsidR="006F426B" w:rsidRPr="00254DDD" w:rsidRDefault="004C50DD" w:rsidP="009D53FA">
      <w:pPr>
        <w:pStyle w:val="3Bodytext"/>
        <w:jc w:val="both"/>
        <w:rPr>
          <w:szCs w:val="24"/>
          <w:lang w:eastAsia="en-US"/>
        </w:rPr>
      </w:pPr>
      <w:r w:rsidRPr="00254DDD">
        <w:rPr>
          <w:szCs w:val="24"/>
          <w:lang w:eastAsia="en-US"/>
        </w:rPr>
        <w:lastRenderedPageBreak/>
        <w:t>Results included patients who have experienced ocular TEAE</w:t>
      </w:r>
      <w:r w:rsidR="009C0603">
        <w:rPr>
          <w:szCs w:val="24"/>
          <w:lang w:eastAsia="en-US"/>
        </w:rPr>
        <w:t>s</w:t>
      </w:r>
      <w:r w:rsidR="001B09FC" w:rsidRPr="00254DDD">
        <w:rPr>
          <w:szCs w:val="24"/>
          <w:lang w:eastAsia="en-US"/>
        </w:rPr>
        <w:t xml:space="preserve"> </w:t>
      </w:r>
      <w:r w:rsidR="001B09FC" w:rsidRPr="00214DB4">
        <w:rPr>
          <w:szCs w:val="24"/>
        </w:rPr>
        <w:t>(RD 0.02, 95% CI: -0.21, 0.25; p=0.8625), any treatment-related ocular TEAE (RD 0.07, 95% CI: -0.11, 0.25; p=0.4380), any ocular TEAE leading to discontinuation (RD -0.02, 95% CI: -0.11, 0.07; p=0.6612)</w:t>
      </w:r>
      <w:r w:rsidR="009C0603">
        <w:rPr>
          <w:szCs w:val="24"/>
        </w:rPr>
        <w:t>,</w:t>
      </w:r>
      <w:r w:rsidR="001B09FC" w:rsidRPr="00214DB4">
        <w:rPr>
          <w:szCs w:val="24"/>
        </w:rPr>
        <w:t xml:space="preserve"> and treatment-related eye irritation (RD 0.06, 95% CI: -0.05, 0.17; p=0.2895).</w:t>
      </w:r>
    </w:p>
    <w:p w14:paraId="2CDF3682" w14:textId="467FD354" w:rsidR="00C27C1C" w:rsidRPr="008306F3" w:rsidRDefault="00C27C1C" w:rsidP="009D53FA">
      <w:pPr>
        <w:pStyle w:val="4-SubsectionHeading"/>
        <w:rPr>
          <w:lang w:eastAsia="en-US"/>
        </w:rPr>
      </w:pPr>
      <w:r w:rsidRPr="003C2FB5">
        <w:rPr>
          <w:lang w:eastAsia="en-US"/>
        </w:rPr>
        <w:t>Clinical claim</w:t>
      </w:r>
    </w:p>
    <w:p w14:paraId="597C4452" w14:textId="069ACD33" w:rsidR="00785F63" w:rsidRDefault="00C27C1C" w:rsidP="009D53FA">
      <w:pPr>
        <w:pStyle w:val="3Bodytext"/>
        <w:jc w:val="both"/>
      </w:pPr>
      <w:r w:rsidRPr="003678C1">
        <w:t xml:space="preserve">The submission claimed </w:t>
      </w:r>
      <w:r w:rsidR="00BA702C">
        <w:t xml:space="preserve">the </w:t>
      </w:r>
      <w:r w:rsidRPr="007E23EB">
        <w:t>non-inferior</w:t>
      </w:r>
      <w:r w:rsidR="00CE236E" w:rsidRPr="003678C1">
        <w:t xml:space="preserve"> c</w:t>
      </w:r>
      <w:r w:rsidRPr="003678C1">
        <w:t xml:space="preserve">omparative effectiveness and </w:t>
      </w:r>
      <w:r w:rsidRPr="007E23EB">
        <w:t>non-inferior</w:t>
      </w:r>
      <w:r w:rsidRPr="003678C1">
        <w:t xml:space="preserve"> comparative safety of </w:t>
      </w:r>
      <w:r w:rsidR="00CE236E" w:rsidRPr="007E23EB">
        <w:t xml:space="preserve">Systane Hydration </w:t>
      </w:r>
      <w:r w:rsidRPr="003678C1">
        <w:t>compared with</w:t>
      </w:r>
      <w:r w:rsidR="00BA702C">
        <w:t xml:space="preserve"> Hylo-fresh</w:t>
      </w:r>
      <w:r w:rsidR="00B1598F">
        <w:t>,</w:t>
      </w:r>
      <w:r w:rsidR="00BA702C">
        <w:t xml:space="preserve"> Hylo-Forte </w:t>
      </w:r>
      <w:r w:rsidR="00B1598F">
        <w:t xml:space="preserve">and Cationorm </w:t>
      </w:r>
      <w:r w:rsidR="00BA702C">
        <w:t>respectively</w:t>
      </w:r>
      <w:r w:rsidRPr="003A753A">
        <w:t>.</w:t>
      </w:r>
    </w:p>
    <w:p w14:paraId="62505343" w14:textId="7BBEDEC9" w:rsidR="00145D51" w:rsidRPr="007E23EB" w:rsidRDefault="00145D51" w:rsidP="00785F63">
      <w:pPr>
        <w:pStyle w:val="3Bodytext"/>
        <w:jc w:val="both"/>
      </w:pPr>
      <w:r w:rsidRPr="00785F63">
        <w:rPr>
          <w:szCs w:val="20"/>
          <w:lang w:eastAsia="en-US"/>
        </w:rPr>
        <w:t xml:space="preserve">The PBAC considered that the claim of non-inferior comparative effectiveness </w:t>
      </w:r>
      <w:r w:rsidR="00920A64" w:rsidRPr="00785F63">
        <w:rPr>
          <w:szCs w:val="20"/>
          <w:lang w:eastAsia="en-US"/>
        </w:rPr>
        <w:t xml:space="preserve">and non-inferior </w:t>
      </w:r>
      <w:r w:rsidR="003D0C53" w:rsidRPr="00785F63">
        <w:rPr>
          <w:szCs w:val="20"/>
          <w:lang w:eastAsia="en-US"/>
        </w:rPr>
        <w:t>comparative</w:t>
      </w:r>
      <w:r w:rsidR="00920A64" w:rsidRPr="00785F63">
        <w:rPr>
          <w:szCs w:val="20"/>
          <w:lang w:eastAsia="en-US"/>
        </w:rPr>
        <w:t xml:space="preserve"> safety </w:t>
      </w:r>
      <w:r w:rsidRPr="00785F63">
        <w:rPr>
          <w:szCs w:val="20"/>
          <w:lang w:eastAsia="en-US"/>
        </w:rPr>
        <w:t>was reasonable.</w:t>
      </w:r>
    </w:p>
    <w:p w14:paraId="45D181E4" w14:textId="55E9BCC5" w:rsidR="00C27C1C" w:rsidRDefault="00C27C1C" w:rsidP="009D53FA">
      <w:pPr>
        <w:pStyle w:val="4-SubsectionHeading"/>
        <w:rPr>
          <w:lang w:eastAsia="en-US"/>
        </w:rPr>
      </w:pPr>
      <w:r w:rsidRPr="003C2FB5">
        <w:rPr>
          <w:lang w:eastAsia="en-US"/>
        </w:rPr>
        <w:t>Economic analysis</w:t>
      </w:r>
    </w:p>
    <w:p w14:paraId="65515D6F" w14:textId="65AB863B" w:rsidR="00C27C1C" w:rsidRPr="007E23EB" w:rsidRDefault="00C27C1C" w:rsidP="009D53FA">
      <w:pPr>
        <w:pStyle w:val="3Bodytext"/>
        <w:jc w:val="both"/>
        <w:rPr>
          <w:rFonts w:cstheme="minorHAnsi"/>
          <w:szCs w:val="24"/>
        </w:rPr>
      </w:pPr>
      <w:r w:rsidRPr="00917D69">
        <w:t xml:space="preserve">The submission presented a cost-minimisation </w:t>
      </w:r>
      <w:r w:rsidR="00764FEE">
        <w:t xml:space="preserve">approach </w:t>
      </w:r>
      <w:r w:rsidR="00C6488C">
        <w:t>(CMA)</w:t>
      </w:r>
      <w:r w:rsidRPr="00917D69">
        <w:t xml:space="preserve"> </w:t>
      </w:r>
      <w:r w:rsidR="00764FEE">
        <w:t>comparing</w:t>
      </w:r>
      <w:r w:rsidRPr="00917D69">
        <w:t xml:space="preserve"> </w:t>
      </w:r>
      <w:r w:rsidR="0057514B">
        <w:t xml:space="preserve">Systane Hydration </w:t>
      </w:r>
      <w:r w:rsidRPr="00917D69">
        <w:t xml:space="preserve">with </w:t>
      </w:r>
      <w:r w:rsidR="00861A59">
        <w:t>Hylo-Fresh/Hylo-Forte</w:t>
      </w:r>
      <w:r w:rsidR="005872F3">
        <w:t xml:space="preserve"> and Cation</w:t>
      </w:r>
      <w:r w:rsidR="00861A59">
        <w:t>orm</w:t>
      </w:r>
      <w:r w:rsidR="005872F3">
        <w:t xml:space="preserve"> respectively</w:t>
      </w:r>
      <w:r w:rsidRPr="00917D69">
        <w:t>.</w:t>
      </w:r>
    </w:p>
    <w:p w14:paraId="46732127" w14:textId="031A562C" w:rsidR="00C1016A" w:rsidRPr="007E23EB" w:rsidRDefault="000C04D4" w:rsidP="009D53FA">
      <w:pPr>
        <w:pStyle w:val="3Bodytext"/>
        <w:jc w:val="both"/>
        <w:rPr>
          <w:rFonts w:cstheme="minorHAnsi"/>
          <w:szCs w:val="24"/>
        </w:rPr>
      </w:pPr>
      <w:r>
        <w:rPr>
          <w:rFonts w:eastAsia="Times New Roman" w:cstheme="minorHAnsi"/>
          <w:iCs/>
          <w:snapToGrid w:val="0"/>
          <w:szCs w:val="24"/>
          <w:lang w:eastAsia="en-US"/>
        </w:rPr>
        <w:t>The submission claimed a</w:t>
      </w:r>
      <w:r w:rsidR="00C1016A">
        <w:rPr>
          <w:rFonts w:eastAsia="Times New Roman" w:cstheme="minorHAnsi"/>
          <w:iCs/>
          <w:snapToGrid w:val="0"/>
          <w:szCs w:val="24"/>
          <w:lang w:eastAsia="en-US"/>
        </w:rPr>
        <w:t xml:space="preserve"> PBS listing fo</w:t>
      </w:r>
      <w:r w:rsidR="006B788F">
        <w:rPr>
          <w:rFonts w:eastAsia="Times New Roman" w:cstheme="minorHAnsi"/>
          <w:iCs/>
          <w:snapToGrid w:val="0"/>
          <w:szCs w:val="24"/>
          <w:lang w:eastAsia="en-US"/>
        </w:rPr>
        <w:t>r</w:t>
      </w:r>
      <w:r w:rsidR="00C1016A">
        <w:rPr>
          <w:rFonts w:eastAsia="Times New Roman" w:cstheme="minorHAnsi"/>
          <w:iCs/>
          <w:snapToGrid w:val="0"/>
          <w:szCs w:val="24"/>
          <w:lang w:eastAsia="en-US"/>
        </w:rPr>
        <w:t xml:space="preserve"> Systane Hydration is not expected to result in changes in resource use due to differences in prescribing </w:t>
      </w:r>
      <w:r w:rsidR="006B788F">
        <w:rPr>
          <w:rFonts w:eastAsia="Times New Roman" w:cstheme="minorHAnsi"/>
          <w:iCs/>
          <w:snapToGrid w:val="0"/>
          <w:szCs w:val="24"/>
          <w:lang w:eastAsia="en-US"/>
        </w:rPr>
        <w:t xml:space="preserve">or </w:t>
      </w:r>
      <w:r w:rsidR="00C6488C">
        <w:rPr>
          <w:rFonts w:eastAsia="Times New Roman" w:cstheme="minorHAnsi"/>
          <w:iCs/>
          <w:snapToGrid w:val="0"/>
          <w:szCs w:val="24"/>
          <w:lang w:eastAsia="en-US"/>
        </w:rPr>
        <w:t xml:space="preserve">the </w:t>
      </w:r>
      <w:r w:rsidR="006B788F">
        <w:rPr>
          <w:rFonts w:eastAsia="Times New Roman" w:cstheme="minorHAnsi"/>
          <w:iCs/>
          <w:snapToGrid w:val="0"/>
          <w:szCs w:val="24"/>
          <w:lang w:eastAsia="en-US"/>
        </w:rPr>
        <w:t>administration profiles, adverse events or monitoring requirements. The CMA include</w:t>
      </w:r>
      <w:r w:rsidR="00C6488C">
        <w:rPr>
          <w:rFonts w:eastAsia="Times New Roman" w:cstheme="minorHAnsi"/>
          <w:iCs/>
          <w:snapToGrid w:val="0"/>
          <w:szCs w:val="24"/>
          <w:lang w:eastAsia="en-US"/>
        </w:rPr>
        <w:t>d</w:t>
      </w:r>
      <w:r w:rsidR="006B788F">
        <w:rPr>
          <w:rFonts w:eastAsia="Times New Roman" w:cstheme="minorHAnsi"/>
          <w:iCs/>
          <w:snapToGrid w:val="0"/>
          <w:szCs w:val="24"/>
          <w:lang w:eastAsia="en-US"/>
        </w:rPr>
        <w:t xml:space="preserve"> the cost of </w:t>
      </w:r>
      <w:r w:rsidR="00C6488C">
        <w:rPr>
          <w:rFonts w:eastAsia="Times New Roman" w:cstheme="minorHAnsi"/>
          <w:iCs/>
          <w:snapToGrid w:val="0"/>
          <w:szCs w:val="24"/>
          <w:lang w:eastAsia="en-US"/>
        </w:rPr>
        <w:t xml:space="preserve">the </w:t>
      </w:r>
      <w:r w:rsidR="006B788F">
        <w:rPr>
          <w:rFonts w:eastAsia="Times New Roman" w:cstheme="minorHAnsi"/>
          <w:iCs/>
          <w:snapToGrid w:val="0"/>
          <w:szCs w:val="24"/>
          <w:lang w:eastAsia="en-US"/>
        </w:rPr>
        <w:t xml:space="preserve">medicines only and </w:t>
      </w:r>
      <w:r w:rsidR="00C6488C">
        <w:rPr>
          <w:rFonts w:eastAsia="Times New Roman" w:cstheme="minorHAnsi"/>
          <w:iCs/>
          <w:snapToGrid w:val="0"/>
          <w:szCs w:val="24"/>
          <w:lang w:eastAsia="en-US"/>
        </w:rPr>
        <w:t>wa</w:t>
      </w:r>
      <w:r w:rsidR="006B788F">
        <w:rPr>
          <w:rFonts w:eastAsia="Times New Roman" w:cstheme="minorHAnsi"/>
          <w:iCs/>
          <w:snapToGrid w:val="0"/>
          <w:szCs w:val="24"/>
          <w:lang w:eastAsia="en-US"/>
        </w:rPr>
        <w:t>s undertaken on a treatment basis, defined as one drop in both eyes.</w:t>
      </w:r>
    </w:p>
    <w:p w14:paraId="0D14A7F4" w14:textId="3F2A4BC2" w:rsidR="00DB015C" w:rsidRPr="007E23EB" w:rsidRDefault="000C04D4" w:rsidP="009D53FA">
      <w:pPr>
        <w:pStyle w:val="3Bodytext"/>
        <w:jc w:val="both"/>
        <w:rPr>
          <w:rFonts w:ascii="Arial Narrow" w:hAnsi="Arial Narrow" w:cstheme="minorHAnsi"/>
          <w:b/>
          <w:bCs/>
          <w:sz w:val="20"/>
          <w:szCs w:val="20"/>
        </w:rPr>
      </w:pPr>
      <w:r>
        <w:rPr>
          <w:rFonts w:eastAsia="Times New Roman" w:cstheme="minorHAnsi"/>
          <w:iCs/>
          <w:snapToGrid w:val="0"/>
          <w:szCs w:val="24"/>
          <w:lang w:eastAsia="en-US"/>
        </w:rPr>
        <w:t>The submission claim</w:t>
      </w:r>
      <w:r w:rsidR="00C6488C">
        <w:rPr>
          <w:rFonts w:eastAsia="Times New Roman" w:cstheme="minorHAnsi"/>
          <w:iCs/>
          <w:snapToGrid w:val="0"/>
          <w:szCs w:val="24"/>
          <w:lang w:eastAsia="en-US"/>
        </w:rPr>
        <w:t xml:space="preserve">ed </w:t>
      </w:r>
      <w:r>
        <w:rPr>
          <w:rFonts w:eastAsia="Times New Roman" w:cstheme="minorHAnsi"/>
          <w:iCs/>
          <w:snapToGrid w:val="0"/>
          <w:szCs w:val="24"/>
          <w:lang w:eastAsia="en-US"/>
        </w:rPr>
        <w:t xml:space="preserve">that the equi-effective dose </w:t>
      </w:r>
      <w:r w:rsidR="003C3458">
        <w:rPr>
          <w:rFonts w:eastAsia="Times New Roman" w:cstheme="minorHAnsi"/>
          <w:iCs/>
          <w:snapToGrid w:val="0"/>
          <w:szCs w:val="24"/>
          <w:lang w:eastAsia="en-US"/>
        </w:rPr>
        <w:t>for Systane Hydration MDPF eye drops is 1:1 with both 0.1%/0.2% hyaluron</w:t>
      </w:r>
      <w:r w:rsidR="005B64DF">
        <w:rPr>
          <w:rFonts w:eastAsia="Times New Roman" w:cstheme="minorHAnsi"/>
          <w:iCs/>
          <w:snapToGrid w:val="0"/>
          <w:szCs w:val="24"/>
          <w:lang w:eastAsia="en-US"/>
        </w:rPr>
        <w:t>ate</w:t>
      </w:r>
      <w:r w:rsidR="003C3458">
        <w:rPr>
          <w:rFonts w:eastAsia="Times New Roman" w:cstheme="minorHAnsi"/>
          <w:iCs/>
          <w:snapToGrid w:val="0"/>
          <w:szCs w:val="24"/>
          <w:lang w:eastAsia="en-US"/>
        </w:rPr>
        <w:t xml:space="preserve"> sodium MDPF and </w:t>
      </w:r>
      <w:r w:rsidR="003678C1">
        <w:rPr>
          <w:rFonts w:eastAsia="Times New Roman" w:cstheme="minorHAnsi"/>
          <w:iCs/>
          <w:snapToGrid w:val="0"/>
          <w:szCs w:val="24"/>
          <w:lang w:eastAsia="en-US"/>
        </w:rPr>
        <w:t>Cationorm</w:t>
      </w:r>
      <w:r w:rsidR="00BD6509">
        <w:rPr>
          <w:rFonts w:eastAsia="Times New Roman" w:cstheme="minorHAnsi"/>
          <w:iCs/>
          <w:snapToGrid w:val="0"/>
          <w:szCs w:val="24"/>
          <w:lang w:eastAsia="en-US"/>
        </w:rPr>
        <w:t xml:space="preserve"> respectively</w:t>
      </w:r>
      <w:r w:rsidR="003C3458">
        <w:rPr>
          <w:rFonts w:eastAsia="Times New Roman" w:cstheme="minorHAnsi"/>
          <w:iCs/>
          <w:snapToGrid w:val="0"/>
          <w:szCs w:val="24"/>
          <w:lang w:eastAsia="en-US"/>
        </w:rPr>
        <w:t>.</w:t>
      </w:r>
    </w:p>
    <w:p w14:paraId="4E0BF0C5" w14:textId="00497C20" w:rsidR="00CC59BF" w:rsidRPr="007E23EB" w:rsidRDefault="00CC59BF" w:rsidP="00032E57">
      <w:pPr>
        <w:pStyle w:val="TableFigureHeading"/>
      </w:pPr>
      <w:r w:rsidRPr="00032E57">
        <w:t>Table</w:t>
      </w:r>
      <w:r w:rsidRPr="007E23EB">
        <w:t xml:space="preserve"> </w:t>
      </w:r>
      <w:r w:rsidR="00092644">
        <w:t>2</w:t>
      </w:r>
      <w:r w:rsidR="004C3691">
        <w:t>:</w:t>
      </w:r>
      <w:r w:rsidR="004C3691" w:rsidRPr="007E23EB">
        <w:t xml:space="preserve"> </w:t>
      </w:r>
      <w:r w:rsidRPr="007E23EB">
        <w:t>Cost 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2: Cost minimisation analysis"/>
      </w:tblPr>
      <w:tblGrid>
        <w:gridCol w:w="2255"/>
        <w:gridCol w:w="2252"/>
        <w:gridCol w:w="32"/>
        <w:gridCol w:w="2176"/>
        <w:gridCol w:w="43"/>
        <w:gridCol w:w="2258"/>
      </w:tblGrid>
      <w:tr w:rsidR="006B788F" w14:paraId="36DA62A7" w14:textId="77777777" w:rsidTr="00032E57">
        <w:trPr>
          <w:trHeight w:val="262"/>
        </w:trPr>
        <w:tc>
          <w:tcPr>
            <w:tcW w:w="1250" w:type="pct"/>
          </w:tcPr>
          <w:p w14:paraId="57E81710" w14:textId="77777777" w:rsidR="006B788F" w:rsidRDefault="006B788F" w:rsidP="00032E57">
            <w:pPr>
              <w:pStyle w:val="TableText0"/>
            </w:pPr>
          </w:p>
        </w:tc>
        <w:tc>
          <w:tcPr>
            <w:tcW w:w="1249" w:type="pct"/>
          </w:tcPr>
          <w:p w14:paraId="36B31CB7" w14:textId="18F70784" w:rsidR="006B788F" w:rsidRDefault="006B788F" w:rsidP="00032E57">
            <w:pPr>
              <w:pStyle w:val="TableText0"/>
            </w:pPr>
            <w:r>
              <w:t xml:space="preserve">Systane Hydration MDPF </w:t>
            </w:r>
          </w:p>
        </w:tc>
        <w:tc>
          <w:tcPr>
            <w:tcW w:w="1249" w:type="pct"/>
            <w:gridSpan w:val="3"/>
          </w:tcPr>
          <w:p w14:paraId="106158B2" w14:textId="77777777" w:rsidR="006B788F" w:rsidRDefault="006B788F" w:rsidP="00032E57">
            <w:pPr>
              <w:pStyle w:val="TableText0"/>
            </w:pPr>
            <w:r>
              <w:t xml:space="preserve">0.1%/0.2% hyaluronic sodium MDPF </w:t>
            </w:r>
          </w:p>
        </w:tc>
        <w:tc>
          <w:tcPr>
            <w:tcW w:w="1252" w:type="pct"/>
          </w:tcPr>
          <w:p w14:paraId="019471B2" w14:textId="77777777" w:rsidR="006B788F" w:rsidRDefault="006B788F" w:rsidP="00032E57">
            <w:pPr>
              <w:pStyle w:val="TableText0"/>
            </w:pPr>
            <w:r>
              <w:t xml:space="preserve">Cationic ophthalmic emulsion MDPF </w:t>
            </w:r>
          </w:p>
        </w:tc>
      </w:tr>
      <w:tr w:rsidR="006B788F" w14:paraId="7D41F4E8" w14:textId="77777777" w:rsidTr="00032E57">
        <w:trPr>
          <w:trHeight w:val="143"/>
        </w:trPr>
        <w:tc>
          <w:tcPr>
            <w:tcW w:w="5000" w:type="pct"/>
            <w:gridSpan w:val="6"/>
            <w:shd w:val="clear" w:color="auto" w:fill="D9D9D9" w:themeFill="background1" w:themeFillShade="D9"/>
          </w:tcPr>
          <w:p w14:paraId="730761DB" w14:textId="7DC99EEB" w:rsidR="006B788F" w:rsidRDefault="006B788F" w:rsidP="00032E57">
            <w:pPr>
              <w:pStyle w:val="TableText0"/>
            </w:pPr>
            <w:r>
              <w:t xml:space="preserve">Quantity per prescription </w:t>
            </w:r>
          </w:p>
        </w:tc>
      </w:tr>
      <w:tr w:rsidR="006B788F" w14:paraId="60A2A7C0" w14:textId="77777777" w:rsidTr="00032E57">
        <w:trPr>
          <w:trHeight w:val="128"/>
        </w:trPr>
        <w:tc>
          <w:tcPr>
            <w:tcW w:w="1250" w:type="pct"/>
          </w:tcPr>
          <w:p w14:paraId="665D6D47" w14:textId="2392D8D7" w:rsidR="006B788F" w:rsidRDefault="006B788F" w:rsidP="00032E57">
            <w:pPr>
              <w:pStyle w:val="TableText0"/>
            </w:pPr>
            <w:r>
              <w:t xml:space="preserve">Drops per pack </w:t>
            </w:r>
          </w:p>
        </w:tc>
        <w:tc>
          <w:tcPr>
            <w:tcW w:w="1267" w:type="pct"/>
            <w:gridSpan w:val="2"/>
          </w:tcPr>
          <w:p w14:paraId="29362685" w14:textId="77777777" w:rsidR="006B788F" w:rsidRDefault="006B788F" w:rsidP="00032E57">
            <w:pPr>
              <w:pStyle w:val="TableText0"/>
            </w:pPr>
            <w:r>
              <w:t xml:space="preserve">230 </w:t>
            </w:r>
          </w:p>
        </w:tc>
        <w:tc>
          <w:tcPr>
            <w:tcW w:w="1207" w:type="pct"/>
          </w:tcPr>
          <w:p w14:paraId="1D707B1C" w14:textId="77777777" w:rsidR="006B788F" w:rsidRDefault="006B788F" w:rsidP="00032E57">
            <w:pPr>
              <w:pStyle w:val="TableText0"/>
            </w:pPr>
            <w:r>
              <w:t xml:space="preserve">300 </w:t>
            </w:r>
          </w:p>
        </w:tc>
        <w:tc>
          <w:tcPr>
            <w:tcW w:w="1276" w:type="pct"/>
            <w:gridSpan w:val="2"/>
          </w:tcPr>
          <w:p w14:paraId="7F2F9CE3" w14:textId="77777777" w:rsidR="006B788F" w:rsidRDefault="006B788F" w:rsidP="00032E57">
            <w:pPr>
              <w:pStyle w:val="TableText0"/>
            </w:pPr>
            <w:r>
              <w:t xml:space="preserve">386 </w:t>
            </w:r>
          </w:p>
        </w:tc>
      </w:tr>
      <w:tr w:rsidR="006B788F" w14:paraId="2567FD73" w14:textId="77777777" w:rsidTr="00032E57">
        <w:trPr>
          <w:trHeight w:val="128"/>
        </w:trPr>
        <w:tc>
          <w:tcPr>
            <w:tcW w:w="1250" w:type="pct"/>
          </w:tcPr>
          <w:p w14:paraId="5B0A512E" w14:textId="279B1FF7" w:rsidR="006B788F" w:rsidRDefault="006B788F" w:rsidP="00032E57">
            <w:pPr>
              <w:pStyle w:val="TableText0"/>
            </w:pPr>
            <w:r>
              <w:t xml:space="preserve">Treatments per pack </w:t>
            </w:r>
          </w:p>
        </w:tc>
        <w:tc>
          <w:tcPr>
            <w:tcW w:w="1267" w:type="pct"/>
            <w:gridSpan w:val="2"/>
          </w:tcPr>
          <w:p w14:paraId="35D94926" w14:textId="77777777" w:rsidR="006B788F" w:rsidRDefault="006B788F" w:rsidP="00032E57">
            <w:pPr>
              <w:pStyle w:val="TableText0"/>
            </w:pPr>
            <w:r>
              <w:t xml:space="preserve">115 [230 / 2 drops] </w:t>
            </w:r>
          </w:p>
        </w:tc>
        <w:tc>
          <w:tcPr>
            <w:tcW w:w="1207" w:type="pct"/>
          </w:tcPr>
          <w:p w14:paraId="6BD7FECF" w14:textId="77777777" w:rsidR="006B788F" w:rsidRDefault="006B788F" w:rsidP="00032E57">
            <w:pPr>
              <w:pStyle w:val="TableText0"/>
            </w:pPr>
            <w:r>
              <w:t xml:space="preserve">150 [300 / 2 drops] </w:t>
            </w:r>
          </w:p>
        </w:tc>
        <w:tc>
          <w:tcPr>
            <w:tcW w:w="1276" w:type="pct"/>
            <w:gridSpan w:val="2"/>
          </w:tcPr>
          <w:p w14:paraId="58573A64" w14:textId="77777777" w:rsidR="006B788F" w:rsidRDefault="006B788F" w:rsidP="00032E57">
            <w:pPr>
              <w:pStyle w:val="TableText0"/>
            </w:pPr>
            <w:r>
              <w:t xml:space="preserve">193 [386 / 2 drops] </w:t>
            </w:r>
          </w:p>
        </w:tc>
      </w:tr>
      <w:tr w:rsidR="006B788F" w14:paraId="50040E95" w14:textId="77777777" w:rsidTr="00032E57">
        <w:trPr>
          <w:trHeight w:val="143"/>
        </w:trPr>
        <w:tc>
          <w:tcPr>
            <w:tcW w:w="5000" w:type="pct"/>
            <w:gridSpan w:val="6"/>
            <w:shd w:val="clear" w:color="auto" w:fill="D9D9D9" w:themeFill="background1" w:themeFillShade="D9"/>
          </w:tcPr>
          <w:p w14:paraId="2172E691" w14:textId="1D2D72BB" w:rsidR="006B788F" w:rsidRDefault="006B788F" w:rsidP="00032E57">
            <w:pPr>
              <w:pStyle w:val="TableText0"/>
            </w:pPr>
            <w:r>
              <w:t xml:space="preserve">Cost per treatment </w:t>
            </w:r>
          </w:p>
        </w:tc>
      </w:tr>
      <w:tr w:rsidR="006B788F" w14:paraId="3A0513D6" w14:textId="77777777" w:rsidTr="00032E57">
        <w:trPr>
          <w:trHeight w:val="128"/>
        </w:trPr>
        <w:tc>
          <w:tcPr>
            <w:tcW w:w="1250" w:type="pct"/>
          </w:tcPr>
          <w:p w14:paraId="46B05607" w14:textId="0924DA16" w:rsidR="006B788F" w:rsidRDefault="006B788F" w:rsidP="00032E57">
            <w:pPr>
              <w:pStyle w:val="TableText0"/>
            </w:pPr>
            <w:r>
              <w:t xml:space="preserve">AEMP per pack </w:t>
            </w:r>
          </w:p>
        </w:tc>
        <w:tc>
          <w:tcPr>
            <w:tcW w:w="1267" w:type="pct"/>
            <w:gridSpan w:val="2"/>
          </w:tcPr>
          <w:p w14:paraId="75E11398" w14:textId="77777777" w:rsidR="006B788F" w:rsidRDefault="006B788F" w:rsidP="00032E57">
            <w:pPr>
              <w:pStyle w:val="TableText0"/>
            </w:pPr>
            <w:r>
              <w:t xml:space="preserve">$14.18 </w:t>
            </w:r>
          </w:p>
        </w:tc>
        <w:tc>
          <w:tcPr>
            <w:tcW w:w="1207" w:type="pct"/>
          </w:tcPr>
          <w:p w14:paraId="56B9B23E" w14:textId="77777777" w:rsidR="006B788F" w:rsidRDefault="006B788F" w:rsidP="00032E57">
            <w:pPr>
              <w:pStyle w:val="TableText0"/>
            </w:pPr>
            <w:r>
              <w:t xml:space="preserve">$20.90 </w:t>
            </w:r>
          </w:p>
        </w:tc>
        <w:tc>
          <w:tcPr>
            <w:tcW w:w="1276" w:type="pct"/>
            <w:gridSpan w:val="2"/>
          </w:tcPr>
          <w:p w14:paraId="2CF7D076" w14:textId="77777777" w:rsidR="006B788F" w:rsidRDefault="006B788F" w:rsidP="00032E57">
            <w:pPr>
              <w:pStyle w:val="TableText0"/>
            </w:pPr>
            <w:r>
              <w:t xml:space="preserve">$23.80 </w:t>
            </w:r>
          </w:p>
        </w:tc>
      </w:tr>
      <w:tr w:rsidR="006B788F" w14:paraId="3047C3CE" w14:textId="77777777" w:rsidTr="00032E57">
        <w:trPr>
          <w:trHeight w:val="128"/>
        </w:trPr>
        <w:tc>
          <w:tcPr>
            <w:tcW w:w="1250" w:type="pct"/>
          </w:tcPr>
          <w:p w14:paraId="6FD6D1D4" w14:textId="5916D55A" w:rsidR="006B788F" w:rsidRDefault="006B788F" w:rsidP="00032E57">
            <w:pPr>
              <w:pStyle w:val="TableText0"/>
            </w:pPr>
            <w:r>
              <w:t xml:space="preserve">AEMP per treatment </w:t>
            </w:r>
          </w:p>
        </w:tc>
        <w:tc>
          <w:tcPr>
            <w:tcW w:w="1267" w:type="pct"/>
            <w:gridSpan w:val="2"/>
          </w:tcPr>
          <w:p w14:paraId="1F3CB119" w14:textId="77777777" w:rsidR="006B788F" w:rsidRDefault="006B788F" w:rsidP="00032E57">
            <w:pPr>
              <w:pStyle w:val="TableText0"/>
            </w:pPr>
            <w:r>
              <w:t xml:space="preserve">$0.123 [$14.18 / 115] </w:t>
            </w:r>
          </w:p>
        </w:tc>
        <w:tc>
          <w:tcPr>
            <w:tcW w:w="1207" w:type="pct"/>
          </w:tcPr>
          <w:p w14:paraId="7662C1F4" w14:textId="77777777" w:rsidR="006B788F" w:rsidRDefault="006B788F" w:rsidP="00032E57">
            <w:pPr>
              <w:pStyle w:val="TableText0"/>
            </w:pPr>
            <w:r>
              <w:t xml:space="preserve">$0.139 [$20.90 / 150] </w:t>
            </w:r>
          </w:p>
        </w:tc>
        <w:tc>
          <w:tcPr>
            <w:tcW w:w="1276" w:type="pct"/>
            <w:gridSpan w:val="2"/>
          </w:tcPr>
          <w:p w14:paraId="45B79E7C" w14:textId="77777777" w:rsidR="006B788F" w:rsidRDefault="006B788F" w:rsidP="00032E57">
            <w:pPr>
              <w:pStyle w:val="TableText0"/>
            </w:pPr>
            <w:r>
              <w:t xml:space="preserve">$0.123 [$23.80 / 193] </w:t>
            </w:r>
          </w:p>
        </w:tc>
      </w:tr>
    </w:tbl>
    <w:p w14:paraId="2CF1677F" w14:textId="77777777" w:rsidR="00B23FEE" w:rsidRPr="006667C4" w:rsidRDefault="00B23FEE" w:rsidP="001A36EB">
      <w:pPr>
        <w:pStyle w:val="3Bodytext"/>
        <w:spacing w:before="120"/>
        <w:jc w:val="both"/>
      </w:pPr>
      <w:r>
        <w:rPr>
          <w:rFonts w:cstheme="minorHAnsi"/>
          <w:szCs w:val="24"/>
        </w:rPr>
        <w:t>The submission proposed a price $14.18 for Systane Hydration with the cost per treatment being $0.123. This is $0.016 less than the main comparators yet identical to the price of Cationorm.</w:t>
      </w:r>
    </w:p>
    <w:p w14:paraId="0A749F02" w14:textId="52172DEE" w:rsidR="00B23FEE" w:rsidRPr="00B23FEE" w:rsidRDefault="00B23FEE" w:rsidP="00B23FEE">
      <w:pPr>
        <w:pStyle w:val="3Bodytext"/>
        <w:jc w:val="both"/>
      </w:pPr>
      <w:r w:rsidRPr="003A753A">
        <w:rPr>
          <w:iCs/>
        </w:rPr>
        <w:t>The PBAC has previously advised that all ocular lubricants should be considered equivalent for pricing purposes, including those that contain a preservative, those that are preservative-free, multi-dose products and single dose unit products (</w:t>
      </w:r>
      <w:r w:rsidR="009E2CA2" w:rsidRPr="003A753A">
        <w:rPr>
          <w:iCs/>
        </w:rPr>
        <w:t>November</w:t>
      </w:r>
      <w:r w:rsidR="009E2CA2">
        <w:rPr>
          <w:iCs/>
        </w:rPr>
        <w:t> </w:t>
      </w:r>
      <w:r w:rsidRPr="003A753A">
        <w:rPr>
          <w:iCs/>
        </w:rPr>
        <w:t>2014 PSD on ocular lubricants)</w:t>
      </w:r>
      <w:r>
        <w:rPr>
          <w:iCs/>
        </w:rPr>
        <w:t xml:space="preserve"> inclusive of hyaluronate based ocular lubricants</w:t>
      </w:r>
      <w:r w:rsidRPr="003A753A">
        <w:rPr>
          <w:iCs/>
        </w:rPr>
        <w:t>.</w:t>
      </w:r>
    </w:p>
    <w:p w14:paraId="742BD3A5" w14:textId="50634B90" w:rsidR="00B23FEE" w:rsidRDefault="00B23FEE" w:rsidP="00B23FEE">
      <w:pPr>
        <w:pStyle w:val="3Bodytext"/>
        <w:jc w:val="both"/>
      </w:pPr>
      <w:r w:rsidRPr="003A753A">
        <w:lastRenderedPageBreak/>
        <w:t>As a Category 3 submission, the economic analysis has not been independently evaluated.</w:t>
      </w:r>
    </w:p>
    <w:p w14:paraId="5EB16602" w14:textId="0FD254B5" w:rsidR="00D70349" w:rsidRDefault="00D70349" w:rsidP="009D53FA">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743370F2" w14:textId="05E648BF" w:rsidR="003C6BFC" w:rsidRPr="007E23EB" w:rsidRDefault="003C6BFC" w:rsidP="009D53FA">
      <w:pPr>
        <w:pStyle w:val="3Bodytext"/>
        <w:jc w:val="both"/>
      </w:pPr>
      <w:r w:rsidRPr="007E23EB">
        <w:t>The submission</w:t>
      </w:r>
      <w:r w:rsidR="00DB015C" w:rsidRPr="007E23EB">
        <w:t xml:space="preserve"> used a market share approach to estimate the predicted use and financial implications to the PBS/RPBS</w:t>
      </w:r>
      <w:r w:rsidRPr="007E23EB">
        <w:t>.</w:t>
      </w:r>
    </w:p>
    <w:p w14:paraId="2901D7AB" w14:textId="44EF66AC" w:rsidR="00C1016A" w:rsidRPr="007E23EB" w:rsidRDefault="00C1016A" w:rsidP="009D53FA">
      <w:pPr>
        <w:pStyle w:val="3Bodytext"/>
        <w:jc w:val="both"/>
      </w:pPr>
      <w:r w:rsidRPr="007E23EB">
        <w:t>The submission estimated a net</w:t>
      </w:r>
      <w:r w:rsidR="00F935F5">
        <w:t xml:space="preserve"> cost</w:t>
      </w:r>
      <w:r w:rsidRPr="007E23EB">
        <w:t xml:space="preserve"> saving to the PBS/RPBS in Year 1 of listing, with a total net saving to the PBS/RPBS of </w:t>
      </w:r>
      <w:r w:rsidR="00F935F5" w:rsidRPr="00F935F5">
        <w:t xml:space="preserve">$0 to &lt; $10 million </w:t>
      </w:r>
      <w:r w:rsidRPr="007E23EB">
        <w:t>over the first 6 years of listing</w:t>
      </w:r>
      <w:r w:rsidR="00521DB7">
        <w:t xml:space="preserve"> (see Table 3)</w:t>
      </w:r>
      <w:r w:rsidRPr="003678C1">
        <w:t>.</w:t>
      </w:r>
    </w:p>
    <w:p w14:paraId="5C1B0A88" w14:textId="1BCC1EA9" w:rsidR="00D70349" w:rsidRPr="00E060AF" w:rsidRDefault="00D70349" w:rsidP="00032E57">
      <w:pPr>
        <w:pStyle w:val="TableFigureHeading"/>
        <w:rPr>
          <w:rFonts w:asciiTheme="minorHAnsi" w:hAnsiTheme="minorHAnsi" w:cstheme="minorHAnsi"/>
          <w:sz w:val="24"/>
        </w:rPr>
      </w:pPr>
      <w:r w:rsidRPr="00167C39">
        <w:rPr>
          <w:rStyle w:val="CommentReference"/>
          <w:sz w:val="20"/>
          <w:szCs w:val="22"/>
        </w:rPr>
        <w:t>Table</w:t>
      </w:r>
      <w:r w:rsidRPr="00167C39">
        <w:t xml:space="preserve"> </w:t>
      </w:r>
      <w:bookmarkStart w:id="4" w:name="_Hlk121755068"/>
      <w:r w:rsidR="00092644">
        <w:t>3</w:t>
      </w:r>
      <w:r w:rsidRPr="00167C39">
        <w:t>:</w:t>
      </w:r>
      <w:bookmarkEnd w:id="4"/>
      <w:r w:rsidRPr="00167C39">
        <w:t xml:space="preserve"> </w:t>
      </w:r>
      <w:r w:rsidRPr="00167C39">
        <w:rPr>
          <w:rStyle w:val="CommentReference"/>
          <w:sz w:val="20"/>
          <w:szCs w:val="22"/>
        </w:rPr>
        <w:t>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w:tblPr>
      <w:tblGrid>
        <w:gridCol w:w="1998"/>
        <w:gridCol w:w="1156"/>
        <w:gridCol w:w="1156"/>
        <w:gridCol w:w="1157"/>
        <w:gridCol w:w="1157"/>
        <w:gridCol w:w="1157"/>
        <w:gridCol w:w="1157"/>
      </w:tblGrid>
      <w:tr w:rsidR="00D70349" w:rsidRPr="00E3694C" w14:paraId="50517F09" w14:textId="77777777" w:rsidTr="00762862">
        <w:trPr>
          <w:cantSplit/>
          <w:tblHeader/>
          <w:jc w:val="center"/>
        </w:trPr>
        <w:tc>
          <w:tcPr>
            <w:tcW w:w="1118" w:type="pct"/>
            <w:shd w:val="clear" w:color="auto" w:fill="auto"/>
            <w:vAlign w:val="center"/>
          </w:tcPr>
          <w:p w14:paraId="146FDDC6" w14:textId="77777777" w:rsidR="00D70349" w:rsidRPr="00E3694C" w:rsidRDefault="00D70349" w:rsidP="00032E57">
            <w:pPr>
              <w:pStyle w:val="TableText0"/>
            </w:pPr>
          </w:p>
        </w:tc>
        <w:tc>
          <w:tcPr>
            <w:tcW w:w="647" w:type="pct"/>
            <w:shd w:val="clear" w:color="auto" w:fill="auto"/>
            <w:vAlign w:val="center"/>
          </w:tcPr>
          <w:p w14:paraId="229BAAA8" w14:textId="77777777" w:rsidR="00D70349" w:rsidRPr="00032E57" w:rsidRDefault="00D70349" w:rsidP="00032E57">
            <w:pPr>
              <w:pStyle w:val="In-tableHeading"/>
              <w:jc w:val="center"/>
              <w:rPr>
                <w:b w:val="0"/>
              </w:rPr>
            </w:pPr>
            <w:r w:rsidRPr="00032E57">
              <w:t>Year 1</w:t>
            </w:r>
          </w:p>
        </w:tc>
        <w:tc>
          <w:tcPr>
            <w:tcW w:w="647" w:type="pct"/>
            <w:shd w:val="clear" w:color="auto" w:fill="auto"/>
            <w:vAlign w:val="center"/>
          </w:tcPr>
          <w:p w14:paraId="48EEAB93" w14:textId="77777777" w:rsidR="00D70349" w:rsidRPr="00032E57" w:rsidRDefault="00D70349" w:rsidP="00032E57">
            <w:pPr>
              <w:pStyle w:val="In-tableHeading"/>
              <w:jc w:val="center"/>
              <w:rPr>
                <w:b w:val="0"/>
              </w:rPr>
            </w:pPr>
            <w:r w:rsidRPr="00032E57">
              <w:t>Year 2</w:t>
            </w:r>
          </w:p>
        </w:tc>
        <w:tc>
          <w:tcPr>
            <w:tcW w:w="647" w:type="pct"/>
            <w:shd w:val="clear" w:color="auto" w:fill="auto"/>
            <w:vAlign w:val="center"/>
          </w:tcPr>
          <w:p w14:paraId="0738F741" w14:textId="77777777" w:rsidR="00D70349" w:rsidRPr="00032E57" w:rsidRDefault="00D70349" w:rsidP="00032E57">
            <w:pPr>
              <w:pStyle w:val="In-tableHeading"/>
              <w:jc w:val="center"/>
              <w:rPr>
                <w:b w:val="0"/>
              </w:rPr>
            </w:pPr>
            <w:r w:rsidRPr="00032E57">
              <w:t>Year 3</w:t>
            </w:r>
          </w:p>
        </w:tc>
        <w:tc>
          <w:tcPr>
            <w:tcW w:w="647" w:type="pct"/>
            <w:shd w:val="clear" w:color="auto" w:fill="auto"/>
            <w:vAlign w:val="center"/>
          </w:tcPr>
          <w:p w14:paraId="2F722BB7" w14:textId="77777777" w:rsidR="00D70349" w:rsidRPr="00032E57" w:rsidRDefault="00D70349" w:rsidP="00032E57">
            <w:pPr>
              <w:pStyle w:val="In-tableHeading"/>
              <w:jc w:val="center"/>
              <w:rPr>
                <w:b w:val="0"/>
              </w:rPr>
            </w:pPr>
            <w:r w:rsidRPr="00032E57">
              <w:t>Year 4</w:t>
            </w:r>
          </w:p>
        </w:tc>
        <w:tc>
          <w:tcPr>
            <w:tcW w:w="647" w:type="pct"/>
            <w:shd w:val="clear" w:color="auto" w:fill="auto"/>
            <w:vAlign w:val="center"/>
          </w:tcPr>
          <w:p w14:paraId="4A03E0AC" w14:textId="77777777" w:rsidR="00D70349" w:rsidRPr="00032E57" w:rsidRDefault="00D70349" w:rsidP="00032E57">
            <w:pPr>
              <w:pStyle w:val="In-tableHeading"/>
              <w:jc w:val="center"/>
              <w:rPr>
                <w:b w:val="0"/>
              </w:rPr>
            </w:pPr>
            <w:r w:rsidRPr="00032E57">
              <w:t>Year 5</w:t>
            </w:r>
          </w:p>
        </w:tc>
        <w:tc>
          <w:tcPr>
            <w:tcW w:w="647" w:type="pct"/>
          </w:tcPr>
          <w:p w14:paraId="11CF147B" w14:textId="77777777" w:rsidR="00D70349" w:rsidRPr="00032E57" w:rsidRDefault="00D70349" w:rsidP="00032E57">
            <w:pPr>
              <w:pStyle w:val="In-tableHeading"/>
              <w:jc w:val="center"/>
              <w:rPr>
                <w:b w:val="0"/>
              </w:rPr>
            </w:pPr>
            <w:r w:rsidRPr="00032E57">
              <w:t>Year 6</w:t>
            </w:r>
          </w:p>
        </w:tc>
      </w:tr>
      <w:tr w:rsidR="00D70349" w:rsidRPr="00E3694C" w14:paraId="07125BC5" w14:textId="77777777" w:rsidTr="00762862">
        <w:trPr>
          <w:cantSplit/>
          <w:jc w:val="center"/>
        </w:trPr>
        <w:tc>
          <w:tcPr>
            <w:tcW w:w="5000" w:type="pct"/>
            <w:gridSpan w:val="7"/>
            <w:shd w:val="clear" w:color="auto" w:fill="auto"/>
            <w:vAlign w:val="center"/>
          </w:tcPr>
          <w:p w14:paraId="618359A1" w14:textId="77777777" w:rsidR="00D70349" w:rsidRPr="00032E57" w:rsidRDefault="00D70349" w:rsidP="00032E57">
            <w:pPr>
              <w:pStyle w:val="In-tableHeading"/>
              <w:rPr>
                <w:b w:val="0"/>
              </w:rPr>
            </w:pPr>
            <w:r w:rsidRPr="00032E57">
              <w:t>Estimated extent of use</w:t>
            </w:r>
          </w:p>
        </w:tc>
      </w:tr>
      <w:tr w:rsidR="00E83E13" w:rsidRPr="00E3694C" w14:paraId="5D5D440C" w14:textId="77777777" w:rsidTr="00032E57">
        <w:trPr>
          <w:cantSplit/>
          <w:jc w:val="center"/>
        </w:trPr>
        <w:tc>
          <w:tcPr>
            <w:tcW w:w="1118" w:type="pct"/>
            <w:shd w:val="clear" w:color="auto" w:fill="auto"/>
            <w:vAlign w:val="center"/>
          </w:tcPr>
          <w:p w14:paraId="359E474F" w14:textId="54E56679" w:rsidR="00E83E13" w:rsidRPr="00032E57" w:rsidRDefault="00E83E13" w:rsidP="00032E57">
            <w:pPr>
              <w:pStyle w:val="TableText0"/>
            </w:pPr>
            <w:r w:rsidRPr="00E3694C">
              <w:t>Number of scripts dispensed</w:t>
            </w:r>
          </w:p>
        </w:tc>
        <w:tc>
          <w:tcPr>
            <w:tcW w:w="647" w:type="pct"/>
            <w:shd w:val="clear" w:color="auto" w:fill="auto"/>
            <w:vAlign w:val="center"/>
          </w:tcPr>
          <w:p w14:paraId="14228129" w14:textId="71918A20"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8"/>
                <w14:textFill>
                  <w14:solidFill>
                    <w14:srgbClr w14:val="000000">
                      <w14:alpha w14:val="100000"/>
                    </w14:srgbClr>
                  </w14:solidFill>
                </w14:textFill>
              </w:rPr>
              <w:t>|</w:t>
            </w:r>
            <w:r w:rsidRPr="00F2263F">
              <w:rPr>
                <w:color w:val="000000"/>
                <w:shd w:val="solid" w:color="000000" w:fill="000000"/>
                <w:fitText w:val="300" w:id="-1234528768"/>
                <w14:textFill>
                  <w14:solidFill>
                    <w14:srgbClr w14:val="000000">
                      <w14:alpha w14:val="100000"/>
                    </w14:srgbClr>
                  </w14:solidFill>
                </w14:textFill>
              </w:rPr>
              <w:t>|</w:t>
            </w:r>
            <w:r w:rsidR="00F935F5" w:rsidRPr="005B64DF">
              <w:rPr>
                <w:vertAlign w:val="superscript"/>
              </w:rPr>
              <w:t>1</w:t>
            </w:r>
          </w:p>
        </w:tc>
        <w:tc>
          <w:tcPr>
            <w:tcW w:w="647" w:type="pct"/>
            <w:shd w:val="clear" w:color="auto" w:fill="auto"/>
            <w:vAlign w:val="center"/>
          </w:tcPr>
          <w:p w14:paraId="0AC1C51C" w14:textId="7B3191C0"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7"/>
                <w14:textFill>
                  <w14:solidFill>
                    <w14:srgbClr w14:val="000000">
                      <w14:alpha w14:val="100000"/>
                    </w14:srgbClr>
                  </w14:solidFill>
                </w14:textFill>
              </w:rPr>
              <w:t>|</w:t>
            </w:r>
            <w:r w:rsidRPr="00F2263F">
              <w:rPr>
                <w:color w:val="000000"/>
                <w:shd w:val="solid" w:color="000000" w:fill="000000"/>
                <w:fitText w:val="300" w:id="-1234528767"/>
                <w14:textFill>
                  <w14:solidFill>
                    <w14:srgbClr w14:val="000000">
                      <w14:alpha w14:val="100000"/>
                    </w14:srgbClr>
                  </w14:solidFill>
                </w14:textFill>
              </w:rPr>
              <w:t>|</w:t>
            </w:r>
            <w:r w:rsidR="00505CE8">
              <w:rPr>
                <w:vertAlign w:val="superscript"/>
              </w:rPr>
              <w:t>2</w:t>
            </w:r>
          </w:p>
        </w:tc>
        <w:tc>
          <w:tcPr>
            <w:tcW w:w="647" w:type="pct"/>
            <w:shd w:val="clear" w:color="auto" w:fill="auto"/>
            <w:vAlign w:val="center"/>
          </w:tcPr>
          <w:p w14:paraId="46B37406" w14:textId="7F7C8CE1"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6"/>
                <w14:textFill>
                  <w14:solidFill>
                    <w14:srgbClr w14:val="000000">
                      <w14:alpha w14:val="100000"/>
                    </w14:srgbClr>
                  </w14:solidFill>
                </w14:textFill>
              </w:rPr>
              <w:t>|</w:t>
            </w:r>
            <w:r w:rsidRPr="00F2263F">
              <w:rPr>
                <w:color w:val="000000"/>
                <w:shd w:val="solid" w:color="000000" w:fill="000000"/>
                <w:fitText w:val="300" w:id="-1234528766"/>
                <w14:textFill>
                  <w14:solidFill>
                    <w14:srgbClr w14:val="000000">
                      <w14:alpha w14:val="100000"/>
                    </w14:srgbClr>
                  </w14:solidFill>
                </w14:textFill>
              </w:rPr>
              <w:t>|</w:t>
            </w:r>
            <w:r w:rsidR="00505CE8">
              <w:rPr>
                <w:vertAlign w:val="superscript"/>
              </w:rPr>
              <w:t>3</w:t>
            </w:r>
          </w:p>
        </w:tc>
        <w:tc>
          <w:tcPr>
            <w:tcW w:w="647" w:type="pct"/>
            <w:shd w:val="clear" w:color="auto" w:fill="auto"/>
            <w:vAlign w:val="center"/>
          </w:tcPr>
          <w:p w14:paraId="6D76F480" w14:textId="15E9C767"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5"/>
                <w14:textFill>
                  <w14:solidFill>
                    <w14:srgbClr w14:val="000000">
                      <w14:alpha w14:val="100000"/>
                    </w14:srgbClr>
                  </w14:solidFill>
                </w14:textFill>
              </w:rPr>
              <w:t>|</w:t>
            </w:r>
            <w:r w:rsidRPr="00F2263F">
              <w:rPr>
                <w:color w:val="000000"/>
                <w:shd w:val="solid" w:color="000000" w:fill="000000"/>
                <w:fitText w:val="300" w:id="-1234528765"/>
                <w14:textFill>
                  <w14:solidFill>
                    <w14:srgbClr w14:val="000000">
                      <w14:alpha w14:val="100000"/>
                    </w14:srgbClr>
                  </w14:solidFill>
                </w14:textFill>
              </w:rPr>
              <w:t>|</w:t>
            </w:r>
            <w:r w:rsidR="00505CE8">
              <w:rPr>
                <w:vertAlign w:val="superscript"/>
              </w:rPr>
              <w:t>3</w:t>
            </w:r>
          </w:p>
        </w:tc>
        <w:tc>
          <w:tcPr>
            <w:tcW w:w="647" w:type="pct"/>
            <w:shd w:val="clear" w:color="auto" w:fill="auto"/>
            <w:vAlign w:val="center"/>
          </w:tcPr>
          <w:p w14:paraId="078EC90A" w14:textId="37A912AD"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4"/>
                <w14:textFill>
                  <w14:solidFill>
                    <w14:srgbClr w14:val="000000">
                      <w14:alpha w14:val="100000"/>
                    </w14:srgbClr>
                  </w14:solidFill>
                </w14:textFill>
              </w:rPr>
              <w:t>|</w:t>
            </w:r>
            <w:r w:rsidRPr="00F2263F">
              <w:rPr>
                <w:color w:val="000000"/>
                <w:shd w:val="solid" w:color="000000" w:fill="000000"/>
                <w:fitText w:val="300" w:id="-1234528764"/>
                <w14:textFill>
                  <w14:solidFill>
                    <w14:srgbClr w14:val="000000">
                      <w14:alpha w14:val="100000"/>
                    </w14:srgbClr>
                  </w14:solidFill>
                </w14:textFill>
              </w:rPr>
              <w:t>|</w:t>
            </w:r>
            <w:r w:rsidR="00505CE8">
              <w:rPr>
                <w:vertAlign w:val="superscript"/>
              </w:rPr>
              <w:t>4</w:t>
            </w:r>
          </w:p>
        </w:tc>
        <w:tc>
          <w:tcPr>
            <w:tcW w:w="647" w:type="pct"/>
            <w:vAlign w:val="center"/>
          </w:tcPr>
          <w:p w14:paraId="0BC345E6" w14:textId="763B4EAF"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3"/>
                <w14:textFill>
                  <w14:solidFill>
                    <w14:srgbClr w14:val="000000">
                      <w14:alpha w14:val="100000"/>
                    </w14:srgbClr>
                  </w14:solidFill>
                </w14:textFill>
              </w:rPr>
              <w:t>|</w:t>
            </w:r>
            <w:r w:rsidRPr="00F2263F">
              <w:rPr>
                <w:color w:val="000000"/>
                <w:shd w:val="solid" w:color="000000" w:fill="000000"/>
                <w:fitText w:val="300" w:id="-1234528763"/>
                <w14:textFill>
                  <w14:solidFill>
                    <w14:srgbClr w14:val="000000">
                      <w14:alpha w14:val="100000"/>
                    </w14:srgbClr>
                  </w14:solidFill>
                </w14:textFill>
              </w:rPr>
              <w:t>|</w:t>
            </w:r>
            <w:r w:rsidR="00505CE8">
              <w:rPr>
                <w:vertAlign w:val="superscript"/>
              </w:rPr>
              <w:t>4</w:t>
            </w:r>
          </w:p>
        </w:tc>
      </w:tr>
      <w:tr w:rsidR="00E83E13" w:rsidRPr="00E3694C" w14:paraId="046AEB1E" w14:textId="77777777" w:rsidTr="001C20E1">
        <w:trPr>
          <w:cantSplit/>
          <w:jc w:val="center"/>
        </w:trPr>
        <w:tc>
          <w:tcPr>
            <w:tcW w:w="5000" w:type="pct"/>
            <w:gridSpan w:val="7"/>
            <w:shd w:val="clear" w:color="auto" w:fill="auto"/>
            <w:vAlign w:val="center"/>
          </w:tcPr>
          <w:p w14:paraId="750CBAE5" w14:textId="29F0314E" w:rsidR="00E83E13" w:rsidRPr="00032E57" w:rsidRDefault="00E83E13" w:rsidP="00032E57">
            <w:pPr>
              <w:pStyle w:val="In-tableHeading"/>
              <w:rPr>
                <w:b w:val="0"/>
              </w:rPr>
            </w:pPr>
            <w:r w:rsidRPr="00032E57">
              <w:t xml:space="preserve">Estimated financial implications of </w:t>
            </w:r>
            <w:r w:rsidR="008C244F">
              <w:t>Systane Hydration</w:t>
            </w:r>
          </w:p>
        </w:tc>
      </w:tr>
      <w:tr w:rsidR="00E83E13" w:rsidRPr="00E3694C" w14:paraId="3993658E" w14:textId="77777777" w:rsidTr="00032E57">
        <w:trPr>
          <w:cantSplit/>
          <w:jc w:val="center"/>
        </w:trPr>
        <w:tc>
          <w:tcPr>
            <w:tcW w:w="1118" w:type="pct"/>
            <w:shd w:val="clear" w:color="auto" w:fill="auto"/>
            <w:vAlign w:val="center"/>
          </w:tcPr>
          <w:p w14:paraId="375802A8" w14:textId="6CE277AB" w:rsidR="00E83E13" w:rsidRPr="00E3694C" w:rsidRDefault="00E83E13" w:rsidP="00032E57">
            <w:pPr>
              <w:pStyle w:val="TableText0"/>
            </w:pPr>
            <w:r w:rsidRPr="00E3694C">
              <w:t>Cost to PBS/RPBS less co-payment</w:t>
            </w:r>
            <w:r w:rsidR="00F935F5">
              <w:t xml:space="preserve"> ($)</w:t>
            </w:r>
          </w:p>
        </w:tc>
        <w:tc>
          <w:tcPr>
            <w:tcW w:w="647" w:type="pct"/>
            <w:shd w:val="clear" w:color="auto" w:fill="auto"/>
            <w:vAlign w:val="center"/>
          </w:tcPr>
          <w:p w14:paraId="466AAD3D" w14:textId="4E83BAEC"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2"/>
                <w14:textFill>
                  <w14:solidFill>
                    <w14:srgbClr w14:val="000000">
                      <w14:alpha w14:val="100000"/>
                    </w14:srgbClr>
                  </w14:solidFill>
                </w14:textFill>
              </w:rPr>
              <w:t>|</w:t>
            </w:r>
            <w:r w:rsidRPr="00F2263F">
              <w:rPr>
                <w:color w:val="000000"/>
                <w:shd w:val="solid" w:color="000000" w:fill="000000"/>
                <w:fitText w:val="300" w:id="-1234528762"/>
                <w14:textFill>
                  <w14:solidFill>
                    <w14:srgbClr w14:val="000000">
                      <w14:alpha w14:val="100000"/>
                    </w14:srgbClr>
                  </w14:solidFill>
                </w14:textFill>
              </w:rPr>
              <w:t>|</w:t>
            </w:r>
            <w:r w:rsidR="00505CE8">
              <w:rPr>
                <w:vertAlign w:val="superscript"/>
              </w:rPr>
              <w:t>5</w:t>
            </w:r>
          </w:p>
        </w:tc>
        <w:tc>
          <w:tcPr>
            <w:tcW w:w="647" w:type="pct"/>
            <w:shd w:val="clear" w:color="auto" w:fill="auto"/>
            <w:vAlign w:val="center"/>
          </w:tcPr>
          <w:p w14:paraId="0584DE92" w14:textId="2634887A"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1"/>
                <w14:textFill>
                  <w14:solidFill>
                    <w14:srgbClr w14:val="000000">
                      <w14:alpha w14:val="100000"/>
                    </w14:srgbClr>
                  </w14:solidFill>
                </w14:textFill>
              </w:rPr>
              <w:t>|</w:t>
            </w:r>
            <w:r w:rsidRPr="00F2263F">
              <w:rPr>
                <w:color w:val="000000"/>
                <w:shd w:val="solid" w:color="000000" w:fill="000000"/>
                <w:fitText w:val="300" w:id="-1234528761"/>
                <w14:textFill>
                  <w14:solidFill>
                    <w14:srgbClr w14:val="000000">
                      <w14:alpha w14:val="100000"/>
                    </w14:srgbClr>
                  </w14:solidFill>
                </w14:textFill>
              </w:rPr>
              <w:t>|</w:t>
            </w:r>
            <w:r w:rsidR="00505CE8">
              <w:rPr>
                <w:vertAlign w:val="superscript"/>
              </w:rPr>
              <w:t>5</w:t>
            </w:r>
          </w:p>
        </w:tc>
        <w:tc>
          <w:tcPr>
            <w:tcW w:w="647" w:type="pct"/>
            <w:shd w:val="clear" w:color="auto" w:fill="auto"/>
            <w:vAlign w:val="center"/>
          </w:tcPr>
          <w:p w14:paraId="555B3F9C" w14:textId="1C64A4BC" w:rsidR="00E83E13" w:rsidRPr="005B64DF" w:rsidRDefault="00F2263F" w:rsidP="00032E57">
            <w:pPr>
              <w:pStyle w:val="TableText0"/>
              <w:jc w:val="center"/>
              <w:rPr>
                <w:highlight w:val="darkGray"/>
              </w:rPr>
            </w:pPr>
            <w:r w:rsidRPr="00F2263F">
              <w:rPr>
                <w:color w:val="000000"/>
                <w:spacing w:val="214"/>
                <w:shd w:val="solid" w:color="000000" w:fill="000000"/>
                <w:fitText w:val="300" w:id="-1234528760"/>
                <w14:textFill>
                  <w14:solidFill>
                    <w14:srgbClr w14:val="000000">
                      <w14:alpha w14:val="100000"/>
                    </w14:srgbClr>
                  </w14:solidFill>
                </w14:textFill>
              </w:rPr>
              <w:t>|</w:t>
            </w:r>
            <w:r w:rsidRPr="00F2263F">
              <w:rPr>
                <w:color w:val="000000"/>
                <w:shd w:val="solid" w:color="000000" w:fill="000000"/>
                <w:fitText w:val="300" w:id="-1234528760"/>
                <w14:textFill>
                  <w14:solidFill>
                    <w14:srgbClr w14:val="000000">
                      <w14:alpha w14:val="100000"/>
                    </w14:srgbClr>
                  </w14:solidFill>
                </w14:textFill>
              </w:rPr>
              <w:t>|</w:t>
            </w:r>
            <w:r w:rsidR="00505CE8">
              <w:rPr>
                <w:vertAlign w:val="superscript"/>
              </w:rPr>
              <w:t>5</w:t>
            </w:r>
          </w:p>
        </w:tc>
        <w:tc>
          <w:tcPr>
            <w:tcW w:w="647" w:type="pct"/>
            <w:shd w:val="clear" w:color="auto" w:fill="auto"/>
            <w:vAlign w:val="center"/>
          </w:tcPr>
          <w:p w14:paraId="28A422D5" w14:textId="0D71CB65"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12"/>
                <w14:textFill>
                  <w14:solidFill>
                    <w14:srgbClr w14:val="000000">
                      <w14:alpha w14:val="100000"/>
                    </w14:srgbClr>
                  </w14:solidFill>
                </w14:textFill>
              </w:rPr>
              <w:t>|</w:t>
            </w:r>
            <w:r w:rsidRPr="00F2263F">
              <w:rPr>
                <w:color w:val="000000"/>
                <w:shd w:val="solid" w:color="000000" w:fill="000000"/>
                <w:fitText w:val="300" w:id="-1234528512"/>
                <w14:textFill>
                  <w14:solidFill>
                    <w14:srgbClr w14:val="000000">
                      <w14:alpha w14:val="100000"/>
                    </w14:srgbClr>
                  </w14:solidFill>
                </w14:textFill>
              </w:rPr>
              <w:t>|</w:t>
            </w:r>
            <w:r w:rsidR="00505CE8">
              <w:rPr>
                <w:vertAlign w:val="superscript"/>
              </w:rPr>
              <w:t>5</w:t>
            </w:r>
          </w:p>
        </w:tc>
        <w:tc>
          <w:tcPr>
            <w:tcW w:w="647" w:type="pct"/>
            <w:shd w:val="clear" w:color="auto" w:fill="auto"/>
            <w:vAlign w:val="center"/>
          </w:tcPr>
          <w:p w14:paraId="3BD91315" w14:textId="2DEFC3FE"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11"/>
                <w14:textFill>
                  <w14:solidFill>
                    <w14:srgbClr w14:val="000000">
                      <w14:alpha w14:val="100000"/>
                    </w14:srgbClr>
                  </w14:solidFill>
                </w14:textFill>
              </w:rPr>
              <w:t>|</w:t>
            </w:r>
            <w:r w:rsidRPr="00F2263F">
              <w:rPr>
                <w:color w:val="000000"/>
                <w:shd w:val="solid" w:color="000000" w:fill="000000"/>
                <w:fitText w:val="300" w:id="-1234528511"/>
                <w14:textFill>
                  <w14:solidFill>
                    <w14:srgbClr w14:val="000000">
                      <w14:alpha w14:val="100000"/>
                    </w14:srgbClr>
                  </w14:solidFill>
                </w14:textFill>
              </w:rPr>
              <w:t>|</w:t>
            </w:r>
            <w:r w:rsidR="00505CE8">
              <w:rPr>
                <w:vertAlign w:val="superscript"/>
              </w:rPr>
              <w:t>5</w:t>
            </w:r>
          </w:p>
        </w:tc>
        <w:tc>
          <w:tcPr>
            <w:tcW w:w="647" w:type="pct"/>
            <w:vAlign w:val="center"/>
          </w:tcPr>
          <w:p w14:paraId="11BDCDF8" w14:textId="614714F1"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10"/>
                <w14:textFill>
                  <w14:solidFill>
                    <w14:srgbClr w14:val="000000">
                      <w14:alpha w14:val="100000"/>
                    </w14:srgbClr>
                  </w14:solidFill>
                </w14:textFill>
              </w:rPr>
              <w:t>|</w:t>
            </w:r>
            <w:r w:rsidRPr="00F2263F">
              <w:rPr>
                <w:color w:val="000000"/>
                <w:shd w:val="solid" w:color="000000" w:fill="000000"/>
                <w:fitText w:val="300" w:id="-1234528510"/>
                <w14:textFill>
                  <w14:solidFill>
                    <w14:srgbClr w14:val="000000">
                      <w14:alpha w14:val="100000"/>
                    </w14:srgbClr>
                  </w14:solidFill>
                </w14:textFill>
              </w:rPr>
              <w:t>|</w:t>
            </w:r>
            <w:r w:rsidR="00505CE8">
              <w:rPr>
                <w:vertAlign w:val="superscript"/>
              </w:rPr>
              <w:t>5</w:t>
            </w:r>
          </w:p>
        </w:tc>
      </w:tr>
      <w:tr w:rsidR="00E83E13" w:rsidRPr="00E3694C" w14:paraId="39B4F20E" w14:textId="77777777" w:rsidTr="00762862">
        <w:trPr>
          <w:cantSplit/>
          <w:jc w:val="center"/>
        </w:trPr>
        <w:tc>
          <w:tcPr>
            <w:tcW w:w="5000" w:type="pct"/>
            <w:gridSpan w:val="7"/>
            <w:shd w:val="clear" w:color="auto" w:fill="auto"/>
            <w:vAlign w:val="center"/>
          </w:tcPr>
          <w:p w14:paraId="726221BB" w14:textId="6ED7AF25" w:rsidR="00E83E13" w:rsidRPr="00032E57" w:rsidRDefault="00E83E13" w:rsidP="00032E57">
            <w:pPr>
              <w:pStyle w:val="In-tableHeading"/>
              <w:rPr>
                <w:b w:val="0"/>
              </w:rPr>
            </w:pPr>
            <w:bookmarkStart w:id="5" w:name="_Hlk88815214"/>
            <w:r w:rsidRPr="00032E57">
              <w:t xml:space="preserve">Estimated financial implications of </w:t>
            </w:r>
            <w:r w:rsidR="00DB015C" w:rsidRPr="00032E57">
              <w:t>PBS listed</w:t>
            </w:r>
            <w:r w:rsidR="008C244F">
              <w:t xml:space="preserve"> MDPF</w:t>
            </w:r>
            <w:r w:rsidR="00DB015C" w:rsidRPr="00032E57">
              <w:t xml:space="preserve"> ocular lubricants</w:t>
            </w:r>
            <w:r w:rsidR="0090102E">
              <w:t xml:space="preserve"> </w:t>
            </w:r>
          </w:p>
        </w:tc>
      </w:tr>
      <w:tr w:rsidR="00E83E13" w:rsidRPr="00E3694C" w14:paraId="5F183828" w14:textId="77777777" w:rsidTr="00032E57">
        <w:trPr>
          <w:cantSplit/>
          <w:jc w:val="center"/>
        </w:trPr>
        <w:tc>
          <w:tcPr>
            <w:tcW w:w="1118" w:type="pct"/>
            <w:shd w:val="clear" w:color="auto" w:fill="auto"/>
            <w:vAlign w:val="center"/>
          </w:tcPr>
          <w:p w14:paraId="6DB6C4F2" w14:textId="7DF01094" w:rsidR="00E83E13" w:rsidRPr="00E3694C" w:rsidRDefault="00E83E13" w:rsidP="00032E57">
            <w:pPr>
              <w:pStyle w:val="TableText0"/>
            </w:pPr>
            <w:r w:rsidRPr="00E3694C">
              <w:t>Cost to PBS/RPBS less co-payment</w:t>
            </w:r>
            <w:r w:rsidR="00F935F5">
              <w:t xml:space="preserve"> ($)</w:t>
            </w:r>
          </w:p>
        </w:tc>
        <w:tc>
          <w:tcPr>
            <w:tcW w:w="647" w:type="pct"/>
            <w:shd w:val="clear" w:color="auto" w:fill="auto"/>
            <w:vAlign w:val="center"/>
          </w:tcPr>
          <w:p w14:paraId="17AE6B28" w14:textId="5E2230B6"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9"/>
                <w14:textFill>
                  <w14:solidFill>
                    <w14:srgbClr w14:val="000000">
                      <w14:alpha w14:val="100000"/>
                    </w14:srgbClr>
                  </w14:solidFill>
                </w14:textFill>
              </w:rPr>
              <w:t>|</w:t>
            </w:r>
            <w:r w:rsidRPr="00F2263F">
              <w:rPr>
                <w:color w:val="000000"/>
                <w:shd w:val="solid" w:color="000000" w:fill="000000"/>
                <w:fitText w:val="300" w:id="-1234528509"/>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19519F19" w14:textId="59122031"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8"/>
                <w14:textFill>
                  <w14:solidFill>
                    <w14:srgbClr w14:val="000000">
                      <w14:alpha w14:val="100000"/>
                    </w14:srgbClr>
                  </w14:solidFill>
                </w14:textFill>
              </w:rPr>
              <w:t>|</w:t>
            </w:r>
            <w:r w:rsidRPr="00F2263F">
              <w:rPr>
                <w:color w:val="000000"/>
                <w:shd w:val="solid" w:color="000000" w:fill="000000"/>
                <w:fitText w:val="300" w:id="-1234528508"/>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6B513315" w14:textId="4B5033D8"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7"/>
                <w14:textFill>
                  <w14:solidFill>
                    <w14:srgbClr w14:val="000000">
                      <w14:alpha w14:val="100000"/>
                    </w14:srgbClr>
                  </w14:solidFill>
                </w14:textFill>
              </w:rPr>
              <w:t>|</w:t>
            </w:r>
            <w:r w:rsidRPr="00F2263F">
              <w:rPr>
                <w:color w:val="000000"/>
                <w:shd w:val="solid" w:color="000000" w:fill="000000"/>
                <w:fitText w:val="300" w:id="-1234528507"/>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2521A4E4" w14:textId="5373E63F"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6"/>
                <w14:textFill>
                  <w14:solidFill>
                    <w14:srgbClr w14:val="000000">
                      <w14:alpha w14:val="100000"/>
                    </w14:srgbClr>
                  </w14:solidFill>
                </w14:textFill>
              </w:rPr>
              <w:t>|</w:t>
            </w:r>
            <w:r w:rsidRPr="00F2263F">
              <w:rPr>
                <w:color w:val="000000"/>
                <w:shd w:val="solid" w:color="000000" w:fill="000000"/>
                <w:fitText w:val="300" w:id="-1234528506"/>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16BF86D6" w14:textId="5FD6F9AF"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5"/>
                <w14:textFill>
                  <w14:solidFill>
                    <w14:srgbClr w14:val="000000">
                      <w14:alpha w14:val="100000"/>
                    </w14:srgbClr>
                  </w14:solidFill>
                </w14:textFill>
              </w:rPr>
              <w:t>|</w:t>
            </w:r>
            <w:r w:rsidRPr="00F2263F">
              <w:rPr>
                <w:color w:val="000000"/>
                <w:shd w:val="solid" w:color="000000" w:fill="000000"/>
                <w:fitText w:val="300" w:id="-1234528505"/>
                <w14:textFill>
                  <w14:solidFill>
                    <w14:srgbClr w14:val="000000">
                      <w14:alpha w14:val="100000"/>
                    </w14:srgbClr>
                  </w14:solidFill>
                </w14:textFill>
              </w:rPr>
              <w:t>|</w:t>
            </w:r>
            <w:r w:rsidR="00505CE8">
              <w:rPr>
                <w:vertAlign w:val="superscript"/>
              </w:rPr>
              <w:t>6</w:t>
            </w:r>
          </w:p>
        </w:tc>
        <w:tc>
          <w:tcPr>
            <w:tcW w:w="647" w:type="pct"/>
            <w:vAlign w:val="center"/>
          </w:tcPr>
          <w:p w14:paraId="4CA48892" w14:textId="7A5EFC1A"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4"/>
                <w14:textFill>
                  <w14:solidFill>
                    <w14:srgbClr w14:val="000000">
                      <w14:alpha w14:val="100000"/>
                    </w14:srgbClr>
                  </w14:solidFill>
                </w14:textFill>
              </w:rPr>
              <w:t>|</w:t>
            </w:r>
            <w:r w:rsidRPr="00F2263F">
              <w:rPr>
                <w:color w:val="000000"/>
                <w:shd w:val="solid" w:color="000000" w:fill="000000"/>
                <w:fitText w:val="300" w:id="-1234528504"/>
                <w14:textFill>
                  <w14:solidFill>
                    <w14:srgbClr w14:val="000000">
                      <w14:alpha w14:val="100000"/>
                    </w14:srgbClr>
                  </w14:solidFill>
                </w14:textFill>
              </w:rPr>
              <w:t>|</w:t>
            </w:r>
            <w:r w:rsidR="00505CE8">
              <w:rPr>
                <w:vertAlign w:val="superscript"/>
              </w:rPr>
              <w:t>6</w:t>
            </w:r>
            <w:r w:rsidRPr="00F2263F">
              <w:t xml:space="preserve"> </w:t>
            </w:r>
          </w:p>
        </w:tc>
      </w:tr>
      <w:bookmarkEnd w:id="5"/>
      <w:tr w:rsidR="00E83E13" w:rsidRPr="00E3694C" w14:paraId="3CD835A0" w14:textId="77777777" w:rsidTr="000C1AFF">
        <w:trPr>
          <w:cantSplit/>
          <w:jc w:val="center"/>
        </w:trPr>
        <w:tc>
          <w:tcPr>
            <w:tcW w:w="5000" w:type="pct"/>
            <w:gridSpan w:val="7"/>
            <w:shd w:val="clear" w:color="auto" w:fill="auto"/>
            <w:vAlign w:val="center"/>
          </w:tcPr>
          <w:p w14:paraId="0717F32A" w14:textId="599CB1D7" w:rsidR="00E83E13" w:rsidRPr="00032E57" w:rsidRDefault="00E83E13" w:rsidP="00032E57">
            <w:pPr>
              <w:pStyle w:val="In-tableHeading"/>
              <w:rPr>
                <w:b w:val="0"/>
                <w:bCs/>
              </w:rPr>
            </w:pPr>
            <w:r w:rsidRPr="00032E57">
              <w:t>Net financial implications</w:t>
            </w:r>
          </w:p>
        </w:tc>
      </w:tr>
      <w:tr w:rsidR="00E83E13" w:rsidRPr="00E3694C" w14:paraId="6DC7AAF7" w14:textId="77777777" w:rsidTr="00032E57">
        <w:trPr>
          <w:cantSplit/>
          <w:jc w:val="center"/>
        </w:trPr>
        <w:tc>
          <w:tcPr>
            <w:tcW w:w="1118" w:type="pct"/>
            <w:shd w:val="clear" w:color="auto" w:fill="auto"/>
            <w:vAlign w:val="center"/>
          </w:tcPr>
          <w:p w14:paraId="41FA959D" w14:textId="74D7148A" w:rsidR="00E83E13" w:rsidRPr="00E3694C" w:rsidRDefault="00E83E13" w:rsidP="00032E57">
            <w:pPr>
              <w:pStyle w:val="TableText0"/>
            </w:pPr>
            <w:r w:rsidRPr="00E3694C">
              <w:t>Net cost to PBS/RPBS</w:t>
            </w:r>
            <w:r w:rsidR="00F935F5">
              <w:t xml:space="preserve"> ($)</w:t>
            </w:r>
          </w:p>
        </w:tc>
        <w:tc>
          <w:tcPr>
            <w:tcW w:w="647" w:type="pct"/>
            <w:shd w:val="clear" w:color="auto" w:fill="auto"/>
            <w:vAlign w:val="center"/>
          </w:tcPr>
          <w:p w14:paraId="454A7C1B" w14:textId="059C8E20"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3"/>
                <w14:textFill>
                  <w14:solidFill>
                    <w14:srgbClr w14:val="000000">
                      <w14:alpha w14:val="100000"/>
                    </w14:srgbClr>
                  </w14:solidFill>
                </w14:textFill>
              </w:rPr>
              <w:t>|</w:t>
            </w:r>
            <w:r w:rsidRPr="00F2263F">
              <w:rPr>
                <w:color w:val="000000"/>
                <w:shd w:val="solid" w:color="000000" w:fill="000000"/>
                <w:fitText w:val="300" w:id="-1234528503"/>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5587EA01" w14:textId="10FC8B03"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2"/>
                <w14:textFill>
                  <w14:solidFill>
                    <w14:srgbClr w14:val="000000">
                      <w14:alpha w14:val="100000"/>
                    </w14:srgbClr>
                  </w14:solidFill>
                </w14:textFill>
              </w:rPr>
              <w:t>|</w:t>
            </w:r>
            <w:r w:rsidRPr="00F2263F">
              <w:rPr>
                <w:color w:val="000000"/>
                <w:shd w:val="solid" w:color="000000" w:fill="000000"/>
                <w:fitText w:val="300" w:id="-1234528502"/>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5A290C2B" w14:textId="1BC91AEC"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1"/>
                <w14:textFill>
                  <w14:solidFill>
                    <w14:srgbClr w14:val="000000">
                      <w14:alpha w14:val="100000"/>
                    </w14:srgbClr>
                  </w14:solidFill>
                </w14:textFill>
              </w:rPr>
              <w:t>|</w:t>
            </w:r>
            <w:r w:rsidRPr="00F2263F">
              <w:rPr>
                <w:color w:val="000000"/>
                <w:shd w:val="solid" w:color="000000" w:fill="000000"/>
                <w:fitText w:val="300" w:id="-1234528501"/>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73C4A55C" w14:textId="0037E9CC" w:rsidR="00E83E13" w:rsidRPr="005B64DF" w:rsidRDefault="00F2263F" w:rsidP="00032E57">
            <w:pPr>
              <w:pStyle w:val="TableText0"/>
              <w:jc w:val="center"/>
              <w:rPr>
                <w:highlight w:val="darkGray"/>
              </w:rPr>
            </w:pPr>
            <w:r w:rsidRPr="00F2263F">
              <w:rPr>
                <w:color w:val="000000"/>
                <w:spacing w:val="214"/>
                <w:shd w:val="solid" w:color="000000" w:fill="000000"/>
                <w:fitText w:val="300" w:id="-1234528500"/>
                <w14:textFill>
                  <w14:solidFill>
                    <w14:srgbClr w14:val="000000">
                      <w14:alpha w14:val="100000"/>
                    </w14:srgbClr>
                  </w14:solidFill>
                </w14:textFill>
              </w:rPr>
              <w:t>|</w:t>
            </w:r>
            <w:r w:rsidRPr="00F2263F">
              <w:rPr>
                <w:color w:val="000000"/>
                <w:shd w:val="solid" w:color="000000" w:fill="000000"/>
                <w:fitText w:val="300" w:id="-1234528500"/>
                <w14:textFill>
                  <w14:solidFill>
                    <w14:srgbClr w14:val="000000">
                      <w14:alpha w14:val="100000"/>
                    </w14:srgbClr>
                  </w14:solidFill>
                </w14:textFill>
              </w:rPr>
              <w:t>|</w:t>
            </w:r>
            <w:r w:rsidR="00505CE8">
              <w:rPr>
                <w:vertAlign w:val="superscript"/>
              </w:rPr>
              <w:t>6</w:t>
            </w:r>
          </w:p>
        </w:tc>
        <w:tc>
          <w:tcPr>
            <w:tcW w:w="647" w:type="pct"/>
            <w:shd w:val="clear" w:color="auto" w:fill="auto"/>
            <w:vAlign w:val="center"/>
          </w:tcPr>
          <w:p w14:paraId="5A08AF29" w14:textId="34A44F95" w:rsidR="00E83E13" w:rsidRPr="005B64DF" w:rsidRDefault="00F2263F" w:rsidP="00032E57">
            <w:pPr>
              <w:pStyle w:val="TableText0"/>
              <w:jc w:val="center"/>
              <w:rPr>
                <w:highlight w:val="darkGray"/>
              </w:rPr>
            </w:pPr>
            <w:r w:rsidRPr="00F2263F">
              <w:rPr>
                <w:color w:val="000000"/>
                <w:spacing w:val="214"/>
                <w:shd w:val="solid" w:color="000000" w:fill="000000"/>
                <w:fitText w:val="300" w:id="-1234528499"/>
                <w14:textFill>
                  <w14:solidFill>
                    <w14:srgbClr w14:val="000000">
                      <w14:alpha w14:val="100000"/>
                    </w14:srgbClr>
                  </w14:solidFill>
                </w14:textFill>
              </w:rPr>
              <w:t>|</w:t>
            </w:r>
            <w:r w:rsidRPr="00F2263F">
              <w:rPr>
                <w:color w:val="000000"/>
                <w:shd w:val="solid" w:color="000000" w:fill="000000"/>
                <w:fitText w:val="300" w:id="-1234528499"/>
                <w14:textFill>
                  <w14:solidFill>
                    <w14:srgbClr w14:val="000000">
                      <w14:alpha w14:val="100000"/>
                    </w14:srgbClr>
                  </w14:solidFill>
                </w14:textFill>
              </w:rPr>
              <w:t>|</w:t>
            </w:r>
            <w:r w:rsidR="00505CE8">
              <w:rPr>
                <w:vertAlign w:val="superscript"/>
              </w:rPr>
              <w:t>6</w:t>
            </w:r>
          </w:p>
        </w:tc>
        <w:tc>
          <w:tcPr>
            <w:tcW w:w="647" w:type="pct"/>
            <w:vAlign w:val="center"/>
          </w:tcPr>
          <w:p w14:paraId="1A3491BC" w14:textId="25C5CF4D" w:rsidR="00E83E13" w:rsidRPr="005B64DF" w:rsidRDefault="00F2263F" w:rsidP="00032E57">
            <w:pPr>
              <w:pStyle w:val="TableText0"/>
              <w:jc w:val="center"/>
              <w:rPr>
                <w:highlight w:val="darkGray"/>
              </w:rPr>
            </w:pPr>
            <w:r w:rsidRPr="00F2263F">
              <w:rPr>
                <w:color w:val="000000"/>
                <w:spacing w:val="214"/>
                <w:shd w:val="solid" w:color="000000" w:fill="000000"/>
                <w:fitText w:val="300" w:id="-1234528498"/>
                <w14:textFill>
                  <w14:solidFill>
                    <w14:srgbClr w14:val="000000">
                      <w14:alpha w14:val="100000"/>
                    </w14:srgbClr>
                  </w14:solidFill>
                </w14:textFill>
              </w:rPr>
              <w:t>|</w:t>
            </w:r>
            <w:r w:rsidRPr="00F2263F">
              <w:rPr>
                <w:color w:val="000000"/>
                <w:shd w:val="solid" w:color="000000" w:fill="000000"/>
                <w:fitText w:val="300" w:id="-1234528498"/>
                <w14:textFill>
                  <w14:solidFill>
                    <w14:srgbClr w14:val="000000">
                      <w14:alpha w14:val="100000"/>
                    </w14:srgbClr>
                  </w14:solidFill>
                </w14:textFill>
              </w:rPr>
              <w:t>|</w:t>
            </w:r>
            <w:r w:rsidR="00505CE8">
              <w:rPr>
                <w:vertAlign w:val="superscript"/>
              </w:rPr>
              <w:t>6</w:t>
            </w:r>
          </w:p>
        </w:tc>
      </w:tr>
    </w:tbl>
    <w:p w14:paraId="42320224" w14:textId="489B63F4" w:rsidR="00D70349" w:rsidRPr="00167C39" w:rsidRDefault="00AB4684" w:rsidP="00032E57">
      <w:pPr>
        <w:pStyle w:val="TableFigureFooter"/>
      </w:pPr>
      <w:r w:rsidRPr="00AB4684">
        <w:t>Abbreviations: MBS = Medical Benefits Scheme; PBS = Pharmaceutical Benefits Scheme; RPBS = Repatriation Pharmaceutical Benefits Scheme.</w:t>
      </w:r>
    </w:p>
    <w:p w14:paraId="1389098E" w14:textId="258B0BF4" w:rsidR="00D70349" w:rsidRDefault="00D70349" w:rsidP="001A36EB">
      <w:pPr>
        <w:pStyle w:val="TableFigureFooter"/>
        <w:spacing w:after="0"/>
      </w:pPr>
      <w:r w:rsidRPr="00167C39">
        <w:t xml:space="preserve">Source: </w:t>
      </w:r>
      <w:r w:rsidR="009E10AD" w:rsidRPr="007E23EB">
        <w:t>[</w:t>
      </w:r>
      <w:r w:rsidRPr="007E23EB">
        <w:t>Table</w:t>
      </w:r>
      <w:r w:rsidR="00E83E13" w:rsidRPr="007E23EB">
        <w:t xml:space="preserve"> ES-11</w:t>
      </w:r>
      <w:r w:rsidR="009E10AD" w:rsidRPr="007E23EB">
        <w:t>]</w:t>
      </w:r>
      <w:r w:rsidRPr="007E23EB">
        <w:t xml:space="preserve">, </w:t>
      </w:r>
      <w:r w:rsidR="00E83E13" w:rsidRPr="007E23EB">
        <w:t xml:space="preserve">Financial Implications </w:t>
      </w:r>
      <w:r w:rsidRPr="007E23EB">
        <w:t>of the submission.</w:t>
      </w:r>
    </w:p>
    <w:p w14:paraId="12F48B19" w14:textId="77777777" w:rsidR="00F935F5" w:rsidRPr="009A6D58" w:rsidRDefault="00F935F5" w:rsidP="00F935F5">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A88F035" w14:textId="25EFB3CD" w:rsidR="00F935F5" w:rsidRPr="009A6D58" w:rsidRDefault="00F935F5" w:rsidP="00F935F5">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F935F5">
        <w:rPr>
          <w:rFonts w:ascii="Arial Narrow" w:hAnsi="Arial Narrow" w:cs="Arial"/>
          <w:i/>
          <w:sz w:val="18"/>
          <w:szCs w:val="18"/>
        </w:rPr>
        <w:t>50,000 to &lt; 60,000</w:t>
      </w:r>
    </w:p>
    <w:p w14:paraId="02740EF4" w14:textId="19FB9F77" w:rsidR="00F935F5" w:rsidRPr="009A6D58" w:rsidRDefault="00F935F5" w:rsidP="00F935F5">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F935F5">
        <w:rPr>
          <w:rFonts w:ascii="Arial Narrow" w:hAnsi="Arial Narrow" w:cs="Arial"/>
          <w:i/>
          <w:sz w:val="18"/>
          <w:szCs w:val="18"/>
        </w:rPr>
        <w:t>80,000 to &lt; 90,000</w:t>
      </w:r>
    </w:p>
    <w:p w14:paraId="396E571F" w14:textId="09564027" w:rsidR="00F935F5" w:rsidRDefault="00F935F5" w:rsidP="00F935F5">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F935F5">
        <w:rPr>
          <w:rFonts w:ascii="Arial Narrow" w:hAnsi="Arial Narrow" w:cs="Arial"/>
          <w:i/>
          <w:sz w:val="18"/>
          <w:szCs w:val="18"/>
        </w:rPr>
        <w:t>100,000 to &lt; 200,000</w:t>
      </w:r>
    </w:p>
    <w:p w14:paraId="591107BF" w14:textId="267F56CA" w:rsidR="00F935F5" w:rsidRDefault="00F935F5" w:rsidP="00F935F5">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F935F5">
        <w:rPr>
          <w:rFonts w:ascii="Arial Narrow" w:hAnsi="Arial Narrow" w:cs="Arial"/>
          <w:i/>
          <w:sz w:val="18"/>
          <w:szCs w:val="18"/>
        </w:rPr>
        <w:t>200,000 to &lt; 300,000</w:t>
      </w:r>
    </w:p>
    <w:p w14:paraId="7D62FFCD" w14:textId="5B8324CF" w:rsidR="00F935F5" w:rsidRDefault="00F935F5" w:rsidP="00F935F5">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F935F5">
        <w:rPr>
          <w:rFonts w:ascii="Arial Narrow" w:hAnsi="Arial Narrow" w:cs="Arial"/>
          <w:i/>
          <w:sz w:val="18"/>
          <w:szCs w:val="18"/>
        </w:rPr>
        <w:t>$0 to &lt; $10 million</w:t>
      </w:r>
    </w:p>
    <w:p w14:paraId="21CB6529" w14:textId="1EF0A174" w:rsidR="00F935F5" w:rsidRPr="001A36EB" w:rsidRDefault="00F935F5" w:rsidP="001A36EB">
      <w:pPr>
        <w:spacing w:after="120"/>
        <w:rPr>
          <w:rFonts w:ascii="Arial Narrow" w:hAnsi="Arial Narrow" w:cs="Arial"/>
          <w:i/>
          <w:sz w:val="18"/>
          <w:szCs w:val="18"/>
        </w:rPr>
      </w:pPr>
      <w:r w:rsidRPr="005B64DF">
        <w:rPr>
          <w:rFonts w:ascii="Arial Narrow" w:hAnsi="Arial Narrow" w:cs="Arial"/>
          <w:i/>
          <w:sz w:val="18"/>
          <w:szCs w:val="18"/>
          <w:vertAlign w:val="superscript"/>
        </w:rPr>
        <w:t>6</w:t>
      </w:r>
      <w:r w:rsidRPr="00F935F5">
        <w:rPr>
          <w:rFonts w:ascii="Arial Narrow" w:hAnsi="Arial Narrow" w:cs="Arial"/>
          <w:i/>
          <w:sz w:val="18"/>
          <w:szCs w:val="18"/>
        </w:rPr>
        <w:t xml:space="preserve"> net cost saving</w:t>
      </w:r>
    </w:p>
    <w:p w14:paraId="7548F748" w14:textId="601659FB" w:rsidR="001F2EE3" w:rsidRPr="001F2EE3" w:rsidRDefault="00521DB7" w:rsidP="009D53FA">
      <w:pPr>
        <w:pStyle w:val="3Bodytext"/>
        <w:jc w:val="both"/>
        <w:rPr>
          <w:rFonts w:cstheme="minorHAnsi"/>
        </w:rPr>
      </w:pPr>
      <w:r>
        <w:t xml:space="preserve">A DUSC utilisation review of ocular lubricants </w:t>
      </w:r>
      <w:r w:rsidR="008C0926">
        <w:t xml:space="preserve">in February 2021 </w:t>
      </w:r>
      <w:r>
        <w:t>found that there ha</w:t>
      </w:r>
      <w:r w:rsidR="005B64DF">
        <w:t>d</w:t>
      </w:r>
      <w:r>
        <w:t xml:space="preserve"> been an increase in the use of PF </w:t>
      </w:r>
      <w:r w:rsidRPr="002B575C">
        <w:rPr>
          <w:rFonts w:cstheme="minorHAnsi"/>
        </w:rPr>
        <w:t>ocular lubricants</w:t>
      </w:r>
      <w:r>
        <w:rPr>
          <w:rFonts w:cstheme="minorHAnsi"/>
        </w:rPr>
        <w:t xml:space="preserve"> over PC ocular lubrica</w:t>
      </w:r>
      <w:r w:rsidR="00040560">
        <w:rPr>
          <w:rFonts w:cstheme="minorHAnsi"/>
        </w:rPr>
        <w:t>nts</w:t>
      </w:r>
      <w:r w:rsidR="00C15C6C">
        <w:rPr>
          <w:rStyle w:val="FootnoteReference"/>
          <w:rFonts w:cstheme="minorHAnsi"/>
        </w:rPr>
        <w:footnoteReference w:id="2"/>
      </w:r>
      <w:r w:rsidR="00040560">
        <w:rPr>
          <w:rFonts w:cstheme="minorHAnsi"/>
        </w:rPr>
        <w:t xml:space="preserve">. </w:t>
      </w:r>
      <w:r w:rsidR="009E2CA2">
        <w:rPr>
          <w:rFonts w:cstheme="minorHAnsi"/>
        </w:rPr>
        <w:t>It </w:t>
      </w:r>
      <w:r w:rsidR="001F2EE3" w:rsidRPr="001F2EE3">
        <w:rPr>
          <w:rFonts w:cstheme="minorHAnsi"/>
        </w:rPr>
        <w:t xml:space="preserve">seemed to be due to more patients starting on these formulations without any record of trialling a PC ocular lubricant. In 2019, 80% of patients started on a PF ocular lubricant appear to have been directly initiated on a PF ocular lubricant. </w:t>
      </w:r>
      <w:r w:rsidR="00C15C6C">
        <w:rPr>
          <w:rFonts w:cstheme="minorHAnsi"/>
        </w:rPr>
        <w:t xml:space="preserve">An analysis of NPS MedicineWise MedicineInsight general practice data found there was little private prescribing of ocular lubricants. Among regularly attending patients </w:t>
      </w:r>
      <w:r w:rsidR="00A30B05">
        <w:rPr>
          <w:rFonts w:cstheme="minorHAnsi"/>
        </w:rPr>
        <w:t xml:space="preserve">to general practice </w:t>
      </w:r>
      <w:r w:rsidR="00C15C6C">
        <w:rPr>
          <w:rFonts w:cstheme="minorHAnsi"/>
        </w:rPr>
        <w:t xml:space="preserve">who were initiated on a PF product, </w:t>
      </w:r>
      <w:r w:rsidR="00C15C6C" w:rsidRPr="00C15C6C">
        <w:rPr>
          <w:rFonts w:cstheme="minorHAnsi"/>
        </w:rPr>
        <w:t xml:space="preserve">74.9% had no record of previous PC </w:t>
      </w:r>
      <w:r w:rsidR="00C15C6C" w:rsidRPr="00C15C6C">
        <w:rPr>
          <w:rFonts w:cstheme="minorHAnsi"/>
        </w:rPr>
        <w:lastRenderedPageBreak/>
        <w:t>ocular lubricant prescriptions</w:t>
      </w:r>
      <w:r w:rsidR="00052B0A">
        <w:rPr>
          <w:rStyle w:val="FootnoteReference"/>
          <w:rFonts w:cstheme="minorHAnsi"/>
        </w:rPr>
        <w:footnoteReference w:id="3"/>
      </w:r>
      <w:r w:rsidR="00052B0A">
        <w:rPr>
          <w:rFonts w:cstheme="minorHAnsi"/>
        </w:rPr>
        <w:t>.</w:t>
      </w:r>
      <w:r w:rsidR="00C15C6C" w:rsidRPr="001F2EE3">
        <w:rPr>
          <w:rFonts w:cstheme="minorHAnsi"/>
        </w:rPr>
        <w:t xml:space="preserve"> </w:t>
      </w:r>
      <w:r w:rsidR="001F2EE3" w:rsidRPr="001F2EE3">
        <w:rPr>
          <w:rFonts w:cstheme="minorHAnsi"/>
        </w:rPr>
        <w:t>While the reason for this cannot be established using PBS data it could reflect:</w:t>
      </w:r>
    </w:p>
    <w:p w14:paraId="0356C9DB" w14:textId="77777777" w:rsidR="001F2EE3" w:rsidRDefault="001F2EE3" w:rsidP="009D53FA">
      <w:pPr>
        <w:pStyle w:val="3Bodytext"/>
        <w:numPr>
          <w:ilvl w:val="0"/>
          <w:numId w:val="13"/>
        </w:numPr>
        <w:jc w:val="both"/>
        <w:rPr>
          <w:rFonts w:cstheme="minorHAnsi"/>
        </w:rPr>
      </w:pPr>
      <w:r w:rsidRPr="001F2EE3">
        <w:rPr>
          <w:rFonts w:cstheme="minorHAnsi"/>
        </w:rPr>
        <w:t>previous use of over-the-counter or private PC or PF ocular lubricants before a patient is dispensed their first PBS prescription;</w:t>
      </w:r>
    </w:p>
    <w:p w14:paraId="05212204" w14:textId="6E10D101" w:rsidR="00521DB7" w:rsidRDefault="001F2EE3" w:rsidP="009D53FA">
      <w:pPr>
        <w:pStyle w:val="3Bodytext"/>
        <w:numPr>
          <w:ilvl w:val="0"/>
          <w:numId w:val="13"/>
        </w:numPr>
        <w:jc w:val="both"/>
        <w:rPr>
          <w:rFonts w:cstheme="minorHAnsi"/>
        </w:rPr>
      </w:pPr>
      <w:r w:rsidRPr="001F2EE3">
        <w:rPr>
          <w:rFonts w:cstheme="minorHAnsi"/>
        </w:rPr>
        <w:t>a clinical preference for PF ocular lubricants given difficulties in clearly classifying symptom severity, limited PBS guidance as to what constitutes severe dry eye syndrome, and guidance that states that PF formulations are preferred for patients with severe dry eye syndrome.</w:t>
      </w:r>
    </w:p>
    <w:p w14:paraId="77941AB9" w14:textId="77777777" w:rsidR="000F5DC7" w:rsidRPr="003E298A" w:rsidRDefault="000F5DC7" w:rsidP="000F5DC7">
      <w:pPr>
        <w:ind w:left="720"/>
        <w:jc w:val="left"/>
        <w:rPr>
          <w:rFonts w:asciiTheme="minorHAnsi" w:hAnsiTheme="minorHAnsi"/>
          <w:i/>
          <w:iCs/>
        </w:rPr>
      </w:pPr>
      <w:r w:rsidRPr="003E298A">
        <w:rPr>
          <w:rFonts w:asciiTheme="minorHAnsi" w:hAnsiTheme="minorHAnsi"/>
          <w:i/>
          <w:iCs/>
        </w:rPr>
        <w:t xml:space="preserve">For more detail on PBAC’s view, see section </w:t>
      </w:r>
      <w:r>
        <w:rPr>
          <w:rFonts w:asciiTheme="minorHAnsi" w:hAnsiTheme="minorHAnsi"/>
          <w:i/>
          <w:iCs/>
        </w:rPr>
        <w:t>6</w:t>
      </w:r>
      <w:r w:rsidRPr="003E298A">
        <w:rPr>
          <w:rFonts w:asciiTheme="minorHAnsi" w:hAnsiTheme="minorHAnsi"/>
          <w:i/>
          <w:iCs/>
        </w:rPr>
        <w:t xml:space="preserve"> PBAC outcome.</w:t>
      </w:r>
    </w:p>
    <w:p w14:paraId="07D22438" w14:textId="77777777" w:rsidR="000F5DC7" w:rsidRDefault="000F5DC7" w:rsidP="000F5DC7">
      <w:pPr>
        <w:pStyle w:val="2-SectionHeading"/>
      </w:pPr>
      <w:r>
        <w:t>PBAC Outcome</w:t>
      </w:r>
    </w:p>
    <w:p w14:paraId="23C4394F" w14:textId="56F001BE" w:rsidR="000F5DC7" w:rsidRPr="007A1889" w:rsidRDefault="00A8059D" w:rsidP="000F5DC7">
      <w:pPr>
        <w:pStyle w:val="3-BodyText"/>
        <w:numPr>
          <w:ilvl w:val="1"/>
          <w:numId w:val="2"/>
        </w:numPr>
      </w:pPr>
      <w:bookmarkStart w:id="6" w:name="_Hlk130207850"/>
      <w:r>
        <w:t xml:space="preserve">The </w:t>
      </w:r>
      <w:r>
        <w:rPr>
          <w:rFonts w:cs="Calibri"/>
        </w:rPr>
        <w:t xml:space="preserve">PBAC deferred making a recommendation to list </w:t>
      </w:r>
      <w:r w:rsidR="00E93937">
        <w:rPr>
          <w:rFonts w:cs="Calibri"/>
        </w:rPr>
        <w:t>Systane Hydration</w:t>
      </w:r>
      <w:r w:rsidR="003B20B7">
        <w:rPr>
          <w:rFonts w:cs="Calibri"/>
        </w:rPr>
        <w:t xml:space="preserve"> </w:t>
      </w:r>
      <w:r w:rsidRPr="0012799E">
        <w:rPr>
          <w:rFonts w:cstheme="minorHAnsi"/>
          <w:szCs w:val="24"/>
        </w:rPr>
        <w:t>for the treatment of severe dry eye syndrome in patients who are sensitive to preservatives in multi-dose eye drops</w:t>
      </w:r>
      <w:r w:rsidR="00A96F03">
        <w:rPr>
          <w:rFonts w:cstheme="minorHAnsi"/>
          <w:szCs w:val="24"/>
        </w:rPr>
        <w:t xml:space="preserve"> in order to undertake further analysis of </w:t>
      </w:r>
      <w:r w:rsidR="007A1889">
        <w:rPr>
          <w:rFonts w:cstheme="minorHAnsi"/>
          <w:szCs w:val="24"/>
        </w:rPr>
        <w:t xml:space="preserve">the </w:t>
      </w:r>
      <w:r w:rsidR="00A96F03">
        <w:rPr>
          <w:rFonts w:cstheme="minorHAnsi"/>
          <w:szCs w:val="24"/>
        </w:rPr>
        <w:t>cost effectiveness of ocular lubricants.</w:t>
      </w:r>
    </w:p>
    <w:p w14:paraId="2BA7650A" w14:textId="2E880E59" w:rsidR="007A1889" w:rsidRPr="007A1889" w:rsidRDefault="007A1889" w:rsidP="007A1889">
      <w:pPr>
        <w:pStyle w:val="3-BodyText"/>
        <w:numPr>
          <w:ilvl w:val="1"/>
          <w:numId w:val="2"/>
        </w:numPr>
        <w:rPr>
          <w:bCs/>
        </w:rPr>
      </w:pPr>
      <w:r>
        <w:t xml:space="preserve">The PBAC </w:t>
      </w:r>
      <w:r w:rsidR="002D567B">
        <w:t>recalled</w:t>
      </w:r>
      <w:r w:rsidR="00E1538F">
        <w:t xml:space="preserve"> </w:t>
      </w:r>
      <w:r w:rsidR="002C3395">
        <w:t>that, at its July 2020 consideration of Cationorm, it considered</w:t>
      </w:r>
      <w:r>
        <w:t xml:space="preserve"> the cost minimisation </w:t>
      </w:r>
      <w:r w:rsidR="00836CF4">
        <w:t xml:space="preserve">comparison </w:t>
      </w:r>
      <w:r>
        <w:t xml:space="preserve">of </w:t>
      </w:r>
      <w:r w:rsidR="005B64DF">
        <w:t>h</w:t>
      </w:r>
      <w:r>
        <w:t xml:space="preserve">yaluronate 0.1/0.2% </w:t>
      </w:r>
      <w:r w:rsidR="00E1538F">
        <w:t xml:space="preserve">to </w:t>
      </w:r>
      <w:r>
        <w:t>Cationorm</w:t>
      </w:r>
      <w:r w:rsidR="00836CF4">
        <w:t xml:space="preserve"> </w:t>
      </w:r>
      <w:r>
        <w:t>was</w:t>
      </w:r>
      <w:r w:rsidR="002C3395">
        <w:t xml:space="preserve"> </w:t>
      </w:r>
      <w:r>
        <w:t>appropriate</w:t>
      </w:r>
      <w:r w:rsidR="002D567B">
        <w:t>,</w:t>
      </w:r>
      <w:r>
        <w:t xml:space="preserve"> </w:t>
      </w:r>
      <w:r w:rsidR="002C3395">
        <w:rPr>
          <w:bCs/>
        </w:rPr>
        <w:t>advis</w:t>
      </w:r>
      <w:r w:rsidR="002D567B">
        <w:rPr>
          <w:bCs/>
        </w:rPr>
        <w:t>ing that</w:t>
      </w:r>
      <w:r>
        <w:rPr>
          <w:bCs/>
        </w:rPr>
        <w:t xml:space="preserve"> ‘</w:t>
      </w:r>
      <w:r w:rsidRPr="00B94412">
        <w:rPr>
          <w:bCs/>
          <w:i/>
          <w:iCs/>
        </w:rPr>
        <w:t>all preservative free, multi-dose ocular lubricants currently listed on the PBS were appropriate comparators for Cationorm</w:t>
      </w:r>
      <w:r>
        <w:rPr>
          <w:bCs/>
        </w:rPr>
        <w:t>’</w:t>
      </w:r>
      <w:r w:rsidR="00B94412">
        <w:rPr>
          <w:bCs/>
        </w:rPr>
        <w:t xml:space="preserve"> </w:t>
      </w:r>
      <w:r w:rsidR="003B20B7">
        <w:rPr>
          <w:bCs/>
        </w:rPr>
        <w:t>(</w:t>
      </w:r>
      <w:r w:rsidR="00B94412" w:rsidRPr="003A753A">
        <w:rPr>
          <w:iCs/>
        </w:rPr>
        <w:t>paragraph 6.2, Cationorm PSD, July 2020 PBAC Meeting</w:t>
      </w:r>
      <w:r w:rsidR="003B20B7">
        <w:rPr>
          <w:iCs/>
        </w:rPr>
        <w:t>)</w:t>
      </w:r>
      <w:r w:rsidR="00B94412">
        <w:rPr>
          <w:iCs/>
        </w:rPr>
        <w:t>.</w:t>
      </w:r>
    </w:p>
    <w:p w14:paraId="572AA5E7" w14:textId="7FF23117" w:rsidR="002D567B" w:rsidRDefault="002C3395" w:rsidP="00381293">
      <w:pPr>
        <w:pStyle w:val="3-BodyText"/>
        <w:numPr>
          <w:ilvl w:val="1"/>
          <w:numId w:val="2"/>
        </w:numPr>
        <w:rPr>
          <w:bCs/>
        </w:rPr>
      </w:pPr>
      <w:r>
        <w:rPr>
          <w:bCs/>
        </w:rPr>
        <w:t xml:space="preserve">The </w:t>
      </w:r>
      <w:r w:rsidR="00381293" w:rsidRPr="00B94412">
        <w:rPr>
          <w:bCs/>
        </w:rPr>
        <w:t xml:space="preserve">PBAC </w:t>
      </w:r>
      <w:r>
        <w:rPr>
          <w:bCs/>
        </w:rPr>
        <w:t>also</w:t>
      </w:r>
      <w:r w:rsidR="002D567B">
        <w:rPr>
          <w:bCs/>
        </w:rPr>
        <w:t xml:space="preserve"> recalled its</w:t>
      </w:r>
      <w:r>
        <w:rPr>
          <w:bCs/>
        </w:rPr>
        <w:t xml:space="preserve"> 201</w:t>
      </w:r>
      <w:r w:rsidR="00900251">
        <w:rPr>
          <w:bCs/>
        </w:rPr>
        <w:t>4</w:t>
      </w:r>
      <w:r w:rsidR="002D567B">
        <w:rPr>
          <w:bCs/>
        </w:rPr>
        <w:t xml:space="preserve"> advice</w:t>
      </w:r>
      <w:r>
        <w:rPr>
          <w:bCs/>
        </w:rPr>
        <w:t xml:space="preserve"> that </w:t>
      </w:r>
      <w:r w:rsidR="00381293" w:rsidRPr="00B94412">
        <w:rPr>
          <w:bCs/>
        </w:rPr>
        <w:t xml:space="preserve">all ocular lubricants should be considered equivalent for pricing </w:t>
      </w:r>
      <w:r w:rsidR="007A1889" w:rsidRPr="007A1889">
        <w:rPr>
          <w:bCs/>
        </w:rPr>
        <w:t>purposes</w:t>
      </w:r>
      <w:r w:rsidR="00FF2AE8">
        <w:rPr>
          <w:bCs/>
        </w:rPr>
        <w:t>, which was inclusive of hyaluronate based ocular lubricants</w:t>
      </w:r>
      <w:r w:rsidR="007A1889">
        <w:rPr>
          <w:bCs/>
        </w:rPr>
        <w:t>.</w:t>
      </w:r>
      <w:r w:rsidR="00381293" w:rsidRPr="00B94412">
        <w:rPr>
          <w:bCs/>
        </w:rPr>
        <w:t xml:space="preserve"> </w:t>
      </w:r>
      <w:r w:rsidR="007A1889" w:rsidRPr="007A1889">
        <w:rPr>
          <w:bCs/>
        </w:rPr>
        <w:t>However,</w:t>
      </w:r>
      <w:r w:rsidR="00381293" w:rsidRPr="00B94412">
        <w:rPr>
          <w:bCs/>
        </w:rPr>
        <w:t xml:space="preserve"> the PBAC acknowledged that </w:t>
      </w:r>
      <w:r w:rsidR="00900251">
        <w:rPr>
          <w:bCs/>
        </w:rPr>
        <w:t>over time prices have diverged due to</w:t>
      </w:r>
      <w:r w:rsidR="00381293" w:rsidRPr="00B94412">
        <w:rPr>
          <w:bCs/>
        </w:rPr>
        <w:t xml:space="preserve"> different formulary allocations</w:t>
      </w:r>
      <w:r w:rsidR="002D567B">
        <w:rPr>
          <w:bCs/>
        </w:rPr>
        <w:t>,</w:t>
      </w:r>
      <w:r w:rsidR="00381293" w:rsidRPr="00B94412">
        <w:rPr>
          <w:bCs/>
        </w:rPr>
        <w:t xml:space="preserve"> notwithstanding </w:t>
      </w:r>
      <w:r w:rsidR="00836CF4" w:rsidRPr="00836CF4">
        <w:rPr>
          <w:bCs/>
        </w:rPr>
        <w:t xml:space="preserve">that </w:t>
      </w:r>
      <w:r w:rsidR="002D567B">
        <w:rPr>
          <w:bCs/>
        </w:rPr>
        <w:t xml:space="preserve">the </w:t>
      </w:r>
      <w:r w:rsidR="00836CF4" w:rsidRPr="00836CF4">
        <w:rPr>
          <w:bCs/>
        </w:rPr>
        <w:t>listing</w:t>
      </w:r>
      <w:r w:rsidR="00900251">
        <w:rPr>
          <w:bCs/>
        </w:rPr>
        <w:t>s</w:t>
      </w:r>
      <w:r w:rsidR="00381293" w:rsidRPr="00B94412">
        <w:rPr>
          <w:bCs/>
        </w:rPr>
        <w:t xml:space="preserve"> were on a cost </w:t>
      </w:r>
      <w:r w:rsidR="00900251" w:rsidRPr="00B94412">
        <w:rPr>
          <w:bCs/>
        </w:rPr>
        <w:t>minimi</w:t>
      </w:r>
      <w:r w:rsidR="00900251">
        <w:rPr>
          <w:bCs/>
        </w:rPr>
        <w:t>s</w:t>
      </w:r>
      <w:r w:rsidR="00900251" w:rsidRPr="00B94412">
        <w:rPr>
          <w:bCs/>
        </w:rPr>
        <w:t xml:space="preserve">ation </w:t>
      </w:r>
      <w:r w:rsidR="00381293" w:rsidRPr="00B94412">
        <w:rPr>
          <w:bCs/>
        </w:rPr>
        <w:t xml:space="preserve">basis. </w:t>
      </w:r>
    </w:p>
    <w:p w14:paraId="739EA3B4" w14:textId="3071F4F3" w:rsidR="007A1889" w:rsidRDefault="00900251" w:rsidP="00381293">
      <w:pPr>
        <w:pStyle w:val="3-BodyText"/>
        <w:numPr>
          <w:ilvl w:val="1"/>
          <w:numId w:val="2"/>
        </w:numPr>
        <w:rPr>
          <w:bCs/>
        </w:rPr>
      </w:pPr>
      <w:r>
        <w:rPr>
          <w:bCs/>
        </w:rPr>
        <w:t xml:space="preserve">Furthermore, the PBAC </w:t>
      </w:r>
      <w:r w:rsidR="007B625E">
        <w:rPr>
          <w:bCs/>
        </w:rPr>
        <w:t>considered that the cost-effectiveness of PF ocular lubricants in relation to PC ocular lubricants was uncertain, noting</w:t>
      </w:r>
      <w:r w:rsidR="002D567B">
        <w:rPr>
          <w:bCs/>
        </w:rPr>
        <w:t xml:space="preserve"> its consideration at this same meeting (March 2023)</w:t>
      </w:r>
      <w:r w:rsidR="006826E2">
        <w:rPr>
          <w:bCs/>
        </w:rPr>
        <w:t xml:space="preserve"> that a PC hyaluronate based ocular lubricant (</w:t>
      </w:r>
      <w:r w:rsidR="005B64DF">
        <w:rPr>
          <w:bCs/>
        </w:rPr>
        <w:t xml:space="preserve">carmellose sodium 0.5% + glycerol 0.9% + hyaluronate sodium 0.1% multidose PC eye drops, </w:t>
      </w:r>
      <w:r w:rsidR="009F73E9">
        <w:rPr>
          <w:bCs/>
        </w:rPr>
        <w:t>Optive Fusion®)</w:t>
      </w:r>
      <w:r w:rsidR="006826E2">
        <w:rPr>
          <w:bCs/>
        </w:rPr>
        <w:t xml:space="preserve"> demonstrated non-inferiority to PF hyaluronate ocular lubricants listed on the PBS.</w:t>
      </w:r>
    </w:p>
    <w:p w14:paraId="3A6BE2B1" w14:textId="14D39996" w:rsidR="007A1889" w:rsidRDefault="007A1889" w:rsidP="00381293">
      <w:pPr>
        <w:pStyle w:val="3-BodyText"/>
        <w:numPr>
          <w:ilvl w:val="1"/>
          <w:numId w:val="2"/>
        </w:numPr>
        <w:rPr>
          <w:bCs/>
        </w:rPr>
      </w:pPr>
      <w:r>
        <w:rPr>
          <w:bCs/>
        </w:rPr>
        <w:t xml:space="preserve">While the </w:t>
      </w:r>
      <w:r w:rsidR="00381293" w:rsidRPr="00B94412">
        <w:rPr>
          <w:bCs/>
        </w:rPr>
        <w:t xml:space="preserve">PBAC was of a mind to </w:t>
      </w:r>
      <w:r w:rsidR="009F73E9">
        <w:rPr>
          <w:bCs/>
        </w:rPr>
        <w:t>recommend the listing of Systane Hydration on a</w:t>
      </w:r>
      <w:r w:rsidR="00381293" w:rsidRPr="00B94412">
        <w:rPr>
          <w:bCs/>
        </w:rPr>
        <w:t xml:space="preserve"> cost minimisation</w:t>
      </w:r>
      <w:r w:rsidR="009F73E9">
        <w:rPr>
          <w:bCs/>
        </w:rPr>
        <w:t xml:space="preserve"> basis</w:t>
      </w:r>
      <w:r w:rsidR="00381293" w:rsidRPr="00B94412">
        <w:rPr>
          <w:bCs/>
        </w:rPr>
        <w:t xml:space="preserve"> to</w:t>
      </w:r>
      <w:r w:rsidR="009F73E9">
        <w:rPr>
          <w:bCs/>
        </w:rPr>
        <w:t xml:space="preserve"> PF</w:t>
      </w:r>
      <w:r w:rsidR="00381293" w:rsidRPr="00B94412">
        <w:rPr>
          <w:bCs/>
        </w:rPr>
        <w:t xml:space="preserve"> hyaluronate containing products </w:t>
      </w:r>
      <w:r w:rsidR="009F73E9">
        <w:rPr>
          <w:bCs/>
        </w:rPr>
        <w:t>listed o</w:t>
      </w:r>
      <w:r w:rsidR="00943CBB">
        <w:rPr>
          <w:bCs/>
        </w:rPr>
        <w:t>n</w:t>
      </w:r>
      <w:r w:rsidR="009F73E9">
        <w:rPr>
          <w:bCs/>
        </w:rPr>
        <w:t xml:space="preserve"> the PBS, </w:t>
      </w:r>
      <w:r w:rsidR="00836CF4">
        <w:rPr>
          <w:bCs/>
        </w:rPr>
        <w:t xml:space="preserve">it </w:t>
      </w:r>
      <w:r w:rsidR="00027E2E">
        <w:rPr>
          <w:bCs/>
        </w:rPr>
        <w:t>sought to further review the</w:t>
      </w:r>
      <w:r w:rsidR="00381293" w:rsidRPr="00B94412">
        <w:rPr>
          <w:bCs/>
        </w:rPr>
        <w:t xml:space="preserve"> cost effectiveness of the more expensive </w:t>
      </w:r>
      <w:r w:rsidR="009F73E9">
        <w:rPr>
          <w:bCs/>
        </w:rPr>
        <w:t xml:space="preserve">PF </w:t>
      </w:r>
      <w:r w:rsidR="00381293" w:rsidRPr="00B94412">
        <w:rPr>
          <w:bCs/>
        </w:rPr>
        <w:t xml:space="preserve">ocular </w:t>
      </w:r>
      <w:r w:rsidR="00381293" w:rsidRPr="00B94412">
        <w:rPr>
          <w:bCs/>
        </w:rPr>
        <w:lastRenderedPageBreak/>
        <w:t xml:space="preserve">lubricants relative to </w:t>
      </w:r>
      <w:r w:rsidR="00027E2E">
        <w:rPr>
          <w:bCs/>
        </w:rPr>
        <w:t xml:space="preserve">the preservative containing </w:t>
      </w:r>
      <w:r w:rsidR="00381293" w:rsidRPr="00B94412">
        <w:rPr>
          <w:bCs/>
        </w:rPr>
        <w:t>alternatives that are now substantially less costly</w:t>
      </w:r>
      <w:r w:rsidR="0060235F">
        <w:rPr>
          <w:bCs/>
        </w:rPr>
        <w:t xml:space="preserve"> prior to making a recommendation.</w:t>
      </w:r>
    </w:p>
    <w:p w14:paraId="51BE2B91" w14:textId="01743285" w:rsidR="0060235F" w:rsidRPr="00B94412" w:rsidRDefault="00381293" w:rsidP="00381293">
      <w:pPr>
        <w:pStyle w:val="3-BodyText"/>
        <w:numPr>
          <w:ilvl w:val="1"/>
          <w:numId w:val="2"/>
        </w:numPr>
        <w:rPr>
          <w:bCs/>
        </w:rPr>
      </w:pPr>
      <w:r w:rsidRPr="00B94412">
        <w:rPr>
          <w:bCs/>
        </w:rPr>
        <w:t>The PBAC requested that a literature review and economic analysis be undertaken, along with obtaining clinical advice, to confirm if the existing utilisation</w:t>
      </w:r>
      <w:r w:rsidR="007B625E">
        <w:rPr>
          <w:bCs/>
        </w:rPr>
        <w:t xml:space="preserve"> of ocular lubricants</w:t>
      </w:r>
      <w:r w:rsidRPr="00B94412">
        <w:rPr>
          <w:bCs/>
        </w:rPr>
        <w:t xml:space="preserve"> is cost effective, </w:t>
      </w:r>
      <w:r w:rsidR="007B625E">
        <w:rPr>
          <w:bCs/>
        </w:rPr>
        <w:t>and</w:t>
      </w:r>
      <w:r w:rsidRPr="00B94412">
        <w:rPr>
          <w:bCs/>
        </w:rPr>
        <w:t xml:space="preserve"> what the appropriate therapeutic relativities </w:t>
      </w:r>
      <w:r w:rsidR="007B625E">
        <w:rPr>
          <w:bCs/>
        </w:rPr>
        <w:t>may be</w:t>
      </w:r>
      <w:r w:rsidRPr="00B94412">
        <w:rPr>
          <w:bCs/>
        </w:rPr>
        <w:t>.</w:t>
      </w:r>
    </w:p>
    <w:p w14:paraId="758DC845" w14:textId="6A06EB90" w:rsidR="00201FB8" w:rsidRDefault="000F5DC7" w:rsidP="002D4BD0">
      <w:pPr>
        <w:pStyle w:val="3-BodyText"/>
        <w:numPr>
          <w:ilvl w:val="0"/>
          <w:numId w:val="0"/>
        </w:numPr>
      </w:pPr>
      <w:r w:rsidRPr="001A1675">
        <w:rPr>
          <w:b/>
          <w:bCs/>
        </w:rPr>
        <w:t>Outcome:</w:t>
      </w:r>
      <w:r>
        <w:br/>
        <w:t>Deferred</w:t>
      </w:r>
    </w:p>
    <w:bookmarkEnd w:id="6"/>
    <w:p w14:paraId="1995FA8C" w14:textId="1A25B86F" w:rsidR="0003061C" w:rsidRPr="0003061C" w:rsidRDefault="0003061C" w:rsidP="0003061C">
      <w:pPr>
        <w:pStyle w:val="2-SectionHeading"/>
        <w:jc w:val="both"/>
      </w:pPr>
      <w:r w:rsidRPr="0003061C">
        <w:t>Context for Decision</w:t>
      </w:r>
    </w:p>
    <w:p w14:paraId="29B98D4D" w14:textId="77777777" w:rsidR="0003061C" w:rsidRPr="0003061C" w:rsidRDefault="0003061C" w:rsidP="000C0749">
      <w:pPr>
        <w:pStyle w:val="3-BodyText"/>
        <w:numPr>
          <w:ilvl w:val="0"/>
          <w:numId w:val="0"/>
        </w:numPr>
        <w:ind w:left="720"/>
        <w:rPr>
          <w:lang w:val="en-GB" w:eastAsia="en-US"/>
        </w:rPr>
      </w:pPr>
      <w:r w:rsidRPr="0003061C">
        <w:rPr>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E6E7E8A" w14:textId="25C5161F" w:rsidR="0003061C" w:rsidRPr="0003061C" w:rsidRDefault="0003061C" w:rsidP="0003061C">
      <w:pPr>
        <w:pStyle w:val="2-SectionHeading"/>
        <w:jc w:val="both"/>
      </w:pPr>
      <w:r w:rsidRPr="0003061C">
        <w:t>Sponsor’s Comment</w:t>
      </w:r>
    </w:p>
    <w:p w14:paraId="6153236E" w14:textId="19FB92DC" w:rsidR="00FB7788" w:rsidRDefault="0003061C" w:rsidP="000C0749">
      <w:pPr>
        <w:pStyle w:val="3-BodyText"/>
        <w:numPr>
          <w:ilvl w:val="0"/>
          <w:numId w:val="0"/>
        </w:numPr>
        <w:ind w:left="720"/>
      </w:pPr>
      <w:r w:rsidRPr="0003061C">
        <w:rPr>
          <w:lang w:eastAsia="en-US"/>
        </w:rPr>
        <w:t>The sponsor had no comment.</w:t>
      </w:r>
    </w:p>
    <w:p w14:paraId="06B2F649" w14:textId="77777777" w:rsidR="009E2CA2" w:rsidRDefault="009E2CA2">
      <w:pPr>
        <w:jc w:val="left"/>
        <w:rPr>
          <w:rFonts w:asciiTheme="minorHAnsi" w:eastAsiaTheme="majorEastAsia" w:hAnsiTheme="minorHAnsi" w:cstheme="majorBidi"/>
          <w:b/>
          <w:color w:val="FF0000"/>
          <w:spacing w:val="5"/>
          <w:kern w:val="28"/>
          <w:sz w:val="36"/>
          <w:szCs w:val="36"/>
        </w:rPr>
      </w:pPr>
      <w:r>
        <w:rPr>
          <w:color w:val="FF0000"/>
        </w:rPr>
        <w:br w:type="page"/>
      </w:r>
    </w:p>
    <w:p w14:paraId="36F80D78" w14:textId="633DC189" w:rsidR="00FB7788" w:rsidRPr="00113330" w:rsidRDefault="00FB7788" w:rsidP="00113330">
      <w:pPr>
        <w:pStyle w:val="1MainTitle"/>
        <w:ind w:left="1134" w:hanging="1134"/>
        <w:jc w:val="left"/>
        <w:rPr>
          <w:rFonts w:eastAsia="Calibri"/>
          <w:color w:val="FF0000"/>
          <w:sz w:val="28"/>
          <w:szCs w:val="28"/>
          <w:lang w:eastAsia="en-US"/>
        </w:rPr>
      </w:pPr>
      <w:r w:rsidRPr="00113330">
        <w:rPr>
          <w:rFonts w:eastAsia="Calibri"/>
          <w:color w:val="FF0000"/>
          <w:sz w:val="28"/>
          <w:szCs w:val="28"/>
          <w:lang w:eastAsia="en-US"/>
        </w:rPr>
        <w:lastRenderedPageBreak/>
        <w:t xml:space="preserve">Addendum to the March 2023 PBAC </w:t>
      </w:r>
      <w:r w:rsidR="00924834" w:rsidRPr="00113330">
        <w:rPr>
          <w:rFonts w:eastAsia="Calibri"/>
          <w:color w:val="FF0000"/>
          <w:sz w:val="28"/>
          <w:szCs w:val="28"/>
          <w:lang w:eastAsia="en-US"/>
        </w:rPr>
        <w:t>PSD</w:t>
      </w:r>
      <w:r w:rsidRPr="00113330">
        <w:rPr>
          <w:rFonts w:eastAsia="Calibri"/>
          <w:color w:val="FF0000"/>
          <w:sz w:val="28"/>
          <w:szCs w:val="28"/>
          <w:lang w:eastAsia="en-US"/>
        </w:rPr>
        <w:t>:</w:t>
      </w:r>
    </w:p>
    <w:p w14:paraId="4871C4D2" w14:textId="77777777" w:rsidR="00FB7788" w:rsidRPr="00290D03" w:rsidRDefault="00FB7788" w:rsidP="00FB7788">
      <w:pPr>
        <w:pStyle w:val="1-MainHeading"/>
      </w:pPr>
      <w:r>
        <w:t>4.03</w:t>
      </w:r>
      <w:r>
        <w:tab/>
        <w:t>HYALURONIC ACID WITH POLYETHYLENE GLYCOL 400 WITH PROPYLENE GLYCOL WITH HYDROXYPROPYL GUAR</w:t>
      </w:r>
      <w:r>
        <w:br/>
      </w:r>
      <w:r w:rsidRPr="00605F6A">
        <w:t xml:space="preserve">Eye drops containing </w:t>
      </w:r>
      <w:r>
        <w:t xml:space="preserve">sodium </w:t>
      </w:r>
      <w:r w:rsidRPr="00605F6A">
        <w:t>hyaluronate 1.5 mg per mL with polyethylene glycol 400, propylene glycol and hydroxypropyl guar, 10 mL</w:t>
      </w:r>
      <w:r>
        <w:t>,</w:t>
      </w:r>
      <w:r>
        <w:br/>
        <w:t>Systane® Hydration,</w:t>
      </w:r>
      <w:r>
        <w:br/>
        <w:t>Alcon Laboratories (Australia) Pty Ltd</w:t>
      </w:r>
    </w:p>
    <w:p w14:paraId="4F988095" w14:textId="77777777" w:rsidR="00FB7788" w:rsidRDefault="00FB7788" w:rsidP="00FB7788">
      <w:pPr>
        <w:pStyle w:val="2-SectionHeading"/>
      </w:pPr>
      <w:r>
        <w:t>Purpose</w:t>
      </w:r>
    </w:p>
    <w:p w14:paraId="2889BB3B" w14:textId="77777777" w:rsidR="00FB7788" w:rsidRDefault="00FB7788" w:rsidP="00FB7788">
      <w:pPr>
        <w:pStyle w:val="3-BodyText"/>
        <w:numPr>
          <w:ilvl w:val="1"/>
          <w:numId w:val="2"/>
        </w:numPr>
      </w:pPr>
      <w:r>
        <w:t xml:space="preserve">To determine the appropriate comparator for the </w:t>
      </w:r>
      <w:r w:rsidRPr="0012799E">
        <w:rPr>
          <w:rFonts w:cstheme="minorHAnsi"/>
          <w:szCs w:val="24"/>
        </w:rPr>
        <w:t xml:space="preserve">General Schedule, Authority </w:t>
      </w:r>
      <w:r>
        <w:rPr>
          <w:rFonts w:cstheme="minorHAnsi"/>
          <w:szCs w:val="24"/>
        </w:rPr>
        <w:t>R</w:t>
      </w:r>
      <w:r w:rsidRPr="0012799E">
        <w:rPr>
          <w:rFonts w:cstheme="minorHAnsi"/>
          <w:szCs w:val="24"/>
        </w:rPr>
        <w:t xml:space="preserve">equired (STREAMLINED) listing for Systane </w:t>
      </w:r>
      <w:r>
        <w:rPr>
          <w:rFonts w:cstheme="minorHAnsi"/>
          <w:szCs w:val="24"/>
        </w:rPr>
        <w:t xml:space="preserve">Hydration </w:t>
      </w:r>
      <w:r w:rsidRPr="0012799E">
        <w:rPr>
          <w:rFonts w:cstheme="minorHAnsi"/>
          <w:szCs w:val="24"/>
        </w:rPr>
        <w:t>eye drops for the treatment of severe dry eye syndrome in patients who are sensitive to preservatives in multi-dose eye drops.</w:t>
      </w:r>
    </w:p>
    <w:p w14:paraId="46E09DE0" w14:textId="77777777" w:rsidR="00FB7788" w:rsidRDefault="00FB7788" w:rsidP="00FB7788">
      <w:pPr>
        <w:pStyle w:val="2-SectionHeading"/>
      </w:pPr>
      <w:r>
        <w:t>Background</w:t>
      </w:r>
    </w:p>
    <w:p w14:paraId="3215733E" w14:textId="77777777" w:rsidR="00FB7788" w:rsidRDefault="00FB7788" w:rsidP="00FB7788">
      <w:pPr>
        <w:pStyle w:val="3-BodyText"/>
        <w:numPr>
          <w:ilvl w:val="1"/>
          <w:numId w:val="2"/>
        </w:numPr>
      </w:pPr>
      <w:r>
        <w:t xml:space="preserve">The PBAC considered the listing of </w:t>
      </w:r>
      <w:r>
        <w:rPr>
          <w:rFonts w:cstheme="minorHAnsi"/>
          <w:szCs w:val="24"/>
        </w:rPr>
        <w:t xml:space="preserve">Systane Hydration at its March 2023 meeting and </w:t>
      </w:r>
      <w:r>
        <w:t xml:space="preserve">deferred making a recommendation to </w:t>
      </w:r>
      <w:r w:rsidRPr="00325AC7">
        <w:t>undertake further analysis of the cost effectiveness of ocular lubricants in Australia.</w:t>
      </w:r>
    </w:p>
    <w:p w14:paraId="7BF2D555" w14:textId="77777777" w:rsidR="00FB7788" w:rsidRPr="003460DB" w:rsidRDefault="00FB7788" w:rsidP="00FB7788">
      <w:pPr>
        <w:pStyle w:val="3-BodyText"/>
        <w:numPr>
          <w:ilvl w:val="1"/>
          <w:numId w:val="2"/>
        </w:numPr>
      </w:pPr>
      <w:r>
        <w:t>The PBAC had advised that it considered t</w:t>
      </w:r>
      <w:r w:rsidRPr="00325AC7">
        <w:t>he submission</w:t>
      </w:r>
      <w:r>
        <w:t>’s</w:t>
      </w:r>
      <w:r w:rsidRPr="00325AC7">
        <w:t xml:space="preserve"> claim</w:t>
      </w:r>
      <w:r>
        <w:t xml:space="preserve"> of</w:t>
      </w:r>
      <w:r w:rsidRPr="00325AC7">
        <w:t xml:space="preserve"> non-inferior </w:t>
      </w:r>
      <w:r>
        <w:t>c</w:t>
      </w:r>
      <w:r w:rsidRPr="00325AC7">
        <w:t xml:space="preserve">omparative effectiveness and non-inferior comparative safety </w:t>
      </w:r>
      <w:r>
        <w:t xml:space="preserve">to </w:t>
      </w:r>
      <w:r>
        <w:rPr>
          <w:rFonts w:eastAsia="Times New Roman" w:cstheme="minorHAnsi"/>
          <w:iCs/>
          <w:snapToGrid w:val="0"/>
          <w:szCs w:val="24"/>
          <w:lang w:eastAsia="en-US"/>
        </w:rPr>
        <w:t xml:space="preserve">0.1%/0.2% hyaluronate sodium MDPF and Cationorm respectively was reasonably supported by the submission data. The PBAC noted that Systane Hydration does not contain hyaluronate sodium. </w:t>
      </w:r>
      <w:r>
        <w:t>Furthermore, t</w:t>
      </w:r>
      <w:r w:rsidRPr="00325AC7">
        <w:t xml:space="preserve">he PBAC </w:t>
      </w:r>
      <w:r>
        <w:t>had</w:t>
      </w:r>
      <w:r w:rsidRPr="00325AC7">
        <w:t xml:space="preserve"> </w:t>
      </w:r>
      <w:r>
        <w:t>recalled</w:t>
      </w:r>
      <w:r w:rsidRPr="00325AC7">
        <w:t xml:space="preserve"> it</w:t>
      </w:r>
      <w:r>
        <w:t>s</w:t>
      </w:r>
      <w:r w:rsidRPr="00325AC7">
        <w:t xml:space="preserve"> advi</w:t>
      </w:r>
      <w:r>
        <w:t>ce</w:t>
      </w:r>
      <w:r w:rsidRPr="00325AC7">
        <w:t xml:space="preserve"> in 2014 that all ocular lubricants should be considered equivalent for pricing purposes</w:t>
      </w:r>
      <w:r>
        <w:t>, inclusive of hyaluronate based ocular lubricants.</w:t>
      </w:r>
    </w:p>
    <w:p w14:paraId="2DEF067B" w14:textId="77777777" w:rsidR="00FB7788" w:rsidRDefault="00FB7788" w:rsidP="00FB7788">
      <w:pPr>
        <w:pStyle w:val="3-BodyText"/>
        <w:numPr>
          <w:ilvl w:val="1"/>
          <w:numId w:val="2"/>
        </w:numPr>
      </w:pPr>
      <w:r>
        <w:t xml:space="preserve">At the March 2023 meeting, the PBAC also considered that </w:t>
      </w:r>
      <w:r w:rsidRPr="00B0755C">
        <w:t>Optive Fusion</w:t>
      </w:r>
      <w:r>
        <w:t>,</w:t>
      </w:r>
      <w:r w:rsidRPr="003460DB">
        <w:rPr>
          <w:bCs/>
        </w:rPr>
        <w:t xml:space="preserve"> </w:t>
      </w:r>
      <w:r>
        <w:rPr>
          <w:bCs/>
        </w:rPr>
        <w:t>a PC based ocular lubricant, had demonstrated non-inferiority to PF ocular lubricants listed on the PBS.</w:t>
      </w:r>
    </w:p>
    <w:p w14:paraId="45D8660A" w14:textId="1892AC48" w:rsidR="00FB7788" w:rsidRDefault="00FB7788" w:rsidP="00FB7788">
      <w:pPr>
        <w:pStyle w:val="2-SectionHeading"/>
      </w:pPr>
      <w:r>
        <w:t>PBAC Outcome</w:t>
      </w:r>
    </w:p>
    <w:p w14:paraId="19CF60CE" w14:textId="77777777" w:rsidR="00FB7788" w:rsidRDefault="00FB7788" w:rsidP="00FB7788">
      <w:pPr>
        <w:pStyle w:val="3-BodyText"/>
        <w:numPr>
          <w:ilvl w:val="1"/>
          <w:numId w:val="2"/>
        </w:numPr>
      </w:pPr>
      <w:r>
        <w:t xml:space="preserve">The PBAC recommended the listing of Systane Hydration </w:t>
      </w:r>
      <w:r w:rsidRPr="00325AC7">
        <w:t>for the treatment of severe dry eye syndrome</w:t>
      </w:r>
      <w:r w:rsidRPr="00DE3948">
        <w:rPr>
          <w:rFonts w:cstheme="minorHAnsi"/>
          <w:szCs w:val="24"/>
        </w:rPr>
        <w:t xml:space="preserve"> </w:t>
      </w:r>
      <w:r>
        <w:rPr>
          <w:rFonts w:cstheme="minorHAnsi"/>
          <w:szCs w:val="24"/>
        </w:rPr>
        <w:t xml:space="preserve">in patients </w:t>
      </w:r>
      <w:r w:rsidRPr="0012799E">
        <w:rPr>
          <w:rFonts w:cstheme="minorHAnsi"/>
          <w:szCs w:val="24"/>
        </w:rPr>
        <w:t>who are sensitive to preservatives in multi-dose eye drops</w:t>
      </w:r>
      <w:r>
        <w:t xml:space="preserve"> on a cost-minimisation basis to the lowest cost PBS listed ocular lubricant.</w:t>
      </w:r>
    </w:p>
    <w:p w14:paraId="43C18A24" w14:textId="77777777" w:rsidR="00FB7788" w:rsidRDefault="00FB7788" w:rsidP="00FB7788">
      <w:pPr>
        <w:pStyle w:val="3-BodyText"/>
        <w:numPr>
          <w:ilvl w:val="1"/>
          <w:numId w:val="2"/>
        </w:numPr>
      </w:pPr>
      <w:r>
        <w:lastRenderedPageBreak/>
        <w:t xml:space="preserve">The PBAC noted that under section 101(3B) of the Act, for a therapy to be </w:t>
      </w:r>
      <w:r w:rsidRPr="005B0F20">
        <w:t>substantially more costly than an alternative therapy or alternative therapies</w:t>
      </w:r>
      <w:r>
        <w:t>, it must,</w:t>
      </w:r>
      <w:r w:rsidRPr="005B0F20">
        <w:t xml:space="preserve"> for some patients, provide a significant improvement in efficacy or reduction of toxicity over the alternative therapy or therapies</w:t>
      </w:r>
      <w:r>
        <w:t xml:space="preserve">. The PBAC considered that Systane Hydration does not provide a </w:t>
      </w:r>
      <w:r w:rsidRPr="005B0F20">
        <w:t>significant improvement in efficacy or reduction of toxicity</w:t>
      </w:r>
      <w:r>
        <w:t xml:space="preserve"> over other PC ocular lubricants and reaffirmed its previous 2014 advice that hyaluronate based PF eye drops are considered to be non-inferior in effectiveness and safety to other PBS listed ocular lubricants. Specifically, the PBAC considered that PF ocular lubricants do not provide a significant reduction in toxicity over PBS listed PC ocular lubricants, and that hyaluronate based ocular lubricants do not provide a significant improvement in efficacy over other PBS listed ocular lubricants.</w:t>
      </w:r>
    </w:p>
    <w:p w14:paraId="72DD4F9B" w14:textId="77777777" w:rsidR="00FB7788" w:rsidRDefault="00FB7788" w:rsidP="00FB7788">
      <w:pPr>
        <w:pStyle w:val="3-BodyText"/>
        <w:numPr>
          <w:ilvl w:val="1"/>
          <w:numId w:val="2"/>
        </w:numPr>
      </w:pPr>
      <w:r w:rsidRPr="00650BF7">
        <w:t xml:space="preserve">The PBAC noted that its recommendation was on a cost-minimisation basis and advised that, because </w:t>
      </w:r>
      <w:r>
        <w:t>Systane Hydration</w:t>
      </w:r>
      <w:r w:rsidRPr="00650BF7">
        <w:t xml:space="preserve"> is not expected to provide a substantial and clinically relevant improvement in efficacy, or reduction of toxicity over all other </w:t>
      </w:r>
      <w:r>
        <w:t>ocular lubricants</w:t>
      </w:r>
      <w:r w:rsidRPr="00650BF7">
        <w:t xml:space="preserve">, or not expected to address a high and urgent unmet clinical need given the presence of an alternative therapy, the criteria prescribed by the </w:t>
      </w:r>
      <w:r w:rsidRPr="00AE3139">
        <w:rPr>
          <w:i/>
          <w:iCs/>
        </w:rPr>
        <w:t>National Health (Pharmaceuticals and Vaccines – Cost Recovery) Regulations 20</w:t>
      </w:r>
      <w:r>
        <w:rPr>
          <w:i/>
          <w:iCs/>
        </w:rPr>
        <w:t>22</w:t>
      </w:r>
      <w:r w:rsidRPr="00650BF7">
        <w:t xml:space="preserve"> for Pricing Pathway A were not met.</w:t>
      </w:r>
    </w:p>
    <w:p w14:paraId="2F43E6EB" w14:textId="77777777" w:rsidR="00FB7788" w:rsidRDefault="00FB7788" w:rsidP="00FB7788">
      <w:pPr>
        <w:pStyle w:val="3-BodyText"/>
        <w:numPr>
          <w:ilvl w:val="1"/>
          <w:numId w:val="2"/>
        </w:numPr>
      </w:pPr>
      <w:r w:rsidRPr="00650BF7">
        <w:t xml:space="preserve">The PBAC advised that under Section 101(3BA) of the </w:t>
      </w:r>
      <w:r>
        <w:t>Act, Systane Hydration</w:t>
      </w:r>
      <w:r w:rsidRPr="00650BF7">
        <w:t xml:space="preserve"> should be treated as interchangeable with other PBS-listed ocular lubricants on an individual patient basis.</w:t>
      </w:r>
    </w:p>
    <w:p w14:paraId="5AFE97B7" w14:textId="77777777" w:rsidR="00FB7788" w:rsidRDefault="00FB7788" w:rsidP="00FB7788">
      <w:pPr>
        <w:pStyle w:val="3-BodyText"/>
        <w:numPr>
          <w:ilvl w:val="1"/>
          <w:numId w:val="2"/>
        </w:numPr>
      </w:pPr>
      <w:r w:rsidRPr="00650BF7">
        <w:t xml:space="preserve">The PBAC advised that </w:t>
      </w:r>
      <w:r>
        <w:t>Systane Hydration</w:t>
      </w:r>
      <w:r w:rsidRPr="00650BF7">
        <w:t xml:space="preserve"> is suitable for prescribing by nurse practitioners and optometrists, which aligns with other PBS-listed ocular lubricants.</w:t>
      </w:r>
    </w:p>
    <w:p w14:paraId="740F3938" w14:textId="77777777" w:rsidR="00FB7788" w:rsidRDefault="00FB7788" w:rsidP="00FB7788">
      <w:pPr>
        <w:pStyle w:val="3-BodyText"/>
        <w:numPr>
          <w:ilvl w:val="1"/>
          <w:numId w:val="2"/>
        </w:numPr>
      </w:pPr>
      <w:r w:rsidRPr="00650BF7">
        <w:t xml:space="preserve">The PBAC advised that </w:t>
      </w:r>
      <w:r>
        <w:t>Systane Hydration</w:t>
      </w:r>
      <w:r w:rsidRPr="00650BF7">
        <w:t xml:space="preserve"> should be exempt from the Early Supply Rule as it currently does not apply to other PBS-listed ocular lubricants.</w:t>
      </w:r>
    </w:p>
    <w:p w14:paraId="07130F36" w14:textId="77777777" w:rsidR="00FB7788" w:rsidRDefault="00FB7788" w:rsidP="00FB7788">
      <w:pPr>
        <w:pStyle w:val="3-BodyText"/>
        <w:numPr>
          <w:ilvl w:val="1"/>
          <w:numId w:val="2"/>
        </w:numPr>
      </w:pPr>
      <w:r w:rsidRPr="00650BF7">
        <w:t>The PBAC noted that this submission is not eligible for an Independent Review as it received a positive recommendation.</w:t>
      </w:r>
    </w:p>
    <w:p w14:paraId="013B3375" w14:textId="612DBB74" w:rsidR="0016075C" w:rsidRDefault="00FB7788" w:rsidP="00FB7788">
      <w:pPr>
        <w:pStyle w:val="3-BodyText"/>
        <w:numPr>
          <w:ilvl w:val="0"/>
          <w:numId w:val="0"/>
        </w:numPr>
      </w:pPr>
      <w:r w:rsidRPr="00325AC7">
        <w:rPr>
          <w:b/>
          <w:bCs/>
        </w:rPr>
        <w:t>Outcome:</w:t>
      </w:r>
      <w:r w:rsidRPr="00325AC7">
        <w:br/>
      </w:r>
      <w:r>
        <w:t>Recommended</w:t>
      </w:r>
    </w:p>
    <w:p w14:paraId="327D41AF" w14:textId="77777777" w:rsidR="0016075C" w:rsidRDefault="0016075C">
      <w:pPr>
        <w:jc w:val="left"/>
        <w:rPr>
          <w:rFonts w:asciiTheme="minorHAnsi" w:eastAsiaTheme="minorHAnsi" w:hAnsiTheme="minorHAnsi" w:cstheme="minorBidi"/>
          <w:szCs w:val="22"/>
        </w:rPr>
      </w:pPr>
      <w:r>
        <w:br w:type="page"/>
      </w:r>
    </w:p>
    <w:p w14:paraId="5731C2C1" w14:textId="77777777" w:rsidR="00FB7788" w:rsidRDefault="00FB7788" w:rsidP="00FB7788">
      <w:pPr>
        <w:pStyle w:val="2-SectionHeading"/>
      </w:pPr>
      <w:r>
        <w:lastRenderedPageBreak/>
        <w:t>Recommended listing</w:t>
      </w:r>
    </w:p>
    <w:p w14:paraId="2B09493F" w14:textId="77777777" w:rsidR="00FB7788" w:rsidRDefault="00FB7788" w:rsidP="00FB7788">
      <w:pPr>
        <w:pStyle w:val="3Bodytext"/>
      </w:pPr>
      <w:r>
        <w:t>Add new listing: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701"/>
      </w:tblGrid>
      <w:tr w:rsidR="00FB7788" w:rsidRPr="009A610D" w14:paraId="54CE1707" w14:textId="77777777" w:rsidTr="007575A6">
        <w:trPr>
          <w:cantSplit/>
          <w:trHeight w:val="471"/>
        </w:trPr>
        <w:tc>
          <w:tcPr>
            <w:tcW w:w="3964" w:type="dxa"/>
          </w:tcPr>
          <w:p w14:paraId="1E4BC0BE" w14:textId="77777777" w:rsidR="00FB7788" w:rsidRPr="009D53FA" w:rsidRDefault="00FB7788" w:rsidP="007575A6">
            <w:pPr>
              <w:keepNext/>
              <w:ind w:left="-57"/>
              <w:rPr>
                <w:rFonts w:ascii="Arial Narrow" w:hAnsi="Arial Narrow" w:cs="Arial"/>
                <w:b/>
                <w:bCs/>
                <w:sz w:val="20"/>
                <w:szCs w:val="20"/>
              </w:rPr>
            </w:pPr>
            <w:r w:rsidRPr="009D53FA">
              <w:rPr>
                <w:rFonts w:ascii="Arial Narrow" w:hAnsi="Arial Narrow" w:cs="Arial"/>
                <w:b/>
                <w:bCs/>
                <w:sz w:val="20"/>
                <w:szCs w:val="20"/>
              </w:rPr>
              <w:t>MEDICINAL PRODUCT</w:t>
            </w:r>
          </w:p>
          <w:p w14:paraId="5B2DFE1B" w14:textId="77777777" w:rsidR="00FB7788" w:rsidRPr="009D53FA" w:rsidRDefault="00FB7788" w:rsidP="007575A6">
            <w:pPr>
              <w:keepNext/>
              <w:ind w:left="-57"/>
              <w:rPr>
                <w:rFonts w:ascii="Arial Narrow" w:hAnsi="Arial Narrow" w:cs="Arial"/>
                <w:b/>
                <w:sz w:val="20"/>
                <w:szCs w:val="20"/>
              </w:rPr>
            </w:pPr>
            <w:r w:rsidRPr="009D53FA">
              <w:rPr>
                <w:rFonts w:ascii="Arial Narrow" w:hAnsi="Arial Narrow" w:cs="Arial"/>
                <w:b/>
                <w:bCs/>
                <w:sz w:val="20"/>
                <w:szCs w:val="20"/>
              </w:rPr>
              <w:t>medicinal product pack</w:t>
            </w:r>
          </w:p>
        </w:tc>
        <w:tc>
          <w:tcPr>
            <w:tcW w:w="993" w:type="dxa"/>
          </w:tcPr>
          <w:p w14:paraId="0E7A3DC9" w14:textId="77777777" w:rsidR="00FB7788" w:rsidRPr="009D53FA" w:rsidRDefault="00FB7788" w:rsidP="007575A6">
            <w:pPr>
              <w:keepNext/>
              <w:ind w:left="-108"/>
              <w:jc w:val="center"/>
              <w:rPr>
                <w:rFonts w:ascii="Arial Narrow" w:hAnsi="Arial Narrow" w:cs="Arial"/>
                <w:b/>
                <w:sz w:val="20"/>
                <w:szCs w:val="20"/>
              </w:rPr>
            </w:pPr>
            <w:r w:rsidRPr="009D53FA">
              <w:rPr>
                <w:rFonts w:ascii="Arial Narrow" w:hAnsi="Arial Narrow" w:cs="Arial"/>
                <w:b/>
                <w:sz w:val="20"/>
                <w:szCs w:val="20"/>
              </w:rPr>
              <w:t>PBS item code</w:t>
            </w:r>
          </w:p>
        </w:tc>
        <w:tc>
          <w:tcPr>
            <w:tcW w:w="850" w:type="dxa"/>
          </w:tcPr>
          <w:p w14:paraId="02A0F1AF" w14:textId="77777777" w:rsidR="00FB7788" w:rsidRPr="009D53FA" w:rsidRDefault="00FB7788" w:rsidP="007575A6">
            <w:pPr>
              <w:keepNext/>
              <w:ind w:left="-108"/>
              <w:jc w:val="center"/>
              <w:rPr>
                <w:rFonts w:ascii="Arial Narrow" w:hAnsi="Arial Narrow" w:cs="Arial"/>
                <w:b/>
                <w:sz w:val="20"/>
                <w:szCs w:val="20"/>
              </w:rPr>
            </w:pPr>
            <w:r w:rsidRPr="009D53FA">
              <w:rPr>
                <w:rFonts w:ascii="Arial Narrow" w:hAnsi="Arial Narrow" w:cs="Arial"/>
                <w:b/>
                <w:sz w:val="20"/>
                <w:szCs w:val="20"/>
              </w:rPr>
              <w:t>Max. qty packs</w:t>
            </w:r>
          </w:p>
        </w:tc>
        <w:tc>
          <w:tcPr>
            <w:tcW w:w="851" w:type="dxa"/>
          </w:tcPr>
          <w:p w14:paraId="736479BF" w14:textId="77777777" w:rsidR="00FB7788" w:rsidRPr="009D53FA" w:rsidRDefault="00FB7788" w:rsidP="007575A6">
            <w:pPr>
              <w:keepNext/>
              <w:ind w:left="-108"/>
              <w:jc w:val="center"/>
              <w:rPr>
                <w:rFonts w:ascii="Arial Narrow" w:hAnsi="Arial Narrow" w:cs="Arial"/>
                <w:b/>
                <w:sz w:val="20"/>
                <w:szCs w:val="20"/>
              </w:rPr>
            </w:pPr>
            <w:r w:rsidRPr="009D53FA">
              <w:rPr>
                <w:rFonts w:ascii="Arial Narrow" w:hAnsi="Arial Narrow" w:cs="Arial"/>
                <w:b/>
                <w:sz w:val="20"/>
                <w:szCs w:val="20"/>
              </w:rPr>
              <w:t>Max. qty units</w:t>
            </w:r>
          </w:p>
        </w:tc>
        <w:tc>
          <w:tcPr>
            <w:tcW w:w="708" w:type="dxa"/>
          </w:tcPr>
          <w:p w14:paraId="709F96E9" w14:textId="77777777" w:rsidR="00FB7788" w:rsidRPr="009D53FA" w:rsidRDefault="00FB7788" w:rsidP="007575A6">
            <w:pPr>
              <w:keepNext/>
              <w:ind w:left="-108"/>
              <w:jc w:val="center"/>
              <w:rPr>
                <w:rFonts w:ascii="Arial Narrow" w:hAnsi="Arial Narrow" w:cs="Arial"/>
                <w:b/>
                <w:sz w:val="20"/>
                <w:szCs w:val="20"/>
              </w:rPr>
            </w:pPr>
            <w:r w:rsidRPr="009D53FA">
              <w:rPr>
                <w:rFonts w:ascii="Arial Narrow" w:hAnsi="Arial Narrow" w:cs="Arial"/>
                <w:b/>
                <w:sz w:val="20"/>
                <w:szCs w:val="20"/>
              </w:rPr>
              <w:t>№.of</w:t>
            </w:r>
          </w:p>
          <w:p w14:paraId="356D6999" w14:textId="77777777" w:rsidR="00FB7788" w:rsidRPr="009D53FA" w:rsidRDefault="00FB7788" w:rsidP="007575A6">
            <w:pPr>
              <w:keepNext/>
              <w:ind w:left="-108"/>
              <w:jc w:val="center"/>
              <w:rPr>
                <w:rFonts w:ascii="Arial Narrow" w:hAnsi="Arial Narrow" w:cs="Arial"/>
                <w:b/>
                <w:sz w:val="20"/>
                <w:szCs w:val="20"/>
              </w:rPr>
            </w:pPr>
            <w:r w:rsidRPr="009D53FA">
              <w:rPr>
                <w:rFonts w:ascii="Arial Narrow" w:hAnsi="Arial Narrow" w:cs="Arial"/>
                <w:b/>
                <w:sz w:val="20"/>
                <w:szCs w:val="20"/>
              </w:rPr>
              <w:t>Rpts</w:t>
            </w:r>
          </w:p>
        </w:tc>
        <w:tc>
          <w:tcPr>
            <w:tcW w:w="1701" w:type="dxa"/>
          </w:tcPr>
          <w:p w14:paraId="4178DD49" w14:textId="77777777" w:rsidR="00FB7788" w:rsidRPr="009D53FA" w:rsidRDefault="00FB7788" w:rsidP="007575A6">
            <w:pPr>
              <w:keepNext/>
              <w:rPr>
                <w:rFonts w:ascii="Arial Narrow" w:hAnsi="Arial Narrow" w:cs="Arial"/>
                <w:b/>
                <w:sz w:val="20"/>
                <w:szCs w:val="20"/>
                <w:lang w:val="fr-FR"/>
              </w:rPr>
            </w:pPr>
            <w:r w:rsidRPr="009D53FA">
              <w:rPr>
                <w:rFonts w:ascii="Arial Narrow" w:hAnsi="Arial Narrow" w:cs="Arial"/>
                <w:b/>
                <w:sz w:val="20"/>
                <w:szCs w:val="20"/>
              </w:rPr>
              <w:t>Available brands</w:t>
            </w:r>
          </w:p>
        </w:tc>
      </w:tr>
      <w:tr w:rsidR="00FB7788" w:rsidRPr="009A610D" w14:paraId="63C2D655" w14:textId="77777777" w:rsidTr="007575A6">
        <w:trPr>
          <w:cantSplit/>
          <w:trHeight w:val="224"/>
        </w:trPr>
        <w:tc>
          <w:tcPr>
            <w:tcW w:w="9067" w:type="dxa"/>
            <w:gridSpan w:val="6"/>
          </w:tcPr>
          <w:p w14:paraId="690AF0C0" w14:textId="20CBB13C" w:rsidR="00FB7788" w:rsidRPr="009D53FA" w:rsidRDefault="00FB7788" w:rsidP="0016075C">
            <w:pPr>
              <w:keepNext/>
              <w:ind w:left="-57"/>
              <w:rPr>
                <w:rFonts w:ascii="Arial Narrow" w:hAnsi="Arial Narrow" w:cs="Arial"/>
                <w:sz w:val="20"/>
                <w:szCs w:val="20"/>
              </w:rPr>
            </w:pPr>
            <w:r w:rsidRPr="009D53FA">
              <w:rPr>
                <w:rFonts w:ascii="Arial Narrow" w:hAnsi="Arial Narrow" w:cs="Arial"/>
                <w:sz w:val="20"/>
                <w:szCs w:val="20"/>
              </w:rPr>
              <w:t xml:space="preserve"> HYALURONATE SODIUM + POLYETHYLENE GLYCOL-400 + PROPYLENE GLYCOL + HYDROXYPROPYL GUAR</w:t>
            </w:r>
          </w:p>
        </w:tc>
      </w:tr>
      <w:tr w:rsidR="00FB7788" w:rsidRPr="009A610D" w14:paraId="14647082" w14:textId="77777777" w:rsidTr="007575A6">
        <w:trPr>
          <w:cantSplit/>
          <w:trHeight w:val="596"/>
        </w:trPr>
        <w:tc>
          <w:tcPr>
            <w:tcW w:w="3964" w:type="dxa"/>
          </w:tcPr>
          <w:p w14:paraId="44A5655A" w14:textId="77777777" w:rsidR="00FB7788" w:rsidRPr="009D53FA" w:rsidRDefault="00FB7788" w:rsidP="007575A6">
            <w:pPr>
              <w:keepNext/>
              <w:ind w:left="-57"/>
              <w:rPr>
                <w:rFonts w:ascii="Arial Narrow" w:hAnsi="Arial Narrow" w:cs="Arial"/>
                <w:sz w:val="20"/>
                <w:szCs w:val="20"/>
              </w:rPr>
            </w:pPr>
            <w:r w:rsidRPr="009D53FA">
              <w:rPr>
                <w:rFonts w:ascii="Arial Narrow" w:hAnsi="Arial Narrow" w:cs="Arial"/>
                <w:sz w:val="20"/>
                <w:szCs w:val="20"/>
              </w:rPr>
              <w:t>hyaluronate sodium 0.15% + polyethylene glycol-400 + propylene glycol + hydroxypropyl guar eye drops, 10 mL</w:t>
            </w:r>
          </w:p>
        </w:tc>
        <w:tc>
          <w:tcPr>
            <w:tcW w:w="993" w:type="dxa"/>
          </w:tcPr>
          <w:p w14:paraId="182E0BCF" w14:textId="77777777" w:rsidR="00FB7788" w:rsidRPr="009D53FA" w:rsidRDefault="00FB7788" w:rsidP="007575A6">
            <w:pPr>
              <w:keepNext/>
              <w:jc w:val="center"/>
              <w:rPr>
                <w:rFonts w:ascii="Arial Narrow" w:hAnsi="Arial Narrow" w:cs="Arial"/>
                <w:sz w:val="20"/>
                <w:szCs w:val="20"/>
              </w:rPr>
            </w:pPr>
            <w:r w:rsidRPr="009D53FA">
              <w:rPr>
                <w:rFonts w:ascii="Arial Narrow" w:hAnsi="Arial Narrow" w:cs="Arial"/>
                <w:sz w:val="20"/>
                <w:szCs w:val="20"/>
              </w:rPr>
              <w:t>NEW</w:t>
            </w:r>
          </w:p>
        </w:tc>
        <w:tc>
          <w:tcPr>
            <w:tcW w:w="850" w:type="dxa"/>
          </w:tcPr>
          <w:p w14:paraId="3987BD12" w14:textId="77777777" w:rsidR="00FB7788" w:rsidRPr="009D53FA" w:rsidRDefault="00FB7788" w:rsidP="007575A6">
            <w:pPr>
              <w:keepNext/>
              <w:jc w:val="center"/>
              <w:rPr>
                <w:rFonts w:ascii="Arial Narrow" w:hAnsi="Arial Narrow" w:cs="Arial"/>
                <w:sz w:val="20"/>
                <w:szCs w:val="20"/>
              </w:rPr>
            </w:pPr>
            <w:r w:rsidRPr="009D53FA">
              <w:rPr>
                <w:rFonts w:ascii="Arial Narrow" w:hAnsi="Arial Narrow" w:cs="Arial"/>
                <w:sz w:val="20"/>
                <w:szCs w:val="20"/>
              </w:rPr>
              <w:t>1</w:t>
            </w:r>
          </w:p>
        </w:tc>
        <w:tc>
          <w:tcPr>
            <w:tcW w:w="851" w:type="dxa"/>
          </w:tcPr>
          <w:p w14:paraId="276D3036" w14:textId="77777777" w:rsidR="00FB7788" w:rsidRPr="009D53FA" w:rsidRDefault="00FB7788" w:rsidP="007575A6">
            <w:pPr>
              <w:keepNext/>
              <w:jc w:val="center"/>
              <w:rPr>
                <w:rFonts w:ascii="Arial Narrow" w:hAnsi="Arial Narrow" w:cs="Arial"/>
                <w:sz w:val="20"/>
                <w:szCs w:val="20"/>
              </w:rPr>
            </w:pPr>
            <w:r w:rsidRPr="009D53FA">
              <w:rPr>
                <w:rFonts w:ascii="Arial Narrow" w:hAnsi="Arial Narrow" w:cs="Arial"/>
                <w:sz w:val="20"/>
                <w:szCs w:val="20"/>
              </w:rPr>
              <w:t>1</w:t>
            </w:r>
          </w:p>
        </w:tc>
        <w:tc>
          <w:tcPr>
            <w:tcW w:w="708" w:type="dxa"/>
          </w:tcPr>
          <w:p w14:paraId="22DF44D6" w14:textId="77777777" w:rsidR="00FB7788" w:rsidRPr="009D53FA" w:rsidRDefault="00FB7788" w:rsidP="007575A6">
            <w:pPr>
              <w:keepNext/>
              <w:jc w:val="center"/>
              <w:rPr>
                <w:rFonts w:ascii="Arial Narrow" w:hAnsi="Arial Narrow" w:cs="Arial"/>
                <w:sz w:val="20"/>
                <w:szCs w:val="20"/>
              </w:rPr>
            </w:pPr>
            <w:r w:rsidRPr="009D53FA">
              <w:rPr>
                <w:rFonts w:ascii="Arial Narrow" w:hAnsi="Arial Narrow" w:cs="Arial"/>
                <w:sz w:val="20"/>
                <w:szCs w:val="20"/>
              </w:rPr>
              <w:t>5</w:t>
            </w:r>
          </w:p>
        </w:tc>
        <w:tc>
          <w:tcPr>
            <w:tcW w:w="1701" w:type="dxa"/>
          </w:tcPr>
          <w:p w14:paraId="6A608893" w14:textId="77777777" w:rsidR="00FB7788" w:rsidRPr="009D53FA" w:rsidRDefault="00FB7788" w:rsidP="007575A6">
            <w:pPr>
              <w:keepNext/>
              <w:jc w:val="left"/>
              <w:rPr>
                <w:rFonts w:ascii="Arial Narrow" w:hAnsi="Arial Narrow" w:cs="Arial"/>
                <w:sz w:val="20"/>
                <w:szCs w:val="20"/>
              </w:rPr>
            </w:pPr>
            <w:r w:rsidRPr="009D53FA">
              <w:rPr>
                <w:rFonts w:ascii="Arial Narrow" w:hAnsi="Arial Narrow" w:cs="Arial"/>
                <w:sz w:val="20"/>
                <w:szCs w:val="20"/>
              </w:rPr>
              <w:t>Systane Hydration Lubricant</w:t>
            </w:r>
          </w:p>
        </w:tc>
      </w:tr>
      <w:tr w:rsidR="00FB7788" w:rsidRPr="00120A12" w14:paraId="76079342" w14:textId="77777777" w:rsidTr="007575A6">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6C3CDD6D" w14:textId="77777777" w:rsidR="00FB7788" w:rsidRPr="009D53FA" w:rsidRDefault="00FB7788" w:rsidP="007575A6">
            <w:pPr>
              <w:keepNext/>
              <w:rPr>
                <w:rFonts w:ascii="Arial Narrow" w:hAnsi="Arial Narrow" w:cs="Arial"/>
                <w:sz w:val="20"/>
                <w:szCs w:val="20"/>
              </w:rPr>
            </w:pPr>
          </w:p>
        </w:tc>
      </w:tr>
      <w:tr w:rsidR="00FB7788" w:rsidRPr="00120A12" w14:paraId="47A7C19D" w14:textId="77777777" w:rsidTr="007575A6">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1BA94423" w14:textId="5C8301F6" w:rsidR="00FB7788" w:rsidRPr="009D53FA" w:rsidRDefault="00FB7788" w:rsidP="007575A6">
            <w:pPr>
              <w:keepNext/>
              <w:rPr>
                <w:rFonts w:ascii="Arial Narrow" w:hAnsi="Arial Narrow" w:cs="Arial"/>
                <w:b/>
                <w:sz w:val="20"/>
                <w:szCs w:val="20"/>
              </w:rPr>
            </w:pPr>
            <w:r w:rsidRPr="009D53FA">
              <w:rPr>
                <w:rFonts w:ascii="Arial Narrow" w:hAnsi="Arial Narrow"/>
                <w:b/>
                <w:sz w:val="20"/>
                <w:szCs w:val="20"/>
              </w:rPr>
              <w:t>Restriction Summary / Treatment of Concept</w:t>
            </w:r>
          </w:p>
        </w:tc>
      </w:tr>
      <w:tr w:rsidR="0016075C" w:rsidRPr="00120A12" w14:paraId="19E69F59" w14:textId="77777777" w:rsidTr="002D4BD0">
        <w:tblPrEx>
          <w:tblCellMar>
            <w:top w:w="15" w:type="dxa"/>
            <w:left w:w="15" w:type="dxa"/>
            <w:bottom w:w="15" w:type="dxa"/>
            <w:right w:w="15" w:type="dxa"/>
          </w:tblCellMar>
        </w:tblPrEx>
        <w:tc>
          <w:tcPr>
            <w:tcW w:w="9067" w:type="dxa"/>
            <w:gridSpan w:val="6"/>
            <w:tcBorders>
              <w:top w:val="single" w:sz="4" w:space="0" w:color="auto"/>
              <w:left w:val="single" w:sz="4" w:space="0" w:color="auto"/>
              <w:bottom w:val="single" w:sz="4" w:space="0" w:color="auto"/>
              <w:right w:val="single" w:sz="4" w:space="0" w:color="auto"/>
            </w:tcBorders>
          </w:tcPr>
          <w:p w14:paraId="3A2433DE" w14:textId="77777777" w:rsidR="0016075C" w:rsidRPr="009D53FA" w:rsidRDefault="0016075C" w:rsidP="007575A6">
            <w:pPr>
              <w:keepNext/>
              <w:rPr>
                <w:rFonts w:ascii="Arial Narrow" w:hAnsi="Arial Narrow" w:cs="Arial"/>
                <w:sz w:val="20"/>
                <w:szCs w:val="20"/>
              </w:rPr>
            </w:pPr>
            <w:r w:rsidRPr="009D53FA">
              <w:rPr>
                <w:rFonts w:ascii="Arial Narrow" w:hAnsi="Arial Narrow" w:cs="Arial"/>
                <w:b/>
                <w:sz w:val="20"/>
                <w:szCs w:val="20"/>
              </w:rPr>
              <w:t>Category / Program:</w:t>
            </w:r>
            <w:r>
              <w:rPr>
                <w:rFonts w:ascii="Arial Narrow" w:hAnsi="Arial Narrow" w:cs="Arial"/>
                <w:b/>
                <w:sz w:val="20"/>
                <w:szCs w:val="20"/>
              </w:rPr>
              <w:t xml:space="preserve"> </w:t>
            </w:r>
            <w:r w:rsidRPr="009D53FA">
              <w:rPr>
                <w:rFonts w:ascii="Arial Narrow" w:hAnsi="Arial Narrow" w:cs="Arial"/>
                <w:sz w:val="20"/>
                <w:szCs w:val="20"/>
              </w:rPr>
              <w:t xml:space="preserve">GENERAL – General Schedule (Code GE) </w:t>
            </w:r>
          </w:p>
        </w:tc>
      </w:tr>
      <w:tr w:rsidR="0016075C" w:rsidRPr="00120A12" w14:paraId="3C8D6E6A" w14:textId="77777777" w:rsidTr="002D4BD0">
        <w:tblPrEx>
          <w:tblCellMar>
            <w:top w:w="15" w:type="dxa"/>
            <w:left w:w="15" w:type="dxa"/>
            <w:bottom w:w="15" w:type="dxa"/>
            <w:right w:w="15" w:type="dxa"/>
          </w:tblCellMar>
        </w:tblPrEx>
        <w:trPr>
          <w:trHeight w:val="240"/>
        </w:trPr>
        <w:tc>
          <w:tcPr>
            <w:tcW w:w="9067" w:type="dxa"/>
            <w:gridSpan w:val="6"/>
            <w:tcBorders>
              <w:top w:val="single" w:sz="4" w:space="0" w:color="auto"/>
              <w:left w:val="single" w:sz="4" w:space="0" w:color="auto"/>
              <w:bottom w:val="single" w:sz="4" w:space="0" w:color="auto"/>
              <w:right w:val="single" w:sz="4" w:space="0" w:color="auto"/>
            </w:tcBorders>
          </w:tcPr>
          <w:p w14:paraId="0ACED9FD" w14:textId="77777777" w:rsidR="0016075C" w:rsidRPr="009D53FA" w:rsidRDefault="0016075C" w:rsidP="007575A6">
            <w:pPr>
              <w:keepNext/>
              <w:rPr>
                <w:rFonts w:ascii="Arial Narrow" w:hAnsi="Arial Narrow" w:cs="Arial"/>
                <w:b/>
                <w:sz w:val="20"/>
                <w:szCs w:val="20"/>
              </w:rPr>
            </w:pPr>
            <w:r w:rsidRPr="009D53FA">
              <w:rPr>
                <w:rFonts w:ascii="Arial Narrow" w:hAnsi="Arial Narrow" w:cs="Arial"/>
                <w:b/>
                <w:sz w:val="20"/>
                <w:szCs w:val="20"/>
              </w:rPr>
              <w:t xml:space="preserve">Prescriber type </w:t>
            </w:r>
            <w:r w:rsidRPr="009D53FA">
              <w:rPr>
                <w:rFonts w:ascii="Arial Narrow" w:hAnsi="Arial Narrow" w:cs="Arial"/>
                <w:sz w:val="20"/>
                <w:szCs w:val="20"/>
              </w:rPr>
              <w:fldChar w:fldCharType="begin">
                <w:ffData>
                  <w:name w:val=""/>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Medical Practitioners</w:t>
            </w:r>
            <w:r>
              <w:rPr>
                <w:rFonts w:ascii="Arial Narrow" w:hAnsi="Arial Narrow" w:cs="Arial"/>
                <w:sz w:val="20"/>
                <w:szCs w:val="20"/>
              </w:rPr>
              <w:t xml:space="preserve">  </w:t>
            </w:r>
            <w:r w:rsidRPr="009D53FA">
              <w:rPr>
                <w:rFonts w:ascii="Arial Narrow" w:hAnsi="Arial Narrow" w:cs="Arial"/>
                <w:sz w:val="20"/>
                <w:szCs w:val="20"/>
              </w:rPr>
              <w:fldChar w:fldCharType="begin">
                <w:ffData>
                  <w:name w:val="Check3"/>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Nurse practitioners</w:t>
            </w:r>
            <w:r>
              <w:rPr>
                <w:rFonts w:ascii="Arial Narrow" w:hAnsi="Arial Narrow" w:cs="Arial"/>
                <w:sz w:val="20"/>
                <w:szCs w:val="20"/>
              </w:rPr>
              <w:t xml:space="preserve">  </w:t>
            </w:r>
            <w:r w:rsidRPr="009D53FA">
              <w:rPr>
                <w:rFonts w:ascii="Arial Narrow" w:hAnsi="Arial Narrow" w:cs="Arial"/>
                <w:sz w:val="20"/>
                <w:szCs w:val="20"/>
              </w:rPr>
              <w:fldChar w:fldCharType="begin">
                <w:ffData>
                  <w:name w:val=""/>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 xml:space="preserve">Optometrists </w:t>
            </w:r>
          </w:p>
        </w:tc>
      </w:tr>
      <w:tr w:rsidR="0016075C" w:rsidRPr="00120A12" w14:paraId="5F67EFF7" w14:textId="77777777" w:rsidTr="002D4BD0">
        <w:tblPrEx>
          <w:tblCellMar>
            <w:top w:w="15" w:type="dxa"/>
            <w:left w:w="15" w:type="dxa"/>
            <w:bottom w:w="15" w:type="dxa"/>
            <w:right w:w="15" w:type="dxa"/>
          </w:tblCellMar>
        </w:tblPrEx>
        <w:trPr>
          <w:trHeight w:val="507"/>
        </w:trPr>
        <w:tc>
          <w:tcPr>
            <w:tcW w:w="9067" w:type="dxa"/>
            <w:gridSpan w:val="6"/>
            <w:tcBorders>
              <w:top w:val="single" w:sz="4" w:space="0" w:color="auto"/>
              <w:left w:val="single" w:sz="4" w:space="0" w:color="auto"/>
              <w:bottom w:val="single" w:sz="4" w:space="0" w:color="auto"/>
              <w:right w:val="single" w:sz="4" w:space="0" w:color="auto"/>
            </w:tcBorders>
          </w:tcPr>
          <w:p w14:paraId="409F8766" w14:textId="77777777" w:rsidR="0016075C" w:rsidRPr="009D53FA" w:rsidRDefault="0016075C" w:rsidP="007575A6">
            <w:pPr>
              <w:keepNext/>
              <w:rPr>
                <w:rFonts w:ascii="Arial Narrow" w:hAnsi="Arial Narrow" w:cs="Arial"/>
                <w:b/>
                <w:sz w:val="20"/>
                <w:szCs w:val="20"/>
              </w:rPr>
            </w:pPr>
            <w:r w:rsidRPr="009D53FA">
              <w:rPr>
                <w:rFonts w:ascii="Arial Narrow" w:hAnsi="Arial Narrow" w:cs="Arial"/>
                <w:b/>
                <w:sz w:val="20"/>
                <w:szCs w:val="20"/>
              </w:rPr>
              <w:t>Restriction type:</w:t>
            </w:r>
          </w:p>
          <w:p w14:paraId="431A34CA" w14:textId="77777777" w:rsidR="0016075C" w:rsidRPr="009D53FA" w:rsidRDefault="0016075C" w:rsidP="007575A6">
            <w:pPr>
              <w:keepNext/>
              <w:rPr>
                <w:rFonts w:ascii="Arial Narrow" w:eastAsia="Calibri" w:hAnsi="Arial Narrow" w:cs="Arial"/>
                <w:sz w:val="20"/>
                <w:szCs w:val="20"/>
              </w:rPr>
            </w:pPr>
            <w:r w:rsidRPr="009D53FA">
              <w:rPr>
                <w:rFonts w:ascii="Arial Narrow" w:hAnsi="Arial Narrow" w:cs="Arial"/>
                <w:sz w:val="20"/>
                <w:szCs w:val="20"/>
              </w:rPr>
              <w:fldChar w:fldCharType="begin">
                <w:ffData>
                  <w:name w:val=""/>
                  <w:enabled/>
                  <w:calcOnExit w:val="0"/>
                  <w:checkBox>
                    <w:sizeAuto/>
                    <w:default w:val="1"/>
                  </w:checkBox>
                </w:ffData>
              </w:fldChar>
            </w:r>
            <w:r w:rsidRPr="009D53FA">
              <w:rPr>
                <w:rFonts w:ascii="Arial Narrow" w:hAnsi="Arial Narrow" w:cs="Arial"/>
                <w:sz w:val="20"/>
                <w:szCs w:val="20"/>
              </w:rPr>
              <w:instrText xml:space="preserve"> FORMCHECKBOX </w:instrText>
            </w:r>
            <w:r w:rsidR="00177378">
              <w:rPr>
                <w:rFonts w:ascii="Arial Narrow" w:hAnsi="Arial Narrow" w:cs="Arial"/>
                <w:sz w:val="20"/>
                <w:szCs w:val="20"/>
              </w:rPr>
            </w:r>
            <w:r w:rsidR="00177378">
              <w:rPr>
                <w:rFonts w:ascii="Arial Narrow" w:hAnsi="Arial Narrow" w:cs="Arial"/>
                <w:sz w:val="20"/>
                <w:szCs w:val="20"/>
              </w:rPr>
              <w:fldChar w:fldCharType="separate"/>
            </w:r>
            <w:r w:rsidRPr="009D53FA">
              <w:rPr>
                <w:rFonts w:ascii="Arial Narrow" w:hAnsi="Arial Narrow" w:cs="Arial"/>
                <w:sz w:val="20"/>
                <w:szCs w:val="20"/>
              </w:rPr>
              <w:fldChar w:fldCharType="end"/>
            </w:r>
            <w:r w:rsidRPr="009D53FA">
              <w:rPr>
                <w:rFonts w:ascii="Arial Narrow" w:hAnsi="Arial Narrow" w:cs="Arial"/>
                <w:sz w:val="20"/>
                <w:szCs w:val="20"/>
              </w:rPr>
              <w:t>Authority Required - Streamlined</w:t>
            </w:r>
            <w:r w:rsidRPr="009D53FA">
              <w:rPr>
                <w:rFonts w:ascii="Arial Narrow" w:eastAsia="Calibri" w:hAnsi="Arial Narrow" w:cs="Arial"/>
                <w:sz w:val="20"/>
                <w:szCs w:val="20"/>
              </w:rPr>
              <w:t xml:space="preserve"> [new code] </w:t>
            </w:r>
          </w:p>
        </w:tc>
      </w:tr>
      <w:tr w:rsidR="0016075C" w:rsidRPr="00120A12" w14:paraId="0E19A1F9" w14:textId="77777777" w:rsidTr="002D4BD0">
        <w:tblPrEx>
          <w:tblCellMar>
            <w:top w:w="15" w:type="dxa"/>
            <w:left w:w="15" w:type="dxa"/>
            <w:bottom w:w="15" w:type="dxa"/>
            <w:right w:w="15" w:type="dxa"/>
          </w:tblCellMar>
        </w:tblPrEx>
        <w:trPr>
          <w:trHeight w:val="311"/>
        </w:trPr>
        <w:tc>
          <w:tcPr>
            <w:tcW w:w="9067" w:type="dxa"/>
            <w:gridSpan w:val="6"/>
            <w:vAlign w:val="center"/>
          </w:tcPr>
          <w:p w14:paraId="7A184F99" w14:textId="77777777" w:rsidR="0016075C" w:rsidRPr="009D53FA" w:rsidRDefault="0016075C" w:rsidP="007575A6">
            <w:pPr>
              <w:keepNext/>
              <w:rPr>
                <w:rFonts w:ascii="Arial Narrow" w:hAnsi="Arial Narrow"/>
                <w:sz w:val="20"/>
                <w:szCs w:val="20"/>
              </w:rPr>
            </w:pPr>
            <w:r w:rsidRPr="009D53FA">
              <w:rPr>
                <w:rFonts w:ascii="Arial Narrow" w:hAnsi="Arial Narrow"/>
                <w:b/>
                <w:bCs/>
                <w:sz w:val="20"/>
                <w:szCs w:val="20"/>
              </w:rPr>
              <w:t>Administrative Advice:</w:t>
            </w:r>
          </w:p>
          <w:p w14:paraId="11B2A967" w14:textId="77777777" w:rsidR="0016075C" w:rsidRPr="009D53FA" w:rsidRDefault="0016075C" w:rsidP="007575A6">
            <w:pPr>
              <w:keepNext/>
              <w:rPr>
                <w:rFonts w:ascii="Arial Narrow" w:hAnsi="Arial Narrow"/>
                <w:sz w:val="20"/>
                <w:szCs w:val="20"/>
              </w:rPr>
            </w:pPr>
            <w:r w:rsidRPr="009D53FA">
              <w:rPr>
                <w:rFonts w:ascii="Arial Narrow" w:hAnsi="Arial Narrow" w:cs="Arial Narrow"/>
                <w:i/>
                <w:iCs/>
                <w:sz w:val="20"/>
                <w:szCs w:val="20"/>
              </w:rPr>
              <w:t>The in-use shelf life of this product is 3 months from the date of opening</w:t>
            </w:r>
          </w:p>
        </w:tc>
      </w:tr>
      <w:tr w:rsidR="0016075C" w:rsidRPr="00120A12" w14:paraId="4853D1A3" w14:textId="77777777" w:rsidTr="002D4BD0">
        <w:tblPrEx>
          <w:tblCellMar>
            <w:top w:w="15" w:type="dxa"/>
            <w:left w:w="15" w:type="dxa"/>
            <w:bottom w:w="15" w:type="dxa"/>
            <w:right w:w="15" w:type="dxa"/>
          </w:tblCellMar>
        </w:tblPrEx>
        <w:tc>
          <w:tcPr>
            <w:tcW w:w="9067" w:type="dxa"/>
            <w:gridSpan w:val="6"/>
            <w:vAlign w:val="center"/>
          </w:tcPr>
          <w:p w14:paraId="05C742A1" w14:textId="77777777" w:rsidR="0016075C" w:rsidRPr="009D53FA" w:rsidRDefault="0016075C" w:rsidP="007575A6">
            <w:pPr>
              <w:keepNext/>
              <w:rPr>
                <w:rFonts w:ascii="Arial Narrow" w:hAnsi="Arial Narrow"/>
                <w:b/>
                <w:bCs/>
                <w:sz w:val="20"/>
                <w:szCs w:val="20"/>
              </w:rPr>
            </w:pPr>
            <w:r w:rsidRPr="009D53FA">
              <w:rPr>
                <w:rFonts w:ascii="Arial Narrow" w:hAnsi="Arial Narrow"/>
                <w:b/>
                <w:bCs/>
                <w:sz w:val="20"/>
                <w:szCs w:val="20"/>
              </w:rPr>
              <w:t xml:space="preserve">Severity: </w:t>
            </w:r>
            <w:r w:rsidRPr="009D53FA">
              <w:rPr>
                <w:rFonts w:ascii="Arial Narrow" w:hAnsi="Arial Narrow"/>
                <w:bCs/>
                <w:sz w:val="20"/>
                <w:szCs w:val="20"/>
              </w:rPr>
              <w:t>Severe</w:t>
            </w:r>
          </w:p>
        </w:tc>
      </w:tr>
      <w:tr w:rsidR="0016075C" w:rsidRPr="00120A12" w14:paraId="30E9935C" w14:textId="77777777" w:rsidTr="002D4BD0">
        <w:tblPrEx>
          <w:tblCellMar>
            <w:top w:w="15" w:type="dxa"/>
            <w:left w:w="15" w:type="dxa"/>
            <w:bottom w:w="15" w:type="dxa"/>
            <w:right w:w="15" w:type="dxa"/>
          </w:tblCellMar>
        </w:tblPrEx>
        <w:tc>
          <w:tcPr>
            <w:tcW w:w="9067" w:type="dxa"/>
            <w:gridSpan w:val="6"/>
            <w:vAlign w:val="center"/>
          </w:tcPr>
          <w:p w14:paraId="1873E374" w14:textId="77777777" w:rsidR="0016075C" w:rsidRPr="009D53FA" w:rsidRDefault="0016075C" w:rsidP="007575A6">
            <w:pPr>
              <w:keepNext/>
              <w:rPr>
                <w:rFonts w:ascii="Arial Narrow" w:hAnsi="Arial Narrow"/>
                <w:b/>
                <w:bCs/>
                <w:sz w:val="20"/>
                <w:szCs w:val="20"/>
              </w:rPr>
            </w:pPr>
            <w:r w:rsidRPr="009D53FA">
              <w:rPr>
                <w:rFonts w:ascii="Arial Narrow" w:hAnsi="Arial Narrow"/>
                <w:b/>
                <w:bCs/>
                <w:sz w:val="20"/>
                <w:szCs w:val="20"/>
              </w:rPr>
              <w:t xml:space="preserve">Condition: </w:t>
            </w:r>
            <w:r w:rsidRPr="009D53FA">
              <w:rPr>
                <w:rFonts w:ascii="Arial Narrow" w:hAnsi="Arial Narrow"/>
                <w:sz w:val="20"/>
                <w:szCs w:val="20"/>
              </w:rPr>
              <w:t>Dry Eye Syndrome</w:t>
            </w:r>
          </w:p>
        </w:tc>
      </w:tr>
      <w:tr w:rsidR="0016075C" w:rsidRPr="00120A12" w14:paraId="37A69CF0" w14:textId="77777777" w:rsidTr="002D4BD0">
        <w:tblPrEx>
          <w:tblCellMar>
            <w:top w:w="15" w:type="dxa"/>
            <w:left w:w="15" w:type="dxa"/>
            <w:bottom w:w="15" w:type="dxa"/>
            <w:right w:w="15" w:type="dxa"/>
          </w:tblCellMar>
        </w:tblPrEx>
        <w:tc>
          <w:tcPr>
            <w:tcW w:w="9067" w:type="dxa"/>
            <w:gridSpan w:val="6"/>
            <w:vAlign w:val="center"/>
            <w:hideMark/>
          </w:tcPr>
          <w:p w14:paraId="6EA7D516" w14:textId="77777777" w:rsidR="0016075C" w:rsidRPr="009D53FA" w:rsidRDefault="0016075C" w:rsidP="007575A6">
            <w:pPr>
              <w:keepNext/>
              <w:rPr>
                <w:rFonts w:ascii="Arial Narrow" w:hAnsi="Arial Narrow"/>
                <w:sz w:val="20"/>
                <w:szCs w:val="20"/>
              </w:rPr>
            </w:pPr>
            <w:r w:rsidRPr="009D53FA">
              <w:rPr>
                <w:rFonts w:ascii="Arial Narrow" w:hAnsi="Arial Narrow"/>
                <w:b/>
                <w:bCs/>
                <w:sz w:val="20"/>
                <w:szCs w:val="20"/>
              </w:rPr>
              <w:t>Indication:</w:t>
            </w:r>
            <w:r w:rsidRPr="009D53FA">
              <w:rPr>
                <w:rFonts w:ascii="Arial Narrow" w:hAnsi="Arial Narrow"/>
                <w:sz w:val="20"/>
                <w:szCs w:val="20"/>
              </w:rPr>
              <w:t xml:space="preserve"> Severe Dry Eye Syndrome</w:t>
            </w:r>
          </w:p>
        </w:tc>
      </w:tr>
      <w:tr w:rsidR="0016075C" w:rsidRPr="007F2BB2" w14:paraId="4CD0855B" w14:textId="77777777" w:rsidTr="002D4BD0">
        <w:tblPrEx>
          <w:tblCellMar>
            <w:top w:w="15" w:type="dxa"/>
            <w:left w:w="15" w:type="dxa"/>
            <w:bottom w:w="15" w:type="dxa"/>
            <w:right w:w="15" w:type="dxa"/>
          </w:tblCellMar>
        </w:tblPrEx>
        <w:tc>
          <w:tcPr>
            <w:tcW w:w="9067" w:type="dxa"/>
            <w:gridSpan w:val="6"/>
            <w:vAlign w:val="center"/>
            <w:hideMark/>
          </w:tcPr>
          <w:p w14:paraId="4E347099" w14:textId="77777777" w:rsidR="0016075C" w:rsidRPr="009D53FA" w:rsidRDefault="0016075C" w:rsidP="007575A6">
            <w:pPr>
              <w:keepNext/>
              <w:rPr>
                <w:rFonts w:ascii="Arial Narrow" w:hAnsi="Arial Narrow"/>
                <w:sz w:val="20"/>
                <w:szCs w:val="20"/>
              </w:rPr>
            </w:pPr>
            <w:r w:rsidRPr="009D53FA">
              <w:rPr>
                <w:rFonts w:ascii="Arial Narrow" w:hAnsi="Arial Narrow"/>
                <w:b/>
                <w:bCs/>
                <w:sz w:val="20"/>
                <w:szCs w:val="20"/>
              </w:rPr>
              <w:t xml:space="preserve">Clinical criteria: </w:t>
            </w:r>
          </w:p>
        </w:tc>
      </w:tr>
      <w:tr w:rsidR="0016075C" w:rsidRPr="00720161" w14:paraId="17023680" w14:textId="77777777" w:rsidTr="002D4BD0">
        <w:tblPrEx>
          <w:tblCellMar>
            <w:top w:w="15" w:type="dxa"/>
            <w:left w:w="15" w:type="dxa"/>
            <w:bottom w:w="15" w:type="dxa"/>
            <w:right w:w="15" w:type="dxa"/>
          </w:tblCellMar>
        </w:tblPrEx>
        <w:tc>
          <w:tcPr>
            <w:tcW w:w="9067" w:type="dxa"/>
            <w:gridSpan w:val="6"/>
            <w:vAlign w:val="center"/>
            <w:hideMark/>
          </w:tcPr>
          <w:p w14:paraId="6269FC55" w14:textId="77777777" w:rsidR="0016075C" w:rsidRPr="009D53FA" w:rsidRDefault="0016075C" w:rsidP="007575A6">
            <w:pPr>
              <w:keepNext/>
              <w:rPr>
                <w:rFonts w:ascii="Arial Narrow" w:hAnsi="Arial Narrow"/>
                <w:sz w:val="20"/>
                <w:szCs w:val="20"/>
              </w:rPr>
            </w:pPr>
            <w:r w:rsidRPr="009D53FA">
              <w:rPr>
                <w:rFonts w:ascii="Arial Narrow" w:hAnsi="Arial Narrow" w:cs="Arial Narrow"/>
                <w:sz w:val="20"/>
                <w:szCs w:val="20"/>
              </w:rPr>
              <w:t>Patient must be sensitive to preservatives in multi-dose eye drops</w:t>
            </w:r>
          </w:p>
        </w:tc>
      </w:tr>
    </w:tbl>
    <w:p w14:paraId="4AF19C60" w14:textId="77777777" w:rsidR="00FB7788" w:rsidRPr="009D53FA" w:rsidRDefault="00FB7788" w:rsidP="00FB7788">
      <w:pPr>
        <w:pStyle w:val="TableFigureFooter"/>
        <w:keepNext/>
        <w:spacing w:after="0"/>
        <w:rPr>
          <w:rFonts w:asciiTheme="minorHAnsi" w:hAnsiTheme="minorHAnsi" w:cstheme="minorHAnsi"/>
          <w:sz w:val="24"/>
          <w:szCs w:val="24"/>
        </w:rPr>
      </w:pPr>
    </w:p>
    <w:p w14:paraId="3208DA7B" w14:textId="77777777" w:rsidR="00FB7788" w:rsidRPr="00EF4580" w:rsidRDefault="00FB7788" w:rsidP="00FB7788">
      <w:pPr>
        <w:pStyle w:val="3Bodytext"/>
        <w:numPr>
          <w:ilvl w:val="0"/>
          <w:numId w:val="0"/>
        </w:numPr>
      </w:pPr>
      <w:r w:rsidRPr="00BB6D30">
        <w:rPr>
          <w:rFonts w:cs="Arial"/>
          <w:b/>
          <w:bCs/>
          <w:i/>
        </w:rPr>
        <w:t xml:space="preserve">This restriction may be subject to further review. Should there be any changes made to the restriction the </w:t>
      </w:r>
      <w:r>
        <w:rPr>
          <w:rFonts w:cs="Arial"/>
          <w:b/>
          <w:bCs/>
          <w:i/>
        </w:rPr>
        <w:t>s</w:t>
      </w:r>
      <w:r w:rsidRPr="00BB6D30">
        <w:rPr>
          <w:rFonts w:cs="Arial"/>
          <w:b/>
          <w:bCs/>
          <w:i/>
        </w:rPr>
        <w:t>ponsor will be informed</w:t>
      </w:r>
      <w:r w:rsidRPr="007F262A">
        <w:rPr>
          <w:rFonts w:cs="Arial"/>
        </w:rPr>
        <w:t>.</w:t>
      </w:r>
    </w:p>
    <w:p w14:paraId="2BBC727C" w14:textId="47DF6531" w:rsidR="00BB224A" w:rsidRDefault="00BB224A" w:rsidP="002D4BD0">
      <w:pPr>
        <w:pStyle w:val="2-SectionHeading"/>
        <w:rPr>
          <w:bCs/>
          <w:lang w:val="en-GB"/>
        </w:rPr>
      </w:pPr>
      <w:r w:rsidRPr="00C07617">
        <w:t>Context for Decision</w:t>
      </w:r>
    </w:p>
    <w:p w14:paraId="7780CA59" w14:textId="77777777" w:rsidR="00BB224A" w:rsidRPr="007129F2" w:rsidRDefault="00BB224A" w:rsidP="002D4BD0">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2DFA73A" w14:textId="0B006633" w:rsidR="00BB224A" w:rsidRPr="00C07617" w:rsidRDefault="00BB224A" w:rsidP="002D4BD0">
      <w:pPr>
        <w:pStyle w:val="2-SectionHeading"/>
      </w:pPr>
      <w:r>
        <w:t>Sponsor’s Comment</w:t>
      </w:r>
    </w:p>
    <w:p w14:paraId="4AD408EE" w14:textId="354632D6" w:rsidR="00FB7788" w:rsidRPr="00BB224A" w:rsidRDefault="00BB224A" w:rsidP="00BB224A">
      <w:pPr>
        <w:spacing w:after="120"/>
        <w:ind w:left="426" w:firstLine="294"/>
        <w:rPr>
          <w:rFonts w:asciiTheme="minorHAnsi" w:hAnsiTheme="minorHAnsi" w:cs="Arial"/>
          <w:bCs/>
        </w:rPr>
      </w:pPr>
      <w:r w:rsidRPr="00C07617">
        <w:rPr>
          <w:rFonts w:asciiTheme="minorHAnsi" w:hAnsiTheme="minorHAnsi" w:cs="Arial"/>
          <w:bCs/>
        </w:rPr>
        <w:t>The sponsor had no comment.</w:t>
      </w:r>
    </w:p>
    <w:sectPr w:rsidR="00FB7788" w:rsidRPr="00BB224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B553" w14:textId="77777777" w:rsidR="00062C03" w:rsidRDefault="00062C03">
      <w:r>
        <w:separator/>
      </w:r>
    </w:p>
    <w:p w14:paraId="3DEADA83" w14:textId="77777777" w:rsidR="00062C03" w:rsidRDefault="00062C03"/>
  </w:endnote>
  <w:endnote w:type="continuationSeparator" w:id="0">
    <w:p w14:paraId="700A150B" w14:textId="77777777" w:rsidR="00062C03" w:rsidRDefault="00062C03">
      <w:r>
        <w:continuationSeparator/>
      </w:r>
    </w:p>
    <w:p w14:paraId="4DD62F85" w14:textId="77777777" w:rsidR="00062C03" w:rsidRDefault="00062C03"/>
  </w:endnote>
  <w:endnote w:type="continuationNotice" w:id="1">
    <w:p w14:paraId="24C84557" w14:textId="77777777" w:rsidR="00062C03" w:rsidRDefault="00062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EC3D" w14:textId="77777777" w:rsidR="00B0517D" w:rsidRDefault="00B0517D" w:rsidP="00B0517D">
    <w:pPr>
      <w:pStyle w:val="Header"/>
      <w:ind w:left="360"/>
      <w:rPr>
        <w:rFonts w:asciiTheme="minorHAnsi" w:hAnsiTheme="minorHAnsi" w:cstheme="minorHAnsi"/>
      </w:rPr>
    </w:pPr>
  </w:p>
  <w:p w14:paraId="355827FE" w14:textId="0D09FB35" w:rsidR="009C26AA" w:rsidRPr="00B8376D" w:rsidRDefault="00177378" w:rsidP="00B0517D">
    <w:pPr>
      <w:pStyle w:val="Header"/>
      <w:ind w:left="360"/>
      <w:rPr>
        <w:rFonts w:asciiTheme="minorHAnsi" w:hAnsiTheme="minorHAnsi" w:cstheme="minorHAnsi"/>
        <w:b/>
        <w:bCs/>
        <w:color w:val="808080"/>
      </w:rPr>
    </w:pPr>
    <w:sdt>
      <w:sdtPr>
        <w:id w:val="-933202838"/>
        <w:docPartObj>
          <w:docPartGallery w:val="Page Numbers (Bottom of Page)"/>
          <w:docPartUnique/>
        </w:docPartObj>
      </w:sdtPr>
      <w:sdtEndPr>
        <w:rPr>
          <w:b/>
          <w:bCs/>
          <w:noProof/>
        </w:rPr>
      </w:sdtEndPr>
      <w:sdtContent>
        <w:r w:rsidR="00B0517D" w:rsidRPr="00B8376D">
          <w:rPr>
            <w:b/>
            <w:bCs/>
          </w:rPr>
          <w:fldChar w:fldCharType="begin"/>
        </w:r>
        <w:r w:rsidR="00B0517D" w:rsidRPr="00B8376D">
          <w:rPr>
            <w:b/>
            <w:bCs/>
          </w:rPr>
          <w:instrText xml:space="preserve"> PAGE   \* MERGEFORMAT </w:instrText>
        </w:r>
        <w:r w:rsidR="00B0517D" w:rsidRPr="00B8376D">
          <w:rPr>
            <w:b/>
            <w:bCs/>
          </w:rPr>
          <w:fldChar w:fldCharType="separate"/>
        </w:r>
        <w:r w:rsidR="00B0517D" w:rsidRPr="00B8376D">
          <w:rPr>
            <w:b/>
            <w:bCs/>
            <w:noProof/>
          </w:rPr>
          <w:t>2</w:t>
        </w:r>
        <w:r w:rsidR="00B0517D" w:rsidRPr="00B8376D">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A425" w14:textId="77777777" w:rsidR="00062C03" w:rsidRDefault="00062C03">
      <w:r>
        <w:separator/>
      </w:r>
    </w:p>
    <w:p w14:paraId="4970EB6B" w14:textId="77777777" w:rsidR="00062C03" w:rsidRDefault="00062C03"/>
  </w:footnote>
  <w:footnote w:type="continuationSeparator" w:id="0">
    <w:p w14:paraId="1B67E8A3" w14:textId="77777777" w:rsidR="00062C03" w:rsidRDefault="00062C03">
      <w:r>
        <w:continuationSeparator/>
      </w:r>
    </w:p>
    <w:p w14:paraId="7C54647E" w14:textId="77777777" w:rsidR="00062C03" w:rsidRDefault="00062C03"/>
  </w:footnote>
  <w:footnote w:type="continuationNotice" w:id="1">
    <w:p w14:paraId="370D431F" w14:textId="77777777" w:rsidR="00062C03" w:rsidRDefault="00062C03"/>
  </w:footnote>
  <w:footnote w:id="2">
    <w:p w14:paraId="790695CB" w14:textId="1865881F" w:rsidR="00C15C6C" w:rsidRDefault="00C15C6C" w:rsidP="00686D1A">
      <w:pPr>
        <w:pStyle w:val="FootnoteText"/>
        <w:jc w:val="left"/>
      </w:pPr>
      <w:r>
        <w:rPr>
          <w:rStyle w:val="FootnoteReference"/>
        </w:rPr>
        <w:footnoteRef/>
      </w:r>
      <w:r>
        <w:t xml:space="preserve"> Drug Utilisation Sub-Committee Public Release Document,</w:t>
      </w:r>
      <w:r w:rsidR="002E7B3E">
        <w:t xml:space="preserve"> February 2021,</w:t>
      </w:r>
      <w:r>
        <w:t xml:space="preserve"> ‘</w:t>
      </w:r>
      <w:r w:rsidR="002E7B3E">
        <w:t>Ocular lubricants: Utilisation analysis using PBS data</w:t>
      </w:r>
      <w:r>
        <w:t xml:space="preserve">‘. Accessed on 9 February 2023 at: </w:t>
      </w:r>
      <w:r w:rsidR="00686D1A" w:rsidRPr="00686D1A">
        <w:t>https://www.pbs.gov.au/info/industry/listing/participants/public-release-docs/dusc-utilisation-public-release-docs</w:t>
      </w:r>
    </w:p>
  </w:footnote>
  <w:footnote w:id="3">
    <w:p w14:paraId="31E1B1A8" w14:textId="1BD92E83" w:rsidR="00052B0A" w:rsidRDefault="00052B0A" w:rsidP="00686D1A">
      <w:pPr>
        <w:pStyle w:val="FootnoteText"/>
        <w:jc w:val="left"/>
      </w:pPr>
      <w:r>
        <w:rPr>
          <w:rStyle w:val="FootnoteReference"/>
        </w:rPr>
        <w:footnoteRef/>
      </w:r>
      <w:r>
        <w:t xml:space="preserve"> Drug Utilisation Sub-Committee Public Release Document, February 2021</w:t>
      </w:r>
      <w:r w:rsidR="002E7B3E">
        <w:t>,</w:t>
      </w:r>
      <w:r>
        <w:t xml:space="preserve"> ‘ Ocular lubricants: Utilisation analysis using MedicineInsight data‘. Accessed on 9 February 2023 at:</w:t>
      </w:r>
      <w:r w:rsidRPr="00052B0A">
        <w:t xml:space="preserve"> </w:t>
      </w:r>
      <w:r w:rsidR="00686D1A" w:rsidRPr="00686D1A">
        <w:t>https://www.pbs.gov.au/info/industry/listing/participants/public-release-docs/dusc-utilisation-public-release-docs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47962311" w:rsidR="00C56D78" w:rsidRPr="00B0517D" w:rsidRDefault="0003061C" w:rsidP="00C56D78">
    <w:pPr>
      <w:keepNext/>
      <w:tabs>
        <w:tab w:val="center" w:pos="4513"/>
        <w:tab w:val="right" w:pos="9026"/>
      </w:tabs>
      <w:jc w:val="center"/>
      <w:rPr>
        <w:rFonts w:asciiTheme="minorHAnsi" w:eastAsiaTheme="minorEastAsia" w:hAnsiTheme="minorHAnsi" w:cstheme="minorHAnsi"/>
        <w:i/>
      </w:rPr>
    </w:pPr>
    <w:r>
      <w:rPr>
        <w:rFonts w:asciiTheme="minorHAnsi" w:eastAsiaTheme="minorEastAsia" w:hAnsiTheme="minorHAnsi" w:cstheme="minorHAnsi"/>
        <w:i/>
      </w:rPr>
      <w:t xml:space="preserve">Public Summary Document </w:t>
    </w:r>
    <w:r w:rsidR="00B8376D">
      <w:rPr>
        <w:rFonts w:asciiTheme="minorHAnsi" w:eastAsiaTheme="minorEastAsia" w:hAnsiTheme="minorHAnsi" w:cstheme="minorHAnsi"/>
        <w:i/>
      </w:rPr>
      <w:t xml:space="preserve">– </w:t>
    </w:r>
    <w:r w:rsidR="00C56D78" w:rsidRPr="00B0517D">
      <w:rPr>
        <w:rFonts w:asciiTheme="minorHAnsi" w:eastAsiaTheme="minorEastAsia" w:hAnsiTheme="minorHAnsi" w:cstheme="minorHAnsi"/>
        <w:i/>
      </w:rPr>
      <w:t>M</w:t>
    </w:r>
    <w:r w:rsidR="003C3458" w:rsidRPr="00B0517D">
      <w:rPr>
        <w:rFonts w:asciiTheme="minorHAnsi" w:eastAsiaTheme="minorEastAsia" w:hAnsiTheme="minorHAnsi" w:cstheme="minorHAnsi"/>
        <w:i/>
      </w:rPr>
      <w:t>arch</w:t>
    </w:r>
    <w:r w:rsidR="00C56D78" w:rsidRPr="00B0517D">
      <w:rPr>
        <w:rFonts w:asciiTheme="minorHAnsi" w:eastAsiaTheme="minorEastAsia" w:hAnsiTheme="minorHAnsi" w:cstheme="minorHAnsi"/>
        <w:i/>
      </w:rPr>
      <w:t xml:space="preserve"> 202</w:t>
    </w:r>
    <w:r w:rsidR="003C3458" w:rsidRPr="00B0517D">
      <w:rPr>
        <w:rFonts w:asciiTheme="minorHAnsi" w:eastAsiaTheme="minorEastAsia" w:hAnsiTheme="minorHAnsi" w:cstheme="minorHAnsi"/>
        <w:i/>
      </w:rPr>
      <w:t>3</w:t>
    </w:r>
    <w:r w:rsidR="00C56D78" w:rsidRPr="00B0517D">
      <w:rPr>
        <w:rFonts w:asciiTheme="minorHAnsi" w:eastAsiaTheme="minorEastAsia" w:hAnsiTheme="minorHAnsi" w:cstheme="minorHAnsi"/>
        <w:i/>
      </w:rPr>
      <w:t xml:space="preserve"> PBAC Meeting</w:t>
    </w:r>
    <w:r w:rsidR="00686935">
      <w:rPr>
        <w:rFonts w:asciiTheme="minorHAnsi" w:eastAsiaTheme="minorEastAsia" w:hAnsiTheme="minorHAnsi" w:cstheme="minorHAnsi"/>
        <w:i/>
      </w:rPr>
      <w:t xml:space="preserve"> with May 2023 Addendum</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5637" w14:textId="77777777" w:rsidR="007D0CFB" w:rsidRDefault="007D0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C2DAB1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FC6FD4"/>
    <w:multiLevelType w:val="hybridMultilevel"/>
    <w:tmpl w:val="3F446B6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3B60950"/>
    <w:multiLevelType w:val="hybridMultilevel"/>
    <w:tmpl w:val="359C0428"/>
    <w:lvl w:ilvl="0" w:tplc="E974CF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BB16DE"/>
    <w:multiLevelType w:val="multilevel"/>
    <w:tmpl w:val="9D60FC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244933"/>
    <w:multiLevelType w:val="hybridMultilevel"/>
    <w:tmpl w:val="57EA43E0"/>
    <w:lvl w:ilvl="0" w:tplc="44DE867E">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F050041"/>
    <w:multiLevelType w:val="multilevel"/>
    <w:tmpl w:val="41720CD4"/>
    <w:lvl w:ilvl="0">
      <w:start w:val="1"/>
      <w:numFmt w:val="decimal"/>
      <w:lvlText w:val="%1"/>
      <w:lvlJc w:val="left"/>
      <w:pPr>
        <w:ind w:left="1440" w:hanging="720"/>
      </w:pPr>
      <w:rPr>
        <w:rFonts w:hint="default"/>
      </w:rPr>
    </w:lvl>
    <w:lvl w:ilvl="1">
      <w:start w:val="1"/>
      <w:numFmt w:val="decimal"/>
      <w:isLgl/>
      <w:lvlText w:val="%1.%2"/>
      <w:lvlJc w:val="left"/>
      <w:pPr>
        <w:ind w:left="720" w:hanging="720"/>
      </w:pPr>
      <w:rPr>
        <w:rFonts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72189052"/>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83467711">
    <w:abstractNumId w:val="12"/>
  </w:num>
  <w:num w:numId="2" w16cid:durableId="1266232569">
    <w:abstractNumId w:val="25"/>
  </w:num>
  <w:num w:numId="3" w16cid:durableId="847601535">
    <w:abstractNumId w:val="0"/>
  </w:num>
  <w:num w:numId="4" w16cid:durableId="486165513">
    <w:abstractNumId w:val="18"/>
  </w:num>
  <w:num w:numId="5" w16cid:durableId="782187220">
    <w:abstractNumId w:val="27"/>
  </w:num>
  <w:num w:numId="6" w16cid:durableId="1013846916">
    <w:abstractNumId w:val="23"/>
  </w:num>
  <w:num w:numId="7" w16cid:durableId="970669685">
    <w:abstractNumId w:val="16"/>
  </w:num>
  <w:num w:numId="8" w16cid:durableId="1629624687">
    <w:abstractNumId w:val="14"/>
  </w:num>
  <w:num w:numId="9" w16cid:durableId="304506034">
    <w:abstractNumId w:val="1"/>
  </w:num>
  <w:num w:numId="10" w16cid:durableId="1830705190">
    <w:abstractNumId w:val="25"/>
  </w:num>
  <w:num w:numId="11" w16cid:durableId="638995698">
    <w:abstractNumId w:val="22"/>
  </w:num>
  <w:num w:numId="12" w16cid:durableId="636497661">
    <w:abstractNumId w:val="24"/>
  </w:num>
  <w:num w:numId="13" w16cid:durableId="985162045">
    <w:abstractNumId w:val="8"/>
  </w:num>
  <w:num w:numId="14" w16cid:durableId="322248370">
    <w:abstractNumId w:val="7"/>
  </w:num>
  <w:num w:numId="15" w16cid:durableId="491919615">
    <w:abstractNumId w:val="20"/>
  </w:num>
  <w:num w:numId="16" w16cid:durableId="1459757531">
    <w:abstractNumId w:val="2"/>
  </w:num>
  <w:num w:numId="17" w16cid:durableId="2141993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883718">
    <w:abstractNumId w:val="26"/>
  </w:num>
  <w:num w:numId="19" w16cid:durableId="2085880481">
    <w:abstractNumId w:val="17"/>
  </w:num>
  <w:num w:numId="20" w16cid:durableId="950864831">
    <w:abstractNumId w:val="5"/>
  </w:num>
  <w:num w:numId="21" w16cid:durableId="1357776869">
    <w:abstractNumId w:val="4"/>
  </w:num>
  <w:num w:numId="22" w16cid:durableId="1958372963">
    <w:abstractNumId w:val="15"/>
  </w:num>
  <w:num w:numId="23" w16cid:durableId="1615987440">
    <w:abstractNumId w:val="6"/>
  </w:num>
  <w:num w:numId="24" w16cid:durableId="190775373">
    <w:abstractNumId w:val="3"/>
  </w:num>
  <w:num w:numId="25" w16cid:durableId="673805782">
    <w:abstractNumId w:val="13"/>
  </w:num>
  <w:num w:numId="26" w16cid:durableId="663162883">
    <w:abstractNumId w:val="10"/>
  </w:num>
  <w:num w:numId="27" w16cid:durableId="187379687">
    <w:abstractNumId w:val="19"/>
  </w:num>
  <w:num w:numId="28" w16cid:durableId="170802027">
    <w:abstractNumId w:val="11"/>
  </w:num>
  <w:num w:numId="29" w16cid:durableId="473646003">
    <w:abstractNumId w:val="9"/>
  </w:num>
  <w:num w:numId="30" w16cid:durableId="518466766">
    <w:abstractNumId w:val="25"/>
  </w:num>
  <w:num w:numId="31" w16cid:durableId="616831342">
    <w:abstractNumId w:val="25"/>
  </w:num>
  <w:num w:numId="32" w16cid:durableId="1421221550">
    <w:abstractNumId w:val="25"/>
  </w:num>
  <w:num w:numId="33" w16cid:durableId="38025110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0443"/>
    <w:rsid w:val="0001179A"/>
    <w:rsid w:val="00011A59"/>
    <w:rsid w:val="00014D69"/>
    <w:rsid w:val="00016A41"/>
    <w:rsid w:val="00020070"/>
    <w:rsid w:val="00020A5C"/>
    <w:rsid w:val="000214D1"/>
    <w:rsid w:val="00021F20"/>
    <w:rsid w:val="0002464A"/>
    <w:rsid w:val="00025A04"/>
    <w:rsid w:val="0002693D"/>
    <w:rsid w:val="00027E2E"/>
    <w:rsid w:val="0003050E"/>
    <w:rsid w:val="0003061C"/>
    <w:rsid w:val="0003106B"/>
    <w:rsid w:val="00032E57"/>
    <w:rsid w:val="000335B9"/>
    <w:rsid w:val="00034905"/>
    <w:rsid w:val="00037906"/>
    <w:rsid w:val="00040560"/>
    <w:rsid w:val="00040A30"/>
    <w:rsid w:val="000421A1"/>
    <w:rsid w:val="0004240E"/>
    <w:rsid w:val="00044E52"/>
    <w:rsid w:val="00044EC4"/>
    <w:rsid w:val="0004515C"/>
    <w:rsid w:val="00045AEE"/>
    <w:rsid w:val="00045E26"/>
    <w:rsid w:val="00046903"/>
    <w:rsid w:val="000514B5"/>
    <w:rsid w:val="000521ED"/>
    <w:rsid w:val="00052B0A"/>
    <w:rsid w:val="0005322E"/>
    <w:rsid w:val="00054E2B"/>
    <w:rsid w:val="00060E64"/>
    <w:rsid w:val="000621AB"/>
    <w:rsid w:val="00062C03"/>
    <w:rsid w:val="00062E88"/>
    <w:rsid w:val="00066119"/>
    <w:rsid w:val="00066193"/>
    <w:rsid w:val="00066755"/>
    <w:rsid w:val="00071A5B"/>
    <w:rsid w:val="00072730"/>
    <w:rsid w:val="0007337F"/>
    <w:rsid w:val="00074320"/>
    <w:rsid w:val="000763D5"/>
    <w:rsid w:val="00076C38"/>
    <w:rsid w:val="00077143"/>
    <w:rsid w:val="00077DF7"/>
    <w:rsid w:val="0008050C"/>
    <w:rsid w:val="00082169"/>
    <w:rsid w:val="00082730"/>
    <w:rsid w:val="0008303B"/>
    <w:rsid w:val="000834BE"/>
    <w:rsid w:val="00083F01"/>
    <w:rsid w:val="00087C4C"/>
    <w:rsid w:val="000902BD"/>
    <w:rsid w:val="000918CB"/>
    <w:rsid w:val="00091B06"/>
    <w:rsid w:val="00092644"/>
    <w:rsid w:val="000951C4"/>
    <w:rsid w:val="00095ADA"/>
    <w:rsid w:val="00095F3A"/>
    <w:rsid w:val="000969AD"/>
    <w:rsid w:val="000975FB"/>
    <w:rsid w:val="000A02F8"/>
    <w:rsid w:val="000A3AA2"/>
    <w:rsid w:val="000A42EF"/>
    <w:rsid w:val="000A44B2"/>
    <w:rsid w:val="000A52F6"/>
    <w:rsid w:val="000A58B8"/>
    <w:rsid w:val="000A72EC"/>
    <w:rsid w:val="000B2CFE"/>
    <w:rsid w:val="000B31C4"/>
    <w:rsid w:val="000B3372"/>
    <w:rsid w:val="000B44C3"/>
    <w:rsid w:val="000B558D"/>
    <w:rsid w:val="000B5A89"/>
    <w:rsid w:val="000B65F6"/>
    <w:rsid w:val="000B7767"/>
    <w:rsid w:val="000C04D4"/>
    <w:rsid w:val="000C0749"/>
    <w:rsid w:val="000C1AFF"/>
    <w:rsid w:val="000C5740"/>
    <w:rsid w:val="000C5F95"/>
    <w:rsid w:val="000C6996"/>
    <w:rsid w:val="000C6C3B"/>
    <w:rsid w:val="000C7C46"/>
    <w:rsid w:val="000D09E9"/>
    <w:rsid w:val="000D113F"/>
    <w:rsid w:val="000D23BA"/>
    <w:rsid w:val="000E19B7"/>
    <w:rsid w:val="000E20FC"/>
    <w:rsid w:val="000E3C1D"/>
    <w:rsid w:val="000E3DFB"/>
    <w:rsid w:val="000E4ECE"/>
    <w:rsid w:val="000E5EA1"/>
    <w:rsid w:val="000E681E"/>
    <w:rsid w:val="000E696B"/>
    <w:rsid w:val="000E7C86"/>
    <w:rsid w:val="000E7E52"/>
    <w:rsid w:val="000E7E90"/>
    <w:rsid w:val="000EE1C7"/>
    <w:rsid w:val="000F0003"/>
    <w:rsid w:val="000F30D3"/>
    <w:rsid w:val="000F3384"/>
    <w:rsid w:val="000F41EE"/>
    <w:rsid w:val="000F4E6A"/>
    <w:rsid w:val="000F5DC7"/>
    <w:rsid w:val="000F6ABB"/>
    <w:rsid w:val="000F7354"/>
    <w:rsid w:val="000F7C27"/>
    <w:rsid w:val="0010113B"/>
    <w:rsid w:val="00101ABE"/>
    <w:rsid w:val="00101ABF"/>
    <w:rsid w:val="00102202"/>
    <w:rsid w:val="00102700"/>
    <w:rsid w:val="00102A78"/>
    <w:rsid w:val="00103118"/>
    <w:rsid w:val="00103DDB"/>
    <w:rsid w:val="00103F1B"/>
    <w:rsid w:val="00104227"/>
    <w:rsid w:val="001053D5"/>
    <w:rsid w:val="00105455"/>
    <w:rsid w:val="00107409"/>
    <w:rsid w:val="001107BF"/>
    <w:rsid w:val="00111EAE"/>
    <w:rsid w:val="001125A5"/>
    <w:rsid w:val="00113330"/>
    <w:rsid w:val="00113649"/>
    <w:rsid w:val="00113D5C"/>
    <w:rsid w:val="00115D18"/>
    <w:rsid w:val="00116B03"/>
    <w:rsid w:val="00120AA6"/>
    <w:rsid w:val="0012137B"/>
    <w:rsid w:val="0012274C"/>
    <w:rsid w:val="001239DB"/>
    <w:rsid w:val="0012417C"/>
    <w:rsid w:val="00124BF2"/>
    <w:rsid w:val="00125837"/>
    <w:rsid w:val="0012597F"/>
    <w:rsid w:val="00126B19"/>
    <w:rsid w:val="00126D3A"/>
    <w:rsid w:val="0012749D"/>
    <w:rsid w:val="0012799E"/>
    <w:rsid w:val="00127A23"/>
    <w:rsid w:val="001306A5"/>
    <w:rsid w:val="00130918"/>
    <w:rsid w:val="001311AE"/>
    <w:rsid w:val="00134F0D"/>
    <w:rsid w:val="001359D3"/>
    <w:rsid w:val="001366C2"/>
    <w:rsid w:val="00136C17"/>
    <w:rsid w:val="00140B74"/>
    <w:rsid w:val="00140D94"/>
    <w:rsid w:val="00141DC6"/>
    <w:rsid w:val="00142395"/>
    <w:rsid w:val="0014250D"/>
    <w:rsid w:val="00142714"/>
    <w:rsid w:val="00144D09"/>
    <w:rsid w:val="001452ED"/>
    <w:rsid w:val="00145D51"/>
    <w:rsid w:val="00147D84"/>
    <w:rsid w:val="00151CBD"/>
    <w:rsid w:val="001533C3"/>
    <w:rsid w:val="00154393"/>
    <w:rsid w:val="001549C1"/>
    <w:rsid w:val="00156C8D"/>
    <w:rsid w:val="0016075C"/>
    <w:rsid w:val="00160F4D"/>
    <w:rsid w:val="00161DA2"/>
    <w:rsid w:val="00162BDD"/>
    <w:rsid w:val="00162D4E"/>
    <w:rsid w:val="00163329"/>
    <w:rsid w:val="00164623"/>
    <w:rsid w:val="001652DE"/>
    <w:rsid w:val="001653EC"/>
    <w:rsid w:val="00165B64"/>
    <w:rsid w:val="00167C39"/>
    <w:rsid w:val="00176B9D"/>
    <w:rsid w:val="00177378"/>
    <w:rsid w:val="00180713"/>
    <w:rsid w:val="00180720"/>
    <w:rsid w:val="001830CE"/>
    <w:rsid w:val="001836E3"/>
    <w:rsid w:val="00184659"/>
    <w:rsid w:val="001860E5"/>
    <w:rsid w:val="0018643B"/>
    <w:rsid w:val="00196307"/>
    <w:rsid w:val="0019697B"/>
    <w:rsid w:val="00197C70"/>
    <w:rsid w:val="00197F03"/>
    <w:rsid w:val="001A0D10"/>
    <w:rsid w:val="001A33EA"/>
    <w:rsid w:val="001A3615"/>
    <w:rsid w:val="001A36EB"/>
    <w:rsid w:val="001A4413"/>
    <w:rsid w:val="001A4C4F"/>
    <w:rsid w:val="001A5A2B"/>
    <w:rsid w:val="001A76FB"/>
    <w:rsid w:val="001B017F"/>
    <w:rsid w:val="001B09FC"/>
    <w:rsid w:val="001B0B79"/>
    <w:rsid w:val="001B1778"/>
    <w:rsid w:val="001B19EA"/>
    <w:rsid w:val="001B2BBC"/>
    <w:rsid w:val="001B2BCD"/>
    <w:rsid w:val="001B3A40"/>
    <w:rsid w:val="001B3FFE"/>
    <w:rsid w:val="001B5129"/>
    <w:rsid w:val="001B6E0C"/>
    <w:rsid w:val="001C0B4C"/>
    <w:rsid w:val="001C0EC4"/>
    <w:rsid w:val="001C1195"/>
    <w:rsid w:val="001C12AE"/>
    <w:rsid w:val="001C1E84"/>
    <w:rsid w:val="001C20E1"/>
    <w:rsid w:val="001C2A0F"/>
    <w:rsid w:val="001C2E42"/>
    <w:rsid w:val="001D0B14"/>
    <w:rsid w:val="001D1F5F"/>
    <w:rsid w:val="001E06D2"/>
    <w:rsid w:val="001E17C4"/>
    <w:rsid w:val="001E2D65"/>
    <w:rsid w:val="001E52FC"/>
    <w:rsid w:val="001F005B"/>
    <w:rsid w:val="001F1850"/>
    <w:rsid w:val="001F1FBF"/>
    <w:rsid w:val="001F2311"/>
    <w:rsid w:val="001F2B80"/>
    <w:rsid w:val="001F2EE3"/>
    <w:rsid w:val="001F2F1C"/>
    <w:rsid w:val="001F3189"/>
    <w:rsid w:val="00200BEA"/>
    <w:rsid w:val="00201FB8"/>
    <w:rsid w:val="0020293B"/>
    <w:rsid w:val="00203FAC"/>
    <w:rsid w:val="00206C44"/>
    <w:rsid w:val="00206F1B"/>
    <w:rsid w:val="002133FB"/>
    <w:rsid w:val="00213CFB"/>
    <w:rsid w:val="00214DB4"/>
    <w:rsid w:val="0021553C"/>
    <w:rsid w:val="0021557B"/>
    <w:rsid w:val="00216B87"/>
    <w:rsid w:val="002174FD"/>
    <w:rsid w:val="00217BE1"/>
    <w:rsid w:val="00221361"/>
    <w:rsid w:val="002214B9"/>
    <w:rsid w:val="00221772"/>
    <w:rsid w:val="00222680"/>
    <w:rsid w:val="00223370"/>
    <w:rsid w:val="0022409A"/>
    <w:rsid w:val="00224D1E"/>
    <w:rsid w:val="00226611"/>
    <w:rsid w:val="00227BC5"/>
    <w:rsid w:val="00230F63"/>
    <w:rsid w:val="00234252"/>
    <w:rsid w:val="0023466E"/>
    <w:rsid w:val="00237268"/>
    <w:rsid w:val="00237AC6"/>
    <w:rsid w:val="00242BFD"/>
    <w:rsid w:val="00244139"/>
    <w:rsid w:val="00244490"/>
    <w:rsid w:val="00244BEC"/>
    <w:rsid w:val="00245B9C"/>
    <w:rsid w:val="00250F11"/>
    <w:rsid w:val="00252587"/>
    <w:rsid w:val="00253499"/>
    <w:rsid w:val="00254DDD"/>
    <w:rsid w:val="002551A4"/>
    <w:rsid w:val="00255503"/>
    <w:rsid w:val="00257664"/>
    <w:rsid w:val="00257F3A"/>
    <w:rsid w:val="00260165"/>
    <w:rsid w:val="00262E17"/>
    <w:rsid w:val="00265151"/>
    <w:rsid w:val="00265C2C"/>
    <w:rsid w:val="00266509"/>
    <w:rsid w:val="00271BA1"/>
    <w:rsid w:val="00271FA0"/>
    <w:rsid w:val="00273AC5"/>
    <w:rsid w:val="002762FA"/>
    <w:rsid w:val="00276BE3"/>
    <w:rsid w:val="00277505"/>
    <w:rsid w:val="00277873"/>
    <w:rsid w:val="0028158C"/>
    <w:rsid w:val="002823B6"/>
    <w:rsid w:val="002850F8"/>
    <w:rsid w:val="0028632C"/>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934"/>
    <w:rsid w:val="002B3BFE"/>
    <w:rsid w:val="002B3C1A"/>
    <w:rsid w:val="002B5596"/>
    <w:rsid w:val="002B77D7"/>
    <w:rsid w:val="002C0763"/>
    <w:rsid w:val="002C212F"/>
    <w:rsid w:val="002C2F35"/>
    <w:rsid w:val="002C3395"/>
    <w:rsid w:val="002C6AA9"/>
    <w:rsid w:val="002C7485"/>
    <w:rsid w:val="002D2641"/>
    <w:rsid w:val="002D283A"/>
    <w:rsid w:val="002D4543"/>
    <w:rsid w:val="002D4BD0"/>
    <w:rsid w:val="002D567B"/>
    <w:rsid w:val="002D715F"/>
    <w:rsid w:val="002E022A"/>
    <w:rsid w:val="002E3153"/>
    <w:rsid w:val="002E4A02"/>
    <w:rsid w:val="002E5292"/>
    <w:rsid w:val="002E72CA"/>
    <w:rsid w:val="002E75DD"/>
    <w:rsid w:val="002E7B3E"/>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134A"/>
    <w:rsid w:val="0033263D"/>
    <w:rsid w:val="00332DCB"/>
    <w:rsid w:val="00334E69"/>
    <w:rsid w:val="0033518A"/>
    <w:rsid w:val="00335535"/>
    <w:rsid w:val="003367EF"/>
    <w:rsid w:val="00341AE4"/>
    <w:rsid w:val="003425CA"/>
    <w:rsid w:val="00343FB7"/>
    <w:rsid w:val="003462E5"/>
    <w:rsid w:val="003476EE"/>
    <w:rsid w:val="00347F91"/>
    <w:rsid w:val="00351571"/>
    <w:rsid w:val="003541DD"/>
    <w:rsid w:val="00356E5B"/>
    <w:rsid w:val="00360887"/>
    <w:rsid w:val="0036249F"/>
    <w:rsid w:val="003678C1"/>
    <w:rsid w:val="00371246"/>
    <w:rsid w:val="003736C9"/>
    <w:rsid w:val="00381293"/>
    <w:rsid w:val="00383B77"/>
    <w:rsid w:val="00384988"/>
    <w:rsid w:val="003872CF"/>
    <w:rsid w:val="003874CB"/>
    <w:rsid w:val="00396A25"/>
    <w:rsid w:val="00396E08"/>
    <w:rsid w:val="003970DD"/>
    <w:rsid w:val="0039782C"/>
    <w:rsid w:val="003A0401"/>
    <w:rsid w:val="003A0C4A"/>
    <w:rsid w:val="003A13A6"/>
    <w:rsid w:val="003A2165"/>
    <w:rsid w:val="003A3AF3"/>
    <w:rsid w:val="003A3E24"/>
    <w:rsid w:val="003A3FD4"/>
    <w:rsid w:val="003A5B4A"/>
    <w:rsid w:val="003A5D95"/>
    <w:rsid w:val="003A6510"/>
    <w:rsid w:val="003A70A4"/>
    <w:rsid w:val="003A74E2"/>
    <w:rsid w:val="003A753A"/>
    <w:rsid w:val="003B0D3A"/>
    <w:rsid w:val="003B20B7"/>
    <w:rsid w:val="003B2302"/>
    <w:rsid w:val="003B23C5"/>
    <w:rsid w:val="003B2A75"/>
    <w:rsid w:val="003B49B2"/>
    <w:rsid w:val="003B6124"/>
    <w:rsid w:val="003B7960"/>
    <w:rsid w:val="003C0908"/>
    <w:rsid w:val="003C093A"/>
    <w:rsid w:val="003C1ECF"/>
    <w:rsid w:val="003C2FB5"/>
    <w:rsid w:val="003C3458"/>
    <w:rsid w:val="003C498C"/>
    <w:rsid w:val="003C4D85"/>
    <w:rsid w:val="003C6BFC"/>
    <w:rsid w:val="003C75D1"/>
    <w:rsid w:val="003D0C53"/>
    <w:rsid w:val="003D24C5"/>
    <w:rsid w:val="003D4594"/>
    <w:rsid w:val="003D4AC4"/>
    <w:rsid w:val="003D5433"/>
    <w:rsid w:val="003D63B7"/>
    <w:rsid w:val="003D74C5"/>
    <w:rsid w:val="003E16E6"/>
    <w:rsid w:val="003E4374"/>
    <w:rsid w:val="003E468B"/>
    <w:rsid w:val="003E62BD"/>
    <w:rsid w:val="003E658D"/>
    <w:rsid w:val="003F044F"/>
    <w:rsid w:val="003F0C3A"/>
    <w:rsid w:val="003F15F0"/>
    <w:rsid w:val="003F2A1A"/>
    <w:rsid w:val="003F2AD9"/>
    <w:rsid w:val="003F3228"/>
    <w:rsid w:val="003F5C8C"/>
    <w:rsid w:val="003F63CE"/>
    <w:rsid w:val="003F668D"/>
    <w:rsid w:val="003F775A"/>
    <w:rsid w:val="00400E55"/>
    <w:rsid w:val="0040128E"/>
    <w:rsid w:val="00401640"/>
    <w:rsid w:val="0040216B"/>
    <w:rsid w:val="00404852"/>
    <w:rsid w:val="0040590E"/>
    <w:rsid w:val="00407CC8"/>
    <w:rsid w:val="00414F0C"/>
    <w:rsid w:val="00416BED"/>
    <w:rsid w:val="00420400"/>
    <w:rsid w:val="00423E78"/>
    <w:rsid w:val="004252EC"/>
    <w:rsid w:val="00430D39"/>
    <w:rsid w:val="00437B12"/>
    <w:rsid w:val="00442C91"/>
    <w:rsid w:val="00443DB3"/>
    <w:rsid w:val="00444E9D"/>
    <w:rsid w:val="004465BD"/>
    <w:rsid w:val="00446938"/>
    <w:rsid w:val="00447951"/>
    <w:rsid w:val="004528FA"/>
    <w:rsid w:val="00461A44"/>
    <w:rsid w:val="00462D26"/>
    <w:rsid w:val="0046368B"/>
    <w:rsid w:val="0046385A"/>
    <w:rsid w:val="00463F1C"/>
    <w:rsid w:val="00464039"/>
    <w:rsid w:val="00466ADA"/>
    <w:rsid w:val="004702BB"/>
    <w:rsid w:val="00473BC7"/>
    <w:rsid w:val="0047494B"/>
    <w:rsid w:val="00476245"/>
    <w:rsid w:val="00477A9B"/>
    <w:rsid w:val="00477C38"/>
    <w:rsid w:val="00482AE4"/>
    <w:rsid w:val="00483035"/>
    <w:rsid w:val="00485940"/>
    <w:rsid w:val="00486C95"/>
    <w:rsid w:val="004877C2"/>
    <w:rsid w:val="004904B9"/>
    <w:rsid w:val="004928E1"/>
    <w:rsid w:val="00492D8D"/>
    <w:rsid w:val="00496662"/>
    <w:rsid w:val="004A1431"/>
    <w:rsid w:val="004A23A5"/>
    <w:rsid w:val="004A2484"/>
    <w:rsid w:val="004A4CCD"/>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3691"/>
    <w:rsid w:val="004C50DD"/>
    <w:rsid w:val="004C524C"/>
    <w:rsid w:val="004C56DE"/>
    <w:rsid w:val="004C5EDD"/>
    <w:rsid w:val="004C5FFA"/>
    <w:rsid w:val="004C691D"/>
    <w:rsid w:val="004C6C07"/>
    <w:rsid w:val="004C7E15"/>
    <w:rsid w:val="004C7EC6"/>
    <w:rsid w:val="004D18C1"/>
    <w:rsid w:val="004D2CD1"/>
    <w:rsid w:val="004D4FF6"/>
    <w:rsid w:val="004D5ADD"/>
    <w:rsid w:val="004D6599"/>
    <w:rsid w:val="004D65AB"/>
    <w:rsid w:val="004E0CC3"/>
    <w:rsid w:val="004E22CD"/>
    <w:rsid w:val="004E692D"/>
    <w:rsid w:val="004E7230"/>
    <w:rsid w:val="004E7D87"/>
    <w:rsid w:val="004F2553"/>
    <w:rsid w:val="004F306A"/>
    <w:rsid w:val="004F39B3"/>
    <w:rsid w:val="00501554"/>
    <w:rsid w:val="00502AFE"/>
    <w:rsid w:val="00502E64"/>
    <w:rsid w:val="00503AD7"/>
    <w:rsid w:val="00503E89"/>
    <w:rsid w:val="00504399"/>
    <w:rsid w:val="00504E0C"/>
    <w:rsid w:val="00504E13"/>
    <w:rsid w:val="00505CE8"/>
    <w:rsid w:val="00506513"/>
    <w:rsid w:val="005109D4"/>
    <w:rsid w:val="0051230A"/>
    <w:rsid w:val="00514CD7"/>
    <w:rsid w:val="005167EC"/>
    <w:rsid w:val="005170DA"/>
    <w:rsid w:val="005206EE"/>
    <w:rsid w:val="00520D6A"/>
    <w:rsid w:val="00521DB7"/>
    <w:rsid w:val="00522DB6"/>
    <w:rsid w:val="005264A7"/>
    <w:rsid w:val="0052792D"/>
    <w:rsid w:val="00531761"/>
    <w:rsid w:val="005319B2"/>
    <w:rsid w:val="00532402"/>
    <w:rsid w:val="00532C74"/>
    <w:rsid w:val="00533239"/>
    <w:rsid w:val="0053406A"/>
    <w:rsid w:val="00534E2E"/>
    <w:rsid w:val="00535133"/>
    <w:rsid w:val="0054064C"/>
    <w:rsid w:val="005424AA"/>
    <w:rsid w:val="00544552"/>
    <w:rsid w:val="00545130"/>
    <w:rsid w:val="00546B36"/>
    <w:rsid w:val="00551102"/>
    <w:rsid w:val="00551E04"/>
    <w:rsid w:val="0055286A"/>
    <w:rsid w:val="00553FDF"/>
    <w:rsid w:val="00555745"/>
    <w:rsid w:val="00557D4F"/>
    <w:rsid w:val="00557DAA"/>
    <w:rsid w:val="0056122E"/>
    <w:rsid w:val="005612BB"/>
    <w:rsid w:val="0056484E"/>
    <w:rsid w:val="00565999"/>
    <w:rsid w:val="00566B8E"/>
    <w:rsid w:val="00567D8A"/>
    <w:rsid w:val="00570231"/>
    <w:rsid w:val="005714B7"/>
    <w:rsid w:val="00573728"/>
    <w:rsid w:val="00574DC5"/>
    <w:rsid w:val="0057514B"/>
    <w:rsid w:val="005764CD"/>
    <w:rsid w:val="00577C4D"/>
    <w:rsid w:val="00580532"/>
    <w:rsid w:val="00581932"/>
    <w:rsid w:val="00583002"/>
    <w:rsid w:val="00583AA1"/>
    <w:rsid w:val="005851B1"/>
    <w:rsid w:val="005872F3"/>
    <w:rsid w:val="005903BB"/>
    <w:rsid w:val="005913E8"/>
    <w:rsid w:val="00593893"/>
    <w:rsid w:val="005963BB"/>
    <w:rsid w:val="0059645C"/>
    <w:rsid w:val="00596AA1"/>
    <w:rsid w:val="00596C2E"/>
    <w:rsid w:val="00596D37"/>
    <w:rsid w:val="005A03DE"/>
    <w:rsid w:val="005A15D2"/>
    <w:rsid w:val="005A3173"/>
    <w:rsid w:val="005A3223"/>
    <w:rsid w:val="005A3DA3"/>
    <w:rsid w:val="005A52C4"/>
    <w:rsid w:val="005A63A1"/>
    <w:rsid w:val="005B0486"/>
    <w:rsid w:val="005B0ADB"/>
    <w:rsid w:val="005B0F60"/>
    <w:rsid w:val="005B1032"/>
    <w:rsid w:val="005B1473"/>
    <w:rsid w:val="005B36FA"/>
    <w:rsid w:val="005B64DF"/>
    <w:rsid w:val="005C4647"/>
    <w:rsid w:val="005C4F73"/>
    <w:rsid w:val="005C5A4A"/>
    <w:rsid w:val="005D03AB"/>
    <w:rsid w:val="005D374C"/>
    <w:rsid w:val="005D401D"/>
    <w:rsid w:val="005D5017"/>
    <w:rsid w:val="005D55B7"/>
    <w:rsid w:val="005D5708"/>
    <w:rsid w:val="005D63FA"/>
    <w:rsid w:val="005D73C7"/>
    <w:rsid w:val="005E0556"/>
    <w:rsid w:val="005E0C2D"/>
    <w:rsid w:val="005E0D82"/>
    <w:rsid w:val="005E0F59"/>
    <w:rsid w:val="005E1333"/>
    <w:rsid w:val="005E3136"/>
    <w:rsid w:val="005E507D"/>
    <w:rsid w:val="005F0AD0"/>
    <w:rsid w:val="005F0FAF"/>
    <w:rsid w:val="005F47FC"/>
    <w:rsid w:val="00601A91"/>
    <w:rsid w:val="0060235F"/>
    <w:rsid w:val="00602BA3"/>
    <w:rsid w:val="00605B63"/>
    <w:rsid w:val="00605F6A"/>
    <w:rsid w:val="00605F9A"/>
    <w:rsid w:val="00606442"/>
    <w:rsid w:val="00606EED"/>
    <w:rsid w:val="00612A95"/>
    <w:rsid w:val="00612AB4"/>
    <w:rsid w:val="00612E34"/>
    <w:rsid w:val="00614159"/>
    <w:rsid w:val="006158A3"/>
    <w:rsid w:val="00616C5F"/>
    <w:rsid w:val="00616DAC"/>
    <w:rsid w:val="00617725"/>
    <w:rsid w:val="00617C00"/>
    <w:rsid w:val="00620B32"/>
    <w:rsid w:val="006263BF"/>
    <w:rsid w:val="0062748A"/>
    <w:rsid w:val="00630546"/>
    <w:rsid w:val="00630A2C"/>
    <w:rsid w:val="00633D59"/>
    <w:rsid w:val="00634A75"/>
    <w:rsid w:val="0063682E"/>
    <w:rsid w:val="00640088"/>
    <w:rsid w:val="00642672"/>
    <w:rsid w:val="00642DA8"/>
    <w:rsid w:val="006436CD"/>
    <w:rsid w:val="00650976"/>
    <w:rsid w:val="00651169"/>
    <w:rsid w:val="00653D69"/>
    <w:rsid w:val="006552E6"/>
    <w:rsid w:val="00655794"/>
    <w:rsid w:val="00656F2F"/>
    <w:rsid w:val="00657B27"/>
    <w:rsid w:val="00657C63"/>
    <w:rsid w:val="00661CBC"/>
    <w:rsid w:val="00662B85"/>
    <w:rsid w:val="006667C4"/>
    <w:rsid w:val="006670B3"/>
    <w:rsid w:val="006670BE"/>
    <w:rsid w:val="00670A76"/>
    <w:rsid w:val="006711AA"/>
    <w:rsid w:val="00672B57"/>
    <w:rsid w:val="00673F1F"/>
    <w:rsid w:val="00675622"/>
    <w:rsid w:val="00675DEB"/>
    <w:rsid w:val="0067747D"/>
    <w:rsid w:val="00677B2E"/>
    <w:rsid w:val="00677BCF"/>
    <w:rsid w:val="006818D5"/>
    <w:rsid w:val="00681CA4"/>
    <w:rsid w:val="006826E2"/>
    <w:rsid w:val="00683AE9"/>
    <w:rsid w:val="00684529"/>
    <w:rsid w:val="00686559"/>
    <w:rsid w:val="00686935"/>
    <w:rsid w:val="00686D1A"/>
    <w:rsid w:val="0069039D"/>
    <w:rsid w:val="006906DB"/>
    <w:rsid w:val="006907F7"/>
    <w:rsid w:val="00691900"/>
    <w:rsid w:val="00691E6C"/>
    <w:rsid w:val="00693425"/>
    <w:rsid w:val="0069342D"/>
    <w:rsid w:val="00693DFB"/>
    <w:rsid w:val="00694FD5"/>
    <w:rsid w:val="0069501D"/>
    <w:rsid w:val="00696129"/>
    <w:rsid w:val="00697CF2"/>
    <w:rsid w:val="006A12A5"/>
    <w:rsid w:val="006A2515"/>
    <w:rsid w:val="006A54DA"/>
    <w:rsid w:val="006A572D"/>
    <w:rsid w:val="006A5E20"/>
    <w:rsid w:val="006B04D7"/>
    <w:rsid w:val="006B0D94"/>
    <w:rsid w:val="006B133A"/>
    <w:rsid w:val="006B16B6"/>
    <w:rsid w:val="006B485D"/>
    <w:rsid w:val="006B788F"/>
    <w:rsid w:val="006B7DDA"/>
    <w:rsid w:val="006C0C45"/>
    <w:rsid w:val="006C2806"/>
    <w:rsid w:val="006C334C"/>
    <w:rsid w:val="006C6C10"/>
    <w:rsid w:val="006C708E"/>
    <w:rsid w:val="006D14E7"/>
    <w:rsid w:val="006D3320"/>
    <w:rsid w:val="006D4444"/>
    <w:rsid w:val="006D5A2A"/>
    <w:rsid w:val="006D6493"/>
    <w:rsid w:val="006D6EC7"/>
    <w:rsid w:val="006D7B05"/>
    <w:rsid w:val="006D7E45"/>
    <w:rsid w:val="006E1143"/>
    <w:rsid w:val="006E1BCD"/>
    <w:rsid w:val="006E2732"/>
    <w:rsid w:val="006E59CD"/>
    <w:rsid w:val="006F00ED"/>
    <w:rsid w:val="006F026F"/>
    <w:rsid w:val="006F0A71"/>
    <w:rsid w:val="006F1C6B"/>
    <w:rsid w:val="006F40C2"/>
    <w:rsid w:val="006F426B"/>
    <w:rsid w:val="006F4F26"/>
    <w:rsid w:val="006F5125"/>
    <w:rsid w:val="006F6F73"/>
    <w:rsid w:val="006F733D"/>
    <w:rsid w:val="00700765"/>
    <w:rsid w:val="00700B01"/>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061B"/>
    <w:rsid w:val="00723328"/>
    <w:rsid w:val="007237DE"/>
    <w:rsid w:val="00724D21"/>
    <w:rsid w:val="0072502E"/>
    <w:rsid w:val="0073137C"/>
    <w:rsid w:val="007340B9"/>
    <w:rsid w:val="007353D3"/>
    <w:rsid w:val="00735EA5"/>
    <w:rsid w:val="0074156B"/>
    <w:rsid w:val="00741619"/>
    <w:rsid w:val="00742885"/>
    <w:rsid w:val="00747092"/>
    <w:rsid w:val="007477FF"/>
    <w:rsid w:val="00750A6B"/>
    <w:rsid w:val="007526E6"/>
    <w:rsid w:val="00754DF9"/>
    <w:rsid w:val="007555E8"/>
    <w:rsid w:val="00755CC5"/>
    <w:rsid w:val="00757484"/>
    <w:rsid w:val="00757E42"/>
    <w:rsid w:val="00762862"/>
    <w:rsid w:val="0076420C"/>
    <w:rsid w:val="00764FEE"/>
    <w:rsid w:val="00771D07"/>
    <w:rsid w:val="00772649"/>
    <w:rsid w:val="00773BE3"/>
    <w:rsid w:val="007743DD"/>
    <w:rsid w:val="00774E2C"/>
    <w:rsid w:val="0077503C"/>
    <w:rsid w:val="0077518D"/>
    <w:rsid w:val="007753C2"/>
    <w:rsid w:val="00776068"/>
    <w:rsid w:val="00782E48"/>
    <w:rsid w:val="007835DF"/>
    <w:rsid w:val="007838B8"/>
    <w:rsid w:val="00784517"/>
    <w:rsid w:val="00785779"/>
    <w:rsid w:val="00785F63"/>
    <w:rsid w:val="00787FD8"/>
    <w:rsid w:val="007915BA"/>
    <w:rsid w:val="00791844"/>
    <w:rsid w:val="00793CE9"/>
    <w:rsid w:val="00796667"/>
    <w:rsid w:val="0079671D"/>
    <w:rsid w:val="00797068"/>
    <w:rsid w:val="007979BD"/>
    <w:rsid w:val="007A1889"/>
    <w:rsid w:val="007A3D8E"/>
    <w:rsid w:val="007A5C88"/>
    <w:rsid w:val="007A6435"/>
    <w:rsid w:val="007A6A2F"/>
    <w:rsid w:val="007A6DFB"/>
    <w:rsid w:val="007B0007"/>
    <w:rsid w:val="007B024E"/>
    <w:rsid w:val="007B3BAF"/>
    <w:rsid w:val="007B3DDC"/>
    <w:rsid w:val="007B5191"/>
    <w:rsid w:val="007B625E"/>
    <w:rsid w:val="007B72A6"/>
    <w:rsid w:val="007C06D2"/>
    <w:rsid w:val="007C08E0"/>
    <w:rsid w:val="007C0F57"/>
    <w:rsid w:val="007C2F4B"/>
    <w:rsid w:val="007C40B6"/>
    <w:rsid w:val="007C5975"/>
    <w:rsid w:val="007C729F"/>
    <w:rsid w:val="007C72AD"/>
    <w:rsid w:val="007D0CFB"/>
    <w:rsid w:val="007D4DCC"/>
    <w:rsid w:val="007D503D"/>
    <w:rsid w:val="007D59E7"/>
    <w:rsid w:val="007D5F2A"/>
    <w:rsid w:val="007E07AC"/>
    <w:rsid w:val="007E1014"/>
    <w:rsid w:val="007E12F8"/>
    <w:rsid w:val="007E1D28"/>
    <w:rsid w:val="007E23EB"/>
    <w:rsid w:val="007E2FB3"/>
    <w:rsid w:val="007E4564"/>
    <w:rsid w:val="007E490F"/>
    <w:rsid w:val="007E6533"/>
    <w:rsid w:val="007F0021"/>
    <w:rsid w:val="007F2641"/>
    <w:rsid w:val="007F2B72"/>
    <w:rsid w:val="007F7C36"/>
    <w:rsid w:val="007F7F45"/>
    <w:rsid w:val="0080001F"/>
    <w:rsid w:val="00801958"/>
    <w:rsid w:val="00801CEA"/>
    <w:rsid w:val="008055AF"/>
    <w:rsid w:val="008057CD"/>
    <w:rsid w:val="008066B8"/>
    <w:rsid w:val="00806796"/>
    <w:rsid w:val="00810167"/>
    <w:rsid w:val="008104D0"/>
    <w:rsid w:val="00810992"/>
    <w:rsid w:val="00811CC0"/>
    <w:rsid w:val="00814276"/>
    <w:rsid w:val="008151D6"/>
    <w:rsid w:val="00820803"/>
    <w:rsid w:val="00820C8A"/>
    <w:rsid w:val="00821527"/>
    <w:rsid w:val="008225CE"/>
    <w:rsid w:val="00822696"/>
    <w:rsid w:val="00822749"/>
    <w:rsid w:val="00825A6C"/>
    <w:rsid w:val="00825B3D"/>
    <w:rsid w:val="0082617E"/>
    <w:rsid w:val="008268BB"/>
    <w:rsid w:val="00826F6D"/>
    <w:rsid w:val="008306F3"/>
    <w:rsid w:val="00830E40"/>
    <w:rsid w:val="00832D9A"/>
    <w:rsid w:val="00835C62"/>
    <w:rsid w:val="008368A1"/>
    <w:rsid w:val="00836CF4"/>
    <w:rsid w:val="00840EF7"/>
    <w:rsid w:val="00844C0A"/>
    <w:rsid w:val="00846056"/>
    <w:rsid w:val="0084681F"/>
    <w:rsid w:val="00847D08"/>
    <w:rsid w:val="00847EC0"/>
    <w:rsid w:val="008524BE"/>
    <w:rsid w:val="0085328E"/>
    <w:rsid w:val="00854506"/>
    <w:rsid w:val="00855FD6"/>
    <w:rsid w:val="00856DDD"/>
    <w:rsid w:val="00860233"/>
    <w:rsid w:val="00861A59"/>
    <w:rsid w:val="00861BDE"/>
    <w:rsid w:val="00863E68"/>
    <w:rsid w:val="008647B5"/>
    <w:rsid w:val="008656F4"/>
    <w:rsid w:val="00867D64"/>
    <w:rsid w:val="00872E8F"/>
    <w:rsid w:val="00875DCB"/>
    <w:rsid w:val="00876FBF"/>
    <w:rsid w:val="0087755A"/>
    <w:rsid w:val="00882085"/>
    <w:rsid w:val="00883188"/>
    <w:rsid w:val="00884A0C"/>
    <w:rsid w:val="00886ACA"/>
    <w:rsid w:val="00886B01"/>
    <w:rsid w:val="0089031E"/>
    <w:rsid w:val="0089109A"/>
    <w:rsid w:val="00893D5C"/>
    <w:rsid w:val="0089460B"/>
    <w:rsid w:val="00897D58"/>
    <w:rsid w:val="00897F22"/>
    <w:rsid w:val="008A09FC"/>
    <w:rsid w:val="008A0B39"/>
    <w:rsid w:val="008A17A3"/>
    <w:rsid w:val="008A1956"/>
    <w:rsid w:val="008A1E85"/>
    <w:rsid w:val="008A2419"/>
    <w:rsid w:val="008A4937"/>
    <w:rsid w:val="008A50F1"/>
    <w:rsid w:val="008A59D9"/>
    <w:rsid w:val="008A643E"/>
    <w:rsid w:val="008A6819"/>
    <w:rsid w:val="008A7B3A"/>
    <w:rsid w:val="008A7C16"/>
    <w:rsid w:val="008B007A"/>
    <w:rsid w:val="008B18F0"/>
    <w:rsid w:val="008B2EC0"/>
    <w:rsid w:val="008B4547"/>
    <w:rsid w:val="008B6DCF"/>
    <w:rsid w:val="008B74E6"/>
    <w:rsid w:val="008C0926"/>
    <w:rsid w:val="008C244F"/>
    <w:rsid w:val="008C4C9F"/>
    <w:rsid w:val="008C4D49"/>
    <w:rsid w:val="008D0945"/>
    <w:rsid w:val="008D13A1"/>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4EA"/>
    <w:rsid w:val="008F07ED"/>
    <w:rsid w:val="008F11F8"/>
    <w:rsid w:val="008F1434"/>
    <w:rsid w:val="008F2BB9"/>
    <w:rsid w:val="008F3D6A"/>
    <w:rsid w:val="008F54C3"/>
    <w:rsid w:val="008F7355"/>
    <w:rsid w:val="00900251"/>
    <w:rsid w:val="0090102E"/>
    <w:rsid w:val="009023DC"/>
    <w:rsid w:val="009024ED"/>
    <w:rsid w:val="009027C5"/>
    <w:rsid w:val="00903157"/>
    <w:rsid w:val="00904413"/>
    <w:rsid w:val="009067B7"/>
    <w:rsid w:val="00906BC9"/>
    <w:rsid w:val="00906E7A"/>
    <w:rsid w:val="00906E7F"/>
    <w:rsid w:val="0090775A"/>
    <w:rsid w:val="00907DFD"/>
    <w:rsid w:val="00913C99"/>
    <w:rsid w:val="00917D69"/>
    <w:rsid w:val="009206E2"/>
    <w:rsid w:val="00920A64"/>
    <w:rsid w:val="00920B6D"/>
    <w:rsid w:val="00921FE5"/>
    <w:rsid w:val="00924834"/>
    <w:rsid w:val="00926560"/>
    <w:rsid w:val="00926B15"/>
    <w:rsid w:val="00930291"/>
    <w:rsid w:val="00930937"/>
    <w:rsid w:val="00931351"/>
    <w:rsid w:val="009324A6"/>
    <w:rsid w:val="00933B7D"/>
    <w:rsid w:val="00933E6C"/>
    <w:rsid w:val="0093575C"/>
    <w:rsid w:val="00935A6E"/>
    <w:rsid w:val="00937958"/>
    <w:rsid w:val="009406E5"/>
    <w:rsid w:val="00941602"/>
    <w:rsid w:val="00942160"/>
    <w:rsid w:val="00943CBB"/>
    <w:rsid w:val="009466E3"/>
    <w:rsid w:val="00946921"/>
    <w:rsid w:val="00947343"/>
    <w:rsid w:val="0095146F"/>
    <w:rsid w:val="00951F2D"/>
    <w:rsid w:val="00952839"/>
    <w:rsid w:val="009534C7"/>
    <w:rsid w:val="00957944"/>
    <w:rsid w:val="009602C5"/>
    <w:rsid w:val="0096103A"/>
    <w:rsid w:val="00962223"/>
    <w:rsid w:val="0096252B"/>
    <w:rsid w:val="009644D9"/>
    <w:rsid w:val="00964A9F"/>
    <w:rsid w:val="00966B69"/>
    <w:rsid w:val="00966D0D"/>
    <w:rsid w:val="009676A6"/>
    <w:rsid w:val="00967732"/>
    <w:rsid w:val="0096783C"/>
    <w:rsid w:val="00970023"/>
    <w:rsid w:val="009722B3"/>
    <w:rsid w:val="00973E24"/>
    <w:rsid w:val="00974874"/>
    <w:rsid w:val="00974C21"/>
    <w:rsid w:val="00974D5F"/>
    <w:rsid w:val="00975948"/>
    <w:rsid w:val="0097699A"/>
    <w:rsid w:val="009772FD"/>
    <w:rsid w:val="00977BF3"/>
    <w:rsid w:val="009803E4"/>
    <w:rsid w:val="00980B0E"/>
    <w:rsid w:val="00982B39"/>
    <w:rsid w:val="009836A3"/>
    <w:rsid w:val="00983BEC"/>
    <w:rsid w:val="00984C58"/>
    <w:rsid w:val="009855A8"/>
    <w:rsid w:val="00985A85"/>
    <w:rsid w:val="00985CBE"/>
    <w:rsid w:val="00985D1A"/>
    <w:rsid w:val="00990CF8"/>
    <w:rsid w:val="009913F4"/>
    <w:rsid w:val="00991782"/>
    <w:rsid w:val="009937F7"/>
    <w:rsid w:val="009943F1"/>
    <w:rsid w:val="0099465B"/>
    <w:rsid w:val="009951A1"/>
    <w:rsid w:val="00997A44"/>
    <w:rsid w:val="00997C81"/>
    <w:rsid w:val="009A0CDD"/>
    <w:rsid w:val="009A3168"/>
    <w:rsid w:val="009A4621"/>
    <w:rsid w:val="009A4BDF"/>
    <w:rsid w:val="009A4D70"/>
    <w:rsid w:val="009A5D04"/>
    <w:rsid w:val="009A61CA"/>
    <w:rsid w:val="009B0C64"/>
    <w:rsid w:val="009B0F67"/>
    <w:rsid w:val="009B208A"/>
    <w:rsid w:val="009B2756"/>
    <w:rsid w:val="009B3D56"/>
    <w:rsid w:val="009B3F8C"/>
    <w:rsid w:val="009B533B"/>
    <w:rsid w:val="009B53C7"/>
    <w:rsid w:val="009B546B"/>
    <w:rsid w:val="009C0603"/>
    <w:rsid w:val="009C26AA"/>
    <w:rsid w:val="009C703C"/>
    <w:rsid w:val="009D01BB"/>
    <w:rsid w:val="009D0C29"/>
    <w:rsid w:val="009D206E"/>
    <w:rsid w:val="009D3CAA"/>
    <w:rsid w:val="009D507A"/>
    <w:rsid w:val="009D53FA"/>
    <w:rsid w:val="009D6532"/>
    <w:rsid w:val="009D71FD"/>
    <w:rsid w:val="009E06F0"/>
    <w:rsid w:val="009E0755"/>
    <w:rsid w:val="009E0F8A"/>
    <w:rsid w:val="009E10AD"/>
    <w:rsid w:val="009E2588"/>
    <w:rsid w:val="009E2CA2"/>
    <w:rsid w:val="009E2E8E"/>
    <w:rsid w:val="009E40E1"/>
    <w:rsid w:val="009F0DF3"/>
    <w:rsid w:val="009F0EFA"/>
    <w:rsid w:val="009F4E46"/>
    <w:rsid w:val="009F5B65"/>
    <w:rsid w:val="009F5B81"/>
    <w:rsid w:val="009F5F2E"/>
    <w:rsid w:val="009F73E9"/>
    <w:rsid w:val="00A00C82"/>
    <w:rsid w:val="00A01432"/>
    <w:rsid w:val="00A040E5"/>
    <w:rsid w:val="00A06225"/>
    <w:rsid w:val="00A066E6"/>
    <w:rsid w:val="00A110D1"/>
    <w:rsid w:val="00A12587"/>
    <w:rsid w:val="00A128E6"/>
    <w:rsid w:val="00A144D3"/>
    <w:rsid w:val="00A15746"/>
    <w:rsid w:val="00A17EA7"/>
    <w:rsid w:val="00A21335"/>
    <w:rsid w:val="00A21D7D"/>
    <w:rsid w:val="00A22AC3"/>
    <w:rsid w:val="00A2351E"/>
    <w:rsid w:val="00A23F3F"/>
    <w:rsid w:val="00A24067"/>
    <w:rsid w:val="00A24A4B"/>
    <w:rsid w:val="00A2744D"/>
    <w:rsid w:val="00A30B05"/>
    <w:rsid w:val="00A30D16"/>
    <w:rsid w:val="00A33EB7"/>
    <w:rsid w:val="00A34E6C"/>
    <w:rsid w:val="00A34FD0"/>
    <w:rsid w:val="00A36398"/>
    <w:rsid w:val="00A37C8D"/>
    <w:rsid w:val="00A4020E"/>
    <w:rsid w:val="00A40493"/>
    <w:rsid w:val="00A408E8"/>
    <w:rsid w:val="00A40D5D"/>
    <w:rsid w:val="00A40FB5"/>
    <w:rsid w:val="00A427C9"/>
    <w:rsid w:val="00A42826"/>
    <w:rsid w:val="00A429B3"/>
    <w:rsid w:val="00A44EC1"/>
    <w:rsid w:val="00A510E4"/>
    <w:rsid w:val="00A51F8C"/>
    <w:rsid w:val="00A526F7"/>
    <w:rsid w:val="00A5273B"/>
    <w:rsid w:val="00A53A9D"/>
    <w:rsid w:val="00A55A23"/>
    <w:rsid w:val="00A55FEE"/>
    <w:rsid w:val="00A57422"/>
    <w:rsid w:val="00A62C1A"/>
    <w:rsid w:val="00A63CA2"/>
    <w:rsid w:val="00A6426D"/>
    <w:rsid w:val="00A665C1"/>
    <w:rsid w:val="00A673A4"/>
    <w:rsid w:val="00A7001A"/>
    <w:rsid w:val="00A70622"/>
    <w:rsid w:val="00A70977"/>
    <w:rsid w:val="00A70D58"/>
    <w:rsid w:val="00A71944"/>
    <w:rsid w:val="00A71C5D"/>
    <w:rsid w:val="00A744BF"/>
    <w:rsid w:val="00A744F9"/>
    <w:rsid w:val="00A753A1"/>
    <w:rsid w:val="00A77613"/>
    <w:rsid w:val="00A77B87"/>
    <w:rsid w:val="00A801AD"/>
    <w:rsid w:val="00A8059D"/>
    <w:rsid w:val="00A81851"/>
    <w:rsid w:val="00A8350F"/>
    <w:rsid w:val="00A8390C"/>
    <w:rsid w:val="00A86AE0"/>
    <w:rsid w:val="00A912B0"/>
    <w:rsid w:val="00A91362"/>
    <w:rsid w:val="00A9151C"/>
    <w:rsid w:val="00A919C6"/>
    <w:rsid w:val="00A928BD"/>
    <w:rsid w:val="00A96F03"/>
    <w:rsid w:val="00A97DE9"/>
    <w:rsid w:val="00AA12CD"/>
    <w:rsid w:val="00AA1BD8"/>
    <w:rsid w:val="00AA4D1C"/>
    <w:rsid w:val="00AA52FD"/>
    <w:rsid w:val="00AA6051"/>
    <w:rsid w:val="00AA7006"/>
    <w:rsid w:val="00AB3138"/>
    <w:rsid w:val="00AB335B"/>
    <w:rsid w:val="00AB4684"/>
    <w:rsid w:val="00AB5856"/>
    <w:rsid w:val="00AB60CB"/>
    <w:rsid w:val="00AB6434"/>
    <w:rsid w:val="00AC081D"/>
    <w:rsid w:val="00AC0C6F"/>
    <w:rsid w:val="00AC1266"/>
    <w:rsid w:val="00AC193C"/>
    <w:rsid w:val="00AC19E0"/>
    <w:rsid w:val="00AC2873"/>
    <w:rsid w:val="00AC30C1"/>
    <w:rsid w:val="00AC3682"/>
    <w:rsid w:val="00AC4DE5"/>
    <w:rsid w:val="00AC5206"/>
    <w:rsid w:val="00AC7B97"/>
    <w:rsid w:val="00AD095B"/>
    <w:rsid w:val="00AD1251"/>
    <w:rsid w:val="00AD3106"/>
    <w:rsid w:val="00AD4322"/>
    <w:rsid w:val="00AE11A5"/>
    <w:rsid w:val="00AE13E2"/>
    <w:rsid w:val="00AE22D3"/>
    <w:rsid w:val="00AE5A49"/>
    <w:rsid w:val="00AF0E4A"/>
    <w:rsid w:val="00AF11D8"/>
    <w:rsid w:val="00AF142E"/>
    <w:rsid w:val="00AF15BA"/>
    <w:rsid w:val="00AF3FE2"/>
    <w:rsid w:val="00AF5867"/>
    <w:rsid w:val="00AF62DF"/>
    <w:rsid w:val="00AF68CC"/>
    <w:rsid w:val="00AF701C"/>
    <w:rsid w:val="00AF70D7"/>
    <w:rsid w:val="00B00086"/>
    <w:rsid w:val="00B00CD0"/>
    <w:rsid w:val="00B00E7F"/>
    <w:rsid w:val="00B01FF4"/>
    <w:rsid w:val="00B0326D"/>
    <w:rsid w:val="00B0517D"/>
    <w:rsid w:val="00B06037"/>
    <w:rsid w:val="00B06478"/>
    <w:rsid w:val="00B07533"/>
    <w:rsid w:val="00B07CFB"/>
    <w:rsid w:val="00B1059E"/>
    <w:rsid w:val="00B14A36"/>
    <w:rsid w:val="00B1598F"/>
    <w:rsid w:val="00B16273"/>
    <w:rsid w:val="00B170A5"/>
    <w:rsid w:val="00B1725F"/>
    <w:rsid w:val="00B176C8"/>
    <w:rsid w:val="00B17EE5"/>
    <w:rsid w:val="00B205AA"/>
    <w:rsid w:val="00B2100A"/>
    <w:rsid w:val="00B21A91"/>
    <w:rsid w:val="00B22E84"/>
    <w:rsid w:val="00B233AD"/>
    <w:rsid w:val="00B23E25"/>
    <w:rsid w:val="00B23FEE"/>
    <w:rsid w:val="00B246B8"/>
    <w:rsid w:val="00B25F75"/>
    <w:rsid w:val="00B26B3F"/>
    <w:rsid w:val="00B2778F"/>
    <w:rsid w:val="00B27795"/>
    <w:rsid w:val="00B327E2"/>
    <w:rsid w:val="00B33635"/>
    <w:rsid w:val="00B37A23"/>
    <w:rsid w:val="00B37CF8"/>
    <w:rsid w:val="00B40512"/>
    <w:rsid w:val="00B42228"/>
    <w:rsid w:val="00B42AF4"/>
    <w:rsid w:val="00B43E90"/>
    <w:rsid w:val="00B44308"/>
    <w:rsid w:val="00B45722"/>
    <w:rsid w:val="00B467DC"/>
    <w:rsid w:val="00B47A88"/>
    <w:rsid w:val="00B52303"/>
    <w:rsid w:val="00B5392A"/>
    <w:rsid w:val="00B539EF"/>
    <w:rsid w:val="00B55B29"/>
    <w:rsid w:val="00B56118"/>
    <w:rsid w:val="00B566E1"/>
    <w:rsid w:val="00B56AFB"/>
    <w:rsid w:val="00B56EA0"/>
    <w:rsid w:val="00B602F6"/>
    <w:rsid w:val="00B604FD"/>
    <w:rsid w:val="00B629A1"/>
    <w:rsid w:val="00B62EC1"/>
    <w:rsid w:val="00B64A96"/>
    <w:rsid w:val="00B6533B"/>
    <w:rsid w:val="00B6773F"/>
    <w:rsid w:val="00B70EB3"/>
    <w:rsid w:val="00B716D2"/>
    <w:rsid w:val="00B72906"/>
    <w:rsid w:val="00B74F48"/>
    <w:rsid w:val="00B7525E"/>
    <w:rsid w:val="00B75433"/>
    <w:rsid w:val="00B75F70"/>
    <w:rsid w:val="00B760FB"/>
    <w:rsid w:val="00B76765"/>
    <w:rsid w:val="00B767AB"/>
    <w:rsid w:val="00B801BA"/>
    <w:rsid w:val="00B812D6"/>
    <w:rsid w:val="00B833C0"/>
    <w:rsid w:val="00B8376D"/>
    <w:rsid w:val="00B84D5C"/>
    <w:rsid w:val="00B85AF6"/>
    <w:rsid w:val="00B86618"/>
    <w:rsid w:val="00B92E46"/>
    <w:rsid w:val="00B94412"/>
    <w:rsid w:val="00B956ED"/>
    <w:rsid w:val="00BA008F"/>
    <w:rsid w:val="00BA2DA8"/>
    <w:rsid w:val="00BA347C"/>
    <w:rsid w:val="00BA4C79"/>
    <w:rsid w:val="00BA5818"/>
    <w:rsid w:val="00BA702C"/>
    <w:rsid w:val="00BB224A"/>
    <w:rsid w:val="00BB298A"/>
    <w:rsid w:val="00BB3469"/>
    <w:rsid w:val="00BB5C49"/>
    <w:rsid w:val="00BB6240"/>
    <w:rsid w:val="00BB6285"/>
    <w:rsid w:val="00BB69F5"/>
    <w:rsid w:val="00BB6E48"/>
    <w:rsid w:val="00BB7EC3"/>
    <w:rsid w:val="00BC04B1"/>
    <w:rsid w:val="00BC22E9"/>
    <w:rsid w:val="00BC470E"/>
    <w:rsid w:val="00BC4B9A"/>
    <w:rsid w:val="00BD02C3"/>
    <w:rsid w:val="00BD15E2"/>
    <w:rsid w:val="00BD6509"/>
    <w:rsid w:val="00BD7483"/>
    <w:rsid w:val="00BD784C"/>
    <w:rsid w:val="00BD7A32"/>
    <w:rsid w:val="00BE020A"/>
    <w:rsid w:val="00BE13DF"/>
    <w:rsid w:val="00BE1EF0"/>
    <w:rsid w:val="00BE25D7"/>
    <w:rsid w:val="00BE3667"/>
    <w:rsid w:val="00BF026B"/>
    <w:rsid w:val="00BF092C"/>
    <w:rsid w:val="00BF1362"/>
    <w:rsid w:val="00BF27A0"/>
    <w:rsid w:val="00BF3645"/>
    <w:rsid w:val="00BF4CB6"/>
    <w:rsid w:val="00BF51E1"/>
    <w:rsid w:val="00BF5D23"/>
    <w:rsid w:val="00BF6CBD"/>
    <w:rsid w:val="00BF7920"/>
    <w:rsid w:val="00C00DA7"/>
    <w:rsid w:val="00C034FB"/>
    <w:rsid w:val="00C04CDE"/>
    <w:rsid w:val="00C059D5"/>
    <w:rsid w:val="00C05C4A"/>
    <w:rsid w:val="00C068A6"/>
    <w:rsid w:val="00C1016A"/>
    <w:rsid w:val="00C114CC"/>
    <w:rsid w:val="00C12768"/>
    <w:rsid w:val="00C12D70"/>
    <w:rsid w:val="00C13192"/>
    <w:rsid w:val="00C13FBF"/>
    <w:rsid w:val="00C153D4"/>
    <w:rsid w:val="00C15C6C"/>
    <w:rsid w:val="00C16724"/>
    <w:rsid w:val="00C17082"/>
    <w:rsid w:val="00C21B09"/>
    <w:rsid w:val="00C25EFF"/>
    <w:rsid w:val="00C2673A"/>
    <w:rsid w:val="00C278CD"/>
    <w:rsid w:val="00C27B58"/>
    <w:rsid w:val="00C27C1C"/>
    <w:rsid w:val="00C30978"/>
    <w:rsid w:val="00C3166C"/>
    <w:rsid w:val="00C33186"/>
    <w:rsid w:val="00C3341C"/>
    <w:rsid w:val="00C340E9"/>
    <w:rsid w:val="00C358B6"/>
    <w:rsid w:val="00C35996"/>
    <w:rsid w:val="00C35A99"/>
    <w:rsid w:val="00C42BCD"/>
    <w:rsid w:val="00C4485F"/>
    <w:rsid w:val="00C46C13"/>
    <w:rsid w:val="00C4747E"/>
    <w:rsid w:val="00C5151E"/>
    <w:rsid w:val="00C52256"/>
    <w:rsid w:val="00C5342C"/>
    <w:rsid w:val="00C53B2B"/>
    <w:rsid w:val="00C56D78"/>
    <w:rsid w:val="00C57465"/>
    <w:rsid w:val="00C60272"/>
    <w:rsid w:val="00C603D4"/>
    <w:rsid w:val="00C61CD1"/>
    <w:rsid w:val="00C6256A"/>
    <w:rsid w:val="00C63FDA"/>
    <w:rsid w:val="00C6488C"/>
    <w:rsid w:val="00C64EBC"/>
    <w:rsid w:val="00C664D2"/>
    <w:rsid w:val="00C677E1"/>
    <w:rsid w:val="00C70E6E"/>
    <w:rsid w:val="00C710E2"/>
    <w:rsid w:val="00C71987"/>
    <w:rsid w:val="00C71C3F"/>
    <w:rsid w:val="00C7409E"/>
    <w:rsid w:val="00C74D6D"/>
    <w:rsid w:val="00C76E76"/>
    <w:rsid w:val="00C77891"/>
    <w:rsid w:val="00C77B74"/>
    <w:rsid w:val="00C815EA"/>
    <w:rsid w:val="00C82062"/>
    <w:rsid w:val="00C829A9"/>
    <w:rsid w:val="00C86889"/>
    <w:rsid w:val="00C87B80"/>
    <w:rsid w:val="00C90330"/>
    <w:rsid w:val="00C91449"/>
    <w:rsid w:val="00C92D10"/>
    <w:rsid w:val="00C92F79"/>
    <w:rsid w:val="00C95200"/>
    <w:rsid w:val="00C96EC0"/>
    <w:rsid w:val="00CA06F9"/>
    <w:rsid w:val="00CA14BB"/>
    <w:rsid w:val="00CA230C"/>
    <w:rsid w:val="00CA48D9"/>
    <w:rsid w:val="00CA5A12"/>
    <w:rsid w:val="00CB1193"/>
    <w:rsid w:val="00CB3439"/>
    <w:rsid w:val="00CB4767"/>
    <w:rsid w:val="00CB493D"/>
    <w:rsid w:val="00CC02EB"/>
    <w:rsid w:val="00CC10A6"/>
    <w:rsid w:val="00CC3B97"/>
    <w:rsid w:val="00CC44A9"/>
    <w:rsid w:val="00CC4998"/>
    <w:rsid w:val="00CC59BF"/>
    <w:rsid w:val="00CC6050"/>
    <w:rsid w:val="00CC7172"/>
    <w:rsid w:val="00CD5857"/>
    <w:rsid w:val="00CD6257"/>
    <w:rsid w:val="00CD7C0B"/>
    <w:rsid w:val="00CE10C4"/>
    <w:rsid w:val="00CE2343"/>
    <w:rsid w:val="00CE236E"/>
    <w:rsid w:val="00CE27B5"/>
    <w:rsid w:val="00CE2BDF"/>
    <w:rsid w:val="00CE6D24"/>
    <w:rsid w:val="00CE6DAF"/>
    <w:rsid w:val="00CE7527"/>
    <w:rsid w:val="00CF410A"/>
    <w:rsid w:val="00CF7528"/>
    <w:rsid w:val="00CF7DEB"/>
    <w:rsid w:val="00CF7FDE"/>
    <w:rsid w:val="00D012AF"/>
    <w:rsid w:val="00D0321E"/>
    <w:rsid w:val="00D0431E"/>
    <w:rsid w:val="00D05250"/>
    <w:rsid w:val="00D05457"/>
    <w:rsid w:val="00D069EB"/>
    <w:rsid w:val="00D07A8A"/>
    <w:rsid w:val="00D10E31"/>
    <w:rsid w:val="00D11199"/>
    <w:rsid w:val="00D11380"/>
    <w:rsid w:val="00D141B6"/>
    <w:rsid w:val="00D142C3"/>
    <w:rsid w:val="00D1455A"/>
    <w:rsid w:val="00D14573"/>
    <w:rsid w:val="00D14A70"/>
    <w:rsid w:val="00D1512F"/>
    <w:rsid w:val="00D20745"/>
    <w:rsid w:val="00D207EA"/>
    <w:rsid w:val="00D211FB"/>
    <w:rsid w:val="00D22093"/>
    <w:rsid w:val="00D31150"/>
    <w:rsid w:val="00D3138B"/>
    <w:rsid w:val="00D31FCE"/>
    <w:rsid w:val="00D3280C"/>
    <w:rsid w:val="00D3406A"/>
    <w:rsid w:val="00D343F2"/>
    <w:rsid w:val="00D34D24"/>
    <w:rsid w:val="00D40B11"/>
    <w:rsid w:val="00D42864"/>
    <w:rsid w:val="00D429EC"/>
    <w:rsid w:val="00D441F1"/>
    <w:rsid w:val="00D4428F"/>
    <w:rsid w:val="00D4572C"/>
    <w:rsid w:val="00D469B2"/>
    <w:rsid w:val="00D472A5"/>
    <w:rsid w:val="00D52B24"/>
    <w:rsid w:val="00D52ECF"/>
    <w:rsid w:val="00D53FFF"/>
    <w:rsid w:val="00D54B09"/>
    <w:rsid w:val="00D575B0"/>
    <w:rsid w:val="00D6243E"/>
    <w:rsid w:val="00D65658"/>
    <w:rsid w:val="00D67EB2"/>
    <w:rsid w:val="00D70349"/>
    <w:rsid w:val="00D72B6F"/>
    <w:rsid w:val="00D741EB"/>
    <w:rsid w:val="00D74CEA"/>
    <w:rsid w:val="00D7679C"/>
    <w:rsid w:val="00D817FD"/>
    <w:rsid w:val="00D820F3"/>
    <w:rsid w:val="00D82AD2"/>
    <w:rsid w:val="00D83605"/>
    <w:rsid w:val="00D8360C"/>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5C"/>
    <w:rsid w:val="00DB0160"/>
    <w:rsid w:val="00DB04D7"/>
    <w:rsid w:val="00DB3DC3"/>
    <w:rsid w:val="00DB50E1"/>
    <w:rsid w:val="00DC0566"/>
    <w:rsid w:val="00DC05E1"/>
    <w:rsid w:val="00DC1499"/>
    <w:rsid w:val="00DC16CF"/>
    <w:rsid w:val="00DC1831"/>
    <w:rsid w:val="00DC1CF9"/>
    <w:rsid w:val="00DC2C3E"/>
    <w:rsid w:val="00DC3137"/>
    <w:rsid w:val="00DC3A71"/>
    <w:rsid w:val="00DC4880"/>
    <w:rsid w:val="00DC5E90"/>
    <w:rsid w:val="00DD0BE9"/>
    <w:rsid w:val="00DD26F9"/>
    <w:rsid w:val="00DD350E"/>
    <w:rsid w:val="00DD42AB"/>
    <w:rsid w:val="00DE06AF"/>
    <w:rsid w:val="00DE3906"/>
    <w:rsid w:val="00DE5B13"/>
    <w:rsid w:val="00DE688F"/>
    <w:rsid w:val="00DE6D27"/>
    <w:rsid w:val="00DE76EA"/>
    <w:rsid w:val="00DF01F8"/>
    <w:rsid w:val="00DF021D"/>
    <w:rsid w:val="00DF12AE"/>
    <w:rsid w:val="00DF14EE"/>
    <w:rsid w:val="00DF217D"/>
    <w:rsid w:val="00DF26A7"/>
    <w:rsid w:val="00DF3277"/>
    <w:rsid w:val="00DF53E1"/>
    <w:rsid w:val="00DF6A31"/>
    <w:rsid w:val="00DF77A1"/>
    <w:rsid w:val="00DF7919"/>
    <w:rsid w:val="00E004BD"/>
    <w:rsid w:val="00E011B9"/>
    <w:rsid w:val="00E0207E"/>
    <w:rsid w:val="00E02AE6"/>
    <w:rsid w:val="00E03912"/>
    <w:rsid w:val="00E0419E"/>
    <w:rsid w:val="00E04748"/>
    <w:rsid w:val="00E060AF"/>
    <w:rsid w:val="00E078D9"/>
    <w:rsid w:val="00E07A33"/>
    <w:rsid w:val="00E10293"/>
    <w:rsid w:val="00E103A0"/>
    <w:rsid w:val="00E1043F"/>
    <w:rsid w:val="00E115A6"/>
    <w:rsid w:val="00E11F44"/>
    <w:rsid w:val="00E13E60"/>
    <w:rsid w:val="00E1538F"/>
    <w:rsid w:val="00E15627"/>
    <w:rsid w:val="00E164B3"/>
    <w:rsid w:val="00E16910"/>
    <w:rsid w:val="00E21164"/>
    <w:rsid w:val="00E239E2"/>
    <w:rsid w:val="00E24E09"/>
    <w:rsid w:val="00E27234"/>
    <w:rsid w:val="00E3495C"/>
    <w:rsid w:val="00E3694C"/>
    <w:rsid w:val="00E42BDB"/>
    <w:rsid w:val="00E524A9"/>
    <w:rsid w:val="00E53F1A"/>
    <w:rsid w:val="00E5726D"/>
    <w:rsid w:val="00E57EEB"/>
    <w:rsid w:val="00E62D94"/>
    <w:rsid w:val="00E62ECC"/>
    <w:rsid w:val="00E64F37"/>
    <w:rsid w:val="00E65091"/>
    <w:rsid w:val="00E65393"/>
    <w:rsid w:val="00E65E54"/>
    <w:rsid w:val="00E661C7"/>
    <w:rsid w:val="00E66679"/>
    <w:rsid w:val="00E732C4"/>
    <w:rsid w:val="00E74E41"/>
    <w:rsid w:val="00E77523"/>
    <w:rsid w:val="00E80155"/>
    <w:rsid w:val="00E8134B"/>
    <w:rsid w:val="00E81E0D"/>
    <w:rsid w:val="00E81F28"/>
    <w:rsid w:val="00E83E13"/>
    <w:rsid w:val="00E848C0"/>
    <w:rsid w:val="00E84BB8"/>
    <w:rsid w:val="00E86F92"/>
    <w:rsid w:val="00E90EDD"/>
    <w:rsid w:val="00E91B96"/>
    <w:rsid w:val="00E92BD9"/>
    <w:rsid w:val="00E92F2E"/>
    <w:rsid w:val="00E935DA"/>
    <w:rsid w:val="00E93937"/>
    <w:rsid w:val="00E93D1E"/>
    <w:rsid w:val="00E941A1"/>
    <w:rsid w:val="00E95CE3"/>
    <w:rsid w:val="00E95F9A"/>
    <w:rsid w:val="00E97868"/>
    <w:rsid w:val="00EA0856"/>
    <w:rsid w:val="00EA1DC4"/>
    <w:rsid w:val="00EA252F"/>
    <w:rsid w:val="00EA2825"/>
    <w:rsid w:val="00EA5027"/>
    <w:rsid w:val="00EA64C2"/>
    <w:rsid w:val="00EA6518"/>
    <w:rsid w:val="00EA71A2"/>
    <w:rsid w:val="00EA7466"/>
    <w:rsid w:val="00EA7EDE"/>
    <w:rsid w:val="00EB0B63"/>
    <w:rsid w:val="00EB1936"/>
    <w:rsid w:val="00EB26C4"/>
    <w:rsid w:val="00EB3545"/>
    <w:rsid w:val="00EB37BE"/>
    <w:rsid w:val="00EB4BAE"/>
    <w:rsid w:val="00EB4C5C"/>
    <w:rsid w:val="00EB5088"/>
    <w:rsid w:val="00EB7210"/>
    <w:rsid w:val="00EC2726"/>
    <w:rsid w:val="00EC61D7"/>
    <w:rsid w:val="00EC681C"/>
    <w:rsid w:val="00EC7B87"/>
    <w:rsid w:val="00ED1644"/>
    <w:rsid w:val="00ED2593"/>
    <w:rsid w:val="00ED2A4D"/>
    <w:rsid w:val="00ED3709"/>
    <w:rsid w:val="00ED3964"/>
    <w:rsid w:val="00ED7D55"/>
    <w:rsid w:val="00ED7D9C"/>
    <w:rsid w:val="00EE00A7"/>
    <w:rsid w:val="00EE2AE8"/>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4949"/>
    <w:rsid w:val="00F050BD"/>
    <w:rsid w:val="00F05657"/>
    <w:rsid w:val="00F05AB0"/>
    <w:rsid w:val="00F12C74"/>
    <w:rsid w:val="00F13214"/>
    <w:rsid w:val="00F1559A"/>
    <w:rsid w:val="00F17ED6"/>
    <w:rsid w:val="00F20676"/>
    <w:rsid w:val="00F209E2"/>
    <w:rsid w:val="00F2263F"/>
    <w:rsid w:val="00F22C72"/>
    <w:rsid w:val="00F2398F"/>
    <w:rsid w:val="00F25578"/>
    <w:rsid w:val="00F258E5"/>
    <w:rsid w:val="00F25B9C"/>
    <w:rsid w:val="00F2675A"/>
    <w:rsid w:val="00F26CC6"/>
    <w:rsid w:val="00F300BC"/>
    <w:rsid w:val="00F305FA"/>
    <w:rsid w:val="00F30F34"/>
    <w:rsid w:val="00F30FA1"/>
    <w:rsid w:val="00F3263C"/>
    <w:rsid w:val="00F3334E"/>
    <w:rsid w:val="00F3573A"/>
    <w:rsid w:val="00F36CCB"/>
    <w:rsid w:val="00F374E5"/>
    <w:rsid w:val="00F37B93"/>
    <w:rsid w:val="00F37BAD"/>
    <w:rsid w:val="00F37ECA"/>
    <w:rsid w:val="00F40A1C"/>
    <w:rsid w:val="00F4340E"/>
    <w:rsid w:val="00F43AF2"/>
    <w:rsid w:val="00F45216"/>
    <w:rsid w:val="00F45341"/>
    <w:rsid w:val="00F5007E"/>
    <w:rsid w:val="00F508F6"/>
    <w:rsid w:val="00F50EC4"/>
    <w:rsid w:val="00F52232"/>
    <w:rsid w:val="00F527B1"/>
    <w:rsid w:val="00F52DC2"/>
    <w:rsid w:val="00F54AF9"/>
    <w:rsid w:val="00F550CF"/>
    <w:rsid w:val="00F553D2"/>
    <w:rsid w:val="00F56A2D"/>
    <w:rsid w:val="00F57A6D"/>
    <w:rsid w:val="00F6044B"/>
    <w:rsid w:val="00F62151"/>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CA1"/>
    <w:rsid w:val="00F83E86"/>
    <w:rsid w:val="00F83F58"/>
    <w:rsid w:val="00F85206"/>
    <w:rsid w:val="00F87C7A"/>
    <w:rsid w:val="00F87CEA"/>
    <w:rsid w:val="00F9265D"/>
    <w:rsid w:val="00F935F5"/>
    <w:rsid w:val="00F9629A"/>
    <w:rsid w:val="00F97EFC"/>
    <w:rsid w:val="00FA0B04"/>
    <w:rsid w:val="00FA0C7C"/>
    <w:rsid w:val="00FA1BDD"/>
    <w:rsid w:val="00FA1DB1"/>
    <w:rsid w:val="00FA305C"/>
    <w:rsid w:val="00FA42AB"/>
    <w:rsid w:val="00FA462E"/>
    <w:rsid w:val="00FA4DD5"/>
    <w:rsid w:val="00FA5883"/>
    <w:rsid w:val="00FA6055"/>
    <w:rsid w:val="00FA6F82"/>
    <w:rsid w:val="00FB0B39"/>
    <w:rsid w:val="00FB322F"/>
    <w:rsid w:val="00FB442F"/>
    <w:rsid w:val="00FB7788"/>
    <w:rsid w:val="00FC118C"/>
    <w:rsid w:val="00FC1929"/>
    <w:rsid w:val="00FC3682"/>
    <w:rsid w:val="00FC5B46"/>
    <w:rsid w:val="00FC5B75"/>
    <w:rsid w:val="00FD1D4F"/>
    <w:rsid w:val="00FD24BF"/>
    <w:rsid w:val="00FD3828"/>
    <w:rsid w:val="00FD3B6E"/>
    <w:rsid w:val="00FD4140"/>
    <w:rsid w:val="00FD450D"/>
    <w:rsid w:val="00FD57EB"/>
    <w:rsid w:val="00FD6D8E"/>
    <w:rsid w:val="00FE0663"/>
    <w:rsid w:val="00FE0E94"/>
    <w:rsid w:val="00FE1C24"/>
    <w:rsid w:val="00FE369C"/>
    <w:rsid w:val="00FE3CD9"/>
    <w:rsid w:val="00FE3DE5"/>
    <w:rsid w:val="00FF00BD"/>
    <w:rsid w:val="00FF067C"/>
    <w:rsid w:val="00FF0B13"/>
    <w:rsid w:val="00FF1672"/>
    <w:rsid w:val="00FF1ED4"/>
    <w:rsid w:val="00FF2801"/>
    <w:rsid w:val="00FF2AE8"/>
    <w:rsid w:val="00FF6E17"/>
    <w:rsid w:val="00FF77D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FootnoteText">
    <w:name w:val="footnote text"/>
    <w:basedOn w:val="Normal"/>
    <w:link w:val="FootnoteTextChar"/>
    <w:semiHidden/>
    <w:unhideWhenUsed/>
    <w:rsid w:val="00C15C6C"/>
    <w:rPr>
      <w:sz w:val="20"/>
      <w:szCs w:val="20"/>
    </w:rPr>
  </w:style>
  <w:style w:type="character" w:customStyle="1" w:styleId="FootnoteTextChar">
    <w:name w:val="Footnote Text Char"/>
    <w:basedOn w:val="DefaultParagraphFont"/>
    <w:link w:val="FootnoteText"/>
    <w:semiHidden/>
    <w:rsid w:val="00C15C6C"/>
    <w:rPr>
      <w:rFonts w:ascii="Calibri" w:hAnsi="Calibri"/>
    </w:rPr>
  </w:style>
  <w:style w:type="character" w:styleId="FootnoteReference">
    <w:name w:val="footnote reference"/>
    <w:basedOn w:val="DefaultParagraphFont"/>
    <w:semiHidden/>
    <w:unhideWhenUsed/>
    <w:rsid w:val="00C15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83057385">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1062643">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3369</Words>
  <Characters>18715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2023-08-21T05:40:00Z</dcterms:created>
  <dcterms:modified xsi:type="dcterms:W3CDTF">2023-08-21T05:42:00Z</dcterms:modified>
</cp:coreProperties>
</file>