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608C2" w14:textId="779D2B1D" w:rsidR="00B60939" w:rsidRPr="004A6040" w:rsidRDefault="009C1B53" w:rsidP="005973DA">
      <w:pPr>
        <w:pStyle w:val="1-MainHeading"/>
      </w:pPr>
      <w:bookmarkStart w:id="0" w:name="_Toc124932944"/>
      <w:r>
        <w:t>6</w:t>
      </w:r>
      <w:r w:rsidR="00433044" w:rsidRPr="00C12C14">
        <w:t>.</w:t>
      </w:r>
      <w:r>
        <w:t>06</w:t>
      </w:r>
      <w:r w:rsidR="00163F66">
        <w:tab/>
      </w:r>
      <w:r w:rsidR="005973DA">
        <w:t>NIVOLUMAB</w:t>
      </w:r>
      <w:r w:rsidR="00163F66">
        <w:t>,</w:t>
      </w:r>
      <w:r w:rsidR="00163F66">
        <w:br/>
      </w:r>
      <w:r w:rsidR="005973DA">
        <w:t>Injection concentrate for I.V. infusion</w:t>
      </w:r>
      <w:r w:rsidR="00B54121">
        <w:t xml:space="preserve"> </w:t>
      </w:r>
      <w:r w:rsidR="005973DA">
        <w:t>40 mg in 4</w:t>
      </w:r>
      <w:r w:rsidR="00CC7AE8">
        <w:t> </w:t>
      </w:r>
      <w:r w:rsidR="005973DA">
        <w:t>mL</w:t>
      </w:r>
      <w:r w:rsidR="005973DA">
        <w:br/>
        <w:t>Injection concentrate for I.V. infusion</w:t>
      </w:r>
      <w:r w:rsidR="00B54121">
        <w:t xml:space="preserve"> </w:t>
      </w:r>
      <w:r w:rsidR="005973DA">
        <w:t>100 mg in 10</w:t>
      </w:r>
      <w:r w:rsidR="00CC7AE8">
        <w:t> </w:t>
      </w:r>
      <w:r w:rsidR="005973DA">
        <w:t>mL</w:t>
      </w:r>
      <w:r w:rsidR="00163F66">
        <w:br/>
      </w:r>
      <w:r w:rsidR="00452D64">
        <w:t>O</w:t>
      </w:r>
      <w:r w:rsidR="00BB00B6">
        <w:t>pdivo</w:t>
      </w:r>
      <w:r w:rsidR="00B60939" w:rsidRPr="004A6040">
        <w:rPr>
          <w:vertAlign w:val="superscript"/>
        </w:rPr>
        <w:t>®</w:t>
      </w:r>
      <w:r w:rsidR="004A6040" w:rsidRPr="004A6040">
        <w:t>,</w:t>
      </w:r>
      <w:r w:rsidR="004A6040" w:rsidRPr="004A6040">
        <w:br/>
      </w:r>
      <w:r w:rsidR="005973DA" w:rsidRPr="005973DA">
        <w:t>B</w:t>
      </w:r>
      <w:r w:rsidR="00B54121" w:rsidRPr="005973DA">
        <w:t>ristol</w:t>
      </w:r>
      <w:r w:rsidR="005973DA" w:rsidRPr="005973DA">
        <w:t>-M</w:t>
      </w:r>
      <w:r w:rsidR="00B54121" w:rsidRPr="005973DA">
        <w:t>yers</w:t>
      </w:r>
      <w:r w:rsidR="005973DA" w:rsidRPr="005973DA">
        <w:t xml:space="preserve"> S</w:t>
      </w:r>
      <w:r w:rsidR="00B54121" w:rsidRPr="005973DA">
        <w:t>quibb</w:t>
      </w:r>
      <w:r w:rsidR="005973DA" w:rsidRPr="005973DA">
        <w:t xml:space="preserve"> A</w:t>
      </w:r>
      <w:r w:rsidR="00B54121" w:rsidRPr="005973DA">
        <w:t>ustralia</w:t>
      </w:r>
      <w:r w:rsidR="005973DA" w:rsidRPr="005973DA">
        <w:t xml:space="preserve"> P</w:t>
      </w:r>
      <w:r w:rsidR="00B54121" w:rsidRPr="005973DA">
        <w:t>ty</w:t>
      </w:r>
      <w:r w:rsidR="005973DA" w:rsidRPr="005973DA">
        <w:t xml:space="preserve"> L</w:t>
      </w:r>
      <w:r w:rsidR="00B54121" w:rsidRPr="005973DA">
        <w:t>td</w:t>
      </w:r>
      <w:r w:rsidR="00B60939" w:rsidRPr="004A6040">
        <w:t>.</w:t>
      </w:r>
      <w:bookmarkEnd w:id="0"/>
      <w:r w:rsidR="00F73E08">
        <w:t xml:space="preserve"> </w:t>
      </w:r>
    </w:p>
    <w:p w14:paraId="17BACF38" w14:textId="77777777" w:rsidR="00B50DB8" w:rsidRPr="00F879F8" w:rsidRDefault="00B50DB8" w:rsidP="004A6040">
      <w:pPr>
        <w:pStyle w:val="2-SectionHeading"/>
      </w:pPr>
      <w:bookmarkStart w:id="1" w:name="_Toc124932946"/>
      <w:r w:rsidRPr="00F879F8">
        <w:t xml:space="preserve">Purpose of </w:t>
      </w:r>
      <w:r w:rsidR="00CD7193" w:rsidRPr="00F879F8">
        <w:t>s</w:t>
      </w:r>
      <w:r w:rsidR="00BB3A45" w:rsidRPr="00F879F8">
        <w:t>ubmission</w:t>
      </w:r>
      <w:bookmarkEnd w:id="1"/>
    </w:p>
    <w:p w14:paraId="74AC5442" w14:textId="073401AA" w:rsidR="00F879F8" w:rsidRPr="00F879F8" w:rsidRDefault="00267BF9" w:rsidP="004E18E9">
      <w:pPr>
        <w:pStyle w:val="3-BodyText"/>
      </w:pPr>
      <w:r w:rsidRPr="00F879F8">
        <w:rPr>
          <w:lang w:val="en-US"/>
        </w:rPr>
        <w:t xml:space="preserve">The Category 2 submission requested a </w:t>
      </w:r>
      <w:r w:rsidR="00F879F8" w:rsidRPr="00F879F8">
        <w:rPr>
          <w:lang w:val="en-US"/>
        </w:rPr>
        <w:t>Section 100 (</w:t>
      </w:r>
      <w:bookmarkStart w:id="2" w:name="_Hlk124077604"/>
      <w:r w:rsidR="00F879F8" w:rsidRPr="00F879F8">
        <w:rPr>
          <w:lang w:val="en-US"/>
        </w:rPr>
        <w:t>Efficient Funding of Chemotherapy</w:t>
      </w:r>
      <w:bookmarkEnd w:id="2"/>
      <w:r w:rsidR="00F879F8" w:rsidRPr="00F879F8">
        <w:rPr>
          <w:lang w:val="en-US"/>
        </w:rPr>
        <w:t xml:space="preserve">) Authority Required (STREAMLINED) listing for </w:t>
      </w:r>
      <w:r w:rsidR="00CF1AF1">
        <w:rPr>
          <w:lang w:val="en-US"/>
        </w:rPr>
        <w:t xml:space="preserve">nivolumab in combination with chemotherapy for </w:t>
      </w:r>
      <w:r w:rsidR="00F879F8" w:rsidRPr="00F879F8">
        <w:rPr>
          <w:lang w:val="en-US"/>
        </w:rPr>
        <w:t xml:space="preserve">the neoadjuvant treatment of </w:t>
      </w:r>
      <w:r w:rsidR="00B72139">
        <w:rPr>
          <w:lang w:val="en-US"/>
        </w:rPr>
        <w:t xml:space="preserve">patients with </w:t>
      </w:r>
      <w:r w:rsidR="00F879F8" w:rsidRPr="00F879F8">
        <w:rPr>
          <w:lang w:val="en-US"/>
        </w:rPr>
        <w:t xml:space="preserve">resectable </w:t>
      </w:r>
      <w:r w:rsidR="00B72139" w:rsidRPr="008C7653">
        <w:t>non-small cell lung cancer</w:t>
      </w:r>
      <w:r w:rsidR="00B72139" w:rsidRPr="00F879F8">
        <w:rPr>
          <w:lang w:val="en-US"/>
        </w:rPr>
        <w:t xml:space="preserve"> </w:t>
      </w:r>
      <w:r w:rsidR="00B72139">
        <w:rPr>
          <w:lang w:val="en-US"/>
        </w:rPr>
        <w:t>(</w:t>
      </w:r>
      <w:r w:rsidR="00F879F8" w:rsidRPr="00F879F8">
        <w:rPr>
          <w:lang w:val="en-US"/>
        </w:rPr>
        <w:t>NSCLC</w:t>
      </w:r>
      <w:r w:rsidR="00B72139">
        <w:rPr>
          <w:lang w:val="en-US"/>
        </w:rPr>
        <w:t>)</w:t>
      </w:r>
      <w:r w:rsidR="00F879F8" w:rsidRPr="00F879F8">
        <w:rPr>
          <w:lang w:val="en-US"/>
        </w:rPr>
        <w:t>.</w:t>
      </w:r>
    </w:p>
    <w:p w14:paraId="56554EFF" w14:textId="77777777" w:rsidR="00B72139" w:rsidRDefault="005750C5" w:rsidP="00A0337B">
      <w:pPr>
        <w:pStyle w:val="3-BodyText"/>
      </w:pPr>
      <w:r w:rsidRPr="005750C5">
        <w:t xml:space="preserve">Listing was requested on the basis of a </w:t>
      </w:r>
      <w:r>
        <w:t>cost-</w:t>
      </w:r>
      <w:r w:rsidR="007C4918">
        <w:t>utility</w:t>
      </w:r>
      <w:r w:rsidR="007C4918" w:rsidRPr="005750C5">
        <w:t xml:space="preserve"> </w:t>
      </w:r>
      <w:r w:rsidRPr="005750C5">
        <w:t>analysis versus</w:t>
      </w:r>
      <w:r>
        <w:t xml:space="preserve"> </w:t>
      </w:r>
      <w:r w:rsidR="00F879F8">
        <w:t>neoadjuvant chemotherapy (</w:t>
      </w:r>
      <w:r w:rsidR="000039B4">
        <w:t>neoChemo</w:t>
      </w:r>
      <w:r w:rsidR="00F879F8">
        <w:t>)</w:t>
      </w:r>
      <w:r>
        <w:t>.</w:t>
      </w:r>
      <w:r w:rsidRPr="005750C5">
        <w:t xml:space="preserve"> </w:t>
      </w:r>
      <w:r w:rsidR="00F879F8">
        <w:t>Other nominated comparators were a</w:t>
      </w:r>
      <w:r w:rsidR="00F879F8" w:rsidRPr="00F879F8">
        <w:t>djuvant chemotherapy</w:t>
      </w:r>
      <w:r w:rsidR="00F879F8">
        <w:t xml:space="preserve"> (</w:t>
      </w:r>
      <w:r w:rsidR="003D24E4">
        <w:t>adjChemo</w:t>
      </w:r>
      <w:r w:rsidR="00F879F8">
        <w:t>) and a</w:t>
      </w:r>
      <w:r w:rsidR="00F879F8" w:rsidRPr="00F879F8">
        <w:t>djuvant chemotherapy followed by atezolizumab</w:t>
      </w:r>
      <w:r w:rsidR="00F879F8">
        <w:t xml:space="preserve"> (</w:t>
      </w:r>
      <w:r w:rsidR="003D24E4">
        <w:t>adjChemo</w:t>
      </w:r>
      <w:r w:rsidR="00F879F8">
        <w:t>+</w:t>
      </w:r>
      <w:r w:rsidR="000039B4">
        <w:t>adjATEZO</w:t>
      </w:r>
      <w:r w:rsidR="00F879F8">
        <w:t>).</w:t>
      </w:r>
      <w:r w:rsidR="00F879F8" w:rsidRPr="00F879F8">
        <w:t xml:space="preserve"> </w:t>
      </w:r>
      <w:r w:rsidR="00F879F8">
        <w:t xml:space="preserve">Only the comparison with </w:t>
      </w:r>
      <w:r w:rsidR="000039B4">
        <w:t>neoChemo</w:t>
      </w:r>
      <w:r w:rsidR="00F879F8">
        <w:t xml:space="preserve"> was captured in the economic analysis and financial estimates. </w:t>
      </w:r>
    </w:p>
    <w:p w14:paraId="12295BAB" w14:textId="70179E79" w:rsidR="00C2778B" w:rsidRDefault="00B72139" w:rsidP="00A0337B">
      <w:pPr>
        <w:pStyle w:val="3-BodyText"/>
      </w:pPr>
      <w:r>
        <w:t xml:space="preserve">A summary of the </w:t>
      </w:r>
      <w:r w:rsidR="00F879F8" w:rsidRPr="00F879F8">
        <w:t>key components of the clinical issue</w:t>
      </w:r>
      <w:r>
        <w:t xml:space="preserve"> addressed by the submission</w:t>
      </w:r>
      <w:r w:rsidR="00F879F8" w:rsidRPr="00F879F8">
        <w:t xml:space="preserve"> </w:t>
      </w:r>
      <w:r>
        <w:t>is</w:t>
      </w:r>
      <w:r w:rsidR="00F879F8" w:rsidRPr="00F879F8">
        <w:t xml:space="preserve"> </w:t>
      </w:r>
      <w:r w:rsidR="00AC7601">
        <w:t>presented</w:t>
      </w:r>
      <w:r w:rsidR="00AC7601" w:rsidRPr="00F879F8">
        <w:t xml:space="preserve"> </w:t>
      </w:r>
      <w:r w:rsidR="00F879F8">
        <w:t xml:space="preserve">in </w:t>
      </w:r>
      <w:r w:rsidR="00F879F8">
        <w:fldChar w:fldCharType="begin"/>
      </w:r>
      <w:r w:rsidR="00F879F8">
        <w:instrText xml:space="preserve"> REF _Ref120882763 \h </w:instrText>
      </w:r>
      <w:r w:rsidR="00F879F8">
        <w:fldChar w:fldCharType="separate"/>
      </w:r>
      <w:r w:rsidR="00A77D90">
        <w:t xml:space="preserve">Table </w:t>
      </w:r>
      <w:r w:rsidR="00A77D90">
        <w:rPr>
          <w:noProof/>
        </w:rPr>
        <w:t>1</w:t>
      </w:r>
      <w:r w:rsidR="00F879F8">
        <w:fldChar w:fldCharType="end"/>
      </w:r>
      <w:r w:rsidR="00F879F8">
        <w:t>.</w:t>
      </w:r>
      <w:r w:rsidR="00BC591F" w:rsidRPr="00F879F8">
        <w:rPr>
          <w:color w:val="0066FF"/>
        </w:rPr>
        <w:t xml:space="preserve"> </w:t>
      </w:r>
    </w:p>
    <w:p w14:paraId="57AE73FB" w14:textId="1E75E66C" w:rsidR="00F879F8" w:rsidRDefault="00696EF9" w:rsidP="00F879F8">
      <w:pPr>
        <w:pStyle w:val="TableFigureHeading"/>
      </w:pPr>
      <w:bookmarkStart w:id="3" w:name="_Ref120882763"/>
      <w:r>
        <w:t xml:space="preserve">Table </w:t>
      </w:r>
      <w:r w:rsidR="00A77D90">
        <w:fldChar w:fldCharType="begin"/>
      </w:r>
      <w:r w:rsidR="00A77D90">
        <w:instrText xml:space="preserve"> SEQ Table \* ARABIC </w:instrText>
      </w:r>
      <w:r w:rsidR="00A77D90">
        <w:fldChar w:fldCharType="separate"/>
      </w:r>
      <w:r w:rsidR="00A77D90">
        <w:rPr>
          <w:noProof/>
        </w:rPr>
        <w:t>1</w:t>
      </w:r>
      <w:r w:rsidR="00A77D90">
        <w:rPr>
          <w:noProof/>
        </w:rPr>
        <w:fldChar w:fldCharType="end"/>
      </w:r>
      <w:bookmarkEnd w:id="3"/>
      <w:r>
        <w:t>:</w:t>
      </w:r>
      <w:r w:rsidR="00BC591F" w:rsidRPr="004A6040">
        <w:rPr>
          <w:rStyle w:val="CommentReference"/>
          <w:b/>
          <w:szCs w:val="24"/>
        </w:rPr>
        <w:t xml:space="preserve"> </w:t>
      </w:r>
      <w:r w:rsidR="00F879F8" w:rsidRPr="00E55915">
        <w:rPr>
          <w:rStyle w:val="CommentReference"/>
          <w:b/>
          <w:szCs w:val="24"/>
        </w:rPr>
        <w:t>Key components of the clinical issue 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74"/>
      </w:tblGrid>
      <w:tr w:rsidR="00F879F8" w:rsidRPr="00A518F3" w14:paraId="36E05FA2" w14:textId="77777777" w:rsidTr="00284191">
        <w:tc>
          <w:tcPr>
            <w:tcW w:w="911" w:type="pct"/>
            <w:vAlign w:val="center"/>
          </w:tcPr>
          <w:p w14:paraId="5AA43B40" w14:textId="77777777" w:rsidR="00F879F8" w:rsidRPr="00A518F3" w:rsidRDefault="00F879F8" w:rsidP="00A0337B">
            <w:pPr>
              <w:pStyle w:val="In-tableHeading"/>
            </w:pPr>
            <w:r w:rsidRPr="00A518F3">
              <w:t>Component</w:t>
            </w:r>
          </w:p>
        </w:tc>
        <w:tc>
          <w:tcPr>
            <w:tcW w:w="4089" w:type="pct"/>
            <w:vAlign w:val="center"/>
          </w:tcPr>
          <w:p w14:paraId="6981E2A2" w14:textId="77777777" w:rsidR="00F879F8" w:rsidRPr="00A518F3" w:rsidRDefault="00F879F8" w:rsidP="00EC5EF5">
            <w:pPr>
              <w:pStyle w:val="In-tableHeading"/>
            </w:pPr>
            <w:r w:rsidRPr="00A518F3">
              <w:t>Description</w:t>
            </w:r>
          </w:p>
        </w:tc>
      </w:tr>
      <w:tr w:rsidR="00F879F8" w14:paraId="1C421D06" w14:textId="77777777" w:rsidTr="00284191">
        <w:tc>
          <w:tcPr>
            <w:tcW w:w="911" w:type="pct"/>
            <w:vAlign w:val="center"/>
          </w:tcPr>
          <w:p w14:paraId="58C18A37" w14:textId="77777777" w:rsidR="00F879F8" w:rsidRDefault="00F879F8" w:rsidP="00A0337B">
            <w:pPr>
              <w:pStyle w:val="TableText0"/>
            </w:pPr>
            <w:r>
              <w:t>Population</w:t>
            </w:r>
          </w:p>
        </w:tc>
        <w:tc>
          <w:tcPr>
            <w:tcW w:w="4089" w:type="pct"/>
            <w:vAlign w:val="center"/>
          </w:tcPr>
          <w:p w14:paraId="13E03AF2" w14:textId="59C7688E" w:rsidR="00F879F8" w:rsidRDefault="00F879F8" w:rsidP="00EC5EF5">
            <w:pPr>
              <w:pStyle w:val="TableText0"/>
            </w:pPr>
            <w:r w:rsidRPr="008C7653">
              <w:t>Patients with resectable (tumours ≥</w:t>
            </w:r>
            <w:r w:rsidR="00232B07">
              <w:t xml:space="preserve"> </w:t>
            </w:r>
            <w:r w:rsidRPr="008C7653">
              <w:t>4 cm or node positive) NSCLC</w:t>
            </w:r>
          </w:p>
        </w:tc>
      </w:tr>
      <w:tr w:rsidR="00F879F8" w14:paraId="48539FAE" w14:textId="77777777" w:rsidTr="00284191">
        <w:tc>
          <w:tcPr>
            <w:tcW w:w="911" w:type="pct"/>
            <w:vAlign w:val="center"/>
          </w:tcPr>
          <w:p w14:paraId="2F60311E" w14:textId="77777777" w:rsidR="00F879F8" w:rsidRDefault="00F879F8" w:rsidP="00A0337B">
            <w:pPr>
              <w:pStyle w:val="TableText0"/>
            </w:pPr>
            <w:r>
              <w:t>Intervention</w:t>
            </w:r>
          </w:p>
        </w:tc>
        <w:tc>
          <w:tcPr>
            <w:tcW w:w="4089" w:type="pct"/>
          </w:tcPr>
          <w:p w14:paraId="18491FBF" w14:textId="1C20EAE8" w:rsidR="00F879F8" w:rsidRDefault="00F879F8" w:rsidP="00EC5EF5">
            <w:pPr>
              <w:pStyle w:val="TableText0"/>
            </w:pPr>
            <w:r>
              <w:t>Nivolumab, 360 mg Q3W plus chemotherapy Q3W</w:t>
            </w:r>
          </w:p>
        </w:tc>
      </w:tr>
      <w:tr w:rsidR="00F879F8" w14:paraId="192F8F10" w14:textId="77777777" w:rsidTr="00284191">
        <w:tc>
          <w:tcPr>
            <w:tcW w:w="911" w:type="pct"/>
            <w:vAlign w:val="center"/>
          </w:tcPr>
          <w:p w14:paraId="4B21A004" w14:textId="77777777" w:rsidR="00F879F8" w:rsidRDefault="00F879F8" w:rsidP="00A0337B">
            <w:pPr>
              <w:pStyle w:val="TableText0"/>
            </w:pPr>
            <w:r>
              <w:t>Comparators</w:t>
            </w:r>
          </w:p>
        </w:tc>
        <w:tc>
          <w:tcPr>
            <w:tcW w:w="4089" w:type="pct"/>
          </w:tcPr>
          <w:p w14:paraId="64049011" w14:textId="35E083B9" w:rsidR="00F879F8" w:rsidRDefault="00F879F8" w:rsidP="00EC5EF5">
            <w:pPr>
              <w:pStyle w:val="Tabletext"/>
              <w:keepNext/>
            </w:pPr>
            <w:r>
              <w:t xml:space="preserve">Main: </w:t>
            </w:r>
            <w:r w:rsidR="00232B07">
              <w:t>N</w:t>
            </w:r>
            <w:r w:rsidR="000039B4">
              <w:t>eo</w:t>
            </w:r>
            <w:r>
              <w:t>adjuvant chemotherapy</w:t>
            </w:r>
          </w:p>
          <w:p w14:paraId="1E17DB7B" w14:textId="77777777" w:rsidR="00F879F8" w:rsidRDefault="00F879F8" w:rsidP="00EC5EF5">
            <w:pPr>
              <w:pStyle w:val="Tabletext"/>
              <w:keepNext/>
            </w:pPr>
            <w:r>
              <w:t>Additional:</w:t>
            </w:r>
          </w:p>
          <w:p w14:paraId="144BC877" w14:textId="77777777" w:rsidR="00F879F8" w:rsidRDefault="00F879F8" w:rsidP="00EC5EF5">
            <w:pPr>
              <w:pStyle w:val="Tabletext"/>
              <w:keepNext/>
              <w:numPr>
                <w:ilvl w:val="0"/>
                <w:numId w:val="8"/>
              </w:numPr>
              <w:ind w:left="0" w:firstLine="0"/>
            </w:pPr>
            <w:r>
              <w:t>Adjuvant chemotherapy</w:t>
            </w:r>
          </w:p>
          <w:p w14:paraId="3A563B59" w14:textId="77777777" w:rsidR="00F879F8" w:rsidRDefault="00F879F8" w:rsidP="00EC5EF5">
            <w:pPr>
              <w:pStyle w:val="TableText0"/>
              <w:numPr>
                <w:ilvl w:val="0"/>
                <w:numId w:val="8"/>
              </w:numPr>
              <w:ind w:left="0" w:firstLine="0"/>
            </w:pPr>
            <w:r>
              <w:t>Adjuvant chemotherapy followed by atezolizumab</w:t>
            </w:r>
          </w:p>
        </w:tc>
      </w:tr>
      <w:tr w:rsidR="00F879F8" w14:paraId="63AB1549" w14:textId="77777777" w:rsidTr="00284191">
        <w:tc>
          <w:tcPr>
            <w:tcW w:w="911" w:type="pct"/>
            <w:vAlign w:val="center"/>
          </w:tcPr>
          <w:p w14:paraId="50902876" w14:textId="77777777" w:rsidR="00F879F8" w:rsidRDefault="00F879F8" w:rsidP="00A0337B">
            <w:pPr>
              <w:pStyle w:val="TableText0"/>
            </w:pPr>
            <w:r>
              <w:t>Outcomes</w:t>
            </w:r>
          </w:p>
        </w:tc>
        <w:tc>
          <w:tcPr>
            <w:tcW w:w="4089" w:type="pct"/>
          </w:tcPr>
          <w:p w14:paraId="456D13EE" w14:textId="77777777" w:rsidR="00F879F8" w:rsidRDefault="00F879F8" w:rsidP="00EC5EF5">
            <w:pPr>
              <w:pStyle w:val="Tabletext"/>
              <w:keepNext/>
            </w:pPr>
            <w:r>
              <w:t>Primary: EFS</w:t>
            </w:r>
          </w:p>
          <w:p w14:paraId="04A25BDE" w14:textId="012A27F4" w:rsidR="00F879F8" w:rsidRDefault="00F879F8" w:rsidP="00EC5EF5">
            <w:pPr>
              <w:pStyle w:val="TableText0"/>
            </w:pPr>
            <w:r>
              <w:t xml:space="preserve">Key secondary: OS, TTDM, HRQoL, pCR, MPR, </w:t>
            </w:r>
            <w:r w:rsidR="00232B07">
              <w:t>s</w:t>
            </w:r>
            <w:r>
              <w:t>afety</w:t>
            </w:r>
          </w:p>
        </w:tc>
      </w:tr>
      <w:tr w:rsidR="00F879F8" w14:paraId="68BD4D7F" w14:textId="77777777" w:rsidTr="00284191">
        <w:tc>
          <w:tcPr>
            <w:tcW w:w="911" w:type="pct"/>
            <w:vAlign w:val="center"/>
          </w:tcPr>
          <w:p w14:paraId="355C6FDB" w14:textId="77777777" w:rsidR="00F879F8" w:rsidRPr="00510ADB" w:rsidRDefault="00F879F8" w:rsidP="00A0337B">
            <w:pPr>
              <w:pStyle w:val="TableText0"/>
              <w:rPr>
                <w:vertAlign w:val="superscript"/>
              </w:rPr>
            </w:pPr>
            <w:r>
              <w:t>Clinical claim</w:t>
            </w:r>
            <w:r>
              <w:rPr>
                <w:vertAlign w:val="superscript"/>
              </w:rPr>
              <w:t>a</w:t>
            </w:r>
          </w:p>
        </w:tc>
        <w:tc>
          <w:tcPr>
            <w:tcW w:w="4089" w:type="pct"/>
          </w:tcPr>
          <w:p w14:paraId="363BF256" w14:textId="494B63A7" w:rsidR="00F879F8" w:rsidRDefault="00F879F8" w:rsidP="00EC5EF5">
            <w:pPr>
              <w:pStyle w:val="Tabletext"/>
              <w:keepNext/>
            </w:pPr>
            <w:r>
              <w:t xml:space="preserve">Compared to neoadjuvant chemotherapy, neoadjuvant nivolumab plus chemotherapy </w:t>
            </w:r>
            <w:r w:rsidR="00232B07">
              <w:t xml:space="preserve">has </w:t>
            </w:r>
            <w:r>
              <w:t>superior comparative efficacy and non-inferior safety.</w:t>
            </w:r>
          </w:p>
          <w:p w14:paraId="34CC958D" w14:textId="77777777" w:rsidR="00F879F8" w:rsidRDefault="00F879F8" w:rsidP="00EC5EF5">
            <w:pPr>
              <w:pStyle w:val="Tabletext"/>
              <w:keepNext/>
            </w:pPr>
          </w:p>
          <w:p w14:paraId="27920091" w14:textId="6C3AD75B" w:rsidR="00F879F8" w:rsidRDefault="00F879F8" w:rsidP="00EC5EF5">
            <w:pPr>
              <w:pStyle w:val="Tabletext"/>
              <w:keepNext/>
            </w:pPr>
            <w:r>
              <w:t xml:space="preserve">Compared to adjuvant chemotherapy, neoadjuvant nivolumab plus chemotherapy </w:t>
            </w:r>
            <w:r w:rsidR="00232B07">
              <w:t xml:space="preserve">has </w:t>
            </w:r>
            <w:r>
              <w:t>superior comparative efficacy and non-inferior safety.</w:t>
            </w:r>
          </w:p>
          <w:p w14:paraId="272C72F3" w14:textId="77777777" w:rsidR="00F879F8" w:rsidRDefault="00F879F8" w:rsidP="00EC5EF5">
            <w:pPr>
              <w:pStyle w:val="Tabletext"/>
              <w:keepNext/>
            </w:pPr>
          </w:p>
          <w:p w14:paraId="6F42978F" w14:textId="055689E1" w:rsidR="00F879F8" w:rsidRDefault="00F879F8" w:rsidP="00EC5EF5">
            <w:pPr>
              <w:pStyle w:val="TableText0"/>
            </w:pPr>
            <w:r>
              <w:t xml:space="preserve">Compared to adjuvant chemotherapy followed by atezolizumab, neoadjuvant nivolumab plus chemotherapy </w:t>
            </w:r>
            <w:r w:rsidR="00232B07">
              <w:t xml:space="preserve">has </w:t>
            </w:r>
            <w:r w:rsidR="00474EEF">
              <w:t>‘</w:t>
            </w:r>
            <w:r>
              <w:t>likely superior and at least non-inferior</w:t>
            </w:r>
            <w:r w:rsidR="00474EEF">
              <w:t>’</w:t>
            </w:r>
            <w:r>
              <w:t xml:space="preserve"> comparative efficacy and </w:t>
            </w:r>
            <w:r w:rsidR="00474EEF">
              <w:t>‘</w:t>
            </w:r>
            <w:r>
              <w:t>different and non-inferior</w:t>
            </w:r>
            <w:r w:rsidR="00474EEF">
              <w:t>’</w:t>
            </w:r>
            <w:r>
              <w:t xml:space="preserve"> safety.</w:t>
            </w:r>
          </w:p>
        </w:tc>
      </w:tr>
    </w:tbl>
    <w:p w14:paraId="4152E76A" w14:textId="77777777" w:rsidR="00F879F8" w:rsidRDefault="00F879F8" w:rsidP="00F879F8">
      <w:pPr>
        <w:pStyle w:val="TableFooter"/>
      </w:pPr>
      <w:r>
        <w:t xml:space="preserve">Source: Table 2, p21 </w:t>
      </w:r>
      <w:r w:rsidRPr="00D13A3E">
        <w:t xml:space="preserve">of the </w:t>
      </w:r>
      <w:r>
        <w:t>submission.</w:t>
      </w:r>
    </w:p>
    <w:p w14:paraId="2484A507" w14:textId="77777777" w:rsidR="00F879F8" w:rsidRDefault="00F879F8" w:rsidP="00F879F8">
      <w:pPr>
        <w:pStyle w:val="TableFooter"/>
      </w:pPr>
      <w:r w:rsidRPr="008C7653">
        <w:t>EFS = event-free survival; HRQoL = health-related quality of life; MPR = major pathologic response; NSCLC = non-small cell lung cancer; OS = overall survival; pCR = pathologic complete response; Q3W = every 3 weeks; TTDM = time to death or distant metastases</w:t>
      </w:r>
      <w:r>
        <w:t>.</w:t>
      </w:r>
    </w:p>
    <w:p w14:paraId="0FBBB704" w14:textId="301739CC" w:rsidR="004E43B2" w:rsidRPr="004A6040" w:rsidRDefault="00F879F8" w:rsidP="00F879F8">
      <w:pPr>
        <w:pStyle w:val="TableFooter"/>
        <w:rPr>
          <w:sz w:val="20"/>
        </w:rPr>
      </w:pPr>
      <w:r w:rsidRPr="007A6D81">
        <w:rPr>
          <w:vertAlign w:val="superscript"/>
        </w:rPr>
        <w:t>a</w:t>
      </w:r>
      <w:r w:rsidRPr="00510ADB">
        <w:t xml:space="preserve">The submission </w:t>
      </w:r>
      <w:r>
        <w:t xml:space="preserve">noted (p86) that </w:t>
      </w:r>
      <w:r w:rsidRPr="00510ADB">
        <w:t xml:space="preserve">a claim </w:t>
      </w:r>
      <w:r>
        <w:t xml:space="preserve">is not being made based on </w:t>
      </w:r>
      <w:r w:rsidRPr="00510ADB">
        <w:t>the use of pCR or MPR as surrogate</w:t>
      </w:r>
      <w:r>
        <w:t>s</w:t>
      </w:r>
      <w:r w:rsidRPr="00510ADB">
        <w:t xml:space="preserve"> </w:t>
      </w:r>
      <w:r>
        <w:t xml:space="preserve">for </w:t>
      </w:r>
      <w:r w:rsidRPr="00510ADB">
        <w:t>OS</w:t>
      </w:r>
      <w:r w:rsidR="007C4918">
        <w:t>,</w:t>
      </w:r>
      <w:r w:rsidRPr="00510ADB">
        <w:t xml:space="preserve"> as follow-up for OS in the </w:t>
      </w:r>
      <w:r>
        <w:t>CM</w:t>
      </w:r>
      <w:r w:rsidRPr="00510ADB">
        <w:t xml:space="preserve">816 </w:t>
      </w:r>
      <w:r w:rsidR="007C4918">
        <w:t xml:space="preserve">trial </w:t>
      </w:r>
      <w:r w:rsidRPr="00510ADB">
        <w:t xml:space="preserve">is ongoing. </w:t>
      </w:r>
      <w:r>
        <w:t>Pathological endpoints were only presented as they are</w:t>
      </w:r>
      <w:r w:rsidRPr="00510ADB">
        <w:t xml:space="preserve"> co-primary and secondary endpoints </w:t>
      </w:r>
      <w:r w:rsidR="007C4918">
        <w:t xml:space="preserve">in </w:t>
      </w:r>
      <w:r w:rsidRPr="00510ADB">
        <w:t>the CM816 trial</w:t>
      </w:r>
      <w:r w:rsidR="008B1757">
        <w:t>.</w:t>
      </w:r>
    </w:p>
    <w:p w14:paraId="2F68D425" w14:textId="77777777" w:rsidR="005C25FF" w:rsidRPr="00407F2D" w:rsidRDefault="005C25FF" w:rsidP="004A6040">
      <w:pPr>
        <w:pStyle w:val="2-SectionHeading"/>
      </w:pPr>
      <w:bookmarkStart w:id="4" w:name="_Toc124932947"/>
      <w:r w:rsidRPr="00407F2D">
        <w:lastRenderedPageBreak/>
        <w:t>Background</w:t>
      </w:r>
      <w:bookmarkEnd w:id="4"/>
    </w:p>
    <w:p w14:paraId="639F520D" w14:textId="77777777" w:rsidR="005C25FF" w:rsidRPr="004151CF" w:rsidRDefault="005C25FF" w:rsidP="004A6040">
      <w:pPr>
        <w:pStyle w:val="4-SubsectionHeading"/>
      </w:pPr>
      <w:bookmarkStart w:id="5" w:name="_Toc22897638"/>
      <w:bookmarkStart w:id="6" w:name="_Toc124932948"/>
      <w:r w:rsidRPr="004151CF">
        <w:t>Registration status</w:t>
      </w:r>
      <w:bookmarkEnd w:id="5"/>
      <w:bookmarkEnd w:id="6"/>
    </w:p>
    <w:p w14:paraId="652C9AAB" w14:textId="05CCC820" w:rsidR="008B55BD" w:rsidRDefault="00F56182" w:rsidP="005B2406">
      <w:pPr>
        <w:pStyle w:val="3-BodyText"/>
      </w:pPr>
      <w:r w:rsidRPr="008B55BD">
        <w:t>The submission was made under the TGA/PBAC Parallel Process.</w:t>
      </w:r>
      <w:r w:rsidR="00966AE5" w:rsidRPr="00966AE5">
        <w:t xml:space="preserve"> </w:t>
      </w:r>
      <w:r w:rsidR="00966AE5" w:rsidRPr="005E1708">
        <w:t xml:space="preserve">The TGA application was submitted as part of Project Orbis, an initiative of the Food and Drug Administration (FDA) for international collaboration among regulatory agencies to review new cancer treatments. </w:t>
      </w:r>
      <w:r w:rsidR="00BB5241" w:rsidRPr="004E18E9">
        <w:t>At the time of PBAC consideration</w:t>
      </w:r>
      <w:r w:rsidR="00966AE5">
        <w:t xml:space="preserve"> </w:t>
      </w:r>
      <w:r w:rsidR="005B2406">
        <w:t>the Delegate’s Overview</w:t>
      </w:r>
      <w:r w:rsidR="00966AE5">
        <w:t xml:space="preserve"> was available</w:t>
      </w:r>
      <w:r w:rsidR="005B2406">
        <w:t xml:space="preserve">. </w:t>
      </w:r>
      <w:r w:rsidR="008B55BD">
        <w:t xml:space="preserve">The pre-PBAC response stated that </w:t>
      </w:r>
      <w:r w:rsidR="008B55BD" w:rsidRPr="008B55BD">
        <w:t xml:space="preserve">nivolumab </w:t>
      </w:r>
      <w:r w:rsidR="00E62810">
        <w:t xml:space="preserve">was </w:t>
      </w:r>
      <w:r w:rsidR="008B55BD">
        <w:t xml:space="preserve">TGA registered on the 20 February 2023 for </w:t>
      </w:r>
      <w:r w:rsidR="008B55BD" w:rsidRPr="008B55BD">
        <w:t xml:space="preserve">the following indication: </w:t>
      </w:r>
    </w:p>
    <w:p w14:paraId="5AA7DA0A" w14:textId="6F03C177" w:rsidR="009C1189" w:rsidRPr="00C50973" w:rsidRDefault="008B55BD" w:rsidP="00BB5241">
      <w:pPr>
        <w:pStyle w:val="3-BodyText"/>
        <w:numPr>
          <w:ilvl w:val="0"/>
          <w:numId w:val="0"/>
        </w:numPr>
        <w:ind w:left="720"/>
      </w:pPr>
      <w:r>
        <w:rPr>
          <w:rFonts w:ascii="Calibri" w:eastAsia="Calibri" w:hAnsi="Calibri"/>
          <w:b/>
          <w:szCs w:val="22"/>
        </w:rPr>
        <w:t>“</w:t>
      </w:r>
      <w:r w:rsidRPr="008B55BD">
        <w:t>OPDIVO, in combination with platinum-doublet chemotherapy, is indicated for the neoadjuvant treatment of patients with resectable non-small cell lung cancer (NSCLC).</w:t>
      </w:r>
      <w:r>
        <w:t>”</w:t>
      </w:r>
      <w:r>
        <w:rPr>
          <w:bCs/>
          <w:i/>
          <w:iCs/>
          <w:sz w:val="22"/>
          <w:szCs w:val="22"/>
        </w:rPr>
        <w:t xml:space="preserve"> </w:t>
      </w:r>
    </w:p>
    <w:p w14:paraId="19792AE6" w14:textId="612BE86D" w:rsidR="00246520" w:rsidRDefault="00246520" w:rsidP="003E164A">
      <w:pPr>
        <w:pStyle w:val="3-BodyText"/>
      </w:pPr>
      <w:r w:rsidRPr="00357666">
        <w:t>Nivolumab is currently TGA-approved as a</w:t>
      </w:r>
      <w:r w:rsidR="0015475A">
        <w:t>n adjuvant</w:t>
      </w:r>
      <w:r w:rsidRPr="00357666">
        <w:t xml:space="preserve"> treatment for several other types of cancer, including resectable/resected melanoma, urothelial carcinoma, oesophageal cancer and gastro-oesophageal junction cancer</w:t>
      </w:r>
      <w:r>
        <w:t>.</w:t>
      </w:r>
    </w:p>
    <w:p w14:paraId="586F6E61" w14:textId="0A2F1BCA" w:rsidR="00246520" w:rsidRDefault="00F53474" w:rsidP="00246520">
      <w:pPr>
        <w:pStyle w:val="3-BodyText"/>
      </w:pPr>
      <w:r>
        <w:fldChar w:fldCharType="begin"/>
      </w:r>
      <w:r>
        <w:instrText xml:space="preserve"> REF _Ref120885100 \h </w:instrText>
      </w:r>
      <w:r>
        <w:fldChar w:fldCharType="separate"/>
      </w:r>
      <w:r w:rsidR="00A77D90">
        <w:t xml:space="preserve">Table </w:t>
      </w:r>
      <w:r w:rsidR="00A77D90">
        <w:rPr>
          <w:noProof/>
        </w:rPr>
        <w:t>2</w:t>
      </w:r>
      <w:r>
        <w:fldChar w:fldCharType="end"/>
      </w:r>
      <w:r>
        <w:t xml:space="preserve"> </w:t>
      </w:r>
      <w:r w:rsidR="00246520" w:rsidRPr="00246520">
        <w:t xml:space="preserve">summarises the international regulatory approval status for </w:t>
      </w:r>
      <w:r w:rsidR="00E57043">
        <w:t xml:space="preserve">neoadjuvant </w:t>
      </w:r>
      <w:r w:rsidR="00AF1138">
        <w:t>treatment</w:t>
      </w:r>
      <w:r w:rsidR="00AF1138" w:rsidRPr="00246520">
        <w:t xml:space="preserve"> </w:t>
      </w:r>
      <w:r w:rsidR="00AF1138">
        <w:t xml:space="preserve">with </w:t>
      </w:r>
      <w:r w:rsidR="00246520" w:rsidRPr="00246520">
        <w:t>nivolumab in resectable NSCLC</w:t>
      </w:r>
      <w:r w:rsidR="00E62810">
        <w:t xml:space="preserve"> at the time of the evaluation</w:t>
      </w:r>
      <w:r>
        <w:t>.</w:t>
      </w:r>
    </w:p>
    <w:p w14:paraId="45EA5B40" w14:textId="081CD559" w:rsidR="00246520" w:rsidRPr="00E204BB" w:rsidRDefault="00F53474" w:rsidP="009C5A33">
      <w:pPr>
        <w:pStyle w:val="Caption"/>
      </w:pPr>
      <w:bookmarkStart w:id="7" w:name="_Ref120885100"/>
      <w:r>
        <w:t xml:space="preserve">Table </w:t>
      </w:r>
      <w:r w:rsidR="00A77D90">
        <w:fldChar w:fldCharType="begin"/>
      </w:r>
      <w:r w:rsidR="00A77D90">
        <w:instrText xml:space="preserve"> SEQ Table \* ARABIC </w:instrText>
      </w:r>
      <w:r w:rsidR="00A77D90">
        <w:fldChar w:fldCharType="separate"/>
      </w:r>
      <w:r w:rsidR="00A77D90">
        <w:rPr>
          <w:noProof/>
        </w:rPr>
        <w:t>2</w:t>
      </w:r>
      <w:r w:rsidR="00A77D90">
        <w:rPr>
          <w:noProof/>
        </w:rPr>
        <w:fldChar w:fldCharType="end"/>
      </w:r>
      <w:bookmarkEnd w:id="7"/>
      <w:r>
        <w:t xml:space="preserve">: </w:t>
      </w:r>
      <w:r w:rsidR="00246520" w:rsidRPr="00E204BB">
        <w:t xml:space="preserve">Summary of </w:t>
      </w:r>
      <w:r w:rsidR="00246520">
        <w:t>international</w:t>
      </w:r>
      <w:r w:rsidR="00246520" w:rsidRPr="00E204BB">
        <w:t xml:space="preserve"> regulatory approval status for nivolumab</w:t>
      </w:r>
      <w:r w:rsidR="00246520">
        <w:t xml:space="preserve"> </w:t>
      </w:r>
      <w:r w:rsidR="00246520" w:rsidRPr="00E204BB">
        <w:t xml:space="preserve">as a </w:t>
      </w:r>
      <w:r w:rsidR="00246520">
        <w:t xml:space="preserve">neoadjuvant </w:t>
      </w:r>
      <w:r w:rsidR="00246520" w:rsidRPr="00E204BB">
        <w:t xml:space="preserve">treatment for </w:t>
      </w:r>
      <w:r w:rsidR="00246520">
        <w:t>resectable non-small cell lung cancer (</w:t>
      </w:r>
      <w:r w:rsidR="00246520" w:rsidRPr="00E204BB">
        <w:t>NSCLC</w:t>
      </w:r>
      <w:r w:rsidR="00246520">
        <w:t>)</w:t>
      </w:r>
    </w:p>
    <w:tbl>
      <w:tblPr>
        <w:tblStyle w:val="TableGrid"/>
        <w:tblW w:w="5000" w:type="pct"/>
        <w:tblLook w:val="04A0" w:firstRow="1" w:lastRow="0" w:firstColumn="1" w:lastColumn="0" w:noHBand="0" w:noVBand="1"/>
      </w:tblPr>
      <w:tblGrid>
        <w:gridCol w:w="1257"/>
        <w:gridCol w:w="4079"/>
        <w:gridCol w:w="1120"/>
        <w:gridCol w:w="1313"/>
        <w:gridCol w:w="1248"/>
      </w:tblGrid>
      <w:tr w:rsidR="00246520" w:rsidRPr="00F53474" w14:paraId="10D3BFAE" w14:textId="77777777" w:rsidTr="00284191">
        <w:tc>
          <w:tcPr>
            <w:tcW w:w="696" w:type="pct"/>
            <w:shd w:val="clear" w:color="auto" w:fill="auto"/>
          </w:tcPr>
          <w:p w14:paraId="4ABB8230" w14:textId="77777777" w:rsidR="00246520" w:rsidRPr="00F53474" w:rsidRDefault="00246520" w:rsidP="009C5A33">
            <w:pPr>
              <w:pStyle w:val="Tabletext"/>
              <w:keepNext/>
              <w:rPr>
                <w:b/>
                <w:bCs/>
              </w:rPr>
            </w:pPr>
            <w:r w:rsidRPr="00F53474">
              <w:rPr>
                <w:b/>
                <w:bCs/>
              </w:rPr>
              <w:t>Agency</w:t>
            </w:r>
          </w:p>
        </w:tc>
        <w:tc>
          <w:tcPr>
            <w:tcW w:w="2262" w:type="pct"/>
            <w:shd w:val="clear" w:color="auto" w:fill="auto"/>
          </w:tcPr>
          <w:p w14:paraId="167E4069" w14:textId="79467A38" w:rsidR="00246520" w:rsidRPr="00F53474" w:rsidRDefault="00E904D7" w:rsidP="009C5A33">
            <w:pPr>
              <w:pStyle w:val="Tabletext"/>
              <w:keepNext/>
              <w:rPr>
                <w:b/>
                <w:bCs/>
              </w:rPr>
            </w:pPr>
            <w:r>
              <w:rPr>
                <w:b/>
                <w:bCs/>
              </w:rPr>
              <w:t>Approved/</w:t>
            </w:r>
            <w:r w:rsidR="008D030D">
              <w:rPr>
                <w:b/>
                <w:bCs/>
              </w:rPr>
              <w:t>requested</w:t>
            </w:r>
            <w:r>
              <w:rPr>
                <w:b/>
                <w:bCs/>
              </w:rPr>
              <w:t xml:space="preserve"> i</w:t>
            </w:r>
            <w:r w:rsidR="00246520" w:rsidRPr="00F53474">
              <w:rPr>
                <w:b/>
                <w:bCs/>
              </w:rPr>
              <w:t>ndication</w:t>
            </w:r>
          </w:p>
        </w:tc>
        <w:tc>
          <w:tcPr>
            <w:tcW w:w="621" w:type="pct"/>
            <w:shd w:val="clear" w:color="auto" w:fill="auto"/>
          </w:tcPr>
          <w:p w14:paraId="0479AEE0" w14:textId="77777777" w:rsidR="00246520" w:rsidRPr="00F53474" w:rsidRDefault="00246520" w:rsidP="009C5A33">
            <w:pPr>
              <w:pStyle w:val="Tabletext"/>
              <w:keepNext/>
              <w:rPr>
                <w:b/>
                <w:bCs/>
              </w:rPr>
            </w:pPr>
            <w:r w:rsidRPr="00F53474">
              <w:rPr>
                <w:b/>
                <w:bCs/>
              </w:rPr>
              <w:t>Approval date</w:t>
            </w:r>
          </w:p>
        </w:tc>
        <w:tc>
          <w:tcPr>
            <w:tcW w:w="728" w:type="pct"/>
            <w:shd w:val="clear" w:color="auto" w:fill="auto"/>
          </w:tcPr>
          <w:p w14:paraId="4B3679BA" w14:textId="77777777" w:rsidR="00246520" w:rsidRPr="00F53474" w:rsidRDefault="00246520" w:rsidP="009C5A33">
            <w:pPr>
              <w:pStyle w:val="Tabletext"/>
              <w:keepNext/>
              <w:rPr>
                <w:b/>
                <w:bCs/>
              </w:rPr>
            </w:pPr>
            <w:r w:rsidRPr="00F53474">
              <w:rPr>
                <w:b/>
                <w:bCs/>
              </w:rPr>
              <w:t>Registration conditions</w:t>
            </w:r>
          </w:p>
        </w:tc>
        <w:tc>
          <w:tcPr>
            <w:tcW w:w="692" w:type="pct"/>
            <w:shd w:val="clear" w:color="auto" w:fill="auto"/>
          </w:tcPr>
          <w:p w14:paraId="03E8B0D0" w14:textId="77777777" w:rsidR="00246520" w:rsidRPr="00F53474" w:rsidRDefault="00246520" w:rsidP="009C5A33">
            <w:pPr>
              <w:pStyle w:val="Tabletext"/>
              <w:keepNext/>
              <w:rPr>
                <w:b/>
                <w:bCs/>
              </w:rPr>
            </w:pPr>
            <w:r w:rsidRPr="00F53474">
              <w:rPr>
                <w:b/>
                <w:bCs/>
              </w:rPr>
              <w:t>Assessment report</w:t>
            </w:r>
          </w:p>
        </w:tc>
      </w:tr>
      <w:tr w:rsidR="00246520" w:rsidRPr="00F53474" w14:paraId="614E808F" w14:textId="77777777" w:rsidTr="00284191">
        <w:tc>
          <w:tcPr>
            <w:tcW w:w="696" w:type="pct"/>
            <w:shd w:val="clear" w:color="auto" w:fill="auto"/>
          </w:tcPr>
          <w:p w14:paraId="266D3ED1" w14:textId="1E05FCF3" w:rsidR="00246520" w:rsidRPr="00F53474" w:rsidRDefault="00246520" w:rsidP="00246520">
            <w:pPr>
              <w:pStyle w:val="Tabletext"/>
            </w:pPr>
            <w:r w:rsidRPr="00F53474">
              <w:t>Food and Drug Administration (FDA)</w:t>
            </w:r>
          </w:p>
        </w:tc>
        <w:tc>
          <w:tcPr>
            <w:tcW w:w="2262" w:type="pct"/>
            <w:shd w:val="clear" w:color="auto" w:fill="auto"/>
          </w:tcPr>
          <w:p w14:paraId="480FB224" w14:textId="4617FC82" w:rsidR="00246520" w:rsidRPr="00F53474" w:rsidRDefault="00246520" w:rsidP="00246520">
            <w:pPr>
              <w:pStyle w:val="Tabletext"/>
            </w:pPr>
            <w:r w:rsidRPr="00F53474">
              <w:t xml:space="preserve">Nivolumab in combination with platinum-doublet chemotherapy is indicated as neoadjuvant treatment of adult patients with resectable (tumours ≥4 cm or node positive) </w:t>
            </w:r>
            <w:r w:rsidR="00E83DD2">
              <w:t>non-small cell cancer (</w:t>
            </w:r>
            <w:r w:rsidRPr="00F53474">
              <w:t>NSCLC</w:t>
            </w:r>
            <w:r w:rsidR="00E83DD2">
              <w:t>)</w:t>
            </w:r>
            <w:r w:rsidRPr="00F53474">
              <w:t>.</w:t>
            </w:r>
          </w:p>
        </w:tc>
        <w:tc>
          <w:tcPr>
            <w:tcW w:w="621" w:type="pct"/>
            <w:shd w:val="clear" w:color="auto" w:fill="auto"/>
          </w:tcPr>
          <w:p w14:paraId="1D31DD3B" w14:textId="77777777" w:rsidR="00246520" w:rsidRPr="00F53474" w:rsidRDefault="00246520" w:rsidP="00246520">
            <w:pPr>
              <w:pStyle w:val="Tabletext"/>
            </w:pPr>
            <w:r w:rsidRPr="00F53474">
              <w:t>4</w:t>
            </w:r>
            <w:r w:rsidRPr="00F53474">
              <w:rPr>
                <w:vertAlign w:val="superscript"/>
              </w:rPr>
              <w:t>th</w:t>
            </w:r>
            <w:r w:rsidRPr="00F53474">
              <w:t xml:space="preserve"> March 2022</w:t>
            </w:r>
          </w:p>
        </w:tc>
        <w:tc>
          <w:tcPr>
            <w:tcW w:w="728" w:type="pct"/>
            <w:shd w:val="clear" w:color="auto" w:fill="auto"/>
          </w:tcPr>
          <w:p w14:paraId="1D00E538" w14:textId="77777777" w:rsidR="00246520" w:rsidRPr="00F53474" w:rsidRDefault="00246520" w:rsidP="00246520">
            <w:pPr>
              <w:pStyle w:val="Tabletext"/>
            </w:pPr>
            <w:r w:rsidRPr="00F53474">
              <w:t>None</w:t>
            </w:r>
          </w:p>
        </w:tc>
        <w:tc>
          <w:tcPr>
            <w:tcW w:w="692" w:type="pct"/>
            <w:shd w:val="clear" w:color="auto" w:fill="auto"/>
          </w:tcPr>
          <w:p w14:paraId="46666571" w14:textId="77777777" w:rsidR="00246520" w:rsidRPr="00F53474" w:rsidRDefault="00246520" w:rsidP="00246520">
            <w:pPr>
              <w:pStyle w:val="Tabletext"/>
            </w:pPr>
            <w:r w:rsidRPr="00F53474">
              <w:t>Not available</w:t>
            </w:r>
          </w:p>
        </w:tc>
      </w:tr>
      <w:tr w:rsidR="00246520" w:rsidRPr="00F53474" w14:paraId="3D30FD42" w14:textId="77777777" w:rsidTr="00284191">
        <w:tc>
          <w:tcPr>
            <w:tcW w:w="696" w:type="pct"/>
            <w:shd w:val="clear" w:color="auto" w:fill="auto"/>
          </w:tcPr>
          <w:p w14:paraId="1BA6C5FE" w14:textId="2C2C9015" w:rsidR="00246520" w:rsidRPr="00F53474" w:rsidRDefault="00246520" w:rsidP="00246520">
            <w:pPr>
              <w:pStyle w:val="Tabletext"/>
            </w:pPr>
            <w:r w:rsidRPr="00F53474">
              <w:t>European Medicines Association (EMA)</w:t>
            </w:r>
          </w:p>
        </w:tc>
        <w:tc>
          <w:tcPr>
            <w:tcW w:w="2262" w:type="pct"/>
            <w:shd w:val="clear" w:color="auto" w:fill="auto"/>
          </w:tcPr>
          <w:p w14:paraId="68066528" w14:textId="77777777" w:rsidR="00246520" w:rsidRPr="00F53474" w:rsidRDefault="00246520" w:rsidP="00246520">
            <w:pPr>
              <w:pStyle w:val="Tabletext"/>
            </w:pPr>
            <w:r w:rsidRPr="00F53474">
              <w:t>Pending (EMA submission accepted 29</w:t>
            </w:r>
            <w:r w:rsidRPr="00F53474">
              <w:rPr>
                <w:vertAlign w:val="superscript"/>
              </w:rPr>
              <w:t>th</w:t>
            </w:r>
            <w:r w:rsidRPr="00F53474">
              <w:t xml:space="preserve"> March 2022). </w:t>
            </w:r>
            <w:r w:rsidRPr="000A6E90">
              <w:t>The specific indication being sought was not provided</w:t>
            </w:r>
            <w:r w:rsidRPr="00F53474">
              <w:t>.</w:t>
            </w:r>
          </w:p>
        </w:tc>
        <w:tc>
          <w:tcPr>
            <w:tcW w:w="621" w:type="pct"/>
            <w:shd w:val="clear" w:color="auto" w:fill="auto"/>
          </w:tcPr>
          <w:p w14:paraId="58639F19" w14:textId="77777777" w:rsidR="00246520" w:rsidRPr="00F53474" w:rsidRDefault="00246520" w:rsidP="00246520">
            <w:pPr>
              <w:pStyle w:val="Tabletext"/>
              <w:rPr>
                <w:vertAlign w:val="superscript"/>
              </w:rPr>
            </w:pPr>
            <w:r w:rsidRPr="00F53474">
              <w:t>Under evaluation</w:t>
            </w:r>
          </w:p>
        </w:tc>
        <w:tc>
          <w:tcPr>
            <w:tcW w:w="728" w:type="pct"/>
            <w:shd w:val="clear" w:color="auto" w:fill="auto"/>
          </w:tcPr>
          <w:p w14:paraId="00DB6DAF" w14:textId="77777777" w:rsidR="00246520" w:rsidRPr="00F53474" w:rsidRDefault="00246520" w:rsidP="00246520">
            <w:pPr>
              <w:pStyle w:val="Tabletext"/>
            </w:pPr>
            <w:r w:rsidRPr="00F53474">
              <w:t>Pending</w:t>
            </w:r>
          </w:p>
        </w:tc>
        <w:tc>
          <w:tcPr>
            <w:tcW w:w="692" w:type="pct"/>
            <w:shd w:val="clear" w:color="auto" w:fill="auto"/>
          </w:tcPr>
          <w:p w14:paraId="7D0B7FC1" w14:textId="77777777" w:rsidR="00246520" w:rsidRPr="00F53474" w:rsidRDefault="00246520" w:rsidP="00246520">
            <w:pPr>
              <w:pStyle w:val="Tabletext"/>
            </w:pPr>
            <w:r w:rsidRPr="00F53474">
              <w:t xml:space="preserve">Pending </w:t>
            </w:r>
          </w:p>
        </w:tc>
      </w:tr>
      <w:tr w:rsidR="00246520" w:rsidRPr="00F53474" w14:paraId="321FB186" w14:textId="77777777" w:rsidTr="00284191">
        <w:tc>
          <w:tcPr>
            <w:tcW w:w="696" w:type="pct"/>
            <w:shd w:val="clear" w:color="auto" w:fill="auto"/>
          </w:tcPr>
          <w:p w14:paraId="1B70B2CF" w14:textId="2C09505C" w:rsidR="00246520" w:rsidRPr="00F53474" w:rsidRDefault="00246520" w:rsidP="00A0337B">
            <w:pPr>
              <w:pStyle w:val="Tabletext"/>
            </w:pPr>
            <w:r w:rsidRPr="00F53474">
              <w:t>Health Canada</w:t>
            </w:r>
          </w:p>
        </w:tc>
        <w:tc>
          <w:tcPr>
            <w:tcW w:w="2262" w:type="pct"/>
            <w:shd w:val="clear" w:color="auto" w:fill="auto"/>
          </w:tcPr>
          <w:p w14:paraId="4D885CE8" w14:textId="77A8FB48" w:rsidR="00246520" w:rsidRPr="00F53474" w:rsidRDefault="00AC7601" w:rsidP="00A0337B">
            <w:pPr>
              <w:pStyle w:val="Tabletext"/>
            </w:pPr>
            <w:r w:rsidRPr="00F53474">
              <w:t>Nivolumab in combination with platinum-doublet chemotherapy is indicated as neoadjuvant treatment of adult patients with resectable (tumours ≥</w:t>
            </w:r>
            <w:r w:rsidR="00417DC4">
              <w:t xml:space="preserve"> </w:t>
            </w:r>
            <w:r w:rsidRPr="00F53474">
              <w:t>4 cm or node positive) NSCLC</w:t>
            </w:r>
            <w:r w:rsidR="00246520" w:rsidRPr="00F53474">
              <w:t>.</w:t>
            </w:r>
          </w:p>
        </w:tc>
        <w:tc>
          <w:tcPr>
            <w:tcW w:w="621" w:type="pct"/>
            <w:shd w:val="clear" w:color="auto" w:fill="auto"/>
          </w:tcPr>
          <w:p w14:paraId="0361027B" w14:textId="77777777" w:rsidR="00246520" w:rsidRPr="00F53474" w:rsidRDefault="00246520" w:rsidP="00A0337B">
            <w:pPr>
              <w:pStyle w:val="Tabletext"/>
            </w:pPr>
            <w:r w:rsidRPr="00F53474">
              <w:t>17</w:t>
            </w:r>
            <w:r w:rsidRPr="00F53474">
              <w:rPr>
                <w:vertAlign w:val="superscript"/>
              </w:rPr>
              <w:t>th</w:t>
            </w:r>
            <w:r w:rsidRPr="00F53474">
              <w:t xml:space="preserve"> August 2022</w:t>
            </w:r>
          </w:p>
        </w:tc>
        <w:tc>
          <w:tcPr>
            <w:tcW w:w="728" w:type="pct"/>
            <w:shd w:val="clear" w:color="auto" w:fill="auto"/>
          </w:tcPr>
          <w:p w14:paraId="3BA8E620" w14:textId="77777777" w:rsidR="00246520" w:rsidRPr="00F53474" w:rsidRDefault="00246520" w:rsidP="00A0337B">
            <w:pPr>
              <w:pStyle w:val="Tabletext"/>
            </w:pPr>
            <w:r w:rsidRPr="00F53474">
              <w:t>None</w:t>
            </w:r>
          </w:p>
        </w:tc>
        <w:tc>
          <w:tcPr>
            <w:tcW w:w="692" w:type="pct"/>
            <w:shd w:val="clear" w:color="auto" w:fill="auto"/>
          </w:tcPr>
          <w:p w14:paraId="5991315D" w14:textId="77777777" w:rsidR="00246520" w:rsidRPr="00F53474" w:rsidRDefault="00246520" w:rsidP="00A0337B">
            <w:pPr>
              <w:pStyle w:val="Tabletext"/>
            </w:pPr>
            <w:r w:rsidRPr="00F53474">
              <w:t>Not available</w:t>
            </w:r>
          </w:p>
        </w:tc>
      </w:tr>
      <w:tr w:rsidR="00246520" w:rsidRPr="008952A4" w14:paraId="16843553" w14:textId="77777777" w:rsidTr="00284191">
        <w:tc>
          <w:tcPr>
            <w:tcW w:w="696" w:type="pct"/>
            <w:shd w:val="clear" w:color="auto" w:fill="auto"/>
          </w:tcPr>
          <w:p w14:paraId="04EA3B5F" w14:textId="724AB272" w:rsidR="00246520" w:rsidRPr="00F53474" w:rsidRDefault="00246520" w:rsidP="00A0337B">
            <w:pPr>
              <w:pStyle w:val="Tabletext"/>
            </w:pPr>
            <w:r w:rsidRPr="00F53474">
              <w:t>Medicines and Healthcare products Regulatory Agency (MHRA) (United Kingdom)</w:t>
            </w:r>
          </w:p>
        </w:tc>
        <w:tc>
          <w:tcPr>
            <w:tcW w:w="2262" w:type="pct"/>
            <w:shd w:val="clear" w:color="auto" w:fill="auto"/>
          </w:tcPr>
          <w:p w14:paraId="28F46F40" w14:textId="77777777" w:rsidR="00246520" w:rsidRPr="00F53474" w:rsidRDefault="00246520" w:rsidP="00A0337B">
            <w:pPr>
              <w:pStyle w:val="Tabletext"/>
            </w:pPr>
            <w:r w:rsidRPr="00F53474">
              <w:t>OPDIVO in combination with platinum-based chemotherapy is indicated for the neoadjuvant treatment of resectable (tumours ≥ 4 cm or node positive) non-small cell lung cancer in adults.</w:t>
            </w:r>
          </w:p>
        </w:tc>
        <w:tc>
          <w:tcPr>
            <w:tcW w:w="621" w:type="pct"/>
            <w:shd w:val="clear" w:color="auto" w:fill="auto"/>
          </w:tcPr>
          <w:p w14:paraId="445CA585" w14:textId="77777777" w:rsidR="00246520" w:rsidRPr="00F53474" w:rsidRDefault="00246520" w:rsidP="00A0337B">
            <w:pPr>
              <w:pStyle w:val="Tabletext"/>
            </w:pPr>
            <w:r w:rsidRPr="00F53474">
              <w:t>16</w:t>
            </w:r>
            <w:r w:rsidRPr="00F53474">
              <w:rPr>
                <w:vertAlign w:val="superscript"/>
              </w:rPr>
              <w:t>th</w:t>
            </w:r>
            <w:r w:rsidRPr="00F53474">
              <w:t xml:space="preserve"> August 2022</w:t>
            </w:r>
          </w:p>
        </w:tc>
        <w:tc>
          <w:tcPr>
            <w:tcW w:w="728" w:type="pct"/>
            <w:shd w:val="clear" w:color="auto" w:fill="auto"/>
          </w:tcPr>
          <w:p w14:paraId="3146ACCB" w14:textId="77777777" w:rsidR="00246520" w:rsidRPr="00F53474" w:rsidRDefault="00246520" w:rsidP="00A0337B">
            <w:pPr>
              <w:pStyle w:val="Tabletext"/>
            </w:pPr>
            <w:r w:rsidRPr="00F53474">
              <w:t>None</w:t>
            </w:r>
          </w:p>
        </w:tc>
        <w:tc>
          <w:tcPr>
            <w:tcW w:w="692" w:type="pct"/>
            <w:shd w:val="clear" w:color="auto" w:fill="auto"/>
          </w:tcPr>
          <w:p w14:paraId="7F5FBA8A" w14:textId="77777777" w:rsidR="00246520" w:rsidRPr="00B03D17" w:rsidRDefault="00246520" w:rsidP="00A0337B">
            <w:pPr>
              <w:pStyle w:val="Tabletext"/>
            </w:pPr>
            <w:r w:rsidRPr="00F53474">
              <w:t>Not available</w:t>
            </w:r>
          </w:p>
        </w:tc>
      </w:tr>
    </w:tbl>
    <w:p w14:paraId="68FE67EC" w14:textId="6AF33069" w:rsidR="00246520" w:rsidRDefault="00246520" w:rsidP="00F53474">
      <w:pPr>
        <w:pStyle w:val="TableFooter"/>
      </w:pPr>
      <w:r>
        <w:t>Source: Table 12, pp35-36 of the submission</w:t>
      </w:r>
    </w:p>
    <w:p w14:paraId="43159F79" w14:textId="77777777" w:rsidR="005C25FF" w:rsidRPr="00621ADA" w:rsidRDefault="005C25FF" w:rsidP="004E18E9">
      <w:pPr>
        <w:pStyle w:val="4-SubsectionHeading"/>
      </w:pPr>
      <w:bookmarkStart w:id="8" w:name="_Toc22897639"/>
      <w:bookmarkStart w:id="9" w:name="_Toc124932949"/>
      <w:r w:rsidRPr="00621ADA">
        <w:t>Previous PBAC consideration</w:t>
      </w:r>
      <w:bookmarkEnd w:id="8"/>
      <w:bookmarkEnd w:id="9"/>
    </w:p>
    <w:p w14:paraId="3A8F1525" w14:textId="701C718F" w:rsidR="00105B58" w:rsidRDefault="00F53474" w:rsidP="00F53474">
      <w:pPr>
        <w:pStyle w:val="3-BodyText"/>
      </w:pPr>
      <w:r w:rsidRPr="00F53474">
        <w:t>The PBAC ha</w:t>
      </w:r>
      <w:r w:rsidR="00BC58FC">
        <w:t>s</w:t>
      </w:r>
      <w:r w:rsidRPr="00F53474">
        <w:t xml:space="preserve"> not previously considered </w:t>
      </w:r>
      <w:r w:rsidR="00B7017A">
        <w:t xml:space="preserve">nivolumab in </w:t>
      </w:r>
      <w:r w:rsidR="00B7017A" w:rsidRPr="00B7017A">
        <w:t>combination with platinum-doublet chemotherapy</w:t>
      </w:r>
      <w:r w:rsidR="00B7017A">
        <w:t xml:space="preserve"> (</w:t>
      </w:r>
      <w:r w:rsidR="000039B4">
        <w:t>neoNIVO</w:t>
      </w:r>
      <w:r w:rsidRPr="00F53474">
        <w:t>+</w:t>
      </w:r>
      <w:r w:rsidR="000039B4">
        <w:t>neoChemo</w:t>
      </w:r>
      <w:r w:rsidR="00B7017A">
        <w:t>)</w:t>
      </w:r>
      <w:r w:rsidRPr="00F53474">
        <w:t xml:space="preserve"> as a neoadjuvant treatment for resectable NSCLC. </w:t>
      </w:r>
    </w:p>
    <w:p w14:paraId="2F93C3AC" w14:textId="47257F75" w:rsidR="00F53474" w:rsidRDefault="00E57043" w:rsidP="00F53474">
      <w:pPr>
        <w:pStyle w:val="3-BodyText"/>
      </w:pPr>
      <w:r>
        <w:t xml:space="preserve">At </w:t>
      </w:r>
      <w:r w:rsidR="003D0335">
        <w:t xml:space="preserve">the July 2022 </w:t>
      </w:r>
      <w:r w:rsidR="00105B58">
        <w:t>m</w:t>
      </w:r>
      <w:r w:rsidR="003D0335">
        <w:t>eeting, t</w:t>
      </w:r>
      <w:r w:rsidR="00F53474" w:rsidRPr="00F53474">
        <w:t>he PBAC recommended listing atezolizumab</w:t>
      </w:r>
      <w:r>
        <w:t>, another</w:t>
      </w:r>
      <w:r w:rsidR="0077660A">
        <w:t xml:space="preserve"> </w:t>
      </w:r>
      <w:r w:rsidR="0077660A" w:rsidRPr="00F53474">
        <w:t xml:space="preserve">programmed cell death ligand-1 </w:t>
      </w:r>
      <w:r w:rsidR="0077660A">
        <w:t>(</w:t>
      </w:r>
      <w:r>
        <w:t>PD-L1</w:t>
      </w:r>
      <w:r w:rsidR="0077660A">
        <w:t>)</w:t>
      </w:r>
      <w:r>
        <w:t xml:space="preserve"> inhibitor, </w:t>
      </w:r>
      <w:r w:rsidR="00F53474" w:rsidRPr="00F53474">
        <w:t>for the adjuvant treatment of patients with Stage II to IIIA NSCLC whose tumours have PD-L1 expression on ≥ 50% of tumour cells and following a complete resection and no progression after platinum-based adjuvant chemotherapy.</w:t>
      </w:r>
      <w:r w:rsidR="00443C19">
        <w:t xml:space="preserve"> </w:t>
      </w:r>
      <w:r w:rsidR="00876C3E">
        <w:t>Listing was effective from 1 November 2022.</w:t>
      </w:r>
    </w:p>
    <w:p w14:paraId="149D754E" w14:textId="2DD6C719" w:rsidR="009A53E0" w:rsidRPr="00E51F33" w:rsidRDefault="003D0335" w:rsidP="00D63F30">
      <w:pPr>
        <w:pStyle w:val="3-BodyText"/>
        <w:rPr>
          <w:lang w:val="en-GB"/>
        </w:rPr>
      </w:pPr>
      <w:r>
        <w:t>Nivolumab is PBS listed for the second-line treatment of l</w:t>
      </w:r>
      <w:r w:rsidRPr="003D0335">
        <w:t xml:space="preserve">ocally advanced or metastatic </w:t>
      </w:r>
      <w:r>
        <w:t>NSCLC</w:t>
      </w:r>
      <w:r w:rsidR="00704752">
        <w:t>,</w:t>
      </w:r>
      <w:r>
        <w:t xml:space="preserve"> and in combination with ipilimumab for the first-line treatment of </w:t>
      </w:r>
      <w:r w:rsidRPr="009A53E0">
        <w:t>metastatic NSCLC of squamous histology.</w:t>
      </w:r>
    </w:p>
    <w:p w14:paraId="43A6D6BD" w14:textId="008E37DA" w:rsidR="00AB01ED" w:rsidRPr="00E62810" w:rsidRDefault="00E51F33" w:rsidP="00E62810">
      <w:pPr>
        <w:pStyle w:val="3-BodyText"/>
        <w:numPr>
          <w:ilvl w:val="0"/>
          <w:numId w:val="0"/>
        </w:numPr>
        <w:ind w:left="720"/>
        <w:rPr>
          <w:i/>
          <w:iCs/>
          <w:color w:val="000000" w:themeColor="text1"/>
        </w:rPr>
      </w:pPr>
      <w:bookmarkStart w:id="10" w:name="_Hlk76375324"/>
      <w:r w:rsidRPr="00E51F33">
        <w:rPr>
          <w:i/>
          <w:iCs/>
          <w:color w:val="000000" w:themeColor="text1"/>
        </w:rPr>
        <w:t>For more detail on PBAC’s view, see section 7 PBAC outcome.</w:t>
      </w:r>
      <w:bookmarkEnd w:id="10"/>
    </w:p>
    <w:p w14:paraId="1E39523D" w14:textId="26089535" w:rsidR="00B60939" w:rsidRDefault="00B50DB8" w:rsidP="009C5A33">
      <w:pPr>
        <w:pStyle w:val="2-SectionHeading"/>
      </w:pPr>
      <w:bookmarkStart w:id="11" w:name="_Toc107902078"/>
      <w:bookmarkStart w:id="12" w:name="_Toc124932950"/>
      <w:bookmarkEnd w:id="11"/>
      <w:r w:rsidRPr="00407F2D">
        <w:t>Requested listing</w:t>
      </w:r>
      <w:bookmarkEnd w:id="12"/>
    </w:p>
    <w:p w14:paraId="625BF878" w14:textId="00F7D273" w:rsidR="006600B2" w:rsidRPr="006600B2" w:rsidRDefault="006600B2" w:rsidP="006600B2">
      <w:pPr>
        <w:pStyle w:val="3-BodyText"/>
      </w:pPr>
      <w:r w:rsidRPr="006600B2">
        <w:t>Suggestions and additions proposed by the Secretariat are added in italics and suggested deletions are crossed out with strikethrough</w:t>
      </w:r>
      <w:r w:rsidR="004E63B9">
        <w:t xml:space="preserve">. </w:t>
      </w:r>
    </w:p>
    <w:p w14:paraId="5486374A" w14:textId="67BFE339" w:rsidR="006600B2" w:rsidRPr="006600B2" w:rsidRDefault="006600B2" w:rsidP="0070431F">
      <w:pPr>
        <w:rPr>
          <w:rFonts w:asciiTheme="minorHAnsi" w:hAnsiTheme="minorHAnsi" w:cstheme="minorHAnsi"/>
          <w:b/>
          <w:bCs/>
          <w:iCs/>
        </w:rPr>
      </w:pPr>
      <w:r w:rsidRPr="006600B2">
        <w:rPr>
          <w:rFonts w:asciiTheme="minorHAnsi" w:hAnsiTheme="minorHAnsi" w:cstheme="minorHAnsi"/>
          <w:b/>
          <w:bCs/>
          <w:iCs/>
        </w:rPr>
        <w:t>Proposed restriction: Scenario 1</w:t>
      </w:r>
      <w:r w:rsidR="0070431F">
        <w:rPr>
          <w:rFonts w:asciiTheme="minorHAnsi" w:hAnsiTheme="minorHAnsi" w:cstheme="minorHAnsi"/>
          <w:b/>
          <w:bCs/>
          <w:i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26"/>
        <w:gridCol w:w="1843"/>
        <w:gridCol w:w="1417"/>
        <w:gridCol w:w="1508"/>
      </w:tblGrid>
      <w:tr w:rsidR="006600B2" w:rsidRPr="00B52F8C" w14:paraId="2C52E94B" w14:textId="77777777" w:rsidTr="0075396F">
        <w:trPr>
          <w:trHeight w:val="397"/>
        </w:trPr>
        <w:tc>
          <w:tcPr>
            <w:tcW w:w="5000" w:type="pct"/>
            <w:gridSpan w:val="5"/>
            <w:shd w:val="clear" w:color="auto" w:fill="auto"/>
          </w:tcPr>
          <w:p w14:paraId="7F3195F6" w14:textId="780BD1FE" w:rsidR="006600B2" w:rsidRPr="00B52F8C" w:rsidRDefault="006600B2" w:rsidP="0075396F">
            <w:pPr>
              <w:ind w:left="-57"/>
              <w:jc w:val="left"/>
              <w:rPr>
                <w:rFonts w:ascii="Arial Narrow" w:hAnsi="Arial Narrow"/>
                <w:b/>
                <w:snapToGrid w:val="0"/>
                <w:sz w:val="20"/>
                <w:szCs w:val="20"/>
              </w:rPr>
            </w:pPr>
            <w:r w:rsidRPr="00B52F8C">
              <w:rPr>
                <w:rFonts w:ascii="Arial Narrow" w:hAnsi="Arial Narrow"/>
                <w:b/>
                <w:snapToGrid w:val="0"/>
                <w:sz w:val="20"/>
                <w:szCs w:val="20"/>
              </w:rPr>
              <w:t xml:space="preserve">Category / Program: </w:t>
            </w:r>
            <w:r w:rsidRPr="00B52F8C">
              <w:rPr>
                <w:rFonts w:ascii="Arial Narrow" w:hAnsi="Arial Narrow"/>
                <w:bCs/>
                <w:snapToGrid w:val="0"/>
                <w:sz w:val="20"/>
                <w:szCs w:val="20"/>
              </w:rPr>
              <w:t>Section 100 – Efficient Funding of Chemotherapy Public/Private hospitals</w:t>
            </w:r>
          </w:p>
        </w:tc>
      </w:tr>
      <w:tr w:rsidR="006600B2" w:rsidRPr="00B52F8C" w14:paraId="45FF9B8B" w14:textId="77777777" w:rsidTr="00B52F8C">
        <w:tc>
          <w:tcPr>
            <w:tcW w:w="1177" w:type="pct"/>
            <w:shd w:val="clear" w:color="auto" w:fill="auto"/>
          </w:tcPr>
          <w:p w14:paraId="03CC9D85" w14:textId="77777777" w:rsidR="006600B2" w:rsidRPr="00B52F8C" w:rsidRDefault="006600B2" w:rsidP="002B7520">
            <w:pPr>
              <w:ind w:left="-57"/>
              <w:jc w:val="left"/>
              <w:rPr>
                <w:rFonts w:ascii="Arial Narrow" w:hAnsi="Arial Narrow"/>
                <w:b/>
                <w:snapToGrid w:val="0"/>
                <w:sz w:val="20"/>
                <w:szCs w:val="20"/>
              </w:rPr>
            </w:pPr>
            <w:r w:rsidRPr="00B52F8C">
              <w:rPr>
                <w:rFonts w:ascii="Arial Narrow" w:hAnsi="Arial Narrow"/>
                <w:b/>
                <w:snapToGrid w:val="0"/>
                <w:sz w:val="20"/>
                <w:szCs w:val="20"/>
              </w:rPr>
              <w:t xml:space="preserve">MEDICINAL PRODUCT </w:t>
            </w:r>
            <w:r w:rsidRPr="00B52F8C">
              <w:rPr>
                <w:rFonts w:ascii="Arial Narrow" w:hAnsi="Arial Narrow"/>
                <w:b/>
                <w:snapToGrid w:val="0"/>
                <w:sz w:val="20"/>
                <w:szCs w:val="20"/>
              </w:rPr>
              <w:br/>
              <w:t>Form</w:t>
            </w:r>
          </w:p>
        </w:tc>
        <w:tc>
          <w:tcPr>
            <w:tcW w:w="1179" w:type="pct"/>
            <w:shd w:val="clear" w:color="auto" w:fill="auto"/>
          </w:tcPr>
          <w:p w14:paraId="5BC39E6D" w14:textId="77777777" w:rsidR="006600B2" w:rsidRPr="00B52F8C" w:rsidRDefault="006600B2" w:rsidP="002B7520">
            <w:pPr>
              <w:jc w:val="center"/>
              <w:rPr>
                <w:rFonts w:ascii="Arial Narrow" w:hAnsi="Arial Narrow"/>
                <w:b/>
                <w:snapToGrid w:val="0"/>
                <w:sz w:val="20"/>
                <w:szCs w:val="20"/>
              </w:rPr>
            </w:pPr>
            <w:r w:rsidRPr="00B52F8C">
              <w:rPr>
                <w:rFonts w:ascii="Arial Narrow" w:hAnsi="Arial Narrow"/>
                <w:b/>
                <w:sz w:val="20"/>
                <w:szCs w:val="20"/>
              </w:rPr>
              <w:t>Dispensed Price Max Amt</w:t>
            </w:r>
          </w:p>
        </w:tc>
        <w:tc>
          <w:tcPr>
            <w:tcW w:w="1022" w:type="pct"/>
            <w:shd w:val="clear" w:color="auto" w:fill="auto"/>
          </w:tcPr>
          <w:p w14:paraId="7AA1B4C1" w14:textId="77777777" w:rsidR="006600B2" w:rsidRPr="00B52F8C" w:rsidRDefault="006600B2" w:rsidP="002B7520">
            <w:pPr>
              <w:jc w:val="center"/>
              <w:rPr>
                <w:rFonts w:ascii="Arial Narrow" w:hAnsi="Arial Narrow"/>
                <w:b/>
                <w:snapToGrid w:val="0"/>
                <w:sz w:val="20"/>
                <w:szCs w:val="20"/>
              </w:rPr>
            </w:pPr>
            <w:r w:rsidRPr="00B52F8C">
              <w:rPr>
                <w:rFonts w:ascii="Arial Narrow" w:hAnsi="Arial Narrow"/>
                <w:b/>
                <w:snapToGrid w:val="0"/>
                <w:sz w:val="20"/>
                <w:szCs w:val="20"/>
              </w:rPr>
              <w:t>PBS item code</w:t>
            </w:r>
          </w:p>
        </w:tc>
        <w:tc>
          <w:tcPr>
            <w:tcW w:w="786" w:type="pct"/>
            <w:shd w:val="clear" w:color="auto" w:fill="auto"/>
          </w:tcPr>
          <w:p w14:paraId="28A0454E" w14:textId="77777777" w:rsidR="006600B2" w:rsidRPr="00B52F8C" w:rsidRDefault="006600B2" w:rsidP="002B7520">
            <w:pPr>
              <w:jc w:val="center"/>
              <w:rPr>
                <w:rFonts w:ascii="Arial Narrow" w:hAnsi="Arial Narrow"/>
                <w:b/>
                <w:snapToGrid w:val="0"/>
                <w:sz w:val="20"/>
                <w:szCs w:val="20"/>
              </w:rPr>
            </w:pPr>
            <w:r w:rsidRPr="00B52F8C">
              <w:rPr>
                <w:rFonts w:ascii="Arial Narrow" w:hAnsi="Arial Narrow"/>
                <w:b/>
                <w:snapToGrid w:val="0"/>
                <w:sz w:val="20"/>
                <w:szCs w:val="20"/>
              </w:rPr>
              <w:t>Maximum amount</w:t>
            </w:r>
          </w:p>
        </w:tc>
        <w:tc>
          <w:tcPr>
            <w:tcW w:w="836" w:type="pct"/>
            <w:shd w:val="clear" w:color="auto" w:fill="auto"/>
          </w:tcPr>
          <w:p w14:paraId="278F781C" w14:textId="77777777" w:rsidR="006600B2" w:rsidRPr="00B52F8C" w:rsidRDefault="006600B2" w:rsidP="002B7520">
            <w:pPr>
              <w:jc w:val="center"/>
              <w:rPr>
                <w:rFonts w:ascii="Arial Narrow" w:hAnsi="Arial Narrow"/>
                <w:b/>
                <w:snapToGrid w:val="0"/>
                <w:sz w:val="20"/>
                <w:szCs w:val="20"/>
              </w:rPr>
            </w:pPr>
            <w:r w:rsidRPr="00B52F8C">
              <w:rPr>
                <w:rFonts w:ascii="Arial Narrow" w:hAnsi="Arial Narrow"/>
                <w:b/>
                <w:snapToGrid w:val="0"/>
                <w:sz w:val="20"/>
                <w:szCs w:val="20"/>
              </w:rPr>
              <w:t>No. of Repeats</w:t>
            </w:r>
          </w:p>
        </w:tc>
      </w:tr>
      <w:tr w:rsidR="006600B2" w:rsidRPr="00B52F8C" w14:paraId="189FE272" w14:textId="77777777" w:rsidTr="00B52F8C">
        <w:tc>
          <w:tcPr>
            <w:tcW w:w="1177" w:type="pct"/>
          </w:tcPr>
          <w:p w14:paraId="79FF075F" w14:textId="77777777" w:rsidR="006600B2" w:rsidRPr="00B52F8C" w:rsidRDefault="006600B2" w:rsidP="002B7520">
            <w:pPr>
              <w:ind w:left="-57"/>
              <w:rPr>
                <w:rFonts w:ascii="Arial Narrow" w:hAnsi="Arial Narrow"/>
                <w:snapToGrid w:val="0"/>
                <w:sz w:val="20"/>
                <w:szCs w:val="20"/>
              </w:rPr>
            </w:pPr>
            <w:r w:rsidRPr="00B52F8C">
              <w:rPr>
                <w:rFonts w:ascii="Arial Narrow" w:hAnsi="Arial Narrow"/>
                <w:snapToGrid w:val="0"/>
                <w:sz w:val="20"/>
                <w:szCs w:val="20"/>
              </w:rPr>
              <w:t>NIVOLUMAB</w:t>
            </w:r>
          </w:p>
          <w:p w14:paraId="47CACC96" w14:textId="77777777" w:rsidR="006600B2" w:rsidRPr="00B52F8C" w:rsidRDefault="006600B2" w:rsidP="002B7520">
            <w:pPr>
              <w:ind w:left="-57"/>
              <w:rPr>
                <w:rFonts w:ascii="Arial Narrow" w:hAnsi="Arial Narrow"/>
                <w:snapToGrid w:val="0"/>
                <w:sz w:val="20"/>
                <w:szCs w:val="20"/>
              </w:rPr>
            </w:pPr>
            <w:r w:rsidRPr="00B52F8C">
              <w:rPr>
                <w:rFonts w:ascii="Arial Narrow" w:hAnsi="Arial Narrow"/>
                <w:snapToGrid w:val="0"/>
                <w:sz w:val="20"/>
                <w:szCs w:val="20"/>
              </w:rPr>
              <w:t>Injection</w:t>
            </w:r>
          </w:p>
          <w:p w14:paraId="4A1760BF" w14:textId="77777777" w:rsidR="006600B2" w:rsidRPr="00B52F8C" w:rsidRDefault="006600B2" w:rsidP="002B7520">
            <w:pPr>
              <w:ind w:left="-57"/>
              <w:rPr>
                <w:rFonts w:ascii="Arial Narrow" w:hAnsi="Arial Narrow"/>
                <w:snapToGrid w:val="0"/>
                <w:sz w:val="20"/>
                <w:szCs w:val="20"/>
              </w:rPr>
            </w:pPr>
          </w:p>
        </w:tc>
        <w:tc>
          <w:tcPr>
            <w:tcW w:w="1179" w:type="pct"/>
            <w:vAlign w:val="center"/>
          </w:tcPr>
          <w:p w14:paraId="7DE75972" w14:textId="77777777" w:rsidR="006600B2" w:rsidRPr="00B52F8C" w:rsidRDefault="006600B2" w:rsidP="002B7520">
            <w:pPr>
              <w:widowControl w:val="0"/>
              <w:jc w:val="center"/>
              <w:rPr>
                <w:rFonts w:ascii="Arial Narrow" w:hAnsi="Arial Narrow"/>
                <w:sz w:val="20"/>
                <w:szCs w:val="20"/>
                <w:u w:val="single"/>
                <w:vertAlign w:val="superscript"/>
              </w:rPr>
            </w:pPr>
            <w:r w:rsidRPr="00B52F8C">
              <w:rPr>
                <w:rFonts w:ascii="Arial Narrow" w:hAnsi="Arial Narrow"/>
                <w:sz w:val="20"/>
                <w:szCs w:val="20"/>
                <w:u w:val="single"/>
              </w:rPr>
              <w:t>Published price</w:t>
            </w:r>
          </w:p>
          <w:p w14:paraId="2F5F775B" w14:textId="77777777" w:rsidR="006600B2" w:rsidRPr="00B52F8C" w:rsidRDefault="006600B2" w:rsidP="002B7520">
            <w:pPr>
              <w:widowControl w:val="0"/>
              <w:jc w:val="center"/>
              <w:rPr>
                <w:rFonts w:ascii="Arial Narrow" w:hAnsi="Arial Narrow"/>
                <w:sz w:val="20"/>
                <w:szCs w:val="20"/>
                <w:vertAlign w:val="superscript"/>
              </w:rPr>
            </w:pPr>
            <w:r w:rsidRPr="00B52F8C">
              <w:rPr>
                <w:rFonts w:ascii="Arial Narrow" w:hAnsi="Arial Narrow"/>
                <w:sz w:val="20"/>
                <w:szCs w:val="20"/>
              </w:rPr>
              <w:t>$7,189.57 (public)</w:t>
            </w:r>
            <w:r w:rsidRPr="00B52F8C">
              <w:rPr>
                <w:rFonts w:ascii="Arial Narrow" w:hAnsi="Arial Narrow"/>
                <w:sz w:val="20"/>
                <w:szCs w:val="20"/>
                <w:vertAlign w:val="superscript"/>
              </w:rPr>
              <w:t>a</w:t>
            </w:r>
          </w:p>
          <w:p w14:paraId="7C72AB28" w14:textId="77777777" w:rsidR="006600B2" w:rsidRPr="00B52F8C" w:rsidRDefault="006600B2" w:rsidP="002B7520">
            <w:pPr>
              <w:widowControl w:val="0"/>
              <w:jc w:val="center"/>
              <w:rPr>
                <w:rFonts w:ascii="Arial Narrow" w:hAnsi="Arial Narrow"/>
                <w:sz w:val="20"/>
                <w:szCs w:val="20"/>
                <w:vertAlign w:val="superscript"/>
              </w:rPr>
            </w:pPr>
            <w:r w:rsidRPr="00B52F8C">
              <w:rPr>
                <w:rFonts w:ascii="Arial Narrow" w:hAnsi="Arial Narrow"/>
                <w:sz w:val="20"/>
                <w:szCs w:val="20"/>
              </w:rPr>
              <w:t>$7,330.64 (private)</w:t>
            </w:r>
            <w:r w:rsidRPr="00B52F8C">
              <w:rPr>
                <w:rFonts w:ascii="Arial Narrow" w:hAnsi="Arial Narrow"/>
                <w:sz w:val="20"/>
                <w:szCs w:val="20"/>
                <w:vertAlign w:val="superscript"/>
              </w:rPr>
              <w:t>a</w:t>
            </w:r>
          </w:p>
          <w:p w14:paraId="561D1A36" w14:textId="77777777" w:rsidR="006600B2" w:rsidRPr="00B52F8C" w:rsidRDefault="006600B2" w:rsidP="002B7520">
            <w:pPr>
              <w:widowControl w:val="0"/>
              <w:jc w:val="center"/>
              <w:rPr>
                <w:rFonts w:ascii="Arial Narrow" w:hAnsi="Arial Narrow"/>
                <w:sz w:val="20"/>
                <w:szCs w:val="20"/>
                <w:u w:val="single"/>
                <w:vertAlign w:val="superscript"/>
              </w:rPr>
            </w:pPr>
            <w:r w:rsidRPr="00B52F8C">
              <w:rPr>
                <w:rFonts w:ascii="Arial Narrow" w:hAnsi="Arial Narrow"/>
                <w:sz w:val="20"/>
                <w:szCs w:val="20"/>
                <w:u w:val="single"/>
              </w:rPr>
              <w:t>Effective price</w:t>
            </w:r>
          </w:p>
          <w:p w14:paraId="35836D0C" w14:textId="50275A85" w:rsidR="006600B2" w:rsidRPr="00B52F8C" w:rsidRDefault="006600B2" w:rsidP="002B7520">
            <w:pPr>
              <w:widowControl w:val="0"/>
              <w:jc w:val="center"/>
              <w:rPr>
                <w:rFonts w:ascii="Arial Narrow" w:hAnsi="Arial Narrow"/>
                <w:sz w:val="20"/>
                <w:szCs w:val="20"/>
                <w:vertAlign w:val="superscript"/>
              </w:rPr>
            </w:pPr>
            <w:r w:rsidRPr="00B52F8C">
              <w:rPr>
                <w:rFonts w:ascii="Arial Narrow" w:hAnsi="Arial Narrow"/>
                <w:sz w:val="20"/>
                <w:szCs w:val="20"/>
              </w:rPr>
              <w:t>$</w:t>
            </w:r>
            <w:r w:rsidR="001172C3" w:rsidRPr="001172C3">
              <w:rPr>
                <w:rFonts w:ascii="Arial Narrow" w:hAnsi="Arial Narrow" w:hint="eastAsia"/>
                <w:color w:val="000000"/>
                <w:w w:val="28"/>
                <w:sz w:val="20"/>
                <w:szCs w:val="20"/>
                <w:shd w:val="solid" w:color="000000" w:fill="000000"/>
                <w:fitText w:val="127" w:id="-1234435328"/>
                <w14:textFill>
                  <w14:solidFill>
                    <w14:srgbClr w14:val="000000">
                      <w14:alpha w14:val="100000"/>
                    </w14:srgbClr>
                  </w14:solidFill>
                </w14:textFill>
              </w:rPr>
              <w:t xml:space="preserve">　</w:t>
            </w:r>
            <w:r w:rsidR="001172C3" w:rsidRPr="001172C3">
              <w:rPr>
                <w:rFonts w:ascii="Arial Narrow" w:hAnsi="Arial Narrow"/>
                <w:color w:val="000000"/>
                <w:w w:val="28"/>
                <w:sz w:val="20"/>
                <w:szCs w:val="20"/>
                <w:shd w:val="solid" w:color="000000" w:fill="000000"/>
                <w:fitText w:val="127" w:id="-1234435328"/>
                <w14:textFill>
                  <w14:solidFill>
                    <w14:srgbClr w14:val="000000">
                      <w14:alpha w14:val="100000"/>
                    </w14:srgbClr>
                  </w14:solidFill>
                </w14:textFill>
              </w:rPr>
              <w:t>|</w:t>
            </w:r>
            <w:r w:rsidR="001172C3" w:rsidRPr="001172C3">
              <w:rPr>
                <w:rFonts w:ascii="Arial Narrow" w:hAnsi="Arial Narrow" w:hint="eastAsia"/>
                <w:color w:val="000000"/>
                <w:spacing w:val="5"/>
                <w:w w:val="28"/>
                <w:sz w:val="20"/>
                <w:szCs w:val="20"/>
                <w:shd w:val="solid" w:color="000000" w:fill="000000"/>
                <w:fitText w:val="127" w:id="-1234435328"/>
                <w14:textFill>
                  <w14:solidFill>
                    <w14:srgbClr w14:val="000000">
                      <w14:alpha w14:val="100000"/>
                    </w14:srgbClr>
                  </w14:solidFill>
                </w14:textFill>
              </w:rPr>
              <w:t xml:space="preserve">　</w:t>
            </w:r>
            <w:r w:rsidRPr="00B52F8C">
              <w:rPr>
                <w:rFonts w:ascii="Arial Narrow" w:hAnsi="Arial Narrow"/>
                <w:sz w:val="20"/>
                <w:szCs w:val="20"/>
              </w:rPr>
              <w:t xml:space="preserve"> (public)</w:t>
            </w:r>
            <w:r w:rsidRPr="00B52F8C">
              <w:rPr>
                <w:rFonts w:ascii="Arial Narrow" w:hAnsi="Arial Narrow"/>
                <w:sz w:val="20"/>
                <w:szCs w:val="20"/>
                <w:vertAlign w:val="superscript"/>
              </w:rPr>
              <w:t>b</w:t>
            </w:r>
          </w:p>
          <w:p w14:paraId="0DFB40A0" w14:textId="5EFD8184" w:rsidR="006600B2" w:rsidRPr="00B52F8C" w:rsidRDefault="006600B2" w:rsidP="002B7520">
            <w:pPr>
              <w:jc w:val="center"/>
              <w:rPr>
                <w:rFonts w:ascii="Arial Narrow" w:hAnsi="Arial Narrow"/>
                <w:snapToGrid w:val="0"/>
                <w:sz w:val="20"/>
                <w:szCs w:val="20"/>
              </w:rPr>
            </w:pPr>
            <w:r w:rsidRPr="00B52F8C">
              <w:rPr>
                <w:rFonts w:ascii="Arial Narrow" w:hAnsi="Arial Narrow"/>
                <w:sz w:val="20"/>
                <w:szCs w:val="20"/>
              </w:rPr>
              <w:t>$</w:t>
            </w:r>
            <w:r w:rsidR="001172C3" w:rsidRPr="001172C3">
              <w:rPr>
                <w:rFonts w:ascii="Arial Narrow" w:hAnsi="Arial Narrow" w:hint="eastAsia"/>
                <w:color w:val="000000"/>
                <w:w w:val="28"/>
                <w:sz w:val="20"/>
                <w:szCs w:val="20"/>
                <w:shd w:val="solid" w:color="000000" w:fill="000000"/>
                <w:fitText w:val="127" w:id="-1234435327"/>
                <w14:textFill>
                  <w14:solidFill>
                    <w14:srgbClr w14:val="000000">
                      <w14:alpha w14:val="100000"/>
                    </w14:srgbClr>
                  </w14:solidFill>
                </w14:textFill>
              </w:rPr>
              <w:t xml:space="preserve">　</w:t>
            </w:r>
            <w:r w:rsidR="001172C3" w:rsidRPr="001172C3">
              <w:rPr>
                <w:rFonts w:ascii="Arial Narrow" w:hAnsi="Arial Narrow"/>
                <w:color w:val="000000"/>
                <w:w w:val="28"/>
                <w:sz w:val="20"/>
                <w:szCs w:val="20"/>
                <w:shd w:val="solid" w:color="000000" w:fill="000000"/>
                <w:fitText w:val="127" w:id="-1234435327"/>
                <w14:textFill>
                  <w14:solidFill>
                    <w14:srgbClr w14:val="000000">
                      <w14:alpha w14:val="100000"/>
                    </w14:srgbClr>
                  </w14:solidFill>
                </w14:textFill>
              </w:rPr>
              <w:t>|</w:t>
            </w:r>
            <w:r w:rsidR="001172C3" w:rsidRPr="001172C3">
              <w:rPr>
                <w:rFonts w:ascii="Arial Narrow" w:hAnsi="Arial Narrow" w:hint="eastAsia"/>
                <w:color w:val="000000"/>
                <w:spacing w:val="5"/>
                <w:w w:val="28"/>
                <w:sz w:val="20"/>
                <w:szCs w:val="20"/>
                <w:shd w:val="solid" w:color="000000" w:fill="000000"/>
                <w:fitText w:val="127" w:id="-1234435327"/>
                <w14:textFill>
                  <w14:solidFill>
                    <w14:srgbClr w14:val="000000">
                      <w14:alpha w14:val="100000"/>
                    </w14:srgbClr>
                  </w14:solidFill>
                </w14:textFill>
              </w:rPr>
              <w:t xml:space="preserve">　</w:t>
            </w:r>
            <w:r w:rsidRPr="00B52F8C">
              <w:rPr>
                <w:rFonts w:ascii="Arial Narrow" w:hAnsi="Arial Narrow"/>
                <w:sz w:val="20"/>
                <w:szCs w:val="20"/>
              </w:rPr>
              <w:t xml:space="preserve"> (private)</w:t>
            </w:r>
          </w:p>
        </w:tc>
        <w:tc>
          <w:tcPr>
            <w:tcW w:w="1022" w:type="pct"/>
            <w:vAlign w:val="center"/>
          </w:tcPr>
          <w:p w14:paraId="7AEAF6BD" w14:textId="77777777" w:rsidR="006600B2" w:rsidRPr="00B52F8C" w:rsidRDefault="006600B2" w:rsidP="002B7520">
            <w:pPr>
              <w:jc w:val="center"/>
              <w:rPr>
                <w:rFonts w:ascii="Arial Narrow" w:hAnsi="Arial Narrow"/>
                <w:snapToGrid w:val="0"/>
                <w:sz w:val="20"/>
                <w:szCs w:val="20"/>
              </w:rPr>
            </w:pPr>
            <w:r w:rsidRPr="00B52F8C">
              <w:rPr>
                <w:rFonts w:ascii="Arial Narrow" w:hAnsi="Arial Narrow"/>
                <w:snapToGrid w:val="0"/>
                <w:sz w:val="20"/>
                <w:szCs w:val="20"/>
              </w:rPr>
              <w:t>New (Public)</w:t>
            </w:r>
          </w:p>
          <w:p w14:paraId="2308AED7" w14:textId="77777777" w:rsidR="006600B2" w:rsidRPr="00B52F8C" w:rsidRDefault="006600B2" w:rsidP="002B7520">
            <w:pPr>
              <w:jc w:val="center"/>
              <w:rPr>
                <w:rFonts w:ascii="Arial Narrow" w:hAnsi="Arial Narrow"/>
                <w:snapToGrid w:val="0"/>
                <w:sz w:val="20"/>
                <w:szCs w:val="20"/>
                <w:vertAlign w:val="subscript"/>
              </w:rPr>
            </w:pPr>
            <w:r w:rsidRPr="00B52F8C">
              <w:rPr>
                <w:rFonts w:ascii="Arial Narrow" w:hAnsi="Arial Narrow"/>
                <w:snapToGrid w:val="0"/>
                <w:sz w:val="20"/>
                <w:szCs w:val="20"/>
              </w:rPr>
              <w:t>New (Private)</w:t>
            </w:r>
          </w:p>
        </w:tc>
        <w:tc>
          <w:tcPr>
            <w:tcW w:w="786" w:type="pct"/>
            <w:vAlign w:val="center"/>
          </w:tcPr>
          <w:p w14:paraId="1F284373" w14:textId="77777777" w:rsidR="006600B2" w:rsidRPr="00B52F8C" w:rsidRDefault="006600B2" w:rsidP="002B7520">
            <w:pPr>
              <w:jc w:val="center"/>
              <w:rPr>
                <w:rFonts w:ascii="Arial Narrow" w:hAnsi="Arial Narrow"/>
                <w:snapToGrid w:val="0"/>
                <w:sz w:val="20"/>
                <w:szCs w:val="20"/>
              </w:rPr>
            </w:pPr>
            <w:r w:rsidRPr="00B52F8C">
              <w:rPr>
                <w:rFonts w:ascii="Arial Narrow" w:hAnsi="Arial Narrow"/>
                <w:snapToGrid w:val="0"/>
                <w:sz w:val="20"/>
                <w:szCs w:val="20"/>
              </w:rPr>
              <w:t>360 mg</w:t>
            </w:r>
          </w:p>
        </w:tc>
        <w:tc>
          <w:tcPr>
            <w:tcW w:w="836" w:type="pct"/>
            <w:vAlign w:val="center"/>
          </w:tcPr>
          <w:p w14:paraId="66B06858" w14:textId="77777777" w:rsidR="006600B2" w:rsidRPr="00B52F8C" w:rsidRDefault="006600B2" w:rsidP="002B7520">
            <w:pPr>
              <w:jc w:val="center"/>
              <w:rPr>
                <w:rFonts w:ascii="Arial Narrow" w:hAnsi="Arial Narrow"/>
                <w:snapToGrid w:val="0"/>
                <w:sz w:val="20"/>
                <w:szCs w:val="20"/>
              </w:rPr>
            </w:pPr>
            <w:r w:rsidRPr="00B52F8C">
              <w:rPr>
                <w:rFonts w:ascii="Arial Narrow" w:hAnsi="Arial Narrow"/>
                <w:snapToGrid w:val="0"/>
                <w:sz w:val="20"/>
                <w:szCs w:val="20"/>
              </w:rPr>
              <w:t>2</w:t>
            </w:r>
          </w:p>
        </w:tc>
      </w:tr>
      <w:tr w:rsidR="006600B2" w:rsidRPr="00B52F8C" w14:paraId="5EB6EF20" w14:textId="10B1DE16" w:rsidTr="00B52F8C">
        <w:tc>
          <w:tcPr>
            <w:tcW w:w="5000" w:type="pct"/>
            <w:gridSpan w:val="5"/>
            <w:shd w:val="clear" w:color="auto" w:fill="auto"/>
          </w:tcPr>
          <w:p w14:paraId="48BEE729" w14:textId="3C8D3833" w:rsidR="006600B2" w:rsidRPr="00B52F8C" w:rsidRDefault="006600B2" w:rsidP="002B7520">
            <w:pPr>
              <w:ind w:left="-57"/>
              <w:rPr>
                <w:rFonts w:ascii="Arial Narrow" w:hAnsi="Arial Narrow"/>
                <w:b/>
                <w:snapToGrid w:val="0"/>
                <w:sz w:val="20"/>
                <w:szCs w:val="20"/>
              </w:rPr>
            </w:pPr>
            <w:r w:rsidRPr="00B52F8C">
              <w:rPr>
                <w:rFonts w:ascii="Arial Narrow" w:hAnsi="Arial Narrow"/>
                <w:b/>
                <w:snapToGrid w:val="0"/>
                <w:sz w:val="20"/>
                <w:szCs w:val="20"/>
              </w:rPr>
              <w:t>Available brands</w:t>
            </w:r>
          </w:p>
        </w:tc>
      </w:tr>
      <w:tr w:rsidR="006600B2" w:rsidRPr="00B52F8C" w14:paraId="79C53ADE" w14:textId="1E755D65" w:rsidTr="00B52F8C">
        <w:tc>
          <w:tcPr>
            <w:tcW w:w="5000" w:type="pct"/>
            <w:gridSpan w:val="5"/>
            <w:shd w:val="clear" w:color="auto" w:fill="auto"/>
          </w:tcPr>
          <w:p w14:paraId="2B0099A9" w14:textId="612FDD6A" w:rsidR="006600B2" w:rsidRPr="00B52F8C" w:rsidRDefault="006600B2" w:rsidP="002B7520">
            <w:pPr>
              <w:ind w:left="-57"/>
              <w:rPr>
                <w:rFonts w:ascii="Arial Narrow" w:hAnsi="Arial Narrow"/>
                <w:snapToGrid w:val="0"/>
                <w:sz w:val="20"/>
                <w:szCs w:val="20"/>
              </w:rPr>
            </w:pPr>
            <w:r w:rsidRPr="00B52F8C">
              <w:rPr>
                <w:rFonts w:ascii="Arial Narrow" w:hAnsi="Arial Narrow"/>
                <w:snapToGrid w:val="0"/>
                <w:sz w:val="20"/>
                <w:szCs w:val="20"/>
              </w:rPr>
              <w:t>Opdivo</w:t>
            </w:r>
          </w:p>
          <w:p w14:paraId="5113A59C" w14:textId="443ACA72" w:rsidR="006600B2" w:rsidRPr="00B52F8C" w:rsidRDefault="006600B2" w:rsidP="002B7520">
            <w:pPr>
              <w:ind w:left="-57"/>
              <w:rPr>
                <w:rFonts w:ascii="Arial Narrow" w:hAnsi="Arial Narrow"/>
                <w:snapToGrid w:val="0"/>
                <w:sz w:val="20"/>
                <w:szCs w:val="20"/>
              </w:rPr>
            </w:pPr>
            <w:r w:rsidRPr="00B52F8C">
              <w:rPr>
                <w:rFonts w:ascii="Arial Narrow" w:hAnsi="Arial Narrow"/>
                <w:snapToGrid w:val="0"/>
                <w:sz w:val="20"/>
                <w:szCs w:val="20"/>
              </w:rPr>
              <w:t>(nivolumab 40 mg/4 mL injection, 4 mL vial)</w:t>
            </w:r>
          </w:p>
        </w:tc>
      </w:tr>
      <w:tr w:rsidR="006600B2" w:rsidRPr="00B52F8C" w14:paraId="661D8698" w14:textId="43884106" w:rsidTr="00B52F8C">
        <w:tc>
          <w:tcPr>
            <w:tcW w:w="5000" w:type="pct"/>
            <w:gridSpan w:val="5"/>
            <w:shd w:val="clear" w:color="auto" w:fill="auto"/>
          </w:tcPr>
          <w:p w14:paraId="1E7057C1" w14:textId="09FC5833" w:rsidR="006600B2" w:rsidRPr="00B52F8C" w:rsidRDefault="006600B2" w:rsidP="002B7520">
            <w:pPr>
              <w:ind w:left="-57"/>
              <w:rPr>
                <w:rFonts w:ascii="Arial Narrow" w:hAnsi="Arial Narrow"/>
                <w:snapToGrid w:val="0"/>
                <w:sz w:val="20"/>
                <w:szCs w:val="20"/>
              </w:rPr>
            </w:pPr>
            <w:r w:rsidRPr="00B52F8C">
              <w:rPr>
                <w:rFonts w:ascii="Arial Narrow" w:hAnsi="Arial Narrow"/>
                <w:snapToGrid w:val="0"/>
                <w:sz w:val="20"/>
                <w:szCs w:val="20"/>
              </w:rPr>
              <w:t>Opdivo</w:t>
            </w:r>
          </w:p>
          <w:p w14:paraId="56E33964" w14:textId="4435158B" w:rsidR="006600B2" w:rsidRPr="00B52F8C" w:rsidRDefault="006600B2" w:rsidP="002B7520">
            <w:pPr>
              <w:ind w:left="-57"/>
              <w:rPr>
                <w:rFonts w:ascii="Arial Narrow" w:hAnsi="Arial Narrow"/>
                <w:snapToGrid w:val="0"/>
                <w:sz w:val="20"/>
                <w:szCs w:val="20"/>
              </w:rPr>
            </w:pPr>
            <w:r w:rsidRPr="00B52F8C">
              <w:rPr>
                <w:rFonts w:ascii="Arial Narrow" w:hAnsi="Arial Narrow"/>
                <w:snapToGrid w:val="0"/>
                <w:sz w:val="20"/>
                <w:szCs w:val="20"/>
              </w:rPr>
              <w:t>(nivolumab 100 mg/10 mL injection, 10 mL vial)</w:t>
            </w:r>
          </w:p>
        </w:tc>
      </w:tr>
    </w:tbl>
    <w:tbl>
      <w:tblPr>
        <w:tblStyle w:val="newstyle1"/>
        <w:tblW w:w="5000" w:type="pct"/>
        <w:tblLook w:val="04A0" w:firstRow="1" w:lastRow="0" w:firstColumn="1" w:lastColumn="0" w:noHBand="0" w:noVBand="1"/>
      </w:tblPr>
      <w:tblGrid>
        <w:gridCol w:w="9017"/>
      </w:tblGrid>
      <w:tr w:rsidR="006600B2" w:rsidRPr="00056A6A" w14:paraId="3813554E" w14:textId="170E5449" w:rsidTr="00B52F8C">
        <w:tc>
          <w:tcPr>
            <w:tcW w:w="5000" w:type="pct"/>
          </w:tcPr>
          <w:p w14:paraId="15C16A2F" w14:textId="5D33609D" w:rsidR="006600B2" w:rsidRPr="00056A6A" w:rsidRDefault="006600B2" w:rsidP="002B7520">
            <w:pPr>
              <w:spacing w:before="100" w:beforeAutospacing="1" w:after="100" w:afterAutospacing="1"/>
              <w:rPr>
                <w:rFonts w:ascii="Arial Narrow" w:hAnsi="Arial Narrow"/>
                <w:b/>
                <w:bCs/>
                <w:sz w:val="20"/>
                <w:szCs w:val="20"/>
              </w:rPr>
            </w:pPr>
          </w:p>
        </w:tc>
      </w:tr>
      <w:tr w:rsidR="006600B2" w:rsidRPr="00056A6A" w14:paraId="5AC56E85" w14:textId="64E83525" w:rsidTr="0075396F">
        <w:trPr>
          <w:trHeight w:val="397"/>
        </w:trPr>
        <w:tc>
          <w:tcPr>
            <w:tcW w:w="5000" w:type="pct"/>
          </w:tcPr>
          <w:p w14:paraId="4FFDE84B" w14:textId="7883F2D5" w:rsidR="006600B2" w:rsidRPr="00056A6A" w:rsidRDefault="006600B2" w:rsidP="002B7520">
            <w:pPr>
              <w:rPr>
                <w:rFonts w:ascii="Arial Narrow" w:hAnsi="Arial Narrow"/>
                <w:b/>
                <w:bCs/>
                <w:sz w:val="20"/>
                <w:szCs w:val="20"/>
              </w:rPr>
            </w:pPr>
            <w:r w:rsidRPr="00056A6A">
              <w:rPr>
                <w:rFonts w:ascii="Arial Narrow" w:hAnsi="Arial Narrow"/>
                <w:b/>
                <w:bCs/>
                <w:sz w:val="20"/>
                <w:szCs w:val="20"/>
              </w:rPr>
              <w:t>Restriction Summary / Treatment of Concept: [New 1] Authority Required (STREAMLINED)</w:t>
            </w:r>
          </w:p>
        </w:tc>
      </w:tr>
      <w:tr w:rsidR="00B52F8C" w:rsidRPr="00056A6A" w14:paraId="5CDBD0CC" w14:textId="2DA46AAC" w:rsidTr="00B52F8C">
        <w:tc>
          <w:tcPr>
            <w:tcW w:w="5000" w:type="pct"/>
          </w:tcPr>
          <w:p w14:paraId="6E12A89F" w14:textId="02E53164" w:rsidR="00B52F8C" w:rsidRPr="00056A6A" w:rsidRDefault="00B52F8C" w:rsidP="002B7520">
            <w:pPr>
              <w:ind w:left="-57"/>
              <w:rPr>
                <w:rFonts w:ascii="Arial Narrow" w:hAnsi="Arial Narrow"/>
                <w:color w:val="BFBFBF" w:themeColor="background1" w:themeShade="BF"/>
                <w:sz w:val="20"/>
                <w:szCs w:val="20"/>
              </w:rPr>
            </w:pPr>
            <w:r w:rsidRPr="00056A6A">
              <w:rPr>
                <w:rFonts w:ascii="Arial Narrow" w:hAnsi="Arial Narrow"/>
                <w:b/>
                <w:bCs/>
                <w:color w:val="BFBFBF" w:themeColor="background1" w:themeShade="BF"/>
                <w:sz w:val="20"/>
                <w:szCs w:val="20"/>
              </w:rPr>
              <w:t>Episodicity:</w:t>
            </w:r>
            <w:r w:rsidRPr="00056A6A">
              <w:rPr>
                <w:rFonts w:ascii="Arial Narrow" w:hAnsi="Arial Narrow"/>
                <w:color w:val="BFBFBF" w:themeColor="background1" w:themeShade="BF"/>
                <w:sz w:val="20"/>
                <w:szCs w:val="20"/>
              </w:rPr>
              <w:t xml:space="preserve"> [blank]</w:t>
            </w:r>
          </w:p>
        </w:tc>
      </w:tr>
      <w:tr w:rsidR="00B52F8C" w:rsidRPr="00056A6A" w14:paraId="3C08A525" w14:textId="1027C21C" w:rsidTr="00B52F8C">
        <w:tc>
          <w:tcPr>
            <w:tcW w:w="5000" w:type="pct"/>
          </w:tcPr>
          <w:p w14:paraId="512CBAD7" w14:textId="5CFA7A04" w:rsidR="00B52F8C" w:rsidRPr="00056A6A" w:rsidRDefault="00B52F8C" w:rsidP="002B7520">
            <w:pPr>
              <w:ind w:left="-57"/>
              <w:rPr>
                <w:rFonts w:ascii="Arial Narrow" w:hAnsi="Arial Narrow"/>
                <w:color w:val="BFBFBF" w:themeColor="background1" w:themeShade="BF"/>
                <w:sz w:val="20"/>
                <w:szCs w:val="20"/>
              </w:rPr>
            </w:pPr>
            <w:r w:rsidRPr="00056A6A">
              <w:rPr>
                <w:rFonts w:ascii="Arial Narrow" w:hAnsi="Arial Narrow"/>
                <w:b/>
                <w:bCs/>
                <w:color w:val="BFBFBF" w:themeColor="background1" w:themeShade="BF"/>
                <w:sz w:val="20"/>
                <w:szCs w:val="20"/>
              </w:rPr>
              <w:t>Severity:</w:t>
            </w:r>
            <w:r w:rsidRPr="00056A6A">
              <w:rPr>
                <w:rFonts w:ascii="Arial Narrow" w:hAnsi="Arial Narrow"/>
                <w:color w:val="BFBFBF" w:themeColor="background1" w:themeShade="BF"/>
                <w:sz w:val="20"/>
                <w:szCs w:val="20"/>
              </w:rPr>
              <w:t xml:space="preserve"> [blank]</w:t>
            </w:r>
          </w:p>
        </w:tc>
      </w:tr>
      <w:tr w:rsidR="00B52F8C" w:rsidRPr="00056A6A" w14:paraId="6FA88292" w14:textId="2960FF9A" w:rsidTr="00B52F8C">
        <w:tc>
          <w:tcPr>
            <w:tcW w:w="5000" w:type="pct"/>
          </w:tcPr>
          <w:p w14:paraId="499B8E22" w14:textId="4FFFF4D9" w:rsidR="00B52F8C" w:rsidRPr="00056A6A" w:rsidRDefault="00B52F8C" w:rsidP="002B7520">
            <w:pPr>
              <w:ind w:left="-57"/>
              <w:rPr>
                <w:rFonts w:ascii="Arial Narrow" w:hAnsi="Arial Narrow"/>
                <w:color w:val="BFBFBF" w:themeColor="background1" w:themeShade="BF"/>
                <w:sz w:val="20"/>
                <w:szCs w:val="20"/>
                <w:highlight w:val="lightGray"/>
              </w:rPr>
            </w:pPr>
            <w:r w:rsidRPr="00056A6A">
              <w:rPr>
                <w:rFonts w:ascii="Arial Narrow" w:hAnsi="Arial Narrow"/>
                <w:b/>
                <w:bCs/>
                <w:color w:val="BFBFBF" w:themeColor="background1" w:themeShade="BF"/>
                <w:sz w:val="20"/>
                <w:szCs w:val="20"/>
              </w:rPr>
              <w:t>Condition:</w:t>
            </w:r>
            <w:r w:rsidRPr="00056A6A">
              <w:rPr>
                <w:rFonts w:ascii="Arial Narrow" w:hAnsi="Arial Narrow"/>
                <w:color w:val="BFBFBF" w:themeColor="background1" w:themeShade="BF"/>
                <w:sz w:val="20"/>
                <w:szCs w:val="20"/>
              </w:rPr>
              <w:t xml:space="preserve"> Non-small cell lung cancer </w:t>
            </w:r>
          </w:p>
        </w:tc>
      </w:tr>
      <w:tr w:rsidR="00B52F8C" w:rsidRPr="00056A6A" w14:paraId="43E88D38" w14:textId="0B35C7AC" w:rsidTr="00B52F8C">
        <w:tc>
          <w:tcPr>
            <w:tcW w:w="5000" w:type="pct"/>
          </w:tcPr>
          <w:p w14:paraId="30A1A29F" w14:textId="458144B6" w:rsidR="00B52F8C" w:rsidRPr="00056A6A" w:rsidRDefault="00B52F8C" w:rsidP="002B7520">
            <w:pPr>
              <w:ind w:left="-57"/>
              <w:rPr>
                <w:rFonts w:ascii="Arial Narrow" w:hAnsi="Arial Narrow"/>
                <w:sz w:val="20"/>
                <w:szCs w:val="20"/>
              </w:rPr>
            </w:pPr>
            <w:r w:rsidRPr="00056A6A">
              <w:rPr>
                <w:rFonts w:ascii="Arial Narrow" w:hAnsi="Arial Narrow"/>
                <w:b/>
                <w:bCs/>
                <w:sz w:val="20"/>
                <w:szCs w:val="20"/>
              </w:rPr>
              <w:t>Indication:</w:t>
            </w:r>
            <w:r w:rsidRPr="00056A6A">
              <w:rPr>
                <w:rFonts w:ascii="Arial Narrow" w:hAnsi="Arial Narrow"/>
                <w:sz w:val="20"/>
                <w:szCs w:val="20"/>
              </w:rPr>
              <w:t xml:space="preserve"> Non-small cell lung cancer </w:t>
            </w:r>
            <w:r w:rsidRPr="00056A6A">
              <w:rPr>
                <w:rFonts w:ascii="Arial Narrow" w:hAnsi="Arial Narrow"/>
                <w:strike/>
                <w:sz w:val="20"/>
                <w:szCs w:val="20"/>
              </w:rPr>
              <w:t>Resectable (tumours ≥ 4 cm or node positive) non-small cell lung cancer (NSCLC)</w:t>
            </w:r>
          </w:p>
        </w:tc>
      </w:tr>
      <w:tr w:rsidR="00B52F8C" w:rsidRPr="00056A6A" w14:paraId="46F1B0D1" w14:textId="2DDD6622" w:rsidTr="00B52F8C">
        <w:tc>
          <w:tcPr>
            <w:tcW w:w="5000" w:type="pct"/>
          </w:tcPr>
          <w:p w14:paraId="500ABC96" w14:textId="2843032C" w:rsidR="00B52F8C" w:rsidRPr="00056A6A" w:rsidRDefault="00B52F8C" w:rsidP="002B7520">
            <w:pPr>
              <w:ind w:left="-57"/>
              <w:rPr>
                <w:rFonts w:ascii="Arial Narrow" w:hAnsi="Arial Narrow"/>
                <w:i/>
                <w:iCs/>
                <w:sz w:val="20"/>
                <w:szCs w:val="20"/>
                <w:highlight w:val="lightGray"/>
              </w:rPr>
            </w:pPr>
          </w:p>
        </w:tc>
      </w:tr>
      <w:tr w:rsidR="00B52F8C" w:rsidRPr="00056A6A" w14:paraId="75CBB1DE" w14:textId="256592AA" w:rsidTr="00B52F8C">
        <w:tc>
          <w:tcPr>
            <w:tcW w:w="5000" w:type="pct"/>
            <w:hideMark/>
          </w:tcPr>
          <w:p w14:paraId="79D8308E" w14:textId="0338641E" w:rsidR="00B52F8C" w:rsidRPr="00056A6A" w:rsidRDefault="00B52F8C" w:rsidP="002B7520">
            <w:pPr>
              <w:ind w:left="-57"/>
              <w:rPr>
                <w:rFonts w:ascii="Arial Narrow" w:hAnsi="Arial Narrow"/>
                <w:sz w:val="20"/>
                <w:szCs w:val="20"/>
                <w:highlight w:val="lightGray"/>
              </w:rPr>
            </w:pPr>
            <w:r w:rsidRPr="00056A6A">
              <w:rPr>
                <w:rFonts w:ascii="Arial Narrow" w:hAnsi="Arial Narrow"/>
                <w:b/>
                <w:bCs/>
                <w:color w:val="BFBFBF" w:themeColor="background1" w:themeShade="BF"/>
                <w:sz w:val="20"/>
                <w:szCs w:val="20"/>
              </w:rPr>
              <w:t>Treatment Phase:</w:t>
            </w:r>
            <w:r w:rsidRPr="00056A6A">
              <w:rPr>
                <w:rFonts w:ascii="Arial Narrow" w:hAnsi="Arial Narrow"/>
                <w:color w:val="BFBFBF" w:themeColor="background1" w:themeShade="BF"/>
                <w:sz w:val="20"/>
                <w:szCs w:val="20"/>
              </w:rPr>
              <w:t xml:space="preserve"> [blank]</w:t>
            </w:r>
          </w:p>
        </w:tc>
      </w:tr>
      <w:tr w:rsidR="00B52F8C" w:rsidRPr="00056A6A" w14:paraId="39B1C266" w14:textId="5BED429C" w:rsidTr="00B52F8C">
        <w:tc>
          <w:tcPr>
            <w:tcW w:w="5000" w:type="pct"/>
          </w:tcPr>
          <w:p w14:paraId="43734F30" w14:textId="6F34E976" w:rsidR="00B52F8C" w:rsidRPr="00056A6A" w:rsidRDefault="00B52F8C" w:rsidP="002B7520">
            <w:pPr>
              <w:ind w:left="-57"/>
              <w:rPr>
                <w:rFonts w:ascii="Arial Narrow" w:hAnsi="Arial Narrow"/>
                <w:i/>
                <w:iCs/>
                <w:sz w:val="20"/>
                <w:szCs w:val="20"/>
                <w:highlight w:val="lightGray"/>
              </w:rPr>
            </w:pPr>
          </w:p>
        </w:tc>
      </w:tr>
      <w:tr w:rsidR="00B52F8C" w:rsidRPr="00056A6A" w14:paraId="3137A624" w14:textId="635DCAE5" w:rsidTr="00B52F8C">
        <w:tc>
          <w:tcPr>
            <w:tcW w:w="5000" w:type="pct"/>
          </w:tcPr>
          <w:p w14:paraId="66F71D9B" w14:textId="0A6BC47E" w:rsidR="00B52F8C" w:rsidRPr="00A33529" w:rsidRDefault="00B52F8C" w:rsidP="002B7520">
            <w:pPr>
              <w:ind w:left="-57"/>
              <w:rPr>
                <w:rFonts w:ascii="Arial Narrow" w:hAnsi="Arial Narrow"/>
                <w:sz w:val="20"/>
                <w:szCs w:val="20"/>
                <w:highlight w:val="lightGray"/>
              </w:rPr>
            </w:pPr>
            <w:r w:rsidRPr="00A33529">
              <w:rPr>
                <w:rFonts w:ascii="Arial Narrow" w:hAnsi="Arial Narrow"/>
                <w:b/>
                <w:bCs/>
                <w:sz w:val="20"/>
                <w:szCs w:val="20"/>
              </w:rPr>
              <w:t>Clinical criteria:</w:t>
            </w:r>
          </w:p>
        </w:tc>
      </w:tr>
      <w:tr w:rsidR="00B52F8C" w:rsidRPr="00056A6A" w14:paraId="192095AD" w14:textId="7D49C4EF" w:rsidTr="00B52F8C">
        <w:tc>
          <w:tcPr>
            <w:tcW w:w="5000" w:type="pct"/>
          </w:tcPr>
          <w:p w14:paraId="37DFA097" w14:textId="55B0DE37" w:rsidR="00B52F8C" w:rsidRPr="00A33529" w:rsidRDefault="00B52F8C" w:rsidP="002B7520">
            <w:pPr>
              <w:ind w:left="-57"/>
              <w:rPr>
                <w:rFonts w:ascii="Arial Narrow" w:hAnsi="Arial Narrow"/>
                <w:i/>
                <w:iCs/>
                <w:sz w:val="20"/>
                <w:szCs w:val="20"/>
                <w:highlight w:val="lightGray"/>
              </w:rPr>
            </w:pPr>
            <w:r w:rsidRPr="00A33529">
              <w:rPr>
                <w:rFonts w:ascii="Arial Narrow" w:hAnsi="Arial Narrow"/>
                <w:i/>
                <w:iCs/>
                <w:sz w:val="20"/>
                <w:szCs w:val="20"/>
              </w:rPr>
              <w:t>The condition must be at least one of: (i) node positive, (ii) at least 4 cm in size</w:t>
            </w:r>
          </w:p>
        </w:tc>
      </w:tr>
      <w:tr w:rsidR="00B52F8C" w:rsidRPr="00056A6A" w14:paraId="4868537E" w14:textId="4C1E1B17" w:rsidTr="00B52F8C">
        <w:tc>
          <w:tcPr>
            <w:tcW w:w="5000" w:type="pct"/>
          </w:tcPr>
          <w:p w14:paraId="2B03B5F5" w14:textId="6A54A3D5" w:rsidR="00B52F8C" w:rsidRPr="00A33529" w:rsidRDefault="00B52F8C" w:rsidP="002B7520">
            <w:pPr>
              <w:ind w:left="-57"/>
              <w:rPr>
                <w:rFonts w:ascii="Arial Narrow" w:hAnsi="Arial Narrow"/>
                <w:sz w:val="20"/>
                <w:szCs w:val="20"/>
                <w:highlight w:val="lightGray"/>
              </w:rPr>
            </w:pPr>
            <w:r w:rsidRPr="00A33529">
              <w:rPr>
                <w:rFonts w:ascii="Arial Narrow" w:hAnsi="Arial Narrow"/>
                <w:b/>
                <w:bCs/>
                <w:sz w:val="20"/>
                <w:szCs w:val="20"/>
              </w:rPr>
              <w:t>AND</w:t>
            </w:r>
          </w:p>
        </w:tc>
      </w:tr>
      <w:tr w:rsidR="00B52F8C" w:rsidRPr="00056A6A" w14:paraId="1DBE7948" w14:textId="63245C71" w:rsidTr="00B52F8C">
        <w:tc>
          <w:tcPr>
            <w:tcW w:w="5000" w:type="pct"/>
            <w:hideMark/>
          </w:tcPr>
          <w:p w14:paraId="765E610F" w14:textId="10C7FC3D" w:rsidR="00B52F8C" w:rsidRPr="00A33529" w:rsidRDefault="00B52F8C" w:rsidP="002B7520">
            <w:pPr>
              <w:ind w:left="-57"/>
              <w:rPr>
                <w:rFonts w:ascii="Arial Narrow" w:hAnsi="Arial Narrow"/>
                <w:b/>
                <w:bCs/>
                <w:sz w:val="20"/>
                <w:szCs w:val="20"/>
                <w:highlight w:val="lightGray"/>
              </w:rPr>
            </w:pPr>
            <w:r w:rsidRPr="00A33529">
              <w:rPr>
                <w:rFonts w:ascii="Arial Narrow" w:hAnsi="Arial Narrow"/>
                <w:b/>
                <w:bCs/>
                <w:sz w:val="20"/>
                <w:szCs w:val="20"/>
              </w:rPr>
              <w:t>Clinical criteria:</w:t>
            </w:r>
          </w:p>
        </w:tc>
      </w:tr>
      <w:tr w:rsidR="00B52F8C" w:rsidRPr="00056A6A" w14:paraId="160FDD86" w14:textId="54A8CFE3" w:rsidTr="00B52F8C">
        <w:tc>
          <w:tcPr>
            <w:tcW w:w="5000" w:type="pct"/>
          </w:tcPr>
          <w:p w14:paraId="33A9D9A8" w14:textId="46AF7859" w:rsidR="00B52F8C" w:rsidRPr="00056A6A" w:rsidRDefault="00B52F8C" w:rsidP="002B7520">
            <w:pPr>
              <w:ind w:left="-57"/>
              <w:rPr>
                <w:rFonts w:ascii="Arial Narrow" w:hAnsi="Arial Narrow"/>
                <w:i/>
                <w:iCs/>
                <w:sz w:val="20"/>
                <w:szCs w:val="20"/>
                <w:highlight w:val="lightGray"/>
              </w:rPr>
            </w:pPr>
            <w:r w:rsidRPr="00056A6A">
              <w:rPr>
                <w:rFonts w:ascii="Arial Narrow" w:hAnsi="Arial Narrow"/>
                <w:i/>
                <w:iCs/>
                <w:sz w:val="20"/>
                <w:szCs w:val="20"/>
              </w:rPr>
              <w:t xml:space="preserve">The treatment must be for the purpose of neoadjuvant use to the primary treatment of surgical resection, as a once per lifetime course of 3 doses. </w:t>
            </w:r>
          </w:p>
        </w:tc>
      </w:tr>
      <w:tr w:rsidR="00B52F8C" w:rsidRPr="00056A6A" w14:paraId="1D9EA37E" w14:textId="0CE015B4" w:rsidTr="00B52F8C">
        <w:tc>
          <w:tcPr>
            <w:tcW w:w="5000" w:type="pct"/>
          </w:tcPr>
          <w:p w14:paraId="3E09EB8F" w14:textId="39D3C958" w:rsidR="00B52F8C" w:rsidRPr="00056A6A" w:rsidRDefault="00B52F8C" w:rsidP="002B7520">
            <w:pPr>
              <w:pStyle w:val="Tabletext"/>
              <w:rPr>
                <w:szCs w:val="20"/>
              </w:rPr>
            </w:pPr>
            <w:r w:rsidRPr="00056A6A">
              <w:rPr>
                <w:rFonts w:cs="Arial"/>
                <w:strike/>
                <w:snapToGrid/>
                <w:szCs w:val="20"/>
              </w:rPr>
              <w:t>Patient must be preparing for surgical resection (neoadjuvant treatment)</w:t>
            </w:r>
          </w:p>
        </w:tc>
      </w:tr>
      <w:tr w:rsidR="00B52F8C" w:rsidRPr="00056A6A" w14:paraId="3BF484A0" w14:textId="546314A4" w:rsidTr="00B52F8C">
        <w:tc>
          <w:tcPr>
            <w:tcW w:w="5000" w:type="pct"/>
          </w:tcPr>
          <w:p w14:paraId="2724704A" w14:textId="3A29104C" w:rsidR="00B52F8C" w:rsidRPr="00056A6A" w:rsidRDefault="00B52F8C" w:rsidP="002B7520">
            <w:pPr>
              <w:ind w:left="-57"/>
              <w:rPr>
                <w:rFonts w:ascii="Arial Narrow" w:hAnsi="Arial Narrow"/>
                <w:b/>
                <w:bCs/>
                <w:sz w:val="20"/>
                <w:szCs w:val="20"/>
                <w:highlight w:val="lightGray"/>
              </w:rPr>
            </w:pPr>
            <w:r w:rsidRPr="00056A6A">
              <w:rPr>
                <w:rFonts w:ascii="Arial Narrow" w:hAnsi="Arial Narrow"/>
                <w:b/>
                <w:bCs/>
                <w:sz w:val="20"/>
                <w:szCs w:val="20"/>
              </w:rPr>
              <w:t>AND</w:t>
            </w:r>
          </w:p>
        </w:tc>
      </w:tr>
      <w:tr w:rsidR="00B52F8C" w:rsidRPr="00056A6A" w14:paraId="6F366B2C" w14:textId="30402782" w:rsidTr="00B52F8C">
        <w:tc>
          <w:tcPr>
            <w:tcW w:w="5000" w:type="pct"/>
          </w:tcPr>
          <w:p w14:paraId="01713622" w14:textId="26B95D61" w:rsidR="00B52F8C" w:rsidRPr="00056A6A" w:rsidRDefault="00B52F8C" w:rsidP="002B7520">
            <w:pPr>
              <w:ind w:left="-57"/>
              <w:rPr>
                <w:rFonts w:ascii="Arial Narrow" w:hAnsi="Arial Narrow"/>
                <w:sz w:val="20"/>
                <w:szCs w:val="20"/>
                <w:highlight w:val="lightGray"/>
              </w:rPr>
            </w:pPr>
            <w:r w:rsidRPr="00056A6A">
              <w:rPr>
                <w:rFonts w:ascii="Arial Narrow" w:hAnsi="Arial Narrow"/>
                <w:b/>
                <w:bCs/>
                <w:sz w:val="20"/>
                <w:szCs w:val="20"/>
              </w:rPr>
              <w:t>Clinical criteria:</w:t>
            </w:r>
          </w:p>
        </w:tc>
      </w:tr>
      <w:tr w:rsidR="00B52F8C" w:rsidRPr="00056A6A" w14:paraId="6BBF3C79" w14:textId="725D823A" w:rsidTr="00B52F8C">
        <w:tc>
          <w:tcPr>
            <w:tcW w:w="5000" w:type="pct"/>
          </w:tcPr>
          <w:p w14:paraId="2DCEA5E6" w14:textId="2EA10585" w:rsidR="00B52F8C" w:rsidRPr="00056A6A" w:rsidRDefault="00B52F8C" w:rsidP="002B7520">
            <w:pPr>
              <w:ind w:left="-57"/>
              <w:rPr>
                <w:rFonts w:ascii="Arial Narrow" w:hAnsi="Arial Narrow"/>
                <w:i/>
                <w:iCs/>
                <w:sz w:val="20"/>
                <w:szCs w:val="20"/>
                <w:highlight w:val="lightGray"/>
              </w:rPr>
            </w:pPr>
            <w:r w:rsidRPr="00056A6A">
              <w:rPr>
                <w:rFonts w:ascii="Arial Narrow" w:hAnsi="Arial Narrow"/>
                <w:i/>
                <w:iCs/>
                <w:sz w:val="20"/>
                <w:szCs w:val="20"/>
              </w:rPr>
              <w:t>Patient must have a WHO performance status of 0 or 1</w:t>
            </w:r>
          </w:p>
        </w:tc>
      </w:tr>
      <w:tr w:rsidR="00B52F8C" w:rsidRPr="00056A6A" w14:paraId="4D7D8F6D" w14:textId="341C0198" w:rsidTr="00B52F8C">
        <w:tc>
          <w:tcPr>
            <w:tcW w:w="5000" w:type="pct"/>
          </w:tcPr>
          <w:p w14:paraId="1DA491E4" w14:textId="5C689B55" w:rsidR="00B52F8C" w:rsidRPr="00056A6A" w:rsidRDefault="00B52F8C" w:rsidP="002B7520">
            <w:pPr>
              <w:pStyle w:val="Tabletext"/>
              <w:rPr>
                <w:rFonts w:cs="Arial"/>
                <w:strike/>
                <w:snapToGrid/>
                <w:szCs w:val="20"/>
              </w:rPr>
            </w:pPr>
            <w:r w:rsidRPr="00056A6A">
              <w:rPr>
                <w:rFonts w:cs="Arial"/>
                <w:strike/>
                <w:snapToGrid/>
                <w:szCs w:val="20"/>
              </w:rPr>
              <w:t>Patient must have an Eastern Cooperative Performance Group (ECOG) performance status of 0 or 1,</w:t>
            </w:r>
          </w:p>
        </w:tc>
      </w:tr>
      <w:tr w:rsidR="00B52F8C" w:rsidRPr="00056A6A" w14:paraId="1D251F47" w14:textId="5940D72F" w:rsidTr="00B52F8C">
        <w:tc>
          <w:tcPr>
            <w:tcW w:w="5000" w:type="pct"/>
          </w:tcPr>
          <w:p w14:paraId="0392431B" w14:textId="67BD039F" w:rsidR="00B52F8C" w:rsidRPr="00056A6A" w:rsidRDefault="00B52F8C" w:rsidP="002B7520">
            <w:pPr>
              <w:ind w:left="-57"/>
              <w:rPr>
                <w:rFonts w:ascii="Arial Narrow" w:hAnsi="Arial Narrow"/>
                <w:sz w:val="20"/>
                <w:szCs w:val="20"/>
                <w:highlight w:val="lightGray"/>
              </w:rPr>
            </w:pPr>
            <w:r w:rsidRPr="00056A6A">
              <w:rPr>
                <w:rFonts w:ascii="Arial Narrow" w:hAnsi="Arial Narrow"/>
                <w:b/>
                <w:bCs/>
                <w:sz w:val="20"/>
                <w:szCs w:val="20"/>
              </w:rPr>
              <w:t>AND</w:t>
            </w:r>
          </w:p>
        </w:tc>
      </w:tr>
      <w:tr w:rsidR="00B52F8C" w:rsidRPr="00056A6A" w14:paraId="37404B5C" w14:textId="6C6FE05F" w:rsidTr="00B52F8C">
        <w:tc>
          <w:tcPr>
            <w:tcW w:w="5000" w:type="pct"/>
          </w:tcPr>
          <w:p w14:paraId="57DF9412" w14:textId="495F69EF" w:rsidR="00B52F8C" w:rsidRPr="00056A6A" w:rsidRDefault="00B52F8C" w:rsidP="002B7520">
            <w:pPr>
              <w:ind w:left="-57"/>
              <w:rPr>
                <w:rFonts w:ascii="Arial Narrow" w:hAnsi="Arial Narrow"/>
                <w:sz w:val="20"/>
                <w:szCs w:val="20"/>
                <w:highlight w:val="lightGray"/>
              </w:rPr>
            </w:pPr>
            <w:r w:rsidRPr="00056A6A">
              <w:rPr>
                <w:rFonts w:ascii="Arial Narrow" w:hAnsi="Arial Narrow"/>
                <w:b/>
                <w:bCs/>
                <w:sz w:val="20"/>
                <w:szCs w:val="20"/>
              </w:rPr>
              <w:t>Clinical criteria:</w:t>
            </w:r>
          </w:p>
        </w:tc>
      </w:tr>
      <w:tr w:rsidR="00B52F8C" w:rsidRPr="00056A6A" w14:paraId="183497E9" w14:textId="347EA9A9" w:rsidTr="00B52F8C">
        <w:tc>
          <w:tcPr>
            <w:tcW w:w="5000" w:type="pct"/>
          </w:tcPr>
          <w:p w14:paraId="339C8F5C" w14:textId="414CA5BA" w:rsidR="00B52F8C" w:rsidRPr="00056A6A" w:rsidRDefault="00B52F8C" w:rsidP="002B7520">
            <w:pPr>
              <w:ind w:left="-57"/>
              <w:rPr>
                <w:rFonts w:ascii="Arial Narrow" w:hAnsi="Arial Narrow"/>
                <w:sz w:val="20"/>
                <w:szCs w:val="20"/>
                <w:highlight w:val="lightGray"/>
              </w:rPr>
            </w:pPr>
            <w:r w:rsidRPr="00056A6A">
              <w:rPr>
                <w:rFonts w:ascii="Arial Narrow" w:hAnsi="Arial Narrow"/>
                <w:sz w:val="20"/>
                <w:szCs w:val="20"/>
              </w:rPr>
              <w:t>The treatment must be in combination with platinum-based chemotherapy</w:t>
            </w:r>
          </w:p>
        </w:tc>
      </w:tr>
      <w:tr w:rsidR="00B52F8C" w:rsidRPr="00056A6A" w14:paraId="2A60675F" w14:textId="09A823AE" w:rsidTr="00B52F8C">
        <w:tc>
          <w:tcPr>
            <w:tcW w:w="5000" w:type="pct"/>
          </w:tcPr>
          <w:p w14:paraId="0F181814" w14:textId="115875B4" w:rsidR="00B52F8C" w:rsidRPr="00056A6A" w:rsidRDefault="00B52F8C" w:rsidP="002B7520">
            <w:pPr>
              <w:ind w:left="-57"/>
              <w:rPr>
                <w:rFonts w:ascii="Arial Narrow" w:hAnsi="Arial Narrow"/>
                <w:sz w:val="20"/>
                <w:szCs w:val="20"/>
              </w:rPr>
            </w:pPr>
            <w:r w:rsidRPr="00056A6A">
              <w:rPr>
                <w:rFonts w:ascii="Arial Narrow" w:hAnsi="Arial Narrow"/>
                <w:sz w:val="20"/>
                <w:szCs w:val="20"/>
              </w:rPr>
              <w:t>AND</w:t>
            </w:r>
          </w:p>
        </w:tc>
      </w:tr>
      <w:tr w:rsidR="00B52F8C" w:rsidRPr="00155174" w14:paraId="4BA3A830" w14:textId="2263A8C2" w:rsidTr="00B52F8C">
        <w:tc>
          <w:tcPr>
            <w:tcW w:w="5000" w:type="pct"/>
          </w:tcPr>
          <w:p w14:paraId="41B804F9" w14:textId="5FBAF55C" w:rsidR="00B52F8C" w:rsidRPr="00AB7CE9" w:rsidRDefault="00B52F8C" w:rsidP="002B7520">
            <w:pPr>
              <w:ind w:left="-57"/>
              <w:rPr>
                <w:rFonts w:ascii="Arial Narrow" w:hAnsi="Arial Narrow"/>
                <w:strike/>
                <w:sz w:val="20"/>
                <w:szCs w:val="20"/>
              </w:rPr>
            </w:pPr>
            <w:r w:rsidRPr="00AB7CE9">
              <w:rPr>
                <w:rFonts w:ascii="Arial Narrow" w:hAnsi="Arial Narrow"/>
                <w:strike/>
                <w:sz w:val="20"/>
                <w:szCs w:val="20"/>
              </w:rPr>
              <w:t>The treatment must not exceed a total of 3 doses of nivolumab</w:t>
            </w:r>
          </w:p>
        </w:tc>
      </w:tr>
      <w:tr w:rsidR="00B52F8C" w:rsidRPr="00155174" w14:paraId="60080DD9" w14:textId="10B08C0F" w:rsidTr="00B52F8C">
        <w:tc>
          <w:tcPr>
            <w:tcW w:w="5000" w:type="pct"/>
          </w:tcPr>
          <w:p w14:paraId="782C8C1C" w14:textId="00BDE96C" w:rsidR="00B52F8C" w:rsidRPr="00AB7CE9" w:rsidRDefault="00B52F8C" w:rsidP="002B7520">
            <w:pPr>
              <w:ind w:left="-57"/>
              <w:rPr>
                <w:rFonts w:ascii="Arial Narrow" w:hAnsi="Arial Narrow"/>
                <w:b/>
                <w:bCs/>
                <w:sz w:val="20"/>
                <w:szCs w:val="20"/>
              </w:rPr>
            </w:pPr>
            <w:r w:rsidRPr="00AB7CE9">
              <w:rPr>
                <w:rFonts w:ascii="Arial Narrow" w:hAnsi="Arial Narrow"/>
                <w:b/>
                <w:bCs/>
                <w:sz w:val="20"/>
                <w:szCs w:val="20"/>
              </w:rPr>
              <w:t xml:space="preserve">Administrative Advice: </w:t>
            </w:r>
            <w:r w:rsidRPr="00AB7CE9">
              <w:rPr>
                <w:rFonts w:ascii="Arial Narrow" w:hAnsi="Arial Narrow"/>
                <w:sz w:val="20"/>
                <w:szCs w:val="20"/>
              </w:rPr>
              <w:t xml:space="preserve">No increase in the maximum number of repeats may be authorised. </w:t>
            </w:r>
          </w:p>
        </w:tc>
      </w:tr>
      <w:tr w:rsidR="00B52F8C" w:rsidRPr="00155174" w14:paraId="439A520E" w14:textId="62ACFD38" w:rsidTr="00B52F8C">
        <w:tc>
          <w:tcPr>
            <w:tcW w:w="5000" w:type="pct"/>
          </w:tcPr>
          <w:p w14:paraId="4477D104" w14:textId="40B7B524" w:rsidR="00B52F8C" w:rsidRPr="00AB7CE9" w:rsidRDefault="00B52F8C" w:rsidP="002B7520">
            <w:pPr>
              <w:ind w:left="-57"/>
              <w:rPr>
                <w:rFonts w:ascii="Arial Narrow" w:hAnsi="Arial Narrow"/>
                <w:sz w:val="20"/>
                <w:szCs w:val="20"/>
              </w:rPr>
            </w:pPr>
            <w:r w:rsidRPr="00AB7CE9">
              <w:rPr>
                <w:rFonts w:ascii="Arial Narrow" w:hAnsi="Arial Narrow"/>
                <w:b/>
                <w:bCs/>
                <w:sz w:val="20"/>
                <w:szCs w:val="20"/>
              </w:rPr>
              <w:t>Administrative Advice:</w:t>
            </w:r>
            <w:r w:rsidRPr="00AB7CE9">
              <w:rPr>
                <w:rFonts w:ascii="Arial Narrow" w:hAnsi="Arial Narrow"/>
                <w:sz w:val="20"/>
                <w:szCs w:val="20"/>
              </w:rPr>
              <w:t xml:space="preserve"> Special Pricing Arrangements apply.</w:t>
            </w:r>
          </w:p>
        </w:tc>
      </w:tr>
    </w:tbl>
    <w:p w14:paraId="59D3EF89" w14:textId="67738BE3" w:rsidR="006600B2" w:rsidRPr="005120AC" w:rsidRDefault="006600B2" w:rsidP="0075396F">
      <w:pPr>
        <w:keepNext/>
        <w:spacing w:before="120"/>
        <w:rPr>
          <w:rFonts w:asciiTheme="minorHAnsi" w:hAnsiTheme="minorHAnsi" w:cstheme="minorHAnsi"/>
          <w:b/>
          <w:bCs/>
          <w:i/>
          <w:iCs/>
        </w:rPr>
      </w:pPr>
      <w:r w:rsidRPr="005120AC">
        <w:rPr>
          <w:rFonts w:asciiTheme="minorHAnsi" w:hAnsiTheme="minorHAnsi" w:cstheme="minorHAnsi"/>
          <w:b/>
          <w:bCs/>
          <w:iCs/>
        </w:rPr>
        <w:t>Proposed restriction Scenario 2</w:t>
      </w:r>
      <w:r w:rsidR="005120AC" w:rsidRPr="005120AC">
        <w:rPr>
          <w:rFonts w:asciiTheme="minorHAnsi" w:hAnsiTheme="minorHAnsi" w:cstheme="minorHAnsi"/>
          <w:b/>
          <w:bCs/>
          <w:iCs/>
        </w:rPr>
        <w:t>:</w:t>
      </w:r>
    </w:p>
    <w:tbl>
      <w:tblPr>
        <w:tblStyle w:val="newstyle1"/>
        <w:tblW w:w="5000" w:type="pct"/>
        <w:tblLook w:val="04A0" w:firstRow="1" w:lastRow="0" w:firstColumn="1" w:lastColumn="0" w:noHBand="0" w:noVBand="1"/>
      </w:tblPr>
      <w:tblGrid>
        <w:gridCol w:w="9017"/>
      </w:tblGrid>
      <w:tr w:rsidR="006600B2" w:rsidRPr="00B52F8C" w14:paraId="399B40D2" w14:textId="48D2F0A2" w:rsidTr="0075396F">
        <w:trPr>
          <w:trHeight w:val="397"/>
        </w:trPr>
        <w:tc>
          <w:tcPr>
            <w:tcW w:w="5000" w:type="pct"/>
          </w:tcPr>
          <w:p w14:paraId="32992E8A" w14:textId="76BC3EFE" w:rsidR="006600B2" w:rsidRPr="00B52F8C" w:rsidRDefault="006600B2" w:rsidP="0075396F">
            <w:pPr>
              <w:keepNext/>
              <w:spacing w:before="100" w:beforeAutospacing="1" w:after="100" w:afterAutospacing="1"/>
              <w:rPr>
                <w:rFonts w:ascii="Arial Narrow" w:hAnsi="Arial Narrow"/>
                <w:b/>
                <w:bCs/>
                <w:sz w:val="20"/>
                <w:szCs w:val="20"/>
              </w:rPr>
            </w:pPr>
            <w:r w:rsidRPr="00B52F8C">
              <w:rPr>
                <w:rFonts w:ascii="Arial Narrow" w:hAnsi="Arial Narrow"/>
                <w:b/>
                <w:bCs/>
                <w:sz w:val="20"/>
                <w:szCs w:val="20"/>
              </w:rPr>
              <w:t>Restriction Summary / Treatment of Concept: [New 1] :</w:t>
            </w:r>
            <w:r w:rsidR="00CC7AE8">
              <w:rPr>
                <w:rFonts w:ascii="Arial Narrow" w:hAnsi="Arial Narrow"/>
                <w:b/>
                <w:bCs/>
                <w:sz w:val="20"/>
                <w:szCs w:val="20"/>
              </w:rPr>
              <w:t xml:space="preserve"> </w:t>
            </w:r>
            <w:r w:rsidRPr="00B52F8C">
              <w:rPr>
                <w:rFonts w:ascii="Arial Narrow" w:hAnsi="Arial Narrow"/>
                <w:b/>
                <w:bCs/>
                <w:sz w:val="20"/>
                <w:szCs w:val="20"/>
              </w:rPr>
              <w:t>Authority Required (STREAMLINED)</w:t>
            </w:r>
          </w:p>
        </w:tc>
      </w:tr>
      <w:tr w:rsidR="00B52F8C" w:rsidRPr="00B52F8C" w14:paraId="7C2EE12A" w14:textId="14E3D822" w:rsidTr="00B52F8C">
        <w:tc>
          <w:tcPr>
            <w:tcW w:w="5000" w:type="pct"/>
          </w:tcPr>
          <w:p w14:paraId="25B3C23A" w14:textId="1E99FF4C" w:rsidR="00B52F8C" w:rsidRPr="00B52F8C" w:rsidRDefault="00B52F8C" w:rsidP="0070431F">
            <w:pPr>
              <w:keepNext/>
              <w:ind w:left="-57"/>
              <w:rPr>
                <w:rFonts w:ascii="Arial Narrow" w:hAnsi="Arial Narrow"/>
                <w:i/>
                <w:iCs/>
                <w:sz w:val="20"/>
                <w:szCs w:val="20"/>
                <w:highlight w:val="lightGray"/>
              </w:rPr>
            </w:pPr>
            <w:r w:rsidRPr="00B52F8C">
              <w:rPr>
                <w:rFonts w:ascii="Arial Narrow" w:hAnsi="Arial Narrow"/>
                <w:b/>
                <w:bCs/>
                <w:sz w:val="20"/>
                <w:szCs w:val="20"/>
              </w:rPr>
              <w:t>Indication:</w:t>
            </w:r>
            <w:r w:rsidRPr="00B52F8C">
              <w:rPr>
                <w:rFonts w:ascii="Arial Narrow" w:hAnsi="Arial Narrow"/>
                <w:sz w:val="20"/>
                <w:szCs w:val="20"/>
              </w:rPr>
              <w:t xml:space="preserve"> Non-small cell lung cancer </w:t>
            </w:r>
            <w:r w:rsidRPr="00B52F8C">
              <w:rPr>
                <w:rFonts w:ascii="Arial Narrow" w:hAnsi="Arial Narrow"/>
                <w:strike/>
                <w:sz w:val="20"/>
                <w:szCs w:val="20"/>
              </w:rPr>
              <w:t>Resectable (tumours ≥ 4 cm or node positive) non-small cell lung cancer (NSCLC)</w:t>
            </w:r>
          </w:p>
        </w:tc>
      </w:tr>
      <w:tr w:rsidR="00B52F8C" w:rsidRPr="00B52F8C" w14:paraId="51CACB4D" w14:textId="3AACAF57" w:rsidTr="00B52F8C">
        <w:tc>
          <w:tcPr>
            <w:tcW w:w="5000" w:type="pct"/>
          </w:tcPr>
          <w:p w14:paraId="4B031F0B" w14:textId="5DB9C44D" w:rsidR="00B52F8C" w:rsidRPr="00B52F8C" w:rsidRDefault="00B52F8C" w:rsidP="0070431F">
            <w:pPr>
              <w:keepNext/>
              <w:ind w:left="-57"/>
              <w:rPr>
                <w:rFonts w:ascii="Arial Narrow" w:hAnsi="Arial Narrow"/>
                <w:b/>
                <w:bCs/>
                <w:sz w:val="20"/>
                <w:szCs w:val="20"/>
              </w:rPr>
            </w:pPr>
          </w:p>
        </w:tc>
      </w:tr>
      <w:tr w:rsidR="00B52F8C" w:rsidRPr="00B52F8C" w14:paraId="6A6BA0D7" w14:textId="3B6F5131" w:rsidTr="00B52F8C">
        <w:tc>
          <w:tcPr>
            <w:tcW w:w="5000" w:type="pct"/>
          </w:tcPr>
          <w:p w14:paraId="789E428A" w14:textId="7B99195F" w:rsidR="00B52F8C" w:rsidRPr="00B52F8C" w:rsidRDefault="00B52F8C" w:rsidP="0070431F">
            <w:pPr>
              <w:keepNext/>
              <w:ind w:left="-57"/>
              <w:rPr>
                <w:rFonts w:ascii="Arial Narrow" w:hAnsi="Arial Narrow"/>
                <w:sz w:val="20"/>
                <w:szCs w:val="20"/>
                <w:highlight w:val="lightGray"/>
              </w:rPr>
            </w:pPr>
            <w:r w:rsidRPr="00B52F8C">
              <w:rPr>
                <w:rFonts w:ascii="Arial Narrow" w:hAnsi="Arial Narrow"/>
                <w:b/>
                <w:bCs/>
                <w:color w:val="BFBFBF" w:themeColor="background1" w:themeShade="BF"/>
                <w:sz w:val="20"/>
                <w:szCs w:val="20"/>
              </w:rPr>
              <w:t>Treatment Phase:</w:t>
            </w:r>
            <w:r w:rsidRPr="00B52F8C">
              <w:rPr>
                <w:rFonts w:ascii="Arial Narrow" w:hAnsi="Arial Narrow"/>
                <w:color w:val="BFBFBF" w:themeColor="background1" w:themeShade="BF"/>
                <w:sz w:val="20"/>
                <w:szCs w:val="20"/>
              </w:rPr>
              <w:t xml:space="preserve"> [blank]</w:t>
            </w:r>
          </w:p>
        </w:tc>
      </w:tr>
      <w:tr w:rsidR="00B52F8C" w:rsidRPr="00B52F8C" w14:paraId="7123CAE4" w14:textId="4DEF9AC1" w:rsidTr="00B52F8C">
        <w:tc>
          <w:tcPr>
            <w:tcW w:w="5000" w:type="pct"/>
          </w:tcPr>
          <w:p w14:paraId="124EB934" w14:textId="362BEB53" w:rsidR="00B52F8C" w:rsidRPr="00B52F8C" w:rsidRDefault="00B52F8C" w:rsidP="0070431F">
            <w:pPr>
              <w:keepNext/>
              <w:ind w:left="-57"/>
              <w:rPr>
                <w:rFonts w:ascii="Arial Narrow" w:hAnsi="Arial Narrow"/>
                <w:sz w:val="20"/>
                <w:szCs w:val="20"/>
                <w:highlight w:val="lightGray"/>
              </w:rPr>
            </w:pPr>
          </w:p>
        </w:tc>
      </w:tr>
      <w:tr w:rsidR="00B52F8C" w:rsidRPr="00B52F8C" w14:paraId="3A158C1B" w14:textId="315E7FD4" w:rsidTr="00B52F8C">
        <w:tc>
          <w:tcPr>
            <w:tcW w:w="5000" w:type="pct"/>
          </w:tcPr>
          <w:p w14:paraId="71C8A958" w14:textId="5698721C" w:rsidR="00B52F8C" w:rsidRPr="00B52F8C" w:rsidRDefault="00B52F8C" w:rsidP="0070431F">
            <w:pPr>
              <w:keepNext/>
              <w:ind w:left="-57"/>
              <w:rPr>
                <w:rFonts w:ascii="Arial Narrow" w:hAnsi="Arial Narrow"/>
                <w:sz w:val="20"/>
                <w:szCs w:val="20"/>
                <w:highlight w:val="lightGray"/>
              </w:rPr>
            </w:pPr>
            <w:r w:rsidRPr="00B52F8C">
              <w:rPr>
                <w:rFonts w:ascii="Arial Narrow" w:hAnsi="Arial Narrow"/>
                <w:b/>
                <w:bCs/>
                <w:sz w:val="20"/>
                <w:szCs w:val="20"/>
              </w:rPr>
              <w:t>Clinical criteria:</w:t>
            </w:r>
          </w:p>
        </w:tc>
      </w:tr>
      <w:tr w:rsidR="00B52F8C" w:rsidRPr="00B52F8C" w14:paraId="25E270B5" w14:textId="75D7A686" w:rsidTr="00B52F8C">
        <w:tc>
          <w:tcPr>
            <w:tcW w:w="5000" w:type="pct"/>
          </w:tcPr>
          <w:p w14:paraId="6879DB64" w14:textId="5E1C117C" w:rsidR="00B52F8C" w:rsidRPr="00B52F8C" w:rsidRDefault="00B52F8C" w:rsidP="0070431F">
            <w:pPr>
              <w:keepNext/>
              <w:ind w:left="-57"/>
              <w:rPr>
                <w:rFonts w:ascii="Arial Narrow" w:hAnsi="Arial Narrow"/>
                <w:b/>
                <w:bCs/>
                <w:i/>
                <w:iCs/>
                <w:sz w:val="20"/>
                <w:szCs w:val="20"/>
                <w:highlight w:val="lightGray"/>
              </w:rPr>
            </w:pPr>
            <w:r w:rsidRPr="00B52F8C">
              <w:rPr>
                <w:rFonts w:ascii="Arial Narrow" w:hAnsi="Arial Narrow"/>
                <w:i/>
                <w:iCs/>
                <w:sz w:val="20"/>
                <w:szCs w:val="20"/>
              </w:rPr>
              <w:t>The condition must be at least one of: (i) node positive, (ii) at least 4 cm in size</w:t>
            </w:r>
          </w:p>
        </w:tc>
      </w:tr>
      <w:tr w:rsidR="00B52F8C" w:rsidRPr="00B52F8C" w14:paraId="54FC0CBD" w14:textId="782D3E5D" w:rsidTr="00B52F8C">
        <w:tc>
          <w:tcPr>
            <w:tcW w:w="5000" w:type="pct"/>
          </w:tcPr>
          <w:p w14:paraId="61B76DCC" w14:textId="099A1BE8" w:rsidR="00B52F8C" w:rsidRPr="00B52F8C" w:rsidRDefault="00B52F8C" w:rsidP="0070431F">
            <w:pPr>
              <w:keepNext/>
              <w:ind w:left="-57"/>
              <w:rPr>
                <w:rFonts w:ascii="Arial Narrow" w:hAnsi="Arial Narrow"/>
                <w:sz w:val="20"/>
                <w:szCs w:val="20"/>
                <w:highlight w:val="lightGray"/>
              </w:rPr>
            </w:pPr>
            <w:r w:rsidRPr="00B52F8C">
              <w:rPr>
                <w:rFonts w:ascii="Arial Narrow" w:hAnsi="Arial Narrow"/>
                <w:b/>
                <w:bCs/>
                <w:sz w:val="20"/>
                <w:szCs w:val="20"/>
              </w:rPr>
              <w:t>AND</w:t>
            </w:r>
          </w:p>
        </w:tc>
      </w:tr>
      <w:tr w:rsidR="00B52F8C" w:rsidRPr="00B52F8C" w14:paraId="3240C16F" w14:textId="54349B7B" w:rsidTr="00B52F8C">
        <w:tc>
          <w:tcPr>
            <w:tcW w:w="5000" w:type="pct"/>
          </w:tcPr>
          <w:p w14:paraId="5C43DB4B" w14:textId="06DFD680" w:rsidR="00B52F8C" w:rsidRPr="00B52F8C" w:rsidRDefault="00B52F8C" w:rsidP="0070431F">
            <w:pPr>
              <w:keepNext/>
              <w:ind w:left="-57"/>
              <w:rPr>
                <w:rFonts w:ascii="Arial Narrow" w:hAnsi="Arial Narrow"/>
                <w:b/>
                <w:bCs/>
                <w:sz w:val="20"/>
                <w:szCs w:val="20"/>
                <w:highlight w:val="lightGray"/>
              </w:rPr>
            </w:pPr>
            <w:r w:rsidRPr="00B52F8C">
              <w:rPr>
                <w:rFonts w:ascii="Arial Narrow" w:hAnsi="Arial Narrow"/>
                <w:b/>
                <w:bCs/>
                <w:sz w:val="20"/>
                <w:szCs w:val="20"/>
              </w:rPr>
              <w:t>Clinical criteria:</w:t>
            </w:r>
          </w:p>
        </w:tc>
      </w:tr>
      <w:tr w:rsidR="00B52F8C" w:rsidRPr="00B52F8C" w14:paraId="73220430" w14:textId="4230AC8B" w:rsidTr="00B52F8C">
        <w:tc>
          <w:tcPr>
            <w:tcW w:w="5000" w:type="pct"/>
          </w:tcPr>
          <w:p w14:paraId="18042C3E" w14:textId="373D3540" w:rsidR="00B52F8C" w:rsidRPr="00B52F8C" w:rsidRDefault="00B52F8C" w:rsidP="0070431F">
            <w:pPr>
              <w:keepNext/>
              <w:ind w:left="-57"/>
              <w:rPr>
                <w:rFonts w:ascii="Arial Narrow" w:hAnsi="Arial Narrow"/>
                <w:i/>
                <w:iCs/>
                <w:sz w:val="20"/>
                <w:szCs w:val="20"/>
                <w:highlight w:val="lightGray"/>
              </w:rPr>
            </w:pPr>
            <w:r w:rsidRPr="00B52F8C">
              <w:rPr>
                <w:rFonts w:ascii="Arial Narrow" w:hAnsi="Arial Narrow"/>
                <w:i/>
                <w:iCs/>
                <w:sz w:val="20"/>
                <w:szCs w:val="20"/>
              </w:rPr>
              <w:t>The treatment must be for the purpose of neoadjuvant use to the primary treatment of surgical resection, as a once per lifetime course of 3 doses</w:t>
            </w:r>
          </w:p>
        </w:tc>
      </w:tr>
      <w:tr w:rsidR="00B52F8C" w:rsidRPr="00B52F8C" w14:paraId="6FB778FD" w14:textId="4D9EB32B" w:rsidTr="00B52F8C">
        <w:tc>
          <w:tcPr>
            <w:tcW w:w="5000" w:type="pct"/>
          </w:tcPr>
          <w:p w14:paraId="6C7C1827" w14:textId="15287F0C" w:rsidR="00B52F8C" w:rsidRPr="00B52F8C" w:rsidRDefault="00B52F8C" w:rsidP="0070431F">
            <w:pPr>
              <w:pStyle w:val="Tabletext"/>
              <w:keepNext/>
              <w:rPr>
                <w:szCs w:val="20"/>
              </w:rPr>
            </w:pPr>
            <w:r w:rsidRPr="00B52F8C">
              <w:rPr>
                <w:rFonts w:cs="Arial"/>
                <w:strike/>
                <w:snapToGrid/>
                <w:szCs w:val="20"/>
              </w:rPr>
              <w:t>Patient must be preparing for surgical resection (neoadjuvant treatment)</w:t>
            </w:r>
          </w:p>
        </w:tc>
      </w:tr>
      <w:tr w:rsidR="00B52F8C" w:rsidRPr="00B52F8C" w14:paraId="4921D007" w14:textId="4D12C000" w:rsidTr="00B52F8C">
        <w:tc>
          <w:tcPr>
            <w:tcW w:w="5000" w:type="pct"/>
          </w:tcPr>
          <w:p w14:paraId="3E9DDC86" w14:textId="56DBE5FB" w:rsidR="00B52F8C" w:rsidRPr="00B52F8C" w:rsidRDefault="00B52F8C" w:rsidP="0070431F">
            <w:pPr>
              <w:keepNext/>
              <w:ind w:left="-57"/>
              <w:rPr>
                <w:rFonts w:ascii="Arial Narrow" w:hAnsi="Arial Narrow"/>
                <w:sz w:val="20"/>
                <w:szCs w:val="20"/>
                <w:highlight w:val="lightGray"/>
              </w:rPr>
            </w:pPr>
            <w:r w:rsidRPr="00B52F8C">
              <w:rPr>
                <w:rFonts w:ascii="Arial Narrow" w:hAnsi="Arial Narrow"/>
                <w:b/>
                <w:bCs/>
                <w:sz w:val="20"/>
                <w:szCs w:val="20"/>
              </w:rPr>
              <w:t>AND</w:t>
            </w:r>
          </w:p>
        </w:tc>
      </w:tr>
      <w:tr w:rsidR="00B52F8C" w:rsidRPr="00B52F8C" w14:paraId="40718BD0" w14:textId="24ED8C9F" w:rsidTr="00B52F8C">
        <w:tc>
          <w:tcPr>
            <w:tcW w:w="5000" w:type="pct"/>
          </w:tcPr>
          <w:p w14:paraId="1376679C" w14:textId="6AF71BAC" w:rsidR="00B52F8C" w:rsidRPr="00B52F8C" w:rsidRDefault="00B52F8C" w:rsidP="0070431F">
            <w:pPr>
              <w:keepNext/>
              <w:ind w:left="-57"/>
              <w:rPr>
                <w:rFonts w:ascii="Arial Narrow" w:hAnsi="Arial Narrow"/>
                <w:sz w:val="20"/>
                <w:szCs w:val="20"/>
                <w:highlight w:val="lightGray"/>
              </w:rPr>
            </w:pPr>
            <w:r w:rsidRPr="00B52F8C">
              <w:rPr>
                <w:rFonts w:ascii="Arial Narrow" w:hAnsi="Arial Narrow"/>
                <w:b/>
                <w:bCs/>
                <w:sz w:val="20"/>
                <w:szCs w:val="20"/>
              </w:rPr>
              <w:t>Clinical criteria:</w:t>
            </w:r>
          </w:p>
        </w:tc>
      </w:tr>
      <w:tr w:rsidR="00B52F8C" w:rsidRPr="00B52F8C" w14:paraId="056D599D" w14:textId="3913598F" w:rsidTr="00B52F8C">
        <w:tc>
          <w:tcPr>
            <w:tcW w:w="5000" w:type="pct"/>
          </w:tcPr>
          <w:p w14:paraId="21A6573C" w14:textId="49C8D800" w:rsidR="00B52F8C" w:rsidRPr="00B52F8C" w:rsidRDefault="00B52F8C" w:rsidP="0070431F">
            <w:pPr>
              <w:keepNext/>
              <w:ind w:left="-57"/>
              <w:rPr>
                <w:rFonts w:ascii="Arial Narrow" w:hAnsi="Arial Narrow"/>
                <w:sz w:val="20"/>
                <w:szCs w:val="20"/>
                <w:highlight w:val="lightGray"/>
              </w:rPr>
            </w:pPr>
            <w:r w:rsidRPr="00B52F8C">
              <w:rPr>
                <w:rFonts w:ascii="Arial Narrow" w:hAnsi="Arial Narrow"/>
                <w:sz w:val="20"/>
                <w:szCs w:val="20"/>
              </w:rPr>
              <w:t>Patient must have a WHO performance status of 0 or 1</w:t>
            </w:r>
          </w:p>
        </w:tc>
      </w:tr>
      <w:tr w:rsidR="00B52F8C" w:rsidRPr="00B52F8C" w14:paraId="45A82D0F" w14:textId="781E473B" w:rsidTr="00B52F8C">
        <w:tc>
          <w:tcPr>
            <w:tcW w:w="5000" w:type="pct"/>
          </w:tcPr>
          <w:p w14:paraId="3D24BE60" w14:textId="676711AF" w:rsidR="00B52F8C" w:rsidRPr="00B52F8C" w:rsidRDefault="00B52F8C" w:rsidP="0070431F">
            <w:pPr>
              <w:pStyle w:val="Tabletext"/>
              <w:keepNext/>
              <w:rPr>
                <w:rFonts w:cs="Arial"/>
                <w:strike/>
                <w:snapToGrid/>
                <w:szCs w:val="20"/>
              </w:rPr>
            </w:pPr>
            <w:r w:rsidRPr="00B52F8C">
              <w:rPr>
                <w:rFonts w:cs="Arial"/>
                <w:strike/>
                <w:snapToGrid/>
                <w:szCs w:val="20"/>
              </w:rPr>
              <w:t>Patient must have an Eastern Cooperative Performance Group (ECOG) performance status of 0 or 1,</w:t>
            </w:r>
          </w:p>
        </w:tc>
      </w:tr>
      <w:tr w:rsidR="00B52F8C" w:rsidRPr="00B52F8C" w14:paraId="7E43F692" w14:textId="58A483B4" w:rsidTr="00B52F8C">
        <w:trPr>
          <w:trHeight w:val="40"/>
        </w:trPr>
        <w:tc>
          <w:tcPr>
            <w:tcW w:w="5000" w:type="pct"/>
          </w:tcPr>
          <w:p w14:paraId="1C3D7F29" w14:textId="0C98AFFF" w:rsidR="00B52F8C" w:rsidRPr="00B52F8C" w:rsidRDefault="00B52F8C" w:rsidP="0070431F">
            <w:pPr>
              <w:keepNext/>
              <w:ind w:left="-57"/>
              <w:rPr>
                <w:rFonts w:ascii="Arial Narrow" w:hAnsi="Arial Narrow"/>
                <w:sz w:val="20"/>
                <w:szCs w:val="20"/>
                <w:highlight w:val="lightGray"/>
              </w:rPr>
            </w:pPr>
            <w:r w:rsidRPr="00B52F8C">
              <w:rPr>
                <w:rFonts w:ascii="Arial Narrow" w:hAnsi="Arial Narrow"/>
                <w:b/>
                <w:bCs/>
                <w:sz w:val="20"/>
                <w:szCs w:val="20"/>
              </w:rPr>
              <w:t>AND</w:t>
            </w:r>
          </w:p>
        </w:tc>
      </w:tr>
      <w:tr w:rsidR="00B52F8C" w:rsidRPr="00B52F8C" w14:paraId="3A220F38" w14:textId="036214A0" w:rsidTr="00B52F8C">
        <w:tc>
          <w:tcPr>
            <w:tcW w:w="5000" w:type="pct"/>
          </w:tcPr>
          <w:p w14:paraId="7F10949C" w14:textId="5E5F26D8" w:rsidR="00B52F8C" w:rsidRPr="00B52F8C" w:rsidRDefault="00B52F8C" w:rsidP="0070431F">
            <w:pPr>
              <w:keepNext/>
              <w:ind w:left="-57"/>
              <w:rPr>
                <w:rFonts w:ascii="Arial Narrow" w:hAnsi="Arial Narrow"/>
                <w:sz w:val="20"/>
                <w:szCs w:val="20"/>
              </w:rPr>
            </w:pPr>
            <w:r w:rsidRPr="00B52F8C">
              <w:rPr>
                <w:rFonts w:ascii="Arial Narrow" w:hAnsi="Arial Narrow"/>
                <w:b/>
                <w:bCs/>
                <w:sz w:val="20"/>
                <w:szCs w:val="20"/>
              </w:rPr>
              <w:t>Clinical criteria:</w:t>
            </w:r>
          </w:p>
        </w:tc>
      </w:tr>
      <w:tr w:rsidR="00B52F8C" w:rsidRPr="00B52F8C" w14:paraId="2DAD3D29" w14:textId="58BBBB45" w:rsidTr="00B52F8C">
        <w:tc>
          <w:tcPr>
            <w:tcW w:w="5000" w:type="pct"/>
          </w:tcPr>
          <w:p w14:paraId="15851617" w14:textId="1F45EDAD" w:rsidR="00B52F8C" w:rsidRPr="00B52F8C" w:rsidRDefault="00B52F8C" w:rsidP="0070431F">
            <w:pPr>
              <w:keepNext/>
              <w:ind w:left="-57"/>
              <w:rPr>
                <w:rFonts w:ascii="Arial Narrow" w:hAnsi="Arial Narrow"/>
                <w:sz w:val="20"/>
                <w:szCs w:val="20"/>
              </w:rPr>
            </w:pPr>
            <w:r w:rsidRPr="00B52F8C">
              <w:rPr>
                <w:rFonts w:ascii="Arial Narrow" w:hAnsi="Arial Narrow"/>
                <w:sz w:val="20"/>
                <w:szCs w:val="20"/>
              </w:rPr>
              <w:t>The treatment must be in combination with platinum-based chemotherapy</w:t>
            </w:r>
          </w:p>
        </w:tc>
      </w:tr>
      <w:tr w:rsidR="00B52F8C" w:rsidRPr="00B52F8C" w14:paraId="5DDE3B4B" w14:textId="615CE00D" w:rsidTr="00B52F8C">
        <w:tc>
          <w:tcPr>
            <w:tcW w:w="5000" w:type="pct"/>
          </w:tcPr>
          <w:p w14:paraId="041CBF29" w14:textId="33C9D77F" w:rsidR="00B52F8C" w:rsidRPr="00B52F8C" w:rsidRDefault="00B52F8C" w:rsidP="0070431F">
            <w:pPr>
              <w:keepNext/>
              <w:ind w:left="-57"/>
              <w:rPr>
                <w:rFonts w:ascii="Arial Narrow" w:hAnsi="Arial Narrow"/>
                <w:sz w:val="20"/>
                <w:szCs w:val="20"/>
              </w:rPr>
            </w:pPr>
            <w:r w:rsidRPr="00B52F8C">
              <w:rPr>
                <w:rFonts w:ascii="Arial Narrow" w:hAnsi="Arial Narrow"/>
                <w:b/>
                <w:bCs/>
                <w:sz w:val="20"/>
                <w:szCs w:val="20"/>
              </w:rPr>
              <w:t>AND</w:t>
            </w:r>
          </w:p>
        </w:tc>
      </w:tr>
      <w:tr w:rsidR="00B52F8C" w:rsidRPr="00B52F8C" w14:paraId="29E74C41" w14:textId="0BF4DE91" w:rsidTr="00B52F8C">
        <w:tc>
          <w:tcPr>
            <w:tcW w:w="5000" w:type="pct"/>
          </w:tcPr>
          <w:p w14:paraId="53C0E392" w14:textId="14C2B05F" w:rsidR="00B52F8C" w:rsidRPr="00B52F8C" w:rsidRDefault="00B52F8C" w:rsidP="0070431F">
            <w:pPr>
              <w:keepNext/>
              <w:ind w:left="-57"/>
              <w:rPr>
                <w:rFonts w:ascii="Arial Narrow" w:hAnsi="Arial Narrow"/>
                <w:sz w:val="20"/>
                <w:szCs w:val="20"/>
              </w:rPr>
            </w:pPr>
            <w:r w:rsidRPr="00B52F8C">
              <w:rPr>
                <w:rFonts w:ascii="Arial Narrow" w:hAnsi="Arial Narrow"/>
                <w:b/>
                <w:bCs/>
                <w:sz w:val="20"/>
                <w:szCs w:val="20"/>
              </w:rPr>
              <w:t>Clinical criteria:</w:t>
            </w:r>
          </w:p>
        </w:tc>
      </w:tr>
      <w:tr w:rsidR="00B52F8C" w:rsidRPr="00B52F8C" w14:paraId="780A445E" w14:textId="5EEC2701" w:rsidTr="00B52F8C">
        <w:tc>
          <w:tcPr>
            <w:tcW w:w="5000" w:type="pct"/>
          </w:tcPr>
          <w:p w14:paraId="28DE6D0D" w14:textId="218DFB3D" w:rsidR="00B52F8C" w:rsidRPr="00B52F8C" w:rsidRDefault="00B52F8C" w:rsidP="0070431F">
            <w:pPr>
              <w:keepNext/>
              <w:ind w:left="-57"/>
              <w:rPr>
                <w:rFonts w:ascii="Arial Narrow" w:hAnsi="Arial Narrow"/>
                <w:sz w:val="20"/>
                <w:szCs w:val="20"/>
              </w:rPr>
            </w:pPr>
            <w:r w:rsidRPr="00B52F8C">
              <w:rPr>
                <w:rFonts w:ascii="Arial Narrow" w:hAnsi="Arial Narrow"/>
                <w:sz w:val="20"/>
                <w:szCs w:val="20"/>
              </w:rPr>
              <w:t>The condition must be non-squamous type non-small cell lung cancer (NSCLC) or not otherwise specified type NSCLC; or</w:t>
            </w:r>
          </w:p>
        </w:tc>
      </w:tr>
      <w:tr w:rsidR="00B52F8C" w:rsidRPr="00B52F8C" w14:paraId="0E5DCD76" w14:textId="2518B57E" w:rsidTr="00B52F8C">
        <w:tc>
          <w:tcPr>
            <w:tcW w:w="5000" w:type="pct"/>
          </w:tcPr>
          <w:p w14:paraId="05905D74" w14:textId="32FCBE2E" w:rsidR="00B52F8C" w:rsidRPr="00B52F8C" w:rsidRDefault="00B52F8C" w:rsidP="0070431F">
            <w:pPr>
              <w:keepNext/>
              <w:ind w:left="-57"/>
              <w:rPr>
                <w:rFonts w:ascii="Arial Narrow" w:hAnsi="Arial Narrow"/>
                <w:sz w:val="20"/>
                <w:szCs w:val="20"/>
              </w:rPr>
            </w:pPr>
            <w:r w:rsidRPr="00B52F8C">
              <w:rPr>
                <w:rFonts w:ascii="Arial Narrow" w:hAnsi="Arial Narrow"/>
                <w:sz w:val="20"/>
                <w:szCs w:val="20"/>
              </w:rPr>
              <w:t>The condition must be squamous type non-small cell lung cancer.</w:t>
            </w:r>
          </w:p>
        </w:tc>
      </w:tr>
      <w:tr w:rsidR="00B52F8C" w:rsidRPr="00B52F8C" w14:paraId="64E44640" w14:textId="40ECAAB6" w:rsidTr="00B52F8C">
        <w:tc>
          <w:tcPr>
            <w:tcW w:w="5000" w:type="pct"/>
          </w:tcPr>
          <w:p w14:paraId="73C843F7" w14:textId="722CEF7E" w:rsidR="00B52F8C" w:rsidRPr="00B52F8C" w:rsidRDefault="00B52F8C" w:rsidP="0070431F">
            <w:pPr>
              <w:pStyle w:val="Tabletext"/>
              <w:keepNext/>
              <w:rPr>
                <w:strike/>
                <w:szCs w:val="20"/>
              </w:rPr>
            </w:pPr>
            <w:r w:rsidRPr="00B52F8C">
              <w:rPr>
                <w:strike/>
                <w:szCs w:val="20"/>
              </w:rPr>
              <w:t>For patients with non-squamous type non-small cell lung cancer the condition must not have evidence of an activating epidermal growth factor receptor (EGFR) gene or an anaplastic lymphoma kinase (ALK) gene rearrangement in tumour material.</w:t>
            </w:r>
          </w:p>
        </w:tc>
      </w:tr>
      <w:tr w:rsidR="00B52F8C" w:rsidRPr="00B52F8C" w14:paraId="3CAAAC32" w14:textId="652A03BA" w:rsidTr="00B52F8C">
        <w:tc>
          <w:tcPr>
            <w:tcW w:w="5000" w:type="pct"/>
          </w:tcPr>
          <w:p w14:paraId="43AC1B93" w14:textId="02F3FC7D" w:rsidR="00B52F8C" w:rsidRPr="00DB66D1" w:rsidRDefault="00B52F8C" w:rsidP="0070431F">
            <w:pPr>
              <w:keepNext/>
              <w:ind w:left="-57"/>
              <w:rPr>
                <w:rFonts w:ascii="Arial Narrow" w:hAnsi="Arial Narrow"/>
                <w:b/>
                <w:bCs/>
                <w:strike/>
                <w:sz w:val="20"/>
                <w:szCs w:val="20"/>
              </w:rPr>
            </w:pPr>
            <w:r w:rsidRPr="00DB66D1">
              <w:rPr>
                <w:rFonts w:ascii="Arial Narrow" w:hAnsi="Arial Narrow"/>
                <w:b/>
                <w:bCs/>
                <w:strike/>
                <w:sz w:val="20"/>
                <w:szCs w:val="20"/>
              </w:rPr>
              <w:t>AND</w:t>
            </w:r>
          </w:p>
        </w:tc>
      </w:tr>
      <w:tr w:rsidR="00B52F8C" w:rsidRPr="00B52F8C" w14:paraId="583431EF" w14:textId="5668F25E" w:rsidTr="00B52F8C">
        <w:tc>
          <w:tcPr>
            <w:tcW w:w="5000" w:type="pct"/>
          </w:tcPr>
          <w:p w14:paraId="6D5E5D75" w14:textId="7DFFB8FE" w:rsidR="00B52F8C" w:rsidRPr="00B52F8C" w:rsidRDefault="00B52F8C" w:rsidP="0070431F">
            <w:pPr>
              <w:keepNext/>
              <w:ind w:left="-57"/>
              <w:rPr>
                <w:rFonts w:ascii="Arial Narrow" w:hAnsi="Arial Narrow"/>
                <w:sz w:val="20"/>
                <w:szCs w:val="20"/>
              </w:rPr>
            </w:pPr>
            <w:r w:rsidRPr="00B52F8C">
              <w:rPr>
                <w:rFonts w:ascii="Arial Narrow" w:hAnsi="Arial Narrow" w:cs="Times New Roman"/>
                <w:strike/>
                <w:snapToGrid w:val="0"/>
                <w:sz w:val="20"/>
                <w:szCs w:val="20"/>
              </w:rPr>
              <w:t>The treatment must not exceed a total of 3 doses of nivolumab</w:t>
            </w:r>
          </w:p>
        </w:tc>
      </w:tr>
      <w:tr w:rsidR="00B52F8C" w:rsidRPr="00B52F8C" w14:paraId="50EFFEF2" w14:textId="762F34AB" w:rsidTr="00B52F8C">
        <w:tc>
          <w:tcPr>
            <w:tcW w:w="5000" w:type="pct"/>
          </w:tcPr>
          <w:p w14:paraId="41F27237" w14:textId="17703375" w:rsidR="00B52F8C" w:rsidRPr="00B52F8C" w:rsidRDefault="00B52F8C" w:rsidP="0070431F">
            <w:pPr>
              <w:keepNext/>
              <w:ind w:left="-57"/>
              <w:rPr>
                <w:rFonts w:ascii="Arial Narrow" w:hAnsi="Arial Narrow"/>
                <w:b/>
                <w:bCs/>
                <w:sz w:val="20"/>
                <w:szCs w:val="20"/>
              </w:rPr>
            </w:pPr>
            <w:r w:rsidRPr="00B52F8C">
              <w:rPr>
                <w:rFonts w:ascii="Arial Narrow" w:hAnsi="Arial Narrow"/>
                <w:b/>
                <w:bCs/>
                <w:sz w:val="20"/>
                <w:szCs w:val="20"/>
              </w:rPr>
              <w:t>Prescribing instructions:</w:t>
            </w:r>
          </w:p>
          <w:p w14:paraId="1C06EE48" w14:textId="634D4F4D" w:rsidR="00B52F8C" w:rsidRPr="000F5482" w:rsidRDefault="00B52F8C" w:rsidP="0070431F">
            <w:pPr>
              <w:keepNext/>
              <w:ind w:left="-57"/>
              <w:rPr>
                <w:rFonts w:ascii="Arial Narrow" w:hAnsi="Arial Narrow"/>
                <w:i/>
                <w:iCs/>
                <w:sz w:val="20"/>
                <w:szCs w:val="20"/>
              </w:rPr>
            </w:pPr>
            <w:r w:rsidRPr="00DB66D1">
              <w:rPr>
                <w:rFonts w:ascii="Arial Narrow" w:hAnsi="Arial Narrow"/>
                <w:i/>
                <w:iCs/>
                <w:sz w:val="20"/>
                <w:szCs w:val="20"/>
              </w:rPr>
              <w:t xml:space="preserve">Where treatment is for non-squamous type disease, </w:t>
            </w:r>
            <w:r w:rsidR="00D60EC9">
              <w:rPr>
                <w:rFonts w:ascii="Arial Narrow" w:hAnsi="Arial Narrow"/>
                <w:i/>
                <w:iCs/>
                <w:sz w:val="20"/>
                <w:szCs w:val="20"/>
              </w:rPr>
              <w:t xml:space="preserve">the condition must not have evidence of </w:t>
            </w:r>
            <w:r w:rsidR="00D60EC9" w:rsidRPr="00D60EC9">
              <w:rPr>
                <w:rFonts w:ascii="Arial Narrow" w:hAnsi="Arial Narrow"/>
                <w:i/>
                <w:iCs/>
                <w:sz w:val="20"/>
                <w:szCs w:val="20"/>
              </w:rPr>
              <w:t>an activating epidermal growth factor receptor (EGFR) gene or an anaplastic lymphoma kinase (ALK) gene rearrangement in tumour material</w:t>
            </w:r>
            <w:r w:rsidR="00D60EC9">
              <w:rPr>
                <w:rFonts w:ascii="Arial Narrow" w:hAnsi="Arial Narrow"/>
                <w:i/>
                <w:iCs/>
                <w:sz w:val="20"/>
                <w:szCs w:val="20"/>
              </w:rPr>
              <w:t>.</w:t>
            </w:r>
          </w:p>
        </w:tc>
      </w:tr>
      <w:tr w:rsidR="00B52F8C" w:rsidRPr="00B52F8C" w14:paraId="39BCDC62" w14:textId="3AC5F45F" w:rsidTr="00B52F8C">
        <w:tc>
          <w:tcPr>
            <w:tcW w:w="5000" w:type="pct"/>
          </w:tcPr>
          <w:p w14:paraId="047FE690" w14:textId="25048DF0" w:rsidR="00B52F8C" w:rsidRPr="00B52F8C" w:rsidRDefault="00B52F8C" w:rsidP="0070431F">
            <w:pPr>
              <w:keepNext/>
              <w:ind w:left="-57"/>
              <w:rPr>
                <w:rFonts w:ascii="Arial Narrow" w:hAnsi="Arial Narrow"/>
                <w:i/>
                <w:iCs/>
                <w:sz w:val="20"/>
                <w:szCs w:val="20"/>
                <w:highlight w:val="lightGray"/>
              </w:rPr>
            </w:pPr>
          </w:p>
        </w:tc>
      </w:tr>
      <w:tr w:rsidR="00B52F8C" w:rsidRPr="00B52F8C" w14:paraId="4D9CCA63" w14:textId="2885C64B" w:rsidTr="00B52F8C">
        <w:tc>
          <w:tcPr>
            <w:tcW w:w="5000" w:type="pct"/>
          </w:tcPr>
          <w:p w14:paraId="70D8F0DA" w14:textId="1260D987" w:rsidR="00B52F8C" w:rsidRPr="00B52F8C" w:rsidRDefault="00B52F8C" w:rsidP="0070431F">
            <w:pPr>
              <w:keepNext/>
              <w:ind w:left="-57"/>
              <w:rPr>
                <w:rFonts w:ascii="Arial Narrow" w:hAnsi="Arial Narrow"/>
                <w:b/>
                <w:bCs/>
                <w:sz w:val="20"/>
                <w:szCs w:val="20"/>
              </w:rPr>
            </w:pPr>
            <w:r w:rsidRPr="00B52F8C">
              <w:rPr>
                <w:rFonts w:ascii="Arial Narrow" w:hAnsi="Arial Narrow"/>
                <w:b/>
                <w:bCs/>
                <w:sz w:val="20"/>
                <w:szCs w:val="20"/>
              </w:rPr>
              <w:t xml:space="preserve">Administrative Advice: </w:t>
            </w:r>
            <w:r w:rsidRPr="00B52F8C">
              <w:rPr>
                <w:rFonts w:ascii="Arial Narrow" w:hAnsi="Arial Narrow"/>
                <w:sz w:val="20"/>
                <w:szCs w:val="20"/>
              </w:rPr>
              <w:t xml:space="preserve">No increase in the maximum number of repeats may be authorised. </w:t>
            </w:r>
          </w:p>
        </w:tc>
      </w:tr>
      <w:tr w:rsidR="00B52F8C" w:rsidRPr="00B52F8C" w14:paraId="160C1691" w14:textId="29D7F5F3" w:rsidTr="00B52F8C">
        <w:trPr>
          <w:trHeight w:val="53"/>
        </w:trPr>
        <w:tc>
          <w:tcPr>
            <w:tcW w:w="5000" w:type="pct"/>
          </w:tcPr>
          <w:p w14:paraId="7AA138C7" w14:textId="3CF54EAC" w:rsidR="00B52F8C" w:rsidRPr="00B52F8C" w:rsidRDefault="00B52F8C" w:rsidP="0070431F">
            <w:pPr>
              <w:keepNext/>
              <w:ind w:left="-57"/>
              <w:rPr>
                <w:rFonts w:ascii="Arial Narrow" w:hAnsi="Arial Narrow"/>
                <w:sz w:val="20"/>
                <w:szCs w:val="20"/>
              </w:rPr>
            </w:pPr>
            <w:r w:rsidRPr="00B52F8C">
              <w:rPr>
                <w:rFonts w:ascii="Arial Narrow" w:hAnsi="Arial Narrow"/>
                <w:b/>
                <w:bCs/>
                <w:sz w:val="20"/>
                <w:szCs w:val="20"/>
              </w:rPr>
              <w:t>Administrative Advice:</w:t>
            </w:r>
            <w:r w:rsidRPr="00B52F8C">
              <w:rPr>
                <w:rFonts w:ascii="Arial Narrow" w:hAnsi="Arial Narrow"/>
                <w:sz w:val="20"/>
                <w:szCs w:val="20"/>
              </w:rPr>
              <w:t xml:space="preserve"> Special Pricing Arrangements apply.</w:t>
            </w:r>
          </w:p>
        </w:tc>
      </w:tr>
    </w:tbl>
    <w:p w14:paraId="68CA7E48" w14:textId="489AA550" w:rsidR="006600B2" w:rsidRPr="000A6E90" w:rsidRDefault="006600B2" w:rsidP="0070431F">
      <w:pPr>
        <w:pStyle w:val="TableFooter"/>
        <w:keepNext/>
      </w:pPr>
      <w:r w:rsidRPr="000A6E90">
        <w:rPr>
          <w:vertAlign w:val="superscript"/>
        </w:rPr>
        <w:t>a</w:t>
      </w:r>
      <w:r w:rsidRPr="000A6E90">
        <w:t xml:space="preserve">The published dispensed prices as presented in Section 1 of the submission were different from the published dispensed prices calculated in the financial analysis ($7,197.37 [public]; $7,330.61 [private]). The prepared dispensing fee ($7.82) should be removed from the dispensed price for nivolumab in a public hospital setting to be in line with the Efficient Funding of Chemotherapy (EFC) Program. The revised published dispensed prices for a maximum amount (360 mg), as calculated in the financial analysis (with the removal of the dispensing fee for the public hospital setting) is $7,189.55 (public hospital) and $7,330.61 (private hospital). </w:t>
      </w:r>
    </w:p>
    <w:p w14:paraId="6EE4AE6F" w14:textId="3AE979AF" w:rsidR="006600B2" w:rsidRDefault="006600B2" w:rsidP="0070431F">
      <w:pPr>
        <w:pStyle w:val="TableFooter"/>
        <w:keepNext/>
      </w:pPr>
      <w:r w:rsidRPr="000A6E90">
        <w:rPr>
          <w:vertAlign w:val="superscript"/>
        </w:rPr>
        <w:t>b</w:t>
      </w:r>
      <w:r w:rsidRPr="000A6E90">
        <w:t>The effective dispensed price in a public hospital setting as calculated in the submission includes the prepared dispensing fee ($7.82). This is not in line with the EFC Program. After removing this fee, the revised effective dispensed price in a public hospital is $</w:t>
      </w:r>
      <w:r w:rsidR="001172C3" w:rsidRPr="001172C3">
        <w:rPr>
          <w:color w:val="000000"/>
          <w:spacing w:val="27"/>
          <w:shd w:val="solid" w:color="000000" w:fill="000000"/>
          <w:fitText w:val="372" w:id="-1234435326"/>
          <w14:textFill>
            <w14:solidFill>
              <w14:srgbClr w14:val="000000">
                <w14:alpha w14:val="100000"/>
              </w14:srgbClr>
            </w14:solidFill>
          </w14:textFill>
        </w:rPr>
        <w:t>||  |</w:t>
      </w:r>
      <w:r w:rsidR="001172C3" w:rsidRPr="001172C3">
        <w:rPr>
          <w:color w:val="000000"/>
          <w:spacing w:val="2"/>
          <w:shd w:val="solid" w:color="000000" w:fill="000000"/>
          <w:fitText w:val="372" w:id="-1234435326"/>
          <w14:textFill>
            <w14:solidFill>
              <w14:srgbClr w14:val="000000">
                <w14:alpha w14:val="100000"/>
              </w14:srgbClr>
            </w14:solidFill>
          </w14:textFill>
        </w:rPr>
        <w:t>|</w:t>
      </w:r>
      <w:r w:rsidRPr="000A6E90">
        <w:t xml:space="preserve"> for a maximum amount of 360 mg. </w:t>
      </w:r>
    </w:p>
    <w:p w14:paraId="3247EB67" w14:textId="77777777" w:rsidR="00AB54C5" w:rsidRPr="000A6E90" w:rsidRDefault="00AB54C5" w:rsidP="0070431F">
      <w:pPr>
        <w:pStyle w:val="TableFooter"/>
        <w:keepNext/>
      </w:pPr>
      <w:bookmarkStart w:id="13" w:name="_Hlk124423777"/>
    </w:p>
    <w:bookmarkEnd w:id="13"/>
    <w:p w14:paraId="1AEFAECE" w14:textId="48EE254C" w:rsidR="00E83DD2" w:rsidRPr="000A6E90" w:rsidRDefault="00E83DD2" w:rsidP="007965B5">
      <w:pPr>
        <w:pStyle w:val="3-BodyText"/>
        <w:rPr>
          <w:iCs/>
        </w:rPr>
      </w:pPr>
      <w:r w:rsidRPr="00BE27D1">
        <w:t>The submission proposed a special pricing arrangement (SPA)</w:t>
      </w:r>
      <w:r>
        <w:t xml:space="preserve"> with an effective public hospital DPMA of $</w:t>
      </w:r>
      <w:r w:rsidR="001172C3" w:rsidRPr="00A77D90">
        <w:rPr>
          <w:color w:val="000000"/>
          <w:w w:val="15"/>
          <w:shd w:val="solid" w:color="000000" w:fill="000000"/>
          <w:fitText w:val="-20" w:id="-1234435325"/>
          <w14:textFill>
            <w14:solidFill>
              <w14:srgbClr w14:val="000000">
                <w14:alpha w14:val="100000"/>
              </w14:srgbClr>
            </w14:solidFill>
          </w14:textFill>
        </w:rPr>
        <w:t xml:space="preserve">|  </w:t>
      </w:r>
      <w:r w:rsidR="001172C3" w:rsidRPr="00A77D90">
        <w:rPr>
          <w:color w:val="000000"/>
          <w:spacing w:val="-69"/>
          <w:w w:val="15"/>
          <w:shd w:val="solid" w:color="000000" w:fill="000000"/>
          <w:fitText w:val="-20" w:id="-1234435325"/>
          <w14:textFill>
            <w14:solidFill>
              <w14:srgbClr w14:val="000000">
                <w14:alpha w14:val="100000"/>
              </w14:srgbClr>
            </w14:solidFill>
          </w14:textFill>
        </w:rPr>
        <w:t>|</w:t>
      </w:r>
      <w:r>
        <w:t xml:space="preserve"> (published $7,189.57) and an effective private hospital DPMA of $</w:t>
      </w:r>
      <w:r w:rsidR="001172C3" w:rsidRPr="00A77D90">
        <w:rPr>
          <w:color w:val="000000"/>
          <w:w w:val="15"/>
          <w:shd w:val="solid" w:color="000000" w:fill="000000"/>
          <w:fitText w:val="-20" w:id="-1234435324"/>
          <w14:textFill>
            <w14:solidFill>
              <w14:srgbClr w14:val="000000">
                <w14:alpha w14:val="100000"/>
              </w14:srgbClr>
            </w14:solidFill>
          </w14:textFill>
        </w:rPr>
        <w:t xml:space="preserve">|  </w:t>
      </w:r>
      <w:r w:rsidR="001172C3" w:rsidRPr="00A77D90">
        <w:rPr>
          <w:color w:val="000000"/>
          <w:spacing w:val="-69"/>
          <w:w w:val="15"/>
          <w:shd w:val="solid" w:color="000000" w:fill="000000"/>
          <w:fitText w:val="-20" w:id="-1234435324"/>
          <w14:textFill>
            <w14:solidFill>
              <w14:srgbClr w14:val="000000">
                <w14:alpha w14:val="100000"/>
              </w14:srgbClr>
            </w14:solidFill>
          </w14:textFill>
        </w:rPr>
        <w:t>|</w:t>
      </w:r>
      <w:r>
        <w:t xml:space="preserve"> (published $7,330.64)</w:t>
      </w:r>
      <w:r w:rsidRPr="00BE27D1">
        <w:t xml:space="preserve">. </w:t>
      </w:r>
      <w:r w:rsidRPr="000A6E90">
        <w:rPr>
          <w:iCs/>
        </w:rPr>
        <w:t>The proposed published dispensed price for maximum amount (DPMA) was consistent with the published price of nivolumab for other PBS listed indications.</w:t>
      </w:r>
      <w:r w:rsidR="00654667" w:rsidRPr="000A6E90">
        <w:rPr>
          <w:iCs/>
        </w:rPr>
        <w:t xml:space="preserve"> </w:t>
      </w:r>
      <w:bookmarkStart w:id="14" w:name="_Hlk124425882"/>
      <w:r w:rsidR="00654667" w:rsidRPr="000A6E90">
        <w:rPr>
          <w:iCs/>
        </w:rPr>
        <w:t xml:space="preserve">The effective dispensed price in a public hospital as calculated in the submission includes the prepared dispensing fee ($7.82). This is not in line with the Efficient Funding of Chemotherapy (EFC) Program. </w:t>
      </w:r>
      <w:bookmarkEnd w:id="14"/>
    </w:p>
    <w:p w14:paraId="09C13171" w14:textId="50046214" w:rsidR="00D548E8" w:rsidRPr="00CA56B5" w:rsidRDefault="00D548E8" w:rsidP="00E601E9">
      <w:pPr>
        <w:pStyle w:val="3-BodyText"/>
      </w:pPr>
      <w:r w:rsidRPr="00BE27D1">
        <w:t xml:space="preserve">The submission noted that the proposed published price for nivolumab </w:t>
      </w:r>
      <w:r w:rsidRPr="00806E3C">
        <w:t>was lower than</w:t>
      </w:r>
      <w:r w:rsidRPr="00BE27D1">
        <w:t xml:space="preserve"> the effective price. The</w:t>
      </w:r>
      <w:r w:rsidR="00720F14">
        <w:t xml:space="preserve"> submission stated that the</w:t>
      </w:r>
      <w:r w:rsidRPr="00BE27D1">
        <w:t xml:space="preserve"> proposed effective price was based on the cost-effectiveness analysis presented in the submission </w:t>
      </w:r>
      <w:r w:rsidR="00720F14">
        <w:t xml:space="preserve">and claimed it was </w:t>
      </w:r>
      <w:r w:rsidRPr="00BE27D1">
        <w:t xml:space="preserve">reflective of the value offered by nivolumab in the proposed </w:t>
      </w:r>
      <w:r w:rsidR="00876C3E">
        <w:t>use</w:t>
      </w:r>
      <w:r w:rsidRPr="00BE27D1">
        <w:t xml:space="preserve">. </w:t>
      </w:r>
      <w:r w:rsidR="00720F14">
        <w:t>The submission stated that if</w:t>
      </w:r>
      <w:r w:rsidR="00D62EE4">
        <w:t xml:space="preserve"> the</w:t>
      </w:r>
      <w:r w:rsidRPr="00BE27D1">
        <w:t xml:space="preserve"> PBAC recommend nivolumab for the proposed indication, the </w:t>
      </w:r>
      <w:r w:rsidR="00720F14">
        <w:t>s</w:t>
      </w:r>
      <w:r w:rsidR="00C96433" w:rsidRPr="00C96433">
        <w:t>ponsor</w:t>
      </w:r>
      <w:r w:rsidRPr="00BE27D1">
        <w:t xml:space="preserve"> is willing to work with the Department to appropriately implement the necessary pricing arrangements to ensure </w:t>
      </w:r>
      <w:r w:rsidR="00D62EE4">
        <w:t xml:space="preserve">the </w:t>
      </w:r>
      <w:r w:rsidRPr="00BE27D1">
        <w:t>timely listing of (and access to) nivolumab.</w:t>
      </w:r>
      <w:r w:rsidR="00A2672C">
        <w:t xml:space="preserve"> </w:t>
      </w:r>
    </w:p>
    <w:p w14:paraId="2D0F68A2" w14:textId="68C51522" w:rsidR="00E601E9" w:rsidRPr="00BE27D1" w:rsidRDefault="00E601E9" w:rsidP="00720F14">
      <w:pPr>
        <w:pStyle w:val="3-BodyText"/>
      </w:pPr>
      <w:bookmarkStart w:id="15" w:name="_Ref130999547"/>
      <w:r w:rsidRPr="00590A38">
        <w:t xml:space="preserve">The submission proposed two </w:t>
      </w:r>
      <w:r w:rsidR="0077660A">
        <w:t xml:space="preserve">PBS </w:t>
      </w:r>
      <w:r w:rsidRPr="00590A38">
        <w:t xml:space="preserve">listing scenarios. Scenario 1 (preferred by the </w:t>
      </w:r>
      <w:r w:rsidR="0077660A">
        <w:t>s</w:t>
      </w:r>
      <w:r w:rsidR="00C96433" w:rsidRPr="00C96433">
        <w:t>ponsor</w:t>
      </w:r>
      <w:r w:rsidRPr="00590A38">
        <w:t xml:space="preserve">) </w:t>
      </w:r>
      <w:r w:rsidR="00876C3E">
        <w:t>wa</w:t>
      </w:r>
      <w:r w:rsidRPr="00590A38">
        <w:t>s a listing that is agnostic to epidermal growth factor receptor (</w:t>
      </w:r>
      <w:r w:rsidR="00C96433" w:rsidRPr="00C96433">
        <w:t>EGFR</w:t>
      </w:r>
      <w:r w:rsidRPr="00590A38">
        <w:t>) and anaplastic lymphoma kinase (</w:t>
      </w:r>
      <w:r w:rsidR="00C96433" w:rsidRPr="00C96433">
        <w:t>ALK</w:t>
      </w:r>
      <w:r w:rsidRPr="00590A38">
        <w:t>) status</w:t>
      </w:r>
      <w:r w:rsidR="000F0B99">
        <w:t>, and is</w:t>
      </w:r>
      <w:r w:rsidRPr="00590A38">
        <w:t xml:space="preserve"> </w:t>
      </w:r>
      <w:r w:rsidR="00F43A09">
        <w:t>consistent with</w:t>
      </w:r>
      <w:r w:rsidRPr="00590A38">
        <w:t xml:space="preserve"> the proposed TGA indication. Scenario 2 </w:t>
      </w:r>
      <w:r w:rsidR="00876C3E">
        <w:t>wa</w:t>
      </w:r>
      <w:r w:rsidRPr="00590A38">
        <w:t xml:space="preserve">s a listing </w:t>
      </w:r>
      <w:r w:rsidR="00876C3E">
        <w:t>mirroring</w:t>
      </w:r>
      <w:r w:rsidRPr="00590A38">
        <w:t xml:space="preserve"> the </w:t>
      </w:r>
      <w:r w:rsidR="00F43A09">
        <w:t xml:space="preserve">eligibility criteria of the </w:t>
      </w:r>
      <w:r w:rsidRPr="00590A38">
        <w:t xml:space="preserve">key CM816 trial </w:t>
      </w:r>
      <w:r w:rsidR="00F43A09">
        <w:t>which</w:t>
      </w:r>
      <w:r w:rsidRPr="00590A38">
        <w:t xml:space="preserve"> exclude</w:t>
      </w:r>
      <w:r w:rsidR="00590A38" w:rsidRPr="00590A38">
        <w:t>d</w:t>
      </w:r>
      <w:r w:rsidRPr="00590A38">
        <w:t xml:space="preserve"> </w:t>
      </w:r>
      <w:r w:rsidRPr="00BE27D1">
        <w:t xml:space="preserve">patients with known sensitising </w:t>
      </w:r>
      <w:r w:rsidR="00C96433" w:rsidRPr="00C96433">
        <w:t>EGFR</w:t>
      </w:r>
      <w:r w:rsidRPr="00BE27D1">
        <w:t xml:space="preserve"> mutations or </w:t>
      </w:r>
      <w:r w:rsidR="00C96433" w:rsidRPr="00C96433">
        <w:t>ALK</w:t>
      </w:r>
      <w:r w:rsidRPr="00BE27D1">
        <w:t xml:space="preserve"> alterations.</w:t>
      </w:r>
      <w:bookmarkEnd w:id="15"/>
    </w:p>
    <w:p w14:paraId="5092BF03" w14:textId="1C263171" w:rsidR="00E601E9" w:rsidRPr="00CA56B5" w:rsidRDefault="00590A38" w:rsidP="009317B5">
      <w:pPr>
        <w:pStyle w:val="3-BodyText"/>
      </w:pPr>
      <w:r w:rsidRPr="00BE27D1">
        <w:t>The justification provided in the submission for Scenario 1 was that patients with resectable NSCLC</w:t>
      </w:r>
      <w:r w:rsidR="00F43A09" w:rsidRPr="00BE27D1">
        <w:t>,</w:t>
      </w:r>
      <w:r w:rsidRPr="00BE27D1">
        <w:t xml:space="preserve"> who have evidence of sensitising </w:t>
      </w:r>
      <w:r w:rsidR="00C96433" w:rsidRPr="00C96433">
        <w:t>EGFR</w:t>
      </w:r>
      <w:r w:rsidRPr="00BE27D1">
        <w:t xml:space="preserve"> mutations or </w:t>
      </w:r>
      <w:r w:rsidR="00C96433" w:rsidRPr="00C96433">
        <w:t>ALK</w:t>
      </w:r>
      <w:r w:rsidRPr="00BE27D1">
        <w:t xml:space="preserve"> alterations</w:t>
      </w:r>
      <w:r w:rsidR="00F43A09" w:rsidRPr="00BE27D1">
        <w:t>,</w:t>
      </w:r>
      <w:r w:rsidRPr="00BE27D1">
        <w:t xml:space="preserve"> are unable to access </w:t>
      </w:r>
      <w:r w:rsidR="00C96433" w:rsidRPr="00C96433">
        <w:t>EGFR</w:t>
      </w:r>
      <w:r w:rsidRPr="00BE27D1">
        <w:t xml:space="preserve"> or </w:t>
      </w:r>
      <w:r w:rsidR="00C96433" w:rsidRPr="00C96433">
        <w:t>ALK</w:t>
      </w:r>
      <w:r w:rsidRPr="00BE27D1">
        <w:t xml:space="preserve"> inhibitors through the PBS</w:t>
      </w:r>
      <w:r w:rsidR="000F0B99">
        <w:t>. These</w:t>
      </w:r>
      <w:r w:rsidR="00F43A09" w:rsidRPr="00BE27D1">
        <w:t xml:space="preserve"> </w:t>
      </w:r>
      <w:r w:rsidR="00AF1138">
        <w:t xml:space="preserve">agents </w:t>
      </w:r>
      <w:r w:rsidR="00F43A09" w:rsidRPr="00BE27D1">
        <w:t>are currently PBS listed only for advanced (locally advanced and</w:t>
      </w:r>
      <w:r w:rsidRPr="00BE27D1">
        <w:t xml:space="preserve"> metastatic </w:t>
      </w:r>
      <w:r w:rsidR="00836818">
        <w:t>[</w:t>
      </w:r>
      <w:r w:rsidRPr="00BE27D1">
        <w:t>Stage IV</w:t>
      </w:r>
      <w:r w:rsidR="00836818">
        <w:t>]</w:t>
      </w:r>
      <w:r w:rsidR="00F43A09" w:rsidRPr="00BE27D1">
        <w:t>)</w:t>
      </w:r>
      <w:r w:rsidRPr="00BE27D1">
        <w:t xml:space="preserve"> disease.</w:t>
      </w:r>
      <w:r w:rsidR="00BE0D69">
        <w:t xml:space="preserve"> </w:t>
      </w:r>
      <w:r w:rsidR="00C96433" w:rsidRPr="000A6E90">
        <w:t>EGFR</w:t>
      </w:r>
      <w:r w:rsidRPr="000A6E90">
        <w:t xml:space="preserve"> or </w:t>
      </w:r>
      <w:r w:rsidR="00C96433" w:rsidRPr="000A6E90">
        <w:t>ALK</w:t>
      </w:r>
      <w:r w:rsidRPr="000A6E90">
        <w:t xml:space="preserve"> driver mutations have consistently shown poor response to immunotherapy. </w:t>
      </w:r>
      <w:r w:rsidR="00F43A09" w:rsidRPr="000A6E90">
        <w:t>Consequently, t</w:t>
      </w:r>
      <w:r w:rsidRPr="000A6E90">
        <w:t xml:space="preserve">hese patients are usually excluded from trials investigating immunotherapy in lung cancer. There is consensus in the literature that </w:t>
      </w:r>
      <w:r w:rsidR="00D5344F">
        <w:t xml:space="preserve">upfront </w:t>
      </w:r>
      <w:r w:rsidRPr="000A6E90">
        <w:t xml:space="preserve">treatment of tumours with activating </w:t>
      </w:r>
      <w:r w:rsidR="00ED015A" w:rsidRPr="000A6E90">
        <w:t>EGFR</w:t>
      </w:r>
      <w:r w:rsidRPr="000A6E90">
        <w:t xml:space="preserve"> or </w:t>
      </w:r>
      <w:r w:rsidR="00ED015A" w:rsidRPr="000A6E90">
        <w:t>ALK</w:t>
      </w:r>
      <w:r w:rsidRPr="000A6E90">
        <w:t xml:space="preserve"> alterations </w:t>
      </w:r>
      <w:r w:rsidR="00F43A09" w:rsidRPr="000A6E90">
        <w:t xml:space="preserve">with immune checkpoint inhibitors (ICIs) </w:t>
      </w:r>
      <w:r w:rsidRPr="000A6E90">
        <w:t>should be avoided</w:t>
      </w:r>
      <w:r w:rsidRPr="000A6E90">
        <w:rPr>
          <w:rStyle w:val="FootnoteReference"/>
        </w:rPr>
        <w:footnoteReference w:id="1"/>
      </w:r>
      <w:r w:rsidRPr="000A6E90">
        <w:rPr>
          <w:vertAlign w:val="superscript"/>
        </w:rPr>
        <w:t>,</w:t>
      </w:r>
      <w:r w:rsidRPr="000A6E90">
        <w:rPr>
          <w:rStyle w:val="FootnoteReference"/>
        </w:rPr>
        <w:footnoteReference w:id="2"/>
      </w:r>
      <w:r w:rsidRPr="000A6E90">
        <w:rPr>
          <w:vertAlign w:val="superscript"/>
        </w:rPr>
        <w:t>,</w:t>
      </w:r>
      <w:r w:rsidRPr="000A6E90">
        <w:rPr>
          <w:rStyle w:val="FootnoteReference"/>
        </w:rPr>
        <w:footnoteReference w:id="3"/>
      </w:r>
      <w:r w:rsidRPr="000A6E90">
        <w:t>.</w:t>
      </w:r>
      <w:r w:rsidR="009317B5" w:rsidRPr="000A6E90">
        <w:t xml:space="preserve"> </w:t>
      </w:r>
      <w:r w:rsidR="008663EB" w:rsidRPr="00CA56B5">
        <w:t>The Pre-Sub-Committee Response (PSCR)</w:t>
      </w:r>
      <w:r w:rsidR="00271026" w:rsidRPr="00CA56B5">
        <w:t xml:space="preserve"> </w:t>
      </w:r>
      <w:r w:rsidR="008663EB" w:rsidRPr="00CA56B5">
        <w:t xml:space="preserve">reiterated the </w:t>
      </w:r>
      <w:r w:rsidR="00B257E0" w:rsidRPr="00CA56B5">
        <w:t>justifications provided in the</w:t>
      </w:r>
      <w:r w:rsidR="008663EB" w:rsidRPr="00CA56B5">
        <w:t xml:space="preserve"> submission</w:t>
      </w:r>
      <w:r w:rsidR="00435EB0" w:rsidRPr="00CA56B5">
        <w:t>,</w:t>
      </w:r>
      <w:r w:rsidR="008663EB" w:rsidRPr="00CA56B5">
        <w:t xml:space="preserve"> </w:t>
      </w:r>
      <w:r w:rsidR="00B257E0" w:rsidRPr="00CA56B5">
        <w:t>however</w:t>
      </w:r>
      <w:r w:rsidR="008663EB" w:rsidRPr="00CA56B5">
        <w:t xml:space="preserve"> stated the sponsor was willing to accept Scenario 2.</w:t>
      </w:r>
      <w:r w:rsidR="00BB6ACA" w:rsidRPr="00CA56B5">
        <w:t xml:space="preserve"> </w:t>
      </w:r>
      <w:r w:rsidR="008663EB" w:rsidRPr="00CA56B5">
        <w:t>The ESC considered that there was inadequate evidence provided</w:t>
      </w:r>
      <w:r w:rsidR="00B257E0" w:rsidRPr="00CA56B5">
        <w:t xml:space="preserve"> in the submission</w:t>
      </w:r>
      <w:r w:rsidR="008663EB" w:rsidRPr="00CA56B5">
        <w:t xml:space="preserve"> to support Scenario 1 and supported the use of Scenario 2 </w:t>
      </w:r>
      <w:r w:rsidR="00B257E0" w:rsidRPr="00CA56B5">
        <w:t>for</w:t>
      </w:r>
      <w:r w:rsidR="008663EB" w:rsidRPr="00CA56B5">
        <w:t xml:space="preserve"> the restriction criteria.</w:t>
      </w:r>
      <w:r w:rsidR="00CC7AE8">
        <w:t xml:space="preserve"> </w:t>
      </w:r>
    </w:p>
    <w:p w14:paraId="1933C936" w14:textId="29A40EF9" w:rsidR="001C341D" w:rsidRDefault="00BE27D1" w:rsidP="001C341D">
      <w:pPr>
        <w:pStyle w:val="3-BodyText"/>
      </w:pPr>
      <w:r w:rsidRPr="00BE27D1">
        <w:t xml:space="preserve">The dose regimen of nivolumab in the key CM816 trial was 360 mg </w:t>
      </w:r>
      <w:r w:rsidR="003611CF">
        <w:t>every three weeks (</w:t>
      </w:r>
      <w:r w:rsidRPr="00BE27D1">
        <w:t>Q3W</w:t>
      </w:r>
      <w:r w:rsidR="003611CF">
        <w:t>)</w:t>
      </w:r>
      <w:r w:rsidRPr="00BE27D1">
        <w:t xml:space="preserve"> for a maximum of 3 cycles which was consistent with the recommended dose regimen in the PI. </w:t>
      </w:r>
    </w:p>
    <w:p w14:paraId="520AA8FB" w14:textId="6B911B57" w:rsidR="001C341D" w:rsidRDefault="001C341D" w:rsidP="001C341D">
      <w:pPr>
        <w:pStyle w:val="3-BodyText"/>
      </w:pPr>
      <w:r w:rsidRPr="000A6E90">
        <w:t xml:space="preserve">The </w:t>
      </w:r>
      <w:r w:rsidR="00935816">
        <w:t xml:space="preserve">evaluation considered the </w:t>
      </w:r>
      <w:r w:rsidRPr="000A6E90">
        <w:t>proposal to not have PBS restrictions by phase (Initial and Continuing)</w:t>
      </w:r>
      <w:r w:rsidR="001917BF" w:rsidRPr="000A6E90">
        <w:t xml:space="preserve"> appear</w:t>
      </w:r>
      <w:r w:rsidR="00876C3E">
        <w:t>ed</w:t>
      </w:r>
      <w:r w:rsidR="001917BF" w:rsidRPr="000A6E90">
        <w:t xml:space="preserve"> appropriate as there are no specific response criteria required for continuing nivolumab therapy in the neoadjuvant setting.</w:t>
      </w:r>
    </w:p>
    <w:p w14:paraId="657EAB87" w14:textId="223EAF19" w:rsidR="00CE5882" w:rsidRPr="00CA56B5" w:rsidRDefault="00BE27D1" w:rsidP="0030508A">
      <w:pPr>
        <w:pStyle w:val="3-BodyText"/>
      </w:pPr>
      <w:bookmarkStart w:id="16" w:name="_Ref127361702"/>
      <w:r w:rsidRPr="000A6E90">
        <w:t xml:space="preserve">The two scenario populations proposed in the submission are </w:t>
      </w:r>
      <w:r w:rsidR="001C341D" w:rsidRPr="000A6E90">
        <w:t>unselected</w:t>
      </w:r>
      <w:r w:rsidRPr="000A6E90">
        <w:t xml:space="preserve"> in terms of PD-L1 status. </w:t>
      </w:r>
      <w:r w:rsidR="00590036" w:rsidRPr="00CA56B5">
        <w:t>The evaluation questioned whether nivolumab should be restricted to patients who express PD-L1 and/or have high expression of PD-L1.</w:t>
      </w:r>
      <w:r w:rsidR="00590036" w:rsidRPr="008F3F0B">
        <w:rPr>
          <w:i/>
          <w:iCs/>
        </w:rPr>
        <w:t xml:space="preserve"> </w:t>
      </w:r>
      <w:r w:rsidRPr="000A6E90">
        <w:t xml:space="preserve">Pre-specified subgroup analyses in CM816 showed that the </w:t>
      </w:r>
      <w:r w:rsidR="00E70026">
        <w:t>event free survival (</w:t>
      </w:r>
      <w:r w:rsidRPr="000A6E90">
        <w:t>EFS</w:t>
      </w:r>
      <w:r w:rsidR="00E70026">
        <w:t>)</w:t>
      </w:r>
      <w:r w:rsidRPr="000A6E90">
        <w:t xml:space="preserve"> benefit associated with </w:t>
      </w:r>
      <w:r w:rsidR="000039B4" w:rsidRPr="000A6E90">
        <w:t>neoNIVO</w:t>
      </w:r>
      <w:r w:rsidRPr="000A6E90">
        <w:t>+</w:t>
      </w:r>
      <w:r w:rsidR="000039B4" w:rsidRPr="000A6E90">
        <w:t>neoChemo</w:t>
      </w:r>
      <w:r w:rsidRPr="000A6E90">
        <w:t xml:space="preserve"> versus </w:t>
      </w:r>
      <w:r w:rsidR="000039B4" w:rsidRPr="000A6E90">
        <w:t>neoChemo</w:t>
      </w:r>
      <w:r w:rsidRPr="000A6E90">
        <w:t>, in the intention to treat (ITT) population</w:t>
      </w:r>
      <w:r w:rsidR="00474210" w:rsidRPr="000A6E90">
        <w:t>,</w:t>
      </w:r>
      <w:r w:rsidRPr="000A6E90">
        <w:t xml:space="preserve"> </w:t>
      </w:r>
      <w:r w:rsidR="00564318" w:rsidRPr="000A6E90">
        <w:t>may have been</w:t>
      </w:r>
      <w:r w:rsidRPr="000A6E90">
        <w:t xml:space="preserve"> driven by the </w:t>
      </w:r>
      <w:r w:rsidR="00474210" w:rsidRPr="000A6E90">
        <w:t>observed benefit</w:t>
      </w:r>
      <w:r w:rsidRPr="000A6E90">
        <w:t xml:space="preserve"> in patients whose tumours expressed PD-L1, particularly </w:t>
      </w:r>
      <w:r w:rsidR="00474210" w:rsidRPr="000A6E90">
        <w:t>for</w:t>
      </w:r>
      <w:r w:rsidRPr="000A6E90">
        <w:t xml:space="preserve"> the high PD-L1 expression subgroup </w:t>
      </w:r>
      <w:r w:rsidR="0076043D" w:rsidRPr="000A6E90">
        <w:t>(</w:t>
      </w:r>
      <w:r w:rsidRPr="000A6E90">
        <w:t xml:space="preserve">PD-L1 &lt; 1%: </w:t>
      </w:r>
      <w:r w:rsidR="005B7D65">
        <w:t>hazard ratio [</w:t>
      </w:r>
      <w:r w:rsidRPr="000A6E90">
        <w:t>HR</w:t>
      </w:r>
      <w:r w:rsidR="005B7D65">
        <w:t>]</w:t>
      </w:r>
      <w:r w:rsidRPr="000A6E90">
        <w:t xml:space="preserve"> = 0.85 </w:t>
      </w:r>
      <w:r w:rsidR="00014916" w:rsidRPr="000A6E90">
        <w:t>[</w:t>
      </w:r>
      <w:r w:rsidRPr="000A6E90">
        <w:t>95% CI: 0.54, 1.32</w:t>
      </w:r>
      <w:r w:rsidR="00014916" w:rsidRPr="000A6E90">
        <w:t>]</w:t>
      </w:r>
      <w:r w:rsidRPr="000A6E90">
        <w:t xml:space="preserve">; PD-L1 ≥ 1%: HR = 0.41 </w:t>
      </w:r>
      <w:r w:rsidR="00014916" w:rsidRPr="000A6E90">
        <w:t>[</w:t>
      </w:r>
      <w:r w:rsidRPr="000A6E90">
        <w:t>95% CI: 0.24, 0.70</w:t>
      </w:r>
      <w:r w:rsidR="00014916" w:rsidRPr="000A6E90">
        <w:t>]</w:t>
      </w:r>
      <w:r w:rsidRPr="000A6E90">
        <w:t xml:space="preserve">; PD-L1 1-49%: HR = 0.58 </w:t>
      </w:r>
      <w:r w:rsidR="00014916" w:rsidRPr="000A6E90">
        <w:t>[</w:t>
      </w:r>
      <w:r w:rsidRPr="000A6E90">
        <w:t>95% CI: 0.30, 1.12</w:t>
      </w:r>
      <w:r w:rsidR="00014916" w:rsidRPr="000A6E90">
        <w:t>]</w:t>
      </w:r>
      <w:r w:rsidRPr="000A6E90">
        <w:t xml:space="preserve">; and PD-L1 ≥ 50%: HR = 0.24 </w:t>
      </w:r>
      <w:r w:rsidR="00014916" w:rsidRPr="000A6E90">
        <w:t>[</w:t>
      </w:r>
      <w:r w:rsidRPr="000A6E90">
        <w:t>95% CI: 0.10, 0.61</w:t>
      </w:r>
      <w:r w:rsidR="00014916" w:rsidRPr="000A6E90">
        <w:t>]</w:t>
      </w:r>
      <w:r w:rsidR="0076043D" w:rsidRPr="000A6E90">
        <w:t>)</w:t>
      </w:r>
      <w:r w:rsidRPr="000A6E90">
        <w:t xml:space="preserve">. This trend in predictive effect was similarly observed </w:t>
      </w:r>
      <w:r w:rsidR="00474210" w:rsidRPr="000A6E90">
        <w:t>with the</w:t>
      </w:r>
      <w:r w:rsidRPr="000A6E90">
        <w:t xml:space="preserve"> adjuvant use of atezolizumab </w:t>
      </w:r>
      <w:r w:rsidR="00474210" w:rsidRPr="000A6E90">
        <w:t>in</w:t>
      </w:r>
      <w:r w:rsidRPr="000A6E90">
        <w:t xml:space="preserve"> the </w:t>
      </w:r>
      <w:r w:rsidR="00824874" w:rsidRPr="000A6E90">
        <w:t>I</w:t>
      </w:r>
      <w:r w:rsidR="00824874">
        <w:t>M</w:t>
      </w:r>
      <w:r w:rsidR="00824874" w:rsidRPr="000A6E90">
        <w:t xml:space="preserve">power010 </w:t>
      </w:r>
      <w:r w:rsidRPr="000A6E90">
        <w:t>trial</w:t>
      </w:r>
      <w:r>
        <w:t xml:space="preserve">. </w:t>
      </w:r>
      <w:r w:rsidR="00CE5882" w:rsidRPr="00CA56B5">
        <w:t xml:space="preserve">The PSCR did not support restricting nivolumab to patients who express PD-L1 and/or have high expression of PD-L1. The ESC </w:t>
      </w:r>
      <w:r w:rsidR="0030508A" w:rsidRPr="00CA56B5">
        <w:t>noted</w:t>
      </w:r>
      <w:r w:rsidR="00CE5882" w:rsidRPr="00CA56B5">
        <w:t xml:space="preserve"> that PD-L1 expression </w:t>
      </w:r>
      <w:r w:rsidR="009B5B27" w:rsidRPr="00CA56B5">
        <w:t xml:space="preserve">appeared to be a driver of benefit </w:t>
      </w:r>
      <w:r w:rsidR="00474821" w:rsidRPr="00CA56B5">
        <w:t xml:space="preserve">(see paragraph </w:t>
      </w:r>
      <w:r w:rsidR="00474821" w:rsidRPr="00CA56B5">
        <w:fldChar w:fldCharType="begin"/>
      </w:r>
      <w:r w:rsidR="00474821" w:rsidRPr="00CA56B5">
        <w:instrText xml:space="preserve"> REF _Ref126849599 \r \h </w:instrText>
      </w:r>
      <w:r w:rsidR="00CA56B5">
        <w:instrText xml:space="preserve"> \* MERGEFORMAT </w:instrText>
      </w:r>
      <w:r w:rsidR="00474821" w:rsidRPr="00CA56B5">
        <w:fldChar w:fldCharType="separate"/>
      </w:r>
      <w:r w:rsidR="00A77D90">
        <w:t>6.27</w:t>
      </w:r>
      <w:r w:rsidR="00474821" w:rsidRPr="00CA56B5">
        <w:fldChar w:fldCharType="end"/>
      </w:r>
      <w:r w:rsidR="00474821" w:rsidRPr="00CA56B5">
        <w:t xml:space="preserve">) </w:t>
      </w:r>
      <w:r w:rsidR="009B5B27" w:rsidRPr="00CA56B5">
        <w:t xml:space="preserve">but </w:t>
      </w:r>
      <w:r w:rsidR="008F3F0B" w:rsidRPr="00CA56B5">
        <w:t xml:space="preserve">considered that restricting </w:t>
      </w:r>
      <w:r w:rsidR="0030508A" w:rsidRPr="00CA56B5">
        <w:t>access based on PD-L1 status</w:t>
      </w:r>
      <w:r w:rsidR="008F3F0B" w:rsidRPr="00CA56B5">
        <w:t xml:space="preserve"> may not be appropriat</w:t>
      </w:r>
      <w:r w:rsidR="005A6FB9" w:rsidRPr="00CA56B5">
        <w:t>e</w:t>
      </w:r>
      <w:r w:rsidR="0030508A" w:rsidRPr="00CA56B5">
        <w:t xml:space="preserve">. </w:t>
      </w:r>
      <w:r w:rsidR="00474821" w:rsidRPr="00CA56B5">
        <w:t>The ESC noted the concerns raised by MSAC regarding the use of PD-L1 immunohistochemistry testing to determine eligibility for treatment with PD-L1 checkpoint inhibitors in their September 2022 position statement</w:t>
      </w:r>
      <w:r w:rsidR="00474821" w:rsidRPr="00CA56B5">
        <w:rPr>
          <w:rStyle w:val="FootnoteReference"/>
        </w:rPr>
        <w:footnoteReference w:id="4"/>
      </w:r>
      <w:bookmarkEnd w:id="16"/>
      <w:r w:rsidR="00CA5772">
        <w:t>.</w:t>
      </w:r>
    </w:p>
    <w:p w14:paraId="5DC33DAD" w14:textId="0B5CEE5B" w:rsidR="00BE27D1" w:rsidRDefault="00BE27D1" w:rsidP="00BE27D1">
      <w:pPr>
        <w:pStyle w:val="3-BodyText"/>
      </w:pPr>
      <w:r w:rsidRPr="000A6E90">
        <w:t xml:space="preserve">The </w:t>
      </w:r>
      <w:r w:rsidR="008F3F0B" w:rsidRPr="00CA56B5">
        <w:t>evaluation questioned</w:t>
      </w:r>
      <w:r w:rsidR="008F3F0B">
        <w:t xml:space="preserve"> </w:t>
      </w:r>
      <w:r w:rsidRPr="000A6E90">
        <w:t xml:space="preserve">whether the restriction </w:t>
      </w:r>
      <w:r w:rsidR="00E677DE">
        <w:t>should</w:t>
      </w:r>
      <w:r w:rsidR="00E677DE" w:rsidRPr="000A6E90">
        <w:t xml:space="preserve"> </w:t>
      </w:r>
      <w:r w:rsidRPr="000A6E90">
        <w:t xml:space="preserve">specify </w:t>
      </w:r>
      <w:r w:rsidR="00E677DE">
        <w:t xml:space="preserve">the </w:t>
      </w:r>
      <w:r w:rsidRPr="000A6E90">
        <w:t>stage of disease as in the key CM816 trial (resectable Stage IB, Stage II or Stage IIIA)</w:t>
      </w:r>
      <w:r w:rsidR="00E677DE">
        <w:t xml:space="preserve"> and considered</w:t>
      </w:r>
      <w:r w:rsidR="008F3F0B">
        <w:t xml:space="preserve"> stating </w:t>
      </w:r>
      <w:r w:rsidR="00485741">
        <w:t>the condition as ‘Resectable (</w:t>
      </w:r>
      <w:r w:rsidRPr="000A6E90">
        <w:t>Tumours ≥</w:t>
      </w:r>
      <w:r w:rsidR="00014916" w:rsidRPr="000A6E90">
        <w:t xml:space="preserve"> </w:t>
      </w:r>
      <w:r w:rsidRPr="000A6E90">
        <w:t>4 cm or node positive</w:t>
      </w:r>
      <w:r w:rsidR="00485741">
        <w:t>) non-small cell lun</w:t>
      </w:r>
      <w:r w:rsidR="0059087E">
        <w:t>g</w:t>
      </w:r>
      <w:r w:rsidR="00485741">
        <w:t xml:space="preserve"> cancer</w:t>
      </w:r>
      <w:r w:rsidRPr="000A6E90">
        <w:t xml:space="preserve"> </w:t>
      </w:r>
      <w:r w:rsidR="00485741">
        <w:t>(</w:t>
      </w:r>
      <w:r w:rsidRPr="000A6E90">
        <w:t>NSCLC</w:t>
      </w:r>
      <w:r w:rsidR="00485741">
        <w:t>)’</w:t>
      </w:r>
      <w:r w:rsidRPr="000A6E90">
        <w:t xml:space="preserve"> in the proposed restriction appears too broad</w:t>
      </w:r>
      <w:r>
        <w:t xml:space="preserve">. </w:t>
      </w:r>
    </w:p>
    <w:p w14:paraId="01818742" w14:textId="2269F0DC" w:rsidR="001531B1" w:rsidRPr="00BE27D1" w:rsidRDefault="001531B1" w:rsidP="00BE27D1">
      <w:pPr>
        <w:pStyle w:val="3-BodyText"/>
      </w:pPr>
      <w:r w:rsidRPr="000A6E90">
        <w:t xml:space="preserve">A tumour may be considered technically resectable, yet the patient may not be fit for surgery </w:t>
      </w:r>
      <w:r w:rsidR="00014916" w:rsidRPr="000A6E90">
        <w:t>due to</w:t>
      </w:r>
      <w:r w:rsidRPr="000A6E90">
        <w:t xml:space="preserve"> other c</w:t>
      </w:r>
      <w:r w:rsidR="00E260CD">
        <w:t>linical considerations</w:t>
      </w:r>
      <w:r w:rsidR="00014916" w:rsidRPr="000A6E90">
        <w:t>,</w:t>
      </w:r>
      <w:r w:rsidRPr="000A6E90">
        <w:t xml:space="preserve"> such as the extent of lymph node involvement and high surgical risk in a compromised patient</w:t>
      </w:r>
      <w:r w:rsidR="00C722CA" w:rsidRPr="000A6E90">
        <w:rPr>
          <w:rStyle w:val="FootnoteReference"/>
        </w:rPr>
        <w:footnoteReference w:id="5"/>
      </w:r>
      <w:r w:rsidRPr="000A6E90">
        <w:t>. Thus</w:t>
      </w:r>
      <w:r w:rsidR="00762239" w:rsidRPr="000A6E90">
        <w:t>,</w:t>
      </w:r>
      <w:r w:rsidRPr="000A6E90">
        <w:t xml:space="preserve"> </w:t>
      </w:r>
      <w:r w:rsidR="00CA5772">
        <w:t xml:space="preserve">the evaluation considered </w:t>
      </w:r>
      <w:r w:rsidRPr="000A6E90">
        <w:t xml:space="preserve">there is a risk that patients may be offered </w:t>
      </w:r>
      <w:r w:rsidR="000039B4" w:rsidRPr="000A6E90">
        <w:t>neoNIVO</w:t>
      </w:r>
      <w:r w:rsidRPr="000A6E90">
        <w:t>+</w:t>
      </w:r>
      <w:r w:rsidR="000039B4" w:rsidRPr="000A6E90">
        <w:t>neoChemo</w:t>
      </w:r>
      <w:r w:rsidRPr="000A6E90">
        <w:t xml:space="preserve"> whilst unfit for surgery.</w:t>
      </w:r>
    </w:p>
    <w:p w14:paraId="612E933D" w14:textId="16D7F98C" w:rsidR="00435ED6" w:rsidRPr="00762239" w:rsidRDefault="00435ED6" w:rsidP="00AA41F1">
      <w:pPr>
        <w:pStyle w:val="3-BodyText"/>
      </w:pPr>
      <w:bookmarkStart w:id="17" w:name="_Ref131063291"/>
      <w:r>
        <w:t>C</w:t>
      </w:r>
      <w:r w:rsidR="001531B1">
        <w:t>urrent PBS restrictions for nivolumab, pembrolizum</w:t>
      </w:r>
      <w:r>
        <w:t xml:space="preserve">ab, </w:t>
      </w:r>
      <w:r w:rsidR="001531B1">
        <w:t xml:space="preserve">and atezolizumab for the treatment of </w:t>
      </w:r>
      <w:r>
        <w:t>metastatic</w:t>
      </w:r>
      <w:r w:rsidR="001531B1">
        <w:t xml:space="preserve"> NSCLC disease specify that the patient must not have received prior treatment with a PD-</w:t>
      </w:r>
      <w:r w:rsidR="00485741">
        <w:t>L</w:t>
      </w:r>
      <w:r w:rsidR="001531B1">
        <w:t xml:space="preserve">1 inhibitor </w:t>
      </w:r>
      <w:r w:rsidR="00F47E3D">
        <w:t>for NSCLC</w:t>
      </w:r>
      <w:r w:rsidR="001531B1">
        <w:t xml:space="preserve">. The submission proposed </w:t>
      </w:r>
      <w:r>
        <w:t>the following change (</w:t>
      </w:r>
      <w:r w:rsidRPr="00762239">
        <w:rPr>
          <w:b/>
        </w:rPr>
        <w:t>bolded</w:t>
      </w:r>
      <w:r>
        <w:t>) to the current clinical criteria</w:t>
      </w:r>
      <w:r w:rsidR="001531B1">
        <w:t xml:space="preserve">: Patient must not have received prior treatment with a PD-1 inhibitor or a PD-L1 inhibitor for </w:t>
      </w:r>
      <w:r w:rsidR="001531B1" w:rsidRPr="00762239">
        <w:rPr>
          <w:b/>
        </w:rPr>
        <w:t>treatment of Stage IV (metastatic)</w:t>
      </w:r>
      <w:r w:rsidR="001531B1">
        <w:t xml:space="preserve"> non-small cell lung cancer</w:t>
      </w:r>
      <w:r w:rsidR="00F47E3D">
        <w:t>.</w:t>
      </w:r>
      <w:r>
        <w:t xml:space="preserve"> </w:t>
      </w:r>
      <w:r w:rsidR="00F47E3D" w:rsidRPr="00F47E3D">
        <w:t>The submission</w:t>
      </w:r>
      <w:r>
        <w:t xml:space="preserve">’s rationale was based on i) </w:t>
      </w:r>
      <w:r w:rsidR="00F47E3D" w:rsidRPr="00F47E3D">
        <w:t xml:space="preserve">evidence </w:t>
      </w:r>
      <w:r>
        <w:t xml:space="preserve">from CM816 </w:t>
      </w:r>
      <w:r w:rsidR="00F47E3D" w:rsidRPr="00F47E3D">
        <w:t>would not be forthcoming in the near future given the high proportion of patients who are recurrence</w:t>
      </w:r>
      <w:r>
        <w:t>/</w:t>
      </w:r>
      <w:r w:rsidR="00F47E3D" w:rsidRPr="00F47E3D">
        <w:t>metastas</w:t>
      </w:r>
      <w:r w:rsidR="00C630CE">
        <w:t>i</w:t>
      </w:r>
      <w:r w:rsidR="00F47E3D" w:rsidRPr="00F47E3D">
        <w:t xml:space="preserve">s free, ii) </w:t>
      </w:r>
      <w:r>
        <w:t xml:space="preserve">clinical advice received by the </w:t>
      </w:r>
      <w:r w:rsidR="00EB5336">
        <w:t>s</w:t>
      </w:r>
      <w:r w:rsidR="00C96433" w:rsidRPr="00C96433">
        <w:t>ponsor</w:t>
      </w:r>
      <w:r>
        <w:t xml:space="preserve"> is that </w:t>
      </w:r>
      <w:r w:rsidR="00F47E3D" w:rsidRPr="00F47E3D">
        <w:t xml:space="preserve">PD-L1 inhibitors remain highly effective in metastatic </w:t>
      </w:r>
      <w:r w:rsidR="00E260CD">
        <w:t>disease</w:t>
      </w:r>
      <w:r w:rsidR="00F47E3D" w:rsidRPr="00F47E3D">
        <w:t xml:space="preserve">, iii) </w:t>
      </w:r>
      <w:r>
        <w:t xml:space="preserve">exposure to neoadjuvant nivolumab is only a </w:t>
      </w:r>
      <w:r w:rsidR="00F47E3D" w:rsidRPr="00F47E3D">
        <w:t>maximum of 3 doses</w:t>
      </w:r>
      <w:r>
        <w:t>,</w:t>
      </w:r>
      <w:r w:rsidR="00F47E3D" w:rsidRPr="00F47E3D">
        <w:t xml:space="preserve"> and iv) the biological plausibility assumption that tumours responding to nivolumab prior to surgical resection would remain sensitive to PD-L1 inhibitor therapy </w:t>
      </w:r>
      <w:r>
        <w:t>after disease recurrence/</w:t>
      </w:r>
      <w:r w:rsidR="00F47E3D" w:rsidRPr="00F47E3D">
        <w:t>metasta</w:t>
      </w:r>
      <w:r>
        <w:t>s</w:t>
      </w:r>
      <w:r w:rsidR="00C630CE">
        <w:t>i</w:t>
      </w:r>
      <w:r>
        <w:t>s.</w:t>
      </w:r>
      <w:r w:rsidR="00762239">
        <w:t xml:space="preserve"> </w:t>
      </w:r>
      <w:r w:rsidR="0074362F" w:rsidRPr="000A6E90">
        <w:t xml:space="preserve">Recognising that there is a clinical rationale for the retreatment with ICIs, if these agents are used earlier </w:t>
      </w:r>
      <w:r w:rsidR="00E260CD">
        <w:t xml:space="preserve">in </w:t>
      </w:r>
      <w:r w:rsidR="0074362F" w:rsidRPr="000A6E90">
        <w:t>treatment, t</w:t>
      </w:r>
      <w:r w:rsidRPr="000A6E90">
        <w:t>here is paucity of clinical and economic evidence available to support retreatment</w:t>
      </w:r>
      <w:r w:rsidR="0074362F" w:rsidRPr="000A6E90">
        <w:t xml:space="preserve">. </w:t>
      </w:r>
      <w:r w:rsidR="0065475F" w:rsidRPr="00CA56B5">
        <w:t xml:space="preserve">The ESC </w:t>
      </w:r>
      <w:r w:rsidR="00DF04FA" w:rsidRPr="00CA56B5">
        <w:t>considered</w:t>
      </w:r>
      <w:r w:rsidR="0065475F" w:rsidRPr="00CA56B5">
        <w:t xml:space="preserve"> that </w:t>
      </w:r>
      <w:r w:rsidR="00485741" w:rsidRPr="00CA56B5">
        <w:t xml:space="preserve">there </w:t>
      </w:r>
      <w:r w:rsidR="00093CA0" w:rsidRPr="00CA56B5">
        <w:t>is currently</w:t>
      </w:r>
      <w:r w:rsidR="0065475F" w:rsidRPr="00CA56B5">
        <w:t xml:space="preserve"> </w:t>
      </w:r>
      <w:r w:rsidR="00485741" w:rsidRPr="00CA56B5">
        <w:t>in</w:t>
      </w:r>
      <w:r w:rsidR="0065475F" w:rsidRPr="00CA56B5">
        <w:t>sufficient</w:t>
      </w:r>
      <w:r w:rsidR="00485741" w:rsidRPr="00CA56B5">
        <w:t xml:space="preserve"> evidence to support </w:t>
      </w:r>
      <w:r w:rsidR="009558E4" w:rsidRPr="00CA56B5">
        <w:t>re</w:t>
      </w:r>
      <w:r w:rsidR="00485741" w:rsidRPr="00CA56B5">
        <w:t xml:space="preserve">treatment with PD-L1 inhibitors in metastatic </w:t>
      </w:r>
      <w:r w:rsidR="00E260CD">
        <w:t>disease</w:t>
      </w:r>
      <w:r w:rsidR="0065475F" w:rsidRPr="00CA56B5">
        <w:t xml:space="preserve">, </w:t>
      </w:r>
      <w:r w:rsidR="00485741" w:rsidRPr="00CA56B5">
        <w:t>however</w:t>
      </w:r>
      <w:r w:rsidR="0065475F" w:rsidRPr="00CA56B5">
        <w:t xml:space="preserve"> noted that without </w:t>
      </w:r>
      <w:r w:rsidR="00485741" w:rsidRPr="00CA56B5">
        <w:t>the requested flow on amendments</w:t>
      </w:r>
      <w:r w:rsidR="00485741" w:rsidRPr="00CA56B5" w:rsidDel="00485741">
        <w:t xml:space="preserve"> </w:t>
      </w:r>
      <w:r w:rsidR="0065475F" w:rsidRPr="00CA56B5">
        <w:t xml:space="preserve">patients would not be able to access immunotherapies </w:t>
      </w:r>
      <w:r w:rsidR="00E260CD">
        <w:t xml:space="preserve">for </w:t>
      </w:r>
      <w:r w:rsidR="0065475F" w:rsidRPr="00CA56B5">
        <w:t xml:space="preserve">metastatic </w:t>
      </w:r>
      <w:r w:rsidR="00E260CD">
        <w:t>disease</w:t>
      </w:r>
      <w:r w:rsidR="0065475F" w:rsidRPr="00CA56B5">
        <w:t>, despite having only received a short course of neoadjuvant nivo</w:t>
      </w:r>
      <w:r w:rsidR="00DF04FA" w:rsidRPr="00CA56B5">
        <w:t>lumab</w:t>
      </w:r>
      <w:r w:rsidR="0065475F" w:rsidRPr="00CA56B5">
        <w:t xml:space="preserve">. </w:t>
      </w:r>
      <w:r w:rsidR="00CD530F">
        <w:t xml:space="preserve">The pre-PBAC response </w:t>
      </w:r>
      <w:r w:rsidR="0069042E">
        <w:t>highlighted</w:t>
      </w:r>
      <w:r w:rsidR="00CD530F">
        <w:t xml:space="preserve"> that </w:t>
      </w:r>
      <w:r w:rsidR="001A1D77">
        <w:t xml:space="preserve">only </w:t>
      </w:r>
      <w:r w:rsidR="00CD530F">
        <w:t>0.6% of patients treated</w:t>
      </w:r>
      <w:r w:rsidR="0069042E">
        <w:t xml:space="preserve"> </w:t>
      </w:r>
      <w:r w:rsidR="00CD530F">
        <w:t>with neoNIVO discontinued treatment due to disease progression/recurrence in CM81</w:t>
      </w:r>
      <w:r w:rsidR="001A1D77">
        <w:t>6</w:t>
      </w:r>
      <w:r w:rsidR="0069042E">
        <w:t xml:space="preserve"> and argued that the low rate of resistance following up to 3 doses of nivolumab is indicative of a situation whereby tumours would remain responsive to further PD-L1 treatment upon progression/recurrence to Stage IV (metastatic) disease. </w:t>
      </w:r>
      <w:r w:rsidR="00CD530F">
        <w:t xml:space="preserve">The pre-PBAC response </w:t>
      </w:r>
      <w:r w:rsidR="001A1D77">
        <w:t xml:space="preserve">noted that the </w:t>
      </w:r>
      <w:r w:rsidR="0069042E">
        <w:t>proposed</w:t>
      </w:r>
      <w:r w:rsidR="001A1D77">
        <w:t xml:space="preserve"> flow on amendments to </w:t>
      </w:r>
      <w:r w:rsidR="0069042E">
        <w:t xml:space="preserve">the </w:t>
      </w:r>
      <w:r w:rsidR="001A1D77">
        <w:t xml:space="preserve">PBS restrictions for nivolumab, pembrolizumab, and atezolizumab for </w:t>
      </w:r>
      <w:r w:rsidR="0069042E">
        <w:t>patients</w:t>
      </w:r>
      <w:r w:rsidR="001A1D77">
        <w:t xml:space="preserve"> with Stage IV (metastatic) NSCLC </w:t>
      </w:r>
      <w:r w:rsidR="0069042E">
        <w:t>would allow</w:t>
      </w:r>
      <w:r w:rsidR="001A1D77">
        <w:t xml:space="preserve"> </w:t>
      </w:r>
      <w:r w:rsidR="00504358">
        <w:t>patients</w:t>
      </w:r>
      <w:r w:rsidR="001A1D77">
        <w:t xml:space="preserve"> treated with neoNIVO access </w:t>
      </w:r>
      <w:r w:rsidR="0069042E">
        <w:t xml:space="preserve">to </w:t>
      </w:r>
      <w:r w:rsidR="001A1D77">
        <w:t xml:space="preserve">PD-L1 treatment upon disease progression/recurrence. </w:t>
      </w:r>
      <w:bookmarkEnd w:id="17"/>
    </w:p>
    <w:p w14:paraId="1817D19D" w14:textId="1EF61938" w:rsidR="00762239" w:rsidRDefault="00762239" w:rsidP="0077660A">
      <w:pPr>
        <w:pStyle w:val="3-BodyText"/>
      </w:pPr>
      <w:r w:rsidRPr="00762239">
        <w:t xml:space="preserve">Flow on effects to the </w:t>
      </w:r>
      <w:r w:rsidRPr="00762239">
        <w:rPr>
          <w:iCs/>
        </w:rPr>
        <w:t>Medicare Benefits Schedule (</w:t>
      </w:r>
      <w:r w:rsidRPr="00762239">
        <w:t>MBS): The submission noted that if the PBAC recommend</w:t>
      </w:r>
      <w:r w:rsidR="00E260CD">
        <w:t>ed</w:t>
      </w:r>
      <w:r w:rsidR="006150D9">
        <w:t xml:space="preserve"> the</w:t>
      </w:r>
      <w:r w:rsidRPr="00762239">
        <w:t xml:space="preserve"> PBS listing under Scenario 2 (i.e., excluding </w:t>
      </w:r>
      <w:r w:rsidR="00C96433" w:rsidRPr="00C96433">
        <w:t>EGFR</w:t>
      </w:r>
      <w:r w:rsidRPr="00762239">
        <w:t xml:space="preserve"> mutations/</w:t>
      </w:r>
      <w:r w:rsidR="00C96433" w:rsidRPr="00C96433">
        <w:t>ALK</w:t>
      </w:r>
      <w:r w:rsidRPr="00762239">
        <w:t xml:space="preserve"> alterations),</w:t>
      </w:r>
      <w:r w:rsidR="00E260CD">
        <w:t xml:space="preserve"> implementing the PBAC recommendation would be dependent on the Medical Services Advisory Committee (MSAC) supporting</w:t>
      </w:r>
      <w:r w:rsidRPr="00762239">
        <w:t xml:space="preserve"> a</w:t>
      </w:r>
      <w:r w:rsidR="00E260CD">
        <w:t xml:space="preserve"> change</w:t>
      </w:r>
      <w:r w:rsidRPr="00762239">
        <w:t xml:space="preserve"> to the MBS item for </w:t>
      </w:r>
      <w:r w:rsidR="00C96433" w:rsidRPr="00C96433">
        <w:t>EGFR</w:t>
      </w:r>
      <w:r w:rsidRPr="00762239">
        <w:t xml:space="preserve"> testing of tumour tissue (Item 73337). The submission noted that a streamlined co-dependent submission requesting an amendment to MBS Item 73337, allowing </w:t>
      </w:r>
      <w:r w:rsidR="00C96433" w:rsidRPr="00C96433">
        <w:t>EGFR</w:t>
      </w:r>
      <w:r w:rsidRPr="00762239">
        <w:t xml:space="preserve"> testing through the MBS to determine eligibility to access nivolumab as a neoadjuvant treatment through the PBS, was submitted for consideration by MSAC</w:t>
      </w:r>
      <w:r w:rsidRPr="000A6E90">
        <w:t>.</w:t>
      </w:r>
    </w:p>
    <w:p w14:paraId="24337801" w14:textId="7F5D1371" w:rsidR="00E51F33" w:rsidRPr="00E51F33" w:rsidRDefault="00E51F33" w:rsidP="00E51F33">
      <w:pPr>
        <w:pStyle w:val="3-BodyText"/>
        <w:numPr>
          <w:ilvl w:val="0"/>
          <w:numId w:val="0"/>
        </w:numPr>
        <w:ind w:left="720"/>
        <w:rPr>
          <w:i/>
          <w:iCs/>
        </w:rPr>
      </w:pPr>
      <w:r w:rsidRPr="00E51F33">
        <w:rPr>
          <w:i/>
          <w:iCs/>
        </w:rPr>
        <w:t>For more detail on PBAC’s view, see section 7 PBAC outcome.</w:t>
      </w:r>
    </w:p>
    <w:p w14:paraId="64D13AEA" w14:textId="77777777" w:rsidR="00B50DB8" w:rsidRPr="00F1774F" w:rsidDel="00195452" w:rsidRDefault="00203181" w:rsidP="004E18E9">
      <w:pPr>
        <w:pStyle w:val="2-SectionHeading"/>
      </w:pPr>
      <w:bookmarkStart w:id="18" w:name="_Toc124932951"/>
      <w:r w:rsidRPr="00F1774F" w:rsidDel="00195452">
        <w:t xml:space="preserve">Population and </w:t>
      </w:r>
      <w:r w:rsidR="008E0D3C" w:rsidRPr="00F1774F" w:rsidDel="00195452">
        <w:t>d</w:t>
      </w:r>
      <w:r w:rsidRPr="00F1774F" w:rsidDel="00195452">
        <w:t>isease</w:t>
      </w:r>
      <w:bookmarkEnd w:id="18"/>
    </w:p>
    <w:p w14:paraId="49CE1CC4" w14:textId="210DA81D" w:rsidR="00990487" w:rsidRPr="00F1774F" w:rsidRDefault="00990487" w:rsidP="004E2A18">
      <w:pPr>
        <w:pStyle w:val="3-BodyText"/>
      </w:pPr>
      <w:r w:rsidRPr="00F1774F">
        <w:t>Lung cancer is a common form of cancer in Australia with 14,529 incident cases reported in 2022</w:t>
      </w:r>
      <w:r w:rsidRPr="00F1774F">
        <w:rPr>
          <w:vertAlign w:val="superscript"/>
        </w:rPr>
        <w:footnoteReference w:id="6"/>
      </w:r>
      <w:r w:rsidRPr="00F1774F">
        <w:t xml:space="preserve">. </w:t>
      </w:r>
      <w:r w:rsidR="004E2A18" w:rsidRPr="004E2A18">
        <w:t>In consideration of the high burden of disease and poor survival for patients with NSCLC, there is a need for effective treatment options which delay disease recurrence or progression, prolong survival and do not have a detrimental impact on patient quality of life</w:t>
      </w:r>
      <w:r w:rsidR="0063796F">
        <w:t xml:space="preserve"> (QoL)</w:t>
      </w:r>
      <w:r w:rsidR="004E2A18">
        <w:t xml:space="preserve">. </w:t>
      </w:r>
      <w:r w:rsidR="00482C19">
        <w:t xml:space="preserve">Results of a meta-analysis showed that </w:t>
      </w:r>
      <w:r w:rsidR="00482C19" w:rsidRPr="000A6E90">
        <w:t>the absolute survival improvement associated with pre-operative chemotherapy was only 5% (from 40% to 45%) at 5 years</w:t>
      </w:r>
      <w:r w:rsidR="00482C19" w:rsidRPr="000A6E90">
        <w:rPr>
          <w:rStyle w:val="FootnoteReference"/>
        </w:rPr>
        <w:footnoteReference w:id="7"/>
      </w:r>
      <w:r w:rsidR="00482C19" w:rsidRPr="000A6E90">
        <w:t>.</w:t>
      </w:r>
    </w:p>
    <w:p w14:paraId="03326B6A" w14:textId="77777777" w:rsidR="00894489" w:rsidRPr="0083604C" w:rsidRDefault="00F1774F" w:rsidP="004E18E9">
      <w:pPr>
        <w:pStyle w:val="3-BodyText"/>
      </w:pPr>
      <w:r w:rsidRPr="00F1774F">
        <w:t xml:space="preserve">Generally, patients with Stage I-IIIA </w:t>
      </w:r>
      <w:r w:rsidR="00DC25A7">
        <w:t xml:space="preserve">NSCLC </w:t>
      </w:r>
      <w:r w:rsidRPr="00F1774F">
        <w:t>disease</w:t>
      </w:r>
      <w:r w:rsidR="00DC25A7">
        <w:t xml:space="preserve">, if </w:t>
      </w:r>
      <w:r w:rsidR="00DC25A7" w:rsidRPr="00DC25A7">
        <w:t>deemed operable</w:t>
      </w:r>
      <w:r w:rsidR="00DC25A7">
        <w:t>,</w:t>
      </w:r>
      <w:r w:rsidRPr="00F1774F">
        <w:t xml:space="preserve"> would be considered candidates for surgical resection of the primary tumour. Determination of tumour resectability involves consideration of a range of factors such as tumour size/location, </w:t>
      </w:r>
      <w:r w:rsidRPr="0083604C">
        <w:t>pulmonary and cardiac function, and the patient’s willingness to undergo surgery.</w:t>
      </w:r>
    </w:p>
    <w:p w14:paraId="404F7DAD" w14:textId="1F649580" w:rsidR="00DC7722" w:rsidRPr="00DC7722" w:rsidDel="00195452" w:rsidRDefault="000039B4" w:rsidP="004E18E9">
      <w:pPr>
        <w:pStyle w:val="3-BodyText"/>
      </w:pPr>
      <w:r>
        <w:t>neoNIVO</w:t>
      </w:r>
      <w:r w:rsidR="00DC7722" w:rsidRPr="00DC7722">
        <w:t>+</w:t>
      </w:r>
      <w:r>
        <w:t>neoChemo</w:t>
      </w:r>
      <w:r w:rsidR="00DC7722" w:rsidRPr="00DC7722">
        <w:t xml:space="preserve"> is proposed to be used as an alternative to </w:t>
      </w:r>
      <w:r w:rsidR="003D24E4">
        <w:t>adjChemo</w:t>
      </w:r>
      <w:r w:rsidR="00DC7722" w:rsidRPr="00DC7722">
        <w:t xml:space="preserve"> (secondary comparator) in patients with resectable NSCLC or as an alternative to </w:t>
      </w:r>
      <w:r w:rsidR="003D24E4">
        <w:t>adjChemo</w:t>
      </w:r>
      <w:r w:rsidR="00DC7722" w:rsidRPr="00DC7722">
        <w:t>+</w:t>
      </w:r>
      <w:r>
        <w:t>adjATEZO</w:t>
      </w:r>
      <w:r w:rsidR="00DC7722" w:rsidRPr="00DC7722">
        <w:t xml:space="preserve"> (supplementary comparator) in a </w:t>
      </w:r>
      <w:r w:rsidR="0083604C">
        <w:t>proportion of</w:t>
      </w:r>
      <w:r w:rsidR="00DC7722" w:rsidRPr="00DC7722">
        <w:t xml:space="preserve"> patients </w:t>
      </w:r>
      <w:r w:rsidR="0083604C">
        <w:t>with</w:t>
      </w:r>
      <w:r w:rsidR="00DC7722" w:rsidRPr="00DC7722">
        <w:t xml:space="preserve"> Stage II-IIIA NSCLC </w:t>
      </w:r>
      <w:r w:rsidR="0083604C">
        <w:t>with high</w:t>
      </w:r>
      <w:r w:rsidR="00DC7722" w:rsidRPr="00DC7722">
        <w:t xml:space="preserve"> PD-L1 expression </w:t>
      </w:r>
      <w:r w:rsidR="0083604C">
        <w:t>(</w:t>
      </w:r>
      <w:r w:rsidR="00DC7722" w:rsidRPr="00DC7722">
        <w:t>≥</w:t>
      </w:r>
      <w:r w:rsidR="00047C39">
        <w:t xml:space="preserve"> </w:t>
      </w:r>
      <w:r w:rsidR="00DC7722" w:rsidRPr="00DC7722">
        <w:t>50%</w:t>
      </w:r>
      <w:r w:rsidR="0083604C">
        <w:t>), and</w:t>
      </w:r>
      <w:r w:rsidR="00DC7722" w:rsidRPr="00DC7722">
        <w:t xml:space="preserve"> who have undergone surgical resection. In this </w:t>
      </w:r>
      <w:r w:rsidR="00E260CD">
        <w:t>scenario</w:t>
      </w:r>
      <w:r w:rsidR="00DC7722" w:rsidRPr="00DC7722">
        <w:t xml:space="preserve">, patients would first undergo surgical resection and receive </w:t>
      </w:r>
      <w:r w:rsidR="003D24E4">
        <w:t>adjChemo</w:t>
      </w:r>
      <w:r w:rsidR="00DC7722" w:rsidRPr="00DC7722">
        <w:t>, with a subgroup (Stage II-IIIA, PD-L1 ≥</w:t>
      </w:r>
      <w:r w:rsidR="00FD405F">
        <w:t xml:space="preserve"> </w:t>
      </w:r>
      <w:r w:rsidR="00DC7722" w:rsidRPr="00DC7722">
        <w:t xml:space="preserve">50%) of patients going on to receive </w:t>
      </w:r>
      <w:r>
        <w:t>adjATEZO</w:t>
      </w:r>
      <w:r w:rsidR="0083604C">
        <w:t>.</w:t>
      </w:r>
    </w:p>
    <w:p w14:paraId="44952A38" w14:textId="485B34E1" w:rsidR="007627BE" w:rsidRDefault="00DC7722" w:rsidP="004E18E9">
      <w:pPr>
        <w:pStyle w:val="3-BodyText"/>
      </w:pPr>
      <w:r w:rsidRPr="00DC7722">
        <w:t>Nivolumab is a fully human immunoglobulin G4 monoclonal antibody which binds to the programmed cell death-1 (PD-1) receptor on T-cells. It acts as an immunomodulation agent by blocking the interaction between PD-1 and its ligands, PD-L1 and PD-L2.</w:t>
      </w:r>
    </w:p>
    <w:p w14:paraId="6E0888D5" w14:textId="30BFD7FA" w:rsidR="0065475F" w:rsidRDefault="0065475F" w:rsidP="0065475F">
      <w:pPr>
        <w:pStyle w:val="3-BodyText"/>
      </w:pPr>
      <w:bookmarkStart w:id="19" w:name="_Ref127119410"/>
      <w:r w:rsidRPr="00CA56B5">
        <w:t xml:space="preserve">The ESC noted recent MSAC </w:t>
      </w:r>
      <w:r w:rsidR="001B54B8" w:rsidRPr="00CA56B5">
        <w:t xml:space="preserve">support </w:t>
      </w:r>
      <w:r w:rsidRPr="00CA56B5">
        <w:t xml:space="preserve">of </w:t>
      </w:r>
      <w:r w:rsidR="001B54B8" w:rsidRPr="00CA56B5">
        <w:t>the creation of a national lung cancer screening program, including a new Medicare item for low dose tomography scans for asymptomatic high-risk Australians to detect lung cancer earlier</w:t>
      </w:r>
      <w:r w:rsidR="001B54B8" w:rsidRPr="00CA56B5">
        <w:rPr>
          <w:rStyle w:val="FootnoteReference"/>
        </w:rPr>
        <w:footnoteReference w:id="8"/>
      </w:r>
      <w:r w:rsidR="001B54B8" w:rsidRPr="00CA56B5">
        <w:t xml:space="preserve">. </w:t>
      </w:r>
      <w:r w:rsidR="00B6578B" w:rsidRPr="00CA56B5">
        <w:t xml:space="preserve">The ESC considered the creation of such a program would make it </w:t>
      </w:r>
      <w:r w:rsidRPr="00CA56B5">
        <w:t>likely that more patients would be identified who were suitable for neoadjuvant treatment.</w:t>
      </w:r>
      <w:bookmarkEnd w:id="19"/>
      <w:r w:rsidRPr="00CA56B5">
        <w:t xml:space="preserve"> </w:t>
      </w:r>
    </w:p>
    <w:p w14:paraId="4ACD6A76" w14:textId="2EE15BD1" w:rsidR="00E51F33" w:rsidRPr="00E51F33" w:rsidDel="00195452" w:rsidRDefault="00E51F33" w:rsidP="00E51F33">
      <w:pPr>
        <w:pStyle w:val="3-BodyText"/>
        <w:numPr>
          <w:ilvl w:val="0"/>
          <w:numId w:val="0"/>
        </w:numPr>
        <w:ind w:left="720"/>
        <w:rPr>
          <w:i/>
          <w:iCs/>
        </w:rPr>
      </w:pPr>
      <w:r w:rsidRPr="00E51F33">
        <w:rPr>
          <w:i/>
          <w:iCs/>
        </w:rPr>
        <w:t>For more detail on PBAC’s view, see section 7 PBAC outcome.</w:t>
      </w:r>
    </w:p>
    <w:p w14:paraId="2981850E" w14:textId="77777777" w:rsidR="00B50DB8" w:rsidRPr="00407F2D" w:rsidRDefault="00B50DB8" w:rsidP="004E18E9">
      <w:pPr>
        <w:pStyle w:val="2-SectionHeading"/>
      </w:pPr>
      <w:bookmarkStart w:id="20" w:name="_Toc124932952"/>
      <w:r w:rsidRPr="00407F2D">
        <w:t>Comparator</w:t>
      </w:r>
      <w:bookmarkEnd w:id="20"/>
    </w:p>
    <w:p w14:paraId="68DA3456" w14:textId="21E6E557" w:rsidR="00DC7722" w:rsidRPr="00DC7722" w:rsidRDefault="00DC7722" w:rsidP="00882E3C">
      <w:pPr>
        <w:pStyle w:val="3-BodyText"/>
        <w:rPr>
          <w:snapToGrid/>
          <w:lang w:val="en-US"/>
        </w:rPr>
      </w:pPr>
      <w:r>
        <w:t xml:space="preserve">The nominated comparators and rationale provided in the submission are summarised in </w:t>
      </w:r>
      <w:r>
        <w:fldChar w:fldCharType="begin"/>
      </w:r>
      <w:r>
        <w:instrText xml:space="preserve"> REF _Ref120978303 \h </w:instrText>
      </w:r>
      <w:r>
        <w:fldChar w:fldCharType="separate"/>
      </w:r>
      <w:r w:rsidR="00A77D90">
        <w:t xml:space="preserve">Table </w:t>
      </w:r>
      <w:r w:rsidR="00A77D90">
        <w:rPr>
          <w:noProof/>
        </w:rPr>
        <w:t>3</w:t>
      </w:r>
      <w:r>
        <w:fldChar w:fldCharType="end"/>
      </w:r>
      <w:r>
        <w:t>.</w:t>
      </w:r>
    </w:p>
    <w:p w14:paraId="1616C7AC" w14:textId="056D316D" w:rsidR="00DC7722" w:rsidRDefault="00DC7722" w:rsidP="00DC7722">
      <w:pPr>
        <w:pStyle w:val="Caption"/>
      </w:pPr>
      <w:bookmarkStart w:id="21" w:name="_Ref120978303"/>
      <w:r>
        <w:t xml:space="preserve">Table </w:t>
      </w:r>
      <w:r w:rsidR="00A77D90">
        <w:fldChar w:fldCharType="begin"/>
      </w:r>
      <w:r w:rsidR="00A77D90">
        <w:instrText xml:space="preserve"> SEQ Table \* ARABIC </w:instrText>
      </w:r>
      <w:r w:rsidR="00A77D90">
        <w:fldChar w:fldCharType="separate"/>
      </w:r>
      <w:r w:rsidR="00A77D90">
        <w:rPr>
          <w:noProof/>
        </w:rPr>
        <w:t>3</w:t>
      </w:r>
      <w:r w:rsidR="00A77D90">
        <w:rPr>
          <w:noProof/>
        </w:rPr>
        <w:fldChar w:fldCharType="end"/>
      </w:r>
      <w:bookmarkEnd w:id="21"/>
      <w:r>
        <w:t>: Comparators nominated in the submission and rationale</w:t>
      </w:r>
    </w:p>
    <w:tbl>
      <w:tblPr>
        <w:tblStyle w:val="TableGrid"/>
        <w:tblW w:w="5000" w:type="pct"/>
        <w:tblLook w:val="04A0" w:firstRow="1" w:lastRow="0" w:firstColumn="1" w:lastColumn="0" w:noHBand="0" w:noVBand="1"/>
      </w:tblPr>
      <w:tblGrid>
        <w:gridCol w:w="1692"/>
        <w:gridCol w:w="1354"/>
        <w:gridCol w:w="1668"/>
        <w:gridCol w:w="4303"/>
      </w:tblGrid>
      <w:tr w:rsidR="001E3D4F" w:rsidRPr="00353B37" w14:paraId="690B928F" w14:textId="77777777" w:rsidTr="00FD405F">
        <w:tc>
          <w:tcPr>
            <w:tcW w:w="938" w:type="pct"/>
            <w:shd w:val="clear" w:color="auto" w:fill="auto"/>
          </w:tcPr>
          <w:p w14:paraId="02F6D1B4" w14:textId="77777777" w:rsidR="00DC7722" w:rsidRPr="00353B37" w:rsidRDefault="00DC7722" w:rsidP="00AA41F1">
            <w:pPr>
              <w:pStyle w:val="Tabletext"/>
              <w:rPr>
                <w:b/>
              </w:rPr>
            </w:pPr>
            <w:r w:rsidRPr="00353B37">
              <w:rPr>
                <w:b/>
              </w:rPr>
              <w:t>Patient population</w:t>
            </w:r>
          </w:p>
        </w:tc>
        <w:tc>
          <w:tcPr>
            <w:tcW w:w="751" w:type="pct"/>
            <w:shd w:val="clear" w:color="auto" w:fill="auto"/>
          </w:tcPr>
          <w:p w14:paraId="51D78D0E" w14:textId="77777777" w:rsidR="00DC7722" w:rsidRPr="00353B37" w:rsidRDefault="00DC7722" w:rsidP="00AA41F1">
            <w:pPr>
              <w:pStyle w:val="Tabletext"/>
              <w:rPr>
                <w:b/>
              </w:rPr>
            </w:pPr>
            <w:r w:rsidRPr="00353B37">
              <w:rPr>
                <w:b/>
              </w:rPr>
              <w:t>Comparator type</w:t>
            </w:r>
          </w:p>
        </w:tc>
        <w:tc>
          <w:tcPr>
            <w:tcW w:w="925" w:type="pct"/>
            <w:shd w:val="clear" w:color="auto" w:fill="auto"/>
          </w:tcPr>
          <w:p w14:paraId="554B2170" w14:textId="77777777" w:rsidR="00DC7722" w:rsidRPr="00353B37" w:rsidRDefault="00DC7722" w:rsidP="00AA41F1">
            <w:pPr>
              <w:pStyle w:val="Tabletext"/>
              <w:rPr>
                <w:b/>
              </w:rPr>
            </w:pPr>
            <w:r w:rsidRPr="00353B37">
              <w:rPr>
                <w:b/>
              </w:rPr>
              <w:t>Comparator treatment</w:t>
            </w:r>
          </w:p>
        </w:tc>
        <w:tc>
          <w:tcPr>
            <w:tcW w:w="2387" w:type="pct"/>
            <w:shd w:val="clear" w:color="auto" w:fill="auto"/>
          </w:tcPr>
          <w:p w14:paraId="3E4E9DE1" w14:textId="61E80623" w:rsidR="00DC7722" w:rsidRPr="00353B37" w:rsidRDefault="00DC7722" w:rsidP="00AA41F1">
            <w:pPr>
              <w:pStyle w:val="Tabletext"/>
              <w:rPr>
                <w:b/>
              </w:rPr>
            </w:pPr>
            <w:r w:rsidRPr="00353B37">
              <w:rPr>
                <w:b/>
              </w:rPr>
              <w:t>Rationale</w:t>
            </w:r>
          </w:p>
        </w:tc>
      </w:tr>
      <w:tr w:rsidR="001E3D4F" w:rsidRPr="00353B37" w14:paraId="650355D6" w14:textId="77777777" w:rsidTr="00FD405F">
        <w:tc>
          <w:tcPr>
            <w:tcW w:w="938" w:type="pct"/>
          </w:tcPr>
          <w:p w14:paraId="7C025F46" w14:textId="1C6C8468" w:rsidR="00DC7722" w:rsidRPr="00353B37" w:rsidRDefault="00DC7722" w:rsidP="00AA41F1">
            <w:pPr>
              <w:pStyle w:val="Tabletext"/>
            </w:pPr>
            <w:r w:rsidRPr="00353B37">
              <w:t>Resectable (tumours ≥</w:t>
            </w:r>
            <w:r w:rsidR="00047C39">
              <w:t xml:space="preserve"> </w:t>
            </w:r>
            <w:r w:rsidRPr="00353B37">
              <w:t>4 cm or node positive) NSCLC</w:t>
            </w:r>
          </w:p>
        </w:tc>
        <w:tc>
          <w:tcPr>
            <w:tcW w:w="751" w:type="pct"/>
          </w:tcPr>
          <w:p w14:paraId="020DECC8" w14:textId="77777777" w:rsidR="00DC7722" w:rsidRPr="00353B37" w:rsidRDefault="00DC7722" w:rsidP="00AA41F1">
            <w:pPr>
              <w:pStyle w:val="Tabletext"/>
            </w:pPr>
            <w:r w:rsidRPr="00353B37">
              <w:t>Main</w:t>
            </w:r>
          </w:p>
        </w:tc>
        <w:tc>
          <w:tcPr>
            <w:tcW w:w="925" w:type="pct"/>
          </w:tcPr>
          <w:p w14:paraId="6B415AF1" w14:textId="27E5B58A" w:rsidR="00DC7722" w:rsidRPr="00353B37" w:rsidRDefault="00047C39" w:rsidP="00AA41F1">
            <w:pPr>
              <w:pStyle w:val="Tabletext"/>
            </w:pPr>
            <w:r>
              <w:t>N</w:t>
            </w:r>
            <w:r w:rsidR="000039B4">
              <w:t>eo</w:t>
            </w:r>
            <w:r w:rsidR="00DC7722" w:rsidRPr="00353B37">
              <w:t>adjuvant chemotherapy</w:t>
            </w:r>
          </w:p>
        </w:tc>
        <w:tc>
          <w:tcPr>
            <w:tcW w:w="2387" w:type="pct"/>
          </w:tcPr>
          <w:p w14:paraId="454AC8C9" w14:textId="77777777" w:rsidR="00DC7722" w:rsidRPr="00353B37" w:rsidRDefault="00DC7722" w:rsidP="00AA41F1">
            <w:pPr>
              <w:pStyle w:val="Tabletext"/>
            </w:pPr>
            <w:r w:rsidRPr="00353B37">
              <w:t xml:space="preserve">The comparator treatment </w:t>
            </w:r>
            <w:r w:rsidR="0083604C">
              <w:t xml:space="preserve">is </w:t>
            </w:r>
            <w:r w:rsidRPr="00353B37">
              <w:t>currently available on the PBS and is likely to be replaced with the use of nivolumab plus chemotherapy if PBS listed as requested.</w:t>
            </w:r>
          </w:p>
          <w:p w14:paraId="6105B3E3" w14:textId="77777777" w:rsidR="00DC7722" w:rsidRPr="00353B37" w:rsidRDefault="00DC7722" w:rsidP="00AA41F1">
            <w:pPr>
              <w:pStyle w:val="Tabletext"/>
            </w:pPr>
          </w:p>
          <w:p w14:paraId="32D308BF" w14:textId="77777777" w:rsidR="00DC7722" w:rsidRPr="00353B37" w:rsidRDefault="00DC7722" w:rsidP="00AA41F1">
            <w:pPr>
              <w:pStyle w:val="Tabletext"/>
            </w:pPr>
            <w:r w:rsidRPr="00353B37">
              <w:t xml:space="preserve">Allows for the assessment of the incremental efficacy and safety of the addition of nivolumab to neoadjuvant use of chemotherapy. </w:t>
            </w:r>
          </w:p>
        </w:tc>
      </w:tr>
      <w:tr w:rsidR="001E3D4F" w:rsidRPr="00353B37" w14:paraId="2F97D5EC" w14:textId="77777777" w:rsidTr="00FD405F">
        <w:tc>
          <w:tcPr>
            <w:tcW w:w="938" w:type="pct"/>
          </w:tcPr>
          <w:p w14:paraId="4C00D366" w14:textId="1D405684" w:rsidR="00DC7722" w:rsidRPr="00353B37" w:rsidRDefault="00DC7722" w:rsidP="00AA41F1">
            <w:pPr>
              <w:pStyle w:val="Tabletext"/>
            </w:pPr>
            <w:r w:rsidRPr="00353B37">
              <w:t>Resectable (tumours ≥</w:t>
            </w:r>
            <w:r w:rsidR="00C36FF0">
              <w:t xml:space="preserve"> </w:t>
            </w:r>
            <w:r w:rsidRPr="00353B37">
              <w:t>4 cm or node positive) NSCLC</w:t>
            </w:r>
          </w:p>
        </w:tc>
        <w:tc>
          <w:tcPr>
            <w:tcW w:w="751" w:type="pct"/>
          </w:tcPr>
          <w:p w14:paraId="56BAD608" w14:textId="77777777" w:rsidR="00DC7722" w:rsidRPr="00353B37" w:rsidRDefault="00DC7722" w:rsidP="00AA41F1">
            <w:pPr>
              <w:pStyle w:val="Tabletext"/>
            </w:pPr>
            <w:r w:rsidRPr="00353B37">
              <w:t>Secondary</w:t>
            </w:r>
          </w:p>
        </w:tc>
        <w:tc>
          <w:tcPr>
            <w:tcW w:w="925" w:type="pct"/>
          </w:tcPr>
          <w:p w14:paraId="58B1D2E9" w14:textId="3272272E" w:rsidR="00DC7722" w:rsidRPr="00353B37" w:rsidRDefault="00DC7722" w:rsidP="00AA41F1">
            <w:pPr>
              <w:pStyle w:val="Tabletext"/>
            </w:pPr>
            <w:r w:rsidRPr="00353B37">
              <w:t>Adjuvant chemotherapy</w:t>
            </w:r>
          </w:p>
        </w:tc>
        <w:tc>
          <w:tcPr>
            <w:tcW w:w="2387" w:type="pct"/>
          </w:tcPr>
          <w:p w14:paraId="38F524F6" w14:textId="40E0E1B3" w:rsidR="00DC7722" w:rsidRPr="00353B37" w:rsidRDefault="00DC7722" w:rsidP="0083604C">
            <w:pPr>
              <w:pStyle w:val="Tabletext"/>
            </w:pPr>
            <w:r w:rsidRPr="00353B37">
              <w:t>The comparator treatment is currently available on the PBS</w:t>
            </w:r>
            <w:r w:rsidR="0083604C">
              <w:t xml:space="preserve"> and based on the </w:t>
            </w:r>
            <w:r w:rsidRPr="00353B37">
              <w:t xml:space="preserve">CM816 trial </w:t>
            </w:r>
            <w:r w:rsidR="0083604C">
              <w:t xml:space="preserve">results </w:t>
            </w:r>
            <w:r w:rsidRPr="00353B37">
              <w:t>presented in the submission, it is likely that some clinicians would substitute adjuvant chemotherapy for neoadjuvant nivolumab plus chemotherapy.</w:t>
            </w:r>
          </w:p>
        </w:tc>
      </w:tr>
      <w:tr w:rsidR="001E3D4F" w:rsidRPr="00353B37" w14:paraId="1E5ACBC2" w14:textId="77777777" w:rsidTr="00FD405F">
        <w:tc>
          <w:tcPr>
            <w:tcW w:w="938" w:type="pct"/>
          </w:tcPr>
          <w:p w14:paraId="6EF68F6E" w14:textId="77777777" w:rsidR="00DC7722" w:rsidRPr="00353B37" w:rsidRDefault="00DC7722" w:rsidP="00AA41F1">
            <w:pPr>
              <w:pStyle w:val="Tabletext"/>
            </w:pPr>
            <w:r w:rsidRPr="00353B37">
              <w:t>Resected Stage II-IIIA NSCLC whose tumours have PD-L1 ≥ 50%</w:t>
            </w:r>
          </w:p>
        </w:tc>
        <w:tc>
          <w:tcPr>
            <w:tcW w:w="751" w:type="pct"/>
          </w:tcPr>
          <w:p w14:paraId="03E960DB" w14:textId="77777777" w:rsidR="00DC7722" w:rsidRPr="00353B37" w:rsidRDefault="00DC7722" w:rsidP="00AA41F1">
            <w:pPr>
              <w:pStyle w:val="Tabletext"/>
            </w:pPr>
            <w:r w:rsidRPr="00353B37">
              <w:t>Supplementary</w:t>
            </w:r>
          </w:p>
        </w:tc>
        <w:tc>
          <w:tcPr>
            <w:tcW w:w="925" w:type="pct"/>
          </w:tcPr>
          <w:p w14:paraId="2B3568A2" w14:textId="77777777" w:rsidR="00DC7722" w:rsidRPr="00353B37" w:rsidRDefault="00DC7722" w:rsidP="00AA41F1">
            <w:pPr>
              <w:pStyle w:val="Tabletext"/>
            </w:pPr>
            <w:r w:rsidRPr="00353B37">
              <w:t>Adjuvant chemotherapy followed by atezolizumab</w:t>
            </w:r>
          </w:p>
        </w:tc>
        <w:tc>
          <w:tcPr>
            <w:tcW w:w="2387" w:type="pct"/>
          </w:tcPr>
          <w:p w14:paraId="3AFBD5BC" w14:textId="77777777" w:rsidR="00DC7722" w:rsidRPr="00353B37" w:rsidRDefault="00DC7722" w:rsidP="00AA41F1">
            <w:pPr>
              <w:pStyle w:val="Tabletext"/>
            </w:pPr>
            <w:r w:rsidRPr="00353B37">
              <w:t>Atezolizumab was recommended to be listed on the PBS at the July 2022 PBAC meeting.</w:t>
            </w:r>
          </w:p>
          <w:p w14:paraId="6A4360B1" w14:textId="77777777" w:rsidR="00DC7722" w:rsidRPr="00353B37" w:rsidRDefault="00DC7722" w:rsidP="00AA41F1">
            <w:pPr>
              <w:pStyle w:val="Tabletext"/>
            </w:pPr>
          </w:p>
          <w:p w14:paraId="35E14682" w14:textId="77777777" w:rsidR="00DC7722" w:rsidRPr="00353B37" w:rsidRDefault="00DC7722" w:rsidP="001E3D4F">
            <w:pPr>
              <w:pStyle w:val="Tabletext"/>
            </w:pPr>
            <w:r w:rsidRPr="00353B37">
              <w:t xml:space="preserve">It is likely that some clinicians would substitute adjuvant chemotherapy followed by atezolizumab for neoadjuvant nivolumab plus chemotherapy in the </w:t>
            </w:r>
            <w:r w:rsidR="001E3D4F" w:rsidRPr="00353B37">
              <w:t>PBS</w:t>
            </w:r>
            <w:r w:rsidR="001E3D4F">
              <w:t xml:space="preserve">-recommended </w:t>
            </w:r>
            <w:r w:rsidR="001E3D4F" w:rsidRPr="00353B37">
              <w:t xml:space="preserve">population </w:t>
            </w:r>
            <w:r w:rsidR="001E3D4F">
              <w:t xml:space="preserve">for </w:t>
            </w:r>
            <w:r w:rsidRPr="00353B37">
              <w:t>atezolizumab, that is</w:t>
            </w:r>
            <w:r w:rsidR="001E3D4F">
              <w:t>,</w:t>
            </w:r>
            <w:r w:rsidRPr="00353B37">
              <w:t xml:space="preserve"> resected Stage II-IIIA NSCLC whose tumours have PD-L1 ≥ 50%.</w:t>
            </w:r>
          </w:p>
        </w:tc>
      </w:tr>
    </w:tbl>
    <w:p w14:paraId="1C47A5D9" w14:textId="77777777" w:rsidR="00DC7722" w:rsidRDefault="00DC7722" w:rsidP="00DC7722">
      <w:pPr>
        <w:pStyle w:val="TableFooter"/>
      </w:pPr>
      <w:r>
        <w:t>Source: Table 7, p28 of the submission.</w:t>
      </w:r>
    </w:p>
    <w:p w14:paraId="03B23D8B" w14:textId="79693EE4" w:rsidR="00DC7722" w:rsidRDefault="00DC7722" w:rsidP="00DC7722">
      <w:pPr>
        <w:pStyle w:val="TableFooter"/>
      </w:pPr>
      <w:r>
        <w:t>NSCLC=non-small cell lung cancer; PD-L1=programmed cell death Ligand 1.</w:t>
      </w:r>
    </w:p>
    <w:p w14:paraId="706AFD61" w14:textId="56470AA3" w:rsidR="00DC7722" w:rsidRPr="00CA56B5" w:rsidRDefault="00DC7722" w:rsidP="00047C39">
      <w:pPr>
        <w:pStyle w:val="3-BodyText"/>
        <w:spacing w:before="120"/>
        <w:rPr>
          <w:snapToGrid/>
          <w:lang w:val="en-US"/>
        </w:rPr>
      </w:pPr>
      <w:r w:rsidRPr="000A6E90">
        <w:t xml:space="preserve">The </w:t>
      </w:r>
      <w:r w:rsidR="006517C7" w:rsidRPr="00CA56B5">
        <w:t>evaluation considered the</w:t>
      </w:r>
      <w:r w:rsidR="006517C7" w:rsidRPr="00435EB0">
        <w:rPr>
          <w:i/>
          <w:iCs/>
        </w:rPr>
        <w:t xml:space="preserve"> </w:t>
      </w:r>
      <w:r w:rsidRPr="000A6E90">
        <w:t xml:space="preserve">comparators nominated in the submission appear reasonable. However, in clinical practice, </w:t>
      </w:r>
      <w:r w:rsidR="0074362F" w:rsidRPr="000A6E90">
        <w:t>some</w:t>
      </w:r>
      <w:r w:rsidRPr="000A6E90">
        <w:t xml:space="preserve"> patients</w:t>
      </w:r>
      <w:r w:rsidR="001E3D4F" w:rsidRPr="000A6E90">
        <w:t>,</w:t>
      </w:r>
      <w:r w:rsidRPr="000A6E90">
        <w:t xml:space="preserve"> </w:t>
      </w:r>
      <w:r w:rsidR="001E3D4F" w:rsidRPr="000A6E90">
        <w:t xml:space="preserve">such as those with earlier stage NSCLC, </w:t>
      </w:r>
      <w:r w:rsidR="00F22F10">
        <w:t>may</w:t>
      </w:r>
      <w:r w:rsidRPr="000A6E90">
        <w:t xml:space="preserve"> not be offered </w:t>
      </w:r>
      <w:r w:rsidR="000039B4" w:rsidRPr="000A6E90">
        <w:t>neoChemo</w:t>
      </w:r>
      <w:r w:rsidRPr="000A6E90">
        <w:t xml:space="preserve"> before surgery</w:t>
      </w:r>
      <w:r w:rsidR="005175D4" w:rsidRPr="000A6E90">
        <w:t>,</w:t>
      </w:r>
      <w:r w:rsidR="001E3D4F" w:rsidRPr="000A6E90">
        <w:t xml:space="preserve"> </w:t>
      </w:r>
      <w:r w:rsidRPr="000A6E90">
        <w:t xml:space="preserve">either because they are </w:t>
      </w:r>
      <w:r w:rsidR="005175D4" w:rsidRPr="000A6E90">
        <w:t xml:space="preserve">expected </w:t>
      </w:r>
      <w:r w:rsidRPr="000A6E90">
        <w:t>to have complete resection</w:t>
      </w:r>
      <w:r w:rsidR="001E3D4F" w:rsidRPr="000A6E90">
        <w:t xml:space="preserve"> (R0 margins) </w:t>
      </w:r>
      <w:r w:rsidRPr="000A6E90">
        <w:t>or because this treatment approach is associated with modest s</w:t>
      </w:r>
      <w:r w:rsidR="001E3D4F" w:rsidRPr="000A6E90">
        <w:t>urvival benefit</w:t>
      </w:r>
      <w:r w:rsidR="00C30CE2" w:rsidRPr="000A6E90">
        <w:rPr>
          <w:rStyle w:val="FootnoteReference"/>
        </w:rPr>
        <w:footnoteReference w:id="9"/>
      </w:r>
      <w:r w:rsidR="001E3D4F" w:rsidRPr="000A6E90">
        <w:t xml:space="preserve"> and the benefit-</w:t>
      </w:r>
      <w:r w:rsidRPr="000A6E90">
        <w:t xml:space="preserve">risk balance is unfavourable with </w:t>
      </w:r>
      <w:r w:rsidR="000039B4" w:rsidRPr="000A6E90">
        <w:t>neoChemo</w:t>
      </w:r>
      <w:r w:rsidRPr="000A6E90">
        <w:t>.</w:t>
      </w:r>
      <w:r w:rsidR="000F5FBB" w:rsidRPr="000A6E90">
        <w:t xml:space="preserve"> With the availability of </w:t>
      </w:r>
      <w:r w:rsidR="000039B4" w:rsidRPr="000A6E90">
        <w:t>neoNIVO</w:t>
      </w:r>
      <w:r w:rsidR="000F5FBB" w:rsidRPr="000A6E90">
        <w:t>+</w:t>
      </w:r>
      <w:r w:rsidR="000039B4" w:rsidRPr="000A6E90">
        <w:t>neoChemo</w:t>
      </w:r>
      <w:r w:rsidR="000F5FBB" w:rsidRPr="000A6E90">
        <w:t xml:space="preserve"> on the other hand, the benefit-risk balance may be considered favourable for some patients who would otherwise not be offered </w:t>
      </w:r>
      <w:r w:rsidR="000039B4" w:rsidRPr="000A6E90">
        <w:t>neoChemo</w:t>
      </w:r>
      <w:r w:rsidR="000F5FBB" w:rsidRPr="000A6E90">
        <w:t xml:space="preserve"> alone.</w:t>
      </w:r>
      <w:r w:rsidR="006517C7">
        <w:t xml:space="preserve"> </w:t>
      </w:r>
      <w:r w:rsidR="006517C7" w:rsidRPr="00CA56B5">
        <w:t xml:space="preserve">The ESC considered the nominated comparators reasonable. Further, the ESC considered that patients who would not be offered neoChemo before surgery on clinical grounds would be unlikely to be offered neoNIVO+neoChemo instead. </w:t>
      </w:r>
    </w:p>
    <w:p w14:paraId="538758E4" w14:textId="38E46032" w:rsidR="00660695" w:rsidRPr="00E51F33" w:rsidRDefault="00660695" w:rsidP="00882E3C">
      <w:pPr>
        <w:pStyle w:val="3-BodyText"/>
        <w:rPr>
          <w:snapToGrid/>
          <w:lang w:val="en-US"/>
        </w:rPr>
      </w:pPr>
      <w:r w:rsidRPr="00C30CE2">
        <w:rPr>
          <w:iCs/>
        </w:rPr>
        <w:t xml:space="preserve">The </w:t>
      </w:r>
      <w:r w:rsidR="000F5FBB" w:rsidRPr="00C30CE2">
        <w:rPr>
          <w:iCs/>
        </w:rPr>
        <w:t xml:space="preserve">indirect </w:t>
      </w:r>
      <w:r w:rsidRPr="00C30CE2">
        <w:rPr>
          <w:iCs/>
        </w:rPr>
        <w:t xml:space="preserve">comparisons between </w:t>
      </w:r>
      <w:r w:rsidR="000039B4" w:rsidRPr="00C30CE2">
        <w:rPr>
          <w:iCs/>
        </w:rPr>
        <w:t>neoNIVO</w:t>
      </w:r>
      <w:r w:rsidRPr="00C30CE2">
        <w:rPr>
          <w:iCs/>
        </w:rPr>
        <w:t>+</w:t>
      </w:r>
      <w:r w:rsidR="000039B4" w:rsidRPr="00C30CE2">
        <w:rPr>
          <w:iCs/>
        </w:rPr>
        <w:t>neoChemo</w:t>
      </w:r>
      <w:r w:rsidRPr="00C30CE2">
        <w:rPr>
          <w:iCs/>
        </w:rPr>
        <w:t xml:space="preserve"> and </w:t>
      </w:r>
      <w:r w:rsidR="003D24E4" w:rsidRPr="00C30CE2">
        <w:rPr>
          <w:iCs/>
        </w:rPr>
        <w:t>adjChemo</w:t>
      </w:r>
      <w:r w:rsidRPr="00C30CE2">
        <w:rPr>
          <w:iCs/>
        </w:rPr>
        <w:t xml:space="preserve"> or </w:t>
      </w:r>
      <w:r w:rsidR="003D24E4" w:rsidRPr="00C30CE2">
        <w:rPr>
          <w:iCs/>
        </w:rPr>
        <w:t>adjChemo</w:t>
      </w:r>
      <w:r w:rsidRPr="00C30CE2">
        <w:rPr>
          <w:iCs/>
        </w:rPr>
        <w:t>+</w:t>
      </w:r>
      <w:r w:rsidR="000039B4" w:rsidRPr="00C30CE2">
        <w:rPr>
          <w:iCs/>
        </w:rPr>
        <w:t>adjATEZO</w:t>
      </w:r>
      <w:r w:rsidRPr="00C30CE2">
        <w:rPr>
          <w:iCs/>
        </w:rPr>
        <w:t xml:space="preserve"> were not considered in the economic analysis and financial estimates.</w:t>
      </w:r>
      <w:r w:rsidRPr="000A6E90">
        <w:t xml:space="preserve"> </w:t>
      </w:r>
      <w:r w:rsidRPr="00660695">
        <w:t xml:space="preserve">The submission was based on the health outcomes and the costs of </w:t>
      </w:r>
      <w:r w:rsidR="000039B4">
        <w:t>neoNIVO</w:t>
      </w:r>
      <w:r w:rsidRPr="00660695">
        <w:t>+</w:t>
      </w:r>
      <w:r w:rsidR="000039B4">
        <w:t>neoChemo</w:t>
      </w:r>
      <w:r w:rsidRPr="00660695">
        <w:t xml:space="preserve"> versus </w:t>
      </w:r>
      <w:r w:rsidR="000039B4">
        <w:t>neoChemo</w:t>
      </w:r>
      <w:r w:rsidRPr="00660695">
        <w:t xml:space="preserve"> in adult patients with resectable (tumours </w:t>
      </w:r>
      <w:r w:rsidR="0075396F" w:rsidRPr="00660695">
        <w:t>≥</w:t>
      </w:r>
      <w:r w:rsidR="0075396F">
        <w:t> </w:t>
      </w:r>
      <w:r w:rsidRPr="00660695">
        <w:t>4</w:t>
      </w:r>
      <w:r w:rsidR="0075396F">
        <w:t> </w:t>
      </w:r>
      <w:r w:rsidRPr="00660695">
        <w:t>cm or node positive) NSCLC</w:t>
      </w:r>
      <w:r w:rsidRPr="000A6E90">
        <w:t>.</w:t>
      </w:r>
    </w:p>
    <w:p w14:paraId="1C7DC577" w14:textId="302EA0D8" w:rsidR="00E51F33" w:rsidRPr="00E51F33" w:rsidRDefault="00E51F33" w:rsidP="00E51F33">
      <w:pPr>
        <w:pStyle w:val="3-BodyText"/>
        <w:numPr>
          <w:ilvl w:val="0"/>
          <w:numId w:val="0"/>
        </w:numPr>
        <w:spacing w:before="120"/>
        <w:ind w:left="720"/>
        <w:rPr>
          <w:i/>
          <w:iCs/>
        </w:rPr>
      </w:pPr>
      <w:r w:rsidRPr="00E51F33">
        <w:rPr>
          <w:i/>
          <w:iCs/>
        </w:rPr>
        <w:t>For more detail on PBAC’s view, see section 7 PBAC outcome.</w:t>
      </w:r>
    </w:p>
    <w:p w14:paraId="1E3487A0" w14:textId="034B276B" w:rsidR="00223D5A" w:rsidRDefault="00223D5A" w:rsidP="00223D5A">
      <w:pPr>
        <w:pStyle w:val="2-SectionHeading"/>
      </w:pPr>
      <w:bookmarkStart w:id="22" w:name="_Toc124932953"/>
      <w:bookmarkStart w:id="23" w:name="_Toc22897640"/>
      <w:r>
        <w:t>C</w:t>
      </w:r>
      <w:r w:rsidRPr="00407F2D">
        <w:t>onsideration of the evidence</w:t>
      </w:r>
      <w:bookmarkEnd w:id="22"/>
    </w:p>
    <w:p w14:paraId="5E26D9F4" w14:textId="77777777" w:rsidR="007B39AB" w:rsidRPr="006E1229" w:rsidRDefault="007B39AB" w:rsidP="00AC58B3">
      <w:pPr>
        <w:pStyle w:val="4-SubsectionHeading"/>
      </w:pPr>
      <w:r w:rsidRPr="006E1229">
        <w:t>Sponsor hearing</w:t>
      </w:r>
    </w:p>
    <w:p w14:paraId="13843E0F" w14:textId="53337C8B" w:rsidR="007B39AB" w:rsidRPr="00836F75" w:rsidRDefault="00AC58B3" w:rsidP="007B39AB">
      <w:pPr>
        <w:widowControl w:val="0"/>
        <w:numPr>
          <w:ilvl w:val="1"/>
          <w:numId w:val="1"/>
        </w:numPr>
        <w:spacing w:after="120"/>
        <w:rPr>
          <w:rFonts w:asciiTheme="minorHAnsi" w:hAnsiTheme="minorHAnsi"/>
          <w:bCs/>
          <w:snapToGrid w:val="0"/>
        </w:rPr>
      </w:pPr>
      <w:bookmarkStart w:id="24" w:name="_Ref131063450"/>
      <w:bookmarkStart w:id="25" w:name="_Hlk76382586"/>
      <w:r>
        <w:rPr>
          <w:rFonts w:asciiTheme="minorHAnsi" w:hAnsiTheme="minorHAnsi"/>
          <w:bCs/>
          <w:snapToGrid w:val="0"/>
        </w:rPr>
        <w:t>The</w:t>
      </w:r>
      <w:r w:rsidR="007B39AB" w:rsidRPr="00836F75">
        <w:rPr>
          <w:rFonts w:asciiTheme="minorHAnsi" w:hAnsiTheme="minorHAnsi"/>
          <w:bCs/>
          <w:snapToGrid w:val="0"/>
        </w:rPr>
        <w:t xml:space="preserve"> sponsor requested a hearing for this item. The clinician discussed the natural history of the disease</w:t>
      </w:r>
      <w:r w:rsidR="003F28D6">
        <w:rPr>
          <w:rFonts w:asciiTheme="minorHAnsi" w:hAnsiTheme="minorHAnsi"/>
          <w:bCs/>
          <w:snapToGrid w:val="0"/>
        </w:rPr>
        <w:t xml:space="preserve"> and</w:t>
      </w:r>
      <w:r w:rsidR="007B39AB" w:rsidRPr="00836F75">
        <w:rPr>
          <w:rFonts w:asciiTheme="minorHAnsi" w:hAnsiTheme="minorHAnsi"/>
          <w:bCs/>
          <w:snapToGrid w:val="0"/>
        </w:rPr>
        <w:t xml:space="preserve"> how the drug would be used in practice</w:t>
      </w:r>
      <w:r w:rsidR="007B39AB">
        <w:rPr>
          <w:rFonts w:asciiTheme="minorHAnsi" w:hAnsiTheme="minorHAnsi"/>
          <w:bCs/>
          <w:snapToGrid w:val="0"/>
        </w:rPr>
        <w:t>.</w:t>
      </w:r>
      <w:r>
        <w:rPr>
          <w:rFonts w:asciiTheme="minorHAnsi" w:hAnsiTheme="minorHAnsi"/>
          <w:bCs/>
          <w:snapToGrid w:val="0"/>
        </w:rPr>
        <w:t xml:space="preserve"> </w:t>
      </w:r>
      <w:r w:rsidR="00F22F10">
        <w:rPr>
          <w:rFonts w:asciiTheme="minorHAnsi" w:hAnsiTheme="minorHAnsi"/>
          <w:bCs/>
          <w:snapToGrid w:val="0"/>
        </w:rPr>
        <w:t>T</w:t>
      </w:r>
      <w:r>
        <w:rPr>
          <w:rFonts w:asciiTheme="minorHAnsi" w:hAnsiTheme="minorHAnsi"/>
          <w:bCs/>
          <w:snapToGrid w:val="0"/>
        </w:rPr>
        <w:t xml:space="preserve">he </w:t>
      </w:r>
      <w:r w:rsidR="00A46D8D">
        <w:rPr>
          <w:rFonts w:asciiTheme="minorHAnsi" w:hAnsiTheme="minorHAnsi"/>
          <w:bCs/>
          <w:snapToGrid w:val="0"/>
        </w:rPr>
        <w:t xml:space="preserve">clinician </w:t>
      </w:r>
      <w:r w:rsidR="00AA4C78">
        <w:rPr>
          <w:rFonts w:asciiTheme="minorHAnsi" w:hAnsiTheme="minorHAnsi"/>
          <w:bCs/>
          <w:snapToGrid w:val="0"/>
        </w:rPr>
        <w:t>considered</w:t>
      </w:r>
      <w:r w:rsidR="00A46D8D">
        <w:rPr>
          <w:rFonts w:asciiTheme="minorHAnsi" w:hAnsiTheme="minorHAnsi"/>
          <w:bCs/>
          <w:snapToGrid w:val="0"/>
        </w:rPr>
        <w:t xml:space="preserve"> that </w:t>
      </w:r>
      <w:r w:rsidR="00F8681D">
        <w:rPr>
          <w:rFonts w:asciiTheme="minorHAnsi" w:hAnsiTheme="minorHAnsi"/>
          <w:bCs/>
          <w:snapToGrid w:val="0"/>
        </w:rPr>
        <w:t xml:space="preserve">the ‘once in a lifetime’ ruling for immune therapy access on the PBS would need amendment if the use of checkpoint inhibitors as part of neoadjuvant treatment is recommended. The clinician argued that, due to the short course of immune therapy given as part of neoadjuvant treatment, the cancer </w:t>
      </w:r>
      <w:r w:rsidR="00B33D32">
        <w:rPr>
          <w:rFonts w:asciiTheme="minorHAnsi" w:hAnsiTheme="minorHAnsi"/>
          <w:bCs/>
          <w:snapToGrid w:val="0"/>
        </w:rPr>
        <w:t xml:space="preserve">would </w:t>
      </w:r>
      <w:r w:rsidR="00F8681D">
        <w:rPr>
          <w:rFonts w:asciiTheme="minorHAnsi" w:hAnsiTheme="minorHAnsi"/>
          <w:bCs/>
          <w:snapToGrid w:val="0"/>
        </w:rPr>
        <w:t xml:space="preserve">not develop resistance to checkpoint inhibition. </w:t>
      </w:r>
      <w:r w:rsidR="00EB3DBE">
        <w:rPr>
          <w:rFonts w:asciiTheme="minorHAnsi" w:hAnsiTheme="minorHAnsi"/>
          <w:bCs/>
          <w:snapToGrid w:val="0"/>
        </w:rPr>
        <w:t>T</w:t>
      </w:r>
      <w:r w:rsidR="00801D2D">
        <w:rPr>
          <w:rFonts w:asciiTheme="minorHAnsi" w:hAnsiTheme="minorHAnsi"/>
          <w:bCs/>
          <w:snapToGrid w:val="0"/>
        </w:rPr>
        <w:t>he clinician stated</w:t>
      </w:r>
      <w:r w:rsidR="00F8681D">
        <w:rPr>
          <w:rFonts w:asciiTheme="minorHAnsi" w:hAnsiTheme="minorHAnsi"/>
          <w:bCs/>
          <w:snapToGrid w:val="0"/>
        </w:rPr>
        <w:t xml:space="preserve"> it would be expected that the introduction of a treatment that was previously demons</w:t>
      </w:r>
      <w:r w:rsidR="00801D2D">
        <w:rPr>
          <w:rFonts w:asciiTheme="minorHAnsi" w:hAnsiTheme="minorHAnsi"/>
          <w:bCs/>
          <w:snapToGrid w:val="0"/>
        </w:rPr>
        <w:t xml:space="preserve">trably active and effective when given over a short period of </w:t>
      </w:r>
      <w:r w:rsidR="00B33D32">
        <w:rPr>
          <w:rFonts w:asciiTheme="minorHAnsi" w:hAnsiTheme="minorHAnsi"/>
          <w:bCs/>
          <w:snapToGrid w:val="0"/>
        </w:rPr>
        <w:t xml:space="preserve">about </w:t>
      </w:r>
      <w:r w:rsidR="00801D2D">
        <w:rPr>
          <w:rFonts w:asciiTheme="minorHAnsi" w:hAnsiTheme="minorHAnsi"/>
          <w:bCs/>
          <w:snapToGrid w:val="0"/>
        </w:rPr>
        <w:t xml:space="preserve">two months, should be effective again when the patient receives the same treatment at a future date. The clinician also indicated that they expected patients that received neoadjuvant immune therapy would be precluded from receiving post operative adjuvant </w:t>
      </w:r>
      <w:r w:rsidR="00504358">
        <w:rPr>
          <w:rFonts w:asciiTheme="minorHAnsi" w:hAnsiTheme="minorHAnsi"/>
          <w:bCs/>
          <w:snapToGrid w:val="0"/>
        </w:rPr>
        <w:t>immune</w:t>
      </w:r>
      <w:r w:rsidR="00801D2D">
        <w:rPr>
          <w:rFonts w:asciiTheme="minorHAnsi" w:hAnsiTheme="minorHAnsi"/>
          <w:bCs/>
          <w:snapToGrid w:val="0"/>
        </w:rPr>
        <w:t xml:space="preserve"> therapy</w:t>
      </w:r>
      <w:r w:rsidR="00EB3DBE">
        <w:rPr>
          <w:rFonts w:asciiTheme="minorHAnsi" w:hAnsiTheme="minorHAnsi"/>
          <w:bCs/>
          <w:snapToGrid w:val="0"/>
        </w:rPr>
        <w:t>,</w:t>
      </w:r>
      <w:r w:rsidR="00801D2D">
        <w:rPr>
          <w:rFonts w:asciiTheme="minorHAnsi" w:hAnsiTheme="minorHAnsi"/>
          <w:bCs/>
          <w:snapToGrid w:val="0"/>
        </w:rPr>
        <w:t xml:space="preserve"> unless evidence emerges that demonstrate</w:t>
      </w:r>
      <w:r w:rsidR="00EB3DBE">
        <w:rPr>
          <w:rFonts w:asciiTheme="minorHAnsi" w:hAnsiTheme="minorHAnsi"/>
          <w:bCs/>
          <w:snapToGrid w:val="0"/>
        </w:rPr>
        <w:t>s a</w:t>
      </w:r>
      <w:r w:rsidR="00801D2D">
        <w:rPr>
          <w:rFonts w:asciiTheme="minorHAnsi" w:hAnsiTheme="minorHAnsi"/>
          <w:bCs/>
          <w:snapToGrid w:val="0"/>
        </w:rPr>
        <w:t xml:space="preserve"> clear clinical benefit.</w:t>
      </w:r>
      <w:bookmarkEnd w:id="24"/>
    </w:p>
    <w:bookmarkEnd w:id="25"/>
    <w:p w14:paraId="7B39E17E" w14:textId="77777777" w:rsidR="007B39AB" w:rsidRPr="00AC58B3" w:rsidRDefault="007B39AB" w:rsidP="00AC58B3">
      <w:pPr>
        <w:pStyle w:val="4-SubsectionHeading"/>
      </w:pPr>
      <w:r w:rsidRPr="007B39AB">
        <w:t>Consumer comments</w:t>
      </w:r>
    </w:p>
    <w:p w14:paraId="76A2D7D8" w14:textId="39C9FFF4" w:rsidR="002608DC" w:rsidRDefault="007B39AB" w:rsidP="002608DC">
      <w:pPr>
        <w:widowControl w:val="0"/>
        <w:numPr>
          <w:ilvl w:val="1"/>
          <w:numId w:val="1"/>
        </w:numPr>
        <w:spacing w:after="120"/>
        <w:rPr>
          <w:rFonts w:asciiTheme="minorHAnsi" w:hAnsiTheme="minorHAnsi"/>
          <w:bCs/>
          <w:snapToGrid w:val="0"/>
          <w:lang w:eastAsia="en-US"/>
        </w:rPr>
      </w:pPr>
      <w:bookmarkStart w:id="26" w:name="_Hlk76382618"/>
      <w:r w:rsidRPr="007B39AB">
        <w:rPr>
          <w:rFonts w:asciiTheme="minorHAnsi" w:hAnsiTheme="minorHAnsi"/>
          <w:bCs/>
          <w:snapToGrid w:val="0"/>
          <w:lang w:eastAsia="en-US"/>
        </w:rPr>
        <w:t>The PBAC noted and welcomed the input from health care professionals (</w:t>
      </w:r>
      <w:r w:rsidR="00801D2D">
        <w:rPr>
          <w:rFonts w:asciiTheme="minorHAnsi" w:hAnsiTheme="minorHAnsi"/>
          <w:bCs/>
          <w:snapToGrid w:val="0"/>
          <w:lang w:eastAsia="en-US"/>
        </w:rPr>
        <w:t>2</w:t>
      </w:r>
      <w:r w:rsidRPr="007B39AB">
        <w:rPr>
          <w:rFonts w:asciiTheme="minorHAnsi" w:hAnsiTheme="minorHAnsi"/>
          <w:bCs/>
          <w:snapToGrid w:val="0"/>
          <w:lang w:eastAsia="en-US"/>
        </w:rPr>
        <w:t>) and organisations (</w:t>
      </w:r>
      <w:r w:rsidR="005D519E" w:rsidRPr="00056A6A">
        <w:rPr>
          <w:rFonts w:asciiTheme="minorHAnsi" w:hAnsiTheme="minorHAnsi"/>
          <w:bCs/>
          <w:snapToGrid w:val="0"/>
          <w:lang w:eastAsia="en-US"/>
        </w:rPr>
        <w:t>3</w:t>
      </w:r>
      <w:r w:rsidRPr="007B39AB">
        <w:rPr>
          <w:rFonts w:asciiTheme="minorHAnsi" w:hAnsiTheme="minorHAnsi"/>
          <w:bCs/>
          <w:snapToGrid w:val="0"/>
          <w:lang w:eastAsia="en-US"/>
        </w:rPr>
        <w:t xml:space="preserve">) via the Consumer Comments facility on the PBS website. The comments </w:t>
      </w:r>
      <w:r w:rsidR="0026395C">
        <w:rPr>
          <w:rFonts w:asciiTheme="minorHAnsi" w:hAnsiTheme="minorHAnsi"/>
          <w:bCs/>
          <w:snapToGrid w:val="0"/>
          <w:lang w:eastAsia="en-US"/>
        </w:rPr>
        <w:t xml:space="preserve">from health care professionals </w:t>
      </w:r>
      <w:r w:rsidRPr="007B39AB">
        <w:rPr>
          <w:rFonts w:asciiTheme="minorHAnsi" w:hAnsiTheme="minorHAnsi"/>
          <w:bCs/>
          <w:snapToGrid w:val="0"/>
          <w:lang w:eastAsia="en-US"/>
        </w:rPr>
        <w:t xml:space="preserve">described a range of benefits of treatment with </w:t>
      </w:r>
      <w:r w:rsidR="005D519E">
        <w:rPr>
          <w:rFonts w:asciiTheme="minorHAnsi" w:hAnsiTheme="minorHAnsi"/>
          <w:bCs/>
          <w:snapToGrid w:val="0"/>
          <w:lang w:eastAsia="en-US"/>
        </w:rPr>
        <w:t>nivolumab</w:t>
      </w:r>
      <w:r w:rsidRPr="007B39AB">
        <w:rPr>
          <w:rFonts w:asciiTheme="minorHAnsi" w:hAnsiTheme="minorHAnsi"/>
          <w:bCs/>
          <w:snapToGrid w:val="0"/>
          <w:lang w:eastAsia="en-US"/>
        </w:rPr>
        <w:t xml:space="preserve"> including the ability to </w:t>
      </w:r>
      <w:r w:rsidR="005D519E">
        <w:rPr>
          <w:rFonts w:asciiTheme="minorHAnsi" w:hAnsiTheme="minorHAnsi"/>
          <w:bCs/>
          <w:snapToGrid w:val="0"/>
          <w:lang w:eastAsia="en-US"/>
        </w:rPr>
        <w:t>reduce the risk of cancer recurrence</w:t>
      </w:r>
      <w:r w:rsidR="00666A99">
        <w:rPr>
          <w:rFonts w:asciiTheme="minorHAnsi" w:hAnsiTheme="minorHAnsi"/>
          <w:bCs/>
          <w:snapToGrid w:val="0"/>
          <w:lang w:eastAsia="en-US"/>
        </w:rPr>
        <w:t xml:space="preserve"> and the relatively short duration of therapy required. The comment</w:t>
      </w:r>
      <w:r w:rsidR="002608DC">
        <w:rPr>
          <w:rFonts w:asciiTheme="minorHAnsi" w:hAnsiTheme="minorHAnsi"/>
          <w:bCs/>
          <w:snapToGrid w:val="0"/>
          <w:lang w:eastAsia="en-US"/>
        </w:rPr>
        <w:t>s</w:t>
      </w:r>
      <w:r w:rsidR="0026395C">
        <w:rPr>
          <w:rFonts w:asciiTheme="minorHAnsi" w:hAnsiTheme="minorHAnsi"/>
          <w:bCs/>
          <w:snapToGrid w:val="0"/>
          <w:lang w:eastAsia="en-US"/>
        </w:rPr>
        <w:t xml:space="preserve"> from Lung Foundation Australia and Rare Cancers Australia </w:t>
      </w:r>
      <w:r w:rsidR="002608DC">
        <w:rPr>
          <w:rFonts w:asciiTheme="minorHAnsi" w:hAnsiTheme="minorHAnsi"/>
          <w:bCs/>
          <w:snapToGrid w:val="0"/>
          <w:lang w:eastAsia="en-US"/>
        </w:rPr>
        <w:t>highlight the need for additional treatment options for this condition</w:t>
      </w:r>
      <w:bookmarkEnd w:id="26"/>
      <w:r w:rsidR="0006363E">
        <w:t>, due to the lack of access to targeted therapies and the resultant financial burden to individuals due to both the loss of earnings and the high out of pocket costs associated with treatment.</w:t>
      </w:r>
    </w:p>
    <w:p w14:paraId="542EF981" w14:textId="6F29E5F7" w:rsidR="007B39AB" w:rsidRPr="002608DC" w:rsidRDefault="007B39AB" w:rsidP="002608DC">
      <w:pPr>
        <w:widowControl w:val="0"/>
        <w:numPr>
          <w:ilvl w:val="1"/>
          <w:numId w:val="1"/>
        </w:numPr>
        <w:spacing w:after="120"/>
        <w:rPr>
          <w:rFonts w:asciiTheme="minorHAnsi" w:hAnsiTheme="minorHAnsi"/>
          <w:bCs/>
          <w:snapToGrid w:val="0"/>
          <w:lang w:eastAsia="en-US"/>
        </w:rPr>
      </w:pPr>
      <w:r w:rsidRPr="002608DC">
        <w:rPr>
          <w:rFonts w:asciiTheme="minorHAnsi" w:hAnsiTheme="minorHAnsi"/>
          <w:bCs/>
          <w:snapToGrid w:val="0"/>
          <w:lang w:eastAsia="en-US"/>
        </w:rPr>
        <w:t xml:space="preserve">The Medical Oncology Group of Australia (MOGA) also expressed its strong support for the </w:t>
      </w:r>
      <w:r w:rsidR="002608DC">
        <w:rPr>
          <w:rFonts w:asciiTheme="minorHAnsi" w:hAnsiTheme="minorHAnsi"/>
          <w:bCs/>
          <w:snapToGrid w:val="0"/>
          <w:lang w:eastAsia="en-US"/>
        </w:rPr>
        <w:t>nivolumab</w:t>
      </w:r>
      <w:r w:rsidRPr="002608DC">
        <w:rPr>
          <w:rFonts w:asciiTheme="minorHAnsi" w:hAnsiTheme="minorHAnsi"/>
          <w:bCs/>
          <w:snapToGrid w:val="0"/>
          <w:lang w:eastAsia="en-US"/>
        </w:rPr>
        <w:t xml:space="preserve"> submission, categorising it as one of the therapies of “highest priority for PBS listing” on the basis of the </w:t>
      </w:r>
      <w:r w:rsidR="002608DC">
        <w:rPr>
          <w:rFonts w:asciiTheme="minorHAnsi" w:hAnsiTheme="minorHAnsi"/>
          <w:bCs/>
          <w:snapToGrid w:val="0"/>
          <w:lang w:eastAsia="en-US"/>
        </w:rPr>
        <w:t>Checkmate 816</w:t>
      </w:r>
      <w:r w:rsidRPr="002608DC">
        <w:rPr>
          <w:rFonts w:asciiTheme="minorHAnsi" w:hAnsiTheme="minorHAnsi"/>
          <w:bCs/>
          <w:snapToGrid w:val="0"/>
          <w:lang w:eastAsia="en-US"/>
        </w:rPr>
        <w:t xml:space="preserve"> trial. </w:t>
      </w:r>
      <w:r w:rsidR="002608DC" w:rsidRPr="003B4086">
        <w:rPr>
          <w:snapToGrid w:val="0"/>
        </w:rPr>
        <w:t xml:space="preserve">The PBAC noted that the MOGA presented a European Society for Medical Oncology Magnitude of Clinical Benefit Scale (ESMO-MCBS) for nivolumab, which was a Grade A. This is the highest grade </w:t>
      </w:r>
      <w:r w:rsidR="002608DC">
        <w:rPr>
          <w:snapToGrid w:val="0"/>
        </w:rPr>
        <w:t xml:space="preserve">on a scale from A to </w:t>
      </w:r>
      <w:r w:rsidR="002608DC" w:rsidRPr="003B4086">
        <w:rPr>
          <w:snapToGrid w:val="0"/>
        </w:rPr>
        <w:t xml:space="preserve">C, where A and B represent the grades with substantial improvement for new approaches to </w:t>
      </w:r>
      <w:r w:rsidR="002608DC" w:rsidRPr="003F28D6">
        <w:rPr>
          <w:snapToGrid w:val="0"/>
        </w:rPr>
        <w:t>adjuvant</w:t>
      </w:r>
      <w:r w:rsidR="002608DC" w:rsidRPr="003B4086">
        <w:rPr>
          <w:snapToGrid w:val="0"/>
        </w:rPr>
        <w:t xml:space="preserve"> therapy or new potentially curative therapies</w:t>
      </w:r>
      <w:r w:rsidR="002608DC" w:rsidRPr="003B4086">
        <w:rPr>
          <w:rStyle w:val="FootnoteReference"/>
          <w:snapToGrid w:val="0"/>
        </w:rPr>
        <w:footnoteReference w:id="10"/>
      </w:r>
      <w:r w:rsidR="00254913">
        <w:rPr>
          <w:snapToGrid w:val="0"/>
        </w:rPr>
        <w:t>.</w:t>
      </w:r>
    </w:p>
    <w:p w14:paraId="6043BE72" w14:textId="77777777" w:rsidR="00B60939" w:rsidRPr="00C9624D" w:rsidRDefault="00B60939" w:rsidP="002E4F02">
      <w:pPr>
        <w:pStyle w:val="4-SubsectionHeading"/>
      </w:pPr>
      <w:bookmarkStart w:id="27" w:name="_Toc124932954"/>
      <w:r w:rsidRPr="00C9624D">
        <w:t xml:space="preserve">Clinical </w:t>
      </w:r>
      <w:r w:rsidR="00660695">
        <w:t>t</w:t>
      </w:r>
      <w:r w:rsidRPr="00C9624D">
        <w:t>rials</w:t>
      </w:r>
      <w:bookmarkEnd w:id="23"/>
      <w:bookmarkEnd w:id="27"/>
    </w:p>
    <w:p w14:paraId="21EDF388" w14:textId="3FFE11BC" w:rsidR="00660695" w:rsidRPr="00EB14FD" w:rsidRDefault="005175D4" w:rsidP="002E4F02">
      <w:pPr>
        <w:pStyle w:val="3-BodyText"/>
      </w:pPr>
      <w:r>
        <w:t>T</w:t>
      </w:r>
      <w:r w:rsidR="00660695">
        <w:t xml:space="preserve">he submission’s </w:t>
      </w:r>
      <w:r>
        <w:t xml:space="preserve">primary </w:t>
      </w:r>
      <w:r w:rsidR="00660695">
        <w:t xml:space="preserve">evidence was based on a direct randomised open-label trial (CM816) comparing </w:t>
      </w:r>
      <w:r w:rsidR="00660695" w:rsidRPr="000401AC">
        <w:t>nivolumab</w:t>
      </w:r>
      <w:r w:rsidR="00660695">
        <w:t xml:space="preserve"> (360 mg </w:t>
      </w:r>
      <w:r w:rsidR="00AF4C1A">
        <w:t>intravenous [</w:t>
      </w:r>
      <w:r w:rsidR="00660695">
        <w:t>IV</w:t>
      </w:r>
      <w:r w:rsidR="00AF4C1A">
        <w:t>]</w:t>
      </w:r>
      <w:r w:rsidR="00660695">
        <w:t xml:space="preserve"> Q3W for a maximum of 3 cycles)</w:t>
      </w:r>
      <w:r w:rsidR="00660695" w:rsidRPr="000401AC">
        <w:t xml:space="preserve"> plus platinum-doublet chemotherapy </w:t>
      </w:r>
      <w:r>
        <w:t>(</w:t>
      </w:r>
      <w:r w:rsidR="000039B4">
        <w:t>neoNIVO</w:t>
      </w:r>
      <w:r w:rsidRPr="005175D4">
        <w:t>+</w:t>
      </w:r>
      <w:r w:rsidR="000039B4">
        <w:t>neoChemo</w:t>
      </w:r>
      <w:r w:rsidRPr="005175D4">
        <w:t>)</w:t>
      </w:r>
      <w:r>
        <w:t xml:space="preserve"> </w:t>
      </w:r>
      <w:r w:rsidR="00660695">
        <w:t>with</w:t>
      </w:r>
      <w:r w:rsidR="00660695" w:rsidRPr="000401AC">
        <w:t xml:space="preserve"> platinum-doublet chemotherapy</w:t>
      </w:r>
      <w:r>
        <w:t xml:space="preserve"> (</w:t>
      </w:r>
      <w:r w:rsidR="000039B4">
        <w:t>neoChemo</w:t>
      </w:r>
      <w:r>
        <w:t>)</w:t>
      </w:r>
      <w:r w:rsidR="00660695">
        <w:t>, as neoadjuvant treatment for resectable e</w:t>
      </w:r>
      <w:r w:rsidR="00660695" w:rsidRPr="000401AC">
        <w:t xml:space="preserve">arly stage </w:t>
      </w:r>
      <w:r w:rsidRPr="00F13F09">
        <w:t>NSCLC</w:t>
      </w:r>
      <w:r>
        <w:t xml:space="preserve"> </w:t>
      </w:r>
      <w:r w:rsidR="00660695">
        <w:t>(</w:t>
      </w:r>
      <w:r w:rsidR="00660695" w:rsidRPr="00F13F09">
        <w:t>Stage IB (≥</w:t>
      </w:r>
      <w:r w:rsidR="00AF4C1A">
        <w:t xml:space="preserve"> </w:t>
      </w:r>
      <w:r w:rsidR="00660695" w:rsidRPr="00F13F09">
        <w:t xml:space="preserve">4 cm) </w:t>
      </w:r>
      <w:r w:rsidR="00660695">
        <w:t>–</w:t>
      </w:r>
      <w:r w:rsidR="00660695" w:rsidRPr="00F13F09">
        <w:t xml:space="preserve"> IIIA</w:t>
      </w:r>
      <w:r w:rsidR="00660695" w:rsidRPr="003611CF">
        <w:t xml:space="preserve">, </w:t>
      </w:r>
      <w:r w:rsidR="003611CF" w:rsidRPr="003611CF">
        <w:t xml:space="preserve">American Joint Commission on Cancer </w:t>
      </w:r>
      <w:r w:rsidR="003611CF">
        <w:t>(</w:t>
      </w:r>
      <w:r w:rsidR="00660695" w:rsidRPr="003611CF">
        <w:t>AJCC</w:t>
      </w:r>
      <w:r w:rsidR="003611CF">
        <w:t>),</w:t>
      </w:r>
      <w:r w:rsidR="00660695" w:rsidRPr="003611CF">
        <w:t xml:space="preserve"> 7</w:t>
      </w:r>
      <w:r w:rsidR="00660695" w:rsidRPr="003611CF">
        <w:rPr>
          <w:vertAlign w:val="superscript"/>
        </w:rPr>
        <w:t>th</w:t>
      </w:r>
      <w:r w:rsidR="00660695">
        <w:t xml:space="preserve"> Edition)</w:t>
      </w:r>
      <w:r w:rsidR="00660695">
        <w:rPr>
          <w:rStyle w:val="FootnoteReference"/>
        </w:rPr>
        <w:footnoteReference w:id="11"/>
      </w:r>
      <w:r w:rsidR="00660695">
        <w:t>.</w:t>
      </w:r>
      <w:r w:rsidR="008A3697">
        <w:t xml:space="preserve"> </w:t>
      </w:r>
      <w:r w:rsidR="008A3697" w:rsidRPr="008A3697">
        <w:t xml:space="preserve">The ITT population in CM816 consisted of 358 patients with </w:t>
      </w:r>
      <w:r>
        <w:t>most</w:t>
      </w:r>
      <w:r w:rsidR="008A3697" w:rsidRPr="008A3697">
        <w:t xml:space="preserve"> having Stage IIIA disease (64%). The </w:t>
      </w:r>
      <w:r w:rsidR="008A3697" w:rsidRPr="00EB14FD">
        <w:t xml:space="preserve">requested population for </w:t>
      </w:r>
      <w:r>
        <w:t xml:space="preserve">the proposed </w:t>
      </w:r>
      <w:r w:rsidR="000039B4">
        <w:t>neoNIVO</w:t>
      </w:r>
      <w:r w:rsidR="008A3697" w:rsidRPr="00EB14FD">
        <w:t>+</w:t>
      </w:r>
      <w:r w:rsidR="000039B4">
        <w:t>neoChemo</w:t>
      </w:r>
      <w:r w:rsidR="008A3697" w:rsidRPr="00EB14FD">
        <w:t xml:space="preserve"> listing was patients with resectable (tumours ≥</w:t>
      </w:r>
      <w:r w:rsidR="00AF4C1A">
        <w:t xml:space="preserve"> </w:t>
      </w:r>
      <w:r w:rsidR="008A3697" w:rsidRPr="00EB14FD">
        <w:t>4 cm or node positive) NSCLC regardless of PD-L1 expression status.</w:t>
      </w:r>
    </w:p>
    <w:p w14:paraId="40A47343" w14:textId="02C41938" w:rsidR="006D4E2B" w:rsidRPr="008A3697" w:rsidRDefault="00660695" w:rsidP="002E4F02">
      <w:pPr>
        <w:pStyle w:val="3-BodyText"/>
      </w:pPr>
      <w:r w:rsidRPr="00660695">
        <w:t xml:space="preserve">For the </w:t>
      </w:r>
      <w:r w:rsidR="003611CF">
        <w:t xml:space="preserve">secondary </w:t>
      </w:r>
      <w:r w:rsidRPr="00660695">
        <w:t xml:space="preserve">comparator </w:t>
      </w:r>
      <w:r w:rsidR="003D24E4">
        <w:t>adjChemo</w:t>
      </w:r>
      <w:r w:rsidRPr="00660695">
        <w:t xml:space="preserve">, the submission’s evidence was </w:t>
      </w:r>
      <w:r w:rsidR="00AF4C1A">
        <w:t xml:space="preserve">based on </w:t>
      </w:r>
      <w:r w:rsidRPr="00660695">
        <w:t>an adjusted</w:t>
      </w:r>
      <w:r w:rsidR="003611CF">
        <w:t>/anchored</w:t>
      </w:r>
      <w:r w:rsidRPr="00660695">
        <w:t xml:space="preserve"> </w:t>
      </w:r>
      <w:r w:rsidR="003611CF">
        <w:t>indirect treatment comparison (</w:t>
      </w:r>
      <w:r w:rsidRPr="00660695">
        <w:t>ITC</w:t>
      </w:r>
      <w:r w:rsidR="003611CF">
        <w:t>)</w:t>
      </w:r>
      <w:r w:rsidRPr="00660695">
        <w:t xml:space="preserve"> </w:t>
      </w:r>
      <w:r w:rsidR="003611CF" w:rsidRPr="00660695">
        <w:t>(Bucher method</w:t>
      </w:r>
      <w:r w:rsidR="00C722CA">
        <w:rPr>
          <w:rStyle w:val="FootnoteReference"/>
        </w:rPr>
        <w:footnoteReference w:id="12"/>
      </w:r>
      <w:r w:rsidR="003611CF" w:rsidRPr="00660695">
        <w:t xml:space="preserve">) </w:t>
      </w:r>
      <w:r w:rsidRPr="00660695">
        <w:t xml:space="preserve">between </w:t>
      </w:r>
      <w:r w:rsidR="000039B4">
        <w:t>neoNIVO</w:t>
      </w:r>
      <w:r w:rsidRPr="00660695">
        <w:t>+</w:t>
      </w:r>
      <w:r w:rsidR="000039B4">
        <w:t>neoChemo</w:t>
      </w:r>
      <w:r w:rsidRPr="00660695">
        <w:t xml:space="preserve"> in C</w:t>
      </w:r>
      <w:r>
        <w:t>M</w:t>
      </w:r>
      <w:r w:rsidRPr="00660695">
        <w:t xml:space="preserve">816 with </w:t>
      </w:r>
      <w:r w:rsidR="003D24E4">
        <w:t>adjChemo</w:t>
      </w:r>
      <w:r w:rsidRPr="00660695">
        <w:t xml:space="preserve"> </w:t>
      </w:r>
      <w:r w:rsidR="003611CF">
        <w:t>in</w:t>
      </w:r>
      <w:r w:rsidRPr="00660695">
        <w:t xml:space="preserve"> the NATCH trial</w:t>
      </w:r>
      <w:r>
        <w:t>,</w:t>
      </w:r>
      <w:r w:rsidRPr="00660695">
        <w:t xml:space="preserve"> using </w:t>
      </w:r>
      <w:r w:rsidR="000039B4">
        <w:t>neoChemo</w:t>
      </w:r>
      <w:r w:rsidRPr="00660695">
        <w:t xml:space="preserve"> as the common reference arm. The 3-arm randomised controlled NATCH trial compared </w:t>
      </w:r>
      <w:r w:rsidR="000039B4">
        <w:t>neoChemo</w:t>
      </w:r>
      <w:r w:rsidRPr="00660695">
        <w:t xml:space="preserve"> (Q3W for 3 cycles) with surgery alone</w:t>
      </w:r>
      <w:r w:rsidR="008A3697">
        <w:t>,</w:t>
      </w:r>
      <w:r w:rsidRPr="00660695">
        <w:t xml:space="preserve"> and </w:t>
      </w:r>
      <w:r w:rsidR="003D24E4">
        <w:t>adjChemo</w:t>
      </w:r>
      <w:r w:rsidRPr="00660695">
        <w:t xml:space="preserve"> (Q3W for 3 cycles) with surgery alone</w:t>
      </w:r>
      <w:r w:rsidR="008A3697">
        <w:t>,</w:t>
      </w:r>
      <w:r w:rsidRPr="00660695">
        <w:t xml:space="preserve"> in resectable NSCLC (Stage IA (≥</w:t>
      </w:r>
      <w:r w:rsidR="00FC6D6B">
        <w:t xml:space="preserve"> </w:t>
      </w:r>
      <w:r w:rsidRPr="00660695">
        <w:t>2 cm), IB, II or T3N1, AJCC 6</w:t>
      </w:r>
      <w:r w:rsidRPr="00660695">
        <w:rPr>
          <w:vertAlign w:val="superscript"/>
        </w:rPr>
        <w:t>th</w:t>
      </w:r>
      <w:r w:rsidRPr="00660695">
        <w:t xml:space="preserve"> Edition). </w:t>
      </w:r>
      <w:r w:rsidR="008A3697">
        <w:t xml:space="preserve">Thus, the NATCH trial </w:t>
      </w:r>
      <w:r w:rsidR="008A3697" w:rsidRPr="008A3697">
        <w:rPr>
          <w:lang w:val="en-CA"/>
        </w:rPr>
        <w:t>exclud</w:t>
      </w:r>
      <w:r w:rsidR="008A3697">
        <w:rPr>
          <w:lang w:val="en-CA"/>
        </w:rPr>
        <w:t>ed</w:t>
      </w:r>
      <w:r w:rsidR="008A3697" w:rsidRPr="008A3697">
        <w:rPr>
          <w:lang w:val="en-CA"/>
        </w:rPr>
        <w:t xml:space="preserve"> patients with stage IIIA N2 disease</w:t>
      </w:r>
      <w:r w:rsidR="008A3697">
        <w:rPr>
          <w:lang w:val="en-CA"/>
        </w:rPr>
        <w:t>.</w:t>
      </w:r>
      <w:r w:rsidR="008A3697" w:rsidRPr="008A3697">
        <w:t xml:space="preserve"> </w:t>
      </w:r>
      <w:r w:rsidRPr="003611CF">
        <w:t xml:space="preserve">As the </w:t>
      </w:r>
      <w:r w:rsidR="003611CF" w:rsidRPr="008A3697">
        <w:t>comparative effectiveness</w:t>
      </w:r>
      <w:r w:rsidRPr="008A3697">
        <w:t xml:space="preserve"> </w:t>
      </w:r>
      <w:r w:rsidR="005175D4">
        <w:t>of</w:t>
      </w:r>
      <w:r w:rsidR="005175D4" w:rsidRPr="008A3697">
        <w:t xml:space="preserve"> </w:t>
      </w:r>
      <w:r w:rsidRPr="008A3697">
        <w:t xml:space="preserve">the </w:t>
      </w:r>
      <w:r w:rsidR="000039B4">
        <w:t>neoChemo</w:t>
      </w:r>
      <w:r w:rsidRPr="008A3697">
        <w:t xml:space="preserve"> and </w:t>
      </w:r>
      <w:r w:rsidR="003D24E4">
        <w:t>adjChemo</w:t>
      </w:r>
      <w:r w:rsidRPr="008A3697">
        <w:t xml:space="preserve"> arms of NATCH was not reported, th</w:t>
      </w:r>
      <w:r w:rsidR="006D4E2B" w:rsidRPr="008A3697">
        <w:t xml:space="preserve">is was derived in the submission using </w:t>
      </w:r>
      <w:r w:rsidR="000F5FBB" w:rsidRPr="008A3697">
        <w:t xml:space="preserve">surgery alone as the </w:t>
      </w:r>
      <w:r w:rsidRPr="008A3697">
        <w:t>reference</w:t>
      </w:r>
      <w:r w:rsidR="006D4E2B" w:rsidRPr="008A3697">
        <w:t xml:space="preserve"> arm.</w:t>
      </w:r>
    </w:p>
    <w:p w14:paraId="7FE6966C" w14:textId="7B0D7B09" w:rsidR="007F1017" w:rsidRPr="00EB14FD" w:rsidRDefault="006D4E2B" w:rsidP="002E4F02">
      <w:pPr>
        <w:pStyle w:val="3-BodyText"/>
      </w:pPr>
      <w:r>
        <w:t xml:space="preserve">For the supplementary comparator </w:t>
      </w:r>
      <w:r w:rsidR="00452D64">
        <w:t>adj</w:t>
      </w:r>
      <w:r w:rsidR="000039B4">
        <w:t>Chemo</w:t>
      </w:r>
      <w:r>
        <w:t>+</w:t>
      </w:r>
      <w:r w:rsidR="00452D64">
        <w:t>adj</w:t>
      </w:r>
      <w:r>
        <w:t xml:space="preserve">ATEZO, </w:t>
      </w:r>
      <w:r w:rsidRPr="006D4E2B">
        <w:t xml:space="preserve">the </w:t>
      </w:r>
      <w:r>
        <w:t>ITC</w:t>
      </w:r>
      <w:r w:rsidRPr="006D4E2B">
        <w:t xml:space="preserve"> was </w:t>
      </w:r>
      <w:r w:rsidR="00DB09DF">
        <w:t xml:space="preserve">a </w:t>
      </w:r>
      <w:r w:rsidRPr="006D4E2B">
        <w:t>modelled</w:t>
      </w:r>
      <w:r w:rsidR="00DB09DF">
        <w:t xml:space="preserve"> multi-step approach </w:t>
      </w:r>
      <w:r w:rsidRPr="006D4E2B">
        <w:t xml:space="preserve">between </w:t>
      </w:r>
      <w:r w:rsidR="000039B4">
        <w:t>neoNIVO</w:t>
      </w:r>
      <w:r w:rsidRPr="006D4E2B">
        <w:t>+</w:t>
      </w:r>
      <w:r w:rsidR="00452D64">
        <w:t>neoC</w:t>
      </w:r>
      <w:r w:rsidRPr="006D4E2B">
        <w:t xml:space="preserve">hemo in CM816 and </w:t>
      </w:r>
      <w:r w:rsidR="003D24E4">
        <w:t>adjChemo</w:t>
      </w:r>
      <w:r w:rsidRPr="006D4E2B">
        <w:t>+</w:t>
      </w:r>
      <w:r w:rsidR="000039B4">
        <w:t>adjATEZO</w:t>
      </w:r>
      <w:r w:rsidRPr="006D4E2B">
        <w:t xml:space="preserve"> </w:t>
      </w:r>
      <w:r w:rsidR="00DB09DF">
        <w:t>in IMpower</w:t>
      </w:r>
      <w:r w:rsidRPr="006D4E2B">
        <w:t xml:space="preserve">010 using NATCH to link the two studies. </w:t>
      </w:r>
      <w:r w:rsidR="008A3697">
        <w:rPr>
          <w:lang w:val="en-CA"/>
        </w:rPr>
        <w:t>S</w:t>
      </w:r>
      <w:r w:rsidR="008A3697" w:rsidRPr="008A3697">
        <w:rPr>
          <w:lang w:val="en-CA"/>
        </w:rPr>
        <w:t>tage-based criteria were assessed prior to surgery (clinical stage) in CM816, whereas pathological staging</w:t>
      </w:r>
      <w:r w:rsidR="008A3697">
        <w:rPr>
          <w:lang w:val="en-CA"/>
        </w:rPr>
        <w:t xml:space="preserve"> was used in IMpower</w:t>
      </w:r>
      <w:r w:rsidR="008A3697" w:rsidRPr="008A3697">
        <w:rPr>
          <w:lang w:val="en-CA"/>
        </w:rPr>
        <w:t xml:space="preserve">010. </w:t>
      </w:r>
      <w:r w:rsidR="00DB09DF" w:rsidRPr="00DB09DF">
        <w:t xml:space="preserve">The submission noted that the Bucher approach and other conventional ITC methods </w:t>
      </w:r>
      <w:r w:rsidR="00DB09DF">
        <w:t xml:space="preserve">could </w:t>
      </w:r>
      <w:r w:rsidR="00DB09DF" w:rsidRPr="00DB09DF">
        <w:t xml:space="preserve">not </w:t>
      </w:r>
      <w:r w:rsidR="00DB09DF">
        <w:t xml:space="preserve">be </w:t>
      </w:r>
      <w:r w:rsidR="00DB09DF" w:rsidRPr="00DB09DF">
        <w:t>used to conduct th</w:t>
      </w:r>
      <w:r w:rsidR="00DB09DF">
        <w:t>e</w:t>
      </w:r>
      <w:r w:rsidR="00DB09DF" w:rsidRPr="00DB09DF">
        <w:t xml:space="preserve"> ITC because of differences in the patient populations enrolled in the CM816 and I</w:t>
      </w:r>
      <w:r w:rsidR="00824874">
        <w:t>M</w:t>
      </w:r>
      <w:r w:rsidR="00DB09DF" w:rsidRPr="00DB09DF">
        <w:t xml:space="preserve">power010 trials. </w:t>
      </w:r>
      <w:r w:rsidRPr="006D4E2B">
        <w:t xml:space="preserve">The ITC was </w:t>
      </w:r>
      <w:r w:rsidR="00DB09DF">
        <w:t xml:space="preserve">also </w:t>
      </w:r>
      <w:r w:rsidRPr="006D4E2B">
        <w:t xml:space="preserve">based on </w:t>
      </w:r>
      <w:r w:rsidR="000F5FBB">
        <w:t xml:space="preserve">a </w:t>
      </w:r>
      <w:r w:rsidRPr="006D4E2B">
        <w:t xml:space="preserve">subgroup of patients from the </w:t>
      </w:r>
      <w:r w:rsidR="00DB09DF">
        <w:t>CM816 and IMpower010</w:t>
      </w:r>
      <w:r w:rsidRPr="006D4E2B">
        <w:t xml:space="preserve"> </w:t>
      </w:r>
      <w:r w:rsidR="00DB09DF">
        <w:t xml:space="preserve">trials </w:t>
      </w:r>
      <w:r w:rsidRPr="006D4E2B">
        <w:rPr>
          <w:lang w:val="en-GB"/>
        </w:rPr>
        <w:t>whose tumours express PD-L1 ≥ 50%</w:t>
      </w:r>
      <w:r w:rsidR="00DB09DF">
        <w:rPr>
          <w:lang w:val="en-GB"/>
        </w:rPr>
        <w:t>,</w:t>
      </w:r>
      <w:r w:rsidRPr="006D4E2B">
        <w:rPr>
          <w:lang w:val="en-GB"/>
        </w:rPr>
        <w:t xml:space="preserve"> given the positive PBAC recommendation for </w:t>
      </w:r>
      <w:r w:rsidR="000F5FBB">
        <w:rPr>
          <w:lang w:val="en-GB"/>
        </w:rPr>
        <w:t xml:space="preserve">the adjuvant use of </w:t>
      </w:r>
      <w:r w:rsidRPr="006D4E2B">
        <w:rPr>
          <w:lang w:val="en-GB"/>
        </w:rPr>
        <w:t xml:space="preserve">atezolizumab in this </w:t>
      </w:r>
      <w:r w:rsidR="00DB09DF">
        <w:rPr>
          <w:lang w:val="en-GB"/>
        </w:rPr>
        <w:t>population</w:t>
      </w:r>
      <w:r w:rsidRPr="006D4E2B">
        <w:rPr>
          <w:lang w:val="en-GB"/>
        </w:rPr>
        <w:t>.</w:t>
      </w:r>
      <w:r w:rsidR="00DB09DF">
        <w:rPr>
          <w:lang w:val="en-GB"/>
        </w:rPr>
        <w:t xml:space="preserve"> The linking trial, NATCH, was conducted over two decades ago</w:t>
      </w:r>
      <w:r w:rsidR="008A3697">
        <w:rPr>
          <w:lang w:val="en-GB"/>
        </w:rPr>
        <w:t xml:space="preserve"> (</w:t>
      </w:r>
      <w:r w:rsidR="008A3697">
        <w:rPr>
          <w:lang w:val="en-CA"/>
        </w:rPr>
        <w:t>IMpower</w:t>
      </w:r>
      <w:r w:rsidR="008A3697" w:rsidRPr="008A3697">
        <w:rPr>
          <w:lang w:val="en-CA"/>
        </w:rPr>
        <w:t>010 and CM816 were both conducted within the past 5 years</w:t>
      </w:r>
      <w:r w:rsidR="008A3697">
        <w:rPr>
          <w:lang w:val="en-CA"/>
        </w:rPr>
        <w:t>)</w:t>
      </w:r>
      <w:r w:rsidR="00DB09DF">
        <w:rPr>
          <w:lang w:val="en-GB"/>
        </w:rPr>
        <w:t xml:space="preserve">, and </w:t>
      </w:r>
      <w:r w:rsidR="00DB09DF" w:rsidRPr="00EB14FD">
        <w:rPr>
          <w:lang w:val="en-GB"/>
        </w:rPr>
        <w:t xml:space="preserve">thus PD-L1 status </w:t>
      </w:r>
      <w:r w:rsidR="004F5157" w:rsidRPr="00EB14FD">
        <w:rPr>
          <w:lang w:val="en-GB"/>
        </w:rPr>
        <w:t>was not assessed as part of the study protocol.</w:t>
      </w:r>
      <w:r w:rsidRPr="00EB14FD">
        <w:rPr>
          <w:lang w:val="en-GB"/>
        </w:rPr>
        <w:t xml:space="preserve"> </w:t>
      </w:r>
    </w:p>
    <w:p w14:paraId="4C259935" w14:textId="699436B7" w:rsidR="00862502" w:rsidRPr="00B50DB8" w:rsidRDefault="00A73134" w:rsidP="002E4F02">
      <w:pPr>
        <w:pStyle w:val="3-BodyText"/>
      </w:pPr>
      <w:r>
        <w:rPr>
          <w:snapToGrid/>
          <w:lang w:val="en-US"/>
        </w:rPr>
        <w:t xml:space="preserve">Details of the </w:t>
      </w:r>
      <w:r w:rsidR="004F5157">
        <w:rPr>
          <w:snapToGrid/>
          <w:lang w:val="en-US"/>
        </w:rPr>
        <w:t xml:space="preserve">CM816, NATCH, and IMpower010 trials </w:t>
      </w:r>
      <w:r>
        <w:rPr>
          <w:snapToGrid/>
          <w:lang w:val="en-US"/>
        </w:rPr>
        <w:t xml:space="preserve">are provided in </w:t>
      </w:r>
      <w:r w:rsidR="00696EF9">
        <w:rPr>
          <w:snapToGrid/>
          <w:lang w:val="en-US"/>
        </w:rPr>
        <w:fldChar w:fldCharType="begin"/>
      </w:r>
      <w:r w:rsidR="00696EF9">
        <w:rPr>
          <w:snapToGrid/>
          <w:lang w:val="en-US"/>
        </w:rPr>
        <w:instrText xml:space="preserve"> REF _Ref104803956 \h </w:instrText>
      </w:r>
      <w:r w:rsidR="00696EF9">
        <w:rPr>
          <w:snapToGrid/>
          <w:lang w:val="en-US"/>
        </w:rPr>
      </w:r>
      <w:r w:rsidR="00696EF9">
        <w:rPr>
          <w:snapToGrid/>
          <w:lang w:val="en-US"/>
        </w:rPr>
        <w:fldChar w:fldCharType="separate"/>
      </w:r>
      <w:r w:rsidR="00A77D90">
        <w:t xml:space="preserve">Table </w:t>
      </w:r>
      <w:r w:rsidR="00A77D90">
        <w:rPr>
          <w:noProof/>
        </w:rPr>
        <w:t>4</w:t>
      </w:r>
      <w:r w:rsidR="00696EF9">
        <w:rPr>
          <w:snapToGrid/>
          <w:lang w:val="en-US"/>
        </w:rPr>
        <w:fldChar w:fldCharType="end"/>
      </w:r>
      <w:r>
        <w:rPr>
          <w:snapToGrid/>
          <w:lang w:val="en-US"/>
        </w:rPr>
        <w:t>.</w:t>
      </w:r>
      <w:r w:rsidR="00BC591F">
        <w:rPr>
          <w:snapToGrid/>
          <w:lang w:val="en-US"/>
        </w:rPr>
        <w:t xml:space="preserve"> </w:t>
      </w:r>
    </w:p>
    <w:p w14:paraId="5973565A" w14:textId="60FE5FE4" w:rsidR="005408A8" w:rsidRDefault="00696EF9" w:rsidP="005408A8">
      <w:pPr>
        <w:pStyle w:val="Caption"/>
      </w:pPr>
      <w:bookmarkStart w:id="28" w:name="_Ref104803956"/>
      <w:r>
        <w:t xml:space="preserve">Table </w:t>
      </w:r>
      <w:r w:rsidR="00A77D90">
        <w:fldChar w:fldCharType="begin"/>
      </w:r>
      <w:r w:rsidR="00A77D90">
        <w:instrText xml:space="preserve"> SEQ Table \* ARABIC </w:instrText>
      </w:r>
      <w:r w:rsidR="00A77D90">
        <w:fldChar w:fldCharType="separate"/>
      </w:r>
      <w:r w:rsidR="00A77D90">
        <w:rPr>
          <w:noProof/>
        </w:rPr>
        <w:t>4</w:t>
      </w:r>
      <w:r w:rsidR="00A77D90">
        <w:rPr>
          <w:noProof/>
        </w:rPr>
        <w:fldChar w:fldCharType="end"/>
      </w:r>
      <w:bookmarkEnd w:id="28"/>
      <w:r>
        <w:t>:</w:t>
      </w:r>
      <w:r w:rsidR="00BC591F" w:rsidRPr="002E4F02">
        <w:rPr>
          <w:rStyle w:val="CommentReference"/>
          <w:b/>
          <w:szCs w:val="24"/>
        </w:rPr>
        <w:t xml:space="preserve"> </w:t>
      </w:r>
      <w:r w:rsidR="005408A8" w:rsidRPr="0023413C">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5408A8" w:rsidRPr="00B41614" w14:paraId="04820C53" w14:textId="77777777" w:rsidTr="005408A8">
        <w:trPr>
          <w:tblHeader/>
        </w:trPr>
        <w:tc>
          <w:tcPr>
            <w:tcW w:w="796" w:type="pct"/>
            <w:vAlign w:val="center"/>
          </w:tcPr>
          <w:p w14:paraId="38C49B34" w14:textId="77777777" w:rsidR="005408A8" w:rsidRPr="00B41614" w:rsidRDefault="005408A8" w:rsidP="005408A8">
            <w:pPr>
              <w:pStyle w:val="In-tableHeading"/>
            </w:pPr>
            <w:r w:rsidRPr="00B41614">
              <w:t>Trial ID</w:t>
            </w:r>
          </w:p>
        </w:tc>
        <w:tc>
          <w:tcPr>
            <w:tcW w:w="3027" w:type="pct"/>
            <w:vAlign w:val="center"/>
          </w:tcPr>
          <w:p w14:paraId="6982F1EE" w14:textId="77777777" w:rsidR="005408A8" w:rsidRPr="00B41614" w:rsidRDefault="005408A8" w:rsidP="005408A8">
            <w:pPr>
              <w:pStyle w:val="In-tableHeading"/>
            </w:pPr>
            <w:r w:rsidRPr="00B41614">
              <w:t>Protocol title/ Publication title</w:t>
            </w:r>
          </w:p>
        </w:tc>
        <w:tc>
          <w:tcPr>
            <w:tcW w:w="1177" w:type="pct"/>
            <w:vAlign w:val="center"/>
          </w:tcPr>
          <w:p w14:paraId="5F8821B5" w14:textId="77777777" w:rsidR="005408A8" w:rsidRPr="00B41614" w:rsidRDefault="005408A8" w:rsidP="005408A8">
            <w:pPr>
              <w:pStyle w:val="In-tableHeading"/>
            </w:pPr>
            <w:r w:rsidRPr="00B41614">
              <w:t>Publication citation</w:t>
            </w:r>
          </w:p>
        </w:tc>
      </w:tr>
      <w:tr w:rsidR="005408A8" w:rsidRPr="00B41614" w14:paraId="32195683" w14:textId="77777777" w:rsidTr="005408A8">
        <w:trPr>
          <w:tblHeader/>
        </w:trPr>
        <w:tc>
          <w:tcPr>
            <w:tcW w:w="5000" w:type="pct"/>
            <w:gridSpan w:val="3"/>
            <w:vAlign w:val="center"/>
          </w:tcPr>
          <w:p w14:paraId="0C1F9164" w14:textId="2B40870B" w:rsidR="005408A8" w:rsidRPr="00B41614" w:rsidRDefault="005408A8" w:rsidP="005408A8">
            <w:pPr>
              <w:pStyle w:val="In-tableHeading"/>
            </w:pPr>
            <w:r>
              <w:t xml:space="preserve">Direct comparison between </w:t>
            </w:r>
            <w:r w:rsidR="000039B4">
              <w:t>neoNIVO</w:t>
            </w:r>
            <w:r>
              <w:t>+</w:t>
            </w:r>
            <w:r w:rsidR="00452D64">
              <w:t>neoC</w:t>
            </w:r>
            <w:r>
              <w:t xml:space="preserve">hemo and </w:t>
            </w:r>
            <w:r w:rsidR="000039B4">
              <w:t>neoChemo</w:t>
            </w:r>
          </w:p>
        </w:tc>
      </w:tr>
      <w:tr w:rsidR="005408A8" w:rsidRPr="00CB38A8" w14:paraId="5F5949E1" w14:textId="77777777" w:rsidTr="009D6143">
        <w:tc>
          <w:tcPr>
            <w:tcW w:w="796" w:type="pct"/>
            <w:vMerge w:val="restart"/>
          </w:tcPr>
          <w:p w14:paraId="1118A760" w14:textId="77777777" w:rsidR="005408A8" w:rsidRPr="00CB38A8" w:rsidRDefault="005408A8" w:rsidP="009D6143">
            <w:pPr>
              <w:pStyle w:val="TableText0"/>
            </w:pPr>
            <w:r w:rsidRPr="001109EA">
              <w:t>C</w:t>
            </w:r>
            <w:r>
              <w:t>M</w:t>
            </w:r>
            <w:r w:rsidRPr="001109EA">
              <w:t>816 NCT0998528</w:t>
            </w:r>
          </w:p>
        </w:tc>
        <w:tc>
          <w:tcPr>
            <w:tcW w:w="3027" w:type="pct"/>
            <w:tcBorders>
              <w:bottom w:val="nil"/>
            </w:tcBorders>
            <w:vAlign w:val="center"/>
          </w:tcPr>
          <w:p w14:paraId="79D9C1CC" w14:textId="77777777" w:rsidR="005408A8" w:rsidRPr="00AB6248" w:rsidRDefault="005408A8" w:rsidP="005408A8">
            <w:pPr>
              <w:pStyle w:val="TableText0"/>
              <w:rPr>
                <w:szCs w:val="18"/>
              </w:rPr>
            </w:pPr>
            <w:r w:rsidRPr="001109EA">
              <w:rPr>
                <w:szCs w:val="18"/>
              </w:rPr>
              <w:t xml:space="preserve">Randomized, open-label, Phase 3 trial of nivolumab plus ipilimumab or nivolumab plus platinum-doublet chemotherapy versus platinum-doublet chemotherapy in early stage NSCLC: </w:t>
            </w:r>
          </w:p>
        </w:tc>
        <w:tc>
          <w:tcPr>
            <w:tcW w:w="1177" w:type="pct"/>
            <w:tcBorders>
              <w:bottom w:val="nil"/>
            </w:tcBorders>
            <w:vAlign w:val="center"/>
          </w:tcPr>
          <w:p w14:paraId="31ECAA98" w14:textId="77777777" w:rsidR="005408A8" w:rsidRPr="00CB38A8" w:rsidRDefault="005408A8" w:rsidP="005408A8">
            <w:pPr>
              <w:pStyle w:val="TableText0"/>
            </w:pPr>
            <w:r w:rsidRPr="001109EA">
              <w:rPr>
                <w:szCs w:val="18"/>
              </w:rPr>
              <w:t>16 December 2021</w:t>
            </w:r>
          </w:p>
        </w:tc>
      </w:tr>
      <w:tr w:rsidR="005408A8" w:rsidRPr="00CB38A8" w14:paraId="0D716AD6" w14:textId="77777777" w:rsidTr="009D6143">
        <w:tc>
          <w:tcPr>
            <w:tcW w:w="796" w:type="pct"/>
            <w:vMerge/>
            <w:vAlign w:val="center"/>
          </w:tcPr>
          <w:p w14:paraId="7F743392" w14:textId="77777777" w:rsidR="005408A8" w:rsidRPr="00CB38A8" w:rsidRDefault="005408A8" w:rsidP="005408A8">
            <w:pPr>
              <w:pStyle w:val="TableText0"/>
            </w:pPr>
          </w:p>
        </w:tc>
        <w:tc>
          <w:tcPr>
            <w:tcW w:w="3027" w:type="pct"/>
            <w:tcBorders>
              <w:top w:val="nil"/>
              <w:bottom w:val="nil"/>
            </w:tcBorders>
          </w:tcPr>
          <w:p w14:paraId="27EB6B64" w14:textId="04C59233" w:rsidR="005408A8" w:rsidRPr="00E34A35" w:rsidRDefault="005408A8" w:rsidP="009D6143">
            <w:pPr>
              <w:pStyle w:val="TableText0"/>
              <w:rPr>
                <w:szCs w:val="18"/>
              </w:rPr>
            </w:pPr>
            <w:r w:rsidRPr="001109EA">
              <w:rPr>
                <w:szCs w:val="18"/>
              </w:rPr>
              <w:t xml:space="preserve">Forde, P. M. et al. </w:t>
            </w:r>
            <w:r w:rsidR="00407DA5">
              <w:rPr>
                <w:szCs w:val="18"/>
              </w:rPr>
              <w:t>N</w:t>
            </w:r>
            <w:r w:rsidR="000039B4">
              <w:rPr>
                <w:szCs w:val="18"/>
              </w:rPr>
              <w:t>eo</w:t>
            </w:r>
            <w:r w:rsidRPr="001109EA">
              <w:rPr>
                <w:szCs w:val="18"/>
              </w:rPr>
              <w:t xml:space="preserve">adjuvant Nivolumab plus Chemotherapy in Resectable Lung Cancer. </w:t>
            </w:r>
          </w:p>
        </w:tc>
        <w:tc>
          <w:tcPr>
            <w:tcW w:w="1177" w:type="pct"/>
            <w:tcBorders>
              <w:top w:val="nil"/>
              <w:bottom w:val="nil"/>
            </w:tcBorders>
            <w:vAlign w:val="center"/>
          </w:tcPr>
          <w:p w14:paraId="0D839ED8" w14:textId="77777777" w:rsidR="005408A8" w:rsidRPr="00E34A35" w:rsidRDefault="005408A8" w:rsidP="005408A8">
            <w:pPr>
              <w:pStyle w:val="TableText0"/>
              <w:rPr>
                <w:szCs w:val="18"/>
              </w:rPr>
            </w:pPr>
            <w:r w:rsidRPr="001109EA">
              <w:rPr>
                <w:i/>
                <w:szCs w:val="18"/>
              </w:rPr>
              <w:t>New England Journal of Medicine</w:t>
            </w:r>
            <w:r>
              <w:rPr>
                <w:i/>
                <w:szCs w:val="18"/>
              </w:rPr>
              <w:t xml:space="preserve"> </w:t>
            </w:r>
            <w:r w:rsidRPr="00E046E9">
              <w:rPr>
                <w:szCs w:val="18"/>
              </w:rPr>
              <w:t>2022</w:t>
            </w:r>
            <w:r>
              <w:rPr>
                <w:i/>
                <w:szCs w:val="18"/>
              </w:rPr>
              <w:t>;</w:t>
            </w:r>
            <w:r w:rsidRPr="001109EA">
              <w:rPr>
                <w:i/>
                <w:szCs w:val="18"/>
              </w:rPr>
              <w:t xml:space="preserve"> </w:t>
            </w:r>
            <w:r w:rsidRPr="001109EA">
              <w:rPr>
                <w:szCs w:val="18"/>
              </w:rPr>
              <w:t>386</w:t>
            </w:r>
            <w:r>
              <w:rPr>
                <w:szCs w:val="18"/>
              </w:rPr>
              <w:t xml:space="preserve"> </w:t>
            </w:r>
            <w:r w:rsidRPr="001109EA">
              <w:rPr>
                <w:szCs w:val="18"/>
              </w:rPr>
              <w:t>(21), 1973-1985</w:t>
            </w:r>
            <w:r>
              <w:rPr>
                <w:szCs w:val="18"/>
              </w:rPr>
              <w:t>.</w:t>
            </w:r>
          </w:p>
        </w:tc>
      </w:tr>
      <w:tr w:rsidR="005408A8" w:rsidRPr="00CB38A8" w14:paraId="1E14DB4A" w14:textId="77777777" w:rsidTr="005408A8">
        <w:tc>
          <w:tcPr>
            <w:tcW w:w="796" w:type="pct"/>
            <w:vMerge/>
            <w:vAlign w:val="center"/>
          </w:tcPr>
          <w:p w14:paraId="531C4738" w14:textId="77777777" w:rsidR="005408A8" w:rsidRPr="00CB38A8" w:rsidRDefault="005408A8" w:rsidP="005408A8">
            <w:pPr>
              <w:pStyle w:val="TableText0"/>
            </w:pPr>
          </w:p>
        </w:tc>
        <w:tc>
          <w:tcPr>
            <w:tcW w:w="3027" w:type="pct"/>
            <w:tcBorders>
              <w:top w:val="nil"/>
              <w:bottom w:val="nil"/>
            </w:tcBorders>
            <w:vAlign w:val="center"/>
          </w:tcPr>
          <w:p w14:paraId="7EE50103" w14:textId="77777777" w:rsidR="005408A8" w:rsidRDefault="005408A8" w:rsidP="005408A8">
            <w:pPr>
              <w:pStyle w:val="TableText0"/>
              <w:rPr>
                <w:szCs w:val="18"/>
              </w:rPr>
            </w:pPr>
            <w:r w:rsidRPr="001109EA">
              <w:rPr>
                <w:szCs w:val="18"/>
              </w:rPr>
              <w:t>Forde, P. M. et al. Nivolumab (NIVO) + platinum-doublet chemotherapy (chemo) vs chemo as neoadjuvant treatment (tx) for resectable (IB-IIIA) non-small cell lung cancer (NSCLC) in the phase 3 CheckMate 816 trial.</w:t>
            </w:r>
          </w:p>
          <w:p w14:paraId="3264CFD8" w14:textId="77777777" w:rsidR="005408A8" w:rsidRPr="00AB6248" w:rsidRDefault="005408A8" w:rsidP="005408A8">
            <w:pPr>
              <w:pStyle w:val="TableText0"/>
              <w:rPr>
                <w:szCs w:val="18"/>
                <w:lang w:val="en-US"/>
              </w:rPr>
            </w:pPr>
          </w:p>
        </w:tc>
        <w:tc>
          <w:tcPr>
            <w:tcW w:w="1177" w:type="pct"/>
            <w:tcBorders>
              <w:top w:val="nil"/>
              <w:bottom w:val="nil"/>
            </w:tcBorders>
            <w:vAlign w:val="center"/>
          </w:tcPr>
          <w:p w14:paraId="60865FC4" w14:textId="77777777" w:rsidR="005408A8" w:rsidRPr="00AB6248" w:rsidRDefault="005408A8" w:rsidP="005408A8">
            <w:pPr>
              <w:pStyle w:val="TableText0"/>
              <w:rPr>
                <w:i/>
                <w:szCs w:val="18"/>
                <w:lang w:val="en-US"/>
              </w:rPr>
            </w:pPr>
            <w:r w:rsidRPr="001109EA">
              <w:rPr>
                <w:i/>
                <w:szCs w:val="18"/>
              </w:rPr>
              <w:t>Cancer research</w:t>
            </w:r>
            <w:r>
              <w:rPr>
                <w:i/>
                <w:szCs w:val="18"/>
              </w:rPr>
              <w:t xml:space="preserve"> </w:t>
            </w:r>
            <w:r w:rsidRPr="00E046E9">
              <w:rPr>
                <w:szCs w:val="18"/>
              </w:rPr>
              <w:t>2021</w:t>
            </w:r>
            <w:r>
              <w:rPr>
                <w:szCs w:val="18"/>
              </w:rPr>
              <w:t>;</w:t>
            </w:r>
            <w:r w:rsidRPr="001109EA">
              <w:rPr>
                <w:szCs w:val="18"/>
              </w:rPr>
              <w:t xml:space="preserve"> 81, </w:t>
            </w:r>
            <w:r w:rsidRPr="00D5619B">
              <w:rPr>
                <w:szCs w:val="18"/>
              </w:rPr>
              <w:t>(</w:t>
            </w:r>
            <w:r>
              <w:rPr>
                <w:szCs w:val="18"/>
              </w:rPr>
              <w:t>S</w:t>
            </w:r>
            <w:r w:rsidRPr="00D5619B">
              <w:rPr>
                <w:szCs w:val="18"/>
              </w:rPr>
              <w:t xml:space="preserve">13): </w:t>
            </w:r>
            <w:r>
              <w:rPr>
                <w:szCs w:val="18"/>
              </w:rPr>
              <w:t xml:space="preserve">Abstract </w:t>
            </w:r>
            <w:r w:rsidRPr="00D5619B">
              <w:rPr>
                <w:szCs w:val="18"/>
              </w:rPr>
              <w:t>CT003.</w:t>
            </w:r>
          </w:p>
        </w:tc>
      </w:tr>
      <w:tr w:rsidR="005408A8" w:rsidRPr="00CB38A8" w14:paraId="79B31B2C" w14:textId="77777777" w:rsidTr="005408A8">
        <w:tc>
          <w:tcPr>
            <w:tcW w:w="796" w:type="pct"/>
            <w:vMerge/>
            <w:vAlign w:val="center"/>
          </w:tcPr>
          <w:p w14:paraId="212D6DBE" w14:textId="77777777" w:rsidR="005408A8" w:rsidRPr="00CB38A8" w:rsidRDefault="005408A8" w:rsidP="005408A8">
            <w:pPr>
              <w:pStyle w:val="TableText0"/>
            </w:pPr>
          </w:p>
        </w:tc>
        <w:tc>
          <w:tcPr>
            <w:tcW w:w="3027" w:type="pct"/>
            <w:tcBorders>
              <w:top w:val="nil"/>
              <w:bottom w:val="nil"/>
            </w:tcBorders>
            <w:vAlign w:val="center"/>
          </w:tcPr>
          <w:p w14:paraId="66D7CCEA" w14:textId="77777777" w:rsidR="005408A8" w:rsidRDefault="005408A8" w:rsidP="005408A8">
            <w:pPr>
              <w:pStyle w:val="TableText0"/>
              <w:rPr>
                <w:szCs w:val="18"/>
              </w:rPr>
            </w:pPr>
            <w:r w:rsidRPr="00E046E9">
              <w:rPr>
                <w:szCs w:val="18"/>
              </w:rPr>
              <w:t>Spicer, J.</w:t>
            </w:r>
            <w:r>
              <w:rPr>
                <w:szCs w:val="18"/>
              </w:rPr>
              <w:t>et al.</w:t>
            </w:r>
            <w:r w:rsidRPr="00E046E9">
              <w:rPr>
                <w:szCs w:val="18"/>
              </w:rPr>
              <w:t xml:space="preserve"> Surgical outcomes from the phase 3 CheckMate 816 trial: nivolumab (NIVO) + platinum-doublet chemotherapy (chemo) vs chemo alone as neoadjuvant treatment for patients with resectable non-small cell lung cancer (NSCLC). </w:t>
            </w:r>
          </w:p>
          <w:p w14:paraId="7FDD245D" w14:textId="77777777" w:rsidR="005408A8" w:rsidRPr="001109EA" w:rsidRDefault="005408A8" w:rsidP="005408A8">
            <w:pPr>
              <w:pStyle w:val="TableText0"/>
              <w:rPr>
                <w:szCs w:val="18"/>
              </w:rPr>
            </w:pPr>
          </w:p>
        </w:tc>
        <w:tc>
          <w:tcPr>
            <w:tcW w:w="1177" w:type="pct"/>
            <w:tcBorders>
              <w:top w:val="nil"/>
              <w:bottom w:val="nil"/>
            </w:tcBorders>
            <w:vAlign w:val="center"/>
          </w:tcPr>
          <w:p w14:paraId="61C9118C" w14:textId="77777777" w:rsidR="005408A8" w:rsidRPr="001109EA" w:rsidRDefault="005408A8" w:rsidP="005408A8">
            <w:pPr>
              <w:pStyle w:val="TableText0"/>
              <w:rPr>
                <w:i/>
                <w:szCs w:val="18"/>
              </w:rPr>
            </w:pPr>
            <w:r w:rsidRPr="00E046E9">
              <w:rPr>
                <w:i/>
                <w:szCs w:val="18"/>
              </w:rPr>
              <w:t>Journal of clinical oncology</w:t>
            </w:r>
            <w:r>
              <w:rPr>
                <w:i/>
                <w:szCs w:val="18"/>
              </w:rPr>
              <w:t xml:space="preserve"> </w:t>
            </w:r>
            <w:r>
              <w:rPr>
                <w:szCs w:val="18"/>
              </w:rPr>
              <w:t>2021;</w:t>
            </w:r>
            <w:r w:rsidRPr="00E046E9">
              <w:rPr>
                <w:szCs w:val="18"/>
              </w:rPr>
              <w:t xml:space="preserve"> 39, </w:t>
            </w:r>
            <w:r>
              <w:rPr>
                <w:szCs w:val="18"/>
              </w:rPr>
              <w:t>(15), 8503.</w:t>
            </w:r>
          </w:p>
        </w:tc>
      </w:tr>
      <w:tr w:rsidR="005408A8" w:rsidRPr="00CB38A8" w14:paraId="03329414" w14:textId="77777777" w:rsidTr="005408A8">
        <w:tc>
          <w:tcPr>
            <w:tcW w:w="796" w:type="pct"/>
            <w:vMerge/>
            <w:tcBorders>
              <w:bottom w:val="nil"/>
            </w:tcBorders>
            <w:vAlign w:val="center"/>
          </w:tcPr>
          <w:p w14:paraId="672655BA" w14:textId="77777777" w:rsidR="005408A8" w:rsidRPr="00CB38A8" w:rsidRDefault="005408A8" w:rsidP="005408A8">
            <w:pPr>
              <w:pStyle w:val="TableText0"/>
            </w:pPr>
          </w:p>
        </w:tc>
        <w:tc>
          <w:tcPr>
            <w:tcW w:w="3027" w:type="pct"/>
            <w:tcBorders>
              <w:top w:val="nil"/>
              <w:bottom w:val="single" w:sz="4" w:space="0" w:color="auto"/>
            </w:tcBorders>
            <w:vAlign w:val="center"/>
          </w:tcPr>
          <w:p w14:paraId="44B3AC64" w14:textId="77777777" w:rsidR="005408A8" w:rsidRPr="001109EA" w:rsidRDefault="005408A8" w:rsidP="005408A8">
            <w:pPr>
              <w:pStyle w:val="TableText0"/>
              <w:rPr>
                <w:szCs w:val="18"/>
              </w:rPr>
            </w:pPr>
            <w:r w:rsidRPr="00E046E9">
              <w:rPr>
                <w:szCs w:val="18"/>
              </w:rPr>
              <w:t>Girard, N.</w:t>
            </w:r>
            <w:r>
              <w:rPr>
                <w:szCs w:val="18"/>
              </w:rPr>
              <w:t xml:space="preserve"> </w:t>
            </w:r>
            <w:r w:rsidRPr="00E046E9">
              <w:rPr>
                <w:szCs w:val="18"/>
              </w:rPr>
              <w:t xml:space="preserve">et al. Nivolumab (NIVO) + platinum-doublet chemotherapy (chemo) vs chemo as neoadjuvant treatment for resectable (IB-IIIA) non-small cell lung cancer (NSCLC): Event-free survival (EFS) results from the phase 3 CheckMate 816 trial. </w:t>
            </w:r>
          </w:p>
        </w:tc>
        <w:tc>
          <w:tcPr>
            <w:tcW w:w="1177" w:type="pct"/>
            <w:tcBorders>
              <w:top w:val="nil"/>
              <w:bottom w:val="single" w:sz="4" w:space="0" w:color="auto"/>
            </w:tcBorders>
            <w:vAlign w:val="center"/>
          </w:tcPr>
          <w:p w14:paraId="3BE960C7" w14:textId="77777777" w:rsidR="005408A8" w:rsidRPr="001109EA" w:rsidRDefault="005408A8" w:rsidP="005408A8">
            <w:pPr>
              <w:pStyle w:val="TableText0"/>
              <w:rPr>
                <w:i/>
                <w:szCs w:val="18"/>
              </w:rPr>
            </w:pPr>
            <w:r w:rsidRPr="00E046E9">
              <w:rPr>
                <w:i/>
                <w:szCs w:val="18"/>
              </w:rPr>
              <w:t>Cancer Research</w:t>
            </w:r>
            <w:r>
              <w:rPr>
                <w:i/>
                <w:szCs w:val="18"/>
              </w:rPr>
              <w:t xml:space="preserve"> </w:t>
            </w:r>
            <w:r w:rsidRPr="00E046E9">
              <w:rPr>
                <w:szCs w:val="18"/>
              </w:rPr>
              <w:t>2021</w:t>
            </w:r>
            <w:r>
              <w:rPr>
                <w:i/>
                <w:szCs w:val="18"/>
              </w:rPr>
              <w:t>;</w:t>
            </w:r>
            <w:r w:rsidRPr="00E046E9">
              <w:rPr>
                <w:szCs w:val="18"/>
              </w:rPr>
              <w:t xml:space="preserve"> </w:t>
            </w:r>
            <w:r w:rsidRPr="00E046E9">
              <w:rPr>
                <w:i/>
                <w:szCs w:val="18"/>
              </w:rPr>
              <w:t>American Association for Cancer Research Annual Meeting</w:t>
            </w:r>
            <w:r>
              <w:rPr>
                <w:i/>
                <w:szCs w:val="18"/>
              </w:rPr>
              <w:t xml:space="preserve"> (</w:t>
            </w:r>
            <w:r w:rsidRPr="00E046E9">
              <w:rPr>
                <w:szCs w:val="18"/>
              </w:rPr>
              <w:t>ACCR, 82</w:t>
            </w:r>
            <w:r>
              <w:rPr>
                <w:szCs w:val="18"/>
              </w:rPr>
              <w:t>).</w:t>
            </w:r>
          </w:p>
        </w:tc>
      </w:tr>
      <w:tr w:rsidR="005408A8" w:rsidRPr="00CB38A8" w14:paraId="0A7F85FC" w14:textId="77777777" w:rsidTr="005408A8">
        <w:tc>
          <w:tcPr>
            <w:tcW w:w="5000" w:type="pct"/>
            <w:gridSpan w:val="3"/>
            <w:tcBorders>
              <w:bottom w:val="nil"/>
            </w:tcBorders>
            <w:vAlign w:val="center"/>
          </w:tcPr>
          <w:p w14:paraId="46677851" w14:textId="03401D69" w:rsidR="005408A8" w:rsidRPr="005408A8" w:rsidRDefault="005408A8" w:rsidP="005408A8">
            <w:pPr>
              <w:pStyle w:val="TableText0"/>
              <w:rPr>
                <w:b/>
                <w:szCs w:val="18"/>
              </w:rPr>
            </w:pPr>
            <w:r w:rsidRPr="005408A8">
              <w:rPr>
                <w:b/>
                <w:szCs w:val="18"/>
              </w:rPr>
              <w:t xml:space="preserve">Trials used for indirect comparisons with </w:t>
            </w:r>
            <w:r w:rsidR="000039B4">
              <w:rPr>
                <w:b/>
                <w:szCs w:val="18"/>
              </w:rPr>
              <w:t>neoNIVO</w:t>
            </w:r>
            <w:r w:rsidRPr="005408A8">
              <w:rPr>
                <w:b/>
                <w:szCs w:val="18"/>
              </w:rPr>
              <w:t>+</w:t>
            </w:r>
            <w:r w:rsidR="00452D64">
              <w:rPr>
                <w:b/>
                <w:szCs w:val="18"/>
              </w:rPr>
              <w:t>neoC</w:t>
            </w:r>
            <w:r w:rsidRPr="005408A8">
              <w:rPr>
                <w:b/>
                <w:szCs w:val="18"/>
              </w:rPr>
              <w:t>hemo from CM816</w:t>
            </w:r>
          </w:p>
        </w:tc>
      </w:tr>
      <w:tr w:rsidR="005408A8" w:rsidRPr="00CB38A8" w14:paraId="40B40A53" w14:textId="77777777" w:rsidTr="009D6143">
        <w:trPr>
          <w:trHeight w:val="708"/>
        </w:trPr>
        <w:tc>
          <w:tcPr>
            <w:tcW w:w="796" w:type="pct"/>
          </w:tcPr>
          <w:p w14:paraId="5943D4C2" w14:textId="77777777" w:rsidR="005408A8" w:rsidRDefault="005408A8" w:rsidP="009D6143">
            <w:pPr>
              <w:pStyle w:val="TableText0"/>
            </w:pPr>
            <w:r>
              <w:t>NATCH</w:t>
            </w:r>
          </w:p>
          <w:p w14:paraId="1A4609DE" w14:textId="77777777" w:rsidR="005408A8" w:rsidRPr="00CB38A8" w:rsidRDefault="005408A8" w:rsidP="009D6143">
            <w:pPr>
              <w:pStyle w:val="TableText0"/>
            </w:pPr>
            <w:r w:rsidRPr="004A6FFC">
              <w:t>NCT00913705</w:t>
            </w:r>
          </w:p>
        </w:tc>
        <w:tc>
          <w:tcPr>
            <w:tcW w:w="3027" w:type="pct"/>
          </w:tcPr>
          <w:p w14:paraId="0BF55900" w14:textId="77777777" w:rsidR="005408A8" w:rsidRPr="00CB38A8" w:rsidRDefault="005408A8" w:rsidP="009D6143">
            <w:pPr>
              <w:pStyle w:val="TableText0"/>
            </w:pPr>
            <w:r w:rsidRPr="004A6FFC">
              <w:t>Felip, E.</w:t>
            </w:r>
            <w:r>
              <w:t xml:space="preserve"> et al. </w:t>
            </w:r>
            <w:r w:rsidRPr="004A6FFC">
              <w:t xml:space="preserve">Preoperative chemotherapy plus surgery versus surgery plus adjuvant chemotherapy versus surgery alone in early-stage non–small-cell lung cancer. </w:t>
            </w:r>
          </w:p>
        </w:tc>
        <w:tc>
          <w:tcPr>
            <w:tcW w:w="1177" w:type="pct"/>
            <w:vAlign w:val="center"/>
          </w:tcPr>
          <w:p w14:paraId="5E641630" w14:textId="77777777" w:rsidR="005408A8" w:rsidRPr="004A2558" w:rsidRDefault="005408A8" w:rsidP="005408A8">
            <w:pPr>
              <w:pStyle w:val="TableText0"/>
            </w:pPr>
            <w:r w:rsidRPr="004A6FFC">
              <w:rPr>
                <w:i/>
              </w:rPr>
              <w:t>Journal of clinical oncology</w:t>
            </w:r>
            <w:r>
              <w:t xml:space="preserve"> 2010;</w:t>
            </w:r>
            <w:r w:rsidRPr="004A6FFC">
              <w:t xml:space="preserve"> 28(19), 3138-3145</w:t>
            </w:r>
          </w:p>
        </w:tc>
      </w:tr>
      <w:tr w:rsidR="005408A8" w:rsidRPr="005408A8" w14:paraId="65F72257" w14:textId="77777777" w:rsidTr="009D6143">
        <w:tc>
          <w:tcPr>
            <w:tcW w:w="796" w:type="pct"/>
            <w:vMerge w:val="restart"/>
          </w:tcPr>
          <w:p w14:paraId="55FCF8A7" w14:textId="5F1EBF16" w:rsidR="005408A8" w:rsidRPr="005408A8" w:rsidRDefault="005408A8" w:rsidP="009D6143">
            <w:pPr>
              <w:pStyle w:val="TableText0"/>
            </w:pPr>
            <w:r w:rsidRPr="005408A8">
              <w:t>I</w:t>
            </w:r>
            <w:r w:rsidR="00824874">
              <w:t>M</w:t>
            </w:r>
            <w:r w:rsidRPr="005408A8">
              <w:t>power010</w:t>
            </w:r>
          </w:p>
          <w:p w14:paraId="64DC0B16" w14:textId="77777777" w:rsidR="005408A8" w:rsidRPr="005408A8" w:rsidRDefault="005408A8" w:rsidP="009D6143">
            <w:pPr>
              <w:pStyle w:val="TableText0"/>
            </w:pPr>
            <w:r w:rsidRPr="005408A8">
              <w:t>NCT02486718</w:t>
            </w:r>
          </w:p>
        </w:tc>
        <w:tc>
          <w:tcPr>
            <w:tcW w:w="3027" w:type="pct"/>
            <w:tcBorders>
              <w:bottom w:val="nil"/>
            </w:tcBorders>
          </w:tcPr>
          <w:p w14:paraId="68A244D3" w14:textId="77777777" w:rsidR="005408A8" w:rsidRPr="005408A8" w:rsidRDefault="005408A8" w:rsidP="009D6143">
            <w:pPr>
              <w:pStyle w:val="TableText0"/>
            </w:pPr>
            <w:r w:rsidRPr="005408A8">
              <w:t>Felip, E. et al. Adjuvant atezolizumab after adjuvant chemotherapy in resected stage IB-IIIA non-small-cell lung cancer (IMpower010): a randomised, multicentre, open-label, phase 3 trial.</w:t>
            </w:r>
          </w:p>
          <w:p w14:paraId="343739D4" w14:textId="77777777" w:rsidR="005408A8" w:rsidRPr="005408A8" w:rsidRDefault="005408A8" w:rsidP="009D6143">
            <w:pPr>
              <w:pStyle w:val="TableText0"/>
            </w:pPr>
          </w:p>
        </w:tc>
        <w:tc>
          <w:tcPr>
            <w:tcW w:w="1177" w:type="pct"/>
            <w:tcBorders>
              <w:bottom w:val="nil"/>
            </w:tcBorders>
            <w:vAlign w:val="center"/>
          </w:tcPr>
          <w:p w14:paraId="45B2586D" w14:textId="77777777" w:rsidR="005408A8" w:rsidRPr="005408A8" w:rsidRDefault="005408A8" w:rsidP="005408A8">
            <w:pPr>
              <w:pStyle w:val="TableText0"/>
            </w:pPr>
            <w:r w:rsidRPr="005408A8">
              <w:rPr>
                <w:i/>
              </w:rPr>
              <w:t>The Lancet</w:t>
            </w:r>
            <w:r w:rsidRPr="005408A8">
              <w:t xml:space="preserve"> 2021; 398(10308), 1344-1357</w:t>
            </w:r>
          </w:p>
        </w:tc>
      </w:tr>
      <w:tr w:rsidR="005408A8" w:rsidRPr="005408A8" w14:paraId="33405C0B" w14:textId="77777777" w:rsidTr="009D6143">
        <w:tc>
          <w:tcPr>
            <w:tcW w:w="796" w:type="pct"/>
            <w:vMerge/>
            <w:vAlign w:val="center"/>
          </w:tcPr>
          <w:p w14:paraId="54ED4E27" w14:textId="77777777" w:rsidR="005408A8" w:rsidRPr="005408A8" w:rsidRDefault="005408A8" w:rsidP="005408A8">
            <w:pPr>
              <w:pStyle w:val="TableText0"/>
            </w:pPr>
          </w:p>
        </w:tc>
        <w:tc>
          <w:tcPr>
            <w:tcW w:w="3027" w:type="pct"/>
            <w:tcBorders>
              <w:top w:val="nil"/>
              <w:bottom w:val="nil"/>
            </w:tcBorders>
          </w:tcPr>
          <w:p w14:paraId="2EDC133F" w14:textId="77777777" w:rsidR="005408A8" w:rsidRPr="005408A8" w:rsidRDefault="005408A8" w:rsidP="009D6143">
            <w:pPr>
              <w:pStyle w:val="TableText0"/>
            </w:pPr>
            <w:r w:rsidRPr="005408A8">
              <w:t>Kenmotsu, H. et al. Adjuvant atezolizumab in Japanese patients with resected stage IB-IIIA non-small cell lung cancer (IMpower010).</w:t>
            </w:r>
          </w:p>
        </w:tc>
        <w:tc>
          <w:tcPr>
            <w:tcW w:w="1177" w:type="pct"/>
            <w:tcBorders>
              <w:top w:val="nil"/>
              <w:bottom w:val="nil"/>
            </w:tcBorders>
            <w:vAlign w:val="center"/>
          </w:tcPr>
          <w:p w14:paraId="4BDB3300" w14:textId="77777777" w:rsidR="005408A8" w:rsidRPr="005408A8" w:rsidRDefault="005408A8" w:rsidP="005408A8">
            <w:pPr>
              <w:pStyle w:val="TableText0"/>
            </w:pPr>
            <w:r w:rsidRPr="005408A8">
              <w:rPr>
                <w:i/>
                <w:szCs w:val="18"/>
              </w:rPr>
              <w:t xml:space="preserve">Cancer Science </w:t>
            </w:r>
            <w:r w:rsidRPr="005408A8">
              <w:rPr>
                <w:szCs w:val="18"/>
              </w:rPr>
              <w:t>2022; September 5. doi: 10.1111/cas.15564.</w:t>
            </w:r>
          </w:p>
        </w:tc>
      </w:tr>
      <w:tr w:rsidR="005408A8" w:rsidRPr="005408A8" w14:paraId="6504079C" w14:textId="77777777" w:rsidTr="009D6143">
        <w:tc>
          <w:tcPr>
            <w:tcW w:w="796" w:type="pct"/>
            <w:vMerge/>
            <w:vAlign w:val="center"/>
          </w:tcPr>
          <w:p w14:paraId="4717F20E" w14:textId="77777777" w:rsidR="005408A8" w:rsidRPr="005408A8" w:rsidRDefault="005408A8" w:rsidP="005408A8">
            <w:pPr>
              <w:pStyle w:val="TableText0"/>
            </w:pPr>
          </w:p>
        </w:tc>
        <w:tc>
          <w:tcPr>
            <w:tcW w:w="3027" w:type="pct"/>
            <w:tcBorders>
              <w:top w:val="nil"/>
              <w:bottom w:val="nil"/>
            </w:tcBorders>
          </w:tcPr>
          <w:p w14:paraId="7CADD7AD" w14:textId="77777777" w:rsidR="005408A8" w:rsidRPr="005408A8" w:rsidRDefault="005408A8" w:rsidP="009D6143">
            <w:pPr>
              <w:pStyle w:val="TableText0"/>
              <w:rPr>
                <w:szCs w:val="18"/>
              </w:rPr>
            </w:pPr>
            <w:r w:rsidRPr="005408A8">
              <w:rPr>
                <w:szCs w:val="18"/>
              </w:rPr>
              <w:t xml:space="preserve">Altorki, N. et al. PL02.05 IMpower010: Characterization of Stage IB-IIIA NSCLC Patients by Type and Extent of Therapy Prior to Adjuvant Atezolizumab. </w:t>
            </w:r>
          </w:p>
        </w:tc>
        <w:tc>
          <w:tcPr>
            <w:tcW w:w="1177" w:type="pct"/>
            <w:tcBorders>
              <w:top w:val="nil"/>
              <w:bottom w:val="nil"/>
            </w:tcBorders>
            <w:vAlign w:val="center"/>
          </w:tcPr>
          <w:p w14:paraId="34380AD3" w14:textId="77777777" w:rsidR="005408A8" w:rsidRPr="005408A8" w:rsidRDefault="005408A8" w:rsidP="005408A8">
            <w:pPr>
              <w:pStyle w:val="TableText0"/>
              <w:rPr>
                <w:i/>
                <w:szCs w:val="18"/>
              </w:rPr>
            </w:pPr>
            <w:r w:rsidRPr="005408A8">
              <w:rPr>
                <w:i/>
                <w:szCs w:val="18"/>
              </w:rPr>
              <w:t>Journal of Thoracic Oncology</w:t>
            </w:r>
            <w:r w:rsidRPr="005408A8">
              <w:rPr>
                <w:szCs w:val="18"/>
              </w:rPr>
              <w:t xml:space="preserve"> 2021; 16 (10 Supplement), S845-S846.</w:t>
            </w:r>
          </w:p>
        </w:tc>
      </w:tr>
      <w:tr w:rsidR="005408A8" w:rsidRPr="005408A8" w14:paraId="17C2A095" w14:textId="77777777" w:rsidTr="009D6143">
        <w:tc>
          <w:tcPr>
            <w:tcW w:w="796" w:type="pct"/>
            <w:vMerge/>
            <w:tcBorders>
              <w:bottom w:val="single" w:sz="4" w:space="0" w:color="auto"/>
            </w:tcBorders>
            <w:vAlign w:val="center"/>
          </w:tcPr>
          <w:p w14:paraId="66A4C609" w14:textId="77777777" w:rsidR="005408A8" w:rsidRPr="005408A8" w:rsidRDefault="005408A8" w:rsidP="005408A8">
            <w:pPr>
              <w:pStyle w:val="TableText0"/>
            </w:pPr>
          </w:p>
        </w:tc>
        <w:tc>
          <w:tcPr>
            <w:tcW w:w="3027" w:type="pct"/>
            <w:tcBorders>
              <w:top w:val="nil"/>
              <w:bottom w:val="single" w:sz="4" w:space="0" w:color="auto"/>
            </w:tcBorders>
          </w:tcPr>
          <w:p w14:paraId="5F76E84A" w14:textId="77777777" w:rsidR="00C87FCC" w:rsidRDefault="00C87FCC" w:rsidP="009D6143">
            <w:pPr>
              <w:pStyle w:val="TableText0"/>
              <w:rPr>
                <w:szCs w:val="18"/>
              </w:rPr>
            </w:pPr>
          </w:p>
          <w:p w14:paraId="5A4E235B" w14:textId="023C5433" w:rsidR="005408A8" w:rsidRPr="005408A8" w:rsidRDefault="005408A8" w:rsidP="009D6143">
            <w:pPr>
              <w:pStyle w:val="TableText0"/>
              <w:rPr>
                <w:szCs w:val="18"/>
              </w:rPr>
            </w:pPr>
            <w:r w:rsidRPr="005408A8">
              <w:rPr>
                <w:szCs w:val="18"/>
              </w:rPr>
              <w:t xml:space="preserve">Wakelee, H. A. et al. IMpower010: primary results of a phase III global study of atezolizumab versus best supportive care after adjuvant chemotherapy in resected stage IB-IIIA non-small cell lung cancer (NSCLC). </w:t>
            </w:r>
          </w:p>
        </w:tc>
        <w:tc>
          <w:tcPr>
            <w:tcW w:w="1177" w:type="pct"/>
            <w:tcBorders>
              <w:top w:val="nil"/>
              <w:bottom w:val="single" w:sz="4" w:space="0" w:color="auto"/>
            </w:tcBorders>
            <w:vAlign w:val="center"/>
          </w:tcPr>
          <w:p w14:paraId="02AF3CF8" w14:textId="77777777" w:rsidR="005408A8" w:rsidRPr="005408A8" w:rsidRDefault="005408A8" w:rsidP="005408A8">
            <w:pPr>
              <w:pStyle w:val="TableText0"/>
              <w:rPr>
                <w:i/>
                <w:szCs w:val="18"/>
              </w:rPr>
            </w:pPr>
            <w:r w:rsidRPr="008A3697">
              <w:rPr>
                <w:i/>
                <w:szCs w:val="18"/>
              </w:rPr>
              <w:t>Journal of clinical oncology</w:t>
            </w:r>
            <w:r w:rsidR="008A3697">
              <w:rPr>
                <w:i/>
                <w:szCs w:val="18"/>
              </w:rPr>
              <w:t>;</w:t>
            </w:r>
            <w:r w:rsidRPr="005408A8">
              <w:rPr>
                <w:szCs w:val="18"/>
              </w:rPr>
              <w:t xml:space="preserve"> 2021; (39), S15, 8500.</w:t>
            </w:r>
          </w:p>
        </w:tc>
      </w:tr>
    </w:tbl>
    <w:p w14:paraId="61C8EEA1" w14:textId="315E847E" w:rsidR="005408A8" w:rsidRPr="005408A8" w:rsidRDefault="005408A8" w:rsidP="0075396F">
      <w:pPr>
        <w:pStyle w:val="TableFooter"/>
        <w:spacing w:after="120"/>
      </w:pPr>
      <w:r w:rsidRPr="005408A8">
        <w:t>Source: Table 19, pp53-4 of the submission.</w:t>
      </w:r>
    </w:p>
    <w:p w14:paraId="74777B6A" w14:textId="01EC28DC" w:rsidR="007F1017" w:rsidRPr="00EE61A9" w:rsidRDefault="008F120A" w:rsidP="00EC5836">
      <w:pPr>
        <w:pStyle w:val="3-BodyText"/>
      </w:pPr>
      <w:r w:rsidRPr="00B50DB8">
        <w:t xml:space="preserve">The key features of the </w:t>
      </w:r>
      <w:r w:rsidR="005408A8">
        <w:t xml:space="preserve">included trials </w:t>
      </w:r>
      <w:r w:rsidRPr="00B50DB8">
        <w:t>are summarised in</w:t>
      </w:r>
      <w:r w:rsidR="00D6076E">
        <w:t xml:space="preserve"> </w:t>
      </w:r>
      <w:r w:rsidR="00D6076E" w:rsidRPr="00EE61A9">
        <w:fldChar w:fldCharType="begin"/>
      </w:r>
      <w:r w:rsidR="00D6076E" w:rsidRPr="00EE61A9">
        <w:instrText xml:space="preserve"> REF _Ref104804098 \h  \* MERGEFORMAT </w:instrText>
      </w:r>
      <w:r w:rsidR="00D6076E" w:rsidRPr="00EE61A9">
        <w:fldChar w:fldCharType="separate"/>
      </w:r>
      <w:r w:rsidR="00A77D90" w:rsidRPr="00A77D90">
        <w:t>Table 5</w:t>
      </w:r>
      <w:r w:rsidR="00D6076E" w:rsidRPr="00EE61A9">
        <w:fldChar w:fldCharType="end"/>
      </w:r>
      <w:r w:rsidRPr="00EE61A9">
        <w:t>.</w:t>
      </w:r>
      <w:r w:rsidR="00BC591F" w:rsidRPr="00EE61A9">
        <w:t xml:space="preserve"> </w:t>
      </w:r>
    </w:p>
    <w:p w14:paraId="26C6850D" w14:textId="33652FFC" w:rsidR="005408A8" w:rsidRPr="00B61251" w:rsidRDefault="00696EF9" w:rsidP="003701E9">
      <w:pPr>
        <w:pStyle w:val="Caption"/>
      </w:pPr>
      <w:bookmarkStart w:id="29" w:name="_Ref104804098"/>
      <w:r w:rsidRPr="00D6076E">
        <w:rPr>
          <w:rStyle w:val="CommentReference"/>
          <w:rFonts w:eastAsiaTheme="majorEastAsia" w:cstheme="majorBidi"/>
          <w:b/>
          <w:szCs w:val="24"/>
        </w:rPr>
        <w:t xml:space="preserve">Table </w:t>
      </w:r>
      <w:r w:rsidRPr="00D6076E">
        <w:rPr>
          <w:rStyle w:val="CommentReference"/>
          <w:rFonts w:eastAsiaTheme="majorEastAsia" w:cstheme="majorBidi"/>
          <w:b/>
          <w:szCs w:val="24"/>
        </w:rPr>
        <w:fldChar w:fldCharType="begin"/>
      </w:r>
      <w:r w:rsidRPr="00D6076E">
        <w:rPr>
          <w:rStyle w:val="CommentReference"/>
          <w:rFonts w:eastAsiaTheme="majorEastAsia" w:cstheme="majorBidi"/>
          <w:b/>
          <w:szCs w:val="24"/>
        </w:rPr>
        <w:instrText xml:space="preserve"> SEQ Table \* ARABIC </w:instrText>
      </w:r>
      <w:r w:rsidRPr="00D6076E">
        <w:rPr>
          <w:rStyle w:val="CommentReference"/>
          <w:rFonts w:eastAsiaTheme="majorEastAsia" w:cstheme="majorBidi"/>
          <w:b/>
          <w:szCs w:val="24"/>
        </w:rPr>
        <w:fldChar w:fldCharType="separate"/>
      </w:r>
      <w:r w:rsidR="00A77D90">
        <w:rPr>
          <w:rStyle w:val="CommentReference"/>
          <w:rFonts w:eastAsiaTheme="majorEastAsia" w:cstheme="majorBidi"/>
          <w:b/>
          <w:noProof/>
          <w:szCs w:val="24"/>
        </w:rPr>
        <w:t>5</w:t>
      </w:r>
      <w:r w:rsidRPr="00D6076E">
        <w:rPr>
          <w:rStyle w:val="CommentReference"/>
          <w:rFonts w:eastAsiaTheme="majorEastAsia" w:cstheme="majorBidi"/>
          <w:b/>
          <w:szCs w:val="24"/>
        </w:rPr>
        <w:fldChar w:fldCharType="end"/>
      </w:r>
      <w:bookmarkEnd w:id="29"/>
      <w:r w:rsidR="00D6076E" w:rsidRPr="00D6076E">
        <w:rPr>
          <w:rStyle w:val="CommentReference"/>
          <w:rFonts w:eastAsiaTheme="majorEastAsia" w:cstheme="majorBidi"/>
          <w:b/>
          <w:szCs w:val="24"/>
        </w:rPr>
        <w:t>:</w:t>
      </w:r>
      <w:r w:rsidR="003701E9">
        <w:rPr>
          <w:rStyle w:val="CommentReference"/>
          <w:rFonts w:eastAsiaTheme="majorEastAsia" w:cstheme="majorBidi"/>
          <w:b/>
          <w:szCs w:val="24"/>
        </w:rPr>
        <w:t xml:space="preserve"> </w:t>
      </w:r>
      <w:r w:rsidR="005408A8" w:rsidRPr="00B61251">
        <w:t>Key features of the included evidence</w:t>
      </w: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he included evidence – indirect comparisons"/>
      </w:tblPr>
      <w:tblGrid>
        <w:gridCol w:w="959"/>
        <w:gridCol w:w="508"/>
        <w:gridCol w:w="1629"/>
        <w:gridCol w:w="987"/>
        <w:gridCol w:w="1696"/>
        <w:gridCol w:w="1587"/>
        <w:gridCol w:w="1692"/>
      </w:tblGrid>
      <w:tr w:rsidR="00E40005" w:rsidRPr="00B61251" w14:paraId="1E96AB81" w14:textId="77777777" w:rsidTr="00E40005">
        <w:tc>
          <w:tcPr>
            <w:tcW w:w="529" w:type="pct"/>
            <w:shd w:val="clear" w:color="auto" w:fill="auto"/>
            <w:vAlign w:val="center"/>
          </w:tcPr>
          <w:p w14:paraId="688FCCDA" w14:textId="47E0A853" w:rsidR="00B60DEC" w:rsidRDefault="00B60DEC" w:rsidP="00B60DEC">
            <w:pPr>
              <w:pStyle w:val="Tabletext"/>
              <w:keepNext/>
            </w:pPr>
            <w:r w:rsidRPr="00B61251">
              <w:rPr>
                <w:b/>
              </w:rPr>
              <w:t>Trial</w:t>
            </w:r>
          </w:p>
        </w:tc>
        <w:tc>
          <w:tcPr>
            <w:tcW w:w="281" w:type="pct"/>
            <w:shd w:val="clear" w:color="auto" w:fill="auto"/>
            <w:vAlign w:val="center"/>
          </w:tcPr>
          <w:p w14:paraId="6FB2AC1F" w14:textId="10A65FA2" w:rsidR="00B60DEC" w:rsidRDefault="00B60DEC" w:rsidP="00B60DEC">
            <w:pPr>
              <w:pStyle w:val="Tabletext"/>
              <w:keepNext/>
              <w:jc w:val="center"/>
            </w:pPr>
            <w:r w:rsidRPr="00B61251">
              <w:rPr>
                <w:b/>
              </w:rPr>
              <w:t>N</w:t>
            </w:r>
          </w:p>
        </w:tc>
        <w:tc>
          <w:tcPr>
            <w:tcW w:w="899" w:type="pct"/>
            <w:shd w:val="clear" w:color="auto" w:fill="auto"/>
            <w:vAlign w:val="center"/>
          </w:tcPr>
          <w:p w14:paraId="348214CD" w14:textId="59AF7768" w:rsidR="00B60DEC" w:rsidRDefault="00B60DEC" w:rsidP="00B60DEC">
            <w:pPr>
              <w:pStyle w:val="Tabletext"/>
              <w:keepNext/>
              <w:jc w:val="center"/>
            </w:pPr>
            <w:r w:rsidRPr="00B61251">
              <w:rPr>
                <w:b/>
              </w:rPr>
              <w:t>Design/ duration</w:t>
            </w:r>
          </w:p>
        </w:tc>
        <w:tc>
          <w:tcPr>
            <w:tcW w:w="545" w:type="pct"/>
            <w:shd w:val="clear" w:color="auto" w:fill="auto"/>
            <w:vAlign w:val="center"/>
          </w:tcPr>
          <w:p w14:paraId="7D64D9E8" w14:textId="3B84BB68" w:rsidR="00B60DEC" w:rsidRDefault="00B60DEC" w:rsidP="00B60DEC">
            <w:pPr>
              <w:pStyle w:val="Tabletext"/>
              <w:keepNext/>
              <w:jc w:val="center"/>
              <w:rPr>
                <w:i/>
                <w:iCs/>
              </w:rPr>
            </w:pPr>
            <w:r w:rsidRPr="00B61251">
              <w:rPr>
                <w:b/>
              </w:rPr>
              <w:t>Risk of bias</w:t>
            </w:r>
          </w:p>
        </w:tc>
        <w:tc>
          <w:tcPr>
            <w:tcW w:w="936" w:type="pct"/>
            <w:shd w:val="clear" w:color="auto" w:fill="auto"/>
            <w:vAlign w:val="center"/>
          </w:tcPr>
          <w:p w14:paraId="21088687" w14:textId="6E164A76" w:rsidR="00B60DEC" w:rsidRDefault="00B60DEC" w:rsidP="00B60DEC">
            <w:pPr>
              <w:pStyle w:val="Tabletext"/>
              <w:keepNext/>
              <w:jc w:val="center"/>
            </w:pPr>
            <w:r>
              <w:rPr>
                <w:b/>
              </w:rPr>
              <w:t>NSCLC p</w:t>
            </w:r>
            <w:r w:rsidRPr="00B61251">
              <w:rPr>
                <w:b/>
              </w:rPr>
              <w:t>atient population</w:t>
            </w:r>
          </w:p>
        </w:tc>
        <w:tc>
          <w:tcPr>
            <w:tcW w:w="876" w:type="pct"/>
            <w:shd w:val="clear" w:color="auto" w:fill="auto"/>
            <w:vAlign w:val="center"/>
          </w:tcPr>
          <w:p w14:paraId="5F1DBC96" w14:textId="68338E38" w:rsidR="00B60DEC" w:rsidRDefault="00B60DEC" w:rsidP="00B60DEC">
            <w:pPr>
              <w:pStyle w:val="Tabletext"/>
              <w:keepNext/>
              <w:jc w:val="center"/>
            </w:pPr>
            <w:r w:rsidRPr="00B61251">
              <w:rPr>
                <w:b/>
              </w:rPr>
              <w:t>Outcomes</w:t>
            </w:r>
          </w:p>
        </w:tc>
        <w:tc>
          <w:tcPr>
            <w:tcW w:w="934" w:type="pct"/>
            <w:shd w:val="clear" w:color="auto" w:fill="auto"/>
            <w:vAlign w:val="center"/>
          </w:tcPr>
          <w:p w14:paraId="12D8B4A4" w14:textId="1CE3F634" w:rsidR="00B60DEC" w:rsidDel="00B55228" w:rsidRDefault="00B60DEC" w:rsidP="00B60DEC">
            <w:pPr>
              <w:pStyle w:val="Tabletext"/>
              <w:keepNext/>
              <w:jc w:val="center"/>
            </w:pPr>
            <w:r w:rsidRPr="00B61251">
              <w:rPr>
                <w:b/>
              </w:rPr>
              <w:t>Use in modelled evaluation</w:t>
            </w:r>
          </w:p>
        </w:tc>
      </w:tr>
      <w:tr w:rsidR="00E40005" w:rsidRPr="000A6E90" w14:paraId="2A99D710" w14:textId="77777777" w:rsidTr="00E40005">
        <w:tc>
          <w:tcPr>
            <w:tcW w:w="529" w:type="pct"/>
            <w:shd w:val="clear" w:color="auto" w:fill="auto"/>
            <w:vAlign w:val="center"/>
          </w:tcPr>
          <w:p w14:paraId="26F8CD68" w14:textId="05261991" w:rsidR="00B60DEC" w:rsidRPr="000A6E90" w:rsidRDefault="00B60DEC" w:rsidP="00B60DEC">
            <w:pPr>
              <w:pStyle w:val="Tabletext"/>
              <w:keepNext/>
            </w:pPr>
            <w:r w:rsidRPr="000A6E90">
              <w:t>CM816</w:t>
            </w:r>
          </w:p>
        </w:tc>
        <w:tc>
          <w:tcPr>
            <w:tcW w:w="281" w:type="pct"/>
            <w:shd w:val="clear" w:color="auto" w:fill="auto"/>
            <w:vAlign w:val="center"/>
          </w:tcPr>
          <w:p w14:paraId="31ECDCA2" w14:textId="21AF8361" w:rsidR="00B60DEC" w:rsidRPr="000A6E90" w:rsidRDefault="00B60DEC" w:rsidP="00B60DEC">
            <w:pPr>
              <w:pStyle w:val="Tabletext"/>
              <w:keepNext/>
              <w:jc w:val="center"/>
            </w:pPr>
            <w:r w:rsidRPr="000A6E90">
              <w:t>358</w:t>
            </w:r>
          </w:p>
        </w:tc>
        <w:tc>
          <w:tcPr>
            <w:tcW w:w="899" w:type="pct"/>
            <w:shd w:val="clear" w:color="auto" w:fill="auto"/>
            <w:vAlign w:val="center"/>
          </w:tcPr>
          <w:p w14:paraId="654FE073" w14:textId="77777777" w:rsidR="00B60DEC" w:rsidRPr="000A6E90" w:rsidRDefault="00B60DEC" w:rsidP="00B60DEC">
            <w:pPr>
              <w:pStyle w:val="Tabletext"/>
              <w:keepNext/>
              <w:jc w:val="center"/>
            </w:pPr>
            <w:r w:rsidRPr="000A6E90">
              <w:t>neoNIVO+neoChemo vs. neoChemo (3 cycles)</w:t>
            </w:r>
          </w:p>
          <w:p w14:paraId="44628F2B" w14:textId="77777777" w:rsidR="00B60DEC" w:rsidRPr="000A6E90" w:rsidRDefault="00B60DEC" w:rsidP="00B60DEC">
            <w:pPr>
              <w:pStyle w:val="Tabletext"/>
              <w:keepNext/>
              <w:jc w:val="center"/>
            </w:pPr>
            <w:r w:rsidRPr="000A6E90">
              <w:t>R, OL.</w:t>
            </w:r>
          </w:p>
          <w:p w14:paraId="141B33F9" w14:textId="77777777" w:rsidR="00B60DEC" w:rsidRPr="000A6E90" w:rsidRDefault="00B60DEC" w:rsidP="00B60DEC">
            <w:pPr>
              <w:pStyle w:val="Tabletext"/>
              <w:keepNext/>
              <w:jc w:val="center"/>
            </w:pPr>
            <w:r w:rsidRPr="000A6E90">
              <w:t>Median follow-up 29.5 months</w:t>
            </w:r>
          </w:p>
          <w:p w14:paraId="66D90220" w14:textId="72A598A4" w:rsidR="00B60DEC" w:rsidRPr="000A6E90" w:rsidRDefault="00B60DEC" w:rsidP="00B60DEC">
            <w:pPr>
              <w:pStyle w:val="Tabletext"/>
              <w:keepNext/>
              <w:jc w:val="center"/>
            </w:pPr>
            <w:r w:rsidRPr="000A6E90">
              <w:t>(October 2021 data cutoff)</w:t>
            </w:r>
          </w:p>
        </w:tc>
        <w:tc>
          <w:tcPr>
            <w:tcW w:w="545" w:type="pct"/>
            <w:shd w:val="clear" w:color="auto" w:fill="auto"/>
            <w:vAlign w:val="center"/>
          </w:tcPr>
          <w:p w14:paraId="2E336635" w14:textId="55DDCCD4" w:rsidR="00B60DEC" w:rsidRPr="000A6E90" w:rsidRDefault="00B60DEC" w:rsidP="00B60DEC">
            <w:pPr>
              <w:pStyle w:val="Tabletext"/>
              <w:keepNext/>
              <w:jc w:val="center"/>
              <w:rPr>
                <w:iCs/>
              </w:rPr>
            </w:pPr>
            <w:r w:rsidRPr="000A6E90">
              <w:rPr>
                <w:iCs/>
              </w:rPr>
              <w:t>Low</w:t>
            </w:r>
          </w:p>
        </w:tc>
        <w:tc>
          <w:tcPr>
            <w:tcW w:w="936" w:type="pct"/>
            <w:shd w:val="clear" w:color="auto" w:fill="auto"/>
            <w:vAlign w:val="center"/>
          </w:tcPr>
          <w:p w14:paraId="3907C798" w14:textId="77777777" w:rsidR="00B60DEC" w:rsidRPr="000A6E90" w:rsidRDefault="00B60DEC" w:rsidP="00B60DEC">
            <w:pPr>
              <w:pStyle w:val="Tabletext"/>
              <w:keepNext/>
              <w:jc w:val="center"/>
            </w:pPr>
            <w:r w:rsidRPr="000A6E90">
              <w:t>ITT: neoadjuvant setting</w:t>
            </w:r>
          </w:p>
          <w:p w14:paraId="7A80DF3E" w14:textId="77777777" w:rsidR="00B60DEC" w:rsidRPr="000A6E90" w:rsidRDefault="00B60DEC" w:rsidP="00B60DEC">
            <w:pPr>
              <w:pStyle w:val="Tabletext"/>
              <w:keepNext/>
              <w:jc w:val="center"/>
            </w:pPr>
            <w:r w:rsidRPr="000A6E90">
              <w:t>Resectable.</w:t>
            </w:r>
          </w:p>
          <w:p w14:paraId="3D01433C" w14:textId="77777777" w:rsidR="00B60DEC" w:rsidRPr="000A6E90" w:rsidRDefault="00B60DEC" w:rsidP="00B60DEC">
            <w:pPr>
              <w:pStyle w:val="Tabletext"/>
              <w:keepNext/>
              <w:jc w:val="center"/>
            </w:pPr>
            <w:r w:rsidRPr="000A6E90">
              <w:t>Clinical Stage 1B-IIIA (AJCC 7</w:t>
            </w:r>
            <w:r w:rsidRPr="000A6E90">
              <w:rPr>
                <w:vertAlign w:val="superscript"/>
              </w:rPr>
              <w:t>th</w:t>
            </w:r>
            <w:r w:rsidRPr="000A6E90">
              <w:t xml:space="preserve"> Edition).</w:t>
            </w:r>
          </w:p>
          <w:p w14:paraId="747D3C6B" w14:textId="77777777" w:rsidR="00B60DEC" w:rsidRPr="000A6E90" w:rsidRDefault="00B60DEC" w:rsidP="00B60DEC">
            <w:pPr>
              <w:pStyle w:val="Tabletext"/>
              <w:keepNext/>
              <w:jc w:val="center"/>
            </w:pPr>
          </w:p>
          <w:p w14:paraId="0383DD18" w14:textId="77777777" w:rsidR="00B60DEC" w:rsidRPr="000A6E90" w:rsidRDefault="00B60DEC" w:rsidP="00B60DEC">
            <w:pPr>
              <w:pStyle w:val="Tabletext"/>
              <w:keepNext/>
              <w:jc w:val="center"/>
            </w:pPr>
            <w:r w:rsidRPr="000A6E90">
              <w:t>Stage 1B-II: 35%</w:t>
            </w:r>
          </w:p>
          <w:p w14:paraId="04E4DE44" w14:textId="74C59DE2" w:rsidR="00B60DEC" w:rsidRPr="000A6E90" w:rsidRDefault="00B60DEC" w:rsidP="00B60DEC">
            <w:pPr>
              <w:pStyle w:val="Tabletext"/>
              <w:keepNext/>
              <w:jc w:val="center"/>
            </w:pPr>
            <w:r w:rsidRPr="000A6E90">
              <w:t>Stage IIIA: 64%</w:t>
            </w:r>
          </w:p>
        </w:tc>
        <w:tc>
          <w:tcPr>
            <w:tcW w:w="876" w:type="pct"/>
            <w:shd w:val="clear" w:color="auto" w:fill="auto"/>
            <w:vAlign w:val="center"/>
          </w:tcPr>
          <w:p w14:paraId="5B2F9677" w14:textId="2652969A" w:rsidR="00B60DEC" w:rsidRPr="000A6E90" w:rsidRDefault="00B60DEC" w:rsidP="00B60DEC">
            <w:pPr>
              <w:pStyle w:val="Tabletext"/>
              <w:keepNext/>
              <w:jc w:val="center"/>
            </w:pPr>
            <w:r w:rsidRPr="000A6E90">
              <w:t>pCR, MPR, EFS, TTDM, OS, AEs.</w:t>
            </w:r>
          </w:p>
        </w:tc>
        <w:tc>
          <w:tcPr>
            <w:tcW w:w="934" w:type="pct"/>
            <w:shd w:val="clear" w:color="auto" w:fill="auto"/>
            <w:vAlign w:val="center"/>
          </w:tcPr>
          <w:p w14:paraId="1AEF24B4" w14:textId="012C5FA1" w:rsidR="00B60DEC" w:rsidRPr="000A6E90" w:rsidRDefault="00B60DEC" w:rsidP="00B60DEC">
            <w:pPr>
              <w:pStyle w:val="Tabletext"/>
              <w:keepNext/>
              <w:jc w:val="center"/>
              <w:rPr>
                <w:vertAlign w:val="superscript"/>
              </w:rPr>
            </w:pPr>
            <w:r w:rsidRPr="000A6E90">
              <w:t>TTLR</w:t>
            </w:r>
            <w:r w:rsidRPr="000A6E90">
              <w:rPr>
                <w:vertAlign w:val="superscript"/>
              </w:rPr>
              <w:t>a</w:t>
            </w:r>
          </w:p>
          <w:p w14:paraId="635FC1B0" w14:textId="77777777" w:rsidR="00B60DEC" w:rsidRPr="000A6E90" w:rsidRDefault="00B60DEC" w:rsidP="00B60DEC">
            <w:pPr>
              <w:pStyle w:val="Tabletext"/>
              <w:keepNext/>
              <w:jc w:val="center"/>
            </w:pPr>
            <w:r w:rsidRPr="000A6E90">
              <w:t>Time to any progression</w:t>
            </w:r>
            <w:r w:rsidRPr="000A6E90">
              <w:rPr>
                <w:vertAlign w:val="superscript"/>
              </w:rPr>
              <w:t>a</w:t>
            </w:r>
            <w:r w:rsidRPr="000A6E90">
              <w:t>,</w:t>
            </w:r>
          </w:p>
          <w:p w14:paraId="59F44595" w14:textId="77777777" w:rsidR="00B60DEC" w:rsidRPr="000A6E90" w:rsidRDefault="00B60DEC" w:rsidP="00B60DEC">
            <w:pPr>
              <w:pStyle w:val="Tabletext"/>
              <w:keepNext/>
              <w:jc w:val="center"/>
            </w:pPr>
            <w:r w:rsidRPr="000A6E90">
              <w:t>Survival in event-free patients</w:t>
            </w:r>
            <w:r w:rsidRPr="000A6E90">
              <w:rPr>
                <w:vertAlign w:val="superscript"/>
              </w:rPr>
              <w:t>a</w:t>
            </w:r>
            <w:r w:rsidRPr="000A6E90">
              <w:t xml:space="preserve"> </w:t>
            </w:r>
          </w:p>
          <w:p w14:paraId="4BAC432C" w14:textId="213DC67C" w:rsidR="00B60DEC" w:rsidRPr="000A6E90" w:rsidRDefault="00B60DEC" w:rsidP="00B60DEC">
            <w:pPr>
              <w:pStyle w:val="Tabletext"/>
              <w:keepNext/>
              <w:jc w:val="center"/>
            </w:pPr>
            <w:r w:rsidRPr="000A6E90">
              <w:t>Post-LR survival</w:t>
            </w:r>
            <w:r w:rsidRPr="000A6E90">
              <w:rPr>
                <w:vertAlign w:val="superscript"/>
              </w:rPr>
              <w:t>a</w:t>
            </w:r>
          </w:p>
        </w:tc>
      </w:tr>
      <w:tr w:rsidR="00E40005" w:rsidRPr="000A6E90" w14:paraId="23550582" w14:textId="77777777" w:rsidTr="00E40005">
        <w:tc>
          <w:tcPr>
            <w:tcW w:w="529" w:type="pct"/>
            <w:shd w:val="clear" w:color="auto" w:fill="auto"/>
            <w:vAlign w:val="center"/>
          </w:tcPr>
          <w:p w14:paraId="610E30AC" w14:textId="77777777" w:rsidR="00B60DEC" w:rsidRPr="000A6E90" w:rsidRDefault="00B60DEC" w:rsidP="00B60DEC">
            <w:pPr>
              <w:pStyle w:val="Tabletext"/>
              <w:keepNext/>
            </w:pPr>
            <w:r w:rsidRPr="000A6E90">
              <w:t>NATCH</w:t>
            </w:r>
          </w:p>
        </w:tc>
        <w:tc>
          <w:tcPr>
            <w:tcW w:w="281" w:type="pct"/>
            <w:shd w:val="clear" w:color="auto" w:fill="auto"/>
            <w:vAlign w:val="center"/>
          </w:tcPr>
          <w:p w14:paraId="786E19B0" w14:textId="77777777" w:rsidR="00B60DEC" w:rsidRPr="000A6E90" w:rsidRDefault="00B60DEC" w:rsidP="00B60DEC">
            <w:pPr>
              <w:pStyle w:val="Tabletext"/>
              <w:keepNext/>
              <w:jc w:val="center"/>
            </w:pPr>
            <w:r w:rsidRPr="000A6E90">
              <w:t>624</w:t>
            </w:r>
          </w:p>
        </w:tc>
        <w:tc>
          <w:tcPr>
            <w:tcW w:w="899" w:type="pct"/>
            <w:shd w:val="clear" w:color="auto" w:fill="auto"/>
            <w:vAlign w:val="center"/>
          </w:tcPr>
          <w:p w14:paraId="32DC61A9" w14:textId="08CA2900" w:rsidR="00B60DEC" w:rsidRPr="000A6E90" w:rsidRDefault="00B60DEC" w:rsidP="00B60DEC">
            <w:pPr>
              <w:pStyle w:val="Tabletext"/>
              <w:keepNext/>
              <w:jc w:val="center"/>
            </w:pPr>
            <w:r w:rsidRPr="000A6E90">
              <w:t>R, 3-arm: neoChemo (3 cycles)+surgery, surgery alone, Surgery+adjChemo (3 cycles).</w:t>
            </w:r>
          </w:p>
        </w:tc>
        <w:tc>
          <w:tcPr>
            <w:tcW w:w="545" w:type="pct"/>
            <w:shd w:val="clear" w:color="auto" w:fill="auto"/>
            <w:vAlign w:val="center"/>
          </w:tcPr>
          <w:p w14:paraId="4B9B5973" w14:textId="77777777" w:rsidR="00B60DEC" w:rsidRPr="000A6E90" w:rsidRDefault="00B60DEC" w:rsidP="00B60DEC">
            <w:pPr>
              <w:pStyle w:val="Tabletext"/>
              <w:keepNext/>
              <w:jc w:val="center"/>
              <w:rPr>
                <w:iCs/>
              </w:rPr>
            </w:pPr>
            <w:r w:rsidRPr="000A6E90">
              <w:rPr>
                <w:iCs/>
              </w:rPr>
              <w:t>Indirect comparison with CM816: High</w:t>
            </w:r>
          </w:p>
        </w:tc>
        <w:tc>
          <w:tcPr>
            <w:tcW w:w="936" w:type="pct"/>
            <w:shd w:val="clear" w:color="auto" w:fill="auto"/>
            <w:vAlign w:val="center"/>
          </w:tcPr>
          <w:p w14:paraId="21C36E71" w14:textId="77777777" w:rsidR="00B60DEC" w:rsidRPr="000A6E90" w:rsidRDefault="00B60DEC" w:rsidP="00B60DEC">
            <w:pPr>
              <w:pStyle w:val="Tabletext"/>
              <w:keepNext/>
              <w:jc w:val="center"/>
            </w:pPr>
            <w:r w:rsidRPr="000A6E90">
              <w:t>ITT: Clinical stage IA, tumour size &gt; 2 cm, IB, II, or T3N1 NSCLC (AJCC 6</w:t>
            </w:r>
            <w:r w:rsidRPr="000A6E90">
              <w:rPr>
                <w:vertAlign w:val="superscript"/>
              </w:rPr>
              <w:t>th</w:t>
            </w:r>
            <w:r w:rsidRPr="000A6E90">
              <w:t xml:space="preserve"> Edition).</w:t>
            </w:r>
          </w:p>
          <w:p w14:paraId="61709A79" w14:textId="77777777" w:rsidR="00B60DEC" w:rsidRPr="000A6E90" w:rsidRDefault="00B60DEC" w:rsidP="00B60DEC">
            <w:pPr>
              <w:pStyle w:val="Tabletext"/>
              <w:keepNext/>
              <w:jc w:val="center"/>
            </w:pPr>
            <w:r w:rsidRPr="000A6E90">
              <w:t>Stage 1: 73-78%</w:t>
            </w:r>
          </w:p>
          <w:p w14:paraId="37E3015A" w14:textId="77777777" w:rsidR="00B60DEC" w:rsidRPr="000A6E90" w:rsidRDefault="00B60DEC" w:rsidP="00B60DEC">
            <w:pPr>
              <w:pStyle w:val="Tabletext"/>
              <w:keepNext/>
              <w:jc w:val="center"/>
            </w:pPr>
            <w:r w:rsidRPr="000A6E90">
              <w:t>Stage II – T3N1: 22-27%</w:t>
            </w:r>
          </w:p>
        </w:tc>
        <w:tc>
          <w:tcPr>
            <w:tcW w:w="876" w:type="pct"/>
            <w:shd w:val="clear" w:color="auto" w:fill="auto"/>
            <w:vAlign w:val="center"/>
          </w:tcPr>
          <w:p w14:paraId="1AB7BB08" w14:textId="77777777" w:rsidR="00B60DEC" w:rsidRPr="000A6E90" w:rsidRDefault="00B60DEC" w:rsidP="00B60DEC">
            <w:pPr>
              <w:pStyle w:val="Tabletext"/>
              <w:keepNext/>
              <w:jc w:val="center"/>
            </w:pPr>
            <w:r w:rsidRPr="000A6E90">
              <w:t>DFS</w:t>
            </w:r>
          </w:p>
        </w:tc>
        <w:tc>
          <w:tcPr>
            <w:tcW w:w="934" w:type="pct"/>
            <w:shd w:val="clear" w:color="auto" w:fill="auto"/>
            <w:vAlign w:val="center"/>
          </w:tcPr>
          <w:p w14:paraId="158ED383" w14:textId="1169DB2E" w:rsidR="00B60DEC" w:rsidRPr="000A6E90" w:rsidRDefault="00B60DEC" w:rsidP="00B60DEC">
            <w:pPr>
              <w:pStyle w:val="Tabletext"/>
              <w:keepNext/>
              <w:jc w:val="center"/>
            </w:pPr>
            <w:r w:rsidRPr="000A6E90">
              <w:t xml:space="preserve">Indirect comparison not captured in economic analysis </w:t>
            </w:r>
          </w:p>
        </w:tc>
      </w:tr>
      <w:tr w:rsidR="00E40005" w:rsidRPr="000A6E90" w14:paraId="4A5F6954" w14:textId="77777777" w:rsidTr="00E40005">
        <w:tc>
          <w:tcPr>
            <w:tcW w:w="529" w:type="pct"/>
            <w:shd w:val="clear" w:color="auto" w:fill="auto"/>
            <w:vAlign w:val="center"/>
          </w:tcPr>
          <w:p w14:paraId="0FC1198E" w14:textId="77777777" w:rsidR="00B60DEC" w:rsidRPr="000A6E90" w:rsidRDefault="00B60DEC" w:rsidP="00B60DEC">
            <w:pPr>
              <w:pStyle w:val="Tabletext"/>
              <w:keepNext/>
            </w:pPr>
            <w:r w:rsidRPr="000A6E90">
              <w:t>IMpower010</w:t>
            </w:r>
          </w:p>
        </w:tc>
        <w:tc>
          <w:tcPr>
            <w:tcW w:w="281" w:type="pct"/>
            <w:shd w:val="clear" w:color="auto" w:fill="auto"/>
            <w:vAlign w:val="center"/>
          </w:tcPr>
          <w:p w14:paraId="7DFE2171" w14:textId="77777777" w:rsidR="00B60DEC" w:rsidRPr="000A6E90" w:rsidRDefault="00B60DEC" w:rsidP="00B60DEC">
            <w:pPr>
              <w:pStyle w:val="Tabletext"/>
              <w:keepNext/>
              <w:jc w:val="center"/>
              <w:rPr>
                <w:vertAlign w:val="superscript"/>
              </w:rPr>
            </w:pPr>
            <w:r w:rsidRPr="000A6E90">
              <w:t>1005</w:t>
            </w:r>
          </w:p>
        </w:tc>
        <w:tc>
          <w:tcPr>
            <w:tcW w:w="899" w:type="pct"/>
            <w:shd w:val="clear" w:color="auto" w:fill="auto"/>
            <w:vAlign w:val="center"/>
          </w:tcPr>
          <w:p w14:paraId="1955E97C" w14:textId="77777777" w:rsidR="00B60DEC" w:rsidRPr="000A6E90" w:rsidRDefault="00B60DEC" w:rsidP="00B60DEC">
            <w:pPr>
              <w:pStyle w:val="Tabletext"/>
              <w:keepNext/>
              <w:jc w:val="center"/>
            </w:pPr>
            <w:r w:rsidRPr="000A6E90">
              <w:t>ATEZO vs. BSC</w:t>
            </w:r>
          </w:p>
          <w:p w14:paraId="0FEAF039" w14:textId="77777777" w:rsidR="00B60DEC" w:rsidRPr="000A6E90" w:rsidRDefault="00B60DEC" w:rsidP="00B60DEC">
            <w:pPr>
              <w:pStyle w:val="Tabletext"/>
              <w:keepNext/>
              <w:jc w:val="center"/>
            </w:pPr>
            <w:r w:rsidRPr="000A6E90">
              <w:t>R, OL</w:t>
            </w:r>
          </w:p>
          <w:p w14:paraId="430E7AB2" w14:textId="77777777" w:rsidR="00B60DEC" w:rsidRPr="000A6E90" w:rsidRDefault="00B60DEC" w:rsidP="00B60DEC">
            <w:pPr>
              <w:pStyle w:val="Tabletext"/>
              <w:keepNext/>
              <w:jc w:val="center"/>
            </w:pPr>
            <w:r w:rsidRPr="000A6E90">
              <w:t>Median follow-up for OS ~32 months (January 2021 data cutoff)</w:t>
            </w:r>
          </w:p>
        </w:tc>
        <w:tc>
          <w:tcPr>
            <w:tcW w:w="545" w:type="pct"/>
            <w:shd w:val="clear" w:color="auto" w:fill="auto"/>
            <w:vAlign w:val="center"/>
          </w:tcPr>
          <w:p w14:paraId="1D85DD27" w14:textId="77777777" w:rsidR="00B60DEC" w:rsidRPr="000A6E90" w:rsidRDefault="00B60DEC" w:rsidP="00B60DEC">
            <w:pPr>
              <w:pStyle w:val="Tabletext"/>
              <w:keepNext/>
              <w:jc w:val="center"/>
              <w:rPr>
                <w:iCs/>
                <w:vertAlign w:val="superscript"/>
              </w:rPr>
            </w:pPr>
            <w:r w:rsidRPr="000A6E90">
              <w:rPr>
                <w:iCs/>
              </w:rPr>
              <w:t>Indirect comparison with CM816: High</w:t>
            </w:r>
          </w:p>
        </w:tc>
        <w:tc>
          <w:tcPr>
            <w:tcW w:w="936" w:type="pct"/>
            <w:shd w:val="clear" w:color="auto" w:fill="auto"/>
            <w:vAlign w:val="center"/>
          </w:tcPr>
          <w:p w14:paraId="3381D685" w14:textId="77777777" w:rsidR="00B60DEC" w:rsidRPr="000A6E90" w:rsidRDefault="00B60DEC" w:rsidP="00B60DEC">
            <w:pPr>
              <w:pStyle w:val="Tabletext"/>
              <w:keepNext/>
              <w:jc w:val="center"/>
            </w:pPr>
            <w:r w:rsidRPr="000A6E90">
              <w:t>ITT: Adjuvant setting</w:t>
            </w:r>
          </w:p>
          <w:p w14:paraId="170F6C62" w14:textId="10AC0238" w:rsidR="00B60DEC" w:rsidRPr="000A6E90" w:rsidRDefault="00B60DEC" w:rsidP="00B60DEC">
            <w:pPr>
              <w:pStyle w:val="Tabletext"/>
              <w:keepNext/>
              <w:jc w:val="center"/>
            </w:pPr>
            <w:r w:rsidRPr="000A6E90">
              <w:t>Completely resected and following adjChemo.</w:t>
            </w:r>
          </w:p>
          <w:p w14:paraId="45BDAAB1" w14:textId="77777777" w:rsidR="00B60DEC" w:rsidRPr="000A6E90" w:rsidRDefault="00B60DEC" w:rsidP="00B60DEC">
            <w:pPr>
              <w:pStyle w:val="Tabletext"/>
              <w:keepNext/>
              <w:jc w:val="center"/>
            </w:pPr>
          </w:p>
          <w:p w14:paraId="184A1FE5" w14:textId="77777777" w:rsidR="00B60DEC" w:rsidRPr="000A6E90" w:rsidRDefault="00B60DEC" w:rsidP="00B60DEC">
            <w:pPr>
              <w:pStyle w:val="Tabletext"/>
              <w:keepNext/>
              <w:jc w:val="center"/>
            </w:pPr>
            <w:r w:rsidRPr="000A6E90">
              <w:t>Pathological Stage IB-IIIA (AJCC 7th Edition)</w:t>
            </w:r>
          </w:p>
          <w:p w14:paraId="6EB654A1" w14:textId="77777777" w:rsidR="00B60DEC" w:rsidRPr="000A6E90" w:rsidRDefault="00B60DEC" w:rsidP="00B60DEC">
            <w:pPr>
              <w:pStyle w:val="Tabletext"/>
              <w:keepNext/>
              <w:jc w:val="center"/>
            </w:pPr>
            <w:r w:rsidRPr="000A6E90">
              <w:t>Stage 1B: 13%</w:t>
            </w:r>
          </w:p>
          <w:p w14:paraId="63D9866B" w14:textId="77777777" w:rsidR="00B60DEC" w:rsidRPr="000A6E90" w:rsidRDefault="00B60DEC" w:rsidP="00B60DEC">
            <w:pPr>
              <w:pStyle w:val="Tabletext"/>
              <w:keepNext/>
              <w:jc w:val="center"/>
            </w:pPr>
            <w:r w:rsidRPr="000A6E90">
              <w:t>Stage II: 47%</w:t>
            </w:r>
          </w:p>
          <w:p w14:paraId="2B06A04C" w14:textId="77777777" w:rsidR="00B60DEC" w:rsidRPr="000A6E90" w:rsidRDefault="00B60DEC" w:rsidP="00B60DEC">
            <w:pPr>
              <w:pStyle w:val="Tabletext"/>
              <w:keepNext/>
              <w:jc w:val="center"/>
              <w:rPr>
                <w:vertAlign w:val="superscript"/>
              </w:rPr>
            </w:pPr>
            <w:r w:rsidRPr="000A6E90">
              <w:t>Stage IIIA: 40%</w:t>
            </w:r>
          </w:p>
        </w:tc>
        <w:tc>
          <w:tcPr>
            <w:tcW w:w="876" w:type="pct"/>
            <w:shd w:val="clear" w:color="auto" w:fill="auto"/>
            <w:vAlign w:val="center"/>
          </w:tcPr>
          <w:p w14:paraId="38404CE4" w14:textId="77777777" w:rsidR="00B60DEC" w:rsidRPr="000A6E90" w:rsidRDefault="00B60DEC" w:rsidP="00B60DEC">
            <w:pPr>
              <w:pStyle w:val="Tabletext"/>
              <w:keepNext/>
              <w:jc w:val="center"/>
            </w:pPr>
            <w:r w:rsidRPr="000A6E90">
              <w:t>DFS, OS, Safety</w:t>
            </w:r>
          </w:p>
        </w:tc>
        <w:tc>
          <w:tcPr>
            <w:tcW w:w="934" w:type="pct"/>
            <w:shd w:val="clear" w:color="auto" w:fill="auto"/>
            <w:vAlign w:val="center"/>
          </w:tcPr>
          <w:p w14:paraId="15D29308" w14:textId="250A3E6B" w:rsidR="00B60DEC" w:rsidRPr="000A6E90" w:rsidRDefault="00B60DEC" w:rsidP="00B60DEC">
            <w:pPr>
              <w:pStyle w:val="Tabletext"/>
              <w:keepNext/>
              <w:jc w:val="center"/>
            </w:pPr>
            <w:r w:rsidRPr="000A6E90">
              <w:t>Indirect comparison not captured in economic analysis</w:t>
            </w:r>
          </w:p>
        </w:tc>
      </w:tr>
    </w:tbl>
    <w:p w14:paraId="4958AA09" w14:textId="77777777" w:rsidR="003701E9" w:rsidRDefault="003701E9" w:rsidP="002B1523">
      <w:pPr>
        <w:pStyle w:val="TableFigureFooter"/>
      </w:pPr>
      <w:r>
        <w:t>Source: Sections 2.3 and 2.4 of the submission, the CM816 Clinical Study Report, and corresponding publications for NATCH (Felip 2010) and IMpower010 (Felip 2021).</w:t>
      </w:r>
    </w:p>
    <w:p w14:paraId="697FF209" w14:textId="5690AC22" w:rsidR="002B1523" w:rsidRPr="003701E9" w:rsidRDefault="002B1523" w:rsidP="002B1523">
      <w:pPr>
        <w:pStyle w:val="TableFigureFooter"/>
      </w:pPr>
      <w:r w:rsidRPr="003701E9">
        <w:t xml:space="preserve">Adj=adjuvant; </w:t>
      </w:r>
      <w:r w:rsidR="002F37BD">
        <w:t xml:space="preserve">AEs=adverse events; </w:t>
      </w:r>
      <w:r w:rsidR="00A339CD">
        <w:t>AJCC=</w:t>
      </w:r>
      <w:r w:rsidR="00A339CD" w:rsidRPr="00A339CD">
        <w:t>American Joint Committee on Cancer</w:t>
      </w:r>
      <w:r w:rsidR="00A339CD">
        <w:t xml:space="preserve">; </w:t>
      </w:r>
      <w:r w:rsidRPr="003701E9">
        <w:t xml:space="preserve">ATEZO=atezolizumab; BSC=best supportive care; chemo=chemotherapy; DB=double blind; </w:t>
      </w:r>
      <w:r w:rsidR="00EA0AAF">
        <w:t xml:space="preserve">DFS=disease free survival; EFS=event free survival; </w:t>
      </w:r>
      <w:r w:rsidRPr="003701E9">
        <w:t xml:space="preserve">IC=immune cell; ITT=intention to treat; </w:t>
      </w:r>
      <w:r w:rsidR="00E40005">
        <w:t xml:space="preserve">LR = locoregional recurrence; </w:t>
      </w:r>
      <w:r w:rsidRPr="003701E9">
        <w:t xml:space="preserve">MC=multi-centre; </w:t>
      </w:r>
      <w:r w:rsidR="00EE61A9">
        <w:t xml:space="preserve">MPR=major pathological response; </w:t>
      </w:r>
      <w:r w:rsidR="000039B4">
        <w:t>neo</w:t>
      </w:r>
      <w:r w:rsidRPr="003701E9">
        <w:t xml:space="preserve">=neoadjuvant; </w:t>
      </w:r>
      <w:r w:rsidR="00AA41F1" w:rsidRPr="003701E9">
        <w:t xml:space="preserve">NSCLC=non-small cell lung cancer; </w:t>
      </w:r>
      <w:r w:rsidRPr="003701E9">
        <w:t xml:space="preserve">OL=open label; OS=overall survival; </w:t>
      </w:r>
      <w:r w:rsidR="00EE61A9">
        <w:t xml:space="preserve">pCR=pathological complete response; </w:t>
      </w:r>
      <w:r w:rsidR="003701E9" w:rsidRPr="003701E9">
        <w:t xml:space="preserve">PD-L1=programmed cell death Ligand 1; </w:t>
      </w:r>
      <w:r w:rsidR="005E34B3" w:rsidRPr="003701E9">
        <w:t>R=randomisation</w:t>
      </w:r>
      <w:r w:rsidR="005E34B3">
        <w:t>;</w:t>
      </w:r>
      <w:r w:rsidR="005E34B3" w:rsidRPr="003701E9">
        <w:t xml:space="preserve"> </w:t>
      </w:r>
      <w:r w:rsidR="00881644" w:rsidRPr="003701E9">
        <w:t>TC = tumour cell</w:t>
      </w:r>
      <w:r w:rsidR="00733C19">
        <w:t>; TTLR=time to locoregional recurrence</w:t>
      </w:r>
      <w:r w:rsidR="00E40005">
        <w:t>; TTMD=time to metastatic disease</w:t>
      </w:r>
    </w:p>
    <w:p w14:paraId="6C752A25" w14:textId="73F26E5E" w:rsidR="00881644" w:rsidRDefault="00674552" w:rsidP="002B1523">
      <w:pPr>
        <w:pStyle w:val="TableFigureFooter"/>
      </w:pPr>
      <w:r>
        <w:t xml:space="preserve">Note: </w:t>
      </w:r>
      <w:r w:rsidR="00881644" w:rsidRPr="003701E9">
        <w:t>CM816 - Stratified by PD-L1 expression status (&lt;</w:t>
      </w:r>
      <w:r>
        <w:t xml:space="preserve"> </w:t>
      </w:r>
      <w:r w:rsidR="00881644" w:rsidRPr="003701E9">
        <w:t xml:space="preserve">1% vs ≥ 1% or not evaluable), disease stage (IB/II vs IIIA), and gender. </w:t>
      </w:r>
      <w:r w:rsidR="002B1523" w:rsidRPr="003701E9">
        <w:t xml:space="preserve">NATCH </w:t>
      </w:r>
      <w:r>
        <w:t>-</w:t>
      </w:r>
      <w:r w:rsidR="002B1523" w:rsidRPr="003701E9">
        <w:t xml:space="preserve"> Stratified by tumour size (&lt;</w:t>
      </w:r>
      <w:r>
        <w:t xml:space="preserve"> </w:t>
      </w:r>
      <w:r w:rsidR="002B1523" w:rsidRPr="003701E9">
        <w:t xml:space="preserve">3 </w:t>
      </w:r>
      <w:r w:rsidR="002B1523" w:rsidRPr="00674552">
        <w:t>v</w:t>
      </w:r>
      <w:r w:rsidRPr="00674552">
        <w:t>s.</w:t>
      </w:r>
      <w:r w:rsidR="002B1523" w:rsidRPr="000A6E90">
        <w:rPr>
          <w:iCs/>
        </w:rPr>
        <w:t xml:space="preserve"> </w:t>
      </w:r>
      <w:r w:rsidR="002B1523" w:rsidRPr="003701E9">
        <w:t xml:space="preserve">3 to 5 </w:t>
      </w:r>
      <w:r w:rsidR="002B1523" w:rsidRPr="00674552">
        <w:t xml:space="preserve">vs. </w:t>
      </w:r>
      <w:r w:rsidR="002B1523" w:rsidRPr="000A6E90">
        <w:rPr>
          <w:iCs/>
        </w:rPr>
        <w:t xml:space="preserve">&gt; </w:t>
      </w:r>
      <w:r w:rsidR="002B1523" w:rsidRPr="003701E9">
        <w:t>5 cm) and age (≤</w:t>
      </w:r>
      <w:r>
        <w:t xml:space="preserve"> </w:t>
      </w:r>
      <w:r w:rsidR="002B1523" w:rsidRPr="003701E9">
        <w:t xml:space="preserve">60 years </w:t>
      </w:r>
      <w:r w:rsidR="002B1523" w:rsidRPr="00674552">
        <w:t>vs.</w:t>
      </w:r>
      <w:r w:rsidR="002B1523" w:rsidRPr="000A6E90">
        <w:rPr>
          <w:iCs/>
        </w:rPr>
        <w:t xml:space="preserve"> </w:t>
      </w:r>
      <w:r w:rsidR="002B1523" w:rsidRPr="003701E9">
        <w:t xml:space="preserve">60 years). </w:t>
      </w:r>
      <w:r w:rsidR="00881644" w:rsidRPr="003701E9">
        <w:t>IMpower010</w:t>
      </w:r>
      <w:r w:rsidR="002B1523" w:rsidRPr="003701E9">
        <w:t xml:space="preserve"> - </w:t>
      </w:r>
      <w:r w:rsidR="00881644" w:rsidRPr="003701E9">
        <w:t xml:space="preserve">Stratified by </w:t>
      </w:r>
      <w:r>
        <w:t>g</w:t>
      </w:r>
      <w:r w:rsidR="00881644" w:rsidRPr="003701E9">
        <w:t xml:space="preserve">ender, </w:t>
      </w:r>
      <w:r>
        <w:t>t</w:t>
      </w:r>
      <w:r w:rsidR="00881644" w:rsidRPr="003701E9">
        <w:t xml:space="preserve">umour histology (squamous vs. non-squamous), </w:t>
      </w:r>
      <w:r>
        <w:t>e</w:t>
      </w:r>
      <w:r w:rsidR="00881644" w:rsidRPr="003701E9">
        <w:t>xtent of disease (stage IB vs. stage II vs. stage IIIA), and PD-L1 tumour expression status (TC2/3 and any IC vs. TC0/1 and IC2/3 vs. TC0/1 and IC0/1).</w:t>
      </w:r>
      <w:r w:rsidR="00881644">
        <w:t xml:space="preserve"> </w:t>
      </w:r>
    </w:p>
    <w:p w14:paraId="63F6BFFB" w14:textId="07375879" w:rsidR="00C722CA" w:rsidRPr="00C722CA" w:rsidRDefault="00C722CA" w:rsidP="002B1523">
      <w:pPr>
        <w:pStyle w:val="TableFigureFooter"/>
      </w:pPr>
      <w:r w:rsidRPr="007A6D81">
        <w:rPr>
          <w:vertAlign w:val="superscript"/>
        </w:rPr>
        <w:t>a</w:t>
      </w:r>
      <w:r w:rsidR="00733C19">
        <w:rPr>
          <w:vertAlign w:val="superscript"/>
        </w:rPr>
        <w:t xml:space="preserve"> </w:t>
      </w:r>
      <w:r w:rsidR="00733C19">
        <w:t>The economic model used trial data on TTLR</w:t>
      </w:r>
      <w:r>
        <w:t xml:space="preserve">, </w:t>
      </w:r>
      <w:r w:rsidR="00733C19">
        <w:t>time to any disease progression, survival in event-free patients and post-LR survival</w:t>
      </w:r>
      <w:r>
        <w:t xml:space="preserve">. </w:t>
      </w:r>
      <w:r w:rsidR="00733C19">
        <w:t>T</w:t>
      </w:r>
      <w:r w:rsidR="00733C19" w:rsidRPr="00733C19">
        <w:t>he</w:t>
      </w:r>
      <w:r w:rsidR="00E40005">
        <w:t>se</w:t>
      </w:r>
      <w:r w:rsidR="00733C19" w:rsidRPr="00733C19">
        <w:t xml:space="preserve"> were</w:t>
      </w:r>
      <w:r w:rsidR="00733C19">
        <w:t xml:space="preserve"> not</w:t>
      </w:r>
      <w:r w:rsidR="00733C19" w:rsidRPr="00733C19">
        <w:t xml:space="preserve"> outcomes pre-specified</w:t>
      </w:r>
      <w:r w:rsidR="00733C19">
        <w:t xml:space="preserve"> in the CM816 study protocol.</w:t>
      </w:r>
    </w:p>
    <w:p w14:paraId="65DEB657" w14:textId="50F2718C" w:rsidR="00620C25" w:rsidRDefault="00EB14FD" w:rsidP="00EB14FD">
      <w:pPr>
        <w:pStyle w:val="3-BodyText"/>
      </w:pPr>
      <w:r w:rsidRPr="000A6E90">
        <w:t>The risk of bias was considered low for the direct comparison in the CM816 trial and high for the indirect comparisons between the CM816, NATCH, and IMpower010 trials</w:t>
      </w:r>
      <w:r>
        <w:t>.</w:t>
      </w:r>
    </w:p>
    <w:p w14:paraId="7F27306D" w14:textId="77777777" w:rsidR="00B60939" w:rsidRPr="00EA0AAF" w:rsidRDefault="00B60939" w:rsidP="0075396F">
      <w:pPr>
        <w:pStyle w:val="4-SubsectionHeading"/>
      </w:pPr>
      <w:bookmarkStart w:id="30" w:name="_Toc22897641"/>
      <w:bookmarkStart w:id="31" w:name="_Toc124932955"/>
      <w:r w:rsidRPr="00EA0AAF">
        <w:t>Comparative effectiveness</w:t>
      </w:r>
      <w:bookmarkEnd w:id="30"/>
      <w:bookmarkEnd w:id="31"/>
    </w:p>
    <w:p w14:paraId="1D79B8C4" w14:textId="77777777" w:rsidR="00EA0AAF" w:rsidRDefault="00EA0AAF" w:rsidP="0075396F">
      <w:pPr>
        <w:pStyle w:val="3-BodyText"/>
        <w:keepNext/>
      </w:pPr>
      <w:r>
        <w:t>In the CM816 trial, effectiveness</w:t>
      </w:r>
      <w:r w:rsidRPr="00EA0AAF">
        <w:t xml:space="preserve"> data were </w:t>
      </w:r>
      <w:r>
        <w:t>based on two data cutoff dates:</w:t>
      </w:r>
    </w:p>
    <w:p w14:paraId="61B1F1B8" w14:textId="77777777" w:rsidR="00EA0AAF" w:rsidRDefault="00EA0AAF" w:rsidP="005131AC">
      <w:pPr>
        <w:pStyle w:val="Bulletpoints"/>
      </w:pPr>
      <w:r w:rsidRPr="00EA0AAF">
        <w:t xml:space="preserve">Final analysis of co-primary endpoint of </w:t>
      </w:r>
      <w:r w:rsidR="00F8716B">
        <w:t>pathological complete response (</w:t>
      </w:r>
      <w:r w:rsidRPr="00EA0AAF">
        <w:t>pCR</w:t>
      </w:r>
      <w:r w:rsidR="00F8716B">
        <w:t>) rate</w:t>
      </w:r>
      <w:r w:rsidR="00F8716B">
        <w:rPr>
          <w:rStyle w:val="FootnoteReference"/>
        </w:rPr>
        <w:footnoteReference w:id="13"/>
      </w:r>
      <w:r w:rsidRPr="00EA0AAF">
        <w:t xml:space="preserve">: </w:t>
      </w:r>
      <w:r>
        <w:t>data cutoff</w:t>
      </w:r>
      <w:r w:rsidRPr="00EA0AAF">
        <w:t xml:space="preserve"> 16 September 2020; and</w:t>
      </w:r>
    </w:p>
    <w:p w14:paraId="02931ABB" w14:textId="371D8832" w:rsidR="00EA0AAF" w:rsidRPr="00EA0AAF" w:rsidRDefault="00EA0AAF" w:rsidP="005131AC">
      <w:pPr>
        <w:pStyle w:val="Bulletpoints"/>
      </w:pPr>
      <w:r w:rsidRPr="00EA0AAF">
        <w:t>Interim analysis 1 of EFS</w:t>
      </w:r>
      <w:r w:rsidR="00F8716B">
        <w:rPr>
          <w:rStyle w:val="FootnoteReference"/>
        </w:rPr>
        <w:footnoteReference w:id="14"/>
      </w:r>
      <w:r w:rsidRPr="00EA0AAF">
        <w:t xml:space="preserve"> and OS: </w:t>
      </w:r>
      <w:r>
        <w:t xml:space="preserve">data </w:t>
      </w:r>
      <w:r w:rsidRPr="00EA0AAF">
        <w:t>cutoff 20 October 2021.</w:t>
      </w:r>
    </w:p>
    <w:p w14:paraId="60752736" w14:textId="5D521D88" w:rsidR="00F8716B" w:rsidRDefault="00F8716B" w:rsidP="00EC5836">
      <w:pPr>
        <w:pStyle w:val="3-BodyText"/>
      </w:pPr>
      <w:r>
        <w:t xml:space="preserve">The submission noted that no claim was being made on the basis of pCR as a surrogate for </w:t>
      </w:r>
      <w:r w:rsidR="00E70026">
        <w:t>overall survival (</w:t>
      </w:r>
      <w:r>
        <w:t>OS</w:t>
      </w:r>
      <w:r w:rsidR="00E70026">
        <w:t>)</w:t>
      </w:r>
      <w:r>
        <w:t xml:space="preserve"> as follow-up for OS in CM816 is ongoing.</w:t>
      </w:r>
    </w:p>
    <w:p w14:paraId="096E3411" w14:textId="7E983A08" w:rsidR="00EA0AAF" w:rsidRDefault="00EA0AAF" w:rsidP="00EC5836">
      <w:pPr>
        <w:pStyle w:val="3-BodyText"/>
      </w:pPr>
      <w:r>
        <w:t xml:space="preserve">The EFS results are summarised in </w:t>
      </w:r>
      <w:r w:rsidR="00623A41">
        <w:fldChar w:fldCharType="begin"/>
      </w:r>
      <w:r w:rsidR="00623A41">
        <w:instrText xml:space="preserve"> REF _Ref121043646 \h </w:instrText>
      </w:r>
      <w:r w:rsidR="00623A41">
        <w:fldChar w:fldCharType="separate"/>
      </w:r>
      <w:r w:rsidR="00A77D90">
        <w:t xml:space="preserve">Table </w:t>
      </w:r>
      <w:r w:rsidR="00A77D90">
        <w:rPr>
          <w:noProof/>
        </w:rPr>
        <w:t>6</w:t>
      </w:r>
      <w:r w:rsidR="00623A41">
        <w:fldChar w:fldCharType="end"/>
      </w:r>
      <w:r w:rsidR="00623A41">
        <w:t xml:space="preserve">. </w:t>
      </w:r>
      <w:r w:rsidR="00623A41" w:rsidRPr="00623A41">
        <w:t>The EFS Kaplan-Meier (KM) curves are presented in</w:t>
      </w:r>
      <w:r w:rsidR="009C1BF4">
        <w:t xml:space="preserve"> </w:t>
      </w:r>
      <w:r w:rsidR="00A12F34">
        <w:fldChar w:fldCharType="begin"/>
      </w:r>
      <w:r w:rsidR="00A12F34">
        <w:instrText xml:space="preserve"> REF _Ref121721437 \h </w:instrText>
      </w:r>
      <w:r w:rsidR="00A12F34">
        <w:fldChar w:fldCharType="separate"/>
      </w:r>
      <w:r w:rsidR="00A77D90">
        <w:t xml:space="preserve">Figure </w:t>
      </w:r>
      <w:r w:rsidR="00A77D90">
        <w:rPr>
          <w:noProof/>
        </w:rPr>
        <w:t>1</w:t>
      </w:r>
      <w:r w:rsidR="00A12F34">
        <w:fldChar w:fldCharType="end"/>
      </w:r>
      <w:r w:rsidR="009C1BF4">
        <w:t>.</w:t>
      </w:r>
    </w:p>
    <w:p w14:paraId="63D01470" w14:textId="16943ACA" w:rsidR="00EA0AAF" w:rsidRPr="00C66B1B" w:rsidRDefault="00623A41" w:rsidP="00623A41">
      <w:pPr>
        <w:pStyle w:val="Caption"/>
      </w:pPr>
      <w:bookmarkStart w:id="32" w:name="_Ref121043646"/>
      <w:r>
        <w:t xml:space="preserve">Table </w:t>
      </w:r>
      <w:r w:rsidR="00A77D90">
        <w:fldChar w:fldCharType="begin"/>
      </w:r>
      <w:r w:rsidR="00A77D90">
        <w:instrText xml:space="preserve"> SEQ Table \* ARABIC </w:instrText>
      </w:r>
      <w:r w:rsidR="00A77D90">
        <w:fldChar w:fldCharType="separate"/>
      </w:r>
      <w:r w:rsidR="00A77D90">
        <w:rPr>
          <w:noProof/>
        </w:rPr>
        <w:t>6</w:t>
      </w:r>
      <w:r w:rsidR="00A77D90">
        <w:rPr>
          <w:noProof/>
        </w:rPr>
        <w:fldChar w:fldCharType="end"/>
      </w:r>
      <w:bookmarkEnd w:id="32"/>
      <w:r>
        <w:t xml:space="preserve">: </w:t>
      </w:r>
      <w:r w:rsidR="00EA0AAF" w:rsidRPr="00C66B1B">
        <w:t xml:space="preserve">Duration of </w:t>
      </w:r>
      <w:r w:rsidR="00EA0AAF">
        <w:t xml:space="preserve">event-free </w:t>
      </w:r>
      <w:r w:rsidR="00EA0AAF" w:rsidRPr="00C66B1B">
        <w:t>survival</w:t>
      </w:r>
      <w:r w:rsidR="00EA0AAF">
        <w:t xml:space="preserve"> - </w:t>
      </w:r>
      <w:r w:rsidR="00EA0AAF" w:rsidRPr="00C66B1B">
        <w:t>CM</w:t>
      </w:r>
      <w:r w:rsidR="00EA0AAF">
        <w:t>816</w:t>
      </w:r>
      <w:r w:rsidR="00EA0AAF" w:rsidRPr="00C66B1B">
        <w:t>: BICR</w:t>
      </w:r>
    </w:p>
    <w:tbl>
      <w:tblPr>
        <w:tblStyle w:val="ASDTable2"/>
        <w:tblW w:w="5000" w:type="pct"/>
        <w:tblLayout w:type="fixed"/>
        <w:tblLook w:val="04A0" w:firstRow="1" w:lastRow="0" w:firstColumn="1" w:lastColumn="0" w:noHBand="0" w:noVBand="1"/>
      </w:tblPr>
      <w:tblGrid>
        <w:gridCol w:w="1855"/>
        <w:gridCol w:w="1968"/>
        <w:gridCol w:w="1562"/>
        <w:gridCol w:w="1419"/>
        <w:gridCol w:w="2213"/>
      </w:tblGrid>
      <w:tr w:rsidR="00EA0AAF" w:rsidRPr="008F3528" w14:paraId="1E6ADF7F" w14:textId="77777777" w:rsidTr="00FE5DCE">
        <w:trPr>
          <w:trHeight w:val="697"/>
        </w:trPr>
        <w:tc>
          <w:tcPr>
            <w:tcW w:w="1029" w:type="pct"/>
          </w:tcPr>
          <w:p w14:paraId="40AD0998" w14:textId="77777777" w:rsidR="00EA0AAF" w:rsidRPr="008F3528" w:rsidRDefault="00EA0AAF" w:rsidP="00FE5DCE">
            <w:pPr>
              <w:pStyle w:val="Tabletext"/>
            </w:pPr>
          </w:p>
        </w:tc>
        <w:tc>
          <w:tcPr>
            <w:tcW w:w="1091" w:type="pct"/>
          </w:tcPr>
          <w:p w14:paraId="4955DE31" w14:textId="65726DE5" w:rsidR="00EA0AAF" w:rsidRPr="008F3528" w:rsidRDefault="000039B4" w:rsidP="00FE5DCE">
            <w:pPr>
              <w:pStyle w:val="Tabletext"/>
              <w:rPr>
                <w:b/>
              </w:rPr>
            </w:pPr>
            <w:r>
              <w:rPr>
                <w:b/>
              </w:rPr>
              <w:t>neoNIVO</w:t>
            </w:r>
            <w:r w:rsidR="00EA0AAF" w:rsidRPr="008F3528">
              <w:rPr>
                <w:b/>
              </w:rPr>
              <w:t>+</w:t>
            </w:r>
            <w:r>
              <w:rPr>
                <w:b/>
              </w:rPr>
              <w:t>neoChemo</w:t>
            </w:r>
          </w:p>
        </w:tc>
        <w:tc>
          <w:tcPr>
            <w:tcW w:w="866" w:type="pct"/>
          </w:tcPr>
          <w:p w14:paraId="7E39CCB2" w14:textId="5D7B5A18" w:rsidR="00EA0AAF" w:rsidRPr="008F3528" w:rsidRDefault="000039B4" w:rsidP="00FE5DCE">
            <w:pPr>
              <w:pStyle w:val="Tabletext"/>
              <w:rPr>
                <w:b/>
              </w:rPr>
            </w:pPr>
            <w:r>
              <w:rPr>
                <w:b/>
              </w:rPr>
              <w:t>neoChemo</w:t>
            </w:r>
          </w:p>
        </w:tc>
        <w:tc>
          <w:tcPr>
            <w:tcW w:w="787" w:type="pct"/>
          </w:tcPr>
          <w:p w14:paraId="0A6ED323" w14:textId="77777777" w:rsidR="00EA0AAF" w:rsidRPr="008F3528" w:rsidRDefault="00EA0AAF" w:rsidP="00FE5DCE">
            <w:pPr>
              <w:pStyle w:val="Tabletext"/>
              <w:rPr>
                <w:b/>
              </w:rPr>
            </w:pPr>
            <w:r w:rsidRPr="008F3528">
              <w:rPr>
                <w:b/>
              </w:rPr>
              <w:t>Difference</w:t>
            </w:r>
          </w:p>
          <w:p w14:paraId="58A68C9A" w14:textId="77777777" w:rsidR="00EA0AAF" w:rsidRPr="008F3528" w:rsidRDefault="00EA0AAF" w:rsidP="00FE5DCE">
            <w:pPr>
              <w:pStyle w:val="Tabletext"/>
              <w:rPr>
                <w:b/>
              </w:rPr>
            </w:pPr>
          </w:p>
        </w:tc>
        <w:tc>
          <w:tcPr>
            <w:tcW w:w="1227" w:type="pct"/>
          </w:tcPr>
          <w:p w14:paraId="086CD434" w14:textId="6FF197EE" w:rsidR="00EA0AAF" w:rsidRPr="008F3528" w:rsidRDefault="00EA0AAF" w:rsidP="00FE5DCE">
            <w:pPr>
              <w:pStyle w:val="Tabletext"/>
              <w:rPr>
                <w:b/>
              </w:rPr>
            </w:pPr>
            <w:r w:rsidRPr="008F3528">
              <w:rPr>
                <w:b/>
              </w:rPr>
              <w:t xml:space="preserve">HR </w:t>
            </w:r>
            <w:r w:rsidR="000039B4">
              <w:rPr>
                <w:b/>
              </w:rPr>
              <w:t>neoNIVO</w:t>
            </w:r>
            <w:r w:rsidRPr="008F3528">
              <w:rPr>
                <w:b/>
              </w:rPr>
              <w:t>+</w:t>
            </w:r>
            <w:r w:rsidR="000039B4">
              <w:rPr>
                <w:b/>
              </w:rPr>
              <w:t>neoChemo</w:t>
            </w:r>
            <w:r w:rsidRPr="008F3528">
              <w:rPr>
                <w:b/>
              </w:rPr>
              <w:t xml:space="preserve"> vs. </w:t>
            </w:r>
            <w:r w:rsidR="000039B4">
              <w:rPr>
                <w:b/>
              </w:rPr>
              <w:t>neoChemo</w:t>
            </w:r>
          </w:p>
          <w:p w14:paraId="521583B7" w14:textId="77777777" w:rsidR="00EA0AAF" w:rsidRPr="008F3528" w:rsidRDefault="00EA0AAF" w:rsidP="00FE5DCE">
            <w:pPr>
              <w:pStyle w:val="Tabletext"/>
              <w:rPr>
                <w:b/>
              </w:rPr>
            </w:pPr>
            <w:r w:rsidRPr="008F3528">
              <w:rPr>
                <w:b/>
              </w:rPr>
              <w:t>(95% CI)</w:t>
            </w:r>
          </w:p>
        </w:tc>
      </w:tr>
      <w:tr w:rsidR="00EA0AAF" w:rsidRPr="008F3528" w14:paraId="5549DB16" w14:textId="77777777" w:rsidTr="00FE5DCE">
        <w:tc>
          <w:tcPr>
            <w:tcW w:w="5000" w:type="pct"/>
            <w:gridSpan w:val="5"/>
          </w:tcPr>
          <w:p w14:paraId="050CC0B7" w14:textId="77777777" w:rsidR="00EA0AAF" w:rsidRPr="008F3528" w:rsidRDefault="00EA0AAF" w:rsidP="00FE5DCE">
            <w:pPr>
              <w:pStyle w:val="Tabletext"/>
              <w:rPr>
                <w:b/>
              </w:rPr>
            </w:pPr>
            <w:r w:rsidRPr="008F3528">
              <w:rPr>
                <w:b/>
              </w:rPr>
              <w:t>Interim analysis 1: median follow-up 29.5 months</w:t>
            </w:r>
          </w:p>
        </w:tc>
      </w:tr>
      <w:tr w:rsidR="00EA0AAF" w:rsidRPr="008F3528" w14:paraId="2A2E1349" w14:textId="77777777" w:rsidTr="00FE5DCE">
        <w:tc>
          <w:tcPr>
            <w:tcW w:w="1029" w:type="pct"/>
          </w:tcPr>
          <w:p w14:paraId="0D66B416" w14:textId="77777777" w:rsidR="00EA0AAF" w:rsidRPr="008F3528" w:rsidRDefault="00EA0AAF" w:rsidP="00FE5DCE">
            <w:pPr>
              <w:pStyle w:val="Tabletext"/>
            </w:pPr>
            <w:r w:rsidRPr="008F3528">
              <w:t>n/N with event (%)</w:t>
            </w:r>
          </w:p>
        </w:tc>
        <w:tc>
          <w:tcPr>
            <w:tcW w:w="1091" w:type="pct"/>
          </w:tcPr>
          <w:p w14:paraId="38176258" w14:textId="77777777" w:rsidR="00EA0AAF" w:rsidRPr="008F3528" w:rsidRDefault="00EA0AAF" w:rsidP="00FE5DCE">
            <w:pPr>
              <w:pStyle w:val="Tabletext"/>
            </w:pPr>
            <w:r w:rsidRPr="008F3528">
              <w:t>64/179 (3</w:t>
            </w:r>
            <w:r>
              <w:t>5.8</w:t>
            </w:r>
            <w:r w:rsidRPr="008F3528">
              <w:t>)</w:t>
            </w:r>
          </w:p>
        </w:tc>
        <w:tc>
          <w:tcPr>
            <w:tcW w:w="866" w:type="pct"/>
          </w:tcPr>
          <w:p w14:paraId="7424A634" w14:textId="77777777" w:rsidR="00EA0AAF" w:rsidRPr="008F3528" w:rsidRDefault="00EA0AAF" w:rsidP="00FE5DCE">
            <w:pPr>
              <w:pStyle w:val="Tabletext"/>
            </w:pPr>
            <w:r w:rsidRPr="008F3528">
              <w:t>87/179 (4</w:t>
            </w:r>
            <w:r>
              <w:t>8.6</w:t>
            </w:r>
            <w:r w:rsidRPr="008F3528">
              <w:t>)</w:t>
            </w:r>
          </w:p>
        </w:tc>
        <w:tc>
          <w:tcPr>
            <w:tcW w:w="787" w:type="pct"/>
          </w:tcPr>
          <w:p w14:paraId="3D0909BC" w14:textId="44274A5D" w:rsidR="00EA0AAF" w:rsidRPr="008F3528" w:rsidRDefault="00EA0AAF" w:rsidP="00FE5DCE">
            <w:pPr>
              <w:pStyle w:val="Tabletext"/>
            </w:pPr>
          </w:p>
        </w:tc>
        <w:tc>
          <w:tcPr>
            <w:tcW w:w="1227" w:type="pct"/>
            <w:vMerge w:val="restart"/>
          </w:tcPr>
          <w:p w14:paraId="1EC73A0E" w14:textId="77777777" w:rsidR="00EA0AAF" w:rsidRDefault="00EA0AAF" w:rsidP="00FE5DCE">
            <w:pPr>
              <w:pStyle w:val="Tabletext"/>
            </w:pPr>
            <w:r w:rsidRPr="008F3528">
              <w:t>0.63 (0.45, 0.87)</w:t>
            </w:r>
          </w:p>
          <w:p w14:paraId="5C0AECDF" w14:textId="77777777" w:rsidR="00EA0AAF" w:rsidRPr="00623A41" w:rsidRDefault="00EA0AAF" w:rsidP="00FE5DCE">
            <w:pPr>
              <w:pStyle w:val="Tabletext"/>
              <w:rPr>
                <w:vertAlign w:val="superscript"/>
              </w:rPr>
            </w:pPr>
            <w:r>
              <w:t>p-value=0.0052</w:t>
            </w:r>
            <w:r w:rsidR="00623A41">
              <w:rPr>
                <w:vertAlign w:val="superscript"/>
              </w:rPr>
              <w:t>a</w:t>
            </w:r>
          </w:p>
        </w:tc>
      </w:tr>
      <w:tr w:rsidR="00EA0AAF" w:rsidRPr="008F3528" w14:paraId="1A34E389" w14:textId="77777777" w:rsidTr="00FE5DCE">
        <w:tc>
          <w:tcPr>
            <w:tcW w:w="1029" w:type="pct"/>
          </w:tcPr>
          <w:p w14:paraId="44A69D0E" w14:textId="77777777" w:rsidR="00EA0AAF" w:rsidRPr="008F3528" w:rsidRDefault="00EA0AAF" w:rsidP="00FE5DCE">
            <w:pPr>
              <w:pStyle w:val="Tabletext"/>
            </w:pPr>
            <w:r w:rsidRPr="008F3528">
              <w:t>Median time-to-event, months, (95% CI)</w:t>
            </w:r>
          </w:p>
        </w:tc>
        <w:tc>
          <w:tcPr>
            <w:tcW w:w="1091" w:type="pct"/>
          </w:tcPr>
          <w:p w14:paraId="46E3EB24" w14:textId="77777777" w:rsidR="00EA0AAF" w:rsidRPr="008F3528" w:rsidRDefault="00EA0AAF" w:rsidP="00FE5DCE">
            <w:pPr>
              <w:pStyle w:val="Tabletext"/>
            </w:pPr>
            <w:r w:rsidRPr="008F3528">
              <w:t>31.6 (30.2, NA)</w:t>
            </w:r>
          </w:p>
        </w:tc>
        <w:tc>
          <w:tcPr>
            <w:tcW w:w="866" w:type="pct"/>
          </w:tcPr>
          <w:p w14:paraId="30C0A1BD" w14:textId="77777777" w:rsidR="00EA0AAF" w:rsidRPr="008F3528" w:rsidRDefault="00EA0AAF" w:rsidP="00FE5DCE">
            <w:pPr>
              <w:pStyle w:val="Tabletext"/>
            </w:pPr>
            <w:r w:rsidRPr="008F3528">
              <w:t>20.8 (14.0, 26.7)</w:t>
            </w:r>
          </w:p>
        </w:tc>
        <w:tc>
          <w:tcPr>
            <w:tcW w:w="787" w:type="pct"/>
          </w:tcPr>
          <w:p w14:paraId="6909AB72" w14:textId="77777777" w:rsidR="00EA0AAF" w:rsidRPr="008F3528" w:rsidRDefault="00EA0AAF" w:rsidP="00FE5DCE">
            <w:pPr>
              <w:pStyle w:val="Tabletext"/>
            </w:pPr>
            <w:r w:rsidRPr="008F3528">
              <w:t>10.8</w:t>
            </w:r>
          </w:p>
        </w:tc>
        <w:tc>
          <w:tcPr>
            <w:tcW w:w="1227" w:type="pct"/>
            <w:vMerge/>
          </w:tcPr>
          <w:p w14:paraId="330321CF" w14:textId="77777777" w:rsidR="00EA0AAF" w:rsidRPr="008F3528" w:rsidRDefault="00EA0AAF" w:rsidP="00FE5DCE">
            <w:pPr>
              <w:pStyle w:val="Tabletext"/>
            </w:pPr>
          </w:p>
        </w:tc>
      </w:tr>
      <w:tr w:rsidR="00EA0AAF" w:rsidRPr="008F3528" w14:paraId="0E5E04E0" w14:textId="77777777" w:rsidTr="00FE5DCE">
        <w:tc>
          <w:tcPr>
            <w:tcW w:w="1029" w:type="pct"/>
          </w:tcPr>
          <w:p w14:paraId="7A09B05E" w14:textId="77777777" w:rsidR="00EA0AAF" w:rsidRPr="008F3528" w:rsidRDefault="00EA0AAF" w:rsidP="00FE5DCE">
            <w:pPr>
              <w:pStyle w:val="Tabletext"/>
            </w:pPr>
            <w:r w:rsidRPr="008F3528">
              <w:t>EFS rate at 12 months, (95% CI)</w:t>
            </w:r>
          </w:p>
        </w:tc>
        <w:tc>
          <w:tcPr>
            <w:tcW w:w="1091" w:type="pct"/>
          </w:tcPr>
          <w:p w14:paraId="60C00FCA" w14:textId="77777777" w:rsidR="00EA0AAF" w:rsidRPr="008F3528" w:rsidRDefault="00EA0AAF" w:rsidP="00FE5DCE">
            <w:pPr>
              <w:pStyle w:val="Tabletext"/>
            </w:pPr>
            <w:r w:rsidRPr="008F3528">
              <w:t>76</w:t>
            </w:r>
            <w:r>
              <w:t>.1</w:t>
            </w:r>
            <w:r w:rsidRPr="008F3528">
              <w:t>% (</w:t>
            </w:r>
            <w:r>
              <w:t>68.8</w:t>
            </w:r>
            <w:r w:rsidRPr="008F3528">
              <w:t>%, 8</w:t>
            </w:r>
            <w:r>
              <w:t>1.9</w:t>
            </w:r>
            <w:r w:rsidRPr="008F3528">
              <w:t>%)</w:t>
            </w:r>
          </w:p>
        </w:tc>
        <w:tc>
          <w:tcPr>
            <w:tcW w:w="866" w:type="pct"/>
          </w:tcPr>
          <w:p w14:paraId="432AAC26" w14:textId="77777777" w:rsidR="00EA0AAF" w:rsidRPr="008F3528" w:rsidRDefault="00EA0AAF" w:rsidP="00FE5DCE">
            <w:pPr>
              <w:pStyle w:val="Tabletext"/>
            </w:pPr>
            <w:r w:rsidRPr="008F3528">
              <w:t>6</w:t>
            </w:r>
            <w:r>
              <w:t>3.</w:t>
            </w:r>
            <w:r w:rsidRPr="008F3528">
              <w:t>4% (5</w:t>
            </w:r>
            <w:r>
              <w:t>5.3</w:t>
            </w:r>
            <w:r w:rsidRPr="008F3528">
              <w:t>%, 7</w:t>
            </w:r>
            <w:r>
              <w:t>0.4</w:t>
            </w:r>
            <w:r w:rsidRPr="008F3528">
              <w:t>%)</w:t>
            </w:r>
          </w:p>
        </w:tc>
        <w:tc>
          <w:tcPr>
            <w:tcW w:w="787" w:type="pct"/>
          </w:tcPr>
          <w:p w14:paraId="571AF9A2" w14:textId="77777777" w:rsidR="00EA0AAF" w:rsidRPr="008F3528" w:rsidRDefault="00EA0AAF" w:rsidP="00FE5DCE">
            <w:pPr>
              <w:pStyle w:val="Tabletext"/>
            </w:pPr>
            <w:r w:rsidRPr="008F3528">
              <w:t>12</w:t>
            </w:r>
            <w:r w:rsidR="00AE002C">
              <w:t>.7</w:t>
            </w:r>
            <w:r w:rsidRPr="008F3528">
              <w:t>%</w:t>
            </w:r>
          </w:p>
        </w:tc>
        <w:tc>
          <w:tcPr>
            <w:tcW w:w="1227" w:type="pct"/>
            <w:vMerge/>
          </w:tcPr>
          <w:p w14:paraId="40E78ECC" w14:textId="77777777" w:rsidR="00EA0AAF" w:rsidRPr="008F3528" w:rsidRDefault="00EA0AAF" w:rsidP="00FE5DCE">
            <w:pPr>
              <w:pStyle w:val="Tabletext"/>
            </w:pPr>
          </w:p>
        </w:tc>
      </w:tr>
      <w:tr w:rsidR="00EA0AAF" w:rsidRPr="008F3528" w14:paraId="5BFEEF00" w14:textId="77777777" w:rsidTr="00FE5DCE">
        <w:tc>
          <w:tcPr>
            <w:tcW w:w="1029" w:type="pct"/>
          </w:tcPr>
          <w:p w14:paraId="47EDB3E8" w14:textId="77777777" w:rsidR="00EA0AAF" w:rsidRPr="008F3528" w:rsidRDefault="00EA0AAF" w:rsidP="00FE5DCE">
            <w:pPr>
              <w:pStyle w:val="Tabletext"/>
            </w:pPr>
            <w:r w:rsidRPr="008F3528">
              <w:t>EFS rate at 24 months, (95%CI)</w:t>
            </w:r>
          </w:p>
        </w:tc>
        <w:tc>
          <w:tcPr>
            <w:tcW w:w="1091" w:type="pct"/>
          </w:tcPr>
          <w:p w14:paraId="051B9D68" w14:textId="77777777" w:rsidR="00EA0AAF" w:rsidRPr="008F3528" w:rsidRDefault="00EA0AAF" w:rsidP="00FE5DCE">
            <w:pPr>
              <w:pStyle w:val="Tabletext"/>
            </w:pPr>
            <w:r w:rsidRPr="008F3528">
              <w:t>63</w:t>
            </w:r>
            <w:r>
              <w:t>.8</w:t>
            </w:r>
            <w:r w:rsidRPr="008F3528">
              <w:t>% (55</w:t>
            </w:r>
            <w:r>
              <w:t>.7</w:t>
            </w:r>
            <w:r w:rsidRPr="008F3528">
              <w:t>%, 70</w:t>
            </w:r>
            <w:r>
              <w:t>.9</w:t>
            </w:r>
            <w:r w:rsidRPr="008F3528">
              <w:t>%)</w:t>
            </w:r>
          </w:p>
        </w:tc>
        <w:tc>
          <w:tcPr>
            <w:tcW w:w="866" w:type="pct"/>
          </w:tcPr>
          <w:p w14:paraId="0F725542" w14:textId="77777777" w:rsidR="00EA0AAF" w:rsidRPr="008F3528" w:rsidRDefault="00EA0AAF" w:rsidP="00FE5DCE">
            <w:pPr>
              <w:pStyle w:val="Tabletext"/>
            </w:pPr>
            <w:r w:rsidRPr="008F3528">
              <w:t>45</w:t>
            </w:r>
            <w:r>
              <w:t>.3</w:t>
            </w:r>
            <w:r w:rsidRPr="008F3528">
              <w:t>% (37</w:t>
            </w:r>
            <w:r>
              <w:t>.0</w:t>
            </w:r>
            <w:r w:rsidRPr="008F3528">
              <w:t>%, 53</w:t>
            </w:r>
            <w:r>
              <w:t>.2</w:t>
            </w:r>
            <w:r w:rsidRPr="008F3528">
              <w:t>%)</w:t>
            </w:r>
          </w:p>
        </w:tc>
        <w:tc>
          <w:tcPr>
            <w:tcW w:w="787" w:type="pct"/>
          </w:tcPr>
          <w:p w14:paraId="303D7A7A" w14:textId="77777777" w:rsidR="00EA0AAF" w:rsidRPr="008F3528" w:rsidRDefault="00EA0AAF" w:rsidP="00FE5DCE">
            <w:pPr>
              <w:pStyle w:val="Tabletext"/>
            </w:pPr>
            <w:r w:rsidRPr="008F3528">
              <w:t>18</w:t>
            </w:r>
            <w:r w:rsidR="00AE002C">
              <w:t>.5</w:t>
            </w:r>
            <w:r w:rsidRPr="008F3528">
              <w:t>%</w:t>
            </w:r>
          </w:p>
        </w:tc>
        <w:tc>
          <w:tcPr>
            <w:tcW w:w="1227" w:type="pct"/>
            <w:vMerge/>
          </w:tcPr>
          <w:p w14:paraId="41906852" w14:textId="77777777" w:rsidR="00EA0AAF" w:rsidRPr="008F3528" w:rsidRDefault="00EA0AAF" w:rsidP="00FE5DCE">
            <w:pPr>
              <w:pStyle w:val="Tabletext"/>
            </w:pPr>
          </w:p>
        </w:tc>
      </w:tr>
    </w:tbl>
    <w:p w14:paraId="5E23AB57" w14:textId="77777777" w:rsidR="00EA0AAF" w:rsidRDefault="00EA0AAF" w:rsidP="00EA0AAF">
      <w:pPr>
        <w:pStyle w:val="TableFooter"/>
      </w:pPr>
      <w:r>
        <w:t>Source: Table 46 and Table 48, p79 and p80 of the submission</w:t>
      </w:r>
      <w:r w:rsidR="00623A41">
        <w:t>,</w:t>
      </w:r>
      <w:r>
        <w:t xml:space="preserve"> and Table 7.1-1, p110 of the CM816 CSR</w:t>
      </w:r>
    </w:p>
    <w:p w14:paraId="1971085E" w14:textId="72D54942" w:rsidR="00EA0AAF" w:rsidRDefault="00EA0AAF" w:rsidP="00EA0AAF">
      <w:pPr>
        <w:pStyle w:val="TableFooter"/>
      </w:pPr>
      <w:r>
        <w:t>BICR=</w:t>
      </w:r>
      <w:r w:rsidRPr="008F3528">
        <w:t>Blinded independent central review</w:t>
      </w:r>
      <w:r w:rsidR="00A339CD">
        <w:t>;</w:t>
      </w:r>
      <w:r w:rsidRPr="008F3528">
        <w:t xml:space="preserve"> </w:t>
      </w:r>
      <w:r>
        <w:t>Chemo=chemotherapy</w:t>
      </w:r>
      <w:r w:rsidRPr="00C66B1B">
        <w:t xml:space="preserve">; </w:t>
      </w:r>
      <w:r>
        <w:t>CI=confidence interval;</w:t>
      </w:r>
      <w:r w:rsidRPr="00C66B1B">
        <w:t xml:space="preserve"> </w:t>
      </w:r>
      <w:r w:rsidR="00A339CD">
        <w:t xml:space="preserve">EFS=event free survival; </w:t>
      </w:r>
      <w:r w:rsidR="00B10F50">
        <w:t xml:space="preserve">HR = hazard ratio; </w:t>
      </w:r>
      <w:r w:rsidRPr="00C66B1B">
        <w:t>N</w:t>
      </w:r>
      <w:r>
        <w:t>A</w:t>
      </w:r>
      <w:r w:rsidRPr="00C66B1B">
        <w:t xml:space="preserve">=not </w:t>
      </w:r>
      <w:r>
        <w:t>available/not reached</w:t>
      </w:r>
      <w:r w:rsidR="009C1BF4">
        <w:t>;</w:t>
      </w:r>
      <w:r>
        <w:t xml:space="preserve"> NIVO=nivolumab</w:t>
      </w:r>
      <w:r w:rsidR="009C1BF4">
        <w:t>.</w:t>
      </w:r>
    </w:p>
    <w:p w14:paraId="205AB6DF" w14:textId="37E5F4EB" w:rsidR="00EA0AAF" w:rsidRDefault="00623A41" w:rsidP="00EA0AAF">
      <w:pPr>
        <w:pStyle w:val="TableFooter"/>
      </w:pPr>
      <w:r w:rsidRPr="00E70026">
        <w:rPr>
          <w:vertAlign w:val="superscript"/>
        </w:rPr>
        <w:t>a</w:t>
      </w:r>
      <w:r w:rsidR="00B10F50">
        <w:rPr>
          <w:vertAlign w:val="superscript"/>
        </w:rPr>
        <w:t xml:space="preserve"> </w:t>
      </w:r>
      <w:r>
        <w:t>S</w:t>
      </w:r>
      <w:r w:rsidR="00AE002C">
        <w:t xml:space="preserve">tratified log-rank test p-value. </w:t>
      </w:r>
      <w:r w:rsidR="00EA0AAF" w:rsidRPr="007F0657">
        <w:t xml:space="preserve">The p-value threshold for statistical significance at </w:t>
      </w:r>
      <w:r w:rsidR="00AE002C">
        <w:t>I</w:t>
      </w:r>
      <w:r w:rsidR="00EA0AAF" w:rsidRPr="007F0657">
        <w:t>nterim analysis</w:t>
      </w:r>
      <w:r w:rsidR="00AE002C">
        <w:t xml:space="preserve"> 1</w:t>
      </w:r>
      <w:r w:rsidR="00EA0AAF" w:rsidRPr="007F0657">
        <w:t xml:space="preserve"> was 0.0262.</w:t>
      </w:r>
    </w:p>
    <w:p w14:paraId="7FCE17D7" w14:textId="4491FA47" w:rsidR="00623A41" w:rsidRDefault="00623A41" w:rsidP="00B10F50">
      <w:pPr>
        <w:pStyle w:val="Caption"/>
        <w:spacing w:before="120"/>
      </w:pPr>
      <w:bookmarkStart w:id="33" w:name="_Ref121721437"/>
      <w:r>
        <w:t xml:space="preserve">Figure </w:t>
      </w:r>
      <w:r w:rsidR="00A77D90">
        <w:fldChar w:fldCharType="begin"/>
      </w:r>
      <w:r w:rsidR="00A77D90">
        <w:instrText xml:space="preserve"> SEQ Figure \* ARABIC </w:instrText>
      </w:r>
      <w:r w:rsidR="00A77D90">
        <w:fldChar w:fldCharType="separate"/>
      </w:r>
      <w:r w:rsidR="00A77D90">
        <w:rPr>
          <w:noProof/>
        </w:rPr>
        <w:t>1</w:t>
      </w:r>
      <w:r w:rsidR="00A77D90">
        <w:rPr>
          <w:noProof/>
        </w:rPr>
        <w:fldChar w:fldCharType="end"/>
      </w:r>
      <w:bookmarkEnd w:id="33"/>
      <w:r>
        <w:t>: Event-free survival</w:t>
      </w:r>
      <w:r w:rsidR="009B673B">
        <w:t xml:space="preserve"> (EFS)</w:t>
      </w:r>
      <w:r>
        <w:t xml:space="preserve"> Kaplan-Meier curves - CM816</w:t>
      </w:r>
    </w:p>
    <w:p w14:paraId="2075A1EC" w14:textId="77777777" w:rsidR="00623A41" w:rsidRPr="008115D7" w:rsidRDefault="00623A41" w:rsidP="00623A41">
      <w:r w:rsidRPr="008115D7">
        <w:rPr>
          <w:noProof/>
        </w:rPr>
        <w:drawing>
          <wp:inline distT="0" distB="0" distL="0" distR="0" wp14:anchorId="1DB9ABBB" wp14:editId="309A91A9">
            <wp:extent cx="5638232" cy="2215515"/>
            <wp:effectExtent l="0" t="0" r="635" b="0"/>
            <wp:docPr id="33" name="Picture 33" descr="Figure 1: Event-free survival (EFS) Kaplan-Meier curves - CM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Figure 1: Event-free survival (EFS) Kaplan-Meier curves - CM816"/>
                    <pic:cNvPicPr/>
                  </pic:nvPicPr>
                  <pic:blipFill rotWithShape="1">
                    <a:blip r:embed="rId8" cstate="email">
                      <a:extLst>
                        <a:ext uri="{28A0092B-C50C-407E-A947-70E740481C1C}">
                          <a14:useLocalDpi xmlns:a14="http://schemas.microsoft.com/office/drawing/2010/main"/>
                        </a:ext>
                      </a:extLst>
                    </a:blip>
                    <a:srcRect b="-3769"/>
                    <a:stretch/>
                  </pic:blipFill>
                  <pic:spPr bwMode="auto">
                    <a:xfrm>
                      <a:off x="0" y="0"/>
                      <a:ext cx="5638800" cy="2215738"/>
                    </a:xfrm>
                    <a:prstGeom prst="rect">
                      <a:avLst/>
                    </a:prstGeom>
                    <a:ln>
                      <a:noFill/>
                    </a:ln>
                    <a:extLst>
                      <a:ext uri="{53640926-AAD7-44D8-BBD7-CCE9431645EC}">
                        <a14:shadowObscured xmlns:a14="http://schemas.microsoft.com/office/drawing/2010/main"/>
                      </a:ext>
                    </a:extLst>
                  </pic:spPr>
                </pic:pic>
              </a:graphicData>
            </a:graphic>
          </wp:inline>
        </w:drawing>
      </w:r>
    </w:p>
    <w:p w14:paraId="5BD1964D" w14:textId="586AE0B0" w:rsidR="00623A41" w:rsidRDefault="00623A41" w:rsidP="00623A41">
      <w:pPr>
        <w:pStyle w:val="TableFooter"/>
      </w:pPr>
      <w:r>
        <w:t>Source: Figure 13, p81 of the submission.</w:t>
      </w:r>
    </w:p>
    <w:p w14:paraId="173AAE4F" w14:textId="29D41C15" w:rsidR="000D094E" w:rsidRDefault="000D094E" w:rsidP="00623A41">
      <w:pPr>
        <w:pStyle w:val="TableFooter"/>
      </w:pPr>
      <w:r>
        <w:t>CI=confidence interval;</w:t>
      </w:r>
      <w:r w:rsidRPr="00C66B1B">
        <w:t xml:space="preserve"> </w:t>
      </w:r>
      <w:r>
        <w:t>EFS=event free survival</w:t>
      </w:r>
      <w:r w:rsidR="00156FF3">
        <w:t>;</w:t>
      </w:r>
      <w:r w:rsidR="00156FF3" w:rsidRPr="00C66B1B">
        <w:t xml:space="preserve"> </w:t>
      </w:r>
      <w:r w:rsidR="00156FF3">
        <w:t>NR=not reached</w:t>
      </w:r>
    </w:p>
    <w:p w14:paraId="7B13088D" w14:textId="43DF7BA5" w:rsidR="00623A41" w:rsidRDefault="00623A41" w:rsidP="002F37BD">
      <w:pPr>
        <w:pStyle w:val="3-BodyText"/>
        <w:spacing w:before="120"/>
      </w:pPr>
      <w:r w:rsidRPr="00623A41">
        <w:t xml:space="preserve">Based on the pre-specified </w:t>
      </w:r>
      <w:r>
        <w:t>I</w:t>
      </w:r>
      <w:r w:rsidRPr="00623A41">
        <w:t xml:space="preserve">nterim analysis </w:t>
      </w:r>
      <w:r>
        <w:t xml:space="preserve">1 </w:t>
      </w:r>
      <w:r w:rsidRPr="00623A41">
        <w:t>of EFS (</w:t>
      </w:r>
      <w:r>
        <w:t>data cutoff</w:t>
      </w:r>
      <w:r w:rsidRPr="00623A41">
        <w:t xml:space="preserve"> 20</w:t>
      </w:r>
      <w:r w:rsidR="009822C7">
        <w:t> </w:t>
      </w:r>
      <w:r w:rsidR="009822C7" w:rsidRPr="00623A41">
        <w:t>October</w:t>
      </w:r>
      <w:r w:rsidR="009822C7">
        <w:t> </w:t>
      </w:r>
      <w:r w:rsidRPr="00623A41">
        <w:t>2021</w:t>
      </w:r>
      <w:r>
        <w:t>, median follow-up 29.5 months)</w:t>
      </w:r>
      <w:r w:rsidRPr="00623A41">
        <w:t xml:space="preserve">, </w:t>
      </w:r>
      <w:r w:rsidR="000039B4">
        <w:t>neoNIVO</w:t>
      </w:r>
      <w:r w:rsidRPr="00623A41">
        <w:t>+</w:t>
      </w:r>
      <w:r w:rsidR="000039B4">
        <w:t>neoChemo</w:t>
      </w:r>
      <w:r w:rsidRPr="00623A41">
        <w:t xml:space="preserve"> was associated with a statistically significant improvement in EFS compared with </w:t>
      </w:r>
      <w:r w:rsidR="000039B4">
        <w:t>neoChemo</w:t>
      </w:r>
      <w:r w:rsidRPr="00623A41">
        <w:t xml:space="preserve"> (median EFS 31.6 vs 20.8 months; HR = 0.63 (97.38%</w:t>
      </w:r>
      <w:r w:rsidR="005B7D65">
        <w:t xml:space="preserve"> confidence interval</w:t>
      </w:r>
      <w:r w:rsidRPr="00623A41">
        <w:t xml:space="preserve"> </w:t>
      </w:r>
      <w:r w:rsidR="005B7D65">
        <w:t>[</w:t>
      </w:r>
      <w:r w:rsidRPr="00623A41">
        <w:t>CI</w:t>
      </w:r>
      <w:r w:rsidR="005B7D65">
        <w:t>]</w:t>
      </w:r>
      <w:r w:rsidRPr="00623A41">
        <w:t xml:space="preserve">: 0.43, 0.91); p-value = 0.0052). EFS rates (percentage of patients surviving without disease progression or disease recurrence) were higher </w:t>
      </w:r>
      <w:r w:rsidR="00B22914">
        <w:t>in the</w:t>
      </w:r>
      <w:r w:rsidRPr="00623A41">
        <w:t xml:space="preserve"> </w:t>
      </w:r>
      <w:r w:rsidR="000039B4">
        <w:t>neoNIVO</w:t>
      </w:r>
      <w:r w:rsidRPr="00623A41">
        <w:t>+</w:t>
      </w:r>
      <w:r w:rsidR="000039B4">
        <w:t>neoChemo</w:t>
      </w:r>
      <w:r w:rsidRPr="00623A41">
        <w:t xml:space="preserve"> </w:t>
      </w:r>
      <w:r w:rsidR="00B22914">
        <w:t xml:space="preserve">arm </w:t>
      </w:r>
      <w:r w:rsidRPr="00623A41">
        <w:t xml:space="preserve">than </w:t>
      </w:r>
      <w:r w:rsidR="00B22914">
        <w:t xml:space="preserve">in the </w:t>
      </w:r>
      <w:r w:rsidR="000039B4">
        <w:t>neoChemo</w:t>
      </w:r>
      <w:r w:rsidR="00B22914">
        <w:t xml:space="preserve"> arm</w:t>
      </w:r>
      <w:r w:rsidRPr="00623A41">
        <w:t xml:space="preserve"> at 12 months (76.1% versus 63.4%)</w:t>
      </w:r>
      <w:r w:rsidR="00B22914">
        <w:t>,</w:t>
      </w:r>
      <w:r w:rsidRPr="00623A41">
        <w:t xml:space="preserve"> and at 24 months (63.8% versus 45.3%).</w:t>
      </w:r>
      <w:r w:rsidR="00EB14FD">
        <w:t xml:space="preserve"> </w:t>
      </w:r>
    </w:p>
    <w:p w14:paraId="243BFEA3" w14:textId="1F404F74" w:rsidR="00B22914" w:rsidRDefault="00B22914" w:rsidP="00623A41">
      <w:pPr>
        <w:pStyle w:val="3-BodyText"/>
      </w:pPr>
      <w:r w:rsidRPr="00B22914">
        <w:t xml:space="preserve">There were 64/179 (35.8%) EFS events in the </w:t>
      </w:r>
      <w:r w:rsidR="000039B4">
        <w:t>neoNIVO</w:t>
      </w:r>
      <w:r w:rsidRPr="00B22914">
        <w:t>+</w:t>
      </w:r>
      <w:r w:rsidR="000039B4">
        <w:t>neoChemo</w:t>
      </w:r>
      <w:r w:rsidRPr="00B22914">
        <w:t xml:space="preserve"> arm and 87/179 (48.6%) events in the </w:t>
      </w:r>
      <w:r w:rsidR="000039B4">
        <w:t>neoChemo</w:t>
      </w:r>
      <w:r w:rsidRPr="00B22914">
        <w:t xml:space="preserve"> arm. The most common type of event in the </w:t>
      </w:r>
      <w:r w:rsidR="000039B4">
        <w:t>neoNIVO</w:t>
      </w:r>
      <w:r w:rsidRPr="00B22914">
        <w:t>+</w:t>
      </w:r>
      <w:r w:rsidR="000039B4">
        <w:t>neoChemo</w:t>
      </w:r>
      <w:r w:rsidRPr="00B22914">
        <w:t xml:space="preserve"> and </w:t>
      </w:r>
      <w:r w:rsidR="000039B4">
        <w:t>neoChemo</w:t>
      </w:r>
      <w:r w:rsidRPr="00B22914">
        <w:t xml:space="preserve"> arms was </w:t>
      </w:r>
      <w:r w:rsidR="008B32FA">
        <w:t xml:space="preserve">locoregional </w:t>
      </w:r>
      <w:r w:rsidRPr="00B22914">
        <w:t>progression/recurrence after surgery: locoregional recurrences occurred in 13.4% and 15.6% of patients, respectively, and distant recurrences occurred in 7.8% and 14.0% of patients, respectively.</w:t>
      </w:r>
      <w:r w:rsidR="00EB14FD">
        <w:t xml:space="preserve"> Subgroup analyses of EFS are presented further below.</w:t>
      </w:r>
    </w:p>
    <w:p w14:paraId="2CA47EF8" w14:textId="11DCFD88" w:rsidR="00B22914" w:rsidRDefault="00156FF3" w:rsidP="00FF7B07">
      <w:pPr>
        <w:pStyle w:val="3-BodyText"/>
        <w:spacing w:after="0"/>
      </w:pPr>
      <w:r>
        <w:t xml:space="preserve">The </w:t>
      </w:r>
      <w:r w:rsidR="00B22914" w:rsidRPr="00B22914">
        <w:t>OS results and corresponding KM curves are summarised in</w:t>
      </w:r>
      <w:r w:rsidR="00B22914">
        <w:t xml:space="preserve"> </w:t>
      </w:r>
      <w:r w:rsidR="00B22914">
        <w:fldChar w:fldCharType="begin"/>
      </w:r>
      <w:r w:rsidR="00B22914">
        <w:instrText xml:space="preserve"> REF _Ref121044257 \h </w:instrText>
      </w:r>
      <w:r w:rsidR="00B22914">
        <w:fldChar w:fldCharType="separate"/>
      </w:r>
      <w:r w:rsidR="00A77D90">
        <w:t xml:space="preserve">Figure </w:t>
      </w:r>
      <w:r w:rsidR="00A77D90">
        <w:rPr>
          <w:noProof/>
        </w:rPr>
        <w:t>2</w:t>
      </w:r>
      <w:r w:rsidR="00B22914">
        <w:fldChar w:fldCharType="end"/>
      </w:r>
      <w:r w:rsidR="00B22914">
        <w:t>.</w:t>
      </w:r>
    </w:p>
    <w:p w14:paraId="66E6DF6B" w14:textId="6CD3AE2E" w:rsidR="00B22914" w:rsidRDefault="00B22914" w:rsidP="007D0267">
      <w:pPr>
        <w:pStyle w:val="Caption"/>
        <w:spacing w:before="120"/>
      </w:pPr>
      <w:bookmarkStart w:id="34" w:name="_Ref121044257"/>
      <w:r>
        <w:t xml:space="preserve">Figure </w:t>
      </w:r>
      <w:r w:rsidR="00A77D90">
        <w:fldChar w:fldCharType="begin"/>
      </w:r>
      <w:r w:rsidR="00A77D90">
        <w:instrText xml:space="preserve"> SEQ Figure \* ARABIC </w:instrText>
      </w:r>
      <w:r w:rsidR="00A77D90">
        <w:fldChar w:fldCharType="separate"/>
      </w:r>
      <w:r w:rsidR="00A77D90">
        <w:rPr>
          <w:noProof/>
        </w:rPr>
        <w:t>2</w:t>
      </w:r>
      <w:r w:rsidR="00A77D90">
        <w:rPr>
          <w:noProof/>
        </w:rPr>
        <w:fldChar w:fldCharType="end"/>
      </w:r>
      <w:bookmarkEnd w:id="34"/>
      <w:r>
        <w:t>: Overall survival Kaplan-Meier curves - CM816</w:t>
      </w:r>
    </w:p>
    <w:p w14:paraId="421606C1" w14:textId="77777777" w:rsidR="00B22914" w:rsidRPr="008115D7" w:rsidRDefault="00B22914" w:rsidP="00B22914">
      <w:pPr>
        <w:pStyle w:val="TableFooter"/>
      </w:pPr>
      <w:r w:rsidRPr="002427BD">
        <w:rPr>
          <w:noProof/>
        </w:rPr>
        <w:drawing>
          <wp:inline distT="0" distB="0" distL="0" distR="0" wp14:anchorId="0840ADD2" wp14:editId="0E48F576">
            <wp:extent cx="5384657" cy="2797791"/>
            <wp:effectExtent l="0" t="0" r="6985" b="3175"/>
            <wp:docPr id="34" name="Picture 34" descr="Figure 2: Overall survival Kaplan-Meier curves - CM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descr="Figure 2: Overall survival Kaplan-Meier curves - CM816"/>
                    <pic:cNvPicPr/>
                  </pic:nvPicPr>
                  <pic:blipFill>
                    <a:blip r:embed="rId9" cstate="email">
                      <a:extLst>
                        <a:ext uri="{28A0092B-C50C-407E-A947-70E740481C1C}">
                          <a14:useLocalDpi xmlns:a14="http://schemas.microsoft.com/office/drawing/2010/main"/>
                        </a:ext>
                      </a:extLst>
                    </a:blip>
                    <a:stretch>
                      <a:fillRect/>
                    </a:stretch>
                  </pic:blipFill>
                  <pic:spPr>
                    <a:xfrm>
                      <a:off x="0" y="0"/>
                      <a:ext cx="5391629" cy="2801414"/>
                    </a:xfrm>
                    <a:prstGeom prst="rect">
                      <a:avLst/>
                    </a:prstGeom>
                  </pic:spPr>
                </pic:pic>
              </a:graphicData>
            </a:graphic>
          </wp:inline>
        </w:drawing>
      </w:r>
    </w:p>
    <w:p w14:paraId="620DEFC1" w14:textId="0FC2B686" w:rsidR="00B22914" w:rsidRDefault="00B22914" w:rsidP="00B22914">
      <w:pPr>
        <w:pStyle w:val="TableFooter"/>
      </w:pPr>
      <w:r>
        <w:t>Source: Figure 14, p82 of the submission.</w:t>
      </w:r>
    </w:p>
    <w:p w14:paraId="3BE0F178" w14:textId="4515DFF7" w:rsidR="00A27711" w:rsidRDefault="00A27711" w:rsidP="00B22914">
      <w:pPr>
        <w:pStyle w:val="TableFooter"/>
      </w:pPr>
      <w:r>
        <w:t>CI=confidence interval;</w:t>
      </w:r>
      <w:r w:rsidRPr="00C66B1B">
        <w:t xml:space="preserve"> </w:t>
      </w:r>
      <w:r w:rsidR="00156FF3">
        <w:t>NR=not reached</w:t>
      </w:r>
    </w:p>
    <w:p w14:paraId="4BB3B08E" w14:textId="77777777" w:rsidR="00B22914" w:rsidRDefault="00B22914" w:rsidP="00B22914">
      <w:pPr>
        <w:pStyle w:val="TableFooter"/>
      </w:pPr>
      <w:r w:rsidRPr="00114BA9">
        <w:t xml:space="preserve">The </w:t>
      </w:r>
      <w:r>
        <w:t>p-</w:t>
      </w:r>
      <w:r w:rsidRPr="00114BA9">
        <w:t>value for overall survival did not cross the boundary for statistical significance (0.0033</w:t>
      </w:r>
      <w:r>
        <w:t>)</w:t>
      </w:r>
    </w:p>
    <w:p w14:paraId="70741402" w14:textId="29D59BC6" w:rsidR="00FF7B07" w:rsidRDefault="002B169E" w:rsidP="009822C7">
      <w:pPr>
        <w:pStyle w:val="TableFooter"/>
        <w:spacing w:after="120"/>
      </w:pPr>
      <w:r>
        <w:t>Number of events were not reported in the submission or in the CM816 clinical study report.</w:t>
      </w:r>
    </w:p>
    <w:p w14:paraId="3030883D" w14:textId="02C5B202" w:rsidR="00FF7B07" w:rsidRPr="00CA56B5" w:rsidRDefault="002B169E" w:rsidP="00FF7B07">
      <w:pPr>
        <w:pStyle w:val="3-BodyText"/>
      </w:pPr>
      <w:r w:rsidRPr="000A6E90">
        <w:t xml:space="preserve">Based on the pre-specified Interim analysis 1, </w:t>
      </w:r>
      <w:bookmarkStart w:id="35" w:name="_Hlk124437079"/>
      <w:r w:rsidRPr="000A6E90">
        <w:t>the OS data were immature at the October 2021 data cutoff. The number of events were not provided</w:t>
      </w:r>
      <w:r w:rsidR="00FF3E10">
        <w:t xml:space="preserve"> in the submission</w:t>
      </w:r>
      <w:r w:rsidRPr="000A6E90">
        <w:t xml:space="preserve"> although median OS was not reached in either treatment arm. The KM curves were separated for the duration of follow-up favouring the </w:t>
      </w:r>
      <w:r w:rsidR="000039B4" w:rsidRPr="000A6E90">
        <w:t>neoNIVO</w:t>
      </w:r>
      <w:r w:rsidRPr="000A6E90">
        <w:t>+</w:t>
      </w:r>
      <w:r w:rsidR="000039B4" w:rsidRPr="000A6E90">
        <w:t>neoChemo</w:t>
      </w:r>
      <w:r w:rsidRPr="000A6E90">
        <w:t xml:space="preserve"> arm</w:t>
      </w:r>
      <w:bookmarkEnd w:id="35"/>
      <w:r w:rsidRPr="000A6E90">
        <w:t xml:space="preserve">. </w:t>
      </w:r>
      <w:r w:rsidRPr="002B169E">
        <w:t xml:space="preserve">The </w:t>
      </w:r>
      <w:r>
        <w:t xml:space="preserve">point estimate of the </w:t>
      </w:r>
      <w:r w:rsidRPr="002B169E">
        <w:t>reduction in hazard of death</w:t>
      </w:r>
      <w:r>
        <w:t xml:space="preserve"> associated with </w:t>
      </w:r>
      <w:r w:rsidR="000039B4">
        <w:t>neoNIVO</w:t>
      </w:r>
      <w:r w:rsidRPr="00B22914">
        <w:t>+</w:t>
      </w:r>
      <w:r w:rsidR="000039B4">
        <w:t>neoChemo</w:t>
      </w:r>
      <w:r>
        <w:t>,</w:t>
      </w:r>
      <w:r w:rsidRPr="00B22914">
        <w:t xml:space="preserve"> </w:t>
      </w:r>
      <w:r>
        <w:t xml:space="preserve">compared with </w:t>
      </w:r>
      <w:r w:rsidR="000039B4">
        <w:t>neoChemo</w:t>
      </w:r>
      <w:r>
        <w:t xml:space="preserve">, </w:t>
      </w:r>
      <w:r w:rsidRPr="002B169E">
        <w:t>was 43% which was not statistically significant</w:t>
      </w:r>
      <w:r w:rsidR="002D70A8">
        <w:rPr>
          <w:rStyle w:val="FootnoteReference"/>
        </w:rPr>
        <w:footnoteReference w:id="15"/>
      </w:r>
      <w:r w:rsidRPr="002B169E">
        <w:t xml:space="preserve"> (HR for death=0.57; </w:t>
      </w:r>
      <w:r w:rsidR="00C43C80">
        <w:t>[</w:t>
      </w:r>
      <w:r w:rsidRPr="002B169E">
        <w:t xml:space="preserve">99.67% CI: 0.30, 1.07; </w:t>
      </w:r>
      <w:r>
        <w:t>p</w:t>
      </w:r>
      <w:r w:rsidRPr="002B169E">
        <w:t>=0.008</w:t>
      </w:r>
      <w:r w:rsidR="00C43C80">
        <w:t>]</w:t>
      </w:r>
      <w:r w:rsidR="005874E0">
        <w:t>)</w:t>
      </w:r>
      <w:r>
        <w:t>.</w:t>
      </w:r>
      <w:r w:rsidR="00EB14FD">
        <w:t xml:space="preserve"> </w:t>
      </w:r>
      <w:r w:rsidR="00FF3E10" w:rsidRPr="00CA56B5">
        <w:t xml:space="preserve">The PSCR </w:t>
      </w:r>
      <w:r w:rsidR="005874E0" w:rsidRPr="00CA56B5">
        <w:t>provided</w:t>
      </w:r>
      <w:r w:rsidR="00FF3E10" w:rsidRPr="00CA56B5">
        <w:t xml:space="preserve"> the number of patients who died in CM816 </w:t>
      </w:r>
      <w:r w:rsidR="005874E0" w:rsidRPr="00CA56B5">
        <w:t xml:space="preserve">(19.9% (35/176) in </w:t>
      </w:r>
      <w:r w:rsidR="00FF3E10" w:rsidRPr="00CA56B5">
        <w:t xml:space="preserve">the neNIVO+neoChemo arm and </w:t>
      </w:r>
      <w:r w:rsidR="005874E0" w:rsidRPr="00CA56B5">
        <w:t xml:space="preserve">33.5% (59/176) in the neoChemo arm). </w:t>
      </w:r>
    </w:p>
    <w:p w14:paraId="50E75B35" w14:textId="312935BE" w:rsidR="002B169E" w:rsidRDefault="002B169E" w:rsidP="00F8716B">
      <w:pPr>
        <w:pStyle w:val="3-BodyText"/>
        <w:spacing w:after="0"/>
      </w:pPr>
      <w:r w:rsidRPr="002B169E">
        <w:t xml:space="preserve">Results for </w:t>
      </w:r>
      <w:r>
        <w:t xml:space="preserve">time to </w:t>
      </w:r>
      <w:r w:rsidR="009F367D">
        <w:t xml:space="preserve">death or </w:t>
      </w:r>
      <w:r>
        <w:t>distant metastases (</w:t>
      </w:r>
      <w:r w:rsidRPr="002B169E">
        <w:t>TTDM</w:t>
      </w:r>
      <w:r>
        <w:t>)</w:t>
      </w:r>
      <w:r w:rsidRPr="002B169E">
        <w:t xml:space="preserve"> are presented</w:t>
      </w:r>
      <w:r w:rsidR="00F8716B">
        <w:t xml:space="preserve"> in </w:t>
      </w:r>
      <w:r w:rsidR="00F8716B">
        <w:fldChar w:fldCharType="begin"/>
      </w:r>
      <w:r w:rsidR="00F8716B">
        <w:instrText xml:space="preserve"> REF _Ref121048782 \h </w:instrText>
      </w:r>
      <w:r w:rsidR="00F8716B">
        <w:fldChar w:fldCharType="separate"/>
      </w:r>
      <w:r w:rsidR="00A77D90">
        <w:t xml:space="preserve">Figure </w:t>
      </w:r>
      <w:r w:rsidR="00A77D90">
        <w:rPr>
          <w:noProof/>
        </w:rPr>
        <w:t>3</w:t>
      </w:r>
      <w:r w:rsidR="00F8716B">
        <w:fldChar w:fldCharType="end"/>
      </w:r>
      <w:r w:rsidR="00F8716B">
        <w:t>.</w:t>
      </w:r>
    </w:p>
    <w:p w14:paraId="4436129E" w14:textId="14619FD2" w:rsidR="002B169E" w:rsidRDefault="002B169E" w:rsidP="00891832">
      <w:pPr>
        <w:pStyle w:val="Caption"/>
        <w:spacing w:before="120"/>
      </w:pPr>
      <w:bookmarkStart w:id="36" w:name="_Ref121048782"/>
      <w:r>
        <w:t xml:space="preserve">Figure </w:t>
      </w:r>
      <w:r w:rsidR="00A77D90">
        <w:fldChar w:fldCharType="begin"/>
      </w:r>
      <w:r w:rsidR="00A77D90">
        <w:instrText xml:space="preserve"> SEQ Figure \* ARABIC </w:instrText>
      </w:r>
      <w:r w:rsidR="00A77D90">
        <w:fldChar w:fldCharType="separate"/>
      </w:r>
      <w:r w:rsidR="00A77D90">
        <w:rPr>
          <w:noProof/>
        </w:rPr>
        <w:t>3</w:t>
      </w:r>
      <w:r w:rsidR="00A77D90">
        <w:rPr>
          <w:noProof/>
        </w:rPr>
        <w:fldChar w:fldCharType="end"/>
      </w:r>
      <w:bookmarkEnd w:id="36"/>
      <w:r>
        <w:t>: Time to death or distant metastases Kaplan-Meier curves - CM816</w:t>
      </w:r>
    </w:p>
    <w:p w14:paraId="69751C66" w14:textId="77777777" w:rsidR="002B169E" w:rsidRPr="008115D7" w:rsidRDefault="002B169E" w:rsidP="002B169E">
      <w:pPr>
        <w:pStyle w:val="TableFooter"/>
      </w:pPr>
      <w:r w:rsidRPr="00094CFA">
        <w:rPr>
          <w:noProof/>
        </w:rPr>
        <w:drawing>
          <wp:inline distT="0" distB="0" distL="0" distR="0" wp14:anchorId="58D60551" wp14:editId="32469D35">
            <wp:extent cx="4754880" cy="3660751"/>
            <wp:effectExtent l="0" t="0" r="7620" b="0"/>
            <wp:docPr id="35" name="Picture 35" descr="Figure 3: Time to death or distant metastases Kaplan-Meier curves - CM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Figure 3: Time to death or distant metastases Kaplan-Meier curves - CM816"/>
                    <pic:cNvPicPr/>
                  </pic:nvPicPr>
                  <pic:blipFill>
                    <a:blip r:embed="rId10" cstate="screen">
                      <a:extLst>
                        <a:ext uri="{28A0092B-C50C-407E-A947-70E740481C1C}">
                          <a14:useLocalDpi xmlns:a14="http://schemas.microsoft.com/office/drawing/2010/main"/>
                        </a:ext>
                      </a:extLst>
                    </a:blip>
                    <a:stretch>
                      <a:fillRect/>
                    </a:stretch>
                  </pic:blipFill>
                  <pic:spPr>
                    <a:xfrm>
                      <a:off x="0" y="0"/>
                      <a:ext cx="4768545" cy="3671272"/>
                    </a:xfrm>
                    <a:prstGeom prst="rect">
                      <a:avLst/>
                    </a:prstGeom>
                  </pic:spPr>
                </pic:pic>
              </a:graphicData>
            </a:graphic>
          </wp:inline>
        </w:drawing>
      </w:r>
    </w:p>
    <w:p w14:paraId="4CCF6F90" w14:textId="77777777" w:rsidR="002B169E" w:rsidRDefault="002B169E" w:rsidP="002B169E">
      <w:pPr>
        <w:pStyle w:val="TableFooter"/>
      </w:pPr>
      <w:r>
        <w:t>Source: Figure 15, p84 of the submission.</w:t>
      </w:r>
    </w:p>
    <w:p w14:paraId="4CF7C07A" w14:textId="77777777" w:rsidR="002B169E" w:rsidRPr="00BD5927" w:rsidRDefault="002B169E" w:rsidP="002B169E">
      <w:pPr>
        <w:pStyle w:val="TableFooter"/>
      </w:pPr>
      <w:r>
        <w:t>CI=confidence interval; mo=months; NR=not reached; TTDM=</w:t>
      </w:r>
      <w:r w:rsidRPr="00114BA9">
        <w:t>Time to death or distant metastases</w:t>
      </w:r>
    </w:p>
    <w:p w14:paraId="2C94467B" w14:textId="463939C2" w:rsidR="002B169E" w:rsidRPr="00CA56B5" w:rsidRDefault="002B169E" w:rsidP="00891832">
      <w:pPr>
        <w:pStyle w:val="3-BodyText"/>
        <w:spacing w:before="120"/>
      </w:pPr>
      <w:r w:rsidRPr="002B169E">
        <w:t xml:space="preserve">The </w:t>
      </w:r>
      <w:r w:rsidR="000039B4">
        <w:t>neoNIVO</w:t>
      </w:r>
      <w:r w:rsidRPr="002B169E">
        <w:t>+</w:t>
      </w:r>
      <w:r w:rsidR="000039B4">
        <w:t>neoChemo</w:t>
      </w:r>
      <w:r w:rsidRPr="002B169E">
        <w:t xml:space="preserve"> arm was associated with a 47% reduction in the hazard of distant metastases or death compared to the </w:t>
      </w:r>
      <w:r w:rsidR="000039B4">
        <w:t>neoChemo</w:t>
      </w:r>
      <w:r w:rsidRPr="002B169E">
        <w:t xml:space="preserve"> arm (HR=0.53; 95% CI: 0.36, 0.77). The submission noted that the benefit of </w:t>
      </w:r>
      <w:r w:rsidR="000039B4">
        <w:t>neoNIVO</w:t>
      </w:r>
      <w:r w:rsidRPr="002B169E">
        <w:t>+</w:t>
      </w:r>
      <w:r w:rsidR="000039B4">
        <w:t>neoChemo</w:t>
      </w:r>
      <w:r w:rsidRPr="002B169E">
        <w:t xml:space="preserve"> in delaying distant metastases is likely contributing to the improvement in OS reported in the </w:t>
      </w:r>
      <w:r w:rsidR="000039B4">
        <w:t>neoNIVO</w:t>
      </w:r>
      <w:r w:rsidRPr="002B169E">
        <w:t>+</w:t>
      </w:r>
      <w:r w:rsidR="000039B4">
        <w:t>neoChemo</w:t>
      </w:r>
      <w:r w:rsidRPr="002B169E">
        <w:t xml:space="preserve"> arm of CM816</w:t>
      </w:r>
      <w:r w:rsidR="00F8716B">
        <w:t>.</w:t>
      </w:r>
      <w:r w:rsidR="00637AA6">
        <w:t xml:space="preserve"> </w:t>
      </w:r>
      <w:r w:rsidR="00637AA6" w:rsidRPr="00CA56B5">
        <w:t xml:space="preserve">The ESC considered that the </w:t>
      </w:r>
      <w:r w:rsidR="00CC0770" w:rsidRPr="00CA56B5">
        <w:t>composite</w:t>
      </w:r>
      <w:r w:rsidR="00637AA6" w:rsidRPr="00CA56B5">
        <w:t xml:space="preserve"> endpoint of distant metastases or death </w:t>
      </w:r>
      <w:r w:rsidR="00D4594F" w:rsidRPr="00CA56B5">
        <w:t>was</w:t>
      </w:r>
      <w:r w:rsidR="00637AA6" w:rsidRPr="00CA56B5">
        <w:t xml:space="preserve"> clinically meaningful for this patient group. </w:t>
      </w:r>
    </w:p>
    <w:p w14:paraId="2A968674" w14:textId="60A88D38" w:rsidR="00F8716B" w:rsidRDefault="00F8716B" w:rsidP="00FE5DCE">
      <w:pPr>
        <w:pStyle w:val="3-BodyText"/>
      </w:pPr>
      <w:r w:rsidRPr="00F8716B">
        <w:t>The percentage of patients with a pCR</w:t>
      </w:r>
      <w:r w:rsidR="00CC7AE8">
        <w:rPr>
          <w:rStyle w:val="FootnoteReference"/>
        </w:rPr>
        <w:t xml:space="preserve"> </w:t>
      </w:r>
      <w:r w:rsidRPr="00F8716B">
        <w:t xml:space="preserve">was 24.0% in the </w:t>
      </w:r>
      <w:r w:rsidR="000039B4">
        <w:t>neoNIVO</w:t>
      </w:r>
      <w:r w:rsidRPr="00F8716B">
        <w:t>+</w:t>
      </w:r>
      <w:r w:rsidR="000039B4">
        <w:t>neoChemo</w:t>
      </w:r>
      <w:r w:rsidRPr="00F8716B">
        <w:t xml:space="preserve"> arm and 2.2% in the </w:t>
      </w:r>
      <w:r w:rsidR="000039B4">
        <w:t>neoChemo</w:t>
      </w:r>
      <w:r w:rsidRPr="00F8716B">
        <w:t xml:space="preserve"> arm (odds ratio</w:t>
      </w:r>
      <w:r w:rsidR="00891832">
        <w:t xml:space="preserve"> [OR] </w:t>
      </w:r>
      <w:r w:rsidRPr="00F8716B">
        <w:t>=13.9; 99% CI: 3.5, 55.8; p&lt;0.001).</w:t>
      </w:r>
      <w:r>
        <w:t xml:space="preserve"> </w:t>
      </w:r>
      <w:r w:rsidRPr="00F8716B">
        <w:t xml:space="preserve">The percentage of patients with a </w:t>
      </w:r>
      <w:r w:rsidR="007B0FB6">
        <w:t>major pathological response (</w:t>
      </w:r>
      <w:r w:rsidRPr="00F8716B">
        <w:t>MPR</w:t>
      </w:r>
      <w:r w:rsidR="007B0FB6">
        <w:t>)</w:t>
      </w:r>
      <w:r w:rsidR="007B0FB6">
        <w:rPr>
          <w:rStyle w:val="FootnoteReference"/>
        </w:rPr>
        <w:footnoteReference w:id="16"/>
      </w:r>
      <w:r w:rsidRPr="00F8716B">
        <w:t xml:space="preserve"> was 36.9% in the </w:t>
      </w:r>
      <w:r w:rsidR="000039B4">
        <w:t>neoNIVO</w:t>
      </w:r>
      <w:r w:rsidRPr="00F8716B">
        <w:t>+</w:t>
      </w:r>
      <w:r w:rsidR="000039B4">
        <w:t>neoChemo</w:t>
      </w:r>
      <w:r w:rsidRPr="00F8716B">
        <w:t xml:space="preserve"> arm and 8.9% in the </w:t>
      </w:r>
      <w:r w:rsidR="000039B4">
        <w:t>neoChemo</w:t>
      </w:r>
      <w:r w:rsidRPr="00F8716B">
        <w:t xml:space="preserve"> arm (</w:t>
      </w:r>
      <w:r w:rsidR="00891832">
        <w:t>OR</w:t>
      </w:r>
      <w:r w:rsidRPr="00F8716B">
        <w:t>=5.7; 99% CI: 3.2, 10.3)</w:t>
      </w:r>
      <w:r w:rsidR="00A20B5A">
        <w:t>.</w:t>
      </w:r>
    </w:p>
    <w:p w14:paraId="6BB0E495" w14:textId="7F0AC545" w:rsidR="00A20B5A" w:rsidRPr="00A20B5A" w:rsidRDefault="00A20B5A" w:rsidP="00FE5DCE">
      <w:pPr>
        <w:pStyle w:val="3-BodyText"/>
      </w:pPr>
      <w:r w:rsidRPr="00A20B5A">
        <w:rPr>
          <w:lang w:val="en-US"/>
        </w:rPr>
        <w:t xml:space="preserve">Surgical outcomes </w:t>
      </w:r>
      <w:r>
        <w:rPr>
          <w:lang w:val="en-US"/>
        </w:rPr>
        <w:t>in</w:t>
      </w:r>
      <w:r w:rsidRPr="00A20B5A">
        <w:rPr>
          <w:lang w:val="en-US"/>
        </w:rPr>
        <w:t xml:space="preserve"> CM816 are </w:t>
      </w:r>
      <w:r w:rsidRPr="00452D64">
        <w:t>summarised</w:t>
      </w:r>
      <w:r w:rsidRPr="00A20B5A">
        <w:rPr>
          <w:lang w:val="en-US"/>
        </w:rPr>
        <w:t xml:space="preserve"> in</w:t>
      </w:r>
      <w:r w:rsidR="007B0FB6">
        <w:rPr>
          <w:lang w:val="en-US"/>
        </w:rPr>
        <w:t xml:space="preserve"> </w:t>
      </w:r>
      <w:r w:rsidR="007B0FB6">
        <w:rPr>
          <w:lang w:val="en-US"/>
        </w:rPr>
        <w:fldChar w:fldCharType="begin"/>
      </w:r>
      <w:r w:rsidR="007B0FB6">
        <w:rPr>
          <w:lang w:val="en-US"/>
        </w:rPr>
        <w:instrText xml:space="preserve"> REF _Ref121721944 \h </w:instrText>
      </w:r>
      <w:r w:rsidR="007B0FB6">
        <w:rPr>
          <w:lang w:val="en-US"/>
        </w:rPr>
      </w:r>
      <w:r w:rsidR="007B0FB6">
        <w:rPr>
          <w:lang w:val="en-US"/>
        </w:rPr>
        <w:fldChar w:fldCharType="separate"/>
      </w:r>
      <w:r w:rsidR="00A77D90">
        <w:t xml:space="preserve">Table </w:t>
      </w:r>
      <w:r w:rsidR="00A77D90">
        <w:rPr>
          <w:noProof/>
        </w:rPr>
        <w:t>7</w:t>
      </w:r>
      <w:r w:rsidR="007B0FB6">
        <w:rPr>
          <w:lang w:val="en-US"/>
        </w:rPr>
        <w:fldChar w:fldCharType="end"/>
      </w:r>
      <w:r w:rsidR="009F367D">
        <w:rPr>
          <w:lang w:val="en-US"/>
        </w:rPr>
        <w:t>.</w:t>
      </w:r>
    </w:p>
    <w:p w14:paraId="7C3E1D2A" w14:textId="5B927365" w:rsidR="00A20B5A" w:rsidRDefault="00A20B5A" w:rsidP="00A20B5A">
      <w:pPr>
        <w:pStyle w:val="Caption"/>
      </w:pPr>
      <w:bookmarkStart w:id="37" w:name="_Ref121721944"/>
      <w:r>
        <w:t xml:space="preserve">Table </w:t>
      </w:r>
      <w:r w:rsidR="00A77D90">
        <w:fldChar w:fldCharType="begin"/>
      </w:r>
      <w:r w:rsidR="00A77D90">
        <w:instrText xml:space="preserve"> SEQ Table \* ARABIC </w:instrText>
      </w:r>
      <w:r w:rsidR="00A77D90">
        <w:fldChar w:fldCharType="separate"/>
      </w:r>
      <w:r w:rsidR="00A77D90">
        <w:rPr>
          <w:noProof/>
        </w:rPr>
        <w:t>7</w:t>
      </w:r>
      <w:r w:rsidR="00A77D90">
        <w:rPr>
          <w:noProof/>
        </w:rPr>
        <w:fldChar w:fldCharType="end"/>
      </w:r>
      <w:bookmarkEnd w:id="37"/>
      <w:r>
        <w:t>: Summary of surgical outcomes - CM816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9"/>
        <w:gridCol w:w="2159"/>
        <w:gridCol w:w="2159"/>
      </w:tblGrid>
      <w:tr w:rsidR="00A20B5A" w:rsidRPr="00FA7F0B" w14:paraId="57B1FF47"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tcPr>
          <w:p w14:paraId="75F1C9F8" w14:textId="77777777" w:rsidR="00A20B5A" w:rsidRPr="00D66A8A" w:rsidRDefault="00A20B5A" w:rsidP="00276A2C">
            <w:pPr>
              <w:pStyle w:val="Tabletext"/>
              <w:keepNext/>
              <w:rPr>
                <w:b/>
              </w:rPr>
            </w:pP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57DE16B8" w14:textId="502D3F43" w:rsidR="00A20B5A" w:rsidRPr="00D66A8A" w:rsidRDefault="000039B4" w:rsidP="00276A2C">
            <w:pPr>
              <w:pStyle w:val="Tabletext"/>
              <w:keepNext/>
              <w:rPr>
                <w:b/>
              </w:rPr>
            </w:pPr>
            <w:r>
              <w:rPr>
                <w:b/>
              </w:rPr>
              <w:t>neoNIVO</w:t>
            </w:r>
            <w:r w:rsidR="00A20B5A" w:rsidRPr="00D66A8A">
              <w:rPr>
                <w:b/>
              </w:rPr>
              <w:t>+</w:t>
            </w:r>
            <w:r>
              <w:rPr>
                <w:b/>
              </w:rPr>
              <w:t>neoChemo</w:t>
            </w:r>
            <w:r w:rsidR="00A20B5A" w:rsidRPr="00D66A8A">
              <w:rPr>
                <w:b/>
              </w:rPr>
              <w:t xml:space="preserve"> (N=179)</w:t>
            </w: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166D60EF" w14:textId="77777777" w:rsidR="0086755D" w:rsidRDefault="000039B4" w:rsidP="00276A2C">
            <w:pPr>
              <w:pStyle w:val="Tabletext"/>
              <w:keepNext/>
              <w:rPr>
                <w:b/>
              </w:rPr>
            </w:pPr>
            <w:r>
              <w:rPr>
                <w:b/>
              </w:rPr>
              <w:t>neoChemo</w:t>
            </w:r>
            <w:r w:rsidR="00A20B5A" w:rsidRPr="00D66A8A">
              <w:rPr>
                <w:b/>
              </w:rPr>
              <w:t xml:space="preserve"> </w:t>
            </w:r>
          </w:p>
          <w:p w14:paraId="7E1A72C6" w14:textId="3F435DAC" w:rsidR="00A20B5A" w:rsidRPr="00D66A8A" w:rsidRDefault="00A20B5A" w:rsidP="00276A2C">
            <w:pPr>
              <w:pStyle w:val="Tabletext"/>
              <w:keepNext/>
              <w:rPr>
                <w:b/>
              </w:rPr>
            </w:pPr>
            <w:r w:rsidRPr="00D66A8A">
              <w:rPr>
                <w:b/>
              </w:rPr>
              <w:t>(N=179)</w:t>
            </w:r>
          </w:p>
        </w:tc>
      </w:tr>
      <w:tr w:rsidR="00A20B5A" w:rsidRPr="00FA7F0B" w14:paraId="05D81765"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29B2F9E" w14:textId="77777777" w:rsidR="00A20B5A" w:rsidRPr="00FA7F0B" w:rsidRDefault="00A20B5A" w:rsidP="00276A2C">
            <w:pPr>
              <w:pStyle w:val="Tabletext"/>
              <w:keepNext/>
            </w:pPr>
            <w:r w:rsidRPr="00FA7F0B">
              <w:t>Patients with definitive surgery</w:t>
            </w:r>
            <w:r>
              <w:t xml:space="preserve">, n </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767E9EA8" w14:textId="77777777" w:rsidR="00A20B5A" w:rsidRPr="00FA7F0B" w:rsidRDefault="00A20B5A" w:rsidP="00276A2C">
            <w:pPr>
              <w:pStyle w:val="Tabletext"/>
              <w:keepNext/>
            </w:pPr>
            <w:r w:rsidRPr="00FA7F0B">
              <w:t>149 (83</w:t>
            </w:r>
            <w:r>
              <w:t>%</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72998033" w14:textId="77777777" w:rsidR="00A20B5A" w:rsidRPr="00FA7F0B" w:rsidRDefault="00A20B5A" w:rsidP="00276A2C">
            <w:pPr>
              <w:pStyle w:val="Tabletext"/>
              <w:keepNext/>
            </w:pPr>
            <w:r w:rsidRPr="00FA7F0B">
              <w:t>135 (75</w:t>
            </w:r>
            <w:r>
              <w:t>%</w:t>
            </w:r>
            <w:r w:rsidRPr="00FA7F0B">
              <w:t>)</w:t>
            </w:r>
          </w:p>
        </w:tc>
      </w:tr>
      <w:tr w:rsidR="00A20B5A" w:rsidRPr="00FA7F0B" w14:paraId="40E818E3"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0642B3" w14:textId="77777777" w:rsidR="00A20B5A" w:rsidRPr="00FA7F0B" w:rsidRDefault="00A20B5A" w:rsidP="00276A2C">
            <w:pPr>
              <w:pStyle w:val="Tabletext"/>
              <w:keepNext/>
            </w:pPr>
            <w:r w:rsidRPr="00FA7F0B">
              <w:t>Time from last neoadjuvant dose to definitive surgery</w:t>
            </w:r>
            <w:r>
              <w:t>, weeks: Median (interquartile range: IQR)</w:t>
            </w: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6139B207" w14:textId="77777777" w:rsidR="00A20B5A" w:rsidRPr="00FA7F0B" w:rsidRDefault="00A20B5A" w:rsidP="00276A2C">
            <w:pPr>
              <w:pStyle w:val="Tabletext"/>
              <w:keepNext/>
            </w:pPr>
            <w:r w:rsidRPr="00FA7F0B">
              <w:t>5.3 (4.6–6.0)</w:t>
            </w: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7D6FB10C" w14:textId="77777777" w:rsidR="00A20B5A" w:rsidRPr="00FA7F0B" w:rsidRDefault="00A20B5A" w:rsidP="00276A2C">
            <w:pPr>
              <w:pStyle w:val="Tabletext"/>
              <w:keepNext/>
            </w:pPr>
            <w:r w:rsidRPr="00FA7F0B">
              <w:t>5.0 (4.6–5.9)</w:t>
            </w:r>
          </w:p>
        </w:tc>
      </w:tr>
      <w:tr w:rsidR="00A20B5A" w:rsidRPr="00FA7F0B" w14:paraId="450B2B58"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30F9C4D" w14:textId="77777777" w:rsidR="00A20B5A" w:rsidRPr="00FA7F0B" w:rsidRDefault="00A20B5A" w:rsidP="00276A2C">
            <w:pPr>
              <w:pStyle w:val="Tabletext"/>
              <w:keepNext/>
            </w:pPr>
            <w:r w:rsidRPr="00FA7F0B">
              <w:t>Patients with cancelled definitive surgery</w:t>
            </w:r>
            <w:r>
              <w:t xml:space="preserve">, n </w:t>
            </w:r>
            <w:r w:rsidRPr="00FA7F0B">
              <w:t>(%)</w:t>
            </w:r>
            <w:r w:rsidR="000C5855">
              <w:t>, due to</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28EBF5AA" w14:textId="77777777" w:rsidR="00A20B5A" w:rsidRPr="00FA7F0B" w:rsidRDefault="00A20B5A" w:rsidP="00276A2C">
            <w:pPr>
              <w:pStyle w:val="Tabletext"/>
              <w:keepNext/>
            </w:pPr>
            <w:r w:rsidRPr="00FA7F0B">
              <w:t>28 (16</w:t>
            </w:r>
            <w:r>
              <w:t>%</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7F3C3D5E" w14:textId="77777777" w:rsidR="00A20B5A" w:rsidRPr="00FA7F0B" w:rsidRDefault="00A20B5A" w:rsidP="00276A2C">
            <w:pPr>
              <w:pStyle w:val="Tabletext"/>
              <w:keepNext/>
            </w:pPr>
            <w:r w:rsidRPr="00FA7F0B">
              <w:t>37 (2</w:t>
            </w:r>
            <w:r>
              <w:t>1%</w:t>
            </w:r>
            <w:r w:rsidRPr="00FA7F0B">
              <w:t>)</w:t>
            </w:r>
          </w:p>
        </w:tc>
      </w:tr>
      <w:tr w:rsidR="00A20B5A" w:rsidRPr="00FA7F0B" w14:paraId="237F9DA8"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88AB3E5" w14:textId="77777777" w:rsidR="00A20B5A" w:rsidRPr="00FA7F0B" w:rsidRDefault="00A20B5A" w:rsidP="00276A2C">
            <w:pPr>
              <w:pStyle w:val="Tabletext"/>
              <w:keepNext/>
              <w:ind w:left="720"/>
            </w:pPr>
            <w:r w:rsidRPr="00FA7F0B">
              <w:t>Disease progression</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5C244BBB" w14:textId="77777777" w:rsidR="00A20B5A" w:rsidRPr="00FA7F0B" w:rsidRDefault="00A20B5A" w:rsidP="00276A2C">
            <w:pPr>
              <w:pStyle w:val="Tabletext"/>
              <w:keepNext/>
            </w:pPr>
            <w:r w:rsidRPr="00FA7F0B">
              <w:t>12 (7</w:t>
            </w:r>
            <w:r>
              <w:t>%</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777A2237" w14:textId="77777777" w:rsidR="00A20B5A" w:rsidRPr="00FA7F0B" w:rsidRDefault="00A20B5A" w:rsidP="00276A2C">
            <w:pPr>
              <w:pStyle w:val="Tabletext"/>
              <w:keepNext/>
            </w:pPr>
            <w:r w:rsidRPr="00FA7F0B">
              <w:t>17 (</w:t>
            </w:r>
            <w:r>
              <w:t>10%</w:t>
            </w:r>
            <w:r w:rsidRPr="00FA7F0B">
              <w:t>)</w:t>
            </w:r>
          </w:p>
        </w:tc>
      </w:tr>
      <w:tr w:rsidR="00A20B5A" w:rsidRPr="00FA7F0B" w14:paraId="5AFD9FBF"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1CFEB4D" w14:textId="77777777" w:rsidR="00A20B5A" w:rsidRPr="00FA7F0B" w:rsidRDefault="00A20B5A" w:rsidP="00276A2C">
            <w:pPr>
              <w:pStyle w:val="Tabletext"/>
              <w:keepNext/>
              <w:ind w:left="720"/>
            </w:pPr>
            <w:r w:rsidRPr="00FA7F0B">
              <w:t>Adverse event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5082EECB" w14:textId="77777777" w:rsidR="00A20B5A" w:rsidRPr="00FA7F0B" w:rsidRDefault="00A20B5A" w:rsidP="00276A2C">
            <w:pPr>
              <w:pStyle w:val="Tabletext"/>
              <w:keepNext/>
            </w:pPr>
            <w:r w:rsidRPr="00FA7F0B">
              <w:t>2 (1</w:t>
            </w:r>
            <w:r>
              <w:t>%</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4A0FCB78" w14:textId="77777777" w:rsidR="00A20B5A" w:rsidRPr="00FA7F0B" w:rsidRDefault="00A20B5A" w:rsidP="00276A2C">
            <w:pPr>
              <w:pStyle w:val="Tabletext"/>
              <w:keepNext/>
            </w:pPr>
            <w:r w:rsidRPr="00FA7F0B">
              <w:t>1 (0.6</w:t>
            </w:r>
            <w:r>
              <w:t>%</w:t>
            </w:r>
            <w:r w:rsidRPr="00FA7F0B">
              <w:t>)</w:t>
            </w:r>
          </w:p>
        </w:tc>
      </w:tr>
      <w:tr w:rsidR="00A20B5A" w:rsidRPr="00FA7F0B" w14:paraId="06522F1E"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E64478" w14:textId="77777777" w:rsidR="00A20B5A" w:rsidRPr="00FA7F0B" w:rsidRDefault="00A20B5A" w:rsidP="00276A2C">
            <w:pPr>
              <w:pStyle w:val="Tabletext"/>
              <w:keepNext/>
              <w:ind w:left="720"/>
            </w:pPr>
            <w:r w:rsidRPr="00FA7F0B">
              <w:t>Other</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72DD8083" w14:textId="77777777" w:rsidR="00A20B5A" w:rsidRPr="00FA7F0B" w:rsidRDefault="00A20B5A" w:rsidP="00276A2C">
            <w:pPr>
              <w:pStyle w:val="Tabletext"/>
              <w:keepNext/>
            </w:pPr>
            <w:r w:rsidRPr="00FA7F0B">
              <w:t>14 (8</w:t>
            </w:r>
            <w:r>
              <w:t>%</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36982863" w14:textId="77777777" w:rsidR="00A20B5A" w:rsidRPr="00FA7F0B" w:rsidRDefault="00A20B5A" w:rsidP="00276A2C">
            <w:pPr>
              <w:pStyle w:val="Tabletext"/>
              <w:keepNext/>
            </w:pPr>
            <w:r w:rsidRPr="00FA7F0B">
              <w:t>19 (1</w:t>
            </w:r>
            <w:r>
              <w:t>1%</w:t>
            </w:r>
            <w:r w:rsidRPr="00FA7F0B">
              <w:t>)</w:t>
            </w:r>
          </w:p>
        </w:tc>
      </w:tr>
      <w:tr w:rsidR="00A20B5A" w:rsidRPr="00FA7F0B" w14:paraId="0DC62914"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9E63A83" w14:textId="77777777" w:rsidR="00A20B5A" w:rsidRPr="00FA7F0B" w:rsidRDefault="00A20B5A" w:rsidP="00276A2C">
            <w:pPr>
              <w:pStyle w:val="Tabletext"/>
              <w:keepNext/>
            </w:pPr>
            <w:r w:rsidRPr="00FA7F0B">
              <w:t>Patients with delayed surgery</w:t>
            </w:r>
            <w:r>
              <w:t xml:space="preserve">, n </w:t>
            </w:r>
            <w:r w:rsidRPr="00FA7F0B">
              <w:t>(%)</w:t>
            </w:r>
            <w:r w:rsidR="000C5855">
              <w:t>, due to</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305F784D" w14:textId="77777777" w:rsidR="00A20B5A" w:rsidRPr="00FA7F0B" w:rsidRDefault="00A20B5A" w:rsidP="00276A2C">
            <w:pPr>
              <w:pStyle w:val="Tabletext"/>
              <w:keepNext/>
            </w:pPr>
            <w:r w:rsidRPr="00FA7F0B">
              <w:t>31 (2</w:t>
            </w:r>
            <w:r>
              <w:t>1%</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5996EB1A" w14:textId="77777777" w:rsidR="00A20B5A" w:rsidRPr="00FA7F0B" w:rsidRDefault="00A20B5A" w:rsidP="00276A2C">
            <w:pPr>
              <w:pStyle w:val="Tabletext"/>
              <w:keepNext/>
            </w:pPr>
            <w:r w:rsidRPr="00FA7F0B">
              <w:t>24 (18</w:t>
            </w:r>
            <w:r>
              <w:t>%</w:t>
            </w:r>
            <w:r w:rsidRPr="00FA7F0B">
              <w:t>)</w:t>
            </w:r>
          </w:p>
        </w:tc>
      </w:tr>
      <w:tr w:rsidR="00A20B5A" w:rsidRPr="00FA7F0B" w14:paraId="155B8C6F"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6229593" w14:textId="77777777" w:rsidR="00A20B5A" w:rsidRPr="00FA7F0B" w:rsidRDefault="00A20B5A" w:rsidP="00276A2C">
            <w:pPr>
              <w:pStyle w:val="Tabletext"/>
              <w:keepNext/>
              <w:ind w:left="720"/>
            </w:pPr>
            <w:r w:rsidRPr="00FA7F0B">
              <w:t>Administrative reason</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77D0C971" w14:textId="77777777" w:rsidR="00A20B5A" w:rsidRPr="00FA7F0B" w:rsidRDefault="00A20B5A" w:rsidP="00276A2C">
            <w:pPr>
              <w:pStyle w:val="Tabletext"/>
              <w:keepNext/>
            </w:pPr>
            <w:r w:rsidRPr="00FA7F0B">
              <w:t>17 (11</w:t>
            </w:r>
            <w:r>
              <w:t>%</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1FCCF83A" w14:textId="77777777" w:rsidR="00A20B5A" w:rsidRPr="00FA7F0B" w:rsidRDefault="00A20B5A" w:rsidP="00276A2C">
            <w:pPr>
              <w:pStyle w:val="Tabletext"/>
              <w:keepNext/>
            </w:pPr>
            <w:r w:rsidRPr="00FA7F0B">
              <w:t>8 (</w:t>
            </w:r>
            <w:r>
              <w:t>6%</w:t>
            </w:r>
            <w:r w:rsidRPr="00FA7F0B">
              <w:t>)</w:t>
            </w:r>
          </w:p>
        </w:tc>
      </w:tr>
      <w:tr w:rsidR="00A20B5A" w:rsidRPr="00FA7F0B" w14:paraId="53D68B17"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273D1C" w14:textId="77777777" w:rsidR="00A20B5A" w:rsidRPr="00FA7F0B" w:rsidRDefault="00A20B5A" w:rsidP="00276A2C">
            <w:pPr>
              <w:pStyle w:val="Tabletext"/>
              <w:keepNext/>
              <w:ind w:left="720"/>
            </w:pPr>
            <w:r w:rsidRPr="00FA7F0B">
              <w:t>Adverse event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2060639E" w14:textId="77777777" w:rsidR="00A20B5A" w:rsidRPr="00FA7F0B" w:rsidRDefault="00A20B5A" w:rsidP="00276A2C">
            <w:pPr>
              <w:pStyle w:val="Tabletext"/>
              <w:keepNext/>
            </w:pPr>
            <w:r w:rsidRPr="00FA7F0B">
              <w:t>6 (4</w:t>
            </w:r>
            <w:r>
              <w:t>%</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2CDA7566" w14:textId="77777777" w:rsidR="00A20B5A" w:rsidRPr="00FA7F0B" w:rsidRDefault="00A20B5A" w:rsidP="00276A2C">
            <w:pPr>
              <w:pStyle w:val="Tabletext"/>
              <w:keepNext/>
            </w:pPr>
            <w:r w:rsidRPr="00FA7F0B">
              <w:t>9 (7</w:t>
            </w:r>
            <w:r>
              <w:t>%</w:t>
            </w:r>
            <w:r w:rsidRPr="00FA7F0B">
              <w:t>)</w:t>
            </w:r>
          </w:p>
        </w:tc>
      </w:tr>
      <w:tr w:rsidR="00A20B5A" w:rsidRPr="00FA7F0B" w14:paraId="43AAC884"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8A2E4AB" w14:textId="77777777" w:rsidR="00A20B5A" w:rsidRPr="00FA7F0B" w:rsidRDefault="00A20B5A" w:rsidP="00276A2C">
            <w:pPr>
              <w:pStyle w:val="Tabletext"/>
              <w:keepNext/>
              <w:ind w:left="720"/>
            </w:pPr>
            <w:r w:rsidRPr="00FA7F0B">
              <w:t>Other</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4C2B62DD" w14:textId="77777777" w:rsidR="00A20B5A" w:rsidRPr="00FA7F0B" w:rsidRDefault="00A20B5A" w:rsidP="00276A2C">
            <w:pPr>
              <w:pStyle w:val="Tabletext"/>
              <w:keepNext/>
            </w:pPr>
            <w:r w:rsidRPr="00FA7F0B">
              <w:t>8 (5</w:t>
            </w:r>
            <w:r>
              <w:t>%</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377CA3F5" w14:textId="77777777" w:rsidR="00A20B5A" w:rsidRPr="00FA7F0B" w:rsidRDefault="00A20B5A" w:rsidP="00276A2C">
            <w:pPr>
              <w:pStyle w:val="Tabletext"/>
              <w:keepNext/>
            </w:pPr>
            <w:r w:rsidRPr="00FA7F0B">
              <w:t>7 (5</w:t>
            </w:r>
            <w:r>
              <w:t>%</w:t>
            </w:r>
            <w:r w:rsidRPr="00FA7F0B">
              <w:t>)</w:t>
            </w:r>
          </w:p>
        </w:tc>
      </w:tr>
      <w:tr w:rsidR="00A20B5A" w:rsidRPr="00FA7F0B" w14:paraId="77D0F05C"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9DB59FB" w14:textId="77777777" w:rsidR="00A20B5A" w:rsidRPr="00FA7F0B" w:rsidRDefault="00A20B5A" w:rsidP="00276A2C">
            <w:pPr>
              <w:pStyle w:val="Tabletext"/>
              <w:keepNext/>
            </w:pPr>
            <w:r w:rsidRPr="00FA7F0B">
              <w:t>Length of delay in surgery</w:t>
            </w:r>
            <w:r>
              <w:t>, weeks: Median (IQR)</w:t>
            </w: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3F17A67C" w14:textId="77777777" w:rsidR="00A20B5A" w:rsidRPr="00FA7F0B" w:rsidRDefault="00A20B5A" w:rsidP="00276A2C">
            <w:pPr>
              <w:pStyle w:val="Tabletext"/>
              <w:keepNext/>
            </w:pPr>
            <w:r w:rsidRPr="00FA7F0B">
              <w:t>2.0 (0.6–3.0)</w:t>
            </w: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095AB4A6" w14:textId="77777777" w:rsidR="00A20B5A" w:rsidRPr="00FA7F0B" w:rsidRDefault="00A20B5A" w:rsidP="00276A2C">
            <w:pPr>
              <w:pStyle w:val="Tabletext"/>
              <w:keepNext/>
            </w:pPr>
            <w:r w:rsidRPr="00FA7F0B">
              <w:t>2.4 (1.0–3.7)</w:t>
            </w:r>
          </w:p>
        </w:tc>
      </w:tr>
      <w:tr w:rsidR="00CD083E" w:rsidRPr="00FA7F0B" w14:paraId="50D2CDCE" w14:textId="77777777" w:rsidTr="005973DA">
        <w:tc>
          <w:tcPr>
            <w:tcW w:w="9017" w:type="dxa"/>
            <w:gridSpan w:val="3"/>
            <w:tcBorders>
              <w:top w:val="single" w:sz="4" w:space="0" w:color="auto"/>
              <w:left w:val="single" w:sz="4" w:space="0" w:color="auto"/>
              <w:bottom w:val="single" w:sz="4" w:space="0" w:color="auto"/>
              <w:right w:val="single" w:sz="4" w:space="0" w:color="auto"/>
            </w:tcBorders>
            <w:shd w:val="clear" w:color="auto" w:fill="auto"/>
            <w:hideMark/>
          </w:tcPr>
          <w:p w14:paraId="25A1F222" w14:textId="77777777" w:rsidR="00CD083E" w:rsidRPr="00FA7F0B" w:rsidRDefault="00CD083E" w:rsidP="00276A2C">
            <w:pPr>
              <w:pStyle w:val="Tabletext"/>
              <w:keepNext/>
            </w:pPr>
            <w:r w:rsidRPr="00FA7F0B">
              <w:t xml:space="preserve">Of patients with delayed surgery, proportion </w:t>
            </w:r>
            <w:r>
              <w:t>with delay of, n (%)</w:t>
            </w:r>
          </w:p>
        </w:tc>
      </w:tr>
      <w:tr w:rsidR="00A20B5A" w:rsidRPr="00FA7F0B" w14:paraId="311042DB"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22E2E4E" w14:textId="77777777" w:rsidR="00A20B5A" w:rsidRPr="00FA7F0B" w:rsidRDefault="00A20B5A" w:rsidP="00276A2C">
            <w:pPr>
              <w:pStyle w:val="Tabletext"/>
              <w:keepNext/>
              <w:ind w:left="720"/>
            </w:pPr>
            <w:r w:rsidRPr="00FA7F0B">
              <w:t>≤2 w</w:t>
            </w:r>
            <w:r>
              <w:t>eeks</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00B33158" w14:textId="77777777" w:rsidR="00A20B5A" w:rsidRPr="00FA7F0B" w:rsidRDefault="00A20B5A" w:rsidP="00276A2C">
            <w:pPr>
              <w:pStyle w:val="Tabletext"/>
              <w:keepNext/>
            </w:pPr>
            <w:r w:rsidRPr="00FA7F0B">
              <w:t>17 (5</w:t>
            </w:r>
            <w:r>
              <w:t>5%</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7578A9A0" w14:textId="77777777" w:rsidR="00A20B5A" w:rsidRPr="00FA7F0B" w:rsidRDefault="00A20B5A" w:rsidP="00276A2C">
            <w:pPr>
              <w:pStyle w:val="Tabletext"/>
              <w:keepNext/>
            </w:pPr>
            <w:r w:rsidRPr="00FA7F0B">
              <w:t>11 (4</w:t>
            </w:r>
            <w:r>
              <w:t>6%</w:t>
            </w:r>
            <w:r w:rsidRPr="00FA7F0B">
              <w:t>)</w:t>
            </w:r>
          </w:p>
        </w:tc>
      </w:tr>
      <w:tr w:rsidR="00A20B5A" w:rsidRPr="00FA7F0B" w14:paraId="6201CD7C"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7E1A7F2" w14:textId="77777777" w:rsidR="00A20B5A" w:rsidRPr="00FA7F0B" w:rsidRDefault="00A20B5A" w:rsidP="00276A2C">
            <w:pPr>
              <w:pStyle w:val="Tabletext"/>
              <w:keepNext/>
              <w:ind w:left="720"/>
            </w:pPr>
            <w:r w:rsidRPr="00FA7F0B">
              <w:t>&gt;2 and ≤4 w</w:t>
            </w:r>
            <w:r>
              <w:t>ee</w:t>
            </w:r>
            <w:r w:rsidRPr="00FA7F0B">
              <w:t>k</w:t>
            </w:r>
            <w:r>
              <w:t>s</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06F4C755" w14:textId="77777777" w:rsidR="00A20B5A" w:rsidRPr="00FA7F0B" w:rsidRDefault="00A20B5A" w:rsidP="00276A2C">
            <w:pPr>
              <w:pStyle w:val="Tabletext"/>
              <w:keepNext/>
            </w:pPr>
            <w:r w:rsidRPr="00FA7F0B">
              <w:t>8 (2</w:t>
            </w:r>
            <w:r>
              <w:t>6%</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778FC83D" w14:textId="77777777" w:rsidR="00A20B5A" w:rsidRPr="00FA7F0B" w:rsidRDefault="00A20B5A" w:rsidP="00276A2C">
            <w:pPr>
              <w:pStyle w:val="Tabletext"/>
              <w:keepNext/>
            </w:pPr>
            <w:r w:rsidRPr="00FA7F0B">
              <w:t>8 (33</w:t>
            </w:r>
            <w:r>
              <w:t>%</w:t>
            </w:r>
            <w:r w:rsidRPr="00FA7F0B">
              <w:t>)</w:t>
            </w:r>
          </w:p>
        </w:tc>
      </w:tr>
      <w:tr w:rsidR="00A20B5A" w:rsidRPr="00FA7F0B" w14:paraId="3930904E"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A34FBAA" w14:textId="77777777" w:rsidR="00A20B5A" w:rsidRPr="00FA7F0B" w:rsidRDefault="00A20B5A" w:rsidP="00276A2C">
            <w:pPr>
              <w:pStyle w:val="Tabletext"/>
              <w:keepNext/>
              <w:ind w:left="720"/>
            </w:pPr>
            <w:r w:rsidRPr="00FA7F0B">
              <w:t>&gt;4 and ≤6 w</w:t>
            </w:r>
            <w:r>
              <w:t>ee</w:t>
            </w:r>
            <w:r w:rsidRPr="00FA7F0B">
              <w:t>k</w:t>
            </w:r>
            <w:r>
              <w:t>s</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5DA79EFE" w14:textId="77777777" w:rsidR="00A20B5A" w:rsidRPr="00FA7F0B" w:rsidRDefault="00A20B5A" w:rsidP="00276A2C">
            <w:pPr>
              <w:pStyle w:val="Tabletext"/>
              <w:keepNext/>
            </w:pPr>
            <w:r w:rsidRPr="00FA7F0B">
              <w:t>3 (</w:t>
            </w:r>
            <w:r>
              <w:t>10%</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028B6865" w14:textId="77777777" w:rsidR="00A20B5A" w:rsidRPr="00FA7F0B" w:rsidRDefault="00A20B5A" w:rsidP="00276A2C">
            <w:pPr>
              <w:pStyle w:val="Tabletext"/>
              <w:keepNext/>
            </w:pPr>
            <w:r w:rsidRPr="00FA7F0B">
              <w:t>2 (8</w:t>
            </w:r>
            <w:r>
              <w:t>%</w:t>
            </w:r>
            <w:r w:rsidRPr="00FA7F0B">
              <w:t>)</w:t>
            </w:r>
          </w:p>
        </w:tc>
      </w:tr>
      <w:tr w:rsidR="00A20B5A" w:rsidRPr="00FA7F0B" w14:paraId="37BE15F9"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1CE139" w14:textId="77777777" w:rsidR="00A20B5A" w:rsidRPr="00FA7F0B" w:rsidRDefault="00A20B5A" w:rsidP="00276A2C">
            <w:pPr>
              <w:pStyle w:val="Tabletext"/>
              <w:keepNext/>
              <w:ind w:left="720"/>
            </w:pPr>
            <w:r w:rsidRPr="00FA7F0B">
              <w:t>&gt;6 w</w:t>
            </w:r>
            <w:r>
              <w:t>ee</w:t>
            </w:r>
            <w:r w:rsidRPr="00FA7F0B">
              <w:t>k</w:t>
            </w:r>
            <w:r>
              <w:t>s</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49F90CDE" w14:textId="77777777" w:rsidR="00A20B5A" w:rsidRPr="00FA7F0B" w:rsidRDefault="00A20B5A" w:rsidP="00276A2C">
            <w:pPr>
              <w:pStyle w:val="Tabletext"/>
              <w:keepNext/>
            </w:pPr>
            <w:r w:rsidRPr="00FA7F0B">
              <w:t>3 (</w:t>
            </w:r>
            <w:r>
              <w:t>10%</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726F6D39" w14:textId="77777777" w:rsidR="00A20B5A" w:rsidRPr="00FA7F0B" w:rsidRDefault="00A20B5A" w:rsidP="00276A2C">
            <w:pPr>
              <w:pStyle w:val="Tabletext"/>
              <w:keepNext/>
            </w:pPr>
            <w:r w:rsidRPr="00FA7F0B">
              <w:t>3 (1</w:t>
            </w:r>
            <w:r>
              <w:t>3%</w:t>
            </w:r>
            <w:r w:rsidRPr="00FA7F0B">
              <w:t>)</w:t>
            </w:r>
          </w:p>
        </w:tc>
      </w:tr>
      <w:tr w:rsidR="00A20B5A" w:rsidRPr="00FA7F0B" w14:paraId="1F12347E"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25DCB73" w14:textId="77777777" w:rsidR="00A20B5A" w:rsidRPr="00FA7F0B" w:rsidRDefault="00A20B5A" w:rsidP="00276A2C">
            <w:pPr>
              <w:pStyle w:val="Tabletext"/>
              <w:keepNext/>
            </w:pPr>
            <w:r w:rsidRPr="00FA7F0B">
              <w:t>Duration of surgery</w:t>
            </w:r>
            <w:r>
              <w:t xml:space="preserve">, </w:t>
            </w:r>
            <w:r w:rsidRPr="00FA7F0B">
              <w:t>min</w:t>
            </w:r>
            <w:r>
              <w:t>utes: Median (IQR)</w:t>
            </w: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3352B406" w14:textId="77777777" w:rsidR="00A20B5A" w:rsidRPr="00FA7F0B" w:rsidRDefault="00A20B5A" w:rsidP="00276A2C">
            <w:pPr>
              <w:pStyle w:val="Tabletext"/>
              <w:keepNext/>
            </w:pPr>
            <w:r w:rsidRPr="00FA7F0B">
              <w:t>185.0 (133.0–260.0)</w:t>
            </w: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06D11B55" w14:textId="77777777" w:rsidR="00A20B5A" w:rsidRPr="00FA7F0B" w:rsidRDefault="00A20B5A" w:rsidP="00276A2C">
            <w:pPr>
              <w:pStyle w:val="Tabletext"/>
              <w:keepNext/>
            </w:pPr>
            <w:r w:rsidRPr="00FA7F0B">
              <w:t>213.5 (150.0–283.0)</w:t>
            </w:r>
          </w:p>
        </w:tc>
      </w:tr>
      <w:tr w:rsidR="00A20B5A" w:rsidRPr="00FA7F0B" w14:paraId="357DA87D"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8748A7C" w14:textId="77777777" w:rsidR="00A20B5A" w:rsidRPr="00FA7F0B" w:rsidRDefault="00A20B5A" w:rsidP="00276A2C">
            <w:pPr>
              <w:pStyle w:val="Tabletext"/>
              <w:keepNext/>
            </w:pPr>
            <w:r w:rsidRPr="00FA7F0B">
              <w:t>Surgical approach</w:t>
            </w:r>
            <w:r>
              <w:t xml:space="preserve">, </w:t>
            </w:r>
            <w:r w:rsidRPr="00FA7F0B">
              <w:t>no (%)</w:t>
            </w: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49F1802D" w14:textId="77777777" w:rsidR="00A20B5A" w:rsidRPr="00FA7F0B" w:rsidRDefault="00A20B5A" w:rsidP="00276A2C">
            <w:pPr>
              <w:pStyle w:val="Tabletext"/>
              <w:keepNext/>
            </w:pP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50CF22FA" w14:textId="77777777" w:rsidR="00A20B5A" w:rsidRPr="00FA7F0B" w:rsidRDefault="00A20B5A" w:rsidP="00276A2C">
            <w:pPr>
              <w:pStyle w:val="Tabletext"/>
              <w:keepNext/>
            </w:pPr>
          </w:p>
        </w:tc>
      </w:tr>
      <w:tr w:rsidR="00A20B5A" w:rsidRPr="00FA7F0B" w14:paraId="1CFE3BF9"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0B58AD1" w14:textId="77777777" w:rsidR="00A20B5A" w:rsidRPr="00FA7F0B" w:rsidRDefault="00A20B5A" w:rsidP="00276A2C">
            <w:pPr>
              <w:pStyle w:val="Tabletext"/>
              <w:keepNext/>
              <w:ind w:left="720"/>
            </w:pPr>
            <w:r w:rsidRPr="00FA7F0B">
              <w:t>Thoracotomy</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3F9B51BD" w14:textId="77777777" w:rsidR="00A20B5A" w:rsidRPr="00FA7F0B" w:rsidRDefault="00A20B5A" w:rsidP="00276A2C">
            <w:pPr>
              <w:pStyle w:val="Tabletext"/>
              <w:keepNext/>
            </w:pPr>
            <w:r w:rsidRPr="00FA7F0B">
              <w:t>88 (59</w:t>
            </w:r>
            <w:r>
              <w:t>%</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449B8305" w14:textId="77777777" w:rsidR="00A20B5A" w:rsidRPr="00FA7F0B" w:rsidRDefault="00A20B5A" w:rsidP="00276A2C">
            <w:pPr>
              <w:pStyle w:val="Tabletext"/>
              <w:keepNext/>
            </w:pPr>
            <w:r w:rsidRPr="00FA7F0B">
              <w:t>85 (63</w:t>
            </w:r>
            <w:r>
              <w:t>%</w:t>
            </w:r>
            <w:r w:rsidRPr="00FA7F0B">
              <w:t>)</w:t>
            </w:r>
          </w:p>
        </w:tc>
      </w:tr>
      <w:tr w:rsidR="00A20B5A" w:rsidRPr="00FA7F0B" w14:paraId="234CA893"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04F7B2C" w14:textId="77777777" w:rsidR="00A20B5A" w:rsidRPr="00FA7F0B" w:rsidRDefault="00A20B5A" w:rsidP="00276A2C">
            <w:pPr>
              <w:pStyle w:val="Tabletext"/>
              <w:keepNext/>
              <w:ind w:left="720"/>
            </w:pPr>
            <w:r w:rsidRPr="00FA7F0B">
              <w:t>Minimally invasive</w:t>
            </w:r>
            <w:r w:rsidRPr="000C5855">
              <w:rPr>
                <w:vertAlign w:val="superscript"/>
              </w:rPr>
              <w:t>a</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64353E45" w14:textId="77777777" w:rsidR="00A20B5A" w:rsidRPr="00FA7F0B" w:rsidRDefault="00A20B5A" w:rsidP="00276A2C">
            <w:pPr>
              <w:pStyle w:val="Tabletext"/>
              <w:keepNext/>
            </w:pPr>
            <w:r w:rsidRPr="00FA7F0B">
              <w:t>44 (</w:t>
            </w:r>
            <w:r>
              <w:t>30%</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69A2BD7F" w14:textId="77777777" w:rsidR="00A20B5A" w:rsidRPr="00FA7F0B" w:rsidRDefault="00A20B5A" w:rsidP="00276A2C">
            <w:pPr>
              <w:pStyle w:val="Tabletext"/>
              <w:keepNext/>
            </w:pPr>
            <w:r w:rsidRPr="00FA7F0B">
              <w:t>29 (2</w:t>
            </w:r>
            <w:r>
              <w:t>2%</w:t>
            </w:r>
            <w:r w:rsidRPr="00FA7F0B">
              <w:t>)</w:t>
            </w:r>
          </w:p>
        </w:tc>
      </w:tr>
      <w:tr w:rsidR="00A20B5A" w:rsidRPr="00FA7F0B" w14:paraId="4428A98E"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EEBD768" w14:textId="77777777" w:rsidR="00A20B5A" w:rsidRPr="00FA7F0B" w:rsidRDefault="00A20B5A" w:rsidP="00276A2C">
            <w:pPr>
              <w:pStyle w:val="Tabletext"/>
              <w:keepNext/>
              <w:ind w:left="720"/>
            </w:pPr>
            <w:r w:rsidRPr="00FA7F0B">
              <w:t>Minimally invasive to thoracotomy</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48B39FFA" w14:textId="77777777" w:rsidR="00A20B5A" w:rsidRPr="00FA7F0B" w:rsidRDefault="00A20B5A" w:rsidP="00276A2C">
            <w:pPr>
              <w:pStyle w:val="Tabletext"/>
              <w:keepNext/>
            </w:pPr>
            <w:r w:rsidRPr="00FA7F0B">
              <w:t>17 (11</w:t>
            </w:r>
            <w:r>
              <w:t>%</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2E0D0294" w14:textId="77777777" w:rsidR="00A20B5A" w:rsidRPr="00FA7F0B" w:rsidRDefault="00A20B5A" w:rsidP="00276A2C">
            <w:pPr>
              <w:pStyle w:val="Tabletext"/>
              <w:keepNext/>
            </w:pPr>
            <w:r w:rsidRPr="00FA7F0B">
              <w:t>21 (16</w:t>
            </w:r>
            <w:r>
              <w:t>%</w:t>
            </w:r>
            <w:r w:rsidRPr="00FA7F0B">
              <w:t>)</w:t>
            </w:r>
          </w:p>
        </w:tc>
      </w:tr>
      <w:tr w:rsidR="00A20B5A" w:rsidRPr="00FA7F0B" w14:paraId="64B1ADCB"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FD727E" w14:textId="77777777" w:rsidR="00A20B5A" w:rsidRPr="00FA7F0B" w:rsidRDefault="00A20B5A" w:rsidP="00276A2C">
            <w:pPr>
              <w:pStyle w:val="Tabletext"/>
              <w:keepNext/>
            </w:pPr>
            <w:r w:rsidRPr="00FA7F0B">
              <w:t>Type of surgery</w:t>
            </w:r>
            <w:r>
              <w:rPr>
                <w:vertAlign w:val="superscript"/>
              </w:rPr>
              <w:t>b</w:t>
            </w:r>
            <w:r w:rsidRPr="00FA7F0B">
              <w:t>,</w:t>
            </w:r>
            <w:r>
              <w:t xml:space="preserve"> n </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241E37AC" w14:textId="77777777" w:rsidR="00A20B5A" w:rsidRPr="00FA7F0B" w:rsidRDefault="00A20B5A" w:rsidP="00276A2C">
            <w:pPr>
              <w:pStyle w:val="Tabletext"/>
              <w:keepNext/>
            </w:pP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364A8A8A" w14:textId="77777777" w:rsidR="00A20B5A" w:rsidRPr="00FA7F0B" w:rsidRDefault="00A20B5A" w:rsidP="00276A2C">
            <w:pPr>
              <w:pStyle w:val="Tabletext"/>
              <w:keepNext/>
            </w:pPr>
          </w:p>
        </w:tc>
      </w:tr>
      <w:tr w:rsidR="00A20B5A" w:rsidRPr="00FA7F0B" w14:paraId="366E29CD"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F652089" w14:textId="77777777" w:rsidR="00A20B5A" w:rsidRPr="00FA7F0B" w:rsidRDefault="00A20B5A" w:rsidP="00276A2C">
            <w:pPr>
              <w:pStyle w:val="Tabletext"/>
              <w:keepNext/>
              <w:ind w:left="720"/>
            </w:pPr>
            <w:r w:rsidRPr="00FA7F0B">
              <w:t>Lobectomy</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359DEECD" w14:textId="77777777" w:rsidR="00A20B5A" w:rsidRPr="00FA7F0B" w:rsidRDefault="00A20B5A" w:rsidP="00276A2C">
            <w:pPr>
              <w:pStyle w:val="Tabletext"/>
              <w:keepNext/>
            </w:pPr>
            <w:r w:rsidRPr="00FA7F0B">
              <w:t>115 (77</w:t>
            </w:r>
            <w:r>
              <w:t>%</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06DF0FCF" w14:textId="77777777" w:rsidR="00A20B5A" w:rsidRPr="00FA7F0B" w:rsidRDefault="00A20B5A" w:rsidP="00276A2C">
            <w:pPr>
              <w:pStyle w:val="Tabletext"/>
              <w:keepNext/>
            </w:pPr>
            <w:r w:rsidRPr="00FA7F0B">
              <w:t>82 (6</w:t>
            </w:r>
            <w:r>
              <w:t>1%</w:t>
            </w:r>
            <w:r w:rsidRPr="00FA7F0B">
              <w:t>)</w:t>
            </w:r>
          </w:p>
        </w:tc>
      </w:tr>
      <w:tr w:rsidR="00A20B5A" w:rsidRPr="00FA7F0B" w14:paraId="424389B6"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B4680C1" w14:textId="77777777" w:rsidR="00A20B5A" w:rsidRPr="00FA7F0B" w:rsidRDefault="00A20B5A" w:rsidP="00276A2C">
            <w:pPr>
              <w:pStyle w:val="Tabletext"/>
              <w:keepNext/>
              <w:ind w:left="720"/>
            </w:pPr>
            <w:r w:rsidRPr="00FA7F0B">
              <w:t>Sleeve lobectomy</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1AC63971" w14:textId="77777777" w:rsidR="00A20B5A" w:rsidRPr="00FA7F0B" w:rsidRDefault="00A20B5A" w:rsidP="00276A2C">
            <w:pPr>
              <w:pStyle w:val="Tabletext"/>
              <w:keepNext/>
            </w:pPr>
            <w:r w:rsidRPr="00FA7F0B">
              <w:t>2 (1</w:t>
            </w:r>
            <w:r>
              <w:t>%</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419668E9" w14:textId="77777777" w:rsidR="00A20B5A" w:rsidRPr="00FA7F0B" w:rsidRDefault="00A20B5A" w:rsidP="00276A2C">
            <w:pPr>
              <w:pStyle w:val="Tabletext"/>
              <w:keepNext/>
            </w:pPr>
            <w:r w:rsidRPr="00FA7F0B">
              <w:t>10 (7</w:t>
            </w:r>
            <w:r>
              <w:t>%</w:t>
            </w:r>
            <w:r w:rsidRPr="00FA7F0B">
              <w:t>)</w:t>
            </w:r>
          </w:p>
        </w:tc>
      </w:tr>
      <w:tr w:rsidR="00A20B5A" w:rsidRPr="00FA7F0B" w14:paraId="5F40C347"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06E781" w14:textId="77777777" w:rsidR="00A20B5A" w:rsidRPr="00FA7F0B" w:rsidRDefault="00A20B5A" w:rsidP="00276A2C">
            <w:pPr>
              <w:pStyle w:val="Tabletext"/>
              <w:keepNext/>
              <w:ind w:left="720"/>
            </w:pPr>
            <w:r w:rsidRPr="00FA7F0B">
              <w:t>Bilobectomy</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07EC1848" w14:textId="77777777" w:rsidR="00A20B5A" w:rsidRPr="00FA7F0B" w:rsidRDefault="00A20B5A" w:rsidP="00276A2C">
            <w:pPr>
              <w:pStyle w:val="Tabletext"/>
              <w:keepNext/>
            </w:pPr>
            <w:r w:rsidRPr="00FA7F0B">
              <w:t>3 (2</w:t>
            </w:r>
            <w:r>
              <w:t>%</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076C4286" w14:textId="77777777" w:rsidR="00A20B5A" w:rsidRPr="00FA7F0B" w:rsidRDefault="00A20B5A" w:rsidP="00276A2C">
            <w:pPr>
              <w:pStyle w:val="Tabletext"/>
              <w:keepNext/>
            </w:pPr>
            <w:r w:rsidRPr="00FA7F0B">
              <w:t>4 (3</w:t>
            </w:r>
            <w:r>
              <w:t>%</w:t>
            </w:r>
            <w:r w:rsidRPr="00FA7F0B">
              <w:t>)</w:t>
            </w:r>
          </w:p>
        </w:tc>
      </w:tr>
      <w:tr w:rsidR="00A20B5A" w:rsidRPr="00FA7F0B" w14:paraId="6EBD87E3"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2906843" w14:textId="77777777" w:rsidR="00A20B5A" w:rsidRPr="00FA7F0B" w:rsidRDefault="00A20B5A" w:rsidP="00276A2C">
            <w:pPr>
              <w:pStyle w:val="Tabletext"/>
              <w:keepNext/>
              <w:ind w:left="720"/>
            </w:pPr>
            <w:r w:rsidRPr="00FA7F0B">
              <w:t>Pneumonectomy</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08FCBAA5" w14:textId="77777777" w:rsidR="00A20B5A" w:rsidRPr="00FA7F0B" w:rsidRDefault="00A20B5A" w:rsidP="00276A2C">
            <w:pPr>
              <w:pStyle w:val="Tabletext"/>
              <w:keepNext/>
            </w:pPr>
            <w:r w:rsidRPr="00FA7F0B">
              <w:t>25 (1</w:t>
            </w:r>
            <w:r>
              <w:t>7%</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6290F96C" w14:textId="77777777" w:rsidR="00A20B5A" w:rsidRPr="00FA7F0B" w:rsidRDefault="00A20B5A" w:rsidP="00276A2C">
            <w:pPr>
              <w:pStyle w:val="Tabletext"/>
              <w:keepNext/>
            </w:pPr>
            <w:r w:rsidRPr="00FA7F0B">
              <w:t>34 (25</w:t>
            </w:r>
            <w:r>
              <w:t>%</w:t>
            </w:r>
            <w:r w:rsidRPr="00FA7F0B">
              <w:t>)</w:t>
            </w:r>
          </w:p>
        </w:tc>
      </w:tr>
      <w:tr w:rsidR="00A20B5A" w:rsidRPr="00FA7F0B" w14:paraId="2D396050"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12FFA1" w14:textId="77777777" w:rsidR="00A20B5A" w:rsidRPr="00FA7F0B" w:rsidRDefault="00A20B5A" w:rsidP="00276A2C">
            <w:pPr>
              <w:pStyle w:val="Tabletext"/>
              <w:keepNext/>
              <w:ind w:left="720"/>
            </w:pPr>
            <w:r w:rsidRPr="00FA7F0B">
              <w:t>Other</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0BE5C08C" w14:textId="77777777" w:rsidR="00A20B5A" w:rsidRPr="00FA7F0B" w:rsidRDefault="00A20B5A" w:rsidP="00276A2C">
            <w:pPr>
              <w:pStyle w:val="Tabletext"/>
              <w:keepNext/>
            </w:pPr>
            <w:r w:rsidRPr="00FA7F0B">
              <w:t>24 (16</w:t>
            </w:r>
            <w:r>
              <w:t>%</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0818747C" w14:textId="77777777" w:rsidR="00A20B5A" w:rsidRPr="00FA7F0B" w:rsidRDefault="00A20B5A" w:rsidP="00276A2C">
            <w:pPr>
              <w:pStyle w:val="Tabletext"/>
              <w:keepNext/>
            </w:pPr>
            <w:r w:rsidRPr="00FA7F0B">
              <w:t>21 (16</w:t>
            </w:r>
            <w:r>
              <w:t>%</w:t>
            </w:r>
            <w:r w:rsidRPr="00FA7F0B">
              <w:t>)</w:t>
            </w:r>
          </w:p>
        </w:tc>
      </w:tr>
      <w:tr w:rsidR="00A20B5A" w:rsidRPr="00FA7F0B" w14:paraId="5236B0F3"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D30976F" w14:textId="77777777" w:rsidR="00A20B5A" w:rsidRPr="00FA7F0B" w:rsidRDefault="00A20B5A" w:rsidP="00276A2C">
            <w:pPr>
              <w:pStyle w:val="Tabletext"/>
              <w:keepNext/>
            </w:pPr>
            <w:r w:rsidRPr="00FA7F0B">
              <w:t>Completeness of resection</w:t>
            </w:r>
            <w:r>
              <w:rPr>
                <w:vertAlign w:val="superscript"/>
              </w:rPr>
              <w:t>c</w:t>
            </w:r>
            <w:r>
              <w:t xml:space="preserve">, n </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1C2E43E9" w14:textId="77777777" w:rsidR="00A20B5A" w:rsidRPr="00FA7F0B" w:rsidRDefault="00A20B5A" w:rsidP="00276A2C">
            <w:pPr>
              <w:pStyle w:val="Tabletext"/>
              <w:keepNext/>
            </w:pPr>
          </w:p>
        </w:tc>
        <w:tc>
          <w:tcPr>
            <w:tcW w:w="2159" w:type="dxa"/>
            <w:tcBorders>
              <w:top w:val="single" w:sz="4" w:space="0" w:color="auto"/>
              <w:left w:val="single" w:sz="4" w:space="0" w:color="auto"/>
              <w:bottom w:val="single" w:sz="4" w:space="0" w:color="auto"/>
              <w:right w:val="single" w:sz="4" w:space="0" w:color="auto"/>
            </w:tcBorders>
            <w:shd w:val="clear" w:color="auto" w:fill="auto"/>
          </w:tcPr>
          <w:p w14:paraId="35EFF92B" w14:textId="77777777" w:rsidR="00A20B5A" w:rsidRPr="00FA7F0B" w:rsidRDefault="00A20B5A" w:rsidP="00276A2C">
            <w:pPr>
              <w:pStyle w:val="Tabletext"/>
              <w:keepNext/>
            </w:pPr>
          </w:p>
        </w:tc>
      </w:tr>
      <w:tr w:rsidR="00A20B5A" w:rsidRPr="00FA7F0B" w14:paraId="4428C3A7"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72F3B50" w14:textId="77777777" w:rsidR="00A20B5A" w:rsidRPr="00FA7F0B" w:rsidRDefault="00A20B5A" w:rsidP="00276A2C">
            <w:pPr>
              <w:pStyle w:val="Tabletext"/>
              <w:keepNext/>
              <w:ind w:left="720"/>
            </w:pPr>
            <w:r w:rsidRPr="00FA7F0B">
              <w:t>R0 (no residual tumour)</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0A032829" w14:textId="77777777" w:rsidR="00A20B5A" w:rsidRPr="00FA7F0B" w:rsidRDefault="00A20B5A" w:rsidP="00276A2C">
            <w:pPr>
              <w:pStyle w:val="Tabletext"/>
              <w:keepNext/>
            </w:pPr>
            <w:r w:rsidRPr="00FA7F0B">
              <w:t>124 (83</w:t>
            </w:r>
            <w:r>
              <w:t>%</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362853EF" w14:textId="77777777" w:rsidR="00A20B5A" w:rsidRPr="00FA7F0B" w:rsidRDefault="00A20B5A" w:rsidP="00276A2C">
            <w:pPr>
              <w:pStyle w:val="Tabletext"/>
              <w:keepNext/>
            </w:pPr>
            <w:r w:rsidRPr="00FA7F0B">
              <w:t>105 (78</w:t>
            </w:r>
            <w:r>
              <w:t>%</w:t>
            </w:r>
            <w:r w:rsidRPr="00FA7F0B">
              <w:t>)</w:t>
            </w:r>
          </w:p>
        </w:tc>
      </w:tr>
      <w:tr w:rsidR="00A20B5A" w:rsidRPr="00FA7F0B" w14:paraId="54CB4E3A"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AE6B09C" w14:textId="77777777" w:rsidR="00A20B5A" w:rsidRPr="00FA7F0B" w:rsidRDefault="00A20B5A" w:rsidP="00276A2C">
            <w:pPr>
              <w:pStyle w:val="Tabletext"/>
              <w:keepNext/>
              <w:ind w:left="720"/>
            </w:pPr>
            <w:r w:rsidRPr="00FA7F0B">
              <w:t>R1 (microscopic residual tumour)</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2F1253CC" w14:textId="77777777" w:rsidR="00A20B5A" w:rsidRPr="00FA7F0B" w:rsidRDefault="00A20B5A" w:rsidP="00276A2C">
            <w:pPr>
              <w:pStyle w:val="Tabletext"/>
              <w:keepNext/>
            </w:pPr>
            <w:r w:rsidRPr="00FA7F0B">
              <w:t>16 (1</w:t>
            </w:r>
            <w:r>
              <w:t>1%</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6D258E27" w14:textId="77777777" w:rsidR="00A20B5A" w:rsidRPr="00FA7F0B" w:rsidRDefault="00A20B5A" w:rsidP="00276A2C">
            <w:pPr>
              <w:pStyle w:val="Tabletext"/>
              <w:keepNext/>
            </w:pPr>
            <w:r w:rsidRPr="00FA7F0B">
              <w:t>21 (16</w:t>
            </w:r>
            <w:r>
              <w:t>%</w:t>
            </w:r>
            <w:r w:rsidRPr="00FA7F0B">
              <w:t>)</w:t>
            </w:r>
          </w:p>
        </w:tc>
      </w:tr>
      <w:tr w:rsidR="00A20B5A" w:rsidRPr="00FA7F0B" w14:paraId="02415A5F"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684DBD1" w14:textId="77777777" w:rsidR="00A20B5A" w:rsidRPr="00FA7F0B" w:rsidRDefault="00A20B5A" w:rsidP="00276A2C">
            <w:pPr>
              <w:pStyle w:val="Tabletext"/>
              <w:keepNext/>
              <w:ind w:left="720"/>
            </w:pPr>
            <w:r w:rsidRPr="00FA7F0B">
              <w:t>R2 (macroscopic residual tumour)</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01F1A51D" w14:textId="77777777" w:rsidR="00A20B5A" w:rsidRPr="00FA7F0B" w:rsidRDefault="00A20B5A" w:rsidP="00276A2C">
            <w:pPr>
              <w:pStyle w:val="Tabletext"/>
              <w:keepNext/>
            </w:pPr>
            <w:r w:rsidRPr="00FA7F0B">
              <w:t>5 (3</w:t>
            </w:r>
            <w:r>
              <w:t>%</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2E580840" w14:textId="77777777" w:rsidR="00A20B5A" w:rsidRPr="00FA7F0B" w:rsidRDefault="00A20B5A" w:rsidP="00276A2C">
            <w:pPr>
              <w:pStyle w:val="Tabletext"/>
              <w:keepNext/>
            </w:pPr>
            <w:r w:rsidRPr="00FA7F0B">
              <w:t>4 (3</w:t>
            </w:r>
            <w:r>
              <w:t>%</w:t>
            </w:r>
            <w:r w:rsidRPr="00FA7F0B">
              <w:t>)</w:t>
            </w:r>
          </w:p>
        </w:tc>
      </w:tr>
      <w:tr w:rsidR="00A20B5A" w:rsidRPr="00FA7F0B" w14:paraId="018B3F4C"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0348DD6" w14:textId="77777777" w:rsidR="00A20B5A" w:rsidRPr="00FA7F0B" w:rsidRDefault="00A20B5A" w:rsidP="00276A2C">
            <w:pPr>
              <w:pStyle w:val="Tabletext"/>
              <w:keepNext/>
              <w:ind w:left="720"/>
            </w:pPr>
            <w:r w:rsidRPr="00FA7F0B">
              <w:t>Rx (unknown)</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1B31FB60" w14:textId="77777777" w:rsidR="00A20B5A" w:rsidRPr="00FA7F0B" w:rsidRDefault="00A20B5A" w:rsidP="00276A2C">
            <w:pPr>
              <w:pStyle w:val="Tabletext"/>
              <w:keepNext/>
            </w:pPr>
            <w:r w:rsidRPr="00FA7F0B">
              <w:t>4 (</w:t>
            </w:r>
            <w:r>
              <w:t>3%</w:t>
            </w:r>
            <w:r w:rsidRPr="00FA7F0B">
              <w:t>)</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678557EE" w14:textId="77777777" w:rsidR="00A20B5A" w:rsidRPr="00FA7F0B" w:rsidRDefault="00A20B5A" w:rsidP="00276A2C">
            <w:pPr>
              <w:pStyle w:val="Tabletext"/>
              <w:keepNext/>
            </w:pPr>
            <w:r w:rsidRPr="00FA7F0B">
              <w:t>5 (</w:t>
            </w:r>
            <w:r>
              <w:t>4%</w:t>
            </w:r>
            <w:r w:rsidRPr="00FA7F0B">
              <w:t>)</w:t>
            </w:r>
          </w:p>
        </w:tc>
      </w:tr>
      <w:tr w:rsidR="00A20B5A" w:rsidRPr="00FA7F0B" w14:paraId="349FDE56"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608076C" w14:textId="77777777" w:rsidR="00A20B5A" w:rsidRPr="00FA7F0B" w:rsidRDefault="00A20B5A" w:rsidP="00276A2C">
            <w:pPr>
              <w:pStyle w:val="Tabletext"/>
              <w:keepNext/>
            </w:pPr>
            <w:r w:rsidRPr="00FA7F0B">
              <w:t>Sampled lymph nodes — median (IQR)</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0D1198A6" w14:textId="77777777" w:rsidR="00A20B5A" w:rsidRPr="00FA7F0B" w:rsidRDefault="00A20B5A" w:rsidP="00276A2C">
            <w:pPr>
              <w:pStyle w:val="Tabletext"/>
              <w:keepNext/>
            </w:pPr>
            <w:r w:rsidRPr="00FA7F0B">
              <w:t>19 (12–25)</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7719D225" w14:textId="77777777" w:rsidR="00A20B5A" w:rsidRPr="00FA7F0B" w:rsidRDefault="00A20B5A" w:rsidP="00276A2C">
            <w:pPr>
              <w:pStyle w:val="Tabletext"/>
              <w:keepNext/>
            </w:pPr>
            <w:r w:rsidRPr="00FA7F0B">
              <w:t>18.5 (10–26)</w:t>
            </w:r>
          </w:p>
        </w:tc>
      </w:tr>
      <w:tr w:rsidR="00A20B5A" w:rsidRPr="00FA7F0B" w14:paraId="691AC426" w14:textId="77777777" w:rsidTr="00FE5DCE">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4215DAF" w14:textId="77777777" w:rsidR="00A20B5A" w:rsidRPr="00FA7F0B" w:rsidRDefault="00A20B5A" w:rsidP="00276A2C">
            <w:pPr>
              <w:pStyle w:val="Tabletext"/>
              <w:keepNext/>
            </w:pPr>
            <w:r w:rsidRPr="00FA7F0B">
              <w:t>Median length of hospital stay — days (IQR)</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3F13F79D" w14:textId="77777777" w:rsidR="00A20B5A" w:rsidRPr="00FA7F0B" w:rsidRDefault="00A20B5A" w:rsidP="00276A2C">
            <w:pPr>
              <w:pStyle w:val="Tabletext"/>
              <w:keepNext/>
            </w:pPr>
            <w:r w:rsidRPr="00FA7F0B">
              <w:t>10.0 (7.0–14.0)</w:t>
            </w:r>
          </w:p>
        </w:tc>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7C0F1162" w14:textId="77777777" w:rsidR="00A20B5A" w:rsidRPr="00FA7F0B" w:rsidRDefault="00A20B5A" w:rsidP="00276A2C">
            <w:pPr>
              <w:pStyle w:val="Tabletext"/>
              <w:keepNext/>
            </w:pPr>
            <w:r w:rsidRPr="00FA7F0B">
              <w:t>10.0 (7.0–15.0)</w:t>
            </w:r>
          </w:p>
        </w:tc>
      </w:tr>
    </w:tbl>
    <w:p w14:paraId="42E3E735" w14:textId="14603B58" w:rsidR="00A20B5A" w:rsidRDefault="00A20B5A" w:rsidP="00A20B5A">
      <w:pPr>
        <w:pStyle w:val="TableFooter"/>
        <w:rPr>
          <w:noProof/>
        </w:rPr>
      </w:pPr>
      <w:r>
        <w:t xml:space="preserve">Source: Table 67, p103 of the submission and pp36-37 of Supplement to </w:t>
      </w:r>
      <w:r>
        <w:rPr>
          <w:noProof/>
        </w:rPr>
        <w:t>Forde et al., 2022.</w:t>
      </w:r>
    </w:p>
    <w:p w14:paraId="4AD14ED9" w14:textId="4A6080DD" w:rsidR="00C814C1" w:rsidRDefault="00C814C1" w:rsidP="00A20B5A">
      <w:pPr>
        <w:pStyle w:val="TableFooter"/>
        <w:rPr>
          <w:noProof/>
        </w:rPr>
      </w:pPr>
      <w:r>
        <w:rPr>
          <w:noProof/>
        </w:rPr>
        <w:t>IQR, interquartile range</w:t>
      </w:r>
    </w:p>
    <w:p w14:paraId="3C29AA54" w14:textId="77777777" w:rsidR="00A20B5A" w:rsidRDefault="00A20B5A" w:rsidP="00A20B5A">
      <w:pPr>
        <w:pStyle w:val="TableFooter"/>
      </w:pPr>
      <w:r w:rsidRPr="0069577B">
        <w:rPr>
          <w:vertAlign w:val="superscript"/>
        </w:rPr>
        <w:t>a</w:t>
      </w:r>
      <w:r w:rsidRPr="0069577B">
        <w:t>Thoracoscopic/robotic.</w:t>
      </w:r>
    </w:p>
    <w:p w14:paraId="25783CB2" w14:textId="77777777" w:rsidR="00A20B5A" w:rsidRDefault="00A20B5A" w:rsidP="00A20B5A">
      <w:pPr>
        <w:pStyle w:val="TableFooter"/>
      </w:pPr>
      <w:r>
        <w:rPr>
          <w:vertAlign w:val="superscript"/>
        </w:rPr>
        <w:t>b</w:t>
      </w:r>
      <w:r w:rsidRPr="0069577B">
        <w:t>Patients may have had more than one surgery type</w:t>
      </w:r>
    </w:p>
    <w:p w14:paraId="10BD4CE3" w14:textId="77777777" w:rsidR="00A20B5A" w:rsidRDefault="00A20B5A" w:rsidP="00A20B5A">
      <w:pPr>
        <w:pStyle w:val="TableFooter"/>
      </w:pPr>
      <w:r>
        <w:rPr>
          <w:vertAlign w:val="superscript"/>
        </w:rPr>
        <w:t>c</w:t>
      </w:r>
      <w:r w:rsidRPr="0069577B">
        <w:t>Denominator based on patients with definitive surgery (N=149 in the nivolumab plus chemotherapy group,</w:t>
      </w:r>
      <w:r>
        <w:t xml:space="preserve"> </w:t>
      </w:r>
      <w:r w:rsidRPr="0069577B">
        <w:t>N=135 in the chemotherapy group)</w:t>
      </w:r>
    </w:p>
    <w:p w14:paraId="0D144F51" w14:textId="77777777" w:rsidR="00F10F6C" w:rsidRPr="00F10F6C" w:rsidRDefault="00A20B5A" w:rsidP="0086755D">
      <w:pPr>
        <w:pStyle w:val="3-BodyText"/>
        <w:spacing w:before="120"/>
      </w:pPr>
      <w:r w:rsidRPr="0086755D">
        <w:rPr>
          <w:iCs/>
        </w:rPr>
        <w:t xml:space="preserve">In the ITT population, 83.2% in the </w:t>
      </w:r>
      <w:r w:rsidR="000039B4" w:rsidRPr="0086755D">
        <w:rPr>
          <w:iCs/>
        </w:rPr>
        <w:t>neoNIVO</w:t>
      </w:r>
      <w:r w:rsidRPr="0086755D">
        <w:rPr>
          <w:iCs/>
        </w:rPr>
        <w:t>+</w:t>
      </w:r>
      <w:r w:rsidR="000039B4" w:rsidRPr="0086755D">
        <w:rPr>
          <w:iCs/>
        </w:rPr>
        <w:t>neoChemo</w:t>
      </w:r>
      <w:r w:rsidRPr="0086755D">
        <w:rPr>
          <w:iCs/>
        </w:rPr>
        <w:t xml:space="preserve"> arm and 75.4% in the </w:t>
      </w:r>
      <w:r w:rsidR="000039B4" w:rsidRPr="0086755D">
        <w:rPr>
          <w:iCs/>
        </w:rPr>
        <w:t>neoChemo</w:t>
      </w:r>
      <w:r w:rsidRPr="0086755D">
        <w:rPr>
          <w:iCs/>
        </w:rPr>
        <w:t xml:space="preserve"> arm underwent definitive surgery. Surgery was cancelled for 15.6% and 20.7% of patients in the </w:t>
      </w:r>
      <w:r w:rsidR="000039B4" w:rsidRPr="0086755D">
        <w:rPr>
          <w:iCs/>
        </w:rPr>
        <w:t>neoNIVO</w:t>
      </w:r>
      <w:r w:rsidRPr="0086755D">
        <w:rPr>
          <w:iCs/>
        </w:rPr>
        <w:t>+</w:t>
      </w:r>
      <w:r w:rsidR="000039B4" w:rsidRPr="0086755D">
        <w:rPr>
          <w:iCs/>
        </w:rPr>
        <w:t>neoChemo</w:t>
      </w:r>
      <w:r w:rsidRPr="0086755D">
        <w:rPr>
          <w:iCs/>
        </w:rPr>
        <w:t xml:space="preserve"> and </w:t>
      </w:r>
      <w:r w:rsidR="000039B4" w:rsidRPr="0086755D">
        <w:rPr>
          <w:iCs/>
        </w:rPr>
        <w:t>neoChemo</w:t>
      </w:r>
      <w:r w:rsidRPr="0086755D">
        <w:rPr>
          <w:iCs/>
        </w:rPr>
        <w:t xml:space="preserve"> arms, respectively. Reasons for cancellation included disease progression (6.7% and 9.5%, respectively), adverse events (AEs) (1.1% and 0.6%, respectively), and other reasons such as patient refusal and poor lung function (7.8% and 10.6%, respectively). </w:t>
      </w:r>
      <w:r w:rsidR="009F367D" w:rsidRPr="0086755D">
        <w:rPr>
          <w:iCs/>
        </w:rPr>
        <w:t>D</w:t>
      </w:r>
      <w:r w:rsidRPr="0086755D">
        <w:rPr>
          <w:iCs/>
        </w:rPr>
        <w:t xml:space="preserve">elayed surgery due to administrative reasons was </w:t>
      </w:r>
      <w:r w:rsidR="009F367D" w:rsidRPr="0086755D">
        <w:rPr>
          <w:iCs/>
        </w:rPr>
        <w:t>double the amount</w:t>
      </w:r>
      <w:r w:rsidRPr="0086755D">
        <w:rPr>
          <w:iCs/>
        </w:rPr>
        <w:t xml:space="preserve"> in the </w:t>
      </w:r>
      <w:r w:rsidR="000039B4" w:rsidRPr="0086755D">
        <w:rPr>
          <w:iCs/>
        </w:rPr>
        <w:t>neoNIVO</w:t>
      </w:r>
      <w:r w:rsidRPr="0086755D">
        <w:rPr>
          <w:iCs/>
        </w:rPr>
        <w:t>+</w:t>
      </w:r>
      <w:r w:rsidR="000039B4" w:rsidRPr="0086755D">
        <w:rPr>
          <w:iCs/>
        </w:rPr>
        <w:t>neoChemo</w:t>
      </w:r>
      <w:r w:rsidRPr="0086755D">
        <w:rPr>
          <w:iCs/>
        </w:rPr>
        <w:t xml:space="preserve"> arm (11.4%) compared to the </w:t>
      </w:r>
      <w:r w:rsidR="000039B4" w:rsidRPr="0086755D">
        <w:rPr>
          <w:iCs/>
        </w:rPr>
        <w:t>neoChemo</w:t>
      </w:r>
      <w:r w:rsidRPr="0086755D">
        <w:rPr>
          <w:iCs/>
        </w:rPr>
        <w:t xml:space="preserve"> arm (5.9%).</w:t>
      </w:r>
      <w:r w:rsidRPr="000A6E90">
        <w:t xml:space="preserve"> The reason for this difference was </w:t>
      </w:r>
      <w:r w:rsidR="009F367D" w:rsidRPr="000A6E90">
        <w:t xml:space="preserve">not </w:t>
      </w:r>
      <w:r w:rsidRPr="000A6E90">
        <w:t xml:space="preserve">discussed in the submission. </w:t>
      </w:r>
    </w:p>
    <w:p w14:paraId="05018B5D" w14:textId="325CBC1C" w:rsidR="00A20B5A" w:rsidRPr="00A20B5A" w:rsidRDefault="00A20B5A" w:rsidP="0086755D">
      <w:pPr>
        <w:pStyle w:val="3-BodyText"/>
        <w:spacing w:before="120"/>
      </w:pPr>
      <w:r w:rsidRPr="00F10F6C">
        <w:rPr>
          <w:iCs/>
        </w:rPr>
        <w:t xml:space="preserve">In the </w:t>
      </w:r>
      <w:r w:rsidR="000039B4" w:rsidRPr="00F10F6C">
        <w:rPr>
          <w:iCs/>
        </w:rPr>
        <w:t>neoNIVO</w:t>
      </w:r>
      <w:r w:rsidRPr="00F10F6C">
        <w:rPr>
          <w:iCs/>
        </w:rPr>
        <w:t>+</w:t>
      </w:r>
      <w:r w:rsidR="000039B4" w:rsidRPr="00F10F6C">
        <w:rPr>
          <w:iCs/>
        </w:rPr>
        <w:t>neoChemo</w:t>
      </w:r>
      <w:r w:rsidRPr="00F10F6C">
        <w:rPr>
          <w:iCs/>
        </w:rPr>
        <w:t xml:space="preserve"> arm, the median duration of surgery was numerically shorter (185 minutes vs. 213.5 minutes), the use of minimally invasive approaches was more common (29.5% vs. 21.5%), and pneumonectomies were less common (16.8% vs. 25.2%)</w:t>
      </w:r>
      <w:r w:rsidR="00F10F6C">
        <w:rPr>
          <w:iCs/>
        </w:rPr>
        <w:t xml:space="preserve"> compared with the neoChemo arm</w:t>
      </w:r>
      <w:r w:rsidRPr="00F10F6C">
        <w:rPr>
          <w:iCs/>
        </w:rPr>
        <w:t>.</w:t>
      </w:r>
      <w:r w:rsidRPr="000A6E90">
        <w:t xml:space="preserve"> Forde et al (2022)</w:t>
      </w:r>
      <w:r w:rsidR="00407DA5" w:rsidRPr="000A6E90">
        <w:rPr>
          <w:rStyle w:val="FootnoteReference"/>
        </w:rPr>
        <w:footnoteReference w:id="17"/>
      </w:r>
      <w:r w:rsidRPr="000A6E90">
        <w:t xml:space="preserve"> noted that these differences were more pronounced in patients with stage IIIA disease although </w:t>
      </w:r>
      <w:r w:rsidR="009F367D" w:rsidRPr="000A6E90">
        <w:t xml:space="preserve">these </w:t>
      </w:r>
      <w:r w:rsidRPr="000A6E90">
        <w:t>data were not provided in the publication or clinical study report.</w:t>
      </w:r>
    </w:p>
    <w:p w14:paraId="274C20EA" w14:textId="71F467BA" w:rsidR="00A20B5A" w:rsidRPr="00A20B5A" w:rsidRDefault="00A20B5A" w:rsidP="00EC5836">
      <w:pPr>
        <w:pStyle w:val="3-BodyText"/>
      </w:pPr>
      <w:r w:rsidRPr="00A20B5A">
        <w:t xml:space="preserve">Health-related </w:t>
      </w:r>
      <w:r w:rsidR="0063796F">
        <w:t xml:space="preserve">QoL </w:t>
      </w:r>
      <w:r w:rsidRPr="00A20B5A">
        <w:t>was assessed using the 3-level version of the</w:t>
      </w:r>
      <w:r>
        <w:t xml:space="preserve"> </w:t>
      </w:r>
      <w:r w:rsidRPr="00A20B5A">
        <w:t>EuroQol 5 Dimension (EQ-5D-3L) questionnaire.</w:t>
      </w:r>
      <w:r w:rsidR="007E7344">
        <w:t xml:space="preserve"> B</w:t>
      </w:r>
      <w:r w:rsidR="007E7344" w:rsidRPr="007E7344">
        <w:t>aseline scores were high and similar between the treatment arms (range: 0.8859 to 0.8919).</w:t>
      </w:r>
      <w:r w:rsidR="007E7344" w:rsidRPr="007E7344">
        <w:rPr>
          <w:lang w:val="en-US"/>
        </w:rPr>
        <w:t xml:space="preserve"> HRQoL</w:t>
      </w:r>
      <w:r w:rsidR="007E7344">
        <w:rPr>
          <w:lang w:val="en-US"/>
        </w:rPr>
        <w:t xml:space="preserve"> was m</w:t>
      </w:r>
      <w:r w:rsidR="007E7344" w:rsidRPr="007E7344">
        <w:rPr>
          <w:lang w:val="en-US"/>
        </w:rPr>
        <w:t xml:space="preserve">aintained from baseline in both the </w:t>
      </w:r>
      <w:r w:rsidR="000039B4">
        <w:rPr>
          <w:lang w:val="en-US"/>
        </w:rPr>
        <w:t>neoNIVO</w:t>
      </w:r>
      <w:r w:rsidR="007E7344" w:rsidRPr="007E7344">
        <w:rPr>
          <w:lang w:val="en-US"/>
        </w:rPr>
        <w:t>+</w:t>
      </w:r>
      <w:r w:rsidR="000039B4">
        <w:rPr>
          <w:lang w:val="en-US"/>
        </w:rPr>
        <w:t>neoChemo</w:t>
      </w:r>
      <w:r w:rsidR="007E7344" w:rsidRPr="007E7344">
        <w:rPr>
          <w:lang w:val="en-US"/>
        </w:rPr>
        <w:t xml:space="preserve"> and </w:t>
      </w:r>
      <w:r w:rsidR="000039B4">
        <w:rPr>
          <w:lang w:val="en-US"/>
        </w:rPr>
        <w:t>neoChemo</w:t>
      </w:r>
      <w:r w:rsidR="007E7344" w:rsidRPr="007E7344">
        <w:rPr>
          <w:lang w:val="en-US"/>
        </w:rPr>
        <w:t xml:space="preserve"> arms during the neoadjuvant treatment period. The submission </w:t>
      </w:r>
      <w:r w:rsidR="009F367D">
        <w:rPr>
          <w:lang w:val="en-US"/>
        </w:rPr>
        <w:t>concluded that</w:t>
      </w:r>
      <w:r w:rsidR="007E7344" w:rsidRPr="007E7344">
        <w:rPr>
          <w:lang w:val="en-US"/>
        </w:rPr>
        <w:t xml:space="preserve"> the addition of nivolumab to chemotherapy in neoadjuvant </w:t>
      </w:r>
      <w:r w:rsidR="00E260CD">
        <w:rPr>
          <w:lang w:val="en-US"/>
        </w:rPr>
        <w:t>use</w:t>
      </w:r>
      <w:r w:rsidR="007E7344" w:rsidRPr="007E7344">
        <w:rPr>
          <w:lang w:val="en-US"/>
        </w:rPr>
        <w:t xml:space="preserve"> d</w:t>
      </w:r>
      <w:r w:rsidR="009F367D">
        <w:rPr>
          <w:lang w:val="en-US"/>
        </w:rPr>
        <w:t>id</w:t>
      </w:r>
      <w:r w:rsidR="007E7344" w:rsidRPr="007E7344">
        <w:rPr>
          <w:lang w:val="en-US"/>
        </w:rPr>
        <w:t xml:space="preserve"> not impact patient QoL compared to the use of chemotherapy alone</w:t>
      </w:r>
      <w:r w:rsidR="007E7344">
        <w:rPr>
          <w:lang w:val="en-US"/>
        </w:rPr>
        <w:t>.</w:t>
      </w:r>
    </w:p>
    <w:p w14:paraId="2E977857" w14:textId="04C55893" w:rsidR="007E7344" w:rsidRPr="000A6E90" w:rsidRDefault="00734630" w:rsidP="00FE5DCE">
      <w:pPr>
        <w:pStyle w:val="3-BodyText"/>
      </w:pPr>
      <w:bookmarkStart w:id="38" w:name="_Ref131069986"/>
      <w:r w:rsidRPr="000A6E90">
        <w:t>Results for exploratory</w:t>
      </w:r>
      <w:r w:rsidR="000E00D7" w:rsidRPr="000A6E90">
        <w:t xml:space="preserve"> s</w:t>
      </w:r>
      <w:r w:rsidR="007E7344" w:rsidRPr="000A6E90">
        <w:t>ubgroup analys</w:t>
      </w:r>
      <w:r w:rsidRPr="000A6E90">
        <w:t>e</w:t>
      </w:r>
      <w:r w:rsidR="007E7344" w:rsidRPr="000A6E90">
        <w:t>s of EFS</w:t>
      </w:r>
      <w:r w:rsidRPr="000A6E90">
        <w:t xml:space="preserve"> in CM816,</w:t>
      </w:r>
      <w:r w:rsidR="007E7344" w:rsidRPr="000A6E90">
        <w:t xml:space="preserve"> </w:t>
      </w:r>
      <w:r w:rsidR="000E00D7" w:rsidRPr="000A6E90">
        <w:t xml:space="preserve">by PD-L1 expression (stratification factor at randomisation) </w:t>
      </w:r>
      <w:r w:rsidR="00E432F7" w:rsidRPr="000A6E90">
        <w:t xml:space="preserve">are </w:t>
      </w:r>
      <w:r w:rsidR="001E521C" w:rsidRPr="000A6E90">
        <w:t>provided below</w:t>
      </w:r>
      <w:r w:rsidR="007E7344" w:rsidRPr="000A6E90">
        <w:t>:</w:t>
      </w:r>
      <w:bookmarkEnd w:id="38"/>
      <w:r w:rsidR="007E7344" w:rsidRPr="000A6E90">
        <w:t xml:space="preserve"> </w:t>
      </w:r>
    </w:p>
    <w:p w14:paraId="03F07874" w14:textId="77777777" w:rsidR="007E7344" w:rsidRPr="000A6E90" w:rsidRDefault="007E7344" w:rsidP="005131AC">
      <w:pPr>
        <w:pStyle w:val="Bulletpoints"/>
      </w:pPr>
      <w:r w:rsidRPr="000A6E90">
        <w:t>PD-L1 &lt; 1%: HR = 0.85 (95% CI: 0.54, 1.32);</w:t>
      </w:r>
    </w:p>
    <w:p w14:paraId="3B499B42" w14:textId="77777777" w:rsidR="007E7344" w:rsidRPr="000A6E90" w:rsidRDefault="007E7344" w:rsidP="005131AC">
      <w:pPr>
        <w:pStyle w:val="Bulletpoints"/>
      </w:pPr>
      <w:r w:rsidRPr="000A6E90">
        <w:t xml:space="preserve">PD-L1 </w:t>
      </w:r>
      <w:r w:rsidRPr="000A6E90">
        <w:rPr>
          <w:rFonts w:hint="eastAsia"/>
        </w:rPr>
        <w:t>≥</w:t>
      </w:r>
      <w:r w:rsidRPr="000A6E90">
        <w:t xml:space="preserve"> 1%: HR = 0.41 (95% CI: 0.24, 0.70);</w:t>
      </w:r>
    </w:p>
    <w:p w14:paraId="11D617C2" w14:textId="77777777" w:rsidR="007E7344" w:rsidRPr="000A6E90" w:rsidRDefault="007E7344" w:rsidP="005131AC">
      <w:pPr>
        <w:pStyle w:val="Bulletpoints"/>
      </w:pPr>
      <w:r w:rsidRPr="000A6E90">
        <w:t>PD-L1 1-49%: HR = 0.58 (95% CI: 0.30, 1.12); and</w:t>
      </w:r>
    </w:p>
    <w:p w14:paraId="5D5A2CB7" w14:textId="6B6FE54E" w:rsidR="007E7344" w:rsidRPr="000A6E90" w:rsidRDefault="007E7344" w:rsidP="005131AC">
      <w:pPr>
        <w:pStyle w:val="Bulletpoints"/>
      </w:pPr>
      <w:r w:rsidRPr="000A6E90">
        <w:t xml:space="preserve">PD-L1 </w:t>
      </w:r>
      <w:r w:rsidRPr="000A6E90">
        <w:rPr>
          <w:rFonts w:hint="eastAsia"/>
        </w:rPr>
        <w:t>≥</w:t>
      </w:r>
      <w:r w:rsidRPr="000A6E90">
        <w:t xml:space="preserve"> 50%: HR = 0.24 (95% CI: 0.10, 0.61)</w:t>
      </w:r>
      <w:r w:rsidR="00C260AA">
        <w:t>.</w:t>
      </w:r>
    </w:p>
    <w:p w14:paraId="2727814A" w14:textId="2B447A25" w:rsidR="000E00D7" w:rsidRDefault="00E432F7" w:rsidP="00B94396">
      <w:pPr>
        <w:pStyle w:val="3-BodyText"/>
        <w:numPr>
          <w:ilvl w:val="0"/>
          <w:numId w:val="0"/>
        </w:numPr>
        <w:spacing w:after="0"/>
        <w:ind w:left="720"/>
      </w:pPr>
      <w:r w:rsidRPr="000A6E90">
        <w:t>The magnitude of the comparative EFS benefit associated with neoNIVO+neoChemo over neoChemo appeared to increase with increasing levels of PD-L1 expression.</w:t>
      </w:r>
      <w:r w:rsidR="00B94396">
        <w:t xml:space="preserve"> </w:t>
      </w:r>
      <w:r w:rsidR="007E7344" w:rsidRPr="000A6E90">
        <w:t xml:space="preserve">The EFS benefit in </w:t>
      </w:r>
      <w:r w:rsidR="00B94396">
        <w:t xml:space="preserve">the </w:t>
      </w:r>
      <w:r w:rsidR="00B94396" w:rsidRPr="000A6E90">
        <w:t>high PD-L1 ≥ 50% expression</w:t>
      </w:r>
      <w:r w:rsidR="00B94396" w:rsidRPr="000A6E90" w:rsidDel="00B94396">
        <w:t xml:space="preserve"> </w:t>
      </w:r>
      <w:r w:rsidR="007E7344" w:rsidRPr="000A6E90">
        <w:t xml:space="preserve">subgroup </w:t>
      </w:r>
      <w:r w:rsidRPr="000A6E90">
        <w:t>may have been an</w:t>
      </w:r>
      <w:r w:rsidR="007E7344" w:rsidRPr="000A6E90">
        <w:t xml:space="preserve"> important driver of that observed in the broader PD-L1 ≥ 1% population or the ITT population (HR 0.63; 95% CI: 0.45, 0.87</w:t>
      </w:r>
      <w:r w:rsidR="000E00D7" w:rsidRPr="000A6E90">
        <w:t>).</w:t>
      </w:r>
      <w:r w:rsidR="00637AA6">
        <w:t xml:space="preserve"> </w:t>
      </w:r>
    </w:p>
    <w:p w14:paraId="3197B034" w14:textId="6E2FC351" w:rsidR="000E00D7" w:rsidRPr="000A6E90" w:rsidRDefault="007E7344" w:rsidP="00637AA6">
      <w:pPr>
        <w:pStyle w:val="3-BodyText"/>
        <w:spacing w:before="120"/>
      </w:pPr>
      <w:r w:rsidRPr="000A6E90">
        <w:t>A test for treatment effect variation (EFS) using the approach by Altman (2003)</w:t>
      </w:r>
      <w:r w:rsidRPr="006D2F58">
        <w:rPr>
          <w:vertAlign w:val="superscript"/>
        </w:rPr>
        <w:footnoteReference w:id="18"/>
      </w:r>
      <w:r w:rsidRPr="000A6E90">
        <w:t>, between the PD-L1 ≥ 1% and PD-L1 &lt; 1</w:t>
      </w:r>
      <w:r w:rsidR="009F367D" w:rsidRPr="000A6E90">
        <w:t>%</w:t>
      </w:r>
      <w:r w:rsidRPr="000A6E90">
        <w:t xml:space="preserve"> subgroups, yielded a statistically significant result (</w:t>
      </w:r>
      <w:r w:rsidR="000E00D7" w:rsidRPr="000A6E90">
        <w:t>ratio of hazard ratios</w:t>
      </w:r>
      <w:r w:rsidRPr="000A6E90">
        <w:t xml:space="preserve"> 0.48, 95% CI: 0.24, 0.96, p=0.04). A test for treatment effect variation (EFS) between the PD-L1 ≥ 50% and PD-L1 1-49% subgroups was not statistically significant</w:t>
      </w:r>
      <w:r w:rsidR="000E00D7" w:rsidRPr="000A6E90">
        <w:t>,</w:t>
      </w:r>
      <w:r w:rsidRPr="000A6E90">
        <w:t xml:space="preserve"> noting that this analysis lack</w:t>
      </w:r>
      <w:r w:rsidR="009F367D" w:rsidRPr="000A6E90">
        <w:t>ed</w:t>
      </w:r>
      <w:r w:rsidRPr="000A6E90">
        <w:t xml:space="preserve"> statistical power (ratio of hazard ratios 0.</w:t>
      </w:r>
      <w:r w:rsidR="00705D80" w:rsidRPr="000A6E90">
        <w:t>41</w:t>
      </w:r>
      <w:r w:rsidRPr="000A6E90">
        <w:t>, 95% CI: 0.</w:t>
      </w:r>
      <w:r w:rsidR="00705D80" w:rsidRPr="000A6E90">
        <w:t>14</w:t>
      </w:r>
      <w:r w:rsidRPr="000A6E90">
        <w:t>, 1.27</w:t>
      </w:r>
      <w:r w:rsidR="000E00D7" w:rsidRPr="000A6E90">
        <w:t>, p=0.</w:t>
      </w:r>
      <w:r w:rsidR="00705D80" w:rsidRPr="000A6E90">
        <w:t>12</w:t>
      </w:r>
      <w:r w:rsidR="000E00D7" w:rsidRPr="000A6E90">
        <w:t>).</w:t>
      </w:r>
    </w:p>
    <w:p w14:paraId="234F76D6" w14:textId="1D3DA8B6" w:rsidR="007E7344" w:rsidRDefault="000E00D7" w:rsidP="00130535">
      <w:pPr>
        <w:pStyle w:val="3-BodyText"/>
      </w:pPr>
      <w:r w:rsidRPr="000A6E90">
        <w:t>Recognising</w:t>
      </w:r>
      <w:r w:rsidR="007E7344" w:rsidRPr="000A6E90">
        <w:t xml:space="preserve"> the </w:t>
      </w:r>
      <w:r w:rsidRPr="000A6E90">
        <w:t xml:space="preserve">inherent caveats associated with subgroup analyses, </w:t>
      </w:r>
      <w:r w:rsidR="007E7344" w:rsidRPr="000A6E90">
        <w:t xml:space="preserve">the </w:t>
      </w:r>
      <w:r w:rsidRPr="000A6E90">
        <w:t xml:space="preserve">results </w:t>
      </w:r>
      <w:r w:rsidR="002F3DB9" w:rsidRPr="000A6E90">
        <w:t>suggest</w:t>
      </w:r>
      <w:r w:rsidR="007E7344" w:rsidRPr="000A6E90">
        <w:t xml:space="preserve"> </w:t>
      </w:r>
      <w:r w:rsidRPr="000A6E90">
        <w:t xml:space="preserve">that </w:t>
      </w:r>
      <w:r w:rsidR="007E7344" w:rsidRPr="000A6E90">
        <w:t>the relative reduction in hazard of an EFS event</w:t>
      </w:r>
      <w:r w:rsidRPr="000A6E90">
        <w:t>,</w:t>
      </w:r>
      <w:r w:rsidR="007E7344" w:rsidRPr="000A6E90">
        <w:t xml:space="preserve"> associated with </w:t>
      </w:r>
      <w:r w:rsidR="000039B4" w:rsidRPr="000A6E90">
        <w:t>neoNIVO</w:t>
      </w:r>
      <w:r w:rsidR="007E7344" w:rsidRPr="000A6E90">
        <w:t>+</w:t>
      </w:r>
      <w:r w:rsidR="000039B4" w:rsidRPr="000A6E90">
        <w:t>neoChemo</w:t>
      </w:r>
      <w:r w:rsidR="007E7344" w:rsidRPr="000A6E90">
        <w:t xml:space="preserve"> over </w:t>
      </w:r>
      <w:r w:rsidR="000039B4" w:rsidRPr="000A6E90">
        <w:t>neoChemo</w:t>
      </w:r>
      <w:r w:rsidRPr="000A6E90">
        <w:t>,</w:t>
      </w:r>
      <w:r w:rsidR="007E7344" w:rsidRPr="000A6E90">
        <w:t xml:space="preserve"> was larger for tumours </w:t>
      </w:r>
      <w:r w:rsidR="00050929" w:rsidRPr="000A6E90">
        <w:t xml:space="preserve">that </w:t>
      </w:r>
      <w:r w:rsidR="007E7344" w:rsidRPr="000A6E90">
        <w:t>express PD-L1</w:t>
      </w:r>
      <w:r w:rsidRPr="000A6E90">
        <w:t>,</w:t>
      </w:r>
      <w:r w:rsidR="007E7344" w:rsidRPr="000A6E90">
        <w:t xml:space="preserve"> especially those with high levels of PD-L1 expression (≥ 50%).</w:t>
      </w:r>
    </w:p>
    <w:p w14:paraId="617E10F4" w14:textId="189AC2A5" w:rsidR="00A87D80" w:rsidRPr="00CA56B5" w:rsidRDefault="00A87D80" w:rsidP="00A34F62">
      <w:pPr>
        <w:pStyle w:val="3-BodyText"/>
        <w:spacing w:before="120"/>
      </w:pPr>
      <w:bookmarkStart w:id="39" w:name="_Ref126849599"/>
      <w:r w:rsidRPr="00CA56B5">
        <w:t>The PSCR argued that the PD-L1 subgroup analyses support a conclusion of therapeutic benefit for neoNIVO+neoChemo versus neoChemo regardless of PD-L1 expression status on the basis that the point estimate of the EFS HR is</w:t>
      </w:r>
      <w:r w:rsidR="00E70686" w:rsidRPr="00CA56B5">
        <w:t xml:space="preserve"> less than </w:t>
      </w:r>
      <w:r w:rsidRPr="00CA56B5">
        <w:t xml:space="preserve">1.0 across all tested subgroups. The PSCR acknowledged that the upper bound of the 95% </w:t>
      </w:r>
      <w:r w:rsidR="005B7D65" w:rsidRPr="00CA56B5">
        <w:t>CI</w:t>
      </w:r>
      <w:r w:rsidRPr="00CA56B5">
        <w:t xml:space="preserve"> for some subgroups crosses 1.0 (PD-L1 &lt;</w:t>
      </w:r>
      <w:r w:rsidR="005B7D65" w:rsidRPr="00CA56B5">
        <w:t xml:space="preserve"> </w:t>
      </w:r>
      <w:r w:rsidRPr="00CA56B5">
        <w:t>1% and PD-L1 1-49%). However, th</w:t>
      </w:r>
      <w:r w:rsidR="00A34F62" w:rsidRPr="00CA56B5">
        <w:t>e PSCR argued th</w:t>
      </w:r>
      <w:r w:rsidRPr="00CA56B5">
        <w:t xml:space="preserve">is </w:t>
      </w:r>
      <w:r w:rsidR="00A34F62" w:rsidRPr="00CA56B5">
        <w:t>did</w:t>
      </w:r>
      <w:r w:rsidRPr="00CA56B5">
        <w:t xml:space="preserve"> not support a conclusion of</w:t>
      </w:r>
      <w:r w:rsidR="00E70686" w:rsidRPr="00CA56B5">
        <w:t xml:space="preserve"> a</w:t>
      </w:r>
      <w:r w:rsidRPr="00CA56B5">
        <w:t xml:space="preserve"> lack of therapeutic benefit as the point estimate for EFS </w:t>
      </w:r>
      <w:r w:rsidR="00EC0AFB" w:rsidRPr="00CA56B5">
        <w:t>is in</w:t>
      </w:r>
      <w:r w:rsidRPr="00CA56B5">
        <w:t xml:space="preserve"> favour of neoNIVO+neoChemo and </w:t>
      </w:r>
      <w:r w:rsidR="00E70686" w:rsidRPr="00CA56B5">
        <w:t xml:space="preserve">the </w:t>
      </w:r>
      <w:r w:rsidRPr="00CA56B5">
        <w:t>CheckMate 816 trial was not designed or powered to detect a significant difference in EFS in these subgroups.</w:t>
      </w:r>
      <w:r w:rsidR="00A34F62" w:rsidRPr="00CA56B5">
        <w:t xml:space="preserve"> The ESC </w:t>
      </w:r>
      <w:r w:rsidR="00032167" w:rsidRPr="00CA56B5">
        <w:t xml:space="preserve">agreed with the evaluation that the relative reduction in hazard of an EFS event for neoNIVO+neoChemo appeared larger for tumours that express </w:t>
      </w:r>
      <w:r w:rsidR="00A34F62" w:rsidRPr="00CA56B5">
        <w:t>PD-L1</w:t>
      </w:r>
      <w:r w:rsidR="005B07C8" w:rsidRPr="00CA56B5">
        <w:t xml:space="preserve">. </w:t>
      </w:r>
      <w:r w:rsidR="00474821" w:rsidRPr="00CA56B5">
        <w:t>The ESC also noted that PD-L1 expression was a stratification factor at randomisation and considered</w:t>
      </w:r>
      <w:r w:rsidR="00372D20" w:rsidRPr="00CA56B5">
        <w:t xml:space="preserve"> that</w:t>
      </w:r>
      <w:r w:rsidR="00474821" w:rsidRPr="00CA56B5">
        <w:t xml:space="preserve"> the treatment arms were evenly matched for PD-L1 expression</w:t>
      </w:r>
      <w:r w:rsidR="00372D20" w:rsidRPr="00CA56B5">
        <w:t xml:space="preserve"> which likely </w:t>
      </w:r>
      <w:r w:rsidR="00474821" w:rsidRPr="00CA56B5">
        <w:t>reduc</w:t>
      </w:r>
      <w:r w:rsidR="00372D20" w:rsidRPr="00CA56B5">
        <w:t>ed the potential for</w:t>
      </w:r>
      <w:r w:rsidR="00474821" w:rsidRPr="00CA56B5">
        <w:t xml:space="preserve"> PD-L1 driven bias.</w:t>
      </w:r>
      <w:r w:rsidR="008D2D8B" w:rsidRPr="00CA56B5">
        <w:t xml:space="preserve"> </w:t>
      </w:r>
      <w:r w:rsidR="00D4594F" w:rsidRPr="00CA56B5">
        <w:t>However, t</w:t>
      </w:r>
      <w:r w:rsidR="008D2D8B" w:rsidRPr="00CA56B5">
        <w:t>he ESC considered that restricting access based on PD-L1 status may not be appropriate</w:t>
      </w:r>
      <w:r w:rsidR="00474821" w:rsidRPr="00CA56B5">
        <w:t xml:space="preserve"> (see paragraph </w:t>
      </w:r>
      <w:r w:rsidR="00474821" w:rsidRPr="00CA56B5">
        <w:fldChar w:fldCharType="begin"/>
      </w:r>
      <w:r w:rsidR="00474821" w:rsidRPr="00CA56B5">
        <w:instrText xml:space="preserve"> REF _Ref127361702 \r \h </w:instrText>
      </w:r>
      <w:r w:rsidR="00CA56B5">
        <w:instrText xml:space="preserve"> \* MERGEFORMAT </w:instrText>
      </w:r>
      <w:r w:rsidR="00474821" w:rsidRPr="00CA56B5">
        <w:fldChar w:fldCharType="separate"/>
      </w:r>
      <w:r w:rsidR="00A77D90">
        <w:t>3.8</w:t>
      </w:r>
      <w:r w:rsidR="00474821" w:rsidRPr="00CA56B5">
        <w:fldChar w:fldCharType="end"/>
      </w:r>
      <w:r w:rsidR="00474821" w:rsidRPr="00CA56B5">
        <w:t>)</w:t>
      </w:r>
      <w:r w:rsidR="008D2D8B" w:rsidRPr="00CA56B5">
        <w:t>.</w:t>
      </w:r>
      <w:bookmarkEnd w:id="39"/>
      <w:r w:rsidR="008D2D8B" w:rsidRPr="00CA56B5">
        <w:t xml:space="preserve"> </w:t>
      </w:r>
    </w:p>
    <w:p w14:paraId="66C022B3" w14:textId="1252045F" w:rsidR="00A12EAC" w:rsidRPr="00CA56B5" w:rsidRDefault="00D96733" w:rsidP="00D96733">
      <w:pPr>
        <w:pStyle w:val="3-BodyText"/>
      </w:pPr>
      <w:r w:rsidRPr="000A6E90">
        <w:t>For the s</w:t>
      </w:r>
      <w:r w:rsidR="000E00D7" w:rsidRPr="000A6E90">
        <w:t xml:space="preserve">ubgroup analysis of EFS by </w:t>
      </w:r>
      <w:r w:rsidRPr="000A6E90">
        <w:t>d</w:t>
      </w:r>
      <w:r w:rsidR="000E00D7" w:rsidRPr="000A6E90">
        <w:t>isease stage</w:t>
      </w:r>
      <w:r w:rsidRPr="000A6E90">
        <w:t>, t</w:t>
      </w:r>
      <w:r w:rsidR="000E00D7" w:rsidRPr="000A6E90">
        <w:t xml:space="preserve">he magnitude of relative EFS benefit associated with </w:t>
      </w:r>
      <w:r w:rsidR="000039B4" w:rsidRPr="000A6E90">
        <w:t>neoNIVO</w:t>
      </w:r>
      <w:r w:rsidR="000E00D7" w:rsidRPr="000A6E90">
        <w:t>+</w:t>
      </w:r>
      <w:r w:rsidR="000039B4" w:rsidRPr="000A6E90">
        <w:t>neoChemo</w:t>
      </w:r>
      <w:r w:rsidR="000E00D7" w:rsidRPr="000A6E90">
        <w:t xml:space="preserve"> over </w:t>
      </w:r>
      <w:r w:rsidR="000039B4" w:rsidRPr="000A6E90">
        <w:t>neoChemo</w:t>
      </w:r>
      <w:r w:rsidR="000E00D7" w:rsidRPr="000A6E90">
        <w:t xml:space="preserve"> </w:t>
      </w:r>
      <w:r w:rsidRPr="000A6E90">
        <w:t>appeared</w:t>
      </w:r>
      <w:r w:rsidR="000E00D7" w:rsidRPr="000A6E90">
        <w:t xml:space="preserve"> more pronounced in patients with Stage IIIA disease (</w:t>
      </w:r>
      <w:r w:rsidR="00A12EAC" w:rsidRPr="000A6E90">
        <w:t xml:space="preserve">N=228, </w:t>
      </w:r>
      <w:r w:rsidR="000E00D7" w:rsidRPr="000A6E90">
        <w:t>HR 0.54; 95% CI: 0.37, 0.80)</w:t>
      </w:r>
      <w:r w:rsidRPr="000A6E90">
        <w:t>,</w:t>
      </w:r>
      <w:r w:rsidR="000E00D7" w:rsidRPr="000A6E90">
        <w:t xml:space="preserve"> compared to those with earlier Stage IB/II disease (</w:t>
      </w:r>
      <w:r w:rsidR="00A12EAC" w:rsidRPr="000A6E90">
        <w:t xml:space="preserve">N=127, </w:t>
      </w:r>
      <w:r w:rsidR="000E00D7" w:rsidRPr="000A6E90">
        <w:t>HR 0.87; 95% CI: 0.48, 1.56). A test for treatment effect variation between the Stage IIIA versus Stage IB/II disease subgroups numerically favoured patients with Stage IIIA disease but was not statistically significant (ratio of hazard ratios 0.62, 95% CI: 0.31, 1.25).</w:t>
      </w:r>
      <w:r w:rsidR="00143E8C" w:rsidRPr="000A6E90">
        <w:t xml:space="preserve"> Interpretation of these results requires caution given the small sample size of the Stage IB/II disease subgroup.</w:t>
      </w:r>
      <w:r w:rsidR="006B6E00">
        <w:t xml:space="preserve"> </w:t>
      </w:r>
      <w:r w:rsidR="00E554C5" w:rsidRPr="00CA56B5">
        <w:t xml:space="preserve">The PSCR stated the CheckMate 816 trial was not designed or powered to detect a significant difference in this subgroup. </w:t>
      </w:r>
      <w:r w:rsidR="0046680E" w:rsidRPr="00CA56B5">
        <w:t>The ESC considered that whether neoadjuvant treatment with nivolumab is more effective in Stage IIIA disease, or whether earlier stage patients had insufficient time in the trial in which to recur, remains unclear.</w:t>
      </w:r>
    </w:p>
    <w:p w14:paraId="28B64F91" w14:textId="4FAFD06F" w:rsidR="00CE49F1" w:rsidRDefault="00CE49F1" w:rsidP="007E5156">
      <w:pPr>
        <w:rPr>
          <w:b/>
        </w:rPr>
      </w:pPr>
      <w:r w:rsidRPr="007E5156">
        <w:rPr>
          <w:b/>
        </w:rPr>
        <w:t>I</w:t>
      </w:r>
      <w:r w:rsidR="002F37BD">
        <w:rPr>
          <w:b/>
        </w:rPr>
        <w:t xml:space="preserve">ndirect </w:t>
      </w:r>
      <w:r w:rsidR="00CB31AD">
        <w:rPr>
          <w:b/>
        </w:rPr>
        <w:t>t</w:t>
      </w:r>
      <w:r w:rsidR="002F37BD">
        <w:rPr>
          <w:b/>
        </w:rPr>
        <w:t xml:space="preserve">reatment </w:t>
      </w:r>
      <w:r w:rsidR="00CB31AD">
        <w:rPr>
          <w:b/>
        </w:rPr>
        <w:t>c</w:t>
      </w:r>
      <w:r w:rsidR="002F37BD">
        <w:rPr>
          <w:b/>
        </w:rPr>
        <w:t>omparisons</w:t>
      </w:r>
    </w:p>
    <w:p w14:paraId="216E916E" w14:textId="6F7E639C" w:rsidR="00D96733" w:rsidRPr="000A6E90" w:rsidRDefault="00D96733" w:rsidP="002F37BD">
      <w:pPr>
        <w:pStyle w:val="3-BodyText"/>
        <w:spacing w:before="120"/>
      </w:pPr>
      <w:r w:rsidRPr="000A6E90">
        <w:t>The indirect comparisons between the CM816, NATCH, and I</w:t>
      </w:r>
      <w:r w:rsidR="00824874">
        <w:t>M</w:t>
      </w:r>
      <w:r w:rsidRPr="000A6E90">
        <w:t>power010 trials were associated with a high risk of bias due to several differences across the trials in terms of patient, disease and study characteristics:</w:t>
      </w:r>
    </w:p>
    <w:p w14:paraId="29CDECB3" w14:textId="6DB60B3F" w:rsidR="00D96733" w:rsidRPr="000A6E90" w:rsidRDefault="00D96733" w:rsidP="005131AC">
      <w:pPr>
        <w:pStyle w:val="Bulletpoints"/>
      </w:pPr>
      <w:r w:rsidRPr="000A6E90">
        <w:t>The proportion of Asian patients differed substantially between the CM816 (52%) and I</w:t>
      </w:r>
      <w:r w:rsidR="00824874">
        <w:t>M</w:t>
      </w:r>
      <w:r w:rsidRPr="000A6E90">
        <w:t xml:space="preserve">power010 (23%-26%) trials. The proportion of males differed across the CM816 (86%-88%), NATCH (approximately 71%), and </w:t>
      </w:r>
      <w:r w:rsidR="00824874" w:rsidRPr="000A6E90">
        <w:t>I</w:t>
      </w:r>
      <w:r w:rsidR="00824874">
        <w:t>M</w:t>
      </w:r>
      <w:r w:rsidR="00824874" w:rsidRPr="000A6E90">
        <w:t xml:space="preserve">power010 </w:t>
      </w:r>
      <w:r w:rsidRPr="000A6E90">
        <w:t xml:space="preserve">(66%-67%) trials. The </w:t>
      </w:r>
      <w:r w:rsidR="00824874">
        <w:t>IMpower010</w:t>
      </w:r>
      <w:r w:rsidRPr="000A6E90">
        <w:t xml:space="preserve"> trial enrolled a higher proportion of never-smokers (23%) compared to the CM816 (11%) trial. </w:t>
      </w:r>
    </w:p>
    <w:p w14:paraId="5BFE4A4B" w14:textId="4EC849D0" w:rsidR="00D96733" w:rsidRPr="000A6E90" w:rsidRDefault="00D96733" w:rsidP="005131AC">
      <w:pPr>
        <w:pStyle w:val="Bulletpoints"/>
        <w:rPr>
          <w:lang w:val="en-US"/>
        </w:rPr>
      </w:pPr>
      <w:r w:rsidRPr="000A6E90">
        <w:rPr>
          <w:lang w:val="en-US"/>
        </w:rPr>
        <w:t xml:space="preserve">The proportion of patients with an ECOG PS of 0 was much higher for CM816 (approximately 70%) compared to NATCH (45%) and </w:t>
      </w:r>
      <w:r w:rsidR="00824874">
        <w:rPr>
          <w:lang w:val="en-US"/>
        </w:rPr>
        <w:t>IMpower010</w:t>
      </w:r>
      <w:r w:rsidRPr="000A6E90">
        <w:rPr>
          <w:lang w:val="en-US"/>
        </w:rPr>
        <w:t xml:space="preserve"> (54%-57%). On the other hand, the </w:t>
      </w:r>
      <w:r w:rsidR="00824874" w:rsidRPr="000A6E90">
        <w:rPr>
          <w:lang w:val="en-US"/>
        </w:rPr>
        <w:t>I</w:t>
      </w:r>
      <w:r w:rsidR="00824874">
        <w:rPr>
          <w:lang w:val="en-US"/>
        </w:rPr>
        <w:t>M</w:t>
      </w:r>
      <w:r w:rsidR="00824874" w:rsidRPr="000A6E90">
        <w:rPr>
          <w:lang w:val="en-US"/>
        </w:rPr>
        <w:t xml:space="preserve">power010 </w:t>
      </w:r>
      <w:r w:rsidRPr="000A6E90">
        <w:rPr>
          <w:lang w:val="en-US"/>
        </w:rPr>
        <w:t>trial enrolled a relatively lower proportion of patients with squamous histology (35%) compared to the NATCH and CM816 (49%-54%) trials.</w:t>
      </w:r>
    </w:p>
    <w:p w14:paraId="45751316" w14:textId="7FF23CF5" w:rsidR="00D96733" w:rsidRPr="000A6E90" w:rsidRDefault="00D96733" w:rsidP="005131AC">
      <w:pPr>
        <w:pStyle w:val="Bulletpoints"/>
        <w:rPr>
          <w:lang w:val="en-US"/>
        </w:rPr>
      </w:pPr>
      <w:r w:rsidRPr="000A6E90">
        <w:rPr>
          <w:lang w:val="en-US"/>
        </w:rPr>
        <w:t>Recogni</w:t>
      </w:r>
      <w:r w:rsidR="00ED334E" w:rsidRPr="000A6E90">
        <w:rPr>
          <w:lang w:val="en-US"/>
        </w:rPr>
        <w:t>s</w:t>
      </w:r>
      <w:r w:rsidRPr="000A6E90">
        <w:rPr>
          <w:lang w:val="en-US"/>
        </w:rPr>
        <w:t>ing the different AJCC staging criteria (6</w:t>
      </w:r>
      <w:r w:rsidRPr="009822C7">
        <w:rPr>
          <w:lang w:val="en-US"/>
        </w:rPr>
        <w:t>th</w:t>
      </w:r>
      <w:r w:rsidRPr="000A6E90">
        <w:rPr>
          <w:lang w:val="en-US"/>
        </w:rPr>
        <w:t xml:space="preserve"> Edition NATCH versus 7</w:t>
      </w:r>
      <w:r w:rsidRPr="009822C7">
        <w:rPr>
          <w:lang w:val="en-US"/>
        </w:rPr>
        <w:t xml:space="preserve">th </w:t>
      </w:r>
      <w:r w:rsidRPr="000A6E90">
        <w:rPr>
          <w:lang w:val="en-US"/>
        </w:rPr>
        <w:t xml:space="preserve">Edition for CM816 and </w:t>
      </w:r>
      <w:r w:rsidR="00824874" w:rsidRPr="000A6E90">
        <w:rPr>
          <w:lang w:val="en-US"/>
        </w:rPr>
        <w:t>I</w:t>
      </w:r>
      <w:r w:rsidR="00824874">
        <w:rPr>
          <w:lang w:val="en-US"/>
        </w:rPr>
        <w:t>M</w:t>
      </w:r>
      <w:r w:rsidR="00824874" w:rsidRPr="000A6E90">
        <w:rPr>
          <w:lang w:val="en-US"/>
        </w:rPr>
        <w:t>power010</w:t>
      </w:r>
      <w:r w:rsidRPr="000A6E90">
        <w:rPr>
          <w:lang w:val="en-US"/>
        </w:rPr>
        <w:t>), important differences across the trials were noted in terms of the distribution of disease stage. CM816 enrolled the highest proportion of patients with Stage IIIA disease (64%) compared with NATCH (≤</w:t>
      </w:r>
      <w:r w:rsidR="009822C7">
        <w:rPr>
          <w:lang w:val="en-US"/>
        </w:rPr>
        <w:t> </w:t>
      </w:r>
      <w:r w:rsidRPr="000A6E90">
        <w:rPr>
          <w:lang w:val="en-US"/>
        </w:rPr>
        <w:t>2%) and I</w:t>
      </w:r>
      <w:r w:rsidR="00824874">
        <w:rPr>
          <w:lang w:val="en-US"/>
        </w:rPr>
        <w:t>M</w:t>
      </w:r>
      <w:r w:rsidRPr="000A6E90">
        <w:rPr>
          <w:lang w:val="en-US"/>
        </w:rPr>
        <w:t>power010 (approximately 40%). As per protocol, the NATCH trial excluded patients with Stage IIIA N2 disease (AJCC 6</w:t>
      </w:r>
      <w:r w:rsidRPr="009822C7">
        <w:rPr>
          <w:lang w:val="en-US"/>
        </w:rPr>
        <w:t>th</w:t>
      </w:r>
      <w:r w:rsidRPr="000A6E90">
        <w:rPr>
          <w:lang w:val="en-US"/>
        </w:rPr>
        <w:t xml:space="preserve"> Edition). </w:t>
      </w:r>
      <w:r w:rsidRPr="009822C7">
        <w:rPr>
          <w:lang w:val="en-US"/>
        </w:rPr>
        <w:t xml:space="preserve">Notably, </w:t>
      </w:r>
      <w:r w:rsidR="00824874" w:rsidRPr="009822C7">
        <w:rPr>
          <w:lang w:val="en-US"/>
        </w:rPr>
        <w:t>I</w:t>
      </w:r>
      <w:r w:rsidR="00824874">
        <w:rPr>
          <w:lang w:val="en-US"/>
        </w:rPr>
        <w:t>M</w:t>
      </w:r>
      <w:r w:rsidR="00824874" w:rsidRPr="009822C7">
        <w:rPr>
          <w:lang w:val="en-US"/>
        </w:rPr>
        <w:t xml:space="preserve">power010 </w:t>
      </w:r>
      <w:r w:rsidRPr="009822C7">
        <w:rPr>
          <w:lang w:val="en-US"/>
        </w:rPr>
        <w:t>was based on pathological stag</w:t>
      </w:r>
      <w:r w:rsidR="00130535" w:rsidRPr="009822C7">
        <w:rPr>
          <w:lang w:val="en-US"/>
        </w:rPr>
        <w:t>ing</w:t>
      </w:r>
      <w:r w:rsidRPr="009822C7">
        <w:rPr>
          <w:lang w:val="en-US"/>
        </w:rPr>
        <w:t xml:space="preserve"> (post-surgery) while CM816 was based on clinical stag</w:t>
      </w:r>
      <w:r w:rsidR="00130535" w:rsidRPr="009822C7">
        <w:rPr>
          <w:lang w:val="en-US"/>
        </w:rPr>
        <w:t>ing</w:t>
      </w:r>
      <w:r w:rsidRPr="009822C7">
        <w:rPr>
          <w:lang w:val="en-US"/>
        </w:rPr>
        <w:t xml:space="preserve"> (pre-surgery)</w:t>
      </w:r>
      <w:r w:rsidRPr="000A6E90">
        <w:rPr>
          <w:lang w:val="en-US"/>
        </w:rPr>
        <w:t>.</w:t>
      </w:r>
    </w:p>
    <w:p w14:paraId="376A05CA" w14:textId="21E0CBC4" w:rsidR="00D96733" w:rsidRPr="000A6E90" w:rsidRDefault="00130535" w:rsidP="005131AC">
      <w:pPr>
        <w:pStyle w:val="Bulletpoints"/>
        <w:rPr>
          <w:lang w:val="en-US"/>
        </w:rPr>
      </w:pPr>
      <w:r w:rsidRPr="000A6E90">
        <w:rPr>
          <w:lang w:val="en-US"/>
        </w:rPr>
        <w:t>Approximately 10% and 4% of patients enrolled in the I</w:t>
      </w:r>
      <w:r w:rsidR="00824874">
        <w:rPr>
          <w:lang w:val="en-US"/>
        </w:rPr>
        <w:t>M</w:t>
      </w:r>
      <w:r w:rsidRPr="000A6E90">
        <w:rPr>
          <w:lang w:val="en-US"/>
        </w:rPr>
        <w:t xml:space="preserve">power010 trial had </w:t>
      </w:r>
      <w:r w:rsidR="00ED015A" w:rsidRPr="000A6E90">
        <w:rPr>
          <w:lang w:val="en-US"/>
        </w:rPr>
        <w:t>EGFR</w:t>
      </w:r>
      <w:r w:rsidRPr="000A6E90">
        <w:rPr>
          <w:lang w:val="en-US"/>
        </w:rPr>
        <w:t xml:space="preserve"> mutations and </w:t>
      </w:r>
      <w:r w:rsidR="00ED015A" w:rsidRPr="000A6E90">
        <w:rPr>
          <w:lang w:val="en-US"/>
        </w:rPr>
        <w:t>ALK</w:t>
      </w:r>
      <w:r w:rsidRPr="000A6E90">
        <w:rPr>
          <w:lang w:val="en-US"/>
        </w:rPr>
        <w:t xml:space="preserve"> alterations, respectively.</w:t>
      </w:r>
      <w:r w:rsidR="00050929" w:rsidRPr="000A6E90">
        <w:rPr>
          <w:lang w:val="en-US"/>
        </w:rPr>
        <w:t xml:space="preserve"> </w:t>
      </w:r>
      <w:r w:rsidR="00D96733" w:rsidRPr="000A6E90">
        <w:rPr>
          <w:lang w:val="en-US"/>
        </w:rPr>
        <w:t xml:space="preserve">There was limited information on </w:t>
      </w:r>
      <w:r w:rsidR="00ED015A" w:rsidRPr="000A6E90">
        <w:rPr>
          <w:lang w:val="en-US"/>
        </w:rPr>
        <w:t>EGFR</w:t>
      </w:r>
      <w:r w:rsidR="00D96733" w:rsidRPr="000A6E90">
        <w:rPr>
          <w:lang w:val="en-US"/>
        </w:rPr>
        <w:t>/</w:t>
      </w:r>
      <w:r w:rsidR="00ED015A" w:rsidRPr="000A6E90">
        <w:rPr>
          <w:lang w:val="en-US"/>
        </w:rPr>
        <w:t>ALK</w:t>
      </w:r>
      <w:r w:rsidR="00D96733" w:rsidRPr="000A6E90">
        <w:rPr>
          <w:lang w:val="en-US"/>
        </w:rPr>
        <w:t xml:space="preserve"> status, gender, race, and smoking status in </w:t>
      </w:r>
      <w:r w:rsidRPr="000A6E90">
        <w:rPr>
          <w:lang w:val="en-US"/>
        </w:rPr>
        <w:t xml:space="preserve">the </w:t>
      </w:r>
      <w:r w:rsidR="00D96733" w:rsidRPr="000A6E90">
        <w:rPr>
          <w:lang w:val="en-US"/>
        </w:rPr>
        <w:t>NATCH</w:t>
      </w:r>
      <w:r w:rsidRPr="000A6E90">
        <w:rPr>
          <w:lang w:val="en-US"/>
        </w:rPr>
        <w:t xml:space="preserve"> trial</w:t>
      </w:r>
      <w:r w:rsidR="00D96733" w:rsidRPr="000A6E90">
        <w:rPr>
          <w:lang w:val="en-US"/>
        </w:rPr>
        <w:t xml:space="preserve">. </w:t>
      </w:r>
      <w:r w:rsidRPr="000A6E90">
        <w:rPr>
          <w:lang w:val="en-US"/>
        </w:rPr>
        <w:t xml:space="preserve">This is expected as the study was conducted in the </w:t>
      </w:r>
      <w:r w:rsidRPr="009822C7">
        <w:rPr>
          <w:lang w:val="en-US"/>
        </w:rPr>
        <w:t>early-to-mid 2000s.</w:t>
      </w:r>
      <w:r w:rsidRPr="000A6E90">
        <w:rPr>
          <w:lang w:val="en-US"/>
        </w:rPr>
        <w:t xml:space="preserve"> The a</w:t>
      </w:r>
      <w:r w:rsidR="00D96733" w:rsidRPr="000A6E90">
        <w:rPr>
          <w:lang w:val="en-US"/>
        </w:rPr>
        <w:t xml:space="preserve">pplicability </w:t>
      </w:r>
      <w:r w:rsidRPr="000A6E90">
        <w:rPr>
          <w:lang w:val="en-US"/>
        </w:rPr>
        <w:t xml:space="preserve">of the NATCH trial </w:t>
      </w:r>
      <w:r w:rsidR="00D96733" w:rsidRPr="000A6E90">
        <w:rPr>
          <w:lang w:val="en-US"/>
        </w:rPr>
        <w:t xml:space="preserve">to current clinical practice, in terms of patient baseline risk, is </w:t>
      </w:r>
      <w:r w:rsidRPr="000A6E90">
        <w:rPr>
          <w:lang w:val="en-US"/>
        </w:rPr>
        <w:t xml:space="preserve">also </w:t>
      </w:r>
      <w:r w:rsidR="00D96733" w:rsidRPr="000A6E90">
        <w:rPr>
          <w:lang w:val="en-US"/>
        </w:rPr>
        <w:t xml:space="preserve">questionable. </w:t>
      </w:r>
    </w:p>
    <w:p w14:paraId="796CE534" w14:textId="5E510BA1" w:rsidR="00D96733" w:rsidRPr="000A6E90" w:rsidRDefault="00D96733" w:rsidP="00D96733">
      <w:pPr>
        <w:pStyle w:val="3-BodyText"/>
        <w:rPr>
          <w:lang w:val="en-US"/>
        </w:rPr>
      </w:pPr>
      <w:r w:rsidRPr="000A6E90">
        <w:t>Notably, whilst the proportion of patients who did not receive protocol-based treatments in CM816 and I</w:t>
      </w:r>
      <w:r w:rsidR="00824874">
        <w:t>M</w:t>
      </w:r>
      <w:r w:rsidRPr="000A6E90">
        <w:t>power010 was small (approximately 2%), in NATCH, 34%, 6%, and 4% of patients randomised to the surgery+</w:t>
      </w:r>
      <w:r w:rsidR="003D24E4" w:rsidRPr="000A6E90">
        <w:t>adjChemo</w:t>
      </w:r>
      <w:r w:rsidRPr="000A6E90">
        <w:t xml:space="preserve">, surgery alone, and </w:t>
      </w:r>
      <w:r w:rsidR="000039B4" w:rsidRPr="000A6E90">
        <w:t>neoChemo</w:t>
      </w:r>
      <w:r w:rsidRPr="000A6E90">
        <w:t>+surgery arms, respectively, did not receive the allocated treatment. Th</w:t>
      </w:r>
      <w:r w:rsidR="00130535" w:rsidRPr="000A6E90">
        <w:t xml:space="preserve">us, </w:t>
      </w:r>
      <w:r w:rsidRPr="000A6E90">
        <w:t xml:space="preserve">the </w:t>
      </w:r>
      <w:r w:rsidR="00130535" w:rsidRPr="000A6E90">
        <w:t xml:space="preserve">effectiveness of the </w:t>
      </w:r>
      <w:r w:rsidR="003D24E4" w:rsidRPr="000A6E90">
        <w:t>adjChemo</w:t>
      </w:r>
      <w:r w:rsidRPr="000A6E90">
        <w:t xml:space="preserve"> arm </w:t>
      </w:r>
      <w:r w:rsidR="00130535" w:rsidRPr="000A6E90">
        <w:t>in</w:t>
      </w:r>
      <w:r w:rsidRPr="000A6E90">
        <w:t xml:space="preserve"> NATCH</w:t>
      </w:r>
      <w:r w:rsidR="00130535" w:rsidRPr="000A6E90">
        <w:t xml:space="preserve"> was likely underestimated</w:t>
      </w:r>
      <w:r w:rsidRPr="000A6E90">
        <w:t xml:space="preserve">. These differences indicate there is important heterogeneity in treatment exposure and possibly </w:t>
      </w:r>
      <w:r w:rsidR="00130535" w:rsidRPr="000A6E90">
        <w:t xml:space="preserve">treatment </w:t>
      </w:r>
      <w:r w:rsidRPr="000A6E90">
        <w:t>effect</w:t>
      </w:r>
      <w:r w:rsidR="00130535" w:rsidRPr="000A6E90">
        <w:t>s</w:t>
      </w:r>
      <w:r w:rsidRPr="000A6E90">
        <w:t xml:space="preserve"> across the studies used for the ITCs.</w:t>
      </w:r>
    </w:p>
    <w:p w14:paraId="61A1FF63" w14:textId="6BF9F95A" w:rsidR="00D96733" w:rsidRPr="000A6E90" w:rsidRDefault="00D96733" w:rsidP="00D96733">
      <w:pPr>
        <w:pStyle w:val="3-BodyText"/>
        <w:rPr>
          <w:lang w:val="en-US"/>
        </w:rPr>
      </w:pPr>
      <w:r w:rsidRPr="000A6E90">
        <w:t xml:space="preserve">The proportion of patients undergoing surgical resection was smaller in CM816 (75%-83%) than in NATCH (91%-96%). The clinical intent of surgical removal of tumour tissue is to prevent or delay disease recurrence or progression. The extent of impact of these differences on the comparative </w:t>
      </w:r>
      <w:r w:rsidR="00ED334E" w:rsidRPr="000A6E90">
        <w:t>disease free survival (</w:t>
      </w:r>
      <w:r w:rsidRPr="000A6E90">
        <w:t>DFS</w:t>
      </w:r>
      <w:r w:rsidR="00ED334E" w:rsidRPr="000A6E90">
        <w:t>)</w:t>
      </w:r>
      <w:r w:rsidRPr="000A6E90">
        <w:t xml:space="preserve"> benefit is unclear. </w:t>
      </w:r>
    </w:p>
    <w:p w14:paraId="1ECF70C7" w14:textId="3003651A" w:rsidR="00D96733" w:rsidRPr="000A6E90" w:rsidRDefault="00D96733" w:rsidP="00D96733">
      <w:pPr>
        <w:pStyle w:val="3-BodyText"/>
        <w:rPr>
          <w:lang w:val="en-US"/>
        </w:rPr>
      </w:pPr>
      <w:r w:rsidRPr="000A6E90">
        <w:rPr>
          <w:lang w:val="en-US"/>
        </w:rPr>
        <w:t>The median duration of follow-up for the endpoint of DFS (NATCH, I</w:t>
      </w:r>
      <w:r w:rsidR="00824874">
        <w:rPr>
          <w:lang w:val="en-US"/>
        </w:rPr>
        <w:t>M</w:t>
      </w:r>
      <w:r w:rsidRPr="000A6E90">
        <w:rPr>
          <w:lang w:val="en-US"/>
        </w:rPr>
        <w:t>power010) and EFS (CM816) varied across the included studies which ranged from 29.5 months in CM816 to 51 months in NATCH.</w:t>
      </w:r>
    </w:p>
    <w:p w14:paraId="172646C8" w14:textId="6E256627" w:rsidR="00A20B5A" w:rsidRPr="000A6E90" w:rsidRDefault="00D96733" w:rsidP="00CA2E4A">
      <w:pPr>
        <w:pStyle w:val="3-BodyText"/>
      </w:pPr>
      <w:r w:rsidRPr="000A6E90">
        <w:rPr>
          <w:lang w:val="en-US"/>
        </w:rPr>
        <w:t xml:space="preserve">The indirect comparison between </w:t>
      </w:r>
      <w:r w:rsidR="000039B4" w:rsidRPr="000A6E90">
        <w:t>neoNIVO</w:t>
      </w:r>
      <w:r w:rsidRPr="000A6E90">
        <w:t>+</w:t>
      </w:r>
      <w:r w:rsidR="000039B4" w:rsidRPr="000A6E90">
        <w:t>neoChemo</w:t>
      </w:r>
      <w:r w:rsidRPr="000A6E90">
        <w:t xml:space="preserve"> and </w:t>
      </w:r>
      <w:r w:rsidR="003D24E4" w:rsidRPr="000A6E90">
        <w:t>adjChemo</w:t>
      </w:r>
      <w:r w:rsidRPr="000A6E90">
        <w:t>+</w:t>
      </w:r>
      <w:r w:rsidR="000039B4" w:rsidRPr="000A6E90">
        <w:t>adjATEZO</w:t>
      </w:r>
      <w:r w:rsidRPr="000A6E90">
        <w:t xml:space="preserve"> involved substantial transformation or modelling of the observed data with several challenging underlying assumptions. The indirect comparison was also based on subgroups of patients from the CM816 and I</w:t>
      </w:r>
      <w:r w:rsidR="00824874">
        <w:t>M</w:t>
      </w:r>
      <w:r w:rsidRPr="000A6E90">
        <w:t>power010 trials, that is, those with high-PD-L1 expressing NSCLC tumours (≥ 50%). Importantly, NATCH, which li</w:t>
      </w:r>
      <w:r w:rsidR="00CA2E4A" w:rsidRPr="000A6E90">
        <w:t>n</w:t>
      </w:r>
      <w:r w:rsidRPr="000A6E90">
        <w:t>ked the indirect comparison between CM816 and IM</w:t>
      </w:r>
      <w:r w:rsidR="00CA2E4A" w:rsidRPr="000A6E90">
        <w:t>power</w:t>
      </w:r>
      <w:r w:rsidRPr="000A6E90">
        <w:t xml:space="preserve">010, </w:t>
      </w:r>
      <w:r w:rsidR="00CA2E4A" w:rsidRPr="000A6E90">
        <w:t>was conducted more than 20</w:t>
      </w:r>
      <w:r w:rsidR="009822C7">
        <w:t> </w:t>
      </w:r>
      <w:r w:rsidR="00CA2E4A" w:rsidRPr="000A6E90">
        <w:t xml:space="preserve">years ago and did not assess PD-L1 status as there was no established evidence on this biomarker. NATCH was initiated in September 1999 compared to </w:t>
      </w:r>
      <w:r w:rsidR="00CA2E4A" w:rsidRPr="000A6E90">
        <w:rPr>
          <w:lang w:val="en-US"/>
        </w:rPr>
        <w:t xml:space="preserve">CM816 which was initiated in March 2017, and IMpower010 which was initiated in </w:t>
      </w:r>
      <w:r w:rsidR="009822C7" w:rsidRPr="000A6E90">
        <w:rPr>
          <w:lang w:val="en-US"/>
        </w:rPr>
        <w:t>October</w:t>
      </w:r>
      <w:r w:rsidR="009822C7">
        <w:rPr>
          <w:lang w:val="en-US"/>
        </w:rPr>
        <w:t> </w:t>
      </w:r>
      <w:r w:rsidR="00CA2E4A" w:rsidRPr="000A6E90">
        <w:rPr>
          <w:lang w:val="en-US"/>
        </w:rPr>
        <w:t xml:space="preserve">2015. </w:t>
      </w:r>
      <w:r w:rsidR="00CA2E4A" w:rsidRPr="000A6E90">
        <w:rPr>
          <w:lang w:val="en-GB"/>
        </w:rPr>
        <w:t xml:space="preserve">The ITC between </w:t>
      </w:r>
      <w:r w:rsidR="000039B4" w:rsidRPr="000A6E90">
        <w:rPr>
          <w:lang w:val="en-GB"/>
        </w:rPr>
        <w:t>neoNIVO</w:t>
      </w:r>
      <w:r w:rsidR="00CA2E4A" w:rsidRPr="000A6E90">
        <w:rPr>
          <w:lang w:val="en-GB"/>
        </w:rPr>
        <w:t>+</w:t>
      </w:r>
      <w:r w:rsidR="00751D74" w:rsidRPr="000A6E90">
        <w:rPr>
          <w:lang w:val="en-GB"/>
        </w:rPr>
        <w:t>neoC</w:t>
      </w:r>
      <w:r w:rsidR="00CA2E4A" w:rsidRPr="000A6E90">
        <w:rPr>
          <w:lang w:val="en-GB"/>
        </w:rPr>
        <w:t xml:space="preserve">hemo and </w:t>
      </w:r>
      <w:r w:rsidR="003D24E4" w:rsidRPr="000A6E90">
        <w:rPr>
          <w:lang w:val="en-GB"/>
        </w:rPr>
        <w:t>adjChemo</w:t>
      </w:r>
      <w:r w:rsidR="00CA2E4A" w:rsidRPr="000A6E90">
        <w:rPr>
          <w:lang w:val="en-GB"/>
        </w:rPr>
        <w:t>+</w:t>
      </w:r>
      <w:r w:rsidR="000039B4" w:rsidRPr="000A6E90">
        <w:rPr>
          <w:lang w:val="en-GB"/>
        </w:rPr>
        <w:t>adjATEZO</w:t>
      </w:r>
      <w:r w:rsidR="00CA2E4A" w:rsidRPr="000A6E90">
        <w:rPr>
          <w:lang w:val="en-GB"/>
        </w:rPr>
        <w:t xml:space="preserve"> was multistep based on modelled data and several challenging assumptions which engender a high level of uncertainty associated with the indirect estimates of comparative benefit.</w:t>
      </w:r>
    </w:p>
    <w:p w14:paraId="32761AE2" w14:textId="70E3EFEC" w:rsidR="00616D19" w:rsidRPr="00616D19" w:rsidRDefault="00FE47D5" w:rsidP="00750175">
      <w:pPr>
        <w:pStyle w:val="3-BodyText"/>
        <w:rPr>
          <w:rFonts w:eastAsia="Calibri"/>
        </w:rPr>
      </w:pPr>
      <w:r w:rsidRPr="00616D19">
        <w:rPr>
          <w:rFonts w:eastAsia="Calibri"/>
        </w:rPr>
        <w:t>For the secondary c</w:t>
      </w:r>
      <w:r w:rsidR="00FE5DCE" w:rsidRPr="00616D19">
        <w:rPr>
          <w:rFonts w:eastAsia="Calibri"/>
        </w:rPr>
        <w:t>omparator</w:t>
      </w:r>
      <w:r w:rsidR="00BA6C87">
        <w:rPr>
          <w:rFonts w:eastAsia="Calibri"/>
        </w:rPr>
        <w:t>,</w:t>
      </w:r>
      <w:r w:rsidR="00FE5DCE" w:rsidRPr="00616D19">
        <w:rPr>
          <w:rFonts w:eastAsia="Calibri"/>
        </w:rPr>
        <w:t xml:space="preserve"> </w:t>
      </w:r>
      <w:r w:rsidR="003D24E4">
        <w:rPr>
          <w:rFonts w:eastAsia="Calibri"/>
        </w:rPr>
        <w:t>adjChemo</w:t>
      </w:r>
      <w:r w:rsidRPr="00616D19">
        <w:rPr>
          <w:rFonts w:eastAsia="Calibri"/>
        </w:rPr>
        <w:t>, t</w:t>
      </w:r>
      <w:r w:rsidR="00FE5DCE" w:rsidRPr="00616D19">
        <w:rPr>
          <w:rFonts w:eastAsia="Calibri"/>
        </w:rPr>
        <w:t xml:space="preserve">he evidence was based on an </w:t>
      </w:r>
      <w:r w:rsidR="00616D19" w:rsidRPr="00616D19">
        <w:rPr>
          <w:rFonts w:eastAsia="Calibri"/>
        </w:rPr>
        <w:t xml:space="preserve">anchored </w:t>
      </w:r>
      <w:r w:rsidR="00FE5DCE" w:rsidRPr="00616D19">
        <w:rPr>
          <w:rFonts w:eastAsia="Calibri"/>
        </w:rPr>
        <w:t>indirect comparison between the CM816 and NATCH trials</w:t>
      </w:r>
      <w:r w:rsidR="00616D19" w:rsidRPr="00616D19">
        <w:rPr>
          <w:rFonts w:eastAsia="Calibri"/>
        </w:rPr>
        <w:t xml:space="preserve"> (</w:t>
      </w:r>
      <w:r w:rsidR="00FE5DCE" w:rsidRPr="00616D19">
        <w:rPr>
          <w:rFonts w:eastAsia="Calibri"/>
        </w:rPr>
        <w:t>Bucher approach</w:t>
      </w:r>
      <w:r w:rsidR="00616D19" w:rsidRPr="00616D19">
        <w:rPr>
          <w:rFonts w:eastAsia="Calibri"/>
        </w:rPr>
        <w:t>).</w:t>
      </w:r>
      <w:r w:rsidR="00616D19">
        <w:rPr>
          <w:rFonts w:eastAsia="Calibri"/>
        </w:rPr>
        <w:t xml:space="preserve"> The results are summarised in </w:t>
      </w:r>
      <w:r w:rsidR="00BB6614">
        <w:rPr>
          <w:rFonts w:eastAsia="Calibri"/>
        </w:rPr>
        <w:fldChar w:fldCharType="begin"/>
      </w:r>
      <w:r w:rsidR="00BB6614">
        <w:rPr>
          <w:rFonts w:eastAsia="Calibri"/>
        </w:rPr>
        <w:instrText xml:space="preserve"> REF _Ref121057567 \h </w:instrText>
      </w:r>
      <w:r w:rsidR="00BB6614">
        <w:rPr>
          <w:rFonts w:eastAsia="Calibri"/>
        </w:rPr>
      </w:r>
      <w:r w:rsidR="00BB6614">
        <w:rPr>
          <w:rFonts w:eastAsia="Calibri"/>
        </w:rPr>
        <w:fldChar w:fldCharType="separate"/>
      </w:r>
      <w:r w:rsidR="00A77D90">
        <w:t xml:space="preserve">Table </w:t>
      </w:r>
      <w:r w:rsidR="00A77D90">
        <w:rPr>
          <w:noProof/>
        </w:rPr>
        <w:t>8</w:t>
      </w:r>
      <w:r w:rsidR="00BB6614">
        <w:rPr>
          <w:rFonts w:eastAsia="Calibri"/>
        </w:rPr>
        <w:fldChar w:fldCharType="end"/>
      </w:r>
      <w:r w:rsidR="00BB6614">
        <w:rPr>
          <w:rFonts w:eastAsia="Calibri"/>
        </w:rPr>
        <w:t>.</w:t>
      </w:r>
    </w:p>
    <w:p w14:paraId="77F21ABA" w14:textId="6E438444" w:rsidR="00616D19" w:rsidRPr="00AF1E66" w:rsidRDefault="00BB6614" w:rsidP="00BB6614">
      <w:pPr>
        <w:pStyle w:val="Caption"/>
      </w:pPr>
      <w:bookmarkStart w:id="40" w:name="_Ref121057567"/>
      <w:r>
        <w:t xml:space="preserve">Table </w:t>
      </w:r>
      <w:r w:rsidR="00A77D90">
        <w:fldChar w:fldCharType="begin"/>
      </w:r>
      <w:r w:rsidR="00A77D90">
        <w:instrText xml:space="preserve"> SEQ Table \* ARABIC </w:instrText>
      </w:r>
      <w:r w:rsidR="00A77D90">
        <w:fldChar w:fldCharType="separate"/>
      </w:r>
      <w:r w:rsidR="00A77D90">
        <w:rPr>
          <w:noProof/>
        </w:rPr>
        <w:t>8</w:t>
      </w:r>
      <w:r w:rsidR="00A77D90">
        <w:rPr>
          <w:noProof/>
        </w:rPr>
        <w:fldChar w:fldCharType="end"/>
      </w:r>
      <w:bookmarkEnd w:id="40"/>
      <w:r>
        <w:t xml:space="preserve">: </w:t>
      </w:r>
      <w:r w:rsidR="00616D19" w:rsidRPr="00AF1E66">
        <w:t>Summary of results for neoadjuvant nivolumab plus chemotherapy versus adjuvant chemotherapy</w:t>
      </w:r>
    </w:p>
    <w:tbl>
      <w:tblPr>
        <w:tblStyle w:val="TableGrid"/>
        <w:tblW w:w="5000" w:type="pct"/>
        <w:tblLook w:val="04A0" w:firstRow="1" w:lastRow="0" w:firstColumn="1" w:lastColumn="0" w:noHBand="0" w:noVBand="1"/>
      </w:tblPr>
      <w:tblGrid>
        <w:gridCol w:w="1807"/>
        <w:gridCol w:w="887"/>
        <w:gridCol w:w="1807"/>
        <w:gridCol w:w="999"/>
        <w:gridCol w:w="1158"/>
        <w:gridCol w:w="1309"/>
        <w:gridCol w:w="1050"/>
      </w:tblGrid>
      <w:tr w:rsidR="00616D19" w:rsidRPr="00BA5688" w14:paraId="1DEE0430" w14:textId="77777777" w:rsidTr="00750175">
        <w:tc>
          <w:tcPr>
            <w:tcW w:w="1002" w:type="pct"/>
            <w:shd w:val="clear" w:color="auto" w:fill="auto"/>
          </w:tcPr>
          <w:p w14:paraId="1DF84E7A" w14:textId="77777777" w:rsidR="00616D19" w:rsidRPr="00AF1E66" w:rsidRDefault="00616D19" w:rsidP="00276A2C">
            <w:pPr>
              <w:pStyle w:val="Tabletext"/>
              <w:keepNext/>
              <w:rPr>
                <w:b/>
              </w:rPr>
            </w:pPr>
            <w:r w:rsidRPr="00AF1E66">
              <w:rPr>
                <w:b/>
              </w:rPr>
              <w:t>Study drug</w:t>
            </w:r>
          </w:p>
        </w:tc>
        <w:tc>
          <w:tcPr>
            <w:tcW w:w="492" w:type="pct"/>
            <w:shd w:val="clear" w:color="auto" w:fill="auto"/>
          </w:tcPr>
          <w:p w14:paraId="59E7705E" w14:textId="77777777" w:rsidR="00616D19" w:rsidRPr="00AF1E66" w:rsidRDefault="00616D19" w:rsidP="00276A2C">
            <w:pPr>
              <w:pStyle w:val="Tabletext"/>
              <w:keepNext/>
              <w:rPr>
                <w:b/>
              </w:rPr>
            </w:pPr>
            <w:r w:rsidRPr="00AF1E66">
              <w:rPr>
                <w:b/>
              </w:rPr>
              <w:t>Trial ID</w:t>
            </w:r>
          </w:p>
        </w:tc>
        <w:tc>
          <w:tcPr>
            <w:tcW w:w="1002" w:type="pct"/>
            <w:shd w:val="clear" w:color="auto" w:fill="auto"/>
          </w:tcPr>
          <w:p w14:paraId="1ECE9C05" w14:textId="77777777" w:rsidR="00616D19" w:rsidRPr="00AF1E66" w:rsidRDefault="00616D19" w:rsidP="00276A2C">
            <w:pPr>
              <w:pStyle w:val="Tabletext"/>
              <w:keepNext/>
              <w:rPr>
                <w:b/>
              </w:rPr>
            </w:pPr>
            <w:r w:rsidRPr="00AF1E66">
              <w:rPr>
                <w:b/>
              </w:rPr>
              <w:t>n/N with event (%)</w:t>
            </w:r>
          </w:p>
        </w:tc>
        <w:tc>
          <w:tcPr>
            <w:tcW w:w="554" w:type="pct"/>
            <w:shd w:val="clear" w:color="auto" w:fill="auto"/>
          </w:tcPr>
          <w:p w14:paraId="7744256F" w14:textId="77777777" w:rsidR="00616D19" w:rsidRPr="00AF1E66" w:rsidRDefault="00616D19" w:rsidP="00276A2C">
            <w:pPr>
              <w:pStyle w:val="Tabletext"/>
              <w:keepNext/>
              <w:rPr>
                <w:b/>
              </w:rPr>
            </w:pPr>
            <w:r w:rsidRPr="00AF1E66">
              <w:rPr>
                <w:b/>
              </w:rPr>
              <w:t>Median time-to-event (95% CI)</w:t>
            </w:r>
          </w:p>
        </w:tc>
        <w:tc>
          <w:tcPr>
            <w:tcW w:w="642" w:type="pct"/>
            <w:shd w:val="clear" w:color="auto" w:fill="auto"/>
          </w:tcPr>
          <w:p w14:paraId="0C5D0751" w14:textId="77777777" w:rsidR="00616D19" w:rsidRPr="00AF1E66" w:rsidRDefault="00616D19" w:rsidP="00276A2C">
            <w:pPr>
              <w:pStyle w:val="Tabletext"/>
              <w:keepNext/>
              <w:rPr>
                <w:b/>
              </w:rPr>
            </w:pPr>
            <w:r w:rsidRPr="00AF1E66">
              <w:rPr>
                <w:b/>
              </w:rPr>
              <w:t>Common reference n/N with event</w:t>
            </w:r>
          </w:p>
        </w:tc>
        <w:tc>
          <w:tcPr>
            <w:tcW w:w="726" w:type="pct"/>
            <w:shd w:val="clear" w:color="auto" w:fill="auto"/>
          </w:tcPr>
          <w:p w14:paraId="67EE68CB" w14:textId="5B79A6C4" w:rsidR="00616D19" w:rsidRPr="00AF1E66" w:rsidRDefault="00616D19" w:rsidP="00276A2C">
            <w:pPr>
              <w:pStyle w:val="Tabletext"/>
              <w:keepNext/>
              <w:rPr>
                <w:b/>
              </w:rPr>
            </w:pPr>
            <w:r w:rsidRPr="00AF1E66">
              <w:rPr>
                <w:b/>
              </w:rPr>
              <w:t>Median time-to-event</w:t>
            </w:r>
            <w:r w:rsidR="00E61BA8">
              <w:rPr>
                <w:b/>
              </w:rPr>
              <w:t xml:space="preserve">, months, </w:t>
            </w:r>
            <w:r w:rsidRPr="00AF1E66">
              <w:rPr>
                <w:b/>
              </w:rPr>
              <w:t>(95% CI)</w:t>
            </w:r>
          </w:p>
        </w:tc>
        <w:tc>
          <w:tcPr>
            <w:tcW w:w="582" w:type="pct"/>
            <w:shd w:val="clear" w:color="auto" w:fill="auto"/>
          </w:tcPr>
          <w:p w14:paraId="403720B1" w14:textId="77777777" w:rsidR="00616D19" w:rsidRPr="00AF1E66" w:rsidRDefault="00616D19" w:rsidP="00276A2C">
            <w:pPr>
              <w:pStyle w:val="Tabletext"/>
              <w:keepNext/>
              <w:rPr>
                <w:b/>
              </w:rPr>
            </w:pPr>
            <w:r w:rsidRPr="00AF1E66">
              <w:rPr>
                <w:b/>
              </w:rPr>
              <w:t>Hazard ratio (95 % CI)</w:t>
            </w:r>
          </w:p>
        </w:tc>
      </w:tr>
      <w:tr w:rsidR="00616D19" w:rsidRPr="00BA5688" w14:paraId="1D83933D" w14:textId="77777777" w:rsidTr="00750175">
        <w:tc>
          <w:tcPr>
            <w:tcW w:w="5000" w:type="pct"/>
            <w:gridSpan w:val="7"/>
            <w:shd w:val="clear" w:color="auto" w:fill="auto"/>
          </w:tcPr>
          <w:p w14:paraId="4F236FC4" w14:textId="77777777" w:rsidR="00616D19" w:rsidRPr="00BA6C87" w:rsidRDefault="00616D19" w:rsidP="00276A2C">
            <w:pPr>
              <w:pStyle w:val="Tabletext"/>
              <w:keepNext/>
              <w:rPr>
                <w:b/>
              </w:rPr>
            </w:pPr>
            <w:r w:rsidRPr="00BA6C87">
              <w:rPr>
                <w:b/>
              </w:rPr>
              <w:t>EFS from CM816 and DFS from NATCH</w:t>
            </w:r>
          </w:p>
        </w:tc>
      </w:tr>
      <w:tr w:rsidR="00616D19" w:rsidRPr="00BA5688" w14:paraId="0BF2DACA" w14:textId="77777777" w:rsidTr="00750175">
        <w:tc>
          <w:tcPr>
            <w:tcW w:w="1002" w:type="pct"/>
            <w:shd w:val="clear" w:color="auto" w:fill="auto"/>
          </w:tcPr>
          <w:p w14:paraId="5BB44740" w14:textId="2957D339" w:rsidR="00616D19" w:rsidRPr="00BA5688" w:rsidRDefault="000039B4" w:rsidP="00276A2C">
            <w:pPr>
              <w:pStyle w:val="Tabletext"/>
              <w:keepNext/>
            </w:pPr>
            <w:r>
              <w:t>neoNIVO</w:t>
            </w:r>
            <w:r w:rsidR="00616D19">
              <w:t>+</w:t>
            </w:r>
            <w:r>
              <w:t>neoChemo</w:t>
            </w:r>
            <w:r w:rsidR="00616D19" w:rsidRPr="00BA5688">
              <w:t xml:space="preserve"> vs </w:t>
            </w:r>
            <w:r>
              <w:t>neoChemo</w:t>
            </w:r>
          </w:p>
        </w:tc>
        <w:tc>
          <w:tcPr>
            <w:tcW w:w="492" w:type="pct"/>
            <w:shd w:val="clear" w:color="auto" w:fill="auto"/>
          </w:tcPr>
          <w:p w14:paraId="2E1E5604" w14:textId="77777777" w:rsidR="00616D19" w:rsidRPr="00BA5688" w:rsidRDefault="00616D19" w:rsidP="00276A2C">
            <w:pPr>
              <w:pStyle w:val="Tabletext"/>
              <w:keepNext/>
            </w:pPr>
            <w:r>
              <w:t>CM816</w:t>
            </w:r>
          </w:p>
        </w:tc>
        <w:tc>
          <w:tcPr>
            <w:tcW w:w="1002" w:type="pct"/>
            <w:shd w:val="clear" w:color="auto" w:fill="auto"/>
          </w:tcPr>
          <w:p w14:paraId="5CD6A347" w14:textId="574CF91C" w:rsidR="00616D19" w:rsidRPr="00AF1E66" w:rsidRDefault="000039B4" w:rsidP="00276A2C">
            <w:pPr>
              <w:pStyle w:val="Tabletext"/>
              <w:keepNext/>
              <w:rPr>
                <w:u w:val="single"/>
              </w:rPr>
            </w:pPr>
            <w:r>
              <w:rPr>
                <w:u w:val="single"/>
              </w:rPr>
              <w:t>neoNIVO</w:t>
            </w:r>
            <w:r w:rsidR="00616D19" w:rsidRPr="00AF1E66">
              <w:rPr>
                <w:u w:val="single"/>
              </w:rPr>
              <w:t>+</w:t>
            </w:r>
            <w:r>
              <w:rPr>
                <w:u w:val="single"/>
              </w:rPr>
              <w:t>neoChemo</w:t>
            </w:r>
          </w:p>
          <w:p w14:paraId="3142D41A" w14:textId="77777777" w:rsidR="00616D19" w:rsidRDefault="00616D19" w:rsidP="00276A2C">
            <w:pPr>
              <w:pStyle w:val="Tabletext"/>
              <w:keepNext/>
            </w:pPr>
            <w:r w:rsidRPr="00CD07D5">
              <w:t>64/179</w:t>
            </w:r>
          </w:p>
          <w:p w14:paraId="6BCFC634" w14:textId="77777777" w:rsidR="00616D19" w:rsidRPr="00BA5688" w:rsidRDefault="00616D19" w:rsidP="00276A2C">
            <w:pPr>
              <w:pStyle w:val="Tabletext"/>
              <w:keepNext/>
            </w:pPr>
            <w:r w:rsidRPr="00CD07D5">
              <w:t>(36%)</w:t>
            </w:r>
          </w:p>
        </w:tc>
        <w:tc>
          <w:tcPr>
            <w:tcW w:w="554" w:type="pct"/>
            <w:shd w:val="clear" w:color="auto" w:fill="auto"/>
          </w:tcPr>
          <w:p w14:paraId="1CF3B426" w14:textId="77777777" w:rsidR="00616D19" w:rsidRDefault="00616D19" w:rsidP="00276A2C">
            <w:pPr>
              <w:pStyle w:val="Tabletext"/>
              <w:keepNext/>
            </w:pPr>
            <w:r w:rsidRPr="00CD07D5">
              <w:t>31.6</w:t>
            </w:r>
          </w:p>
          <w:p w14:paraId="4C52E800" w14:textId="77777777" w:rsidR="00616D19" w:rsidRPr="00BA5688" w:rsidRDefault="00616D19" w:rsidP="00276A2C">
            <w:pPr>
              <w:pStyle w:val="Tabletext"/>
              <w:keepNext/>
            </w:pPr>
            <w:r w:rsidRPr="00CD07D5">
              <w:t>(30.2, NA)</w:t>
            </w:r>
          </w:p>
        </w:tc>
        <w:tc>
          <w:tcPr>
            <w:tcW w:w="642" w:type="pct"/>
            <w:shd w:val="clear" w:color="auto" w:fill="auto"/>
          </w:tcPr>
          <w:p w14:paraId="239B2BCE" w14:textId="4EA0E146" w:rsidR="00616D19" w:rsidRPr="00AF1E66" w:rsidRDefault="000039B4" w:rsidP="00276A2C">
            <w:pPr>
              <w:pStyle w:val="Tabletext"/>
              <w:keepNext/>
              <w:rPr>
                <w:u w:val="single"/>
              </w:rPr>
            </w:pPr>
            <w:r>
              <w:rPr>
                <w:u w:val="single"/>
              </w:rPr>
              <w:t>neoChemo</w:t>
            </w:r>
          </w:p>
          <w:p w14:paraId="12EC5594" w14:textId="77777777" w:rsidR="00616D19" w:rsidRDefault="00616D19" w:rsidP="00276A2C">
            <w:pPr>
              <w:pStyle w:val="Tabletext"/>
              <w:keepNext/>
            </w:pPr>
            <w:r w:rsidRPr="00CD07D5">
              <w:t>87/179</w:t>
            </w:r>
          </w:p>
          <w:p w14:paraId="0F9BDD25" w14:textId="77777777" w:rsidR="00616D19" w:rsidRPr="00BA5688" w:rsidRDefault="00616D19" w:rsidP="00276A2C">
            <w:pPr>
              <w:pStyle w:val="Tabletext"/>
              <w:keepNext/>
            </w:pPr>
            <w:r w:rsidRPr="00CD07D5">
              <w:t>(49%)</w:t>
            </w:r>
          </w:p>
        </w:tc>
        <w:tc>
          <w:tcPr>
            <w:tcW w:w="726" w:type="pct"/>
            <w:shd w:val="clear" w:color="auto" w:fill="auto"/>
          </w:tcPr>
          <w:p w14:paraId="697F87C4" w14:textId="77777777" w:rsidR="00616D19" w:rsidRDefault="00616D19" w:rsidP="00276A2C">
            <w:pPr>
              <w:pStyle w:val="Tabletext"/>
              <w:keepNext/>
            </w:pPr>
            <w:r w:rsidRPr="00CD07D5">
              <w:t>20.8</w:t>
            </w:r>
          </w:p>
          <w:p w14:paraId="5C88544D" w14:textId="77777777" w:rsidR="00616D19" w:rsidRPr="00BA5688" w:rsidRDefault="00616D19" w:rsidP="00276A2C">
            <w:pPr>
              <w:pStyle w:val="Tabletext"/>
              <w:keepNext/>
            </w:pPr>
            <w:r w:rsidRPr="00CD07D5">
              <w:t>(14.0, 26.7)</w:t>
            </w:r>
          </w:p>
        </w:tc>
        <w:tc>
          <w:tcPr>
            <w:tcW w:w="582" w:type="pct"/>
            <w:shd w:val="clear" w:color="auto" w:fill="auto"/>
          </w:tcPr>
          <w:p w14:paraId="7516EF9A" w14:textId="77777777" w:rsidR="00616D19" w:rsidRPr="00BA5688" w:rsidRDefault="00616D19" w:rsidP="00276A2C">
            <w:pPr>
              <w:pStyle w:val="Tabletext"/>
              <w:keepNext/>
            </w:pPr>
            <w:r w:rsidRPr="00CD07D5">
              <w:t>0.63 (0.45, 0.87)</w:t>
            </w:r>
          </w:p>
        </w:tc>
      </w:tr>
      <w:tr w:rsidR="00616D19" w:rsidRPr="00BA5688" w14:paraId="6ED0F8E8" w14:textId="77777777" w:rsidTr="00750175">
        <w:tc>
          <w:tcPr>
            <w:tcW w:w="1002" w:type="pct"/>
            <w:shd w:val="clear" w:color="auto" w:fill="auto"/>
          </w:tcPr>
          <w:p w14:paraId="7EC023F6" w14:textId="4D36B23A" w:rsidR="00616D19" w:rsidRPr="00BA5688" w:rsidRDefault="000039B4" w:rsidP="00276A2C">
            <w:pPr>
              <w:pStyle w:val="Tabletext"/>
              <w:keepNext/>
            </w:pPr>
            <w:r>
              <w:t>neoChemo</w:t>
            </w:r>
            <w:r w:rsidR="00616D19">
              <w:t xml:space="preserve"> vs Surgery</w:t>
            </w:r>
          </w:p>
        </w:tc>
        <w:tc>
          <w:tcPr>
            <w:tcW w:w="492" w:type="pct"/>
            <w:shd w:val="clear" w:color="auto" w:fill="auto"/>
          </w:tcPr>
          <w:p w14:paraId="2C30977E" w14:textId="77777777" w:rsidR="00616D19" w:rsidRPr="00BA5688" w:rsidRDefault="00616D19" w:rsidP="00276A2C">
            <w:pPr>
              <w:pStyle w:val="Tabletext"/>
              <w:keepNext/>
            </w:pPr>
            <w:r>
              <w:t>NATCH</w:t>
            </w:r>
          </w:p>
        </w:tc>
        <w:tc>
          <w:tcPr>
            <w:tcW w:w="1002" w:type="pct"/>
            <w:shd w:val="clear" w:color="auto" w:fill="auto"/>
          </w:tcPr>
          <w:p w14:paraId="5F3091D1" w14:textId="73A9C283" w:rsidR="00616D19" w:rsidRPr="00AF1E66" w:rsidRDefault="000039B4" w:rsidP="00276A2C">
            <w:pPr>
              <w:pStyle w:val="Tabletext"/>
              <w:keepNext/>
              <w:rPr>
                <w:u w:val="single"/>
              </w:rPr>
            </w:pPr>
            <w:r>
              <w:rPr>
                <w:u w:val="single"/>
              </w:rPr>
              <w:t>neoChemo</w:t>
            </w:r>
          </w:p>
          <w:p w14:paraId="6556DEFB" w14:textId="77777777" w:rsidR="00616D19" w:rsidRDefault="00616D19" w:rsidP="00276A2C">
            <w:pPr>
              <w:pStyle w:val="Tabletext"/>
              <w:keepNext/>
            </w:pPr>
            <w:r>
              <w:t>117/199</w:t>
            </w:r>
          </w:p>
          <w:p w14:paraId="50B53E24" w14:textId="77777777" w:rsidR="00616D19" w:rsidRPr="00BA5688" w:rsidRDefault="00616D19" w:rsidP="00276A2C">
            <w:pPr>
              <w:pStyle w:val="Tabletext"/>
              <w:keepNext/>
            </w:pPr>
            <w:r>
              <w:t>(58.8%)</w:t>
            </w:r>
          </w:p>
        </w:tc>
        <w:tc>
          <w:tcPr>
            <w:tcW w:w="554" w:type="pct"/>
            <w:shd w:val="clear" w:color="auto" w:fill="auto"/>
          </w:tcPr>
          <w:p w14:paraId="541DC7B0" w14:textId="77777777" w:rsidR="00616D19" w:rsidRPr="00BA5688" w:rsidRDefault="00616D19" w:rsidP="00276A2C">
            <w:pPr>
              <w:pStyle w:val="Tabletext"/>
              <w:keepNext/>
            </w:pPr>
            <w:r>
              <w:t>NR</w:t>
            </w:r>
          </w:p>
        </w:tc>
        <w:tc>
          <w:tcPr>
            <w:tcW w:w="642" w:type="pct"/>
            <w:vMerge w:val="restart"/>
            <w:shd w:val="clear" w:color="auto" w:fill="auto"/>
          </w:tcPr>
          <w:p w14:paraId="15829843" w14:textId="77777777" w:rsidR="00616D19" w:rsidRPr="00AF1E66" w:rsidRDefault="00616D19" w:rsidP="00276A2C">
            <w:pPr>
              <w:pStyle w:val="Tabletext"/>
              <w:keepNext/>
              <w:rPr>
                <w:u w:val="single"/>
              </w:rPr>
            </w:pPr>
            <w:r w:rsidRPr="00AF1E66">
              <w:rPr>
                <w:u w:val="single"/>
              </w:rPr>
              <w:t xml:space="preserve">Surgery </w:t>
            </w:r>
          </w:p>
          <w:p w14:paraId="4E17F657" w14:textId="77777777" w:rsidR="00616D19" w:rsidRDefault="00616D19" w:rsidP="00276A2C">
            <w:pPr>
              <w:pStyle w:val="Tabletext"/>
              <w:keepNext/>
            </w:pPr>
            <w:r>
              <w:t>132/210</w:t>
            </w:r>
          </w:p>
          <w:p w14:paraId="085243B2" w14:textId="77777777" w:rsidR="00616D19" w:rsidRPr="00BA5688" w:rsidRDefault="00616D19" w:rsidP="00276A2C">
            <w:pPr>
              <w:pStyle w:val="Tabletext"/>
              <w:keepNext/>
            </w:pPr>
            <w:r>
              <w:t>(62.9%)</w:t>
            </w:r>
          </w:p>
        </w:tc>
        <w:tc>
          <w:tcPr>
            <w:tcW w:w="726" w:type="pct"/>
            <w:shd w:val="clear" w:color="auto" w:fill="auto"/>
          </w:tcPr>
          <w:p w14:paraId="56FBC034" w14:textId="77777777" w:rsidR="00616D19" w:rsidRPr="00BA5688" w:rsidRDefault="00616D19" w:rsidP="00276A2C">
            <w:pPr>
              <w:pStyle w:val="Tabletext"/>
              <w:keepNext/>
            </w:pPr>
            <w:r>
              <w:t>NR</w:t>
            </w:r>
          </w:p>
        </w:tc>
        <w:tc>
          <w:tcPr>
            <w:tcW w:w="582" w:type="pct"/>
            <w:shd w:val="clear" w:color="auto" w:fill="auto"/>
          </w:tcPr>
          <w:p w14:paraId="1309821B" w14:textId="77777777" w:rsidR="00616D19" w:rsidRPr="00BA5688" w:rsidRDefault="00616D19" w:rsidP="00276A2C">
            <w:pPr>
              <w:pStyle w:val="Tabletext"/>
              <w:keepNext/>
            </w:pPr>
            <w:r>
              <w:t>0.92 (0.81, 1.04)</w:t>
            </w:r>
          </w:p>
        </w:tc>
      </w:tr>
      <w:tr w:rsidR="00616D19" w:rsidRPr="00BA5688" w14:paraId="36FA4DD3" w14:textId="77777777" w:rsidTr="00750175">
        <w:tc>
          <w:tcPr>
            <w:tcW w:w="1002" w:type="pct"/>
            <w:shd w:val="clear" w:color="auto" w:fill="auto"/>
          </w:tcPr>
          <w:p w14:paraId="61E9D7D6" w14:textId="1A158DBE" w:rsidR="00616D19" w:rsidRPr="00BA5688" w:rsidRDefault="003D24E4" w:rsidP="00276A2C">
            <w:pPr>
              <w:pStyle w:val="Tabletext"/>
              <w:keepNext/>
            </w:pPr>
            <w:r>
              <w:t>adjChemo</w:t>
            </w:r>
            <w:r w:rsidR="00616D19">
              <w:t xml:space="preserve"> vs Surgery</w:t>
            </w:r>
          </w:p>
        </w:tc>
        <w:tc>
          <w:tcPr>
            <w:tcW w:w="492" w:type="pct"/>
            <w:shd w:val="clear" w:color="auto" w:fill="auto"/>
          </w:tcPr>
          <w:p w14:paraId="630A1ACF" w14:textId="77777777" w:rsidR="00616D19" w:rsidRPr="00BA5688" w:rsidRDefault="00616D19" w:rsidP="00276A2C">
            <w:pPr>
              <w:pStyle w:val="Tabletext"/>
              <w:keepNext/>
            </w:pPr>
            <w:r>
              <w:t>NATCH</w:t>
            </w:r>
          </w:p>
        </w:tc>
        <w:tc>
          <w:tcPr>
            <w:tcW w:w="1002" w:type="pct"/>
            <w:shd w:val="clear" w:color="auto" w:fill="auto"/>
          </w:tcPr>
          <w:p w14:paraId="15B370E3" w14:textId="30BAE1F8" w:rsidR="00616D19" w:rsidRPr="00AF1E66" w:rsidRDefault="003D24E4" w:rsidP="00276A2C">
            <w:pPr>
              <w:pStyle w:val="Tabletext"/>
              <w:keepNext/>
              <w:rPr>
                <w:u w:val="single"/>
              </w:rPr>
            </w:pPr>
            <w:r>
              <w:rPr>
                <w:u w:val="single"/>
              </w:rPr>
              <w:t>adjChemo</w:t>
            </w:r>
          </w:p>
          <w:p w14:paraId="1FFE6758" w14:textId="77777777" w:rsidR="00616D19" w:rsidRDefault="00616D19" w:rsidP="00276A2C">
            <w:pPr>
              <w:pStyle w:val="Tabletext"/>
              <w:keepNext/>
            </w:pPr>
            <w:r>
              <w:t>125/210</w:t>
            </w:r>
          </w:p>
          <w:p w14:paraId="7DCF5B41" w14:textId="77777777" w:rsidR="00616D19" w:rsidRPr="00BA5688" w:rsidRDefault="00616D19" w:rsidP="00276A2C">
            <w:pPr>
              <w:pStyle w:val="Tabletext"/>
              <w:keepNext/>
            </w:pPr>
            <w:r>
              <w:t>(59.5%)</w:t>
            </w:r>
          </w:p>
        </w:tc>
        <w:tc>
          <w:tcPr>
            <w:tcW w:w="554" w:type="pct"/>
            <w:shd w:val="clear" w:color="auto" w:fill="auto"/>
          </w:tcPr>
          <w:p w14:paraId="16ECC6F9" w14:textId="77777777" w:rsidR="00616D19" w:rsidRPr="00BA5688" w:rsidRDefault="00616D19" w:rsidP="00276A2C">
            <w:pPr>
              <w:pStyle w:val="Tabletext"/>
              <w:keepNext/>
            </w:pPr>
            <w:r>
              <w:t>NR</w:t>
            </w:r>
          </w:p>
        </w:tc>
        <w:tc>
          <w:tcPr>
            <w:tcW w:w="642" w:type="pct"/>
            <w:vMerge/>
            <w:shd w:val="clear" w:color="auto" w:fill="auto"/>
          </w:tcPr>
          <w:p w14:paraId="149A09C3" w14:textId="77777777" w:rsidR="00616D19" w:rsidRPr="00BA5688" w:rsidRDefault="00616D19" w:rsidP="00276A2C">
            <w:pPr>
              <w:pStyle w:val="Tabletext"/>
              <w:keepNext/>
            </w:pPr>
          </w:p>
        </w:tc>
        <w:tc>
          <w:tcPr>
            <w:tcW w:w="726" w:type="pct"/>
            <w:shd w:val="clear" w:color="auto" w:fill="auto"/>
          </w:tcPr>
          <w:p w14:paraId="7475465E" w14:textId="77777777" w:rsidR="00616D19" w:rsidRPr="00BA5688" w:rsidRDefault="00616D19" w:rsidP="00276A2C">
            <w:pPr>
              <w:pStyle w:val="Tabletext"/>
              <w:keepNext/>
            </w:pPr>
            <w:r>
              <w:t>NR</w:t>
            </w:r>
          </w:p>
        </w:tc>
        <w:tc>
          <w:tcPr>
            <w:tcW w:w="582" w:type="pct"/>
            <w:shd w:val="clear" w:color="auto" w:fill="auto"/>
          </w:tcPr>
          <w:p w14:paraId="52197DC2" w14:textId="77777777" w:rsidR="00616D19" w:rsidRPr="00BA5688" w:rsidRDefault="00616D19" w:rsidP="00276A2C">
            <w:pPr>
              <w:pStyle w:val="Tabletext"/>
              <w:keepNext/>
            </w:pPr>
            <w:r>
              <w:t>0.96 (0.75, 1.22)</w:t>
            </w:r>
          </w:p>
        </w:tc>
      </w:tr>
      <w:tr w:rsidR="00616D19" w:rsidRPr="000A6E90" w14:paraId="2D560096" w14:textId="77777777" w:rsidTr="00750175">
        <w:tc>
          <w:tcPr>
            <w:tcW w:w="1002" w:type="pct"/>
            <w:shd w:val="clear" w:color="auto" w:fill="auto"/>
          </w:tcPr>
          <w:p w14:paraId="3B886308" w14:textId="0160911D" w:rsidR="00616D19" w:rsidRPr="000A6E90" w:rsidRDefault="003D24E4" w:rsidP="00276A2C">
            <w:pPr>
              <w:pStyle w:val="Tabletext"/>
              <w:keepNext/>
              <w:rPr>
                <w:vertAlign w:val="superscript"/>
              </w:rPr>
            </w:pPr>
            <w:r w:rsidRPr="000A6E90">
              <w:t>adjChemo</w:t>
            </w:r>
            <w:r w:rsidR="00616D19" w:rsidRPr="000A6E90">
              <w:t xml:space="preserve"> vs. </w:t>
            </w:r>
            <w:r w:rsidR="000039B4" w:rsidRPr="000A6E90">
              <w:t>neoChemo</w:t>
            </w:r>
            <w:r w:rsidR="00616D19" w:rsidRPr="000A6E90">
              <w:t xml:space="preserve"> using surgery as common reference</w:t>
            </w:r>
            <w:r w:rsidR="00616D19" w:rsidRPr="000A6E90">
              <w:rPr>
                <w:vertAlign w:val="superscript"/>
              </w:rPr>
              <w:t>a</w:t>
            </w:r>
          </w:p>
        </w:tc>
        <w:tc>
          <w:tcPr>
            <w:tcW w:w="492" w:type="pct"/>
            <w:shd w:val="clear" w:color="auto" w:fill="auto"/>
          </w:tcPr>
          <w:p w14:paraId="7A4BF967" w14:textId="77777777" w:rsidR="00616D19" w:rsidRPr="000A6E90" w:rsidRDefault="00616D19" w:rsidP="00276A2C">
            <w:pPr>
              <w:pStyle w:val="Tabletext"/>
              <w:keepNext/>
            </w:pPr>
            <w:r w:rsidRPr="000A6E90">
              <w:t>NATCH</w:t>
            </w:r>
          </w:p>
        </w:tc>
        <w:tc>
          <w:tcPr>
            <w:tcW w:w="1002" w:type="pct"/>
            <w:shd w:val="clear" w:color="auto" w:fill="auto"/>
          </w:tcPr>
          <w:p w14:paraId="4FABD9E8" w14:textId="77777777" w:rsidR="00616D19" w:rsidRPr="000A6E90" w:rsidRDefault="00616D19" w:rsidP="00276A2C">
            <w:pPr>
              <w:pStyle w:val="Tabletext"/>
              <w:keepNext/>
            </w:pPr>
          </w:p>
        </w:tc>
        <w:tc>
          <w:tcPr>
            <w:tcW w:w="554" w:type="pct"/>
            <w:shd w:val="clear" w:color="auto" w:fill="auto"/>
          </w:tcPr>
          <w:p w14:paraId="0ED36BEE" w14:textId="77777777" w:rsidR="00616D19" w:rsidRPr="000A6E90" w:rsidRDefault="00616D19" w:rsidP="00276A2C">
            <w:pPr>
              <w:pStyle w:val="Tabletext"/>
              <w:keepNext/>
            </w:pPr>
          </w:p>
        </w:tc>
        <w:tc>
          <w:tcPr>
            <w:tcW w:w="642" w:type="pct"/>
            <w:shd w:val="clear" w:color="auto" w:fill="auto"/>
          </w:tcPr>
          <w:p w14:paraId="5FE04A59" w14:textId="77777777" w:rsidR="00616D19" w:rsidRPr="000A6E90" w:rsidRDefault="00616D19" w:rsidP="00276A2C">
            <w:pPr>
              <w:pStyle w:val="Tabletext"/>
              <w:keepNext/>
            </w:pPr>
          </w:p>
        </w:tc>
        <w:tc>
          <w:tcPr>
            <w:tcW w:w="726" w:type="pct"/>
            <w:shd w:val="clear" w:color="auto" w:fill="auto"/>
          </w:tcPr>
          <w:p w14:paraId="3A911DB6" w14:textId="77777777" w:rsidR="00616D19" w:rsidRPr="000A6E90" w:rsidRDefault="00616D19" w:rsidP="00276A2C">
            <w:pPr>
              <w:pStyle w:val="Tabletext"/>
              <w:keepNext/>
            </w:pPr>
          </w:p>
        </w:tc>
        <w:tc>
          <w:tcPr>
            <w:tcW w:w="582" w:type="pct"/>
            <w:shd w:val="clear" w:color="auto" w:fill="auto"/>
          </w:tcPr>
          <w:p w14:paraId="6C2D9FBD" w14:textId="77777777" w:rsidR="00616D19" w:rsidRPr="000A6E90" w:rsidRDefault="00616D19" w:rsidP="00276A2C">
            <w:pPr>
              <w:pStyle w:val="Tabletext"/>
              <w:keepNext/>
            </w:pPr>
            <w:r w:rsidRPr="000A6E90">
              <w:t>1.04 (0.79, 1.37)</w:t>
            </w:r>
          </w:p>
        </w:tc>
      </w:tr>
      <w:tr w:rsidR="00616D19" w:rsidRPr="00BA5688" w14:paraId="20B4C139" w14:textId="77777777" w:rsidTr="006E0598">
        <w:trPr>
          <w:trHeight w:val="507"/>
        </w:trPr>
        <w:tc>
          <w:tcPr>
            <w:tcW w:w="4418" w:type="pct"/>
            <w:gridSpan w:val="6"/>
            <w:shd w:val="clear" w:color="auto" w:fill="auto"/>
            <w:vAlign w:val="center"/>
          </w:tcPr>
          <w:p w14:paraId="576135C2" w14:textId="07A0515C" w:rsidR="00616D19" w:rsidRPr="00AF1E66" w:rsidRDefault="00616D19" w:rsidP="00276A2C">
            <w:pPr>
              <w:pStyle w:val="Tabletext"/>
              <w:keepNext/>
              <w:rPr>
                <w:b/>
              </w:rPr>
            </w:pPr>
            <w:r w:rsidRPr="00AF1E66">
              <w:rPr>
                <w:b/>
              </w:rPr>
              <w:t xml:space="preserve">Indirect estimate of effect </w:t>
            </w:r>
            <w:r w:rsidR="000039B4">
              <w:rPr>
                <w:b/>
              </w:rPr>
              <w:t>neoNIVO</w:t>
            </w:r>
            <w:r w:rsidRPr="00AF1E66">
              <w:rPr>
                <w:b/>
              </w:rPr>
              <w:t>+</w:t>
            </w:r>
            <w:r w:rsidR="000039B4">
              <w:rPr>
                <w:b/>
              </w:rPr>
              <w:t>neoChemo</w:t>
            </w:r>
            <w:r w:rsidRPr="00AF1E66">
              <w:rPr>
                <w:b/>
              </w:rPr>
              <w:t xml:space="preserve"> versus </w:t>
            </w:r>
            <w:r w:rsidR="003D24E4">
              <w:rPr>
                <w:b/>
              </w:rPr>
              <w:t>adjChemo</w:t>
            </w:r>
            <w:r w:rsidRPr="00AF1E66">
              <w:rPr>
                <w:b/>
              </w:rPr>
              <w:t xml:space="preserve"> using </w:t>
            </w:r>
            <w:r w:rsidR="000039B4">
              <w:rPr>
                <w:b/>
              </w:rPr>
              <w:t>neoChemo</w:t>
            </w:r>
            <w:r w:rsidRPr="00AF1E66">
              <w:rPr>
                <w:b/>
              </w:rPr>
              <w:t xml:space="preserve"> as the common reference</w:t>
            </w:r>
          </w:p>
        </w:tc>
        <w:tc>
          <w:tcPr>
            <w:tcW w:w="582" w:type="pct"/>
            <w:shd w:val="clear" w:color="auto" w:fill="auto"/>
          </w:tcPr>
          <w:p w14:paraId="47584751" w14:textId="77777777" w:rsidR="00616D19" w:rsidRPr="00AF1E66" w:rsidRDefault="00616D19" w:rsidP="00276A2C">
            <w:pPr>
              <w:pStyle w:val="Tabletext"/>
              <w:keepNext/>
              <w:rPr>
                <w:b/>
                <w:vertAlign w:val="superscript"/>
              </w:rPr>
            </w:pPr>
            <w:r w:rsidRPr="00AF1E66">
              <w:rPr>
                <w:b/>
              </w:rPr>
              <w:t>0.60 (0.39, 0.93)</w:t>
            </w:r>
          </w:p>
        </w:tc>
      </w:tr>
      <w:tr w:rsidR="00616D19" w:rsidRPr="00BA5688" w14:paraId="3C811C8B" w14:textId="77777777" w:rsidTr="00750175">
        <w:tc>
          <w:tcPr>
            <w:tcW w:w="5000" w:type="pct"/>
            <w:gridSpan w:val="7"/>
            <w:shd w:val="clear" w:color="auto" w:fill="auto"/>
          </w:tcPr>
          <w:p w14:paraId="51657688" w14:textId="77777777" w:rsidR="00616D19" w:rsidRPr="006E0598" w:rsidRDefault="00616D19" w:rsidP="00276A2C">
            <w:pPr>
              <w:pStyle w:val="Tabletext"/>
              <w:keepNext/>
              <w:rPr>
                <w:b/>
              </w:rPr>
            </w:pPr>
            <w:r w:rsidRPr="006E0598">
              <w:rPr>
                <w:b/>
              </w:rPr>
              <w:t>OS</w:t>
            </w:r>
            <w:r w:rsidR="00F77505" w:rsidRPr="006E0598">
              <w:rPr>
                <w:b/>
              </w:rPr>
              <w:t xml:space="preserve"> from CM816 and NATCH</w:t>
            </w:r>
          </w:p>
        </w:tc>
      </w:tr>
      <w:tr w:rsidR="00616D19" w:rsidRPr="00BA5688" w14:paraId="7BC8BEF2" w14:textId="77777777" w:rsidTr="00750175">
        <w:tc>
          <w:tcPr>
            <w:tcW w:w="1002" w:type="pct"/>
            <w:shd w:val="clear" w:color="auto" w:fill="auto"/>
          </w:tcPr>
          <w:p w14:paraId="4030D1DE" w14:textId="5DECDDE1" w:rsidR="00616D19" w:rsidRPr="00BA5688" w:rsidRDefault="00452D64" w:rsidP="00276A2C">
            <w:pPr>
              <w:pStyle w:val="Tabletext"/>
              <w:keepNext/>
            </w:pPr>
            <w:r>
              <w:t>neo</w:t>
            </w:r>
            <w:r w:rsidR="00616D19" w:rsidRPr="00BA5688">
              <w:t>N</w:t>
            </w:r>
            <w:r w:rsidR="00616D19">
              <w:t>IVO</w:t>
            </w:r>
            <w:r w:rsidR="00616D19" w:rsidRPr="00BA5688">
              <w:t>+</w:t>
            </w:r>
            <w:r>
              <w:t>neoC</w:t>
            </w:r>
            <w:r w:rsidR="00616D19" w:rsidRPr="00BA5688">
              <w:t xml:space="preserve">hemo vs </w:t>
            </w:r>
            <w:r>
              <w:t>neo</w:t>
            </w:r>
            <w:r w:rsidR="00616D19" w:rsidRPr="00BA5688">
              <w:t>Chemo</w:t>
            </w:r>
          </w:p>
        </w:tc>
        <w:tc>
          <w:tcPr>
            <w:tcW w:w="492" w:type="pct"/>
            <w:shd w:val="clear" w:color="auto" w:fill="auto"/>
          </w:tcPr>
          <w:p w14:paraId="2BF01588" w14:textId="77777777" w:rsidR="00616D19" w:rsidRPr="00BA5688" w:rsidRDefault="00616D19" w:rsidP="00276A2C">
            <w:pPr>
              <w:pStyle w:val="Tabletext"/>
              <w:keepNext/>
            </w:pPr>
            <w:r>
              <w:t>CM816</w:t>
            </w:r>
          </w:p>
        </w:tc>
        <w:tc>
          <w:tcPr>
            <w:tcW w:w="1002" w:type="pct"/>
            <w:shd w:val="clear" w:color="auto" w:fill="auto"/>
          </w:tcPr>
          <w:p w14:paraId="3476BAC1" w14:textId="5B3B0470" w:rsidR="00616D19" w:rsidRPr="00AF1E66" w:rsidRDefault="000039B4" w:rsidP="00276A2C">
            <w:pPr>
              <w:pStyle w:val="Tabletext"/>
              <w:keepNext/>
              <w:rPr>
                <w:u w:val="single"/>
              </w:rPr>
            </w:pPr>
            <w:r>
              <w:rPr>
                <w:u w:val="single"/>
              </w:rPr>
              <w:t>neoNIVO</w:t>
            </w:r>
            <w:r w:rsidR="00616D19" w:rsidRPr="00AF1E66">
              <w:rPr>
                <w:u w:val="single"/>
              </w:rPr>
              <w:t>+</w:t>
            </w:r>
            <w:r>
              <w:rPr>
                <w:u w:val="single"/>
              </w:rPr>
              <w:t>neoChemo</w:t>
            </w:r>
          </w:p>
          <w:p w14:paraId="49E7485E" w14:textId="77777777" w:rsidR="00616D19" w:rsidRPr="00BA5688" w:rsidRDefault="00616D19" w:rsidP="00276A2C">
            <w:pPr>
              <w:pStyle w:val="Tabletext"/>
              <w:keepNext/>
            </w:pPr>
            <w:r>
              <w:t>NR</w:t>
            </w:r>
          </w:p>
        </w:tc>
        <w:tc>
          <w:tcPr>
            <w:tcW w:w="554" w:type="pct"/>
            <w:shd w:val="clear" w:color="auto" w:fill="auto"/>
          </w:tcPr>
          <w:p w14:paraId="48D01836" w14:textId="77777777" w:rsidR="00616D19" w:rsidRPr="00BA5688" w:rsidRDefault="00616D19" w:rsidP="00276A2C">
            <w:pPr>
              <w:pStyle w:val="Tabletext"/>
              <w:keepNext/>
            </w:pPr>
            <w:r>
              <w:t>N</w:t>
            </w:r>
            <w:r w:rsidR="00BB6614">
              <w:t>A</w:t>
            </w:r>
          </w:p>
        </w:tc>
        <w:tc>
          <w:tcPr>
            <w:tcW w:w="642" w:type="pct"/>
            <w:shd w:val="clear" w:color="auto" w:fill="auto"/>
          </w:tcPr>
          <w:p w14:paraId="723DB631" w14:textId="414C8DA2" w:rsidR="00616D19" w:rsidRPr="00AF1E66" w:rsidRDefault="000039B4" w:rsidP="00276A2C">
            <w:pPr>
              <w:pStyle w:val="Tabletext"/>
              <w:keepNext/>
              <w:rPr>
                <w:u w:val="single"/>
              </w:rPr>
            </w:pPr>
            <w:r>
              <w:rPr>
                <w:u w:val="single"/>
              </w:rPr>
              <w:t>neoChemo</w:t>
            </w:r>
          </w:p>
          <w:p w14:paraId="44836931" w14:textId="77777777" w:rsidR="00616D19" w:rsidRPr="00BA5688" w:rsidRDefault="00616D19" w:rsidP="00276A2C">
            <w:pPr>
              <w:pStyle w:val="Tabletext"/>
              <w:keepNext/>
            </w:pPr>
            <w:r>
              <w:t>NR</w:t>
            </w:r>
          </w:p>
        </w:tc>
        <w:tc>
          <w:tcPr>
            <w:tcW w:w="726" w:type="pct"/>
            <w:shd w:val="clear" w:color="auto" w:fill="auto"/>
          </w:tcPr>
          <w:p w14:paraId="00674C27" w14:textId="77777777" w:rsidR="00616D19" w:rsidRPr="00BA5688" w:rsidRDefault="00616D19" w:rsidP="00276A2C">
            <w:pPr>
              <w:pStyle w:val="Tabletext"/>
              <w:keepNext/>
            </w:pPr>
            <w:r>
              <w:t>NR</w:t>
            </w:r>
          </w:p>
        </w:tc>
        <w:tc>
          <w:tcPr>
            <w:tcW w:w="582" w:type="pct"/>
            <w:shd w:val="clear" w:color="auto" w:fill="auto"/>
          </w:tcPr>
          <w:p w14:paraId="15E1355C" w14:textId="77777777" w:rsidR="00616D19" w:rsidRPr="00BA5688" w:rsidRDefault="00616D19" w:rsidP="00276A2C">
            <w:pPr>
              <w:pStyle w:val="Tabletext"/>
              <w:keepNext/>
            </w:pPr>
            <w:r>
              <w:t>0.57 (0.38, 0.87)</w:t>
            </w:r>
          </w:p>
        </w:tc>
      </w:tr>
      <w:tr w:rsidR="00616D19" w:rsidRPr="00BA5688" w14:paraId="65319467" w14:textId="77777777" w:rsidTr="00750175">
        <w:tc>
          <w:tcPr>
            <w:tcW w:w="1002" w:type="pct"/>
            <w:shd w:val="clear" w:color="auto" w:fill="auto"/>
          </w:tcPr>
          <w:p w14:paraId="5F523EC8" w14:textId="76BA2B6B" w:rsidR="00616D19" w:rsidRPr="00BA5688" w:rsidRDefault="000039B4" w:rsidP="00276A2C">
            <w:pPr>
              <w:pStyle w:val="Tabletext"/>
              <w:keepNext/>
            </w:pPr>
            <w:r>
              <w:t>neoChemo</w:t>
            </w:r>
            <w:r w:rsidR="00616D19">
              <w:t xml:space="preserve"> vs Surgery</w:t>
            </w:r>
          </w:p>
        </w:tc>
        <w:tc>
          <w:tcPr>
            <w:tcW w:w="492" w:type="pct"/>
            <w:shd w:val="clear" w:color="auto" w:fill="auto"/>
          </w:tcPr>
          <w:p w14:paraId="713F6E39" w14:textId="77777777" w:rsidR="00616D19" w:rsidRPr="00BA5688" w:rsidRDefault="00616D19" w:rsidP="00276A2C">
            <w:pPr>
              <w:pStyle w:val="Tabletext"/>
              <w:keepNext/>
            </w:pPr>
            <w:r>
              <w:t>NATCH</w:t>
            </w:r>
          </w:p>
        </w:tc>
        <w:tc>
          <w:tcPr>
            <w:tcW w:w="1002" w:type="pct"/>
            <w:shd w:val="clear" w:color="auto" w:fill="auto"/>
          </w:tcPr>
          <w:p w14:paraId="29746C4E" w14:textId="01220692" w:rsidR="00616D19" w:rsidRPr="00AF1E66" w:rsidRDefault="000039B4" w:rsidP="00276A2C">
            <w:pPr>
              <w:pStyle w:val="Tabletext"/>
              <w:keepNext/>
              <w:rPr>
                <w:u w:val="single"/>
              </w:rPr>
            </w:pPr>
            <w:r>
              <w:rPr>
                <w:u w:val="single"/>
              </w:rPr>
              <w:t>neoChemo</w:t>
            </w:r>
          </w:p>
          <w:p w14:paraId="726BBFE1" w14:textId="77777777" w:rsidR="00616D19" w:rsidRDefault="00616D19" w:rsidP="00276A2C">
            <w:pPr>
              <w:pStyle w:val="Tabletext"/>
              <w:keepNext/>
            </w:pPr>
            <w:r>
              <w:t>99/199</w:t>
            </w:r>
          </w:p>
          <w:p w14:paraId="2AAD08E2" w14:textId="77777777" w:rsidR="00616D19" w:rsidRPr="00BA5688" w:rsidRDefault="00616D19" w:rsidP="00276A2C">
            <w:pPr>
              <w:pStyle w:val="Tabletext"/>
              <w:keepNext/>
            </w:pPr>
            <w:r>
              <w:t>(50%)</w:t>
            </w:r>
          </w:p>
        </w:tc>
        <w:tc>
          <w:tcPr>
            <w:tcW w:w="554" w:type="pct"/>
            <w:shd w:val="clear" w:color="auto" w:fill="auto"/>
          </w:tcPr>
          <w:p w14:paraId="4B3AA08A" w14:textId="77777777" w:rsidR="00616D19" w:rsidRPr="00BA5688" w:rsidRDefault="00616D19" w:rsidP="00276A2C">
            <w:pPr>
              <w:pStyle w:val="Tabletext"/>
              <w:keepNext/>
            </w:pPr>
            <w:r>
              <w:t>NR</w:t>
            </w:r>
          </w:p>
        </w:tc>
        <w:tc>
          <w:tcPr>
            <w:tcW w:w="642" w:type="pct"/>
            <w:vMerge w:val="restart"/>
            <w:shd w:val="clear" w:color="auto" w:fill="auto"/>
          </w:tcPr>
          <w:p w14:paraId="232DB131" w14:textId="77777777" w:rsidR="00616D19" w:rsidRPr="00BA5688" w:rsidRDefault="00616D19" w:rsidP="00276A2C">
            <w:pPr>
              <w:pStyle w:val="Tabletext"/>
              <w:keepNext/>
            </w:pPr>
            <w:r w:rsidRPr="00AF1E66">
              <w:rPr>
                <w:u w:val="single"/>
              </w:rPr>
              <w:t>Surgery</w:t>
            </w:r>
            <w:r>
              <w:t xml:space="preserve"> 109/210 (52%)</w:t>
            </w:r>
          </w:p>
        </w:tc>
        <w:tc>
          <w:tcPr>
            <w:tcW w:w="726" w:type="pct"/>
            <w:shd w:val="clear" w:color="auto" w:fill="auto"/>
          </w:tcPr>
          <w:p w14:paraId="2AF35D39" w14:textId="77777777" w:rsidR="00616D19" w:rsidRPr="00BA5688" w:rsidRDefault="00616D19" w:rsidP="00276A2C">
            <w:pPr>
              <w:pStyle w:val="Tabletext"/>
              <w:keepNext/>
            </w:pPr>
            <w:r>
              <w:t>NR</w:t>
            </w:r>
          </w:p>
        </w:tc>
        <w:tc>
          <w:tcPr>
            <w:tcW w:w="582" w:type="pct"/>
            <w:shd w:val="clear" w:color="auto" w:fill="auto"/>
          </w:tcPr>
          <w:p w14:paraId="554C24EE" w14:textId="77777777" w:rsidR="00616D19" w:rsidRPr="00BA5688" w:rsidRDefault="00616D19" w:rsidP="00276A2C">
            <w:pPr>
              <w:pStyle w:val="Tabletext"/>
              <w:keepNext/>
            </w:pPr>
            <w:r>
              <w:t>0.96 (0.84, 1.1)</w:t>
            </w:r>
          </w:p>
        </w:tc>
      </w:tr>
      <w:tr w:rsidR="00616D19" w:rsidRPr="00BA5688" w14:paraId="73D5C519" w14:textId="77777777" w:rsidTr="00750175">
        <w:tc>
          <w:tcPr>
            <w:tcW w:w="1002" w:type="pct"/>
            <w:shd w:val="clear" w:color="auto" w:fill="auto"/>
          </w:tcPr>
          <w:p w14:paraId="3A171A5F" w14:textId="2BA919CB" w:rsidR="00616D19" w:rsidRPr="00BA5688" w:rsidRDefault="003D24E4" w:rsidP="00276A2C">
            <w:pPr>
              <w:pStyle w:val="Tabletext"/>
              <w:keepNext/>
            </w:pPr>
            <w:r>
              <w:t>adjChemo</w:t>
            </w:r>
            <w:r w:rsidR="00616D19">
              <w:t xml:space="preserve"> vs Surgery</w:t>
            </w:r>
          </w:p>
        </w:tc>
        <w:tc>
          <w:tcPr>
            <w:tcW w:w="492" w:type="pct"/>
            <w:shd w:val="clear" w:color="auto" w:fill="auto"/>
          </w:tcPr>
          <w:p w14:paraId="235B7805" w14:textId="77777777" w:rsidR="00616D19" w:rsidRPr="00BA5688" w:rsidRDefault="00616D19" w:rsidP="00276A2C">
            <w:pPr>
              <w:pStyle w:val="Tabletext"/>
              <w:keepNext/>
            </w:pPr>
            <w:r>
              <w:t>NATCH</w:t>
            </w:r>
          </w:p>
        </w:tc>
        <w:tc>
          <w:tcPr>
            <w:tcW w:w="1002" w:type="pct"/>
            <w:shd w:val="clear" w:color="auto" w:fill="auto"/>
          </w:tcPr>
          <w:p w14:paraId="07181290" w14:textId="2C69FD22" w:rsidR="00616D19" w:rsidRDefault="003D24E4" w:rsidP="00276A2C">
            <w:pPr>
              <w:pStyle w:val="Tabletext"/>
              <w:keepNext/>
              <w:rPr>
                <w:u w:val="single"/>
              </w:rPr>
            </w:pPr>
            <w:r>
              <w:rPr>
                <w:u w:val="single"/>
              </w:rPr>
              <w:t>adjChemo</w:t>
            </w:r>
          </w:p>
          <w:p w14:paraId="418CE160" w14:textId="77777777" w:rsidR="00616D19" w:rsidRDefault="00616D19" w:rsidP="00276A2C">
            <w:pPr>
              <w:pStyle w:val="Tabletext"/>
              <w:keepNext/>
            </w:pPr>
            <w:r>
              <w:t>102/210</w:t>
            </w:r>
          </w:p>
          <w:p w14:paraId="54AEE927" w14:textId="77777777" w:rsidR="00616D19" w:rsidRPr="00BA5688" w:rsidRDefault="00616D19" w:rsidP="00276A2C">
            <w:pPr>
              <w:pStyle w:val="Tabletext"/>
              <w:keepNext/>
            </w:pPr>
            <w:r>
              <w:t>(49%)</w:t>
            </w:r>
          </w:p>
        </w:tc>
        <w:tc>
          <w:tcPr>
            <w:tcW w:w="554" w:type="pct"/>
            <w:shd w:val="clear" w:color="auto" w:fill="auto"/>
          </w:tcPr>
          <w:p w14:paraId="55336FBB" w14:textId="77777777" w:rsidR="00616D19" w:rsidRPr="00BA5688" w:rsidRDefault="00616D19" w:rsidP="00276A2C">
            <w:pPr>
              <w:pStyle w:val="Tabletext"/>
              <w:keepNext/>
            </w:pPr>
            <w:r>
              <w:t>NR</w:t>
            </w:r>
          </w:p>
        </w:tc>
        <w:tc>
          <w:tcPr>
            <w:tcW w:w="642" w:type="pct"/>
            <w:vMerge/>
            <w:shd w:val="clear" w:color="auto" w:fill="auto"/>
          </w:tcPr>
          <w:p w14:paraId="31524EB9" w14:textId="77777777" w:rsidR="00616D19" w:rsidRPr="00BA5688" w:rsidRDefault="00616D19" w:rsidP="00276A2C">
            <w:pPr>
              <w:pStyle w:val="Tabletext"/>
              <w:keepNext/>
            </w:pPr>
          </w:p>
        </w:tc>
        <w:tc>
          <w:tcPr>
            <w:tcW w:w="726" w:type="pct"/>
            <w:shd w:val="clear" w:color="auto" w:fill="auto"/>
          </w:tcPr>
          <w:p w14:paraId="3DA2D75D" w14:textId="77777777" w:rsidR="00616D19" w:rsidRPr="00BA5688" w:rsidRDefault="00616D19" w:rsidP="00276A2C">
            <w:pPr>
              <w:pStyle w:val="Tabletext"/>
              <w:keepNext/>
            </w:pPr>
            <w:r>
              <w:t>NR</w:t>
            </w:r>
          </w:p>
        </w:tc>
        <w:tc>
          <w:tcPr>
            <w:tcW w:w="582" w:type="pct"/>
            <w:shd w:val="clear" w:color="auto" w:fill="auto"/>
          </w:tcPr>
          <w:p w14:paraId="2B2CE18E" w14:textId="77777777" w:rsidR="00616D19" w:rsidRPr="00BA5688" w:rsidRDefault="00616D19" w:rsidP="00276A2C">
            <w:pPr>
              <w:pStyle w:val="Tabletext"/>
              <w:keepNext/>
            </w:pPr>
            <w:r>
              <w:t>0.99 (0.75, 1.3)</w:t>
            </w:r>
          </w:p>
        </w:tc>
      </w:tr>
      <w:tr w:rsidR="00616D19" w:rsidRPr="000A6E90" w14:paraId="5FDB7A37" w14:textId="77777777" w:rsidTr="00750175">
        <w:tc>
          <w:tcPr>
            <w:tcW w:w="1002" w:type="pct"/>
            <w:shd w:val="clear" w:color="auto" w:fill="auto"/>
          </w:tcPr>
          <w:p w14:paraId="6AF738FB" w14:textId="7783B226" w:rsidR="00616D19" w:rsidRPr="000A6E90" w:rsidRDefault="003D24E4" w:rsidP="00276A2C">
            <w:pPr>
              <w:pStyle w:val="Tabletext"/>
              <w:keepNext/>
              <w:rPr>
                <w:vertAlign w:val="superscript"/>
              </w:rPr>
            </w:pPr>
            <w:r w:rsidRPr="000A6E90">
              <w:t>adjChemo</w:t>
            </w:r>
            <w:r w:rsidR="00616D19" w:rsidRPr="000A6E90">
              <w:t xml:space="preserve"> vs. </w:t>
            </w:r>
            <w:r w:rsidR="000039B4" w:rsidRPr="000A6E90">
              <w:t>neoChemo</w:t>
            </w:r>
            <w:r w:rsidR="00616D19" w:rsidRPr="000A6E90">
              <w:t xml:space="preserve"> using surgery as common reference</w:t>
            </w:r>
            <w:r w:rsidR="00616D19" w:rsidRPr="000A6E90">
              <w:rPr>
                <w:vertAlign w:val="superscript"/>
              </w:rPr>
              <w:t>a</w:t>
            </w:r>
          </w:p>
        </w:tc>
        <w:tc>
          <w:tcPr>
            <w:tcW w:w="492" w:type="pct"/>
            <w:shd w:val="clear" w:color="auto" w:fill="auto"/>
          </w:tcPr>
          <w:p w14:paraId="2951DA6A" w14:textId="77777777" w:rsidR="00616D19" w:rsidRPr="000A6E90" w:rsidRDefault="00616D19" w:rsidP="00276A2C">
            <w:pPr>
              <w:pStyle w:val="Tabletext"/>
              <w:keepNext/>
            </w:pPr>
            <w:r w:rsidRPr="000A6E90">
              <w:t>NATCH</w:t>
            </w:r>
          </w:p>
        </w:tc>
        <w:tc>
          <w:tcPr>
            <w:tcW w:w="1002" w:type="pct"/>
            <w:shd w:val="clear" w:color="auto" w:fill="auto"/>
          </w:tcPr>
          <w:p w14:paraId="4434D745" w14:textId="77777777" w:rsidR="00616D19" w:rsidRPr="000A6E90" w:rsidRDefault="00616D19" w:rsidP="00276A2C">
            <w:pPr>
              <w:pStyle w:val="Tabletext"/>
              <w:keepNext/>
            </w:pPr>
          </w:p>
        </w:tc>
        <w:tc>
          <w:tcPr>
            <w:tcW w:w="554" w:type="pct"/>
            <w:shd w:val="clear" w:color="auto" w:fill="auto"/>
          </w:tcPr>
          <w:p w14:paraId="3A3345D6" w14:textId="77777777" w:rsidR="00616D19" w:rsidRPr="000A6E90" w:rsidRDefault="00616D19" w:rsidP="00276A2C">
            <w:pPr>
              <w:pStyle w:val="Tabletext"/>
              <w:keepNext/>
            </w:pPr>
          </w:p>
        </w:tc>
        <w:tc>
          <w:tcPr>
            <w:tcW w:w="642" w:type="pct"/>
            <w:shd w:val="clear" w:color="auto" w:fill="auto"/>
          </w:tcPr>
          <w:p w14:paraId="5C0AFF6D" w14:textId="77777777" w:rsidR="00616D19" w:rsidRPr="000A6E90" w:rsidRDefault="00616D19" w:rsidP="00276A2C">
            <w:pPr>
              <w:pStyle w:val="Tabletext"/>
              <w:keepNext/>
            </w:pPr>
          </w:p>
        </w:tc>
        <w:tc>
          <w:tcPr>
            <w:tcW w:w="726" w:type="pct"/>
            <w:shd w:val="clear" w:color="auto" w:fill="auto"/>
          </w:tcPr>
          <w:p w14:paraId="2CF5ECE3" w14:textId="77777777" w:rsidR="00616D19" w:rsidRPr="000A6E90" w:rsidRDefault="00616D19" w:rsidP="00276A2C">
            <w:pPr>
              <w:pStyle w:val="Tabletext"/>
              <w:keepNext/>
            </w:pPr>
          </w:p>
        </w:tc>
        <w:tc>
          <w:tcPr>
            <w:tcW w:w="582" w:type="pct"/>
            <w:shd w:val="clear" w:color="auto" w:fill="auto"/>
          </w:tcPr>
          <w:p w14:paraId="718D96B4" w14:textId="77777777" w:rsidR="00616D19" w:rsidRPr="000A6E90" w:rsidRDefault="00616D19" w:rsidP="00276A2C">
            <w:pPr>
              <w:pStyle w:val="Tabletext"/>
              <w:keepNext/>
            </w:pPr>
            <w:r w:rsidRPr="000A6E90">
              <w:t>1.03 (0.76, 1.40)</w:t>
            </w:r>
          </w:p>
        </w:tc>
      </w:tr>
      <w:tr w:rsidR="00616D19" w:rsidRPr="00BA5688" w14:paraId="2D291C73" w14:textId="77777777" w:rsidTr="00750175">
        <w:tc>
          <w:tcPr>
            <w:tcW w:w="4418" w:type="pct"/>
            <w:gridSpan w:val="6"/>
            <w:shd w:val="clear" w:color="auto" w:fill="auto"/>
            <w:vAlign w:val="center"/>
          </w:tcPr>
          <w:p w14:paraId="01EC6F85" w14:textId="5A2AB6FC" w:rsidR="00616D19" w:rsidRPr="00AF1E66" w:rsidRDefault="00616D19" w:rsidP="00276A2C">
            <w:pPr>
              <w:pStyle w:val="Tabletext"/>
              <w:keepNext/>
              <w:rPr>
                <w:b/>
              </w:rPr>
            </w:pPr>
            <w:r w:rsidRPr="00AF1E66">
              <w:rPr>
                <w:b/>
              </w:rPr>
              <w:t xml:space="preserve">Indirect estimate of effect </w:t>
            </w:r>
            <w:r w:rsidR="000039B4">
              <w:rPr>
                <w:b/>
              </w:rPr>
              <w:t>neoNIVO</w:t>
            </w:r>
            <w:r w:rsidRPr="00AF1E66">
              <w:rPr>
                <w:b/>
              </w:rPr>
              <w:t>+</w:t>
            </w:r>
            <w:r w:rsidR="000039B4">
              <w:rPr>
                <w:b/>
              </w:rPr>
              <w:t>neoChemo</w:t>
            </w:r>
            <w:r w:rsidRPr="00AF1E66">
              <w:rPr>
                <w:b/>
              </w:rPr>
              <w:t xml:space="preserve"> versus </w:t>
            </w:r>
            <w:r w:rsidR="003D24E4">
              <w:rPr>
                <w:b/>
              </w:rPr>
              <w:t>adjChemo</w:t>
            </w:r>
            <w:r w:rsidRPr="00AF1E66">
              <w:rPr>
                <w:b/>
              </w:rPr>
              <w:t xml:space="preserve"> using </w:t>
            </w:r>
            <w:r w:rsidR="000039B4">
              <w:rPr>
                <w:b/>
              </w:rPr>
              <w:t>neoChemo</w:t>
            </w:r>
            <w:r w:rsidRPr="00AF1E66">
              <w:rPr>
                <w:b/>
              </w:rPr>
              <w:t xml:space="preserve"> as the common reference</w:t>
            </w:r>
          </w:p>
        </w:tc>
        <w:tc>
          <w:tcPr>
            <w:tcW w:w="582" w:type="pct"/>
            <w:shd w:val="clear" w:color="auto" w:fill="auto"/>
          </w:tcPr>
          <w:p w14:paraId="667EE521" w14:textId="77777777" w:rsidR="00616D19" w:rsidRPr="00AF1E66" w:rsidRDefault="00616D19" w:rsidP="00276A2C">
            <w:pPr>
              <w:pStyle w:val="Tabletext"/>
              <w:keepNext/>
              <w:rPr>
                <w:b/>
              </w:rPr>
            </w:pPr>
            <w:r w:rsidRPr="00AF1E66">
              <w:rPr>
                <w:b/>
              </w:rPr>
              <w:t>0.55 (0.33, 0.92)</w:t>
            </w:r>
          </w:p>
        </w:tc>
      </w:tr>
    </w:tbl>
    <w:p w14:paraId="1D35431E" w14:textId="77777777" w:rsidR="00616D19" w:rsidRPr="00C334D7" w:rsidRDefault="00616D19" w:rsidP="00616D19">
      <w:pPr>
        <w:pStyle w:val="TableFooter"/>
        <w:rPr>
          <w:rFonts w:eastAsiaTheme="minorHAnsi"/>
        </w:rPr>
      </w:pPr>
      <w:r w:rsidRPr="00C334D7">
        <w:rPr>
          <w:rFonts w:eastAsiaTheme="minorHAnsi"/>
        </w:rPr>
        <w:t>Source</w:t>
      </w:r>
      <w:r>
        <w:rPr>
          <w:rFonts w:eastAsiaTheme="minorHAnsi"/>
        </w:rPr>
        <w:t>: Table 59, p92 of the submission.</w:t>
      </w:r>
    </w:p>
    <w:p w14:paraId="1F5C997C" w14:textId="544169AB" w:rsidR="00616D19" w:rsidRDefault="00616D19" w:rsidP="00616D19">
      <w:pPr>
        <w:pStyle w:val="TableFooter"/>
        <w:rPr>
          <w:rFonts w:eastAsiaTheme="minorHAnsi"/>
        </w:rPr>
      </w:pPr>
      <w:r>
        <w:rPr>
          <w:rFonts w:eastAsiaTheme="minorHAnsi"/>
        </w:rPr>
        <w:t xml:space="preserve">Adj=adjuvant; Chemo=chemotherapy; DFS=disease free survival; EFS=event free survival; </w:t>
      </w:r>
      <w:r w:rsidR="00BB6614">
        <w:rPr>
          <w:rFonts w:eastAsiaTheme="minorHAnsi"/>
        </w:rPr>
        <w:t xml:space="preserve">NA=not available/not reached; </w:t>
      </w:r>
      <w:r w:rsidR="000039B4">
        <w:rPr>
          <w:rFonts w:eastAsiaTheme="minorHAnsi"/>
        </w:rPr>
        <w:t>neo</w:t>
      </w:r>
      <w:r>
        <w:rPr>
          <w:rFonts w:eastAsiaTheme="minorHAnsi"/>
        </w:rPr>
        <w:t xml:space="preserve">=neoadjuvant; NIVO=nivolumab; </w:t>
      </w:r>
      <w:r w:rsidR="00BB6614">
        <w:rPr>
          <w:rFonts w:eastAsiaTheme="minorHAnsi"/>
        </w:rPr>
        <w:t xml:space="preserve">NR=not reported; </w:t>
      </w:r>
      <w:r>
        <w:rPr>
          <w:rFonts w:eastAsiaTheme="minorHAnsi"/>
        </w:rPr>
        <w:t>OS=overall survival.</w:t>
      </w:r>
    </w:p>
    <w:p w14:paraId="3E78FDBE" w14:textId="77777777" w:rsidR="00616D19" w:rsidRPr="000A6E90" w:rsidRDefault="00616D19" w:rsidP="009822C7">
      <w:pPr>
        <w:pStyle w:val="TableFooter"/>
        <w:spacing w:after="120"/>
      </w:pPr>
      <w:r w:rsidRPr="000A6E90">
        <w:rPr>
          <w:vertAlign w:val="superscript"/>
        </w:rPr>
        <w:t>a</w:t>
      </w:r>
      <w:r w:rsidRPr="000A6E90">
        <w:t xml:space="preserve">Not provided in the submission but was </w:t>
      </w:r>
      <w:r w:rsidR="00285FF1" w:rsidRPr="000A6E90">
        <w:t>derived</w:t>
      </w:r>
      <w:r w:rsidRPr="000A6E90">
        <w:t xml:space="preserve"> during the evaluation to verify the </w:t>
      </w:r>
      <w:r w:rsidR="00BB6614" w:rsidRPr="000A6E90">
        <w:t xml:space="preserve">final </w:t>
      </w:r>
      <w:r w:rsidRPr="000A6E90">
        <w:t xml:space="preserve">indirect </w:t>
      </w:r>
      <w:r w:rsidR="00285FF1" w:rsidRPr="000A6E90">
        <w:t>estimates of treatment effect</w:t>
      </w:r>
      <w:r w:rsidRPr="000A6E90">
        <w:t xml:space="preserve"> </w:t>
      </w:r>
      <w:r w:rsidR="00BB6614" w:rsidRPr="000A6E90">
        <w:t xml:space="preserve">presented </w:t>
      </w:r>
      <w:r w:rsidRPr="000A6E90">
        <w:t>in the submission</w:t>
      </w:r>
      <w:r w:rsidR="00285FF1" w:rsidRPr="000A6E90">
        <w:t>.</w:t>
      </w:r>
    </w:p>
    <w:p w14:paraId="3D864612" w14:textId="275D3381" w:rsidR="00BB6614" w:rsidRPr="000A6E90" w:rsidRDefault="00BB6614" w:rsidP="00750175">
      <w:pPr>
        <w:pStyle w:val="3-BodyText"/>
        <w:rPr>
          <w:rFonts w:eastAsia="Calibri"/>
        </w:rPr>
      </w:pPr>
      <w:r w:rsidRPr="00BB6614">
        <w:rPr>
          <w:rFonts w:eastAsia="Calibri"/>
        </w:rPr>
        <w:t xml:space="preserve">The indirect DFS </w:t>
      </w:r>
      <w:r w:rsidR="00482759">
        <w:rPr>
          <w:rFonts w:eastAsia="Calibri"/>
        </w:rPr>
        <w:t>hazard ratio</w:t>
      </w:r>
      <w:r w:rsidRPr="00BB6614">
        <w:rPr>
          <w:rFonts w:eastAsia="Calibri"/>
        </w:rPr>
        <w:t xml:space="preserve"> indicated that </w:t>
      </w:r>
      <w:r w:rsidR="000039B4">
        <w:rPr>
          <w:rFonts w:eastAsia="Calibri"/>
        </w:rPr>
        <w:t>neoNIVO</w:t>
      </w:r>
      <w:r w:rsidRPr="00BB6614">
        <w:rPr>
          <w:rFonts w:eastAsia="Calibri"/>
        </w:rPr>
        <w:t>+</w:t>
      </w:r>
      <w:r w:rsidR="000039B4">
        <w:rPr>
          <w:rFonts w:eastAsia="Calibri"/>
        </w:rPr>
        <w:t>neoChemo</w:t>
      </w:r>
      <w:r w:rsidRPr="00BB6614">
        <w:rPr>
          <w:rFonts w:eastAsia="Calibri"/>
        </w:rPr>
        <w:t xml:space="preserve"> was associated with a 40% reduction in the risk of recurrence or death compared to </w:t>
      </w:r>
      <w:r w:rsidR="003D24E4">
        <w:rPr>
          <w:rFonts w:eastAsia="Calibri"/>
        </w:rPr>
        <w:t>adjChemo</w:t>
      </w:r>
      <w:r w:rsidRPr="00BB6614">
        <w:rPr>
          <w:rFonts w:eastAsia="Calibri"/>
        </w:rPr>
        <w:t xml:space="preserve"> (HR 0.6</w:t>
      </w:r>
      <w:r w:rsidR="00AC65C8">
        <w:rPr>
          <w:rFonts w:eastAsia="Calibri"/>
        </w:rPr>
        <w:t>0</w:t>
      </w:r>
      <w:r w:rsidRPr="00BB6614">
        <w:rPr>
          <w:rFonts w:eastAsia="Calibri"/>
        </w:rPr>
        <w:t xml:space="preserve"> </w:t>
      </w:r>
      <w:r w:rsidR="00482759">
        <w:rPr>
          <w:rFonts w:eastAsia="Calibri"/>
        </w:rPr>
        <w:t>[</w:t>
      </w:r>
      <w:r w:rsidRPr="00BB6614">
        <w:rPr>
          <w:rFonts w:eastAsia="Calibri"/>
        </w:rPr>
        <w:t>95% CI: 0.39, 0.93</w:t>
      </w:r>
      <w:r w:rsidR="00482759">
        <w:rPr>
          <w:rFonts w:eastAsia="Calibri"/>
        </w:rPr>
        <w:t>]</w:t>
      </w:r>
      <w:r w:rsidRPr="00BB6614">
        <w:rPr>
          <w:rFonts w:eastAsia="Calibri"/>
        </w:rPr>
        <w:t>)</w:t>
      </w:r>
      <w:r>
        <w:rPr>
          <w:rFonts w:eastAsia="Calibri"/>
        </w:rPr>
        <w:t>.</w:t>
      </w:r>
    </w:p>
    <w:p w14:paraId="633AF668" w14:textId="0EDA95E8" w:rsidR="00BB6614" w:rsidRPr="000A6E90" w:rsidRDefault="006E0598" w:rsidP="00750175">
      <w:pPr>
        <w:pStyle w:val="3-BodyText"/>
        <w:rPr>
          <w:rFonts w:eastAsia="Calibri"/>
        </w:rPr>
      </w:pPr>
      <w:r>
        <w:t>Similarly, t</w:t>
      </w:r>
      <w:r w:rsidR="00BB6614" w:rsidRPr="00BA5688">
        <w:t xml:space="preserve">he </w:t>
      </w:r>
      <w:r w:rsidR="00BB6614">
        <w:t>indirect O</w:t>
      </w:r>
      <w:r w:rsidR="00BB6614" w:rsidRPr="00BA5688">
        <w:t xml:space="preserve">S </w:t>
      </w:r>
      <w:r w:rsidR="00BB6614">
        <w:t xml:space="preserve">HR indicated that </w:t>
      </w:r>
      <w:r w:rsidR="000039B4">
        <w:t>neoNIVO</w:t>
      </w:r>
      <w:r w:rsidR="00BB6614" w:rsidRPr="00F06F76">
        <w:t>+</w:t>
      </w:r>
      <w:r w:rsidR="000039B4">
        <w:t>neoChemo</w:t>
      </w:r>
      <w:r w:rsidR="00BB6614" w:rsidRPr="00F06F76">
        <w:t xml:space="preserve"> </w:t>
      </w:r>
      <w:r w:rsidR="00BB6614">
        <w:t xml:space="preserve">was associated with a 45% reduction in the risk of death compared to </w:t>
      </w:r>
      <w:r w:rsidR="003D24E4">
        <w:t>adjChemo</w:t>
      </w:r>
      <w:r w:rsidR="00BB6614">
        <w:t xml:space="preserve"> (HR 0.55 </w:t>
      </w:r>
      <w:r w:rsidR="00482759">
        <w:t>[</w:t>
      </w:r>
      <w:r w:rsidR="00BB6614">
        <w:t>95% CI: 0.33, 0.92</w:t>
      </w:r>
      <w:r w:rsidR="00482759">
        <w:t>])</w:t>
      </w:r>
      <w:r w:rsidR="00BB6614">
        <w:t>.</w:t>
      </w:r>
    </w:p>
    <w:p w14:paraId="680BD3C3" w14:textId="262D0121" w:rsidR="00FE5DCE" w:rsidRPr="000A6E90" w:rsidRDefault="00616D19" w:rsidP="00750175">
      <w:pPr>
        <w:pStyle w:val="3-BodyText"/>
        <w:rPr>
          <w:rFonts w:eastAsia="Calibri"/>
        </w:rPr>
      </w:pPr>
      <w:r w:rsidRPr="000A6E90">
        <w:rPr>
          <w:rFonts w:eastAsia="Calibri"/>
        </w:rPr>
        <w:t>N</w:t>
      </w:r>
      <w:r w:rsidR="00FE5DCE" w:rsidRPr="000A6E90">
        <w:rPr>
          <w:rFonts w:eastAsia="Calibri"/>
        </w:rPr>
        <w:t xml:space="preserve">o </w:t>
      </w:r>
      <w:r w:rsidR="00E61BA8" w:rsidRPr="000A6E90">
        <w:rPr>
          <w:rFonts w:eastAsia="Calibri"/>
        </w:rPr>
        <w:t>control for confounding</w:t>
      </w:r>
      <w:r w:rsidR="006E0598" w:rsidRPr="000A6E90">
        <w:rPr>
          <w:rFonts w:eastAsia="Calibri"/>
        </w:rPr>
        <w:t xml:space="preserve"> through </w:t>
      </w:r>
      <w:r w:rsidR="00FE5DCE" w:rsidRPr="000A6E90">
        <w:rPr>
          <w:rFonts w:eastAsia="Calibri"/>
        </w:rPr>
        <w:t xml:space="preserve">matching </w:t>
      </w:r>
      <w:r w:rsidRPr="000A6E90">
        <w:rPr>
          <w:rFonts w:eastAsia="Calibri"/>
        </w:rPr>
        <w:t>appears to have been conducted</w:t>
      </w:r>
      <w:r w:rsidR="006E0598" w:rsidRPr="000A6E90">
        <w:rPr>
          <w:rFonts w:eastAsia="Calibri"/>
        </w:rPr>
        <w:t>,</w:t>
      </w:r>
      <w:r w:rsidRPr="000A6E90">
        <w:rPr>
          <w:rFonts w:eastAsia="Calibri"/>
        </w:rPr>
        <w:t xml:space="preserve"> despite differences in patient and disease characteristics between the trials </w:t>
      </w:r>
      <w:r w:rsidR="00285FF1" w:rsidRPr="000A6E90">
        <w:rPr>
          <w:rFonts w:eastAsia="Calibri"/>
        </w:rPr>
        <w:t xml:space="preserve">as </w:t>
      </w:r>
      <w:r w:rsidRPr="000A6E90">
        <w:rPr>
          <w:rFonts w:eastAsia="Calibri"/>
        </w:rPr>
        <w:t xml:space="preserve">discussed previously. Recognising </w:t>
      </w:r>
      <w:r w:rsidR="00FE5DCE" w:rsidRPr="000A6E90">
        <w:rPr>
          <w:rFonts w:eastAsia="Calibri"/>
        </w:rPr>
        <w:t>these limitations</w:t>
      </w:r>
      <w:r w:rsidR="00285FF1" w:rsidRPr="000A6E90">
        <w:rPr>
          <w:rFonts w:eastAsia="Calibri"/>
        </w:rPr>
        <w:t xml:space="preserve"> associated with cross-trial comparisons, however</w:t>
      </w:r>
      <w:r w:rsidR="00FE5DCE" w:rsidRPr="000A6E90">
        <w:rPr>
          <w:rFonts w:eastAsia="Calibri"/>
        </w:rPr>
        <w:t xml:space="preserve">, the </w:t>
      </w:r>
      <w:r w:rsidRPr="000A6E90">
        <w:rPr>
          <w:rFonts w:eastAsia="Calibri"/>
        </w:rPr>
        <w:t xml:space="preserve">totality of the evidence </w:t>
      </w:r>
      <w:r w:rsidR="00FE5DCE" w:rsidRPr="000A6E90">
        <w:rPr>
          <w:rFonts w:eastAsia="Calibri"/>
        </w:rPr>
        <w:t xml:space="preserve">indicated that </w:t>
      </w:r>
      <w:r w:rsidR="000039B4" w:rsidRPr="000A6E90">
        <w:rPr>
          <w:rFonts w:eastAsia="Calibri"/>
        </w:rPr>
        <w:t>neoNIVO</w:t>
      </w:r>
      <w:r w:rsidR="00FE5DCE" w:rsidRPr="000A6E90">
        <w:rPr>
          <w:rFonts w:eastAsia="Calibri"/>
        </w:rPr>
        <w:t>+</w:t>
      </w:r>
      <w:r w:rsidR="000039B4" w:rsidRPr="000A6E90">
        <w:rPr>
          <w:rFonts w:eastAsia="Calibri"/>
        </w:rPr>
        <w:t>neoChemo</w:t>
      </w:r>
      <w:r w:rsidR="00FE5DCE" w:rsidRPr="000A6E90">
        <w:rPr>
          <w:rFonts w:eastAsia="Calibri"/>
        </w:rPr>
        <w:t xml:space="preserve"> may be superior to </w:t>
      </w:r>
      <w:r w:rsidR="003D24E4" w:rsidRPr="000A6E90">
        <w:rPr>
          <w:rFonts w:eastAsia="Calibri"/>
        </w:rPr>
        <w:t>adjChemo</w:t>
      </w:r>
      <w:r w:rsidR="006E0598" w:rsidRPr="000A6E90">
        <w:rPr>
          <w:rFonts w:eastAsia="Calibri"/>
        </w:rPr>
        <w:t xml:space="preserve"> in different treatment lines</w:t>
      </w:r>
      <w:r w:rsidR="00285FF1" w:rsidRPr="000A6E90">
        <w:rPr>
          <w:rFonts w:eastAsia="Calibri"/>
        </w:rPr>
        <w:t xml:space="preserve">. </w:t>
      </w:r>
      <w:r w:rsidR="00BB6614" w:rsidRPr="000A6E90">
        <w:rPr>
          <w:rFonts w:eastAsia="Calibri"/>
        </w:rPr>
        <w:t xml:space="preserve">The evidence however remains </w:t>
      </w:r>
      <w:r w:rsidR="00FE5DCE" w:rsidRPr="000A6E90">
        <w:rPr>
          <w:rFonts w:eastAsia="Calibri"/>
        </w:rPr>
        <w:t xml:space="preserve">inadequate to enable a robust quantification of the magnitude of </w:t>
      </w:r>
      <w:r w:rsidR="00BB6614" w:rsidRPr="000A6E90">
        <w:rPr>
          <w:rFonts w:eastAsia="Calibri"/>
        </w:rPr>
        <w:t xml:space="preserve">comparative </w:t>
      </w:r>
      <w:r w:rsidR="00FE5DCE" w:rsidRPr="000A6E90">
        <w:rPr>
          <w:rFonts w:eastAsia="Calibri"/>
        </w:rPr>
        <w:t>benefit.</w:t>
      </w:r>
    </w:p>
    <w:p w14:paraId="28C7D3D5" w14:textId="3827BA9E" w:rsidR="00BB6614" w:rsidRPr="005B6087" w:rsidRDefault="00BB6614" w:rsidP="00BB6614">
      <w:pPr>
        <w:pStyle w:val="3-BodyText"/>
        <w:rPr>
          <w:rFonts w:eastAsia="Calibri"/>
        </w:rPr>
      </w:pPr>
      <w:r w:rsidRPr="005B6087">
        <w:rPr>
          <w:rFonts w:eastAsia="Calibri"/>
        </w:rPr>
        <w:t xml:space="preserve">For the supplementary comparator </w:t>
      </w:r>
      <w:r w:rsidR="003D24E4" w:rsidRPr="005B6087">
        <w:rPr>
          <w:rFonts w:eastAsia="Calibri"/>
        </w:rPr>
        <w:t>adjChemo</w:t>
      </w:r>
      <w:r w:rsidRPr="005B6087">
        <w:rPr>
          <w:rFonts w:eastAsia="Calibri"/>
        </w:rPr>
        <w:t>+</w:t>
      </w:r>
      <w:r w:rsidR="000039B4" w:rsidRPr="005B6087">
        <w:rPr>
          <w:rFonts w:eastAsia="Calibri"/>
        </w:rPr>
        <w:t>adjATEZO</w:t>
      </w:r>
      <w:r w:rsidRPr="005B6087">
        <w:rPr>
          <w:rFonts w:eastAsia="Calibri"/>
        </w:rPr>
        <w:t>,</w:t>
      </w:r>
      <w:r w:rsidRPr="005B6087">
        <w:t xml:space="preserve"> </w:t>
      </w:r>
      <w:r w:rsidRPr="005B6087">
        <w:rPr>
          <w:rFonts w:eastAsia="Calibri"/>
        </w:rPr>
        <w:t xml:space="preserve">the submission </w:t>
      </w:r>
      <w:r w:rsidR="00285FF1" w:rsidRPr="005B6087">
        <w:rPr>
          <w:rFonts w:eastAsia="Calibri"/>
        </w:rPr>
        <w:t>noted</w:t>
      </w:r>
      <w:r w:rsidRPr="005B6087">
        <w:rPr>
          <w:rFonts w:eastAsia="Calibri"/>
        </w:rPr>
        <w:t xml:space="preserve"> that there were several important differences between the CM816 and </w:t>
      </w:r>
      <w:r w:rsidR="00824874" w:rsidRPr="005B6087">
        <w:rPr>
          <w:rFonts w:eastAsia="Calibri"/>
        </w:rPr>
        <w:t>I</w:t>
      </w:r>
      <w:r w:rsidR="00824874">
        <w:rPr>
          <w:rFonts w:eastAsia="Calibri"/>
        </w:rPr>
        <w:t>M</w:t>
      </w:r>
      <w:r w:rsidR="00824874" w:rsidRPr="005B6087">
        <w:rPr>
          <w:rFonts w:eastAsia="Calibri"/>
        </w:rPr>
        <w:t xml:space="preserve">power010 </w:t>
      </w:r>
      <w:r w:rsidRPr="005B6087">
        <w:rPr>
          <w:rFonts w:eastAsia="Calibri"/>
        </w:rPr>
        <w:t>trials which limited the applicability of the Bucher or other standard ITC methodologies:</w:t>
      </w:r>
    </w:p>
    <w:p w14:paraId="6ECE317D" w14:textId="77777777" w:rsidR="005B6087" w:rsidRDefault="00BB6614" w:rsidP="005131AC">
      <w:pPr>
        <w:pStyle w:val="Bulletpoints"/>
      </w:pPr>
      <w:r w:rsidRPr="005B6087">
        <w:t xml:space="preserve">Lack of “interchangeability” between the </w:t>
      </w:r>
      <w:r w:rsidR="000443AB" w:rsidRPr="005B6087">
        <w:t xml:space="preserve">treatment settings and </w:t>
      </w:r>
      <w:r w:rsidRPr="005B6087">
        <w:t>measurement of EFS/DFS across the trials due to differences in when patients were randomised to treatment</w:t>
      </w:r>
      <w:r w:rsidR="000443AB" w:rsidRPr="005B6087">
        <w:t>,</w:t>
      </w:r>
      <w:r w:rsidRPr="005B6087">
        <w:t xml:space="preserve"> relative to diagnosis</w:t>
      </w:r>
      <w:r w:rsidR="000443AB" w:rsidRPr="005B6087">
        <w:t>,</w:t>
      </w:r>
      <w:r w:rsidRPr="005B6087">
        <w:t xml:space="preserve"> and initiation of anti-cancer treatment. </w:t>
      </w:r>
    </w:p>
    <w:p w14:paraId="15164CC0" w14:textId="4137C300" w:rsidR="00FE5DCE" w:rsidRPr="005B6087" w:rsidRDefault="00BB6614" w:rsidP="005131AC">
      <w:pPr>
        <w:pStyle w:val="Bulletpoints"/>
      </w:pPr>
      <w:r w:rsidRPr="005B6087">
        <w:t xml:space="preserve">Patients in CM816 were randomised before neoadjuvant treatment and therefore before surgery. In </w:t>
      </w:r>
      <w:r w:rsidR="00824874" w:rsidRPr="005B6087">
        <w:t>I</w:t>
      </w:r>
      <w:r w:rsidR="00824874">
        <w:t>M</w:t>
      </w:r>
      <w:r w:rsidR="00824874" w:rsidRPr="005B6087">
        <w:t>power010</w:t>
      </w:r>
      <w:r w:rsidRPr="005B6087">
        <w:t xml:space="preserve">, patients who had a complete resection and received 1 to 4 cycles of adjuvant chemotherapy were randomised to receive atezolizumab or </w:t>
      </w:r>
      <w:r w:rsidR="005B6087">
        <w:t>best supportive care (</w:t>
      </w:r>
      <w:r w:rsidRPr="005B6087">
        <w:t>BSC</w:t>
      </w:r>
      <w:r w:rsidR="005B6087">
        <w:t>)</w:t>
      </w:r>
      <w:r w:rsidR="000443AB" w:rsidRPr="005B6087">
        <w:t>.</w:t>
      </w:r>
    </w:p>
    <w:p w14:paraId="138B2856" w14:textId="373F838C" w:rsidR="000A4DF2" w:rsidRPr="000A4DF2" w:rsidRDefault="000443AB" w:rsidP="000A4DF2">
      <w:pPr>
        <w:pStyle w:val="3-BodyText"/>
        <w:rPr>
          <w:rFonts w:eastAsia="Calibri"/>
        </w:rPr>
      </w:pPr>
      <w:r>
        <w:rPr>
          <w:rFonts w:eastAsia="Calibri"/>
        </w:rPr>
        <w:t>A</w:t>
      </w:r>
      <w:r w:rsidRPr="000443AB">
        <w:rPr>
          <w:rFonts w:eastAsia="Calibri"/>
        </w:rPr>
        <w:t xml:space="preserve"> “Time-to-event</w:t>
      </w:r>
      <w:r>
        <w:rPr>
          <w:rFonts w:eastAsia="Calibri"/>
        </w:rPr>
        <w:t>” and “M</w:t>
      </w:r>
      <w:r w:rsidRPr="000443AB">
        <w:rPr>
          <w:rFonts w:eastAsia="Calibri"/>
        </w:rPr>
        <w:t>ixture mode</w:t>
      </w:r>
      <w:r>
        <w:rPr>
          <w:rFonts w:eastAsia="Calibri"/>
        </w:rPr>
        <w:t>l”</w:t>
      </w:r>
      <w:r w:rsidRPr="000443AB">
        <w:rPr>
          <w:rFonts w:eastAsia="Calibri"/>
        </w:rPr>
        <w:t xml:space="preserve"> </w:t>
      </w:r>
      <w:r>
        <w:rPr>
          <w:rFonts w:eastAsia="Calibri"/>
        </w:rPr>
        <w:t>f</w:t>
      </w:r>
      <w:r w:rsidRPr="000443AB">
        <w:rPr>
          <w:rFonts w:eastAsia="Calibri"/>
        </w:rPr>
        <w:t>ramework</w:t>
      </w:r>
      <w:r>
        <w:rPr>
          <w:rFonts w:eastAsia="Calibri"/>
        </w:rPr>
        <w:t xml:space="preserve"> was used to conduct the ITC. The time-to-event framework is summarised in </w:t>
      </w:r>
      <w:r>
        <w:rPr>
          <w:rFonts w:eastAsia="Calibri"/>
        </w:rPr>
        <w:fldChar w:fldCharType="begin"/>
      </w:r>
      <w:r>
        <w:rPr>
          <w:rFonts w:eastAsia="Calibri"/>
        </w:rPr>
        <w:instrText xml:space="preserve"> REF _Ref121058260 \h </w:instrText>
      </w:r>
      <w:r>
        <w:rPr>
          <w:rFonts w:eastAsia="Calibri"/>
        </w:rPr>
      </w:r>
      <w:r>
        <w:rPr>
          <w:rFonts w:eastAsia="Calibri"/>
        </w:rPr>
        <w:fldChar w:fldCharType="separate"/>
      </w:r>
      <w:r w:rsidR="00A77D90">
        <w:t xml:space="preserve">Table </w:t>
      </w:r>
      <w:r w:rsidR="00A77D90">
        <w:rPr>
          <w:noProof/>
        </w:rPr>
        <w:t>9</w:t>
      </w:r>
      <w:r>
        <w:rPr>
          <w:rFonts w:eastAsia="Calibri"/>
        </w:rPr>
        <w:fldChar w:fldCharType="end"/>
      </w:r>
      <w:r>
        <w:rPr>
          <w:rFonts w:eastAsia="Calibri"/>
        </w:rPr>
        <w:t xml:space="preserve">. </w:t>
      </w:r>
      <w:r w:rsidR="000A4DF2" w:rsidRPr="000A4DF2">
        <w:rPr>
          <w:rFonts w:eastAsia="Calibri"/>
        </w:rPr>
        <w:t xml:space="preserve">EFS/DFS hazards associated with </w:t>
      </w:r>
      <w:r w:rsidR="000039B4">
        <w:rPr>
          <w:rFonts w:eastAsia="Calibri"/>
        </w:rPr>
        <w:t>neoNIVO</w:t>
      </w:r>
      <w:r w:rsidR="000A4DF2" w:rsidRPr="000A4DF2">
        <w:rPr>
          <w:rFonts w:eastAsia="Calibri"/>
        </w:rPr>
        <w:t>+</w:t>
      </w:r>
      <w:r w:rsidR="000039B4">
        <w:rPr>
          <w:rFonts w:eastAsia="Calibri"/>
        </w:rPr>
        <w:t>neoChemo</w:t>
      </w:r>
      <w:r w:rsidR="000A4DF2" w:rsidRPr="000A4DF2">
        <w:rPr>
          <w:rFonts w:eastAsia="Calibri"/>
        </w:rPr>
        <w:t xml:space="preserve"> and </w:t>
      </w:r>
      <w:r w:rsidR="003D24E4">
        <w:rPr>
          <w:rFonts w:eastAsia="Calibri"/>
        </w:rPr>
        <w:t>adjChemo</w:t>
      </w:r>
      <w:r w:rsidR="000A4DF2" w:rsidRPr="000A4DF2">
        <w:rPr>
          <w:rFonts w:eastAsia="Calibri"/>
        </w:rPr>
        <w:t>+</w:t>
      </w:r>
      <w:r w:rsidR="000039B4">
        <w:rPr>
          <w:rFonts w:eastAsia="Calibri"/>
        </w:rPr>
        <w:t>adjATEZO</w:t>
      </w:r>
      <w:r w:rsidR="000A4DF2" w:rsidRPr="000A4DF2">
        <w:rPr>
          <w:rFonts w:eastAsia="Calibri"/>
        </w:rPr>
        <w:t xml:space="preserve"> were subsequently derived which varied over time due to:</w:t>
      </w:r>
    </w:p>
    <w:p w14:paraId="5C9722C3" w14:textId="15EA3ECE" w:rsidR="000A4DF2" w:rsidRPr="000A4DF2" w:rsidRDefault="000A4DF2" w:rsidP="005131AC">
      <w:pPr>
        <w:pStyle w:val="Bulletpoints"/>
      </w:pPr>
      <w:r w:rsidRPr="000A4DF2">
        <w:t xml:space="preserve">Time-varying HR inputs for </w:t>
      </w:r>
      <w:r w:rsidR="000039B4">
        <w:t>neoChemo</w:t>
      </w:r>
      <w:r w:rsidRPr="000A4DF2">
        <w:t xml:space="preserve"> versus </w:t>
      </w:r>
      <w:r w:rsidR="003D24E4">
        <w:t>adjChemo</w:t>
      </w:r>
      <w:r w:rsidRPr="000A4DF2">
        <w:t xml:space="preserve"> from NATCH (Step 3 of time-to-event framework);</w:t>
      </w:r>
    </w:p>
    <w:p w14:paraId="2D1D8389" w14:textId="518118F0" w:rsidR="000A4DF2" w:rsidRPr="000A4DF2" w:rsidRDefault="000A4DF2" w:rsidP="005131AC">
      <w:pPr>
        <w:pStyle w:val="Bulletpoints"/>
      </w:pPr>
      <w:r w:rsidRPr="000A4DF2">
        <w:t xml:space="preserve">The 7-month </w:t>
      </w:r>
      <w:r w:rsidR="001C7809">
        <w:t>‘</w:t>
      </w:r>
      <w:r w:rsidRPr="000A4DF2">
        <w:t>offset</w:t>
      </w:r>
      <w:r w:rsidR="001C7809">
        <w:t>’</w:t>
      </w:r>
      <w:r w:rsidRPr="000A4DF2">
        <w:t xml:space="preserve"> before applying the benefit from receiving atezolizumab (Step 4 of time-to-event framework); and</w:t>
      </w:r>
    </w:p>
    <w:p w14:paraId="604BD970" w14:textId="1F8C86D2" w:rsidR="000A4DF2" w:rsidRPr="000A4DF2" w:rsidRDefault="000A4DF2" w:rsidP="005131AC">
      <w:pPr>
        <w:pStyle w:val="Bulletpoints"/>
      </w:pPr>
      <w:r w:rsidRPr="000A4DF2">
        <w:t>The use of a mixture model after 7 months</w:t>
      </w:r>
      <w:r w:rsidR="000443AB" w:rsidRPr="000A4DF2">
        <w:t xml:space="preserve"> was used to adjust for a proportion of patients (assumed in the submission to be 20%) who would be considered eligible to enrol in CM816, and who would be alive and event-free in the adjuvant setting, but yet ineligible to receive adjuvant atezolizumab in the </w:t>
      </w:r>
      <w:r w:rsidR="00824874" w:rsidRPr="000A4DF2">
        <w:t>I</w:t>
      </w:r>
      <w:r w:rsidR="00824874">
        <w:t>M</w:t>
      </w:r>
      <w:r w:rsidR="00824874" w:rsidRPr="000A4DF2">
        <w:t xml:space="preserve">power010 </w:t>
      </w:r>
      <w:r w:rsidR="000443AB" w:rsidRPr="000A4DF2">
        <w:t>trial (such as patients with incomplete resection, incomplete adjuvant chemotherapy, and contraindication</w:t>
      </w:r>
      <w:r w:rsidRPr="000A4DF2">
        <w:t>s</w:t>
      </w:r>
      <w:r w:rsidR="000443AB" w:rsidRPr="000A4DF2">
        <w:t xml:space="preserve"> or refusal</w:t>
      </w:r>
      <w:r w:rsidRPr="000A4DF2">
        <w:t>).</w:t>
      </w:r>
    </w:p>
    <w:p w14:paraId="58E18024" w14:textId="758B9167" w:rsidR="000443AB" w:rsidRDefault="000443AB" w:rsidP="000443AB">
      <w:pPr>
        <w:pStyle w:val="Caption"/>
      </w:pPr>
      <w:bookmarkStart w:id="41" w:name="_Ref121058260"/>
      <w:r>
        <w:t xml:space="preserve">Table </w:t>
      </w:r>
      <w:r w:rsidR="00A77D90">
        <w:fldChar w:fldCharType="begin"/>
      </w:r>
      <w:r w:rsidR="00A77D90">
        <w:instrText xml:space="preserve"> SEQ Table \* ARABIC </w:instrText>
      </w:r>
      <w:r w:rsidR="00A77D90">
        <w:fldChar w:fldCharType="separate"/>
      </w:r>
      <w:r w:rsidR="00A77D90">
        <w:rPr>
          <w:noProof/>
        </w:rPr>
        <w:t>9</w:t>
      </w:r>
      <w:r w:rsidR="00A77D90">
        <w:rPr>
          <w:noProof/>
        </w:rPr>
        <w:fldChar w:fldCharType="end"/>
      </w:r>
      <w:bookmarkEnd w:id="41"/>
      <w:r>
        <w:t>: Time-to-event framework applied in</w:t>
      </w:r>
      <w:r w:rsidR="001C7809">
        <w:t xml:space="preserve"> the</w:t>
      </w:r>
      <w:r>
        <w:t xml:space="preserve"> indirect treatment comparison: CM816 and I</w:t>
      </w:r>
      <w:r w:rsidR="00824874">
        <w:t>M</w:t>
      </w:r>
      <w:r>
        <w:t>power010</w:t>
      </w:r>
    </w:p>
    <w:tbl>
      <w:tblPr>
        <w:tblStyle w:val="TableGrid"/>
        <w:tblW w:w="0" w:type="auto"/>
        <w:tblLook w:val="04A0" w:firstRow="1" w:lastRow="0" w:firstColumn="1" w:lastColumn="0" w:noHBand="0" w:noVBand="1"/>
      </w:tblPr>
      <w:tblGrid>
        <w:gridCol w:w="572"/>
        <w:gridCol w:w="8445"/>
      </w:tblGrid>
      <w:tr w:rsidR="000443AB" w:rsidRPr="004647C4" w14:paraId="0B83108F" w14:textId="77777777" w:rsidTr="00750175">
        <w:trPr>
          <w:cantSplit/>
        </w:trPr>
        <w:tc>
          <w:tcPr>
            <w:tcW w:w="0" w:type="auto"/>
            <w:shd w:val="clear" w:color="auto" w:fill="auto"/>
          </w:tcPr>
          <w:p w14:paraId="5DFDD8D7" w14:textId="77777777" w:rsidR="000443AB" w:rsidRPr="004647C4" w:rsidRDefault="000443AB" w:rsidP="00750175">
            <w:pPr>
              <w:pStyle w:val="Tabletext"/>
              <w:keepNext/>
              <w:rPr>
                <w:b/>
              </w:rPr>
            </w:pPr>
            <w:r w:rsidRPr="004647C4">
              <w:rPr>
                <w:b/>
              </w:rPr>
              <w:t>Step</w:t>
            </w:r>
          </w:p>
        </w:tc>
        <w:tc>
          <w:tcPr>
            <w:tcW w:w="0" w:type="auto"/>
            <w:shd w:val="clear" w:color="auto" w:fill="auto"/>
          </w:tcPr>
          <w:p w14:paraId="6E74A24B" w14:textId="77777777" w:rsidR="000443AB" w:rsidRPr="004647C4" w:rsidRDefault="000443AB" w:rsidP="00750175">
            <w:pPr>
              <w:pStyle w:val="Tabletext"/>
              <w:keepNext/>
              <w:rPr>
                <w:b/>
              </w:rPr>
            </w:pPr>
            <w:r w:rsidRPr="004647C4">
              <w:rPr>
                <w:b/>
              </w:rPr>
              <w:t>Methods</w:t>
            </w:r>
          </w:p>
        </w:tc>
      </w:tr>
      <w:tr w:rsidR="000443AB" w:rsidRPr="004647C4" w14:paraId="70B12014" w14:textId="77777777" w:rsidTr="00750175">
        <w:trPr>
          <w:cantSplit/>
        </w:trPr>
        <w:tc>
          <w:tcPr>
            <w:tcW w:w="0" w:type="auto"/>
            <w:shd w:val="clear" w:color="auto" w:fill="auto"/>
          </w:tcPr>
          <w:p w14:paraId="3E1EF46C" w14:textId="77777777" w:rsidR="000443AB" w:rsidRPr="004647C4" w:rsidRDefault="000443AB" w:rsidP="00750175">
            <w:pPr>
              <w:pStyle w:val="Tabletext"/>
              <w:keepNext/>
            </w:pPr>
            <w:r w:rsidRPr="004647C4">
              <w:t>1</w:t>
            </w:r>
          </w:p>
        </w:tc>
        <w:tc>
          <w:tcPr>
            <w:tcW w:w="0" w:type="auto"/>
            <w:shd w:val="clear" w:color="auto" w:fill="auto"/>
          </w:tcPr>
          <w:p w14:paraId="4493AF19" w14:textId="3966438A" w:rsidR="000443AB" w:rsidRPr="004647C4" w:rsidRDefault="000443AB" w:rsidP="00750175">
            <w:pPr>
              <w:pStyle w:val="Tabletext"/>
              <w:keepNext/>
            </w:pPr>
            <w:r w:rsidRPr="004647C4">
              <w:t>Kaplan-Meier EFS curves from PD-L1 subgroups from CM816 were generated. Proportion</w:t>
            </w:r>
            <w:r w:rsidR="00387727">
              <w:t>al</w:t>
            </w:r>
            <w:r w:rsidRPr="004647C4">
              <w:t xml:space="preserve"> hazard</w:t>
            </w:r>
            <w:r w:rsidR="00387727">
              <w:t>s</w:t>
            </w:r>
            <w:r w:rsidRPr="004647C4">
              <w:t xml:space="preserve"> assumption was tested using visual inspection of Kaplan-Meier curves, log cumulative hazard plots</w:t>
            </w:r>
            <w:r w:rsidR="00387727">
              <w:t>,</w:t>
            </w:r>
            <w:r w:rsidRPr="004647C4">
              <w:t xml:space="preserve"> Schoenfeld residuals, and the Grambsch-Therneau test. The assumption of proportional hazards was not rejected.</w:t>
            </w:r>
          </w:p>
        </w:tc>
      </w:tr>
      <w:tr w:rsidR="000443AB" w:rsidRPr="004647C4" w14:paraId="64F36303" w14:textId="77777777" w:rsidTr="00750175">
        <w:trPr>
          <w:cantSplit/>
        </w:trPr>
        <w:tc>
          <w:tcPr>
            <w:tcW w:w="0" w:type="auto"/>
            <w:shd w:val="clear" w:color="auto" w:fill="auto"/>
          </w:tcPr>
          <w:p w14:paraId="5628A2D7" w14:textId="77777777" w:rsidR="000443AB" w:rsidRPr="004647C4" w:rsidRDefault="000443AB" w:rsidP="00750175">
            <w:pPr>
              <w:pStyle w:val="Tabletext"/>
              <w:keepNext/>
            </w:pPr>
            <w:r w:rsidRPr="004647C4">
              <w:t>2</w:t>
            </w:r>
          </w:p>
        </w:tc>
        <w:tc>
          <w:tcPr>
            <w:tcW w:w="0" w:type="auto"/>
            <w:shd w:val="clear" w:color="auto" w:fill="auto"/>
          </w:tcPr>
          <w:p w14:paraId="6FFBEA71" w14:textId="1759304C" w:rsidR="000443AB" w:rsidRPr="004647C4" w:rsidRDefault="000443AB" w:rsidP="00750175">
            <w:pPr>
              <w:pStyle w:val="Tabletext"/>
              <w:keepNext/>
            </w:pPr>
            <w:r w:rsidRPr="004647C4">
              <w:t>Parametric survival models were fit to the neoadjuvant chemotherapy arm. The best fitting model per Akaike Information Criteria, Bayesian information criteria and clinical plausibility of fit was deemed to be Log-normal.</w:t>
            </w:r>
          </w:p>
          <w:p w14:paraId="2E5DF72D" w14:textId="77777777" w:rsidR="000443AB" w:rsidRPr="004647C4" w:rsidRDefault="000443AB" w:rsidP="00750175">
            <w:pPr>
              <w:pStyle w:val="Tabletext"/>
              <w:keepNext/>
            </w:pPr>
          </w:p>
          <w:p w14:paraId="65E03237" w14:textId="77777777" w:rsidR="000443AB" w:rsidRPr="004647C4" w:rsidRDefault="000443AB" w:rsidP="00750175">
            <w:pPr>
              <w:pStyle w:val="Tabletext"/>
              <w:keepNext/>
            </w:pPr>
            <w:r w:rsidRPr="004647C4">
              <w:t>The EFS curve for nivolumab plus chemotherapy was applied using the EFS HR reported in CM816 to the Log-normal model of neoadjuvant chemotherapy.</w:t>
            </w:r>
          </w:p>
        </w:tc>
      </w:tr>
      <w:tr w:rsidR="000443AB" w:rsidRPr="004647C4" w14:paraId="4E97E3F9" w14:textId="77777777" w:rsidTr="00750175">
        <w:trPr>
          <w:cantSplit/>
        </w:trPr>
        <w:tc>
          <w:tcPr>
            <w:tcW w:w="0" w:type="auto"/>
            <w:shd w:val="clear" w:color="auto" w:fill="auto"/>
          </w:tcPr>
          <w:p w14:paraId="682A4DAB" w14:textId="77777777" w:rsidR="000443AB" w:rsidRPr="004647C4" w:rsidRDefault="000443AB" w:rsidP="00750175">
            <w:pPr>
              <w:pStyle w:val="Tabletext"/>
              <w:keepNext/>
            </w:pPr>
            <w:r w:rsidRPr="004647C4">
              <w:t>3</w:t>
            </w:r>
          </w:p>
        </w:tc>
        <w:tc>
          <w:tcPr>
            <w:tcW w:w="0" w:type="auto"/>
            <w:shd w:val="clear" w:color="auto" w:fill="auto"/>
          </w:tcPr>
          <w:p w14:paraId="39F28252" w14:textId="77777777" w:rsidR="000443AB" w:rsidRPr="004647C4" w:rsidRDefault="000443AB" w:rsidP="00750175">
            <w:pPr>
              <w:pStyle w:val="Tabletext"/>
              <w:keepNext/>
            </w:pPr>
            <w:r w:rsidRPr="004647C4">
              <w:t>Kaplan-Meier curves from the neoadjuvant chemotherapy and adjuvant chemotherapy arms of the NATCH trial were digitised. The p-value of the Grambsch-Therneau test was 0.02, indicating that the null hypothesis of proportional hazards was rejected, statistically. Visual inspection suggested a stronger initial treatment effect favouring neoadjuvant chemotherapy that waned over time.</w:t>
            </w:r>
          </w:p>
          <w:p w14:paraId="277E5E87" w14:textId="77777777" w:rsidR="000443AB" w:rsidRDefault="000443AB" w:rsidP="00750175">
            <w:pPr>
              <w:pStyle w:val="Tabletext"/>
              <w:keepNext/>
            </w:pPr>
          </w:p>
          <w:p w14:paraId="35FD399C" w14:textId="77777777" w:rsidR="000443AB" w:rsidRPr="004647C4" w:rsidRDefault="000443AB" w:rsidP="008C07FB">
            <w:pPr>
              <w:pStyle w:val="Tabletext"/>
              <w:keepNext/>
            </w:pPr>
            <w:r w:rsidRPr="004647C4">
              <w:t>To address this issue, a piecewise constant hazard ratio approach was used, with HRs estimated separately for: 0 to 7 months and 7 months to end of follow-up. These piecewise constant HRs were applied to the neoadjuvant chemotherapy arm (separately, for &lt; 7 months, and ≥ 7 months) to generate a DFS curve for adjuvant chemotherapy.</w:t>
            </w:r>
          </w:p>
        </w:tc>
      </w:tr>
      <w:tr w:rsidR="000443AB" w:rsidRPr="004647C4" w14:paraId="346EA5B1" w14:textId="77777777" w:rsidTr="00750175">
        <w:trPr>
          <w:cantSplit/>
        </w:trPr>
        <w:tc>
          <w:tcPr>
            <w:tcW w:w="0" w:type="auto"/>
            <w:shd w:val="clear" w:color="auto" w:fill="auto"/>
          </w:tcPr>
          <w:p w14:paraId="34119A2E" w14:textId="77777777" w:rsidR="000443AB" w:rsidRPr="004647C4" w:rsidRDefault="000443AB" w:rsidP="00750175">
            <w:pPr>
              <w:pStyle w:val="Tabletext"/>
              <w:keepNext/>
            </w:pPr>
            <w:r w:rsidRPr="004647C4">
              <w:t>4</w:t>
            </w:r>
          </w:p>
        </w:tc>
        <w:tc>
          <w:tcPr>
            <w:tcW w:w="0" w:type="auto"/>
            <w:shd w:val="clear" w:color="auto" w:fill="auto"/>
          </w:tcPr>
          <w:p w14:paraId="22549E92" w14:textId="66164409" w:rsidR="000443AB" w:rsidRPr="004647C4" w:rsidRDefault="000443AB" w:rsidP="00750175">
            <w:pPr>
              <w:pStyle w:val="Tabletext"/>
              <w:keepNext/>
            </w:pPr>
            <w:r w:rsidRPr="004647C4">
              <w:t xml:space="preserve">The DFS HR for atezolizumab versus BSC from </w:t>
            </w:r>
            <w:r w:rsidR="00824874">
              <w:t>IMpower</w:t>
            </w:r>
            <w:r w:rsidRPr="004647C4">
              <w:t>010 was applied to the adjuvant chemotherapy DFS curve derived above starting at 7 months.</w:t>
            </w:r>
          </w:p>
          <w:p w14:paraId="235401EF" w14:textId="77777777" w:rsidR="000443AB" w:rsidRPr="004647C4" w:rsidRDefault="000443AB" w:rsidP="00750175">
            <w:pPr>
              <w:pStyle w:val="Tabletext"/>
              <w:keepNext/>
            </w:pPr>
          </w:p>
          <w:p w14:paraId="68DAFED2" w14:textId="3AFA0EA0" w:rsidR="000443AB" w:rsidRPr="004647C4" w:rsidRDefault="000443AB" w:rsidP="00750175">
            <w:pPr>
              <w:pStyle w:val="Tabletext"/>
              <w:keepNext/>
            </w:pPr>
            <w:r w:rsidRPr="004647C4">
              <w:t>The initial 7</w:t>
            </w:r>
            <w:r>
              <w:t>-</w:t>
            </w:r>
            <w:r w:rsidRPr="004647C4">
              <w:t xml:space="preserve">month period was estimated as the time between randomisation in CM816 and </w:t>
            </w:r>
            <w:r w:rsidR="00824874">
              <w:t>IMpower</w:t>
            </w:r>
            <w:r>
              <w:t>010</w:t>
            </w:r>
            <w:r w:rsidRPr="004647C4">
              <w:t>. In this 7</w:t>
            </w:r>
            <w:r>
              <w:t>-</w:t>
            </w:r>
            <w:r w:rsidRPr="004647C4">
              <w:t xml:space="preserve">month period patients would undergo surgery and receive 4 doses of adjuvant chemotherapy prior to be eligible to be randomised to receive atezolizumab in </w:t>
            </w:r>
            <w:r w:rsidR="00824874">
              <w:t>IMpower</w:t>
            </w:r>
            <w:r w:rsidRPr="004647C4">
              <w:t>010.</w:t>
            </w:r>
          </w:p>
        </w:tc>
      </w:tr>
      <w:tr w:rsidR="000443AB" w:rsidRPr="004647C4" w14:paraId="0757B0F3" w14:textId="77777777" w:rsidTr="00750175">
        <w:trPr>
          <w:cantSplit/>
        </w:trPr>
        <w:tc>
          <w:tcPr>
            <w:tcW w:w="0" w:type="auto"/>
            <w:shd w:val="clear" w:color="auto" w:fill="auto"/>
          </w:tcPr>
          <w:p w14:paraId="13D74441" w14:textId="77777777" w:rsidR="000443AB" w:rsidRPr="004647C4" w:rsidRDefault="000443AB" w:rsidP="00750175">
            <w:pPr>
              <w:pStyle w:val="Tabletext"/>
              <w:keepNext/>
            </w:pPr>
            <w:r w:rsidRPr="004647C4">
              <w:t>5</w:t>
            </w:r>
          </w:p>
        </w:tc>
        <w:tc>
          <w:tcPr>
            <w:tcW w:w="0" w:type="auto"/>
            <w:shd w:val="clear" w:color="auto" w:fill="auto"/>
          </w:tcPr>
          <w:p w14:paraId="446239FE" w14:textId="77777777" w:rsidR="000443AB" w:rsidRPr="004647C4" w:rsidRDefault="000443AB" w:rsidP="00750175">
            <w:pPr>
              <w:pStyle w:val="Tabletext"/>
              <w:keepNext/>
            </w:pPr>
            <w:r w:rsidRPr="004647C4">
              <w:t>In the time-to-event framework the atezolizumab DFS curve followed the adjuvant chemotherapy curve for the first 7 months, and thereafter the DFS HR for atezolizumab versus BSC was applied.</w:t>
            </w:r>
          </w:p>
        </w:tc>
      </w:tr>
    </w:tbl>
    <w:p w14:paraId="4A2C0E6D" w14:textId="77777777" w:rsidR="000443AB" w:rsidRDefault="000443AB" w:rsidP="000443AB">
      <w:pPr>
        <w:pStyle w:val="TableFooter"/>
      </w:pPr>
      <w:r>
        <w:t>Source: Table 64, pp99-100 of the submission.</w:t>
      </w:r>
    </w:p>
    <w:p w14:paraId="173255A0" w14:textId="77777777" w:rsidR="000443AB" w:rsidRDefault="000443AB" w:rsidP="000443AB">
      <w:pPr>
        <w:pStyle w:val="TableFooter"/>
      </w:pPr>
      <w:r>
        <w:t>BSC=best supportive care; DFS=disease free survival; EFS=event free survival; HR=hazard ratio; PD-L1=programmed cell death Ligand-1</w:t>
      </w:r>
    </w:p>
    <w:p w14:paraId="06EB8E7D" w14:textId="308AEF81" w:rsidR="001C7809" w:rsidRDefault="000A4DF2" w:rsidP="00E15225">
      <w:pPr>
        <w:pStyle w:val="3-BodyText"/>
        <w:spacing w:before="120"/>
        <w:rPr>
          <w:rFonts w:eastAsia="Calibri"/>
        </w:rPr>
      </w:pPr>
      <w:r w:rsidRPr="000A4DF2">
        <w:rPr>
          <w:rFonts w:eastAsia="Calibri"/>
        </w:rPr>
        <w:t xml:space="preserve">The 7-month duration (30 weeks) was based on historical studies, clinical expert advice from the </w:t>
      </w:r>
      <w:r w:rsidR="001C7809">
        <w:rPr>
          <w:rFonts w:eastAsia="Calibri"/>
        </w:rPr>
        <w:t>s</w:t>
      </w:r>
      <w:r w:rsidR="00C96433" w:rsidRPr="00C96433">
        <w:rPr>
          <w:rFonts w:eastAsia="Calibri"/>
        </w:rPr>
        <w:t>ponsor</w:t>
      </w:r>
      <w:r w:rsidRPr="000A4DF2">
        <w:rPr>
          <w:rFonts w:eastAsia="Calibri"/>
        </w:rPr>
        <w:t>’s advisory board, and several assumptions</w:t>
      </w:r>
      <w:r w:rsidR="008C07FB">
        <w:rPr>
          <w:rFonts w:eastAsia="Calibri"/>
        </w:rPr>
        <w:t xml:space="preserve"> that </w:t>
      </w:r>
      <w:r w:rsidR="001C7809">
        <w:rPr>
          <w:rFonts w:eastAsia="Calibri"/>
        </w:rPr>
        <w:t xml:space="preserve">were </w:t>
      </w:r>
      <w:r w:rsidR="008C07FB">
        <w:rPr>
          <w:rFonts w:eastAsia="Calibri"/>
        </w:rPr>
        <w:t>difficult to verify</w:t>
      </w:r>
      <w:r w:rsidRPr="000A4DF2">
        <w:rPr>
          <w:rFonts w:eastAsia="Calibri"/>
        </w:rPr>
        <w:t xml:space="preserve">, </w:t>
      </w:r>
      <w:r w:rsidR="008C07FB">
        <w:rPr>
          <w:rFonts w:eastAsia="Calibri"/>
        </w:rPr>
        <w:t>but</w:t>
      </w:r>
      <w:r w:rsidRPr="000A4DF2">
        <w:rPr>
          <w:rFonts w:eastAsia="Calibri"/>
        </w:rPr>
        <w:t xml:space="preserve"> was derived as follows: </w:t>
      </w:r>
    </w:p>
    <w:p w14:paraId="22C03EFE" w14:textId="77777777" w:rsidR="001C7809" w:rsidRDefault="000A4DF2" w:rsidP="005131AC">
      <w:pPr>
        <w:pStyle w:val="Bulletpoints"/>
      </w:pPr>
      <w:r w:rsidRPr="000A4DF2">
        <w:t xml:space="preserve">Time from diagnosis/trial enrolment to surgery: 4 weeks; </w:t>
      </w:r>
    </w:p>
    <w:p w14:paraId="7F964D28" w14:textId="77777777" w:rsidR="001C7809" w:rsidRDefault="000A4DF2" w:rsidP="005131AC">
      <w:pPr>
        <w:pStyle w:val="Bulletpoints"/>
      </w:pPr>
      <w:r w:rsidRPr="001C7809">
        <w:t xml:space="preserve">Time from surgery to </w:t>
      </w:r>
      <w:r w:rsidR="003D24E4" w:rsidRPr="001C7809">
        <w:t>adjChemo</w:t>
      </w:r>
      <w:r w:rsidRPr="001C7809">
        <w:t xml:space="preserve"> initiation</w:t>
      </w:r>
      <w:r w:rsidRPr="000A4DF2">
        <w:t xml:space="preserve">: 9 weeks; </w:t>
      </w:r>
    </w:p>
    <w:p w14:paraId="5B6AA45A" w14:textId="77777777" w:rsidR="001C7809" w:rsidRDefault="000A4DF2" w:rsidP="005131AC">
      <w:pPr>
        <w:pStyle w:val="Bulletpoints"/>
      </w:pPr>
      <w:r w:rsidRPr="001C7809">
        <w:t xml:space="preserve">Duration of </w:t>
      </w:r>
      <w:r w:rsidR="003D24E4" w:rsidRPr="001C7809">
        <w:t>adjChemo</w:t>
      </w:r>
      <w:r w:rsidRPr="001C7809">
        <w:t xml:space="preserve"> (time to </w:t>
      </w:r>
      <w:r w:rsidRPr="000A4DF2">
        <w:t xml:space="preserve">the last dose): 14 weeks; and </w:t>
      </w:r>
    </w:p>
    <w:p w14:paraId="3A2B7C9B" w14:textId="232E7238" w:rsidR="001C7809" w:rsidRDefault="000A4DF2" w:rsidP="005131AC">
      <w:pPr>
        <w:pStyle w:val="Bulletpoints"/>
      </w:pPr>
      <w:r w:rsidRPr="001C7809">
        <w:t xml:space="preserve">Completion of </w:t>
      </w:r>
      <w:r w:rsidR="003D24E4" w:rsidRPr="001C7809">
        <w:t>adjChemo</w:t>
      </w:r>
      <w:r w:rsidRPr="001C7809">
        <w:t xml:space="preserve"> to initiation of </w:t>
      </w:r>
      <w:r w:rsidRPr="000A4DF2">
        <w:t>atezolizumab: 3 weeks</w:t>
      </w:r>
      <w:r w:rsidR="001C7809">
        <w:t>.</w:t>
      </w:r>
    </w:p>
    <w:p w14:paraId="338A1A32" w14:textId="252FE9DD" w:rsidR="000A4DF2" w:rsidRDefault="000A4DF2" w:rsidP="005131AC">
      <w:pPr>
        <w:pStyle w:val="Bulletpoints"/>
      </w:pPr>
      <w:r>
        <w:t>Total 30 weeks.</w:t>
      </w:r>
    </w:p>
    <w:p w14:paraId="541BC296" w14:textId="577A6621" w:rsidR="008C07FB" w:rsidRDefault="008C07FB" w:rsidP="00750175">
      <w:pPr>
        <w:pStyle w:val="3-BodyText"/>
        <w:rPr>
          <w:rFonts w:eastAsia="Calibri"/>
        </w:rPr>
      </w:pPr>
      <w:r>
        <w:rPr>
          <w:rFonts w:eastAsia="Calibri"/>
        </w:rPr>
        <w:t xml:space="preserve">The steps involved </w:t>
      </w:r>
      <w:r w:rsidRPr="008C07FB">
        <w:rPr>
          <w:rFonts w:eastAsia="Calibri"/>
        </w:rPr>
        <w:t>in the indirect comparison approach with corresponding modelled EFS curves</w:t>
      </w:r>
      <w:r>
        <w:rPr>
          <w:rFonts w:eastAsia="Calibri"/>
        </w:rPr>
        <w:t xml:space="preserve"> are illustrated in </w:t>
      </w:r>
      <w:r>
        <w:rPr>
          <w:rFonts w:eastAsia="Calibri"/>
        </w:rPr>
        <w:fldChar w:fldCharType="begin"/>
      </w:r>
      <w:r>
        <w:rPr>
          <w:rFonts w:eastAsia="Calibri"/>
        </w:rPr>
        <w:instrText xml:space="preserve"> REF _Ref121060915 \h </w:instrText>
      </w:r>
      <w:r>
        <w:rPr>
          <w:rFonts w:eastAsia="Calibri"/>
        </w:rPr>
      </w:r>
      <w:r>
        <w:rPr>
          <w:rFonts w:eastAsia="Calibri"/>
        </w:rPr>
        <w:fldChar w:fldCharType="separate"/>
      </w:r>
      <w:r w:rsidR="00A77D90">
        <w:t xml:space="preserve">Figure </w:t>
      </w:r>
      <w:r w:rsidR="00A77D90">
        <w:rPr>
          <w:noProof/>
        </w:rPr>
        <w:t>4</w:t>
      </w:r>
      <w:r>
        <w:rPr>
          <w:rFonts w:eastAsia="Calibri"/>
        </w:rPr>
        <w:fldChar w:fldCharType="end"/>
      </w:r>
      <w:r>
        <w:rPr>
          <w:rFonts w:eastAsia="Calibri"/>
        </w:rPr>
        <w:t xml:space="preserve">. </w:t>
      </w:r>
      <w:r w:rsidRPr="000A6E90">
        <w:rPr>
          <w:rFonts w:eastAsia="Calibri"/>
        </w:rPr>
        <w:t xml:space="preserve">Essentially, this </w:t>
      </w:r>
      <w:r w:rsidR="00494612" w:rsidRPr="000A6E90">
        <w:rPr>
          <w:rFonts w:eastAsia="Calibri"/>
        </w:rPr>
        <w:t xml:space="preserve">modelled </w:t>
      </w:r>
      <w:r w:rsidRPr="000A6E90">
        <w:rPr>
          <w:rFonts w:eastAsia="Calibri"/>
        </w:rPr>
        <w:t xml:space="preserve">approach ignores the major transitivity issues across the trials and the contribution of the observed data in the ITC </w:t>
      </w:r>
      <w:r w:rsidR="00494612" w:rsidRPr="000A6E90">
        <w:rPr>
          <w:rFonts w:eastAsia="Calibri"/>
        </w:rPr>
        <w:t>appears</w:t>
      </w:r>
      <w:r w:rsidRPr="000A6E90">
        <w:rPr>
          <w:rFonts w:eastAsia="Calibri"/>
        </w:rPr>
        <w:t xml:space="preserve"> minimal. </w:t>
      </w:r>
    </w:p>
    <w:p w14:paraId="4804D257" w14:textId="48D6F101" w:rsidR="008C07FB" w:rsidRDefault="008C07FB" w:rsidP="008C07FB">
      <w:pPr>
        <w:pStyle w:val="Caption"/>
        <w:rPr>
          <w:lang w:val="en-CA" w:eastAsia="x-none"/>
        </w:rPr>
      </w:pPr>
      <w:bookmarkStart w:id="42" w:name="_Ref121060915"/>
      <w:r>
        <w:t xml:space="preserve">Figure </w:t>
      </w:r>
      <w:r w:rsidR="00A77D90">
        <w:fldChar w:fldCharType="begin"/>
      </w:r>
      <w:r w:rsidR="00A77D90">
        <w:instrText xml:space="preserve"> SEQ Figure \* ARA</w:instrText>
      </w:r>
      <w:r w:rsidR="00A77D90">
        <w:instrText xml:space="preserve">BIC </w:instrText>
      </w:r>
      <w:r w:rsidR="00A77D90">
        <w:fldChar w:fldCharType="separate"/>
      </w:r>
      <w:r w:rsidR="00A77D90">
        <w:rPr>
          <w:noProof/>
        </w:rPr>
        <w:t>4</w:t>
      </w:r>
      <w:r w:rsidR="00A77D90">
        <w:rPr>
          <w:noProof/>
        </w:rPr>
        <w:fldChar w:fldCharType="end"/>
      </w:r>
      <w:bookmarkEnd w:id="42"/>
      <w:r>
        <w:t>: Steps involved in the indirect comparison approach with corresponding modelled EFS curves</w:t>
      </w:r>
    </w:p>
    <w:tbl>
      <w:tblPr>
        <w:tblStyle w:val="TableGrid"/>
        <w:tblW w:w="5000" w:type="pct"/>
        <w:tblLook w:val="04A0" w:firstRow="1" w:lastRow="0" w:firstColumn="1" w:lastColumn="0" w:noHBand="0" w:noVBand="1"/>
      </w:tblPr>
      <w:tblGrid>
        <w:gridCol w:w="2994"/>
        <w:gridCol w:w="1422"/>
        <w:gridCol w:w="1624"/>
        <w:gridCol w:w="2977"/>
      </w:tblGrid>
      <w:tr w:rsidR="008C07FB" w:rsidRPr="00F40ED2" w14:paraId="14146F44" w14:textId="77777777" w:rsidTr="00750175">
        <w:trPr>
          <w:cantSplit/>
          <w:trHeight w:val="489"/>
        </w:trPr>
        <w:tc>
          <w:tcPr>
            <w:tcW w:w="1654" w:type="pct"/>
          </w:tcPr>
          <w:p w14:paraId="7C062DAA" w14:textId="47F0BD47" w:rsidR="008C07FB" w:rsidRPr="00F40ED2" w:rsidRDefault="008C07FB" w:rsidP="00750175">
            <w:pPr>
              <w:pStyle w:val="Tabletext"/>
              <w:keepNext/>
              <w:rPr>
                <w:rStyle w:val="TabletextChar"/>
                <w:lang w:eastAsia="en-AU"/>
              </w:rPr>
            </w:pPr>
            <w:r w:rsidRPr="00F40ED2">
              <w:t xml:space="preserve">Step 1: </w:t>
            </w:r>
            <w:r w:rsidRPr="00F40ED2">
              <w:rPr>
                <w:rStyle w:val="TabletextChar"/>
                <w:lang w:eastAsia="en-AU"/>
              </w:rPr>
              <w:t>Generate Kaplan-Meier plots of CM816 EFS</w:t>
            </w:r>
          </w:p>
          <w:p w14:paraId="1412DFB3" w14:textId="77777777" w:rsidR="008C07FB" w:rsidRPr="00F40ED2" w:rsidRDefault="008C07FB" w:rsidP="00750175">
            <w:pPr>
              <w:pStyle w:val="Tabletext"/>
              <w:keepNext/>
            </w:pPr>
          </w:p>
          <w:p w14:paraId="331CA321" w14:textId="77777777" w:rsidR="008C07FB" w:rsidRPr="00F40ED2" w:rsidRDefault="008C07FB" w:rsidP="00750175">
            <w:pPr>
              <w:pStyle w:val="Tabletext"/>
              <w:keepNext/>
            </w:pPr>
            <w:r w:rsidRPr="00F40ED2">
              <w:rPr>
                <w:noProof/>
              </w:rPr>
              <w:drawing>
                <wp:inline distT="0" distB="0" distL="0" distR="0" wp14:anchorId="29EBE4E8" wp14:editId="34D2CD7F">
                  <wp:extent cx="2316383" cy="1620000"/>
                  <wp:effectExtent l="0" t="0" r="0" b="0"/>
                  <wp:docPr id="38" name="Picture 38" descr="Figure 4: Steps involved in the indirect comparison approach with corresponding modelled EFS curves: Step 1: Generate Kaplan-Meier plots of CM816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Figure 4: Steps involved in the indirect comparison approach with corresponding modelled EFS curves: Step 1: Generate Kaplan-Meier plots of CM816 EFS"/>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2316383" cy="1620000"/>
                          </a:xfrm>
                          <a:prstGeom prst="rect">
                            <a:avLst/>
                          </a:prstGeom>
                          <a:noFill/>
                        </pic:spPr>
                      </pic:pic>
                    </a:graphicData>
                  </a:graphic>
                </wp:inline>
              </w:drawing>
            </w:r>
          </w:p>
        </w:tc>
        <w:tc>
          <w:tcPr>
            <w:tcW w:w="1675" w:type="pct"/>
            <w:gridSpan w:val="2"/>
          </w:tcPr>
          <w:p w14:paraId="6CAAFF4E" w14:textId="65C75587" w:rsidR="008C07FB" w:rsidRPr="00F40ED2" w:rsidRDefault="008C07FB" w:rsidP="00750175">
            <w:pPr>
              <w:pStyle w:val="Tabletext"/>
              <w:keepNext/>
            </w:pPr>
            <w:r w:rsidRPr="00F40ED2">
              <w:t>Step 2: Fit a parametric model to the neoCT arm of CM816 EFS</w:t>
            </w:r>
          </w:p>
          <w:p w14:paraId="771136C3" w14:textId="77777777" w:rsidR="008C07FB" w:rsidRPr="00F40ED2" w:rsidRDefault="008C07FB" w:rsidP="00750175">
            <w:pPr>
              <w:pStyle w:val="Tabletext"/>
              <w:keepNext/>
            </w:pPr>
          </w:p>
          <w:p w14:paraId="6A6ED88A" w14:textId="77777777" w:rsidR="008C07FB" w:rsidRPr="00F40ED2" w:rsidRDefault="008C07FB" w:rsidP="00750175">
            <w:pPr>
              <w:pStyle w:val="Tabletext"/>
              <w:keepNext/>
            </w:pPr>
            <w:r w:rsidRPr="00F40ED2">
              <w:rPr>
                <w:noProof/>
              </w:rPr>
              <w:drawing>
                <wp:inline distT="0" distB="0" distL="0" distR="0" wp14:anchorId="35F513A1" wp14:editId="16225775">
                  <wp:extent cx="2316383" cy="1620000"/>
                  <wp:effectExtent l="0" t="0" r="0" b="0"/>
                  <wp:docPr id="39" name="Picture 39" descr="Figure 4: Steps involved in the indirect comparison approach with corresponding modelled EFS curves: Step 2: Fit a parametric model to the neoCT arm of CM816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Figure 4: Steps involved in the indirect comparison approach with corresponding modelled EFS curves: Step 2: Fit a parametric model to the neoCT arm of CM816 EFS"/>
                          <pic:cNvPicPr>
                            <a:picLocks noChangeAspect="1" noChangeArrowheads="1"/>
                          </pic:cNvPicPr>
                        </pic:nvPicPr>
                        <pic:blipFill>
                          <a:blip r:embed="rId12" cstate="print">
                            <a:extLst>
                              <a:ext uri="{28A0092B-C50C-407E-A947-70E740481C1C}">
                                <a14:useLocalDpi xmlns:a14="http://schemas.microsoft.com/office/drawing/2010/main"/>
                              </a:ext>
                            </a:extLst>
                          </a:blip>
                          <a:srcRect/>
                          <a:stretch>
                            <a:fillRect/>
                          </a:stretch>
                        </pic:blipFill>
                        <pic:spPr bwMode="auto">
                          <a:xfrm>
                            <a:off x="0" y="0"/>
                            <a:ext cx="2316383" cy="1620000"/>
                          </a:xfrm>
                          <a:prstGeom prst="rect">
                            <a:avLst/>
                          </a:prstGeom>
                          <a:noFill/>
                        </pic:spPr>
                      </pic:pic>
                    </a:graphicData>
                  </a:graphic>
                </wp:inline>
              </w:drawing>
            </w:r>
          </w:p>
        </w:tc>
        <w:tc>
          <w:tcPr>
            <w:tcW w:w="1671" w:type="pct"/>
          </w:tcPr>
          <w:p w14:paraId="39761028" w14:textId="0C8EA5C7" w:rsidR="008C07FB" w:rsidRPr="00F40ED2" w:rsidRDefault="008C07FB" w:rsidP="00750175">
            <w:pPr>
              <w:pStyle w:val="Tabletext"/>
              <w:keepNext/>
            </w:pPr>
            <w:r w:rsidRPr="00F40ED2">
              <w:t>Step 3: Apply the CM816 EFS HR to generate neoNIVO-CT EFS curve</w:t>
            </w:r>
          </w:p>
          <w:p w14:paraId="0156A933" w14:textId="77777777" w:rsidR="008C07FB" w:rsidRPr="00F40ED2" w:rsidRDefault="008C07FB" w:rsidP="00750175">
            <w:pPr>
              <w:pStyle w:val="Tabletext"/>
              <w:keepNext/>
            </w:pPr>
          </w:p>
          <w:p w14:paraId="74A5B4C2" w14:textId="77777777" w:rsidR="008C07FB" w:rsidRPr="00F40ED2" w:rsidRDefault="008C07FB" w:rsidP="00750175">
            <w:pPr>
              <w:pStyle w:val="Tabletext"/>
              <w:keepNext/>
            </w:pPr>
            <w:r w:rsidRPr="00F40ED2">
              <w:rPr>
                <w:noProof/>
              </w:rPr>
              <w:drawing>
                <wp:inline distT="0" distB="0" distL="0" distR="0" wp14:anchorId="6EA6DEB8" wp14:editId="3E81E092">
                  <wp:extent cx="2301441" cy="1620000"/>
                  <wp:effectExtent l="0" t="0" r="0" b="0"/>
                  <wp:docPr id="40" name="Picture 40" descr="Figure 4: Steps involved in the indirect comparison approach with corresponding modelled EFS curves: Step 3: Apply the CM816 EFS HR to generate neoNIVO-CT EFS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Figure 4: Steps involved in the indirect comparison approach with corresponding modelled EFS curves: Step 3: Apply the CM816 EFS HR to generate neoNIVO-CT EFS curve"/>
                          <pic:cNvPicPr>
                            <a:picLocks noChangeAspect="1" noChangeArrowheads="1"/>
                          </pic:cNvPicPr>
                        </pic:nvPicPr>
                        <pic:blipFill>
                          <a:blip r:embed="rId13" cstate="print">
                            <a:extLst>
                              <a:ext uri="{28A0092B-C50C-407E-A947-70E740481C1C}">
                                <a14:useLocalDpi xmlns:a14="http://schemas.microsoft.com/office/drawing/2010/main"/>
                              </a:ext>
                            </a:extLst>
                          </a:blip>
                          <a:srcRect/>
                          <a:stretch>
                            <a:fillRect/>
                          </a:stretch>
                        </pic:blipFill>
                        <pic:spPr bwMode="auto">
                          <a:xfrm>
                            <a:off x="0" y="0"/>
                            <a:ext cx="2301441" cy="1620000"/>
                          </a:xfrm>
                          <a:prstGeom prst="rect">
                            <a:avLst/>
                          </a:prstGeom>
                          <a:noFill/>
                        </pic:spPr>
                      </pic:pic>
                    </a:graphicData>
                  </a:graphic>
                </wp:inline>
              </w:drawing>
            </w:r>
          </w:p>
        </w:tc>
      </w:tr>
      <w:tr w:rsidR="008C07FB" w:rsidRPr="00F40ED2" w14:paraId="50EF4B2D" w14:textId="77777777" w:rsidTr="00750175">
        <w:trPr>
          <w:cantSplit/>
          <w:trHeight w:val="501"/>
        </w:trPr>
        <w:tc>
          <w:tcPr>
            <w:tcW w:w="2434" w:type="pct"/>
            <w:gridSpan w:val="2"/>
          </w:tcPr>
          <w:p w14:paraId="6EFD3B39" w14:textId="77777777" w:rsidR="008C07FB" w:rsidRPr="00F40ED2" w:rsidRDefault="008C07FB" w:rsidP="00750175">
            <w:pPr>
              <w:pStyle w:val="Tabletext"/>
              <w:keepNext/>
            </w:pPr>
            <w:r w:rsidRPr="00F40ED2">
              <w:t>Step 4: Apply the NATCH HR for adjCT vs. neoCT to generate adjCT EFS curve</w:t>
            </w:r>
          </w:p>
          <w:p w14:paraId="03D5EA67" w14:textId="77777777" w:rsidR="008C07FB" w:rsidRPr="00F40ED2" w:rsidRDefault="008C07FB" w:rsidP="00750175">
            <w:pPr>
              <w:pStyle w:val="Tabletext"/>
              <w:keepNext/>
            </w:pPr>
            <w:r w:rsidRPr="00F40ED2">
              <w:rPr>
                <w:noProof/>
              </w:rPr>
              <w:drawing>
                <wp:inline distT="0" distB="0" distL="0" distR="0" wp14:anchorId="3154EC75" wp14:editId="43718DE7">
                  <wp:extent cx="2301441" cy="1620000"/>
                  <wp:effectExtent l="0" t="0" r="0" b="0"/>
                  <wp:docPr id="41" name="Picture 41" descr="Figure 4: Steps involved in the indirect comparison approach with corresponding modelled EFS curves: Step 4: Apply the NATCH HR for adjCT vs. neoCT to generate adjCT EFS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Figure 4: Steps involved in the indirect comparison approach with corresponding modelled EFS curves: Step 4: Apply the NATCH HR for adjCT vs. neoCT to generate adjCT EFS curve"/>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2301441" cy="1620000"/>
                          </a:xfrm>
                          <a:prstGeom prst="rect">
                            <a:avLst/>
                          </a:prstGeom>
                          <a:noFill/>
                        </pic:spPr>
                      </pic:pic>
                    </a:graphicData>
                  </a:graphic>
                </wp:inline>
              </w:drawing>
            </w:r>
          </w:p>
        </w:tc>
        <w:tc>
          <w:tcPr>
            <w:tcW w:w="2566" w:type="pct"/>
            <w:gridSpan w:val="2"/>
          </w:tcPr>
          <w:p w14:paraId="408E2C16" w14:textId="3562349C" w:rsidR="008C07FB" w:rsidRPr="00F40ED2" w:rsidRDefault="008C07FB" w:rsidP="00750175">
            <w:pPr>
              <w:pStyle w:val="Tabletext"/>
              <w:keepNext/>
            </w:pPr>
            <w:r w:rsidRPr="00F40ED2">
              <w:t xml:space="preserve">Step 5: Apply the </w:t>
            </w:r>
            <w:r w:rsidR="00824874">
              <w:t>IMpower</w:t>
            </w:r>
            <w:r w:rsidRPr="00F40ED2">
              <w:t>010 HR, from 7 months onward, for postadjATEZO vs. adjCT to generate adjATEZO EFS curve</w:t>
            </w:r>
            <w:r w:rsidRPr="00F40ED2">
              <w:rPr>
                <w:vertAlign w:val="superscript"/>
              </w:rPr>
              <w:t>a</w:t>
            </w:r>
          </w:p>
          <w:p w14:paraId="293E2A73" w14:textId="77777777" w:rsidR="008C07FB" w:rsidRPr="00F40ED2" w:rsidRDefault="008C07FB" w:rsidP="00750175">
            <w:pPr>
              <w:pStyle w:val="Tabletext"/>
              <w:keepNext/>
            </w:pPr>
            <w:r w:rsidRPr="00F40ED2">
              <w:rPr>
                <w:noProof/>
              </w:rPr>
              <w:drawing>
                <wp:inline distT="0" distB="0" distL="0" distR="0" wp14:anchorId="7523BAFB" wp14:editId="765DC057">
                  <wp:extent cx="2387001" cy="1620000"/>
                  <wp:effectExtent l="0" t="0" r="0" b="0"/>
                  <wp:docPr id="42" name="Picture 42" descr="Figure 4: Steps involved in the indirect comparison approach with corresponding modelled EFS curves: Step 5: Apply the Impower 010 HR, from 7 months onward, for postadjATEZO vs. adjCT to generate adjATEZO EFS 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descr="Figure 4: Steps involved in the indirect comparison approach with corresponding modelled EFS curves: Step 5: Apply the Impower 010 HR, from 7 months onward, for postadjATEZO vs. adjCT to generate adjATEZO EFS curve"/>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2387001" cy="1620000"/>
                          </a:xfrm>
                          <a:prstGeom prst="rect">
                            <a:avLst/>
                          </a:prstGeom>
                          <a:noFill/>
                        </pic:spPr>
                      </pic:pic>
                    </a:graphicData>
                  </a:graphic>
                </wp:inline>
              </w:drawing>
            </w:r>
          </w:p>
        </w:tc>
      </w:tr>
    </w:tbl>
    <w:p w14:paraId="66852820" w14:textId="77777777" w:rsidR="00452D64" w:rsidRDefault="008C07FB" w:rsidP="008C07FB">
      <w:pPr>
        <w:pStyle w:val="TableFooter"/>
      </w:pPr>
      <w:r>
        <w:t>Source: Figure 5, p23 of the indirect comparison technical report, Attachment 5 accompanying the submission.</w:t>
      </w:r>
    </w:p>
    <w:p w14:paraId="0723EF8B" w14:textId="6308DFF8" w:rsidR="008C07FB" w:rsidRDefault="008C07FB" w:rsidP="008C07FB">
      <w:pPr>
        <w:pStyle w:val="TableFooter"/>
      </w:pPr>
      <w:r w:rsidRPr="00A321F0">
        <w:t>adj</w:t>
      </w:r>
      <w:r>
        <w:t>CT</w:t>
      </w:r>
      <w:r w:rsidRPr="00A321F0">
        <w:t>=adjuvant</w:t>
      </w:r>
      <w:r>
        <w:t xml:space="preserve"> chemotherapy</w:t>
      </w:r>
      <w:r w:rsidRPr="00A321F0">
        <w:t>; EFS=event-free survival; HR=hazard ratio</w:t>
      </w:r>
      <w:r>
        <w:t>;</w:t>
      </w:r>
      <w:r w:rsidRPr="002D7981">
        <w:t xml:space="preserve"> </w:t>
      </w:r>
      <w:r w:rsidRPr="00A321F0">
        <w:t>neo</w:t>
      </w:r>
      <w:r>
        <w:t>CT</w:t>
      </w:r>
      <w:r w:rsidRPr="00A321F0">
        <w:t>=neoadjuvant</w:t>
      </w:r>
      <w:r>
        <w:t xml:space="preserve"> chemotherapy</w:t>
      </w:r>
      <w:r w:rsidRPr="00A321F0">
        <w:t xml:space="preserve">; </w:t>
      </w:r>
      <w:r>
        <w:t>neo</w:t>
      </w:r>
      <w:r w:rsidRPr="00A321F0">
        <w:t>NIVO</w:t>
      </w:r>
      <w:r>
        <w:t xml:space="preserve">-CT=neoadjuvant </w:t>
      </w:r>
      <w:r w:rsidRPr="00A321F0">
        <w:t>nivolumab</w:t>
      </w:r>
      <w:r>
        <w:t xml:space="preserve"> plus chemotherapy</w:t>
      </w:r>
      <w:r w:rsidRPr="00A321F0">
        <w:t xml:space="preserve">; </w:t>
      </w:r>
      <w:r>
        <w:t>postadj</w:t>
      </w:r>
      <w:r w:rsidRPr="00A321F0">
        <w:t>ATEZO=</w:t>
      </w:r>
      <w:r>
        <w:t xml:space="preserve">adjuvant </w:t>
      </w:r>
      <w:r w:rsidRPr="00A321F0">
        <w:t>atezolizumab</w:t>
      </w:r>
      <w:r>
        <w:t xml:space="preserve"> following adjuvant CT.</w:t>
      </w:r>
    </w:p>
    <w:p w14:paraId="08A95415" w14:textId="473E9401" w:rsidR="008C07FB" w:rsidRDefault="008C07FB" w:rsidP="008C07FB">
      <w:pPr>
        <w:pStyle w:val="TableFooter"/>
      </w:pPr>
      <w:r w:rsidRPr="00733549">
        <w:rPr>
          <w:vertAlign w:val="superscript"/>
        </w:rPr>
        <w:t>a</w:t>
      </w:r>
      <w:r>
        <w:t xml:space="preserve"> Prior to 7 months, the adjATEZO curve follows the adjCT curve</w:t>
      </w:r>
    </w:p>
    <w:p w14:paraId="466FC170" w14:textId="26A569A6" w:rsidR="008C07FB" w:rsidRDefault="008C07FB" w:rsidP="00E15225">
      <w:pPr>
        <w:pStyle w:val="3-BodyText"/>
        <w:spacing w:before="120"/>
        <w:rPr>
          <w:rFonts w:eastAsia="Calibri"/>
        </w:rPr>
      </w:pPr>
      <w:r w:rsidRPr="008C07FB">
        <w:rPr>
          <w:rFonts w:eastAsia="Calibri"/>
        </w:rPr>
        <w:t>Results of the indirect comparisons are summarised in</w:t>
      </w:r>
      <w:r w:rsidR="00876287">
        <w:rPr>
          <w:rFonts w:eastAsia="Calibri"/>
        </w:rPr>
        <w:t xml:space="preserve"> </w:t>
      </w:r>
      <w:r w:rsidR="00876287">
        <w:rPr>
          <w:rFonts w:eastAsia="Calibri"/>
        </w:rPr>
        <w:fldChar w:fldCharType="begin"/>
      </w:r>
      <w:r w:rsidR="00876287">
        <w:rPr>
          <w:rFonts w:eastAsia="Calibri"/>
        </w:rPr>
        <w:instrText xml:space="preserve"> REF _Ref121061337 \h </w:instrText>
      </w:r>
      <w:r w:rsidR="00876287">
        <w:rPr>
          <w:rFonts w:eastAsia="Calibri"/>
        </w:rPr>
      </w:r>
      <w:r w:rsidR="00876287">
        <w:rPr>
          <w:rFonts w:eastAsia="Calibri"/>
        </w:rPr>
        <w:fldChar w:fldCharType="separate"/>
      </w:r>
      <w:r w:rsidR="00A77D90">
        <w:t xml:space="preserve">Table </w:t>
      </w:r>
      <w:r w:rsidR="00A77D90">
        <w:rPr>
          <w:noProof/>
        </w:rPr>
        <w:t>10</w:t>
      </w:r>
      <w:r w:rsidR="00876287">
        <w:rPr>
          <w:rFonts w:eastAsia="Calibri"/>
        </w:rPr>
        <w:fldChar w:fldCharType="end"/>
      </w:r>
      <w:r w:rsidR="00876287">
        <w:rPr>
          <w:rFonts w:eastAsia="Calibri"/>
        </w:rPr>
        <w:t xml:space="preserve">. </w:t>
      </w:r>
    </w:p>
    <w:p w14:paraId="485CB7CF" w14:textId="12D2734E" w:rsidR="008C07FB" w:rsidRDefault="008C07FB" w:rsidP="008C07FB">
      <w:pPr>
        <w:pStyle w:val="Caption"/>
      </w:pPr>
      <w:bookmarkStart w:id="43" w:name="_Ref121061337"/>
      <w:r>
        <w:t xml:space="preserve">Table </w:t>
      </w:r>
      <w:r w:rsidR="00A77D90">
        <w:fldChar w:fldCharType="begin"/>
      </w:r>
      <w:r w:rsidR="00A77D90">
        <w:instrText xml:space="preserve"> SEQ Table \* ARABIC </w:instrText>
      </w:r>
      <w:r w:rsidR="00A77D90">
        <w:fldChar w:fldCharType="separate"/>
      </w:r>
      <w:r w:rsidR="00A77D90">
        <w:rPr>
          <w:noProof/>
        </w:rPr>
        <w:t>10</w:t>
      </w:r>
      <w:r w:rsidR="00A77D90">
        <w:rPr>
          <w:noProof/>
        </w:rPr>
        <w:fldChar w:fldCharType="end"/>
      </w:r>
      <w:bookmarkEnd w:id="43"/>
      <w:r>
        <w:t>: Modelled indirect comparison of EFS/DFS between neo</w:t>
      </w:r>
      <w:r w:rsidR="00452D64">
        <w:t>NIVO+neoChemo</w:t>
      </w:r>
      <w:r w:rsidRPr="00BA5688">
        <w:t xml:space="preserve"> versus </w:t>
      </w:r>
      <w:r>
        <w:t>adj</w:t>
      </w:r>
      <w:r w:rsidR="00452D64">
        <w:t xml:space="preserve">Chemo+adjATEZO </w:t>
      </w:r>
      <w:r>
        <w:t>– patients with Stage II-IIIA, PD-L1 ≥</w:t>
      </w:r>
      <w:r w:rsidR="00C845F5">
        <w:t xml:space="preserve"> </w:t>
      </w:r>
      <w:r>
        <w:t>50%</w:t>
      </w:r>
    </w:p>
    <w:tbl>
      <w:tblPr>
        <w:tblStyle w:val="TableGrid"/>
        <w:tblW w:w="5000" w:type="pct"/>
        <w:tblLook w:val="04A0" w:firstRow="1" w:lastRow="0" w:firstColumn="1" w:lastColumn="0" w:noHBand="0" w:noVBand="1"/>
      </w:tblPr>
      <w:tblGrid>
        <w:gridCol w:w="1513"/>
        <w:gridCol w:w="3461"/>
        <w:gridCol w:w="4043"/>
      </w:tblGrid>
      <w:tr w:rsidR="008C07FB" w:rsidRPr="003D420D" w14:paraId="4B7D7D9F" w14:textId="77777777" w:rsidTr="00750175">
        <w:trPr>
          <w:cantSplit/>
        </w:trPr>
        <w:tc>
          <w:tcPr>
            <w:tcW w:w="839" w:type="pct"/>
            <w:shd w:val="clear" w:color="auto" w:fill="auto"/>
          </w:tcPr>
          <w:p w14:paraId="28045D0A" w14:textId="77777777" w:rsidR="008C07FB" w:rsidRPr="00AD2940" w:rsidRDefault="008C07FB" w:rsidP="00750175">
            <w:pPr>
              <w:pStyle w:val="Tabletext"/>
              <w:keepNext/>
              <w:rPr>
                <w:b/>
                <w:vertAlign w:val="superscript"/>
              </w:rPr>
            </w:pPr>
            <w:r w:rsidRPr="003D420D">
              <w:rPr>
                <w:b/>
              </w:rPr>
              <w:t>Time period</w:t>
            </w:r>
            <w:r>
              <w:rPr>
                <w:b/>
                <w:vertAlign w:val="superscript"/>
              </w:rPr>
              <w:t>a</w:t>
            </w:r>
          </w:p>
        </w:tc>
        <w:tc>
          <w:tcPr>
            <w:tcW w:w="1919" w:type="pct"/>
            <w:shd w:val="clear" w:color="auto" w:fill="auto"/>
          </w:tcPr>
          <w:p w14:paraId="4A71FE22" w14:textId="77777777" w:rsidR="008C07FB" w:rsidRPr="003D420D" w:rsidRDefault="008C07FB" w:rsidP="00750175">
            <w:pPr>
              <w:pStyle w:val="Tabletext"/>
              <w:keepNext/>
              <w:rPr>
                <w:b/>
              </w:rPr>
            </w:pPr>
            <w:r w:rsidRPr="003D420D">
              <w:rPr>
                <w:b/>
              </w:rPr>
              <w:t>Description</w:t>
            </w:r>
          </w:p>
        </w:tc>
        <w:tc>
          <w:tcPr>
            <w:tcW w:w="2242" w:type="pct"/>
            <w:shd w:val="clear" w:color="auto" w:fill="auto"/>
          </w:tcPr>
          <w:p w14:paraId="122F2C5B" w14:textId="346FE535" w:rsidR="008C07FB" w:rsidRPr="003D420D" w:rsidRDefault="000039B4" w:rsidP="00750175">
            <w:pPr>
              <w:pStyle w:val="Tabletext"/>
              <w:keepNext/>
              <w:rPr>
                <w:b/>
              </w:rPr>
            </w:pPr>
            <w:r>
              <w:rPr>
                <w:b/>
              </w:rPr>
              <w:t>neoNIVO</w:t>
            </w:r>
            <w:r w:rsidR="008C07FB" w:rsidRPr="003D420D">
              <w:rPr>
                <w:b/>
              </w:rPr>
              <w:t>+</w:t>
            </w:r>
            <w:r>
              <w:rPr>
                <w:b/>
              </w:rPr>
              <w:t>neoChemo</w:t>
            </w:r>
            <w:r w:rsidR="008C07FB" w:rsidRPr="003D420D">
              <w:rPr>
                <w:b/>
              </w:rPr>
              <w:t xml:space="preserve"> vs</w:t>
            </w:r>
            <w:r w:rsidR="008C07FB">
              <w:rPr>
                <w:b/>
              </w:rPr>
              <w:t>.</w:t>
            </w:r>
            <w:r w:rsidR="008C07FB" w:rsidRPr="003D420D">
              <w:rPr>
                <w:b/>
              </w:rPr>
              <w:t xml:space="preserve"> </w:t>
            </w:r>
            <w:r w:rsidR="003D24E4">
              <w:rPr>
                <w:b/>
              </w:rPr>
              <w:t>adjChemo</w:t>
            </w:r>
            <w:r w:rsidR="008C07FB">
              <w:rPr>
                <w:b/>
              </w:rPr>
              <w:t>+</w:t>
            </w:r>
            <w:r>
              <w:rPr>
                <w:b/>
              </w:rPr>
              <w:t>adjATEZO</w:t>
            </w:r>
            <w:r w:rsidR="008C07FB">
              <w:rPr>
                <w:b/>
              </w:rPr>
              <w:t>,</w:t>
            </w:r>
          </w:p>
          <w:p w14:paraId="36C555E8" w14:textId="77777777" w:rsidR="008C07FB" w:rsidRPr="003D420D" w:rsidRDefault="008C07FB" w:rsidP="00750175">
            <w:pPr>
              <w:pStyle w:val="Tabletext"/>
              <w:keepNext/>
              <w:rPr>
                <w:b/>
              </w:rPr>
            </w:pPr>
            <w:r w:rsidRPr="003D420D">
              <w:rPr>
                <w:b/>
              </w:rPr>
              <w:t>HR (95% CI)</w:t>
            </w:r>
          </w:p>
        </w:tc>
      </w:tr>
      <w:tr w:rsidR="008C07FB" w:rsidRPr="003D420D" w14:paraId="16BDBCA1" w14:textId="77777777" w:rsidTr="00750175">
        <w:trPr>
          <w:cantSplit/>
        </w:trPr>
        <w:tc>
          <w:tcPr>
            <w:tcW w:w="839" w:type="pct"/>
            <w:shd w:val="clear" w:color="auto" w:fill="auto"/>
          </w:tcPr>
          <w:p w14:paraId="28491C86" w14:textId="77777777" w:rsidR="008C07FB" w:rsidRPr="003D420D" w:rsidRDefault="008C07FB" w:rsidP="00750175">
            <w:pPr>
              <w:pStyle w:val="Tabletext"/>
              <w:keepNext/>
            </w:pPr>
            <w:r w:rsidRPr="003D420D">
              <w:t>0-36 months</w:t>
            </w:r>
          </w:p>
        </w:tc>
        <w:tc>
          <w:tcPr>
            <w:tcW w:w="1919" w:type="pct"/>
            <w:shd w:val="clear" w:color="auto" w:fill="auto"/>
          </w:tcPr>
          <w:p w14:paraId="17D7F967" w14:textId="77777777" w:rsidR="008C07FB" w:rsidRPr="003D420D" w:rsidRDefault="008C07FB" w:rsidP="00750175">
            <w:pPr>
              <w:pStyle w:val="Tabletext"/>
              <w:keepNext/>
            </w:pPr>
            <w:r w:rsidRPr="003D420D">
              <w:t>Full time horizon</w:t>
            </w:r>
          </w:p>
        </w:tc>
        <w:tc>
          <w:tcPr>
            <w:tcW w:w="2242" w:type="pct"/>
            <w:shd w:val="clear" w:color="auto" w:fill="auto"/>
          </w:tcPr>
          <w:p w14:paraId="5387AB26" w14:textId="77777777" w:rsidR="008C07FB" w:rsidRPr="003D420D" w:rsidRDefault="008C07FB" w:rsidP="00750175">
            <w:pPr>
              <w:pStyle w:val="Tabletext"/>
              <w:keepNext/>
            </w:pPr>
            <w:r w:rsidRPr="003D420D">
              <w:t>0.29 (0.11, 0.75)</w:t>
            </w:r>
          </w:p>
        </w:tc>
      </w:tr>
      <w:tr w:rsidR="008C07FB" w:rsidRPr="003D420D" w14:paraId="56BEEAF6" w14:textId="77777777" w:rsidTr="00750175">
        <w:trPr>
          <w:cantSplit/>
        </w:trPr>
        <w:tc>
          <w:tcPr>
            <w:tcW w:w="839" w:type="pct"/>
            <w:shd w:val="clear" w:color="auto" w:fill="auto"/>
          </w:tcPr>
          <w:p w14:paraId="07FA2E94" w14:textId="77777777" w:rsidR="008C07FB" w:rsidRPr="003D420D" w:rsidRDefault="008C07FB" w:rsidP="00750175">
            <w:pPr>
              <w:pStyle w:val="Tabletext"/>
              <w:keepNext/>
            </w:pPr>
            <w:r w:rsidRPr="003D420D">
              <w:t>0-7 months</w:t>
            </w:r>
          </w:p>
        </w:tc>
        <w:tc>
          <w:tcPr>
            <w:tcW w:w="1919" w:type="pct"/>
            <w:shd w:val="clear" w:color="auto" w:fill="auto"/>
          </w:tcPr>
          <w:p w14:paraId="23D99F30" w14:textId="77777777" w:rsidR="008C07FB" w:rsidRPr="003D420D" w:rsidRDefault="008C07FB" w:rsidP="00750175">
            <w:pPr>
              <w:pStyle w:val="Tabletext"/>
              <w:keepNext/>
            </w:pPr>
            <w:r w:rsidRPr="003D420D">
              <w:t>Period before to ATEZO initiation</w:t>
            </w:r>
          </w:p>
        </w:tc>
        <w:tc>
          <w:tcPr>
            <w:tcW w:w="2242" w:type="pct"/>
            <w:shd w:val="clear" w:color="auto" w:fill="auto"/>
          </w:tcPr>
          <w:p w14:paraId="6EBCA97C" w14:textId="77777777" w:rsidR="008C07FB" w:rsidRPr="003D420D" w:rsidRDefault="008C07FB" w:rsidP="00750175">
            <w:pPr>
              <w:pStyle w:val="Tabletext"/>
              <w:keepNext/>
            </w:pPr>
            <w:r w:rsidRPr="003D420D">
              <w:t>0.16 (0.05, 0.46)</w:t>
            </w:r>
          </w:p>
        </w:tc>
      </w:tr>
      <w:tr w:rsidR="008C07FB" w:rsidRPr="003D420D" w14:paraId="6C14CD9D" w14:textId="77777777" w:rsidTr="00750175">
        <w:trPr>
          <w:cantSplit/>
        </w:trPr>
        <w:tc>
          <w:tcPr>
            <w:tcW w:w="839" w:type="pct"/>
            <w:shd w:val="clear" w:color="auto" w:fill="auto"/>
          </w:tcPr>
          <w:p w14:paraId="7548D560" w14:textId="77777777" w:rsidR="008C07FB" w:rsidRPr="003D420D" w:rsidRDefault="008C07FB" w:rsidP="00750175">
            <w:pPr>
              <w:pStyle w:val="Tabletext"/>
              <w:keepNext/>
            </w:pPr>
            <w:r w:rsidRPr="003D420D">
              <w:t>7-36 months</w:t>
            </w:r>
          </w:p>
        </w:tc>
        <w:tc>
          <w:tcPr>
            <w:tcW w:w="1919" w:type="pct"/>
            <w:shd w:val="clear" w:color="auto" w:fill="auto"/>
          </w:tcPr>
          <w:p w14:paraId="062EC74E" w14:textId="77777777" w:rsidR="008C07FB" w:rsidRPr="003D420D" w:rsidRDefault="008C07FB" w:rsidP="00750175">
            <w:pPr>
              <w:pStyle w:val="Tabletext"/>
              <w:keepNext/>
            </w:pPr>
            <w:r w:rsidRPr="003D420D">
              <w:t>Period after ATEZO initiation</w:t>
            </w:r>
          </w:p>
        </w:tc>
        <w:tc>
          <w:tcPr>
            <w:tcW w:w="2242" w:type="pct"/>
            <w:shd w:val="clear" w:color="auto" w:fill="auto"/>
          </w:tcPr>
          <w:p w14:paraId="4BA09F87" w14:textId="77777777" w:rsidR="008C07FB" w:rsidRPr="003D420D" w:rsidRDefault="008C07FB" w:rsidP="00750175">
            <w:pPr>
              <w:pStyle w:val="Tabletext"/>
              <w:keepNext/>
            </w:pPr>
            <w:r w:rsidRPr="003D420D">
              <w:t>0.44 (0.15, 1.24)</w:t>
            </w:r>
          </w:p>
        </w:tc>
      </w:tr>
    </w:tbl>
    <w:p w14:paraId="7520FC7D" w14:textId="77777777" w:rsidR="008C07FB" w:rsidRDefault="008C07FB" w:rsidP="008C07FB">
      <w:pPr>
        <w:pStyle w:val="TableFooter"/>
      </w:pPr>
      <w:r>
        <w:t>Source: Table 66, p102 of the submission</w:t>
      </w:r>
    </w:p>
    <w:p w14:paraId="0D833C60" w14:textId="456C2727" w:rsidR="008C07FB" w:rsidRDefault="003D24E4" w:rsidP="008C07FB">
      <w:pPr>
        <w:pStyle w:val="TableFooter"/>
      </w:pPr>
      <w:r>
        <w:t>adjChemo</w:t>
      </w:r>
      <w:r w:rsidR="008C07FB" w:rsidRPr="003D420D">
        <w:t xml:space="preserve">=adjuvant chemotherapy; </w:t>
      </w:r>
      <w:r w:rsidR="000039B4">
        <w:t>adjATEZO</w:t>
      </w:r>
      <w:r w:rsidR="008C07FB" w:rsidRPr="003D420D">
        <w:t>=</w:t>
      </w:r>
      <w:r w:rsidR="008C07FB">
        <w:t xml:space="preserve">adjuvant </w:t>
      </w:r>
      <w:r w:rsidR="008C07FB" w:rsidRPr="003D420D">
        <w:t xml:space="preserve">atezolizumab; CI=confidence intervals; </w:t>
      </w:r>
      <w:r w:rsidR="008C07FB">
        <w:t xml:space="preserve">DFS=disease free survival; EFS=event free survival; </w:t>
      </w:r>
      <w:r w:rsidR="008C07FB" w:rsidRPr="003D420D">
        <w:t xml:space="preserve">HR=hazard ratio; </w:t>
      </w:r>
      <w:r w:rsidR="000039B4">
        <w:t>neoNIVO</w:t>
      </w:r>
      <w:r w:rsidR="008C07FB" w:rsidRPr="003D420D">
        <w:t>+</w:t>
      </w:r>
      <w:r w:rsidR="000039B4">
        <w:t>neoChemo</w:t>
      </w:r>
      <w:r w:rsidR="008C07FB" w:rsidRPr="003D420D">
        <w:t>=neoadjuvant nivolumab plus chemotherapy</w:t>
      </w:r>
      <w:r w:rsidR="00E13DE6">
        <w:t>; PD-L1</w:t>
      </w:r>
      <w:r w:rsidR="00480D22">
        <w:t>=</w:t>
      </w:r>
      <w:r w:rsidR="00E13DE6">
        <w:t xml:space="preserve"> </w:t>
      </w:r>
      <w:r w:rsidR="00E13DE6" w:rsidRPr="008642AC">
        <w:t xml:space="preserve">programmed cell death </w:t>
      </w:r>
      <w:r w:rsidR="00E13DE6">
        <w:t>l</w:t>
      </w:r>
      <w:r w:rsidR="00E13DE6" w:rsidRPr="008642AC">
        <w:t>igand 1.</w:t>
      </w:r>
    </w:p>
    <w:p w14:paraId="7EAFF72D" w14:textId="37A55DDC" w:rsidR="008C07FB" w:rsidRPr="00CE1153" w:rsidRDefault="00CE1153" w:rsidP="008C07FB">
      <w:pPr>
        <w:pStyle w:val="TableFooter"/>
        <w:rPr>
          <w:szCs w:val="18"/>
          <w:lang w:val="en-US"/>
        </w:rPr>
      </w:pPr>
      <w:r w:rsidRPr="00CE1153">
        <w:rPr>
          <w:b/>
          <w:szCs w:val="18"/>
          <w:vertAlign w:val="superscript"/>
        </w:rPr>
        <w:t>a</w:t>
      </w:r>
      <w:r w:rsidR="008C07FB" w:rsidRPr="00CE1153">
        <w:rPr>
          <w:szCs w:val="18"/>
          <w:lang w:val="en-US"/>
        </w:rPr>
        <w:t xml:space="preserve">The 36-month period was sub-divided into the period pre-atezolizumab initiation (0 to &lt; 7 months) and post-atezolizumab initiation (7 to </w:t>
      </w:r>
      <w:r w:rsidR="00461D53" w:rsidRPr="00CE1153">
        <w:rPr>
          <w:szCs w:val="18"/>
          <w:lang w:val="en-US"/>
        </w:rPr>
        <w:t>36</w:t>
      </w:r>
      <w:r w:rsidR="00461D53">
        <w:rPr>
          <w:szCs w:val="18"/>
          <w:lang w:val="en-US"/>
        </w:rPr>
        <w:t> </w:t>
      </w:r>
      <w:r w:rsidR="008C07FB" w:rsidRPr="00CE1153">
        <w:rPr>
          <w:szCs w:val="18"/>
          <w:lang w:val="en-US"/>
        </w:rPr>
        <w:t>months)</w:t>
      </w:r>
      <w:r w:rsidR="00876287" w:rsidRPr="00CE1153">
        <w:rPr>
          <w:szCs w:val="18"/>
          <w:lang w:val="en-US"/>
        </w:rPr>
        <w:t>.</w:t>
      </w:r>
    </w:p>
    <w:p w14:paraId="0BA6B525" w14:textId="434A1CB8" w:rsidR="00876287" w:rsidRPr="00876287" w:rsidRDefault="00876287" w:rsidP="00E15225">
      <w:pPr>
        <w:pStyle w:val="3-BodyText"/>
        <w:spacing w:before="120"/>
        <w:rPr>
          <w:rFonts w:eastAsia="Calibri"/>
        </w:rPr>
      </w:pPr>
      <w:r w:rsidRPr="000A6E90">
        <w:rPr>
          <w:rFonts w:eastAsia="Calibri"/>
        </w:rPr>
        <w:t xml:space="preserve">The ITC was complex, with substantial modelling or adjustment of the observed data, and was based on several </w:t>
      </w:r>
      <w:r w:rsidR="00494612" w:rsidRPr="000A6E90">
        <w:rPr>
          <w:rFonts w:eastAsia="Calibri"/>
        </w:rPr>
        <w:t>untested</w:t>
      </w:r>
      <w:r w:rsidRPr="000A6E90">
        <w:rPr>
          <w:rFonts w:eastAsia="Calibri"/>
        </w:rPr>
        <w:t xml:space="preserve"> assumptions. The modelled ITC approach essentially ignore</w:t>
      </w:r>
      <w:r w:rsidR="00285FF1" w:rsidRPr="000A6E90">
        <w:rPr>
          <w:rFonts w:eastAsia="Calibri"/>
        </w:rPr>
        <w:t>d</w:t>
      </w:r>
      <w:r w:rsidRPr="000A6E90">
        <w:rPr>
          <w:rFonts w:eastAsia="Calibri"/>
        </w:rPr>
        <w:t xml:space="preserve"> the several differences in study design, patient, and disease characteristics across the CM816, NATCH, and IMpower010 trials.</w:t>
      </w:r>
      <w:r w:rsidR="00285FF1" w:rsidRPr="000A6E90">
        <w:rPr>
          <w:rFonts w:eastAsia="Calibri"/>
        </w:rPr>
        <w:t xml:space="preserve"> Therefore, </w:t>
      </w:r>
      <w:r w:rsidR="00BA073F">
        <w:rPr>
          <w:rFonts w:eastAsia="Calibri"/>
        </w:rPr>
        <w:t xml:space="preserve">the evaluation concluded that </w:t>
      </w:r>
      <w:r w:rsidR="00285FF1" w:rsidRPr="000A6E90">
        <w:rPr>
          <w:rFonts w:eastAsia="Calibri"/>
        </w:rPr>
        <w:t xml:space="preserve">no firm conclusions </w:t>
      </w:r>
      <w:r w:rsidR="00BA073F">
        <w:rPr>
          <w:rFonts w:eastAsia="Calibri"/>
        </w:rPr>
        <w:t>could</w:t>
      </w:r>
      <w:r w:rsidR="00285FF1" w:rsidRPr="000A6E90">
        <w:rPr>
          <w:rFonts w:eastAsia="Calibri"/>
        </w:rPr>
        <w:t xml:space="preserve"> be made on the direction and magnitude of comparative effectiveness</w:t>
      </w:r>
      <w:r w:rsidR="00837493" w:rsidRPr="000A6E90">
        <w:rPr>
          <w:rFonts w:eastAsia="Calibri"/>
        </w:rPr>
        <w:t xml:space="preserve"> between the neoadjuvant </w:t>
      </w:r>
      <w:r w:rsidR="00494612" w:rsidRPr="000A6E90">
        <w:rPr>
          <w:rFonts w:eastAsia="Calibri"/>
        </w:rPr>
        <w:t xml:space="preserve">use of nivolumab </w:t>
      </w:r>
      <w:r w:rsidR="00837493" w:rsidRPr="000A6E90">
        <w:rPr>
          <w:rFonts w:eastAsia="Calibri"/>
        </w:rPr>
        <w:t xml:space="preserve">and adjuvant use of </w:t>
      </w:r>
      <w:r w:rsidR="00494612" w:rsidRPr="000A6E90">
        <w:rPr>
          <w:rFonts w:eastAsia="Calibri"/>
        </w:rPr>
        <w:t xml:space="preserve">atezolizumab </w:t>
      </w:r>
      <w:r w:rsidR="00837493" w:rsidRPr="000A6E90">
        <w:rPr>
          <w:rFonts w:eastAsia="Calibri"/>
        </w:rPr>
        <w:t>in NSCLC</w:t>
      </w:r>
      <w:r w:rsidR="00285FF1" w:rsidRPr="000A6E90">
        <w:rPr>
          <w:rFonts w:eastAsia="Calibri"/>
        </w:rPr>
        <w:t>.</w:t>
      </w:r>
      <w:r w:rsidR="00482286">
        <w:rPr>
          <w:rFonts w:eastAsia="Calibri"/>
        </w:rPr>
        <w:t xml:space="preserve"> </w:t>
      </w:r>
      <w:r w:rsidR="009C692D">
        <w:rPr>
          <w:rFonts w:eastAsia="Calibri"/>
        </w:rPr>
        <w:t>The pre-PBAC response argued that the ITC made use of the best available evidence and acknowledged the limitations compared to a traditional Butcher ITC.</w:t>
      </w:r>
    </w:p>
    <w:p w14:paraId="6CE830C1" w14:textId="77777777" w:rsidR="00876287" w:rsidRPr="002729BC" w:rsidRDefault="00876287" w:rsidP="00876287">
      <w:pPr>
        <w:pStyle w:val="4-SubsectionHeading"/>
      </w:pPr>
      <w:bookmarkStart w:id="44" w:name="_Toc101281143"/>
      <w:bookmarkStart w:id="45" w:name="_Toc124932956"/>
      <w:r w:rsidRPr="002729BC">
        <w:t>Comparative harms</w:t>
      </w:r>
      <w:bookmarkEnd w:id="44"/>
      <w:bookmarkEnd w:id="45"/>
    </w:p>
    <w:p w14:paraId="22A34251" w14:textId="66500E71" w:rsidR="00876287" w:rsidRPr="00BD32C6" w:rsidRDefault="00876287" w:rsidP="00750175">
      <w:pPr>
        <w:pStyle w:val="3-BodyText"/>
        <w:rPr>
          <w:rFonts w:eastAsia="Calibri"/>
        </w:rPr>
      </w:pPr>
      <w:r w:rsidRPr="00BD32C6">
        <w:rPr>
          <w:rFonts w:eastAsia="Calibri"/>
        </w:rPr>
        <w:t xml:space="preserve">A summary of </w:t>
      </w:r>
      <w:r w:rsidR="008C568D">
        <w:rPr>
          <w:rFonts w:eastAsia="Calibri"/>
        </w:rPr>
        <w:t xml:space="preserve">overall </w:t>
      </w:r>
      <w:r w:rsidR="00BD32C6">
        <w:rPr>
          <w:rFonts w:eastAsia="Calibri"/>
        </w:rPr>
        <w:t>adverse events (</w:t>
      </w:r>
      <w:r w:rsidRPr="00BD32C6">
        <w:rPr>
          <w:rFonts w:eastAsia="Calibri"/>
        </w:rPr>
        <w:t>AEs</w:t>
      </w:r>
      <w:r w:rsidR="00BD32C6">
        <w:rPr>
          <w:rFonts w:eastAsia="Calibri"/>
        </w:rPr>
        <w:t>)</w:t>
      </w:r>
      <w:r w:rsidRPr="00BD32C6">
        <w:rPr>
          <w:rFonts w:eastAsia="Calibri"/>
        </w:rPr>
        <w:t xml:space="preserve"> in CM816 is presented in</w:t>
      </w:r>
      <w:r w:rsidR="00BD32C6" w:rsidRPr="00BD32C6">
        <w:rPr>
          <w:rFonts w:eastAsia="Calibri"/>
        </w:rPr>
        <w:t xml:space="preserve"> </w:t>
      </w:r>
      <w:r w:rsidR="00BD32C6" w:rsidRPr="00BD32C6">
        <w:rPr>
          <w:rFonts w:eastAsia="Calibri"/>
        </w:rPr>
        <w:fldChar w:fldCharType="begin"/>
      </w:r>
      <w:r w:rsidR="00BD32C6" w:rsidRPr="00BD32C6">
        <w:rPr>
          <w:rFonts w:eastAsia="Calibri"/>
        </w:rPr>
        <w:instrText xml:space="preserve"> REF _Ref121061902 \h </w:instrText>
      </w:r>
      <w:r w:rsidR="00BD32C6" w:rsidRPr="00BD32C6">
        <w:rPr>
          <w:rFonts w:eastAsia="Calibri"/>
        </w:rPr>
      </w:r>
      <w:r w:rsidR="00BD32C6" w:rsidRPr="00BD32C6">
        <w:rPr>
          <w:rFonts w:eastAsia="Calibri"/>
        </w:rPr>
        <w:fldChar w:fldCharType="separate"/>
      </w:r>
      <w:r w:rsidR="00A77D90">
        <w:t xml:space="preserve">Table </w:t>
      </w:r>
      <w:r w:rsidR="00A77D90">
        <w:rPr>
          <w:noProof/>
        </w:rPr>
        <w:t>11</w:t>
      </w:r>
      <w:r w:rsidR="00BD32C6" w:rsidRPr="00BD32C6">
        <w:rPr>
          <w:rFonts w:eastAsia="Calibri"/>
        </w:rPr>
        <w:fldChar w:fldCharType="end"/>
      </w:r>
      <w:r w:rsidR="00BD32C6" w:rsidRPr="00BD32C6">
        <w:rPr>
          <w:rFonts w:eastAsia="Calibri"/>
        </w:rPr>
        <w:t>. Frequently r</w:t>
      </w:r>
      <w:r w:rsidR="008C568D">
        <w:rPr>
          <w:rFonts w:eastAsia="Calibri"/>
        </w:rPr>
        <w:t>eported treatment-related AEs (</w:t>
      </w:r>
      <w:r w:rsidR="00BD32C6" w:rsidRPr="00BD32C6">
        <w:rPr>
          <w:rFonts w:eastAsia="Calibri"/>
        </w:rPr>
        <w:t>≥</w:t>
      </w:r>
      <w:r w:rsidR="005B6087">
        <w:rPr>
          <w:rFonts w:eastAsia="Calibri"/>
        </w:rPr>
        <w:t xml:space="preserve"> </w:t>
      </w:r>
      <w:r w:rsidR="00BD32C6" w:rsidRPr="00BD32C6">
        <w:rPr>
          <w:rFonts w:eastAsia="Calibri"/>
        </w:rPr>
        <w:t xml:space="preserve">15% of patients in any </w:t>
      </w:r>
      <w:r w:rsidR="00BD32C6">
        <w:rPr>
          <w:rFonts w:eastAsia="Calibri"/>
        </w:rPr>
        <w:t>t</w:t>
      </w:r>
      <w:r w:rsidR="00BD32C6" w:rsidRPr="00BD32C6">
        <w:rPr>
          <w:rFonts w:eastAsia="Calibri"/>
        </w:rPr>
        <w:t xml:space="preserve">reatment </w:t>
      </w:r>
      <w:r w:rsidR="00BD32C6">
        <w:rPr>
          <w:rFonts w:eastAsia="Calibri"/>
        </w:rPr>
        <w:t>arm</w:t>
      </w:r>
      <w:r w:rsidR="00BD32C6" w:rsidRPr="00BD32C6">
        <w:rPr>
          <w:rFonts w:eastAsia="Calibri"/>
        </w:rPr>
        <w:t xml:space="preserve">) </w:t>
      </w:r>
      <w:r w:rsidR="00CE0F60">
        <w:rPr>
          <w:rFonts w:eastAsia="Calibri"/>
        </w:rPr>
        <w:t xml:space="preserve">in CM816 </w:t>
      </w:r>
      <w:r w:rsidR="00BD32C6" w:rsidRPr="00BD32C6">
        <w:rPr>
          <w:rFonts w:eastAsia="Calibri"/>
        </w:rPr>
        <w:t>are summarised in</w:t>
      </w:r>
      <w:r w:rsidR="008C568D">
        <w:rPr>
          <w:rFonts w:eastAsia="Calibri"/>
        </w:rPr>
        <w:t xml:space="preserve"> </w:t>
      </w:r>
      <w:r w:rsidR="008C568D">
        <w:rPr>
          <w:rFonts w:eastAsia="Calibri"/>
        </w:rPr>
        <w:fldChar w:fldCharType="begin"/>
      </w:r>
      <w:r w:rsidR="008C568D">
        <w:rPr>
          <w:rFonts w:eastAsia="Calibri"/>
        </w:rPr>
        <w:instrText xml:space="preserve"> REF _Ref121395561 \h </w:instrText>
      </w:r>
      <w:r w:rsidR="008C568D">
        <w:rPr>
          <w:rFonts w:eastAsia="Calibri"/>
        </w:rPr>
      </w:r>
      <w:r w:rsidR="008C568D">
        <w:rPr>
          <w:rFonts w:eastAsia="Calibri"/>
        </w:rPr>
        <w:fldChar w:fldCharType="separate"/>
      </w:r>
      <w:r w:rsidR="00A77D90">
        <w:t xml:space="preserve">Table </w:t>
      </w:r>
      <w:r w:rsidR="00A77D90">
        <w:rPr>
          <w:noProof/>
        </w:rPr>
        <w:t>12</w:t>
      </w:r>
      <w:r w:rsidR="008C568D">
        <w:rPr>
          <w:rFonts w:eastAsia="Calibri"/>
        </w:rPr>
        <w:fldChar w:fldCharType="end"/>
      </w:r>
      <w:r w:rsidR="00BD32C6">
        <w:rPr>
          <w:rFonts w:eastAsia="Calibri"/>
        </w:rPr>
        <w:t xml:space="preserve">. </w:t>
      </w:r>
    </w:p>
    <w:p w14:paraId="6C33EDF9" w14:textId="74137151" w:rsidR="00876287" w:rsidRPr="00DE3AA7" w:rsidRDefault="00876287" w:rsidP="00876287">
      <w:pPr>
        <w:pStyle w:val="Caption"/>
      </w:pPr>
      <w:bookmarkStart w:id="46" w:name="_Ref121061902"/>
      <w:r>
        <w:t xml:space="preserve">Table </w:t>
      </w:r>
      <w:r w:rsidR="00A77D90">
        <w:fldChar w:fldCharType="begin"/>
      </w:r>
      <w:r w:rsidR="00A77D90">
        <w:instrText xml:space="preserve"> SEQ Table \* ARABIC </w:instrText>
      </w:r>
      <w:r w:rsidR="00A77D90">
        <w:fldChar w:fldCharType="separate"/>
      </w:r>
      <w:r w:rsidR="00A77D90">
        <w:rPr>
          <w:noProof/>
        </w:rPr>
        <w:t>11</w:t>
      </w:r>
      <w:r w:rsidR="00A77D90">
        <w:rPr>
          <w:noProof/>
        </w:rPr>
        <w:fldChar w:fldCharType="end"/>
      </w:r>
      <w:bookmarkEnd w:id="46"/>
      <w:r>
        <w:t>: Summary of a</w:t>
      </w:r>
      <w:r w:rsidRPr="00DE3AA7">
        <w:t>dverse events</w:t>
      </w:r>
      <w:r>
        <w:t xml:space="preserve"> reported in CM816</w:t>
      </w:r>
    </w:p>
    <w:tbl>
      <w:tblPr>
        <w:tblStyle w:val="TableGrid"/>
        <w:tblW w:w="5000" w:type="pct"/>
        <w:tblLook w:val="04A0" w:firstRow="1" w:lastRow="0" w:firstColumn="1" w:lastColumn="0" w:noHBand="0" w:noVBand="1"/>
      </w:tblPr>
      <w:tblGrid>
        <w:gridCol w:w="3254"/>
        <w:gridCol w:w="1986"/>
        <w:gridCol w:w="1701"/>
        <w:gridCol w:w="2076"/>
      </w:tblGrid>
      <w:tr w:rsidR="00876287" w:rsidRPr="00B01D8A" w14:paraId="7C560709" w14:textId="77777777" w:rsidTr="00A50136">
        <w:tc>
          <w:tcPr>
            <w:tcW w:w="1805" w:type="pct"/>
            <w:shd w:val="clear" w:color="auto" w:fill="auto"/>
          </w:tcPr>
          <w:p w14:paraId="1F3D4D6A" w14:textId="77777777" w:rsidR="00876287" w:rsidRPr="00B01D8A" w:rsidRDefault="00876287" w:rsidP="00750175">
            <w:pPr>
              <w:pStyle w:val="Tabletext"/>
              <w:rPr>
                <w:rFonts w:eastAsiaTheme="minorHAnsi"/>
                <w:b/>
              </w:rPr>
            </w:pPr>
          </w:p>
        </w:tc>
        <w:tc>
          <w:tcPr>
            <w:tcW w:w="1101" w:type="pct"/>
            <w:shd w:val="clear" w:color="auto" w:fill="auto"/>
          </w:tcPr>
          <w:p w14:paraId="0DCF9AFA" w14:textId="76EC388E" w:rsidR="00876287" w:rsidRPr="00B01D8A" w:rsidRDefault="000039B4" w:rsidP="00750175">
            <w:pPr>
              <w:pStyle w:val="Tabletext"/>
              <w:rPr>
                <w:rFonts w:eastAsiaTheme="minorHAnsi"/>
                <w:b/>
              </w:rPr>
            </w:pPr>
            <w:r>
              <w:rPr>
                <w:rFonts w:eastAsiaTheme="minorHAnsi"/>
                <w:b/>
              </w:rPr>
              <w:t>neoNIVO</w:t>
            </w:r>
            <w:r w:rsidR="00876287" w:rsidRPr="00B01D8A">
              <w:rPr>
                <w:rFonts w:eastAsiaTheme="minorHAnsi"/>
                <w:b/>
              </w:rPr>
              <w:t>+</w:t>
            </w:r>
            <w:r>
              <w:rPr>
                <w:rFonts w:eastAsiaTheme="minorHAnsi"/>
                <w:b/>
              </w:rPr>
              <w:t>neoChemo</w:t>
            </w:r>
            <w:r w:rsidR="00876287" w:rsidRPr="00B01D8A">
              <w:rPr>
                <w:rFonts w:eastAsiaTheme="minorHAnsi"/>
                <w:b/>
              </w:rPr>
              <w:t xml:space="preserve"> (N=176)</w:t>
            </w:r>
          </w:p>
        </w:tc>
        <w:tc>
          <w:tcPr>
            <w:tcW w:w="943" w:type="pct"/>
            <w:shd w:val="clear" w:color="auto" w:fill="auto"/>
          </w:tcPr>
          <w:p w14:paraId="70791686" w14:textId="111C5AF9" w:rsidR="00876287" w:rsidRPr="00B01D8A" w:rsidRDefault="000039B4" w:rsidP="00750175">
            <w:pPr>
              <w:pStyle w:val="Tabletext"/>
              <w:rPr>
                <w:rFonts w:eastAsiaTheme="minorHAnsi"/>
                <w:b/>
              </w:rPr>
            </w:pPr>
            <w:r>
              <w:rPr>
                <w:rFonts w:eastAsiaTheme="minorHAnsi"/>
                <w:b/>
              </w:rPr>
              <w:t>neoChemo</w:t>
            </w:r>
            <w:r w:rsidR="00876287" w:rsidRPr="00B01D8A">
              <w:rPr>
                <w:rFonts w:eastAsiaTheme="minorHAnsi"/>
                <w:b/>
              </w:rPr>
              <w:t xml:space="preserve"> (N=176)</w:t>
            </w:r>
          </w:p>
        </w:tc>
        <w:tc>
          <w:tcPr>
            <w:tcW w:w="1151" w:type="pct"/>
            <w:shd w:val="clear" w:color="auto" w:fill="auto"/>
          </w:tcPr>
          <w:p w14:paraId="70620B3D" w14:textId="2505C074" w:rsidR="00876287" w:rsidRPr="00B01D8A" w:rsidRDefault="00494612" w:rsidP="00750175">
            <w:pPr>
              <w:pStyle w:val="Tabletext"/>
              <w:rPr>
                <w:rFonts w:eastAsiaTheme="minorHAnsi"/>
                <w:b/>
              </w:rPr>
            </w:pPr>
            <w:r>
              <w:rPr>
                <w:rFonts w:eastAsiaTheme="minorHAnsi"/>
                <w:b/>
              </w:rPr>
              <w:t>RR (95% CI)</w:t>
            </w:r>
            <w:r w:rsidR="00C845F5">
              <w:rPr>
                <w:rFonts w:eastAsiaTheme="minorHAnsi"/>
                <w:b/>
              </w:rPr>
              <w:t>, p-value</w:t>
            </w:r>
          </w:p>
        </w:tc>
      </w:tr>
      <w:tr w:rsidR="00876287" w:rsidRPr="00B01D8A" w14:paraId="04375B0B" w14:textId="77777777" w:rsidTr="00A50136">
        <w:tc>
          <w:tcPr>
            <w:tcW w:w="1805" w:type="pct"/>
            <w:shd w:val="clear" w:color="auto" w:fill="auto"/>
          </w:tcPr>
          <w:p w14:paraId="0B58E96C" w14:textId="49A0862C" w:rsidR="00876287" w:rsidRPr="00B01D8A" w:rsidRDefault="00876287" w:rsidP="00750175">
            <w:pPr>
              <w:pStyle w:val="Tabletext"/>
              <w:rPr>
                <w:rFonts w:eastAsiaTheme="minorHAnsi"/>
              </w:rPr>
            </w:pPr>
            <w:r w:rsidRPr="00B01D8A">
              <w:t>Any adverse event (all-caus</w:t>
            </w:r>
            <w:r w:rsidR="00B111D7">
              <w:t>e</w:t>
            </w:r>
            <w:r w:rsidRPr="00B01D8A">
              <w:t>)</w:t>
            </w:r>
            <w:r w:rsidR="009E3C98">
              <w:rPr>
                <w:rFonts w:eastAsiaTheme="minorHAnsi"/>
                <w:b/>
              </w:rPr>
              <w:t xml:space="preserve"> </w:t>
            </w:r>
          </w:p>
        </w:tc>
        <w:tc>
          <w:tcPr>
            <w:tcW w:w="1101" w:type="pct"/>
            <w:shd w:val="clear" w:color="auto" w:fill="auto"/>
          </w:tcPr>
          <w:p w14:paraId="6CFF7F2A" w14:textId="77777777" w:rsidR="00876287" w:rsidRPr="00B01D8A" w:rsidRDefault="00876287" w:rsidP="00750175">
            <w:pPr>
              <w:pStyle w:val="Tabletext"/>
              <w:rPr>
                <w:rFonts w:eastAsiaTheme="minorHAnsi"/>
              </w:rPr>
            </w:pPr>
            <w:r w:rsidRPr="00B01D8A">
              <w:rPr>
                <w:rFonts w:eastAsiaTheme="minorHAnsi"/>
              </w:rPr>
              <w:t>163 (93%)</w:t>
            </w:r>
          </w:p>
        </w:tc>
        <w:tc>
          <w:tcPr>
            <w:tcW w:w="943" w:type="pct"/>
            <w:shd w:val="clear" w:color="auto" w:fill="auto"/>
          </w:tcPr>
          <w:p w14:paraId="20BE7189" w14:textId="77777777" w:rsidR="00876287" w:rsidRPr="00B01D8A" w:rsidRDefault="00876287" w:rsidP="00750175">
            <w:pPr>
              <w:pStyle w:val="Tabletext"/>
              <w:rPr>
                <w:rFonts w:eastAsiaTheme="minorHAnsi"/>
              </w:rPr>
            </w:pPr>
            <w:r w:rsidRPr="00B01D8A">
              <w:rPr>
                <w:rFonts w:eastAsiaTheme="minorHAnsi"/>
              </w:rPr>
              <w:t>171 (97%)</w:t>
            </w:r>
          </w:p>
        </w:tc>
        <w:tc>
          <w:tcPr>
            <w:tcW w:w="1151" w:type="pct"/>
            <w:shd w:val="clear" w:color="auto" w:fill="auto"/>
          </w:tcPr>
          <w:p w14:paraId="4516513D" w14:textId="77777777" w:rsidR="00876287" w:rsidRPr="00B01D8A" w:rsidRDefault="00876287" w:rsidP="00750175">
            <w:pPr>
              <w:pStyle w:val="Tabletext"/>
              <w:rPr>
                <w:rFonts w:eastAsiaTheme="minorHAnsi"/>
              </w:rPr>
            </w:pPr>
            <w:r w:rsidRPr="00B01D8A">
              <w:rPr>
                <w:rFonts w:eastAsiaTheme="minorHAnsi"/>
              </w:rPr>
              <w:t>0.95 (0.90, 1.0), p=0.05</w:t>
            </w:r>
          </w:p>
        </w:tc>
      </w:tr>
      <w:tr w:rsidR="00876287" w:rsidRPr="00B01D8A" w14:paraId="742858EE" w14:textId="77777777" w:rsidTr="00A50136">
        <w:tc>
          <w:tcPr>
            <w:tcW w:w="1805" w:type="pct"/>
            <w:shd w:val="clear" w:color="auto" w:fill="auto"/>
          </w:tcPr>
          <w:p w14:paraId="5AAC6C38" w14:textId="50D6D161" w:rsidR="00876287" w:rsidRPr="00B01D8A" w:rsidRDefault="00876287" w:rsidP="00750175">
            <w:pPr>
              <w:pStyle w:val="Tabletext"/>
              <w:rPr>
                <w:rFonts w:eastAsiaTheme="minorHAnsi"/>
              </w:rPr>
            </w:pPr>
            <w:r w:rsidRPr="00B01D8A">
              <w:t>Any adverse event ≥ Grade 3 (all-caus</w:t>
            </w:r>
            <w:r w:rsidR="00B111D7">
              <w:t>e</w:t>
            </w:r>
            <w:r w:rsidRPr="00B01D8A">
              <w:t>)</w:t>
            </w:r>
          </w:p>
        </w:tc>
        <w:tc>
          <w:tcPr>
            <w:tcW w:w="1101" w:type="pct"/>
            <w:shd w:val="clear" w:color="auto" w:fill="auto"/>
          </w:tcPr>
          <w:p w14:paraId="23C0752A" w14:textId="77777777" w:rsidR="00876287" w:rsidRPr="00B01D8A" w:rsidRDefault="00876287" w:rsidP="00750175">
            <w:pPr>
              <w:pStyle w:val="Tabletext"/>
              <w:rPr>
                <w:rFonts w:eastAsiaTheme="minorHAnsi"/>
              </w:rPr>
            </w:pPr>
            <w:r w:rsidRPr="00B01D8A">
              <w:rPr>
                <w:rFonts w:eastAsiaTheme="minorHAnsi"/>
              </w:rPr>
              <w:t>72 (41%)</w:t>
            </w:r>
          </w:p>
        </w:tc>
        <w:tc>
          <w:tcPr>
            <w:tcW w:w="943" w:type="pct"/>
            <w:shd w:val="clear" w:color="auto" w:fill="auto"/>
          </w:tcPr>
          <w:p w14:paraId="295B976A" w14:textId="77777777" w:rsidR="00876287" w:rsidRPr="00B01D8A" w:rsidRDefault="00876287" w:rsidP="00750175">
            <w:pPr>
              <w:pStyle w:val="Tabletext"/>
              <w:rPr>
                <w:rFonts w:eastAsiaTheme="minorHAnsi"/>
              </w:rPr>
            </w:pPr>
            <w:r w:rsidRPr="00B01D8A">
              <w:rPr>
                <w:rFonts w:eastAsiaTheme="minorHAnsi"/>
              </w:rPr>
              <w:t>77 (44%)</w:t>
            </w:r>
          </w:p>
        </w:tc>
        <w:tc>
          <w:tcPr>
            <w:tcW w:w="1151" w:type="pct"/>
            <w:shd w:val="clear" w:color="auto" w:fill="auto"/>
          </w:tcPr>
          <w:p w14:paraId="39CC781A" w14:textId="77777777" w:rsidR="00876287" w:rsidRPr="00B01D8A" w:rsidRDefault="00876287" w:rsidP="00750175">
            <w:pPr>
              <w:pStyle w:val="Tabletext"/>
              <w:rPr>
                <w:rFonts w:eastAsiaTheme="minorHAnsi"/>
              </w:rPr>
            </w:pPr>
            <w:r w:rsidRPr="00B01D8A">
              <w:rPr>
                <w:rFonts w:eastAsiaTheme="minorHAnsi"/>
              </w:rPr>
              <w:t>0.93 (0.73, 1.2), p=0.58</w:t>
            </w:r>
          </w:p>
        </w:tc>
      </w:tr>
      <w:tr w:rsidR="00876287" w:rsidRPr="00B01D8A" w14:paraId="1C361F88" w14:textId="77777777" w:rsidTr="00A50136">
        <w:tc>
          <w:tcPr>
            <w:tcW w:w="1805" w:type="pct"/>
            <w:shd w:val="clear" w:color="auto" w:fill="auto"/>
          </w:tcPr>
          <w:p w14:paraId="4AE89A59" w14:textId="5C2B4450" w:rsidR="00876287" w:rsidRPr="00B01D8A" w:rsidRDefault="00876287" w:rsidP="00750175">
            <w:pPr>
              <w:pStyle w:val="Tabletext"/>
              <w:rPr>
                <w:rFonts w:eastAsiaTheme="minorHAnsi"/>
              </w:rPr>
            </w:pPr>
            <w:r w:rsidRPr="00B01D8A">
              <w:t>Adverse events resulting in treatment discontinuation (all-caus</w:t>
            </w:r>
            <w:r w:rsidR="00B111D7">
              <w:t>e</w:t>
            </w:r>
            <w:r w:rsidRPr="00B01D8A">
              <w:t>)</w:t>
            </w:r>
          </w:p>
        </w:tc>
        <w:tc>
          <w:tcPr>
            <w:tcW w:w="1101" w:type="pct"/>
            <w:shd w:val="clear" w:color="auto" w:fill="auto"/>
          </w:tcPr>
          <w:p w14:paraId="587613C9" w14:textId="77777777" w:rsidR="00876287" w:rsidRPr="00B01D8A" w:rsidRDefault="00876287" w:rsidP="00750175">
            <w:pPr>
              <w:pStyle w:val="Tabletext"/>
              <w:rPr>
                <w:rFonts w:eastAsiaTheme="minorHAnsi"/>
              </w:rPr>
            </w:pPr>
            <w:r w:rsidRPr="00B01D8A">
              <w:rPr>
                <w:rFonts w:eastAsiaTheme="minorHAnsi"/>
              </w:rPr>
              <w:t>18 (10%)</w:t>
            </w:r>
          </w:p>
        </w:tc>
        <w:tc>
          <w:tcPr>
            <w:tcW w:w="943" w:type="pct"/>
            <w:shd w:val="clear" w:color="auto" w:fill="auto"/>
          </w:tcPr>
          <w:p w14:paraId="44E1DC7D" w14:textId="77777777" w:rsidR="00876287" w:rsidRPr="00B01D8A" w:rsidRDefault="00876287" w:rsidP="00750175">
            <w:pPr>
              <w:pStyle w:val="Tabletext"/>
              <w:rPr>
                <w:rFonts w:eastAsiaTheme="minorHAnsi"/>
              </w:rPr>
            </w:pPr>
            <w:r w:rsidRPr="00B01D8A">
              <w:rPr>
                <w:rFonts w:eastAsiaTheme="minorHAnsi"/>
              </w:rPr>
              <w:t>20 (11%)</w:t>
            </w:r>
          </w:p>
        </w:tc>
        <w:tc>
          <w:tcPr>
            <w:tcW w:w="1151" w:type="pct"/>
            <w:shd w:val="clear" w:color="auto" w:fill="auto"/>
          </w:tcPr>
          <w:p w14:paraId="27D4726A" w14:textId="77777777" w:rsidR="00876287" w:rsidRPr="00B01D8A" w:rsidRDefault="00876287" w:rsidP="00750175">
            <w:pPr>
              <w:pStyle w:val="Tabletext"/>
              <w:rPr>
                <w:rFonts w:eastAsiaTheme="minorHAnsi"/>
              </w:rPr>
            </w:pPr>
            <w:r w:rsidRPr="00B01D8A">
              <w:rPr>
                <w:rFonts w:eastAsiaTheme="minorHAnsi"/>
              </w:rPr>
              <w:t>0.90 (0.49, 1.6), p=0.73</w:t>
            </w:r>
          </w:p>
        </w:tc>
      </w:tr>
      <w:tr w:rsidR="00876287" w:rsidRPr="00B01D8A" w14:paraId="2CCB08EA" w14:textId="77777777" w:rsidTr="00A50136">
        <w:tc>
          <w:tcPr>
            <w:tcW w:w="1805" w:type="pct"/>
            <w:shd w:val="clear" w:color="auto" w:fill="auto"/>
          </w:tcPr>
          <w:p w14:paraId="636461C5" w14:textId="77777777" w:rsidR="00876287" w:rsidRPr="00B01D8A" w:rsidRDefault="00876287" w:rsidP="00750175">
            <w:pPr>
              <w:pStyle w:val="Tabletext"/>
            </w:pPr>
            <w:r w:rsidRPr="00B01D8A">
              <w:t>Adverse events resulting in treatment discontinuation (</w:t>
            </w:r>
            <w:r>
              <w:t>treatment</w:t>
            </w:r>
            <w:r w:rsidRPr="00B01D8A">
              <w:t>-related)</w:t>
            </w:r>
          </w:p>
        </w:tc>
        <w:tc>
          <w:tcPr>
            <w:tcW w:w="1101" w:type="pct"/>
            <w:shd w:val="clear" w:color="auto" w:fill="auto"/>
          </w:tcPr>
          <w:p w14:paraId="1D07B9B4" w14:textId="77777777" w:rsidR="00876287" w:rsidRPr="00B01D8A" w:rsidRDefault="00876287" w:rsidP="00750175">
            <w:pPr>
              <w:pStyle w:val="Tabletext"/>
              <w:rPr>
                <w:rFonts w:eastAsiaTheme="minorHAnsi"/>
              </w:rPr>
            </w:pPr>
            <w:r w:rsidRPr="00B01D8A">
              <w:rPr>
                <w:rFonts w:eastAsiaTheme="minorHAnsi"/>
              </w:rPr>
              <w:t>18 (10%)</w:t>
            </w:r>
          </w:p>
        </w:tc>
        <w:tc>
          <w:tcPr>
            <w:tcW w:w="943" w:type="pct"/>
            <w:shd w:val="clear" w:color="auto" w:fill="auto"/>
          </w:tcPr>
          <w:p w14:paraId="4C6C00E3" w14:textId="77777777" w:rsidR="00876287" w:rsidRPr="00B01D8A" w:rsidRDefault="00876287" w:rsidP="00750175">
            <w:pPr>
              <w:pStyle w:val="Tabletext"/>
              <w:rPr>
                <w:rFonts w:eastAsiaTheme="minorHAnsi"/>
              </w:rPr>
            </w:pPr>
            <w:r w:rsidRPr="00B01D8A">
              <w:rPr>
                <w:rFonts w:eastAsiaTheme="minorHAnsi"/>
              </w:rPr>
              <w:t>17 (10%)</w:t>
            </w:r>
          </w:p>
        </w:tc>
        <w:tc>
          <w:tcPr>
            <w:tcW w:w="1151" w:type="pct"/>
            <w:shd w:val="clear" w:color="auto" w:fill="auto"/>
          </w:tcPr>
          <w:p w14:paraId="666ADDC7" w14:textId="77777777" w:rsidR="00876287" w:rsidRPr="00B01D8A" w:rsidRDefault="00876287" w:rsidP="00750175">
            <w:pPr>
              <w:pStyle w:val="Tabletext"/>
              <w:rPr>
                <w:rFonts w:eastAsiaTheme="minorHAnsi"/>
              </w:rPr>
            </w:pPr>
            <w:r w:rsidRPr="00B01D8A">
              <w:rPr>
                <w:rFonts w:eastAsiaTheme="minorHAnsi"/>
              </w:rPr>
              <w:t>1.06 (0.56, 2.0), p=0.85</w:t>
            </w:r>
          </w:p>
        </w:tc>
      </w:tr>
      <w:tr w:rsidR="00876287" w:rsidRPr="00B01D8A" w14:paraId="49D6DCC8" w14:textId="77777777" w:rsidTr="00A50136">
        <w:tc>
          <w:tcPr>
            <w:tcW w:w="1805" w:type="pct"/>
            <w:shd w:val="clear" w:color="auto" w:fill="auto"/>
          </w:tcPr>
          <w:p w14:paraId="0421C8E3" w14:textId="77777777" w:rsidR="00876287" w:rsidRPr="007270DA" w:rsidRDefault="00876287" w:rsidP="00750175">
            <w:pPr>
              <w:pStyle w:val="Tabletext"/>
              <w:rPr>
                <w:vertAlign w:val="superscript"/>
              </w:rPr>
            </w:pPr>
            <w:r w:rsidRPr="00B01D8A">
              <w:t xml:space="preserve">Deaths due to </w:t>
            </w:r>
            <w:r>
              <w:t>treatment-related</w:t>
            </w:r>
            <w:r w:rsidRPr="00B01D8A">
              <w:t xml:space="preserve"> toxicity</w:t>
            </w:r>
            <w:r w:rsidR="007270DA">
              <w:rPr>
                <w:vertAlign w:val="superscript"/>
              </w:rPr>
              <w:t>a</w:t>
            </w:r>
          </w:p>
        </w:tc>
        <w:tc>
          <w:tcPr>
            <w:tcW w:w="1101" w:type="pct"/>
            <w:shd w:val="clear" w:color="auto" w:fill="auto"/>
          </w:tcPr>
          <w:p w14:paraId="1F2451B5" w14:textId="77777777" w:rsidR="00876287" w:rsidRPr="00B01D8A" w:rsidRDefault="00876287" w:rsidP="00750175">
            <w:pPr>
              <w:pStyle w:val="Tabletext"/>
              <w:rPr>
                <w:rFonts w:eastAsiaTheme="minorHAnsi"/>
              </w:rPr>
            </w:pPr>
            <w:r w:rsidRPr="00B01D8A">
              <w:rPr>
                <w:rFonts w:eastAsiaTheme="minorHAnsi"/>
              </w:rPr>
              <w:t>0</w:t>
            </w:r>
          </w:p>
        </w:tc>
        <w:tc>
          <w:tcPr>
            <w:tcW w:w="943" w:type="pct"/>
            <w:shd w:val="clear" w:color="auto" w:fill="auto"/>
          </w:tcPr>
          <w:p w14:paraId="4F5F4ACB" w14:textId="77777777" w:rsidR="00876287" w:rsidRPr="00B01D8A" w:rsidRDefault="00876287" w:rsidP="00750175">
            <w:pPr>
              <w:pStyle w:val="Tabletext"/>
              <w:rPr>
                <w:rFonts w:eastAsiaTheme="minorHAnsi"/>
              </w:rPr>
            </w:pPr>
            <w:r w:rsidRPr="00B01D8A">
              <w:rPr>
                <w:rFonts w:eastAsiaTheme="minorHAnsi"/>
              </w:rPr>
              <w:t>3 (2%)</w:t>
            </w:r>
          </w:p>
        </w:tc>
        <w:tc>
          <w:tcPr>
            <w:tcW w:w="1151" w:type="pct"/>
            <w:shd w:val="clear" w:color="auto" w:fill="auto"/>
          </w:tcPr>
          <w:p w14:paraId="15C536E0" w14:textId="77777777" w:rsidR="00876287" w:rsidRPr="00B01D8A" w:rsidRDefault="00876287" w:rsidP="00750175">
            <w:pPr>
              <w:pStyle w:val="Tabletext"/>
              <w:rPr>
                <w:rFonts w:eastAsiaTheme="minorHAnsi"/>
              </w:rPr>
            </w:pPr>
            <w:r w:rsidRPr="00B01D8A">
              <w:rPr>
                <w:rFonts w:eastAsiaTheme="minorHAnsi"/>
              </w:rPr>
              <w:t>0.14 (0.001, 2.7), p=0.20</w:t>
            </w:r>
          </w:p>
        </w:tc>
      </w:tr>
      <w:tr w:rsidR="00876287" w:rsidRPr="00B01D8A" w14:paraId="29B4E568" w14:textId="77777777" w:rsidTr="00A50136">
        <w:tc>
          <w:tcPr>
            <w:tcW w:w="1805" w:type="pct"/>
            <w:shd w:val="clear" w:color="auto" w:fill="auto"/>
          </w:tcPr>
          <w:p w14:paraId="52E0C157" w14:textId="77777777" w:rsidR="00876287" w:rsidRPr="008C568D" w:rsidRDefault="00876287" w:rsidP="007270DA">
            <w:pPr>
              <w:pStyle w:val="Tabletext"/>
              <w:rPr>
                <w:vertAlign w:val="superscript"/>
              </w:rPr>
            </w:pPr>
            <w:r w:rsidRPr="00BD159F">
              <w:t>Surgery related adverse events</w:t>
            </w:r>
            <w:r w:rsidR="007270DA">
              <w:rPr>
                <w:vertAlign w:val="superscript"/>
              </w:rPr>
              <w:t>b</w:t>
            </w:r>
          </w:p>
        </w:tc>
        <w:tc>
          <w:tcPr>
            <w:tcW w:w="1101" w:type="pct"/>
          </w:tcPr>
          <w:p w14:paraId="13661AE6" w14:textId="77777777" w:rsidR="00876287" w:rsidRPr="00B01D8A" w:rsidRDefault="00876287" w:rsidP="00750175">
            <w:pPr>
              <w:pStyle w:val="Tabletext"/>
              <w:rPr>
                <w:rFonts w:eastAsiaTheme="minorHAnsi"/>
              </w:rPr>
            </w:pPr>
            <w:r>
              <w:rPr>
                <w:rFonts w:eastAsiaTheme="minorHAnsi"/>
              </w:rPr>
              <w:t>62/149 (42%)</w:t>
            </w:r>
          </w:p>
        </w:tc>
        <w:tc>
          <w:tcPr>
            <w:tcW w:w="943" w:type="pct"/>
          </w:tcPr>
          <w:p w14:paraId="4F22996F" w14:textId="77777777" w:rsidR="00876287" w:rsidRPr="00B01D8A" w:rsidRDefault="00876287" w:rsidP="00750175">
            <w:pPr>
              <w:pStyle w:val="Tabletext"/>
              <w:rPr>
                <w:rFonts w:eastAsiaTheme="minorHAnsi"/>
              </w:rPr>
            </w:pPr>
            <w:r>
              <w:rPr>
                <w:rFonts w:eastAsiaTheme="minorHAnsi"/>
              </w:rPr>
              <w:t>63/135 (47%)</w:t>
            </w:r>
          </w:p>
        </w:tc>
        <w:tc>
          <w:tcPr>
            <w:tcW w:w="1151" w:type="pct"/>
          </w:tcPr>
          <w:p w14:paraId="7D6513C8" w14:textId="77777777" w:rsidR="00876287" w:rsidRPr="00B01D8A" w:rsidRDefault="00876287" w:rsidP="00750175">
            <w:pPr>
              <w:pStyle w:val="Tabletext"/>
              <w:rPr>
                <w:rFonts w:eastAsiaTheme="minorHAnsi"/>
              </w:rPr>
            </w:pPr>
            <w:r>
              <w:rPr>
                <w:rFonts w:eastAsiaTheme="minorHAnsi"/>
              </w:rPr>
              <w:t>0.89 (0.69, 1.16), p=0.39</w:t>
            </w:r>
          </w:p>
        </w:tc>
      </w:tr>
    </w:tbl>
    <w:p w14:paraId="1BD1831A" w14:textId="4FB3D840" w:rsidR="00876287" w:rsidRDefault="00876287" w:rsidP="00876287">
      <w:pPr>
        <w:pStyle w:val="TableFooter"/>
        <w:rPr>
          <w:rFonts w:eastAsiaTheme="minorHAnsi"/>
        </w:rPr>
      </w:pPr>
      <w:r>
        <w:rPr>
          <w:rFonts w:eastAsiaTheme="minorHAnsi"/>
        </w:rPr>
        <w:t>Source: Table 68, p</w:t>
      </w:r>
      <w:r w:rsidR="009B77F1">
        <w:rPr>
          <w:rFonts w:eastAsiaTheme="minorHAnsi"/>
        </w:rPr>
        <w:t>p</w:t>
      </w:r>
      <w:r>
        <w:rPr>
          <w:rFonts w:eastAsiaTheme="minorHAnsi"/>
        </w:rPr>
        <w:t>104</w:t>
      </w:r>
      <w:r w:rsidR="009B77F1">
        <w:rPr>
          <w:rFonts w:eastAsiaTheme="minorHAnsi"/>
        </w:rPr>
        <w:t>-105</w:t>
      </w:r>
      <w:r>
        <w:rPr>
          <w:rFonts w:eastAsiaTheme="minorHAnsi"/>
        </w:rPr>
        <w:t xml:space="preserve"> of the submission.</w:t>
      </w:r>
    </w:p>
    <w:p w14:paraId="4F9F3863" w14:textId="79CAF4F7" w:rsidR="00876287" w:rsidRDefault="00876287" w:rsidP="00876287">
      <w:pPr>
        <w:pStyle w:val="TableFooter"/>
        <w:rPr>
          <w:rFonts w:eastAsiaTheme="minorHAnsi"/>
        </w:rPr>
      </w:pPr>
      <w:r>
        <w:rPr>
          <w:rFonts w:eastAsiaTheme="minorHAnsi"/>
        </w:rPr>
        <w:t xml:space="preserve">Chemo=chemotherapy; </w:t>
      </w:r>
      <w:r w:rsidR="000039B4">
        <w:rPr>
          <w:rFonts w:eastAsiaTheme="minorHAnsi"/>
        </w:rPr>
        <w:t>neo</w:t>
      </w:r>
      <w:r>
        <w:rPr>
          <w:rFonts w:eastAsiaTheme="minorHAnsi"/>
        </w:rPr>
        <w:t xml:space="preserve">=neoadjuvant; NIVO=nivolumab; </w:t>
      </w:r>
      <w:r w:rsidRPr="00DE3AA7">
        <w:rPr>
          <w:rFonts w:eastAsiaTheme="minorHAnsi"/>
        </w:rPr>
        <w:t>RR=relative risk</w:t>
      </w:r>
      <w:r>
        <w:rPr>
          <w:rFonts w:eastAsiaTheme="minorHAnsi"/>
        </w:rPr>
        <w:t>.</w:t>
      </w:r>
    </w:p>
    <w:p w14:paraId="2A4313CB" w14:textId="77777777" w:rsidR="007270DA" w:rsidRDefault="00876287" w:rsidP="007270DA">
      <w:pPr>
        <w:pStyle w:val="TableFooter"/>
        <w:keepNext/>
        <w:rPr>
          <w:rFonts w:eastAsiaTheme="minorHAnsi"/>
        </w:rPr>
      </w:pPr>
      <w:r>
        <w:rPr>
          <w:rFonts w:eastAsiaTheme="minorHAnsi"/>
        </w:rPr>
        <w:t>A</w:t>
      </w:r>
      <w:r w:rsidRPr="009E0799">
        <w:rPr>
          <w:rFonts w:eastAsiaTheme="minorHAnsi"/>
        </w:rPr>
        <w:t xml:space="preserve">dverse events were coded using the worst grade per National Cancer Institute Common Terminology Criteria for Adverse Events (CTCAE) v 4.0 criteria by system organ class and preferred term based on </w:t>
      </w:r>
      <w:r w:rsidRPr="00BD159F">
        <w:rPr>
          <w:rFonts w:eastAsiaTheme="minorHAnsi"/>
        </w:rPr>
        <w:t>Medical Dictionary for Regulatory Activities</w:t>
      </w:r>
      <w:r w:rsidRPr="00BD159F">
        <w:rPr>
          <w:rFonts w:eastAsiaTheme="minorHAnsi"/>
          <w:lang w:val="en"/>
        </w:rPr>
        <w:t xml:space="preserve"> </w:t>
      </w:r>
      <w:r>
        <w:rPr>
          <w:rFonts w:eastAsiaTheme="minorHAnsi"/>
          <w:lang w:val="en"/>
        </w:rPr>
        <w:t>(</w:t>
      </w:r>
      <w:r w:rsidRPr="009E0799">
        <w:rPr>
          <w:rFonts w:eastAsiaTheme="minorHAnsi"/>
        </w:rPr>
        <w:t>MedDRA</w:t>
      </w:r>
      <w:r>
        <w:rPr>
          <w:rFonts w:eastAsiaTheme="minorHAnsi"/>
        </w:rPr>
        <w:t>)</w:t>
      </w:r>
      <w:r w:rsidRPr="009E0799">
        <w:rPr>
          <w:rFonts w:eastAsiaTheme="minorHAnsi"/>
        </w:rPr>
        <w:t xml:space="preserve"> terminology v 24.0</w:t>
      </w:r>
      <w:r>
        <w:rPr>
          <w:rFonts w:eastAsiaTheme="minorHAnsi"/>
        </w:rPr>
        <w:t>.</w:t>
      </w:r>
    </w:p>
    <w:p w14:paraId="6A5B26D0" w14:textId="54E89AAC" w:rsidR="007270DA" w:rsidRPr="007270DA" w:rsidRDefault="007270DA" w:rsidP="007270DA">
      <w:pPr>
        <w:pStyle w:val="TableFooter"/>
        <w:keepNext/>
        <w:rPr>
          <w:rFonts w:eastAsiaTheme="minorHAnsi"/>
        </w:rPr>
      </w:pPr>
      <w:r>
        <w:rPr>
          <w:rFonts w:eastAsiaTheme="minorHAnsi"/>
          <w:vertAlign w:val="superscript"/>
        </w:rPr>
        <w:t>a</w:t>
      </w:r>
      <w:r w:rsidRPr="007270DA">
        <w:rPr>
          <w:rFonts w:eastAsiaTheme="minorHAnsi"/>
        </w:rPr>
        <w:t>Treatment-related deaths in the chemotherapy-alone group were due to pancytopenia, diarrhoea, acute kidney injury (all</w:t>
      </w:r>
      <w:r>
        <w:rPr>
          <w:rFonts w:eastAsiaTheme="minorHAnsi"/>
        </w:rPr>
        <w:t xml:space="preserve"> </w:t>
      </w:r>
      <w:r w:rsidRPr="007270DA">
        <w:rPr>
          <w:rFonts w:eastAsiaTheme="minorHAnsi"/>
        </w:rPr>
        <w:t>in one patient), enterocolitis, and pneumonia</w:t>
      </w:r>
      <w:r w:rsidR="00A23538">
        <w:rPr>
          <w:rFonts w:eastAsiaTheme="minorHAnsi"/>
        </w:rPr>
        <w:t>.</w:t>
      </w:r>
    </w:p>
    <w:p w14:paraId="45ECF21F" w14:textId="77777777" w:rsidR="008C568D" w:rsidRDefault="007270DA" w:rsidP="007270DA">
      <w:pPr>
        <w:pStyle w:val="TableFooter"/>
        <w:keepNext/>
        <w:rPr>
          <w:rFonts w:eastAsiaTheme="minorHAnsi"/>
        </w:rPr>
      </w:pPr>
      <w:r>
        <w:rPr>
          <w:rFonts w:eastAsiaTheme="minorHAnsi"/>
          <w:vertAlign w:val="superscript"/>
        </w:rPr>
        <w:t>b</w:t>
      </w:r>
      <w:r w:rsidR="008C568D" w:rsidRPr="008C568D">
        <w:rPr>
          <w:rFonts w:eastAsiaTheme="minorHAnsi"/>
        </w:rPr>
        <w:t>The denominators are based on patients who underwent definitive surgery. Included are events reported up to 90 days</w:t>
      </w:r>
      <w:r w:rsidR="008C568D">
        <w:rPr>
          <w:rFonts w:eastAsiaTheme="minorHAnsi"/>
        </w:rPr>
        <w:t xml:space="preserve"> </w:t>
      </w:r>
      <w:r>
        <w:rPr>
          <w:rFonts w:eastAsiaTheme="minorHAnsi"/>
        </w:rPr>
        <w:t>after definitive surgery.</w:t>
      </w:r>
    </w:p>
    <w:p w14:paraId="6E782AEA" w14:textId="6D051E39" w:rsidR="008C568D" w:rsidRDefault="008C568D" w:rsidP="00A23538">
      <w:pPr>
        <w:pStyle w:val="Caption"/>
        <w:spacing w:before="120"/>
      </w:pPr>
      <w:bookmarkStart w:id="47" w:name="_Ref121395561"/>
      <w:r>
        <w:t xml:space="preserve">Table </w:t>
      </w:r>
      <w:r w:rsidR="00A77D90">
        <w:fldChar w:fldCharType="begin"/>
      </w:r>
      <w:r w:rsidR="00A77D90">
        <w:instrText xml:space="preserve"> SEQ Table \* ARABIC </w:instrText>
      </w:r>
      <w:r w:rsidR="00A77D90">
        <w:fldChar w:fldCharType="separate"/>
      </w:r>
      <w:r w:rsidR="00A77D90">
        <w:rPr>
          <w:noProof/>
        </w:rPr>
        <w:t>12</w:t>
      </w:r>
      <w:r w:rsidR="00A77D90">
        <w:rPr>
          <w:noProof/>
        </w:rPr>
        <w:fldChar w:fldCharType="end"/>
      </w:r>
      <w:bookmarkEnd w:id="47"/>
      <w:r>
        <w:t>: Frequently reported treatment-related adverse events (</w:t>
      </w:r>
      <w:r w:rsidRPr="00BD32C6">
        <w:t>≥</w:t>
      </w:r>
      <w:r w:rsidR="00A23538">
        <w:t xml:space="preserve"> </w:t>
      </w:r>
      <w:r w:rsidRPr="00BD32C6">
        <w:t>15% of patients in any</w:t>
      </w:r>
      <w:r>
        <w:t xml:space="preserve"> </w:t>
      </w:r>
      <w:r w:rsidRPr="00BD32C6">
        <w:t xml:space="preserve">treatment </w:t>
      </w:r>
      <w:r>
        <w:t>arm) - CM816</w:t>
      </w:r>
    </w:p>
    <w:tbl>
      <w:tblPr>
        <w:tblStyle w:val="TableGrid"/>
        <w:tblW w:w="5000" w:type="pct"/>
        <w:tblLook w:val="04A0" w:firstRow="1" w:lastRow="0" w:firstColumn="1" w:lastColumn="0" w:noHBand="0" w:noVBand="1"/>
      </w:tblPr>
      <w:tblGrid>
        <w:gridCol w:w="2255"/>
        <w:gridCol w:w="1690"/>
        <w:gridCol w:w="1692"/>
        <w:gridCol w:w="1690"/>
        <w:gridCol w:w="1690"/>
      </w:tblGrid>
      <w:tr w:rsidR="008C568D" w14:paraId="5002F06A" w14:textId="77777777" w:rsidTr="00494612">
        <w:trPr>
          <w:cantSplit/>
        </w:trPr>
        <w:tc>
          <w:tcPr>
            <w:tcW w:w="1250" w:type="pct"/>
            <w:vMerge w:val="restart"/>
            <w:shd w:val="clear" w:color="auto" w:fill="auto"/>
          </w:tcPr>
          <w:p w14:paraId="131347C0" w14:textId="77777777" w:rsidR="008C568D" w:rsidRPr="00CA2997" w:rsidRDefault="008C568D" w:rsidP="005973DA">
            <w:pPr>
              <w:pStyle w:val="Tabletext"/>
              <w:keepNext/>
            </w:pPr>
          </w:p>
        </w:tc>
        <w:tc>
          <w:tcPr>
            <w:tcW w:w="1875" w:type="pct"/>
            <w:gridSpan w:val="2"/>
            <w:shd w:val="clear" w:color="auto" w:fill="auto"/>
          </w:tcPr>
          <w:p w14:paraId="65B44439" w14:textId="16D4B7AD" w:rsidR="008C568D" w:rsidRPr="00CA2997" w:rsidRDefault="000039B4" w:rsidP="005973DA">
            <w:pPr>
              <w:pStyle w:val="Tabletext"/>
              <w:keepNext/>
            </w:pPr>
            <w:r>
              <w:rPr>
                <w:rFonts w:eastAsiaTheme="minorHAnsi"/>
                <w:b/>
              </w:rPr>
              <w:t>neoNIVO</w:t>
            </w:r>
            <w:r w:rsidR="008C568D" w:rsidRPr="00B01D8A">
              <w:rPr>
                <w:rFonts w:eastAsiaTheme="minorHAnsi"/>
                <w:b/>
              </w:rPr>
              <w:t>+</w:t>
            </w:r>
            <w:r>
              <w:rPr>
                <w:rFonts w:eastAsiaTheme="minorHAnsi"/>
                <w:b/>
              </w:rPr>
              <w:t>neoChemo</w:t>
            </w:r>
            <w:r w:rsidR="008C568D" w:rsidRPr="00B01D8A">
              <w:rPr>
                <w:rFonts w:eastAsiaTheme="minorHAnsi"/>
                <w:b/>
              </w:rPr>
              <w:t xml:space="preserve"> (N=176)</w:t>
            </w:r>
          </w:p>
        </w:tc>
        <w:tc>
          <w:tcPr>
            <w:tcW w:w="1874" w:type="pct"/>
            <w:gridSpan w:val="2"/>
            <w:shd w:val="clear" w:color="auto" w:fill="auto"/>
          </w:tcPr>
          <w:p w14:paraId="4FAA36BE" w14:textId="2233A743" w:rsidR="008C568D" w:rsidRPr="00CA2997" w:rsidRDefault="000039B4" w:rsidP="005973DA">
            <w:pPr>
              <w:pStyle w:val="Tabletext"/>
              <w:keepNext/>
            </w:pPr>
            <w:r>
              <w:rPr>
                <w:rFonts w:eastAsiaTheme="minorHAnsi"/>
                <w:b/>
              </w:rPr>
              <w:t>neoChemo</w:t>
            </w:r>
            <w:r w:rsidR="008C568D" w:rsidRPr="00B01D8A">
              <w:rPr>
                <w:rFonts w:eastAsiaTheme="minorHAnsi"/>
                <w:b/>
              </w:rPr>
              <w:t xml:space="preserve"> (N=176)</w:t>
            </w:r>
          </w:p>
        </w:tc>
      </w:tr>
      <w:tr w:rsidR="008C568D" w14:paraId="3C24A85E" w14:textId="77777777" w:rsidTr="00494612">
        <w:trPr>
          <w:cantSplit/>
        </w:trPr>
        <w:tc>
          <w:tcPr>
            <w:tcW w:w="1250" w:type="pct"/>
            <w:vMerge/>
            <w:tcBorders>
              <w:bottom w:val="single" w:sz="4" w:space="0" w:color="auto"/>
            </w:tcBorders>
            <w:shd w:val="clear" w:color="auto" w:fill="auto"/>
          </w:tcPr>
          <w:p w14:paraId="1BCDE0BC" w14:textId="77777777" w:rsidR="008C568D" w:rsidRPr="00CA2997" w:rsidRDefault="008C568D" w:rsidP="005973DA">
            <w:pPr>
              <w:pStyle w:val="Tabletext"/>
              <w:keepNext/>
            </w:pPr>
          </w:p>
        </w:tc>
        <w:tc>
          <w:tcPr>
            <w:tcW w:w="937" w:type="pct"/>
            <w:shd w:val="clear" w:color="auto" w:fill="auto"/>
          </w:tcPr>
          <w:p w14:paraId="4433580D" w14:textId="77777777" w:rsidR="008C568D" w:rsidRPr="0004462D" w:rsidRDefault="008C568D" w:rsidP="005973DA">
            <w:pPr>
              <w:pStyle w:val="Tabletext"/>
              <w:keepNext/>
              <w:rPr>
                <w:b/>
              </w:rPr>
            </w:pPr>
            <w:r w:rsidRPr="0004462D">
              <w:rPr>
                <w:b/>
              </w:rPr>
              <w:t>Any Grade</w:t>
            </w:r>
          </w:p>
        </w:tc>
        <w:tc>
          <w:tcPr>
            <w:tcW w:w="938" w:type="pct"/>
            <w:shd w:val="clear" w:color="auto" w:fill="auto"/>
          </w:tcPr>
          <w:p w14:paraId="00C5B6B4" w14:textId="77777777" w:rsidR="008C568D" w:rsidRPr="0004462D" w:rsidRDefault="008C568D" w:rsidP="005973DA">
            <w:pPr>
              <w:pStyle w:val="Tabletext"/>
              <w:keepNext/>
              <w:rPr>
                <w:b/>
              </w:rPr>
            </w:pPr>
            <w:r w:rsidRPr="0004462D">
              <w:rPr>
                <w:b/>
              </w:rPr>
              <w:t>Grade 3-4</w:t>
            </w:r>
          </w:p>
        </w:tc>
        <w:tc>
          <w:tcPr>
            <w:tcW w:w="937" w:type="pct"/>
            <w:shd w:val="clear" w:color="auto" w:fill="auto"/>
          </w:tcPr>
          <w:p w14:paraId="3BFED1E9" w14:textId="77777777" w:rsidR="008C568D" w:rsidRPr="0004462D" w:rsidRDefault="008C568D" w:rsidP="005973DA">
            <w:pPr>
              <w:pStyle w:val="Tabletext"/>
              <w:keepNext/>
              <w:rPr>
                <w:b/>
              </w:rPr>
            </w:pPr>
            <w:r w:rsidRPr="0004462D">
              <w:rPr>
                <w:b/>
              </w:rPr>
              <w:t>Any Grade</w:t>
            </w:r>
          </w:p>
        </w:tc>
        <w:tc>
          <w:tcPr>
            <w:tcW w:w="937" w:type="pct"/>
            <w:shd w:val="clear" w:color="auto" w:fill="auto"/>
          </w:tcPr>
          <w:p w14:paraId="39C7AC2A" w14:textId="77777777" w:rsidR="008C568D" w:rsidRPr="0004462D" w:rsidRDefault="008C568D" w:rsidP="005973DA">
            <w:pPr>
              <w:pStyle w:val="Tabletext"/>
              <w:keepNext/>
              <w:rPr>
                <w:b/>
              </w:rPr>
            </w:pPr>
            <w:r w:rsidRPr="0004462D">
              <w:rPr>
                <w:b/>
              </w:rPr>
              <w:t>Grade 3-4</w:t>
            </w:r>
          </w:p>
        </w:tc>
      </w:tr>
      <w:tr w:rsidR="008C568D" w14:paraId="0F24E2AC" w14:textId="77777777" w:rsidTr="00494612">
        <w:trPr>
          <w:cantSplit/>
        </w:trPr>
        <w:tc>
          <w:tcPr>
            <w:tcW w:w="1250" w:type="pct"/>
            <w:tcBorders>
              <w:top w:val="single" w:sz="4" w:space="0" w:color="auto"/>
            </w:tcBorders>
            <w:shd w:val="clear" w:color="auto" w:fill="auto"/>
          </w:tcPr>
          <w:p w14:paraId="655BE135" w14:textId="006491D1" w:rsidR="008C568D" w:rsidRPr="00CA2997" w:rsidRDefault="009B77F1" w:rsidP="005973DA">
            <w:pPr>
              <w:pStyle w:val="Tabletext"/>
              <w:keepNext/>
            </w:pPr>
            <w:r w:rsidRPr="00CA2997">
              <w:t>Treatment-related adverse events</w:t>
            </w:r>
          </w:p>
        </w:tc>
        <w:tc>
          <w:tcPr>
            <w:tcW w:w="937" w:type="pct"/>
            <w:shd w:val="clear" w:color="auto" w:fill="auto"/>
          </w:tcPr>
          <w:p w14:paraId="10DB9DE6" w14:textId="77777777" w:rsidR="008C568D" w:rsidRPr="00CA2997" w:rsidRDefault="008C568D" w:rsidP="005973DA">
            <w:pPr>
              <w:pStyle w:val="Tabletext"/>
              <w:keepNext/>
            </w:pPr>
            <w:r w:rsidRPr="00CA2997">
              <w:t>145 (82%)</w:t>
            </w:r>
          </w:p>
        </w:tc>
        <w:tc>
          <w:tcPr>
            <w:tcW w:w="938" w:type="pct"/>
            <w:shd w:val="clear" w:color="auto" w:fill="auto"/>
          </w:tcPr>
          <w:p w14:paraId="54454CC1" w14:textId="77777777" w:rsidR="008C568D" w:rsidRPr="00CA2997" w:rsidRDefault="008C568D" w:rsidP="005973DA">
            <w:pPr>
              <w:pStyle w:val="Tabletext"/>
              <w:keepNext/>
            </w:pPr>
            <w:r w:rsidRPr="00CA2997">
              <w:t>59 (34%)</w:t>
            </w:r>
          </w:p>
        </w:tc>
        <w:tc>
          <w:tcPr>
            <w:tcW w:w="937" w:type="pct"/>
            <w:shd w:val="clear" w:color="auto" w:fill="auto"/>
          </w:tcPr>
          <w:p w14:paraId="019E7DE8" w14:textId="77777777" w:rsidR="008C568D" w:rsidRPr="00CA2997" w:rsidRDefault="008C568D" w:rsidP="005973DA">
            <w:pPr>
              <w:pStyle w:val="Tabletext"/>
              <w:keepNext/>
            </w:pPr>
            <w:r w:rsidRPr="00CA2997">
              <w:t>156 (89%)</w:t>
            </w:r>
          </w:p>
        </w:tc>
        <w:tc>
          <w:tcPr>
            <w:tcW w:w="937" w:type="pct"/>
            <w:shd w:val="clear" w:color="auto" w:fill="auto"/>
          </w:tcPr>
          <w:p w14:paraId="3850CF13" w14:textId="77777777" w:rsidR="008C568D" w:rsidRPr="00CA2997" w:rsidRDefault="008C568D" w:rsidP="005973DA">
            <w:pPr>
              <w:pStyle w:val="Tabletext"/>
              <w:keepNext/>
            </w:pPr>
            <w:r w:rsidRPr="00CA2997">
              <w:t>65 (37%)</w:t>
            </w:r>
          </w:p>
        </w:tc>
      </w:tr>
      <w:tr w:rsidR="008C568D" w14:paraId="73990E26" w14:textId="77777777" w:rsidTr="00494612">
        <w:trPr>
          <w:cantSplit/>
        </w:trPr>
        <w:tc>
          <w:tcPr>
            <w:tcW w:w="1250" w:type="pct"/>
            <w:shd w:val="clear" w:color="auto" w:fill="auto"/>
          </w:tcPr>
          <w:p w14:paraId="1518AC77" w14:textId="77777777" w:rsidR="008C568D" w:rsidRPr="00CA2997" w:rsidRDefault="008C568D" w:rsidP="005973DA">
            <w:pPr>
              <w:pStyle w:val="Tabletext"/>
              <w:keepNext/>
            </w:pPr>
            <w:r w:rsidRPr="00CA2997">
              <w:t>Nausea</w:t>
            </w:r>
          </w:p>
        </w:tc>
        <w:tc>
          <w:tcPr>
            <w:tcW w:w="937" w:type="pct"/>
            <w:shd w:val="clear" w:color="auto" w:fill="auto"/>
          </w:tcPr>
          <w:p w14:paraId="6E9D0BBF" w14:textId="77777777" w:rsidR="008C568D" w:rsidRPr="00CA2997" w:rsidRDefault="008C568D" w:rsidP="005973DA">
            <w:pPr>
              <w:pStyle w:val="Tabletext"/>
              <w:keepNext/>
            </w:pPr>
            <w:r w:rsidRPr="00CA2997">
              <w:t>58 (33%)</w:t>
            </w:r>
          </w:p>
        </w:tc>
        <w:tc>
          <w:tcPr>
            <w:tcW w:w="938" w:type="pct"/>
            <w:shd w:val="clear" w:color="auto" w:fill="auto"/>
          </w:tcPr>
          <w:p w14:paraId="19D89946" w14:textId="77777777" w:rsidR="008C568D" w:rsidRPr="00CA2997" w:rsidRDefault="008C568D" w:rsidP="005973DA">
            <w:pPr>
              <w:pStyle w:val="Tabletext"/>
              <w:keepNext/>
            </w:pPr>
            <w:r w:rsidRPr="00CA2997">
              <w:t>1 (</w:t>
            </w:r>
            <w:r>
              <w:t>1</w:t>
            </w:r>
            <w:r w:rsidRPr="00CA2997">
              <w:t>%)</w:t>
            </w:r>
          </w:p>
        </w:tc>
        <w:tc>
          <w:tcPr>
            <w:tcW w:w="937" w:type="pct"/>
            <w:shd w:val="clear" w:color="auto" w:fill="auto"/>
          </w:tcPr>
          <w:p w14:paraId="257CC1B6" w14:textId="77777777" w:rsidR="008C568D" w:rsidRPr="00CA2997" w:rsidRDefault="008C568D" w:rsidP="005973DA">
            <w:pPr>
              <w:pStyle w:val="Tabletext"/>
              <w:keepNext/>
            </w:pPr>
            <w:r w:rsidRPr="00CA2997">
              <w:t>73 (42%)</w:t>
            </w:r>
          </w:p>
        </w:tc>
        <w:tc>
          <w:tcPr>
            <w:tcW w:w="937" w:type="pct"/>
            <w:shd w:val="clear" w:color="auto" w:fill="auto"/>
          </w:tcPr>
          <w:p w14:paraId="3E202E32" w14:textId="77777777" w:rsidR="008C568D" w:rsidRPr="00CA2997" w:rsidRDefault="008C568D" w:rsidP="005973DA">
            <w:pPr>
              <w:pStyle w:val="Tabletext"/>
              <w:keepNext/>
            </w:pPr>
            <w:r w:rsidRPr="00CA2997">
              <w:t>1 (</w:t>
            </w:r>
            <w:r>
              <w:t>1</w:t>
            </w:r>
            <w:r w:rsidRPr="00CA2997">
              <w:t>%)</w:t>
            </w:r>
          </w:p>
        </w:tc>
      </w:tr>
      <w:tr w:rsidR="008C568D" w14:paraId="36618A96" w14:textId="77777777" w:rsidTr="00494612">
        <w:trPr>
          <w:cantSplit/>
        </w:trPr>
        <w:tc>
          <w:tcPr>
            <w:tcW w:w="1250" w:type="pct"/>
            <w:shd w:val="clear" w:color="auto" w:fill="auto"/>
          </w:tcPr>
          <w:p w14:paraId="51C0CDC7" w14:textId="77777777" w:rsidR="008C568D" w:rsidRPr="00CA2997" w:rsidRDefault="008C568D" w:rsidP="005973DA">
            <w:pPr>
              <w:pStyle w:val="Tabletext"/>
              <w:keepNext/>
              <w:rPr>
                <w:vertAlign w:val="superscript"/>
              </w:rPr>
            </w:pPr>
            <w:r w:rsidRPr="00CA2997">
              <w:t>Anaemia</w:t>
            </w:r>
          </w:p>
        </w:tc>
        <w:tc>
          <w:tcPr>
            <w:tcW w:w="937" w:type="pct"/>
            <w:shd w:val="clear" w:color="auto" w:fill="auto"/>
          </w:tcPr>
          <w:p w14:paraId="6CA31C70" w14:textId="77777777" w:rsidR="008C568D" w:rsidRPr="00CA2997" w:rsidRDefault="008C568D" w:rsidP="005973DA">
            <w:pPr>
              <w:pStyle w:val="Tabletext"/>
              <w:keepNext/>
            </w:pPr>
            <w:r w:rsidRPr="00CA2997">
              <w:t>42 (24%)</w:t>
            </w:r>
          </w:p>
        </w:tc>
        <w:tc>
          <w:tcPr>
            <w:tcW w:w="938" w:type="pct"/>
            <w:shd w:val="clear" w:color="auto" w:fill="auto"/>
          </w:tcPr>
          <w:p w14:paraId="4886EA06" w14:textId="77777777" w:rsidR="008C568D" w:rsidRPr="00CA2997" w:rsidRDefault="008C568D" w:rsidP="005973DA">
            <w:pPr>
              <w:pStyle w:val="Tabletext"/>
              <w:keepNext/>
            </w:pPr>
            <w:r w:rsidRPr="00CA2997">
              <w:t>5 (3%)</w:t>
            </w:r>
          </w:p>
        </w:tc>
        <w:tc>
          <w:tcPr>
            <w:tcW w:w="937" w:type="pct"/>
            <w:shd w:val="clear" w:color="auto" w:fill="auto"/>
          </w:tcPr>
          <w:p w14:paraId="7ACCD366" w14:textId="77777777" w:rsidR="008C568D" w:rsidRPr="00CA2997" w:rsidRDefault="008C568D" w:rsidP="005973DA">
            <w:pPr>
              <w:pStyle w:val="Tabletext"/>
              <w:keepNext/>
            </w:pPr>
            <w:r w:rsidRPr="00CA2997">
              <w:t>40 (23%)</w:t>
            </w:r>
          </w:p>
        </w:tc>
        <w:tc>
          <w:tcPr>
            <w:tcW w:w="937" w:type="pct"/>
            <w:shd w:val="clear" w:color="auto" w:fill="auto"/>
          </w:tcPr>
          <w:p w14:paraId="1ED6ED7D" w14:textId="77777777" w:rsidR="008C568D" w:rsidRPr="00CA2997" w:rsidRDefault="008C568D" w:rsidP="005973DA">
            <w:pPr>
              <w:pStyle w:val="Tabletext"/>
              <w:keepNext/>
            </w:pPr>
            <w:r w:rsidRPr="00CA2997">
              <w:t>6 (3%)</w:t>
            </w:r>
          </w:p>
        </w:tc>
      </w:tr>
      <w:tr w:rsidR="008C568D" w14:paraId="059BC2FA" w14:textId="77777777" w:rsidTr="00494612">
        <w:trPr>
          <w:cantSplit/>
        </w:trPr>
        <w:tc>
          <w:tcPr>
            <w:tcW w:w="1250" w:type="pct"/>
            <w:shd w:val="clear" w:color="auto" w:fill="auto"/>
          </w:tcPr>
          <w:p w14:paraId="570E5C7B" w14:textId="77777777" w:rsidR="008C568D" w:rsidRPr="00CA2997" w:rsidRDefault="008C568D" w:rsidP="005973DA">
            <w:pPr>
              <w:pStyle w:val="Tabletext"/>
              <w:keepNext/>
            </w:pPr>
            <w:r w:rsidRPr="00CA2997">
              <w:t>Constipation</w:t>
            </w:r>
          </w:p>
        </w:tc>
        <w:tc>
          <w:tcPr>
            <w:tcW w:w="937" w:type="pct"/>
            <w:shd w:val="clear" w:color="auto" w:fill="auto"/>
          </w:tcPr>
          <w:p w14:paraId="5CFEB92B" w14:textId="77777777" w:rsidR="008C568D" w:rsidRPr="00CA2997" w:rsidRDefault="008C568D" w:rsidP="005973DA">
            <w:pPr>
              <w:pStyle w:val="Tabletext"/>
              <w:keepNext/>
            </w:pPr>
            <w:r w:rsidRPr="00CA2997">
              <w:t>37 (21%)</w:t>
            </w:r>
          </w:p>
        </w:tc>
        <w:tc>
          <w:tcPr>
            <w:tcW w:w="938" w:type="pct"/>
            <w:shd w:val="clear" w:color="auto" w:fill="auto"/>
          </w:tcPr>
          <w:p w14:paraId="33128256" w14:textId="77777777" w:rsidR="008C568D" w:rsidRPr="00CA2997" w:rsidRDefault="008C568D" w:rsidP="005973DA">
            <w:pPr>
              <w:pStyle w:val="Tabletext"/>
              <w:keepNext/>
            </w:pPr>
            <w:r w:rsidRPr="00CA2997">
              <w:t>0</w:t>
            </w:r>
          </w:p>
        </w:tc>
        <w:tc>
          <w:tcPr>
            <w:tcW w:w="937" w:type="pct"/>
            <w:shd w:val="clear" w:color="auto" w:fill="auto"/>
          </w:tcPr>
          <w:p w14:paraId="681EDD4E" w14:textId="77777777" w:rsidR="008C568D" w:rsidRPr="00CA2997" w:rsidRDefault="008C568D" w:rsidP="005973DA">
            <w:pPr>
              <w:pStyle w:val="Tabletext"/>
              <w:keepNext/>
            </w:pPr>
            <w:r w:rsidRPr="00CA2997">
              <w:t>36 (21%)</w:t>
            </w:r>
          </w:p>
        </w:tc>
        <w:tc>
          <w:tcPr>
            <w:tcW w:w="937" w:type="pct"/>
            <w:shd w:val="clear" w:color="auto" w:fill="auto"/>
          </w:tcPr>
          <w:p w14:paraId="031CDECB" w14:textId="77777777" w:rsidR="008C568D" w:rsidRPr="00CA2997" w:rsidRDefault="008C568D" w:rsidP="005973DA">
            <w:pPr>
              <w:pStyle w:val="Tabletext"/>
              <w:keepNext/>
            </w:pPr>
            <w:r w:rsidRPr="00CA2997">
              <w:t>2 (1%)</w:t>
            </w:r>
          </w:p>
        </w:tc>
      </w:tr>
      <w:tr w:rsidR="008C568D" w14:paraId="5F47A376" w14:textId="77777777" w:rsidTr="00494612">
        <w:trPr>
          <w:cantSplit/>
        </w:trPr>
        <w:tc>
          <w:tcPr>
            <w:tcW w:w="1250" w:type="pct"/>
            <w:shd w:val="clear" w:color="auto" w:fill="auto"/>
          </w:tcPr>
          <w:p w14:paraId="4393B143" w14:textId="77777777" w:rsidR="008C568D" w:rsidRPr="00CA2997" w:rsidRDefault="008C568D" w:rsidP="005973DA">
            <w:pPr>
              <w:pStyle w:val="Tabletext"/>
              <w:keepNext/>
            </w:pPr>
            <w:r w:rsidRPr="00CA2997">
              <w:t>Decreased appetite</w:t>
            </w:r>
          </w:p>
        </w:tc>
        <w:tc>
          <w:tcPr>
            <w:tcW w:w="937" w:type="pct"/>
            <w:shd w:val="clear" w:color="auto" w:fill="auto"/>
          </w:tcPr>
          <w:p w14:paraId="140429E8" w14:textId="77777777" w:rsidR="008C568D" w:rsidRPr="00CA2997" w:rsidRDefault="008C568D" w:rsidP="005973DA">
            <w:pPr>
              <w:pStyle w:val="Tabletext"/>
              <w:keepNext/>
            </w:pPr>
            <w:r w:rsidRPr="00CA2997">
              <w:t>29 (17%)</w:t>
            </w:r>
          </w:p>
        </w:tc>
        <w:tc>
          <w:tcPr>
            <w:tcW w:w="938" w:type="pct"/>
            <w:shd w:val="clear" w:color="auto" w:fill="auto"/>
          </w:tcPr>
          <w:p w14:paraId="7EC853E9" w14:textId="77777777" w:rsidR="008C568D" w:rsidRPr="00CA2997" w:rsidRDefault="008C568D" w:rsidP="005973DA">
            <w:pPr>
              <w:pStyle w:val="Tabletext"/>
              <w:keepNext/>
            </w:pPr>
            <w:r w:rsidRPr="00CA2997">
              <w:t>2 (1%)</w:t>
            </w:r>
          </w:p>
        </w:tc>
        <w:tc>
          <w:tcPr>
            <w:tcW w:w="937" w:type="pct"/>
            <w:shd w:val="clear" w:color="auto" w:fill="auto"/>
          </w:tcPr>
          <w:p w14:paraId="66481F68" w14:textId="77777777" w:rsidR="008C568D" w:rsidRPr="00CA2997" w:rsidRDefault="008C568D" w:rsidP="005973DA">
            <w:pPr>
              <w:pStyle w:val="Tabletext"/>
              <w:keepNext/>
            </w:pPr>
            <w:r w:rsidRPr="00CA2997">
              <w:t>38 (22%)</w:t>
            </w:r>
          </w:p>
        </w:tc>
        <w:tc>
          <w:tcPr>
            <w:tcW w:w="937" w:type="pct"/>
            <w:shd w:val="clear" w:color="auto" w:fill="auto"/>
          </w:tcPr>
          <w:p w14:paraId="77E9CC18" w14:textId="77777777" w:rsidR="008C568D" w:rsidRPr="00CA2997" w:rsidRDefault="008C568D" w:rsidP="005973DA">
            <w:pPr>
              <w:pStyle w:val="Tabletext"/>
              <w:keepNext/>
            </w:pPr>
            <w:r w:rsidRPr="00CA2997">
              <w:t>4 (2%)</w:t>
            </w:r>
          </w:p>
        </w:tc>
      </w:tr>
      <w:tr w:rsidR="008C568D" w14:paraId="56591531" w14:textId="77777777" w:rsidTr="00494612">
        <w:trPr>
          <w:cantSplit/>
        </w:trPr>
        <w:tc>
          <w:tcPr>
            <w:tcW w:w="1250" w:type="pct"/>
            <w:shd w:val="clear" w:color="auto" w:fill="auto"/>
          </w:tcPr>
          <w:p w14:paraId="5A56D1B0" w14:textId="77777777" w:rsidR="008C568D" w:rsidRPr="00CA2997" w:rsidRDefault="008C568D" w:rsidP="005973DA">
            <w:pPr>
              <w:pStyle w:val="Tabletext"/>
              <w:keepNext/>
              <w:rPr>
                <w:vertAlign w:val="superscript"/>
              </w:rPr>
            </w:pPr>
            <w:r w:rsidRPr="00CA2997">
              <w:t>Neutropenia</w:t>
            </w:r>
          </w:p>
        </w:tc>
        <w:tc>
          <w:tcPr>
            <w:tcW w:w="937" w:type="pct"/>
            <w:shd w:val="clear" w:color="auto" w:fill="auto"/>
          </w:tcPr>
          <w:p w14:paraId="4FB73563" w14:textId="77777777" w:rsidR="008C568D" w:rsidRPr="00CA2997" w:rsidRDefault="008C568D" w:rsidP="005973DA">
            <w:pPr>
              <w:pStyle w:val="Tabletext"/>
              <w:keepNext/>
            </w:pPr>
            <w:r w:rsidRPr="00CA2997">
              <w:t>28 (16%)</w:t>
            </w:r>
          </w:p>
        </w:tc>
        <w:tc>
          <w:tcPr>
            <w:tcW w:w="938" w:type="pct"/>
            <w:shd w:val="clear" w:color="auto" w:fill="auto"/>
          </w:tcPr>
          <w:p w14:paraId="4287F8BF" w14:textId="77777777" w:rsidR="008C568D" w:rsidRPr="00CA2997" w:rsidRDefault="008C568D" w:rsidP="005973DA">
            <w:pPr>
              <w:pStyle w:val="Tabletext"/>
              <w:keepNext/>
            </w:pPr>
            <w:r w:rsidRPr="00CA2997">
              <w:t>15 (9%)</w:t>
            </w:r>
          </w:p>
        </w:tc>
        <w:tc>
          <w:tcPr>
            <w:tcW w:w="937" w:type="pct"/>
            <w:shd w:val="clear" w:color="auto" w:fill="auto"/>
          </w:tcPr>
          <w:p w14:paraId="755E92CC" w14:textId="77777777" w:rsidR="008C568D" w:rsidRPr="00CA2997" w:rsidRDefault="008C568D" w:rsidP="005973DA">
            <w:pPr>
              <w:pStyle w:val="Tabletext"/>
              <w:keepNext/>
            </w:pPr>
            <w:r w:rsidRPr="00CA2997">
              <w:t>29 (17%)</w:t>
            </w:r>
          </w:p>
        </w:tc>
        <w:tc>
          <w:tcPr>
            <w:tcW w:w="937" w:type="pct"/>
            <w:shd w:val="clear" w:color="auto" w:fill="auto"/>
          </w:tcPr>
          <w:p w14:paraId="48328D07" w14:textId="77777777" w:rsidR="008C568D" w:rsidRPr="00CA2997" w:rsidRDefault="008C568D" w:rsidP="005973DA">
            <w:pPr>
              <w:pStyle w:val="Tabletext"/>
              <w:keepNext/>
            </w:pPr>
            <w:r w:rsidRPr="00CA2997">
              <w:t>21 (12%)</w:t>
            </w:r>
          </w:p>
        </w:tc>
      </w:tr>
      <w:tr w:rsidR="008C568D" w14:paraId="06EAA3D0" w14:textId="77777777" w:rsidTr="00494612">
        <w:trPr>
          <w:cantSplit/>
        </w:trPr>
        <w:tc>
          <w:tcPr>
            <w:tcW w:w="1250" w:type="pct"/>
            <w:shd w:val="clear" w:color="auto" w:fill="auto"/>
          </w:tcPr>
          <w:p w14:paraId="328ED5DD" w14:textId="1FFB222D" w:rsidR="008C568D" w:rsidRPr="008321B3" w:rsidRDefault="008C568D" w:rsidP="005973DA">
            <w:pPr>
              <w:pStyle w:val="Tabletext"/>
              <w:keepNext/>
            </w:pPr>
            <w:r>
              <w:t>Decrease</w:t>
            </w:r>
            <w:r w:rsidR="00F55FA9">
              <w:t>d</w:t>
            </w:r>
            <w:r>
              <w:t xml:space="preserve"> neutrophil count</w:t>
            </w:r>
          </w:p>
        </w:tc>
        <w:tc>
          <w:tcPr>
            <w:tcW w:w="937" w:type="pct"/>
            <w:shd w:val="clear" w:color="auto" w:fill="auto"/>
          </w:tcPr>
          <w:p w14:paraId="2CAF49B1" w14:textId="77777777" w:rsidR="008C568D" w:rsidRPr="00D219A2" w:rsidRDefault="008C568D" w:rsidP="005973DA">
            <w:pPr>
              <w:pStyle w:val="Tabletext"/>
              <w:keepNext/>
            </w:pPr>
            <w:r>
              <w:t>26</w:t>
            </w:r>
            <w:r w:rsidRPr="00D219A2">
              <w:t xml:space="preserve"> (1</w:t>
            </w:r>
            <w:r>
              <w:t>5</w:t>
            </w:r>
            <w:r w:rsidRPr="00D219A2">
              <w:t>%)</w:t>
            </w:r>
          </w:p>
        </w:tc>
        <w:tc>
          <w:tcPr>
            <w:tcW w:w="938" w:type="pct"/>
            <w:shd w:val="clear" w:color="auto" w:fill="auto"/>
          </w:tcPr>
          <w:p w14:paraId="5BAACCF0" w14:textId="77777777" w:rsidR="008C568D" w:rsidRPr="00D219A2" w:rsidRDefault="008C568D" w:rsidP="005973DA">
            <w:pPr>
              <w:pStyle w:val="Tabletext"/>
              <w:keepNext/>
            </w:pPr>
            <w:r>
              <w:t>13</w:t>
            </w:r>
            <w:r w:rsidRPr="00D219A2">
              <w:t xml:space="preserve"> (</w:t>
            </w:r>
            <w:r>
              <w:t>7</w:t>
            </w:r>
            <w:r w:rsidRPr="00D219A2">
              <w:t>%)</w:t>
            </w:r>
          </w:p>
        </w:tc>
        <w:tc>
          <w:tcPr>
            <w:tcW w:w="937" w:type="pct"/>
            <w:shd w:val="clear" w:color="auto" w:fill="auto"/>
          </w:tcPr>
          <w:p w14:paraId="4284F186" w14:textId="77777777" w:rsidR="008C568D" w:rsidRPr="00D219A2" w:rsidRDefault="008C568D" w:rsidP="005973DA">
            <w:pPr>
              <w:pStyle w:val="Tabletext"/>
              <w:keepNext/>
            </w:pPr>
            <w:r>
              <w:t>37</w:t>
            </w:r>
            <w:r w:rsidRPr="00D219A2">
              <w:t xml:space="preserve"> (</w:t>
            </w:r>
            <w:r>
              <w:t>21</w:t>
            </w:r>
            <w:r w:rsidRPr="00D219A2">
              <w:t>%)</w:t>
            </w:r>
          </w:p>
        </w:tc>
        <w:tc>
          <w:tcPr>
            <w:tcW w:w="937" w:type="pct"/>
            <w:shd w:val="clear" w:color="auto" w:fill="auto"/>
          </w:tcPr>
          <w:p w14:paraId="01326F76" w14:textId="77777777" w:rsidR="008C568D" w:rsidRPr="00D219A2" w:rsidRDefault="008C568D" w:rsidP="005973DA">
            <w:pPr>
              <w:pStyle w:val="Tabletext"/>
              <w:keepNext/>
            </w:pPr>
            <w:r>
              <w:t>19 (11%)</w:t>
            </w:r>
          </w:p>
        </w:tc>
      </w:tr>
    </w:tbl>
    <w:p w14:paraId="729B20E7" w14:textId="6827513F" w:rsidR="008C568D" w:rsidRDefault="008C568D" w:rsidP="008C568D">
      <w:pPr>
        <w:pStyle w:val="TableFooter"/>
        <w:rPr>
          <w:rFonts w:eastAsiaTheme="minorHAnsi"/>
        </w:rPr>
      </w:pPr>
      <w:r>
        <w:rPr>
          <w:rFonts w:eastAsiaTheme="minorHAnsi"/>
        </w:rPr>
        <w:t>Source: Table 69, p10</w:t>
      </w:r>
      <w:r w:rsidR="009B77F1">
        <w:rPr>
          <w:rFonts w:eastAsiaTheme="minorHAnsi"/>
        </w:rPr>
        <w:t>5</w:t>
      </w:r>
      <w:r>
        <w:rPr>
          <w:rFonts w:eastAsiaTheme="minorHAnsi"/>
        </w:rPr>
        <w:t xml:space="preserve"> of the submission.</w:t>
      </w:r>
    </w:p>
    <w:p w14:paraId="444A280E" w14:textId="6790F881" w:rsidR="008C568D" w:rsidRDefault="008C568D" w:rsidP="008C568D">
      <w:pPr>
        <w:rPr>
          <w:rFonts w:eastAsiaTheme="minorHAnsi"/>
        </w:rPr>
      </w:pPr>
      <w:r w:rsidRPr="00B01D8A">
        <w:rPr>
          <w:rStyle w:val="TableFooterChar"/>
          <w:rFonts w:eastAsiaTheme="minorHAnsi"/>
        </w:rPr>
        <w:t xml:space="preserve">Chemo=chemotherapy; </w:t>
      </w:r>
      <w:r w:rsidR="000039B4">
        <w:rPr>
          <w:rStyle w:val="TableFooterChar"/>
          <w:rFonts w:eastAsiaTheme="minorHAnsi"/>
        </w:rPr>
        <w:t>neo</w:t>
      </w:r>
      <w:r w:rsidRPr="00B01D8A">
        <w:rPr>
          <w:rStyle w:val="TableFooterChar"/>
          <w:rFonts w:eastAsiaTheme="minorHAnsi"/>
        </w:rPr>
        <w:t>=neoadjuvant; NIVO=nivolumab</w:t>
      </w:r>
    </w:p>
    <w:p w14:paraId="0432500E" w14:textId="260D9130" w:rsidR="00BD32C6" w:rsidRPr="00BD32C6" w:rsidRDefault="00BD32C6" w:rsidP="00A23538">
      <w:pPr>
        <w:pStyle w:val="3-BodyText"/>
        <w:spacing w:before="120"/>
        <w:rPr>
          <w:rFonts w:eastAsia="Calibri"/>
        </w:rPr>
      </w:pPr>
      <w:r w:rsidRPr="000A6E90">
        <w:rPr>
          <w:rFonts w:eastAsia="Calibri"/>
        </w:rPr>
        <w:t>The rates of any AE (all caus</w:t>
      </w:r>
      <w:r w:rsidR="00F55FA9" w:rsidRPr="000A6E90">
        <w:rPr>
          <w:rFonts w:eastAsia="Calibri"/>
        </w:rPr>
        <w:t>e</w:t>
      </w:r>
      <w:r w:rsidRPr="000A6E90">
        <w:rPr>
          <w:rFonts w:eastAsia="Calibri"/>
        </w:rPr>
        <w:t>), AE of Grade ≥ 3, and AEs resulting in treatment discontinuation (all-caus</w:t>
      </w:r>
      <w:r w:rsidR="00F55FA9" w:rsidRPr="000A6E90">
        <w:rPr>
          <w:rFonts w:eastAsia="Calibri"/>
        </w:rPr>
        <w:t>e</w:t>
      </w:r>
      <w:r w:rsidRPr="000A6E90">
        <w:rPr>
          <w:rFonts w:eastAsia="Calibri"/>
        </w:rPr>
        <w:t xml:space="preserve"> or treatment-related), were similar between the treatment arms. AEs of any grade that were identified as surgical complications occurred in 42% of patients in the </w:t>
      </w:r>
      <w:r w:rsidR="000039B4" w:rsidRPr="000A6E90">
        <w:rPr>
          <w:rFonts w:eastAsia="Calibri"/>
        </w:rPr>
        <w:t>neoNIVO</w:t>
      </w:r>
      <w:r w:rsidRPr="000A6E90">
        <w:rPr>
          <w:rFonts w:eastAsia="Calibri"/>
        </w:rPr>
        <w:t>+</w:t>
      </w:r>
      <w:r w:rsidR="000039B4" w:rsidRPr="000A6E90">
        <w:rPr>
          <w:rFonts w:eastAsia="Calibri"/>
        </w:rPr>
        <w:t>neoChemo</w:t>
      </w:r>
      <w:r w:rsidRPr="000A6E90">
        <w:rPr>
          <w:rFonts w:eastAsia="Calibri"/>
        </w:rPr>
        <w:t xml:space="preserve"> arm and in 47% of patients in the </w:t>
      </w:r>
      <w:r w:rsidR="000039B4" w:rsidRPr="000A6E90">
        <w:rPr>
          <w:rFonts w:eastAsia="Calibri"/>
        </w:rPr>
        <w:t>neoChemo</w:t>
      </w:r>
      <w:r w:rsidRPr="000A6E90">
        <w:rPr>
          <w:rFonts w:eastAsia="Calibri"/>
        </w:rPr>
        <w:t xml:space="preserve"> arm. There were no deaths due to drug-related toxicity in the </w:t>
      </w:r>
      <w:r w:rsidR="000039B4" w:rsidRPr="000A6E90">
        <w:rPr>
          <w:rFonts w:eastAsia="Calibri"/>
        </w:rPr>
        <w:t>neoNIVO</w:t>
      </w:r>
      <w:r w:rsidRPr="000A6E90">
        <w:rPr>
          <w:rFonts w:eastAsia="Calibri"/>
        </w:rPr>
        <w:t>+</w:t>
      </w:r>
      <w:r w:rsidR="000039B4" w:rsidRPr="000A6E90">
        <w:rPr>
          <w:rFonts w:eastAsia="Calibri"/>
        </w:rPr>
        <w:t>neoChemo</w:t>
      </w:r>
      <w:r w:rsidRPr="000A6E90">
        <w:rPr>
          <w:rFonts w:eastAsia="Calibri"/>
        </w:rPr>
        <w:t xml:space="preserve"> arm and 3 deaths (2%) in the </w:t>
      </w:r>
      <w:r w:rsidR="000039B4" w:rsidRPr="000A6E90">
        <w:rPr>
          <w:rFonts w:eastAsia="Calibri"/>
        </w:rPr>
        <w:t>neoChemo</w:t>
      </w:r>
      <w:r w:rsidRPr="000A6E90">
        <w:rPr>
          <w:rFonts w:eastAsia="Calibri"/>
        </w:rPr>
        <w:t xml:space="preserve"> arm.</w:t>
      </w:r>
    </w:p>
    <w:p w14:paraId="1935EB53" w14:textId="62549521" w:rsidR="00BD32C6" w:rsidRPr="00BD32C6" w:rsidRDefault="00BD32C6" w:rsidP="00FE5DCE">
      <w:pPr>
        <w:pStyle w:val="3-BodyText"/>
        <w:rPr>
          <w:rFonts w:eastAsia="Calibri"/>
        </w:rPr>
      </w:pPr>
      <w:r w:rsidRPr="000A6E90">
        <w:rPr>
          <w:rFonts w:eastAsia="Calibri"/>
        </w:rPr>
        <w:t xml:space="preserve">For the </w:t>
      </w:r>
      <w:r w:rsidR="000039B4" w:rsidRPr="000A6E90">
        <w:rPr>
          <w:rFonts w:eastAsia="Calibri"/>
        </w:rPr>
        <w:t>neoNIVO</w:t>
      </w:r>
      <w:r w:rsidRPr="000A6E90">
        <w:rPr>
          <w:rFonts w:eastAsia="Calibri"/>
        </w:rPr>
        <w:t>+</w:t>
      </w:r>
      <w:r w:rsidR="000039B4" w:rsidRPr="000A6E90">
        <w:rPr>
          <w:rFonts w:eastAsia="Calibri"/>
        </w:rPr>
        <w:t>neoChemo</w:t>
      </w:r>
      <w:r w:rsidRPr="000A6E90">
        <w:rPr>
          <w:rFonts w:eastAsia="Calibri"/>
        </w:rPr>
        <w:t xml:space="preserve"> versus the </w:t>
      </w:r>
      <w:r w:rsidR="000039B4" w:rsidRPr="000A6E90">
        <w:rPr>
          <w:rFonts w:eastAsia="Calibri"/>
        </w:rPr>
        <w:t>neoChemo</w:t>
      </w:r>
      <w:r w:rsidRPr="000A6E90">
        <w:rPr>
          <w:rFonts w:eastAsia="Calibri"/>
        </w:rPr>
        <w:t xml:space="preserve"> arms, the most common Grade 3-4 treatment-related AEs were neutropenia (9% versus 12%).</w:t>
      </w:r>
    </w:p>
    <w:p w14:paraId="44919882" w14:textId="6EA242AD" w:rsidR="00BD32C6" w:rsidRPr="00720DE9" w:rsidRDefault="00BD32C6" w:rsidP="00FE5DCE">
      <w:pPr>
        <w:pStyle w:val="3-BodyText"/>
        <w:rPr>
          <w:rFonts w:eastAsia="Calibri"/>
        </w:rPr>
      </w:pPr>
      <w:bookmarkStart w:id="48" w:name="_Ref131086587"/>
      <w:r w:rsidRPr="00720DE9">
        <w:rPr>
          <w:rFonts w:eastAsia="Calibri"/>
        </w:rPr>
        <w:t xml:space="preserve">The most frequently reported </w:t>
      </w:r>
      <w:r w:rsidR="00131891">
        <w:rPr>
          <w:rFonts w:eastAsia="Calibri"/>
        </w:rPr>
        <w:t>immune-mediated AEs (</w:t>
      </w:r>
      <w:r w:rsidRPr="00720DE9">
        <w:rPr>
          <w:rFonts w:eastAsia="Calibri"/>
        </w:rPr>
        <w:t>IMAEs</w:t>
      </w:r>
      <w:r w:rsidR="00131891">
        <w:rPr>
          <w:rFonts w:eastAsia="Calibri"/>
        </w:rPr>
        <w:t>)</w:t>
      </w:r>
      <w:r w:rsidRPr="00720DE9">
        <w:rPr>
          <w:rFonts w:eastAsia="Calibri"/>
        </w:rPr>
        <w:t xml:space="preserve"> reported for patients treated with </w:t>
      </w:r>
      <w:r w:rsidR="000039B4">
        <w:rPr>
          <w:rFonts w:eastAsia="Calibri"/>
        </w:rPr>
        <w:t>neoNIVO</w:t>
      </w:r>
      <w:r w:rsidRPr="00720DE9">
        <w:rPr>
          <w:rFonts w:eastAsia="Calibri"/>
        </w:rPr>
        <w:t>+</w:t>
      </w:r>
      <w:r w:rsidR="000039B4">
        <w:rPr>
          <w:rFonts w:eastAsia="Calibri"/>
        </w:rPr>
        <w:t>neoChemo</w:t>
      </w:r>
      <w:r w:rsidRPr="00720DE9">
        <w:rPr>
          <w:rFonts w:eastAsia="Calibri"/>
        </w:rPr>
        <w:t xml:space="preserve"> </w:t>
      </w:r>
      <w:proofErr w:type="gramStart"/>
      <w:r w:rsidRPr="00720DE9">
        <w:rPr>
          <w:rFonts w:eastAsia="Calibri"/>
        </w:rPr>
        <w:t>were:</w:t>
      </w:r>
      <w:proofErr w:type="gramEnd"/>
      <w:r w:rsidRPr="00720DE9">
        <w:rPr>
          <w:rFonts w:eastAsia="Calibri"/>
        </w:rPr>
        <w:t xml:space="preserve"> rash (9%); hyperthyroidism (4%); and hypothyroidism/thyroiditis (2%). The nature of these IMAEs is consistent with the established IMAE profile of nivolumab</w:t>
      </w:r>
      <w:r w:rsidRPr="000A6E90">
        <w:rPr>
          <w:rFonts w:eastAsia="Calibri"/>
        </w:rPr>
        <w:t>.</w:t>
      </w:r>
      <w:r w:rsidR="00B2043D" w:rsidRPr="000A6E90">
        <w:rPr>
          <w:rFonts w:eastAsia="Calibri"/>
        </w:rPr>
        <w:t xml:space="preserve"> </w:t>
      </w:r>
      <w:r w:rsidR="00B2043D">
        <w:rPr>
          <w:rFonts w:eastAsia="Calibri"/>
        </w:rPr>
        <w:t xml:space="preserve">See </w:t>
      </w:r>
      <w:r w:rsidR="00B2043D">
        <w:rPr>
          <w:rFonts w:eastAsia="Calibri"/>
        </w:rPr>
        <w:fldChar w:fldCharType="begin"/>
      </w:r>
      <w:r w:rsidR="00B2043D">
        <w:rPr>
          <w:rFonts w:eastAsia="Calibri"/>
        </w:rPr>
        <w:instrText xml:space="preserve"> REF _Ref121063742 \h </w:instrText>
      </w:r>
      <w:r w:rsidR="00B2043D">
        <w:rPr>
          <w:rFonts w:eastAsia="Calibri"/>
        </w:rPr>
      </w:r>
      <w:r w:rsidR="00B2043D">
        <w:rPr>
          <w:rFonts w:eastAsia="Calibri"/>
        </w:rPr>
        <w:fldChar w:fldCharType="separate"/>
      </w:r>
      <w:r w:rsidR="00A77D90">
        <w:t xml:space="preserve">Table </w:t>
      </w:r>
      <w:r w:rsidR="00A77D90">
        <w:rPr>
          <w:noProof/>
        </w:rPr>
        <w:t>15</w:t>
      </w:r>
      <w:r w:rsidR="00B2043D">
        <w:rPr>
          <w:rFonts w:eastAsia="Calibri"/>
        </w:rPr>
        <w:fldChar w:fldCharType="end"/>
      </w:r>
      <w:r w:rsidR="00B2043D">
        <w:rPr>
          <w:rFonts w:eastAsia="Calibri"/>
        </w:rPr>
        <w:t xml:space="preserve"> for details.</w:t>
      </w:r>
      <w:bookmarkEnd w:id="48"/>
    </w:p>
    <w:p w14:paraId="20948666" w14:textId="587A5715" w:rsidR="00720DE9" w:rsidRPr="000A6E90" w:rsidRDefault="00720DE9" w:rsidP="00720DE9">
      <w:pPr>
        <w:pStyle w:val="3-BodyText"/>
        <w:rPr>
          <w:rFonts w:eastAsia="Calibri"/>
        </w:rPr>
      </w:pPr>
      <w:r w:rsidRPr="000A6E90">
        <w:rPr>
          <w:rFonts w:eastAsia="Calibri"/>
        </w:rPr>
        <w:t xml:space="preserve">Overall, </w:t>
      </w:r>
      <w:r w:rsidR="00A97318" w:rsidRPr="000A6E90">
        <w:rPr>
          <w:rFonts w:eastAsia="Calibri"/>
        </w:rPr>
        <w:t xml:space="preserve">in the CM816 trial, </w:t>
      </w:r>
      <w:r w:rsidR="00743AFA" w:rsidRPr="000A6E90">
        <w:rPr>
          <w:rFonts w:eastAsia="Calibri"/>
        </w:rPr>
        <w:t xml:space="preserve">the addition of nivolumab to chemotherapy </w:t>
      </w:r>
      <w:r w:rsidR="001E521C" w:rsidRPr="000A6E90">
        <w:rPr>
          <w:rFonts w:eastAsia="Calibri"/>
        </w:rPr>
        <w:t xml:space="preserve">is expected to result </w:t>
      </w:r>
      <w:r w:rsidR="00494612" w:rsidRPr="000A6E90">
        <w:rPr>
          <w:rFonts w:eastAsia="Calibri"/>
        </w:rPr>
        <w:t>in</w:t>
      </w:r>
      <w:r w:rsidRPr="000A6E90">
        <w:rPr>
          <w:rFonts w:eastAsia="Calibri"/>
        </w:rPr>
        <w:t xml:space="preserve"> a</w:t>
      </w:r>
      <w:r w:rsidR="00743AFA" w:rsidRPr="000A6E90">
        <w:rPr>
          <w:rFonts w:eastAsia="Calibri"/>
        </w:rPr>
        <w:t xml:space="preserve">n increased risk </w:t>
      </w:r>
      <w:r w:rsidRPr="000A6E90">
        <w:rPr>
          <w:rFonts w:eastAsia="Calibri"/>
        </w:rPr>
        <w:t xml:space="preserve">of </w:t>
      </w:r>
      <w:r w:rsidR="001E521C" w:rsidRPr="000A6E90">
        <w:rPr>
          <w:rFonts w:eastAsia="Calibri"/>
        </w:rPr>
        <w:t xml:space="preserve">immune checkpoint-related </w:t>
      </w:r>
      <w:r w:rsidRPr="000A6E90">
        <w:rPr>
          <w:rFonts w:eastAsia="Calibri"/>
        </w:rPr>
        <w:t>AEs. The safety data were consistent with the established safety profiles of these agents</w:t>
      </w:r>
      <w:r w:rsidR="00A97318" w:rsidRPr="000A6E90">
        <w:rPr>
          <w:rFonts w:eastAsia="Calibri"/>
        </w:rPr>
        <w:t xml:space="preserve">. </w:t>
      </w:r>
      <w:r w:rsidR="00743AFA" w:rsidRPr="000A6E90">
        <w:rPr>
          <w:rFonts w:eastAsia="Calibri"/>
        </w:rPr>
        <w:t>T</w:t>
      </w:r>
      <w:r w:rsidR="00A97318" w:rsidRPr="000A6E90">
        <w:rPr>
          <w:rFonts w:eastAsia="Calibri"/>
        </w:rPr>
        <w:t>he risk of IMAEs in the real world</w:t>
      </w:r>
      <w:r w:rsidR="00743AFA" w:rsidRPr="000A6E90">
        <w:rPr>
          <w:rFonts w:eastAsia="Calibri"/>
        </w:rPr>
        <w:t xml:space="preserve"> is expected to be higher </w:t>
      </w:r>
      <w:r w:rsidR="00A97318" w:rsidRPr="000A6E90">
        <w:rPr>
          <w:rFonts w:eastAsia="Calibri"/>
        </w:rPr>
        <w:t xml:space="preserve">than </w:t>
      </w:r>
      <w:r w:rsidR="00743AFA" w:rsidRPr="000A6E90">
        <w:rPr>
          <w:rFonts w:eastAsia="Calibri"/>
        </w:rPr>
        <w:t xml:space="preserve">that </w:t>
      </w:r>
      <w:r w:rsidR="00A97318" w:rsidRPr="000A6E90">
        <w:rPr>
          <w:rFonts w:eastAsia="Calibri"/>
        </w:rPr>
        <w:t>in the experimental setting</w:t>
      </w:r>
      <w:r w:rsidR="00743AFA" w:rsidRPr="000A6E90">
        <w:rPr>
          <w:rFonts w:eastAsia="Calibri"/>
        </w:rPr>
        <w:t>.</w:t>
      </w:r>
    </w:p>
    <w:p w14:paraId="7CF4C25B" w14:textId="0FEA6E65" w:rsidR="00FE5DCE" w:rsidRDefault="00FE5DCE" w:rsidP="00FE5DCE">
      <w:pPr>
        <w:pStyle w:val="3-BodyText"/>
        <w:rPr>
          <w:rFonts w:eastAsia="Calibri"/>
        </w:rPr>
      </w:pPr>
      <w:r w:rsidRPr="000A6E90">
        <w:rPr>
          <w:rFonts w:eastAsia="Calibri"/>
        </w:rPr>
        <w:t xml:space="preserve">The </w:t>
      </w:r>
      <w:r w:rsidR="00A97318" w:rsidRPr="000A6E90">
        <w:rPr>
          <w:rFonts w:eastAsia="Calibri"/>
        </w:rPr>
        <w:t xml:space="preserve">indirect </w:t>
      </w:r>
      <w:r w:rsidRPr="000A6E90">
        <w:rPr>
          <w:rFonts w:eastAsia="Calibri"/>
        </w:rPr>
        <w:t>comparison</w:t>
      </w:r>
      <w:r w:rsidR="00A97318" w:rsidRPr="000A6E90">
        <w:rPr>
          <w:rFonts w:eastAsia="Calibri"/>
        </w:rPr>
        <w:t>s</w:t>
      </w:r>
      <w:r w:rsidRPr="000A6E90">
        <w:rPr>
          <w:rFonts w:eastAsia="Calibri"/>
        </w:rPr>
        <w:t xml:space="preserve"> of </w:t>
      </w:r>
      <w:r w:rsidR="00A97318" w:rsidRPr="000A6E90">
        <w:rPr>
          <w:rFonts w:eastAsia="Calibri"/>
        </w:rPr>
        <w:t>safety</w:t>
      </w:r>
      <w:r w:rsidRPr="000A6E90">
        <w:rPr>
          <w:rFonts w:eastAsia="Calibri"/>
        </w:rPr>
        <w:t xml:space="preserve"> w</w:t>
      </w:r>
      <w:r w:rsidR="00A97318" w:rsidRPr="000A6E90">
        <w:rPr>
          <w:rFonts w:eastAsia="Calibri"/>
        </w:rPr>
        <w:t>ere</w:t>
      </w:r>
      <w:r w:rsidRPr="000A6E90">
        <w:rPr>
          <w:rFonts w:eastAsia="Calibri"/>
        </w:rPr>
        <w:t xml:space="preserve"> descriptive and inadequate to support any </w:t>
      </w:r>
      <w:r w:rsidR="00FA1E1C" w:rsidRPr="000A6E90">
        <w:rPr>
          <w:rFonts w:eastAsia="Calibri"/>
        </w:rPr>
        <w:t>conclusive</w:t>
      </w:r>
      <w:r w:rsidRPr="000A6E90">
        <w:rPr>
          <w:rFonts w:eastAsia="Calibri"/>
        </w:rPr>
        <w:t xml:space="preserve"> claim on comparative safety.</w:t>
      </w:r>
      <w:r w:rsidR="00A97318">
        <w:rPr>
          <w:rFonts w:eastAsia="Calibri"/>
        </w:rPr>
        <w:t xml:space="preserve"> The indirect comparison of safety between </w:t>
      </w:r>
      <w:r w:rsidR="000039B4">
        <w:rPr>
          <w:rFonts w:eastAsia="Calibri"/>
        </w:rPr>
        <w:t>neoNIVO</w:t>
      </w:r>
      <w:r w:rsidR="00A97318">
        <w:rPr>
          <w:rFonts w:eastAsia="Calibri"/>
        </w:rPr>
        <w:t>+</w:t>
      </w:r>
      <w:r w:rsidR="000039B4">
        <w:rPr>
          <w:rFonts w:eastAsia="Calibri"/>
        </w:rPr>
        <w:t>neoChemo</w:t>
      </w:r>
      <w:r w:rsidR="00A97318">
        <w:rPr>
          <w:rFonts w:eastAsia="Calibri"/>
        </w:rPr>
        <w:t xml:space="preserve"> versus </w:t>
      </w:r>
      <w:r w:rsidR="003D24E4">
        <w:rPr>
          <w:rFonts w:eastAsia="Calibri"/>
        </w:rPr>
        <w:t>adjChemo</w:t>
      </w:r>
      <w:r w:rsidR="00A97318">
        <w:rPr>
          <w:rFonts w:eastAsia="Calibri"/>
        </w:rPr>
        <w:t xml:space="preserve"> is presented in </w:t>
      </w:r>
      <w:r w:rsidR="00A97318">
        <w:rPr>
          <w:rFonts w:eastAsia="Calibri"/>
        </w:rPr>
        <w:fldChar w:fldCharType="begin"/>
      </w:r>
      <w:r w:rsidR="00A97318">
        <w:rPr>
          <w:rFonts w:eastAsia="Calibri"/>
        </w:rPr>
        <w:instrText xml:space="preserve"> REF _Ref121063497 \h </w:instrText>
      </w:r>
      <w:r w:rsidR="00A97318">
        <w:rPr>
          <w:rFonts w:eastAsia="Calibri"/>
        </w:rPr>
      </w:r>
      <w:r w:rsidR="00A97318">
        <w:rPr>
          <w:rFonts w:eastAsia="Calibri"/>
        </w:rPr>
        <w:fldChar w:fldCharType="separate"/>
      </w:r>
      <w:r w:rsidR="00A77D90">
        <w:t xml:space="preserve">Table </w:t>
      </w:r>
      <w:r w:rsidR="00A77D90">
        <w:rPr>
          <w:noProof/>
        </w:rPr>
        <w:t>13</w:t>
      </w:r>
      <w:r w:rsidR="00A97318">
        <w:rPr>
          <w:rFonts w:eastAsia="Calibri"/>
        </w:rPr>
        <w:fldChar w:fldCharType="end"/>
      </w:r>
      <w:r w:rsidR="00A97318">
        <w:rPr>
          <w:rFonts w:eastAsia="Calibri"/>
        </w:rPr>
        <w:t>.</w:t>
      </w:r>
    </w:p>
    <w:p w14:paraId="54D10BF4" w14:textId="45C60FAB" w:rsidR="00A97318" w:rsidRDefault="00A97318" w:rsidP="00A97318">
      <w:pPr>
        <w:pStyle w:val="Caption"/>
      </w:pPr>
      <w:bookmarkStart w:id="49" w:name="_Ref121063497"/>
      <w:r>
        <w:t xml:space="preserve">Table </w:t>
      </w:r>
      <w:r w:rsidR="00A77D90">
        <w:fldChar w:fldCharType="begin"/>
      </w:r>
      <w:r w:rsidR="00A77D90">
        <w:instrText xml:space="preserve"> SEQ Table \* ARABIC </w:instrText>
      </w:r>
      <w:r w:rsidR="00A77D90">
        <w:fldChar w:fldCharType="separate"/>
      </w:r>
      <w:r w:rsidR="00A77D90">
        <w:rPr>
          <w:noProof/>
        </w:rPr>
        <w:t>13</w:t>
      </w:r>
      <w:r w:rsidR="00A77D90">
        <w:rPr>
          <w:noProof/>
        </w:rPr>
        <w:fldChar w:fldCharType="end"/>
      </w:r>
      <w:bookmarkEnd w:id="49"/>
      <w:r>
        <w:t xml:space="preserve">: </w:t>
      </w:r>
      <w:r w:rsidR="0083195C">
        <w:t>F</w:t>
      </w:r>
      <w:r>
        <w:t>requently reported adverse events (≥</w:t>
      </w:r>
      <w:r w:rsidR="009648A3">
        <w:t xml:space="preserve"> </w:t>
      </w:r>
      <w:r>
        <w:t>15% in either treatment arm) – CM816 and NATCH</w:t>
      </w:r>
    </w:p>
    <w:tbl>
      <w:tblPr>
        <w:tblStyle w:val="TableGrid"/>
        <w:tblW w:w="0" w:type="auto"/>
        <w:tblLook w:val="04A0" w:firstRow="1" w:lastRow="0" w:firstColumn="1" w:lastColumn="0" w:noHBand="0" w:noVBand="1"/>
      </w:tblPr>
      <w:tblGrid>
        <w:gridCol w:w="1281"/>
        <w:gridCol w:w="1011"/>
        <w:gridCol w:w="982"/>
        <w:gridCol w:w="932"/>
        <w:gridCol w:w="934"/>
        <w:gridCol w:w="989"/>
        <w:gridCol w:w="951"/>
        <w:gridCol w:w="989"/>
        <w:gridCol w:w="948"/>
      </w:tblGrid>
      <w:tr w:rsidR="00A97318" w14:paraId="189690FA" w14:textId="77777777" w:rsidTr="002A6A11">
        <w:trPr>
          <w:cantSplit/>
        </w:trPr>
        <w:tc>
          <w:tcPr>
            <w:tcW w:w="1281" w:type="dxa"/>
            <w:tcBorders>
              <w:bottom w:val="nil"/>
            </w:tcBorders>
            <w:shd w:val="clear" w:color="auto" w:fill="auto"/>
          </w:tcPr>
          <w:p w14:paraId="72C462E2" w14:textId="77777777" w:rsidR="00A97318" w:rsidRPr="00893E78" w:rsidRDefault="00A97318" w:rsidP="00750175">
            <w:pPr>
              <w:pStyle w:val="Tabletext"/>
              <w:keepNext/>
            </w:pPr>
          </w:p>
        </w:tc>
        <w:tc>
          <w:tcPr>
            <w:tcW w:w="3859" w:type="dxa"/>
            <w:gridSpan w:val="4"/>
            <w:shd w:val="clear" w:color="auto" w:fill="auto"/>
          </w:tcPr>
          <w:p w14:paraId="731270BC" w14:textId="77777777" w:rsidR="00A97318" w:rsidRPr="00C979A9" w:rsidRDefault="00A97318" w:rsidP="00750175">
            <w:pPr>
              <w:pStyle w:val="Tabletext"/>
              <w:keepNext/>
              <w:rPr>
                <w:b/>
              </w:rPr>
            </w:pPr>
            <w:r w:rsidRPr="00C979A9">
              <w:rPr>
                <w:b/>
              </w:rPr>
              <w:t>CM816</w:t>
            </w:r>
          </w:p>
        </w:tc>
        <w:tc>
          <w:tcPr>
            <w:tcW w:w="3877" w:type="dxa"/>
            <w:gridSpan w:val="4"/>
            <w:shd w:val="clear" w:color="auto" w:fill="auto"/>
          </w:tcPr>
          <w:p w14:paraId="257BC739" w14:textId="77777777" w:rsidR="00A97318" w:rsidRPr="00C979A9" w:rsidRDefault="00A97318" w:rsidP="00750175">
            <w:pPr>
              <w:pStyle w:val="Tabletext"/>
              <w:keepNext/>
              <w:rPr>
                <w:b/>
              </w:rPr>
            </w:pPr>
            <w:r w:rsidRPr="00C979A9">
              <w:rPr>
                <w:b/>
              </w:rPr>
              <w:t>NATCH</w:t>
            </w:r>
          </w:p>
        </w:tc>
      </w:tr>
      <w:tr w:rsidR="00A97318" w14:paraId="5060349F" w14:textId="77777777" w:rsidTr="002A6A11">
        <w:trPr>
          <w:cantSplit/>
        </w:trPr>
        <w:tc>
          <w:tcPr>
            <w:tcW w:w="1281" w:type="dxa"/>
            <w:tcBorders>
              <w:bottom w:val="nil"/>
            </w:tcBorders>
            <w:shd w:val="clear" w:color="auto" w:fill="auto"/>
          </w:tcPr>
          <w:p w14:paraId="6344944B" w14:textId="77777777" w:rsidR="00A97318" w:rsidRPr="00893E78" w:rsidRDefault="00A97318" w:rsidP="00750175">
            <w:pPr>
              <w:pStyle w:val="Tabletext"/>
              <w:keepNext/>
            </w:pPr>
          </w:p>
        </w:tc>
        <w:tc>
          <w:tcPr>
            <w:tcW w:w="1993" w:type="dxa"/>
            <w:gridSpan w:val="2"/>
            <w:shd w:val="clear" w:color="auto" w:fill="auto"/>
          </w:tcPr>
          <w:p w14:paraId="58F9FA67" w14:textId="154EC2F9" w:rsidR="00A97318" w:rsidRPr="00C979A9" w:rsidRDefault="000039B4" w:rsidP="00750175">
            <w:pPr>
              <w:pStyle w:val="Tabletext"/>
              <w:keepNext/>
              <w:rPr>
                <w:b/>
              </w:rPr>
            </w:pPr>
            <w:r>
              <w:rPr>
                <w:b/>
              </w:rPr>
              <w:t>neoNIVO</w:t>
            </w:r>
            <w:r w:rsidR="00A97318" w:rsidRPr="00C979A9">
              <w:rPr>
                <w:b/>
              </w:rPr>
              <w:t>+</w:t>
            </w:r>
            <w:r>
              <w:rPr>
                <w:b/>
              </w:rPr>
              <w:t>neoChemo</w:t>
            </w:r>
          </w:p>
          <w:p w14:paraId="0908369C" w14:textId="77777777" w:rsidR="00A97318" w:rsidRPr="00C979A9" w:rsidRDefault="00A97318" w:rsidP="00750175">
            <w:pPr>
              <w:pStyle w:val="Tabletext"/>
              <w:keepNext/>
              <w:rPr>
                <w:b/>
              </w:rPr>
            </w:pPr>
            <w:r w:rsidRPr="00C979A9">
              <w:rPr>
                <w:b/>
              </w:rPr>
              <w:t>(N=176)</w:t>
            </w:r>
          </w:p>
        </w:tc>
        <w:tc>
          <w:tcPr>
            <w:tcW w:w="1866" w:type="dxa"/>
            <w:gridSpan w:val="2"/>
            <w:shd w:val="clear" w:color="auto" w:fill="auto"/>
          </w:tcPr>
          <w:p w14:paraId="1B23B572" w14:textId="0D2A9481" w:rsidR="00A97318" w:rsidRPr="00C979A9" w:rsidRDefault="000039B4" w:rsidP="00750175">
            <w:pPr>
              <w:pStyle w:val="Tabletext"/>
              <w:keepNext/>
              <w:rPr>
                <w:b/>
              </w:rPr>
            </w:pPr>
            <w:r>
              <w:rPr>
                <w:b/>
              </w:rPr>
              <w:t>neoChemo</w:t>
            </w:r>
          </w:p>
          <w:p w14:paraId="43F4A7C9" w14:textId="77777777" w:rsidR="00A97318" w:rsidRPr="00C979A9" w:rsidRDefault="00A97318" w:rsidP="00750175">
            <w:pPr>
              <w:pStyle w:val="Tabletext"/>
              <w:keepNext/>
              <w:rPr>
                <w:b/>
              </w:rPr>
            </w:pPr>
            <w:r w:rsidRPr="00C979A9">
              <w:rPr>
                <w:b/>
              </w:rPr>
              <w:t>(N=176)</w:t>
            </w:r>
          </w:p>
        </w:tc>
        <w:tc>
          <w:tcPr>
            <w:tcW w:w="1940" w:type="dxa"/>
            <w:gridSpan w:val="2"/>
            <w:shd w:val="clear" w:color="auto" w:fill="auto"/>
          </w:tcPr>
          <w:p w14:paraId="1BD5ADE7" w14:textId="6C1A0F2F" w:rsidR="00A97318" w:rsidRPr="00C979A9" w:rsidRDefault="000039B4" w:rsidP="00750175">
            <w:pPr>
              <w:pStyle w:val="Tabletext"/>
              <w:keepNext/>
              <w:rPr>
                <w:b/>
              </w:rPr>
            </w:pPr>
            <w:r>
              <w:rPr>
                <w:b/>
              </w:rPr>
              <w:t>neoChemo</w:t>
            </w:r>
          </w:p>
          <w:p w14:paraId="6F7D2F43" w14:textId="77777777" w:rsidR="00A97318" w:rsidRPr="00C979A9" w:rsidRDefault="00A97318" w:rsidP="00750175">
            <w:pPr>
              <w:pStyle w:val="Tabletext"/>
              <w:keepNext/>
              <w:rPr>
                <w:b/>
              </w:rPr>
            </w:pPr>
            <w:r w:rsidRPr="00C979A9">
              <w:rPr>
                <w:b/>
              </w:rPr>
              <w:t>(N=193)</w:t>
            </w:r>
          </w:p>
        </w:tc>
        <w:tc>
          <w:tcPr>
            <w:tcW w:w="1937" w:type="dxa"/>
            <w:gridSpan w:val="2"/>
            <w:shd w:val="clear" w:color="auto" w:fill="auto"/>
          </w:tcPr>
          <w:p w14:paraId="308B0DF5" w14:textId="14B34CB1" w:rsidR="00A97318" w:rsidRPr="00C979A9" w:rsidRDefault="003D24E4" w:rsidP="00750175">
            <w:pPr>
              <w:pStyle w:val="Tabletext"/>
              <w:keepNext/>
              <w:rPr>
                <w:b/>
              </w:rPr>
            </w:pPr>
            <w:r>
              <w:rPr>
                <w:b/>
              </w:rPr>
              <w:t>adjChemo</w:t>
            </w:r>
          </w:p>
          <w:p w14:paraId="61A34A24" w14:textId="77777777" w:rsidR="00A97318" w:rsidRPr="00C979A9" w:rsidRDefault="00A97318" w:rsidP="00750175">
            <w:pPr>
              <w:pStyle w:val="Tabletext"/>
              <w:keepNext/>
              <w:rPr>
                <w:b/>
              </w:rPr>
            </w:pPr>
            <w:r w:rsidRPr="00C979A9">
              <w:rPr>
                <w:b/>
              </w:rPr>
              <w:t>(N=139)</w:t>
            </w:r>
          </w:p>
        </w:tc>
      </w:tr>
      <w:tr w:rsidR="00A97318" w14:paraId="4FDEB6BB" w14:textId="77777777" w:rsidTr="002A6A11">
        <w:trPr>
          <w:cantSplit/>
        </w:trPr>
        <w:tc>
          <w:tcPr>
            <w:tcW w:w="1281" w:type="dxa"/>
            <w:tcBorders>
              <w:top w:val="nil"/>
              <w:bottom w:val="single" w:sz="4" w:space="0" w:color="auto"/>
            </w:tcBorders>
            <w:shd w:val="clear" w:color="auto" w:fill="auto"/>
          </w:tcPr>
          <w:p w14:paraId="15CFA708" w14:textId="77777777" w:rsidR="00A97318" w:rsidRPr="00893E78" w:rsidRDefault="00A97318" w:rsidP="00750175">
            <w:pPr>
              <w:pStyle w:val="Tabletext"/>
              <w:keepNext/>
            </w:pPr>
          </w:p>
        </w:tc>
        <w:tc>
          <w:tcPr>
            <w:tcW w:w="1011" w:type="dxa"/>
            <w:shd w:val="clear" w:color="auto" w:fill="auto"/>
          </w:tcPr>
          <w:p w14:paraId="5A47ADA1" w14:textId="77777777" w:rsidR="00A97318" w:rsidRPr="009648A3" w:rsidRDefault="00A97318" w:rsidP="00750175">
            <w:pPr>
              <w:pStyle w:val="Tabletext"/>
              <w:keepNext/>
              <w:rPr>
                <w:b/>
                <w:bCs/>
              </w:rPr>
            </w:pPr>
            <w:r w:rsidRPr="009648A3">
              <w:rPr>
                <w:b/>
                <w:bCs/>
              </w:rPr>
              <w:t>Any Grade</w:t>
            </w:r>
          </w:p>
        </w:tc>
        <w:tc>
          <w:tcPr>
            <w:tcW w:w="982" w:type="dxa"/>
            <w:shd w:val="clear" w:color="auto" w:fill="auto"/>
          </w:tcPr>
          <w:p w14:paraId="0ADCDD85" w14:textId="77777777" w:rsidR="00A97318" w:rsidRPr="00C979A9" w:rsidRDefault="00A97318" w:rsidP="00750175">
            <w:pPr>
              <w:pStyle w:val="Tabletext"/>
              <w:keepNext/>
              <w:rPr>
                <w:b/>
              </w:rPr>
            </w:pPr>
            <w:r w:rsidRPr="00C979A9">
              <w:rPr>
                <w:b/>
              </w:rPr>
              <w:t>Grade 3-4</w:t>
            </w:r>
          </w:p>
        </w:tc>
        <w:tc>
          <w:tcPr>
            <w:tcW w:w="932" w:type="dxa"/>
            <w:shd w:val="clear" w:color="auto" w:fill="auto"/>
          </w:tcPr>
          <w:p w14:paraId="562AFD99" w14:textId="77777777" w:rsidR="00A97318" w:rsidRPr="00C979A9" w:rsidRDefault="00A97318" w:rsidP="00750175">
            <w:pPr>
              <w:pStyle w:val="Tabletext"/>
              <w:keepNext/>
              <w:rPr>
                <w:b/>
              </w:rPr>
            </w:pPr>
            <w:r w:rsidRPr="00C979A9">
              <w:rPr>
                <w:b/>
              </w:rPr>
              <w:t>Any Grade</w:t>
            </w:r>
          </w:p>
        </w:tc>
        <w:tc>
          <w:tcPr>
            <w:tcW w:w="934" w:type="dxa"/>
            <w:shd w:val="clear" w:color="auto" w:fill="auto"/>
          </w:tcPr>
          <w:p w14:paraId="4A4FBEF5" w14:textId="77777777" w:rsidR="00A97318" w:rsidRPr="00C979A9" w:rsidRDefault="00A97318" w:rsidP="00750175">
            <w:pPr>
              <w:pStyle w:val="Tabletext"/>
              <w:keepNext/>
              <w:rPr>
                <w:b/>
              </w:rPr>
            </w:pPr>
            <w:r w:rsidRPr="00C979A9">
              <w:rPr>
                <w:b/>
              </w:rPr>
              <w:t>Grade 3-4</w:t>
            </w:r>
          </w:p>
        </w:tc>
        <w:tc>
          <w:tcPr>
            <w:tcW w:w="989" w:type="dxa"/>
            <w:shd w:val="clear" w:color="auto" w:fill="auto"/>
          </w:tcPr>
          <w:p w14:paraId="705D97D0" w14:textId="77777777" w:rsidR="00A97318" w:rsidRPr="00C979A9" w:rsidRDefault="00A97318" w:rsidP="00750175">
            <w:pPr>
              <w:pStyle w:val="Tabletext"/>
              <w:keepNext/>
              <w:rPr>
                <w:b/>
              </w:rPr>
            </w:pPr>
            <w:r w:rsidRPr="00C979A9">
              <w:rPr>
                <w:b/>
              </w:rPr>
              <w:t>Any Grade</w:t>
            </w:r>
          </w:p>
        </w:tc>
        <w:tc>
          <w:tcPr>
            <w:tcW w:w="951" w:type="dxa"/>
            <w:shd w:val="clear" w:color="auto" w:fill="auto"/>
          </w:tcPr>
          <w:p w14:paraId="51960C75" w14:textId="77777777" w:rsidR="00A97318" w:rsidRPr="00C979A9" w:rsidRDefault="00A97318" w:rsidP="00750175">
            <w:pPr>
              <w:pStyle w:val="Tabletext"/>
              <w:keepNext/>
              <w:rPr>
                <w:b/>
              </w:rPr>
            </w:pPr>
            <w:r w:rsidRPr="00C979A9">
              <w:rPr>
                <w:b/>
              </w:rPr>
              <w:t>Grade 3-4</w:t>
            </w:r>
          </w:p>
        </w:tc>
        <w:tc>
          <w:tcPr>
            <w:tcW w:w="989" w:type="dxa"/>
            <w:shd w:val="clear" w:color="auto" w:fill="auto"/>
          </w:tcPr>
          <w:p w14:paraId="0468D520" w14:textId="77777777" w:rsidR="00A97318" w:rsidRPr="00C979A9" w:rsidRDefault="00A97318" w:rsidP="00750175">
            <w:pPr>
              <w:pStyle w:val="Tabletext"/>
              <w:keepNext/>
              <w:rPr>
                <w:b/>
              </w:rPr>
            </w:pPr>
            <w:r w:rsidRPr="00C979A9">
              <w:rPr>
                <w:b/>
              </w:rPr>
              <w:t>Any Grade</w:t>
            </w:r>
          </w:p>
        </w:tc>
        <w:tc>
          <w:tcPr>
            <w:tcW w:w="948" w:type="dxa"/>
            <w:shd w:val="clear" w:color="auto" w:fill="auto"/>
          </w:tcPr>
          <w:p w14:paraId="44C4E053" w14:textId="77777777" w:rsidR="00A97318" w:rsidRPr="00C979A9" w:rsidRDefault="00A97318" w:rsidP="00750175">
            <w:pPr>
              <w:pStyle w:val="Tabletext"/>
              <w:keepNext/>
              <w:rPr>
                <w:b/>
              </w:rPr>
            </w:pPr>
            <w:r w:rsidRPr="00C979A9">
              <w:rPr>
                <w:b/>
              </w:rPr>
              <w:t>Grade 3-4</w:t>
            </w:r>
          </w:p>
        </w:tc>
      </w:tr>
      <w:tr w:rsidR="00A97318" w14:paraId="7CB20992" w14:textId="77777777" w:rsidTr="002A6A11">
        <w:trPr>
          <w:cantSplit/>
        </w:trPr>
        <w:tc>
          <w:tcPr>
            <w:tcW w:w="1281" w:type="dxa"/>
            <w:shd w:val="clear" w:color="auto" w:fill="auto"/>
          </w:tcPr>
          <w:p w14:paraId="2E14F0F6" w14:textId="77777777" w:rsidR="00A97318" w:rsidRDefault="00A97318" w:rsidP="00750175">
            <w:pPr>
              <w:pStyle w:val="Tabletext"/>
              <w:keepNext/>
            </w:pPr>
            <w:r w:rsidRPr="000158A4">
              <w:t>Nausea</w:t>
            </w:r>
          </w:p>
        </w:tc>
        <w:tc>
          <w:tcPr>
            <w:tcW w:w="1011" w:type="dxa"/>
            <w:shd w:val="clear" w:color="auto" w:fill="auto"/>
          </w:tcPr>
          <w:p w14:paraId="746CDCB7" w14:textId="77777777" w:rsidR="00A97318" w:rsidRPr="00D219A2" w:rsidRDefault="00A97318" w:rsidP="00750175">
            <w:pPr>
              <w:pStyle w:val="Tabletext"/>
              <w:keepNext/>
            </w:pPr>
            <w:r>
              <w:t>58</w:t>
            </w:r>
            <w:r w:rsidRPr="00D219A2">
              <w:t xml:space="preserve"> (</w:t>
            </w:r>
            <w:r>
              <w:t>33</w:t>
            </w:r>
            <w:r w:rsidRPr="00D219A2">
              <w:t>%)</w:t>
            </w:r>
          </w:p>
        </w:tc>
        <w:tc>
          <w:tcPr>
            <w:tcW w:w="982" w:type="dxa"/>
            <w:shd w:val="clear" w:color="auto" w:fill="auto"/>
          </w:tcPr>
          <w:p w14:paraId="0F5C4009" w14:textId="77777777" w:rsidR="00A97318" w:rsidRPr="00D219A2" w:rsidRDefault="00A97318" w:rsidP="00750175">
            <w:pPr>
              <w:pStyle w:val="Tabletext"/>
              <w:keepNext/>
            </w:pPr>
            <w:r>
              <w:t xml:space="preserve">1 </w:t>
            </w:r>
            <w:r w:rsidRPr="00D219A2">
              <w:t>(</w:t>
            </w:r>
            <w:r>
              <w:t>0.6</w:t>
            </w:r>
            <w:r w:rsidRPr="00D219A2">
              <w:t>%)</w:t>
            </w:r>
          </w:p>
        </w:tc>
        <w:tc>
          <w:tcPr>
            <w:tcW w:w="932" w:type="dxa"/>
            <w:shd w:val="clear" w:color="auto" w:fill="auto"/>
          </w:tcPr>
          <w:p w14:paraId="61114DF1" w14:textId="77777777" w:rsidR="00A97318" w:rsidRPr="00D219A2" w:rsidRDefault="00A97318" w:rsidP="00750175">
            <w:pPr>
              <w:pStyle w:val="Tabletext"/>
              <w:keepNext/>
            </w:pPr>
            <w:r>
              <w:t xml:space="preserve">73 </w:t>
            </w:r>
            <w:r w:rsidRPr="00D219A2">
              <w:t>(</w:t>
            </w:r>
            <w:r>
              <w:t>42</w:t>
            </w:r>
            <w:r w:rsidRPr="00D219A2">
              <w:t>%)</w:t>
            </w:r>
          </w:p>
        </w:tc>
        <w:tc>
          <w:tcPr>
            <w:tcW w:w="934" w:type="dxa"/>
            <w:shd w:val="clear" w:color="auto" w:fill="auto"/>
          </w:tcPr>
          <w:p w14:paraId="6FE80AFD" w14:textId="77777777" w:rsidR="00A97318" w:rsidRPr="00D219A2" w:rsidRDefault="00A97318" w:rsidP="00750175">
            <w:pPr>
              <w:pStyle w:val="Tabletext"/>
              <w:keepNext/>
            </w:pPr>
            <w:r>
              <w:t>1</w:t>
            </w:r>
            <w:r w:rsidRPr="00D219A2">
              <w:t xml:space="preserve"> (0.</w:t>
            </w:r>
            <w:r>
              <w:t>6</w:t>
            </w:r>
            <w:r w:rsidRPr="00D219A2">
              <w:t>%)</w:t>
            </w:r>
          </w:p>
        </w:tc>
        <w:tc>
          <w:tcPr>
            <w:tcW w:w="989" w:type="dxa"/>
            <w:shd w:val="clear" w:color="auto" w:fill="auto"/>
          </w:tcPr>
          <w:p w14:paraId="33FA7017" w14:textId="77777777" w:rsidR="00A97318" w:rsidRDefault="00A97318" w:rsidP="00750175">
            <w:pPr>
              <w:pStyle w:val="Tabletext"/>
              <w:keepNext/>
            </w:pPr>
            <w:r w:rsidRPr="0015746A">
              <w:t>38 (20%)</w:t>
            </w:r>
          </w:p>
        </w:tc>
        <w:tc>
          <w:tcPr>
            <w:tcW w:w="951" w:type="dxa"/>
            <w:shd w:val="clear" w:color="auto" w:fill="auto"/>
          </w:tcPr>
          <w:p w14:paraId="29AAF6A7" w14:textId="77777777" w:rsidR="00A97318" w:rsidRDefault="00A97318" w:rsidP="00750175">
            <w:pPr>
              <w:pStyle w:val="Tabletext"/>
              <w:keepNext/>
            </w:pPr>
            <w:r w:rsidRPr="0015746A">
              <w:t>3 (2%)</w:t>
            </w:r>
          </w:p>
        </w:tc>
        <w:tc>
          <w:tcPr>
            <w:tcW w:w="989" w:type="dxa"/>
            <w:shd w:val="clear" w:color="auto" w:fill="auto"/>
          </w:tcPr>
          <w:p w14:paraId="1EC52569" w14:textId="77777777" w:rsidR="00A97318" w:rsidRDefault="00A97318" w:rsidP="00750175">
            <w:pPr>
              <w:pStyle w:val="Tabletext"/>
              <w:keepNext/>
            </w:pPr>
            <w:r w:rsidRPr="0015746A">
              <w:t>44 (32%)</w:t>
            </w:r>
          </w:p>
        </w:tc>
        <w:tc>
          <w:tcPr>
            <w:tcW w:w="948" w:type="dxa"/>
            <w:shd w:val="clear" w:color="auto" w:fill="auto"/>
          </w:tcPr>
          <w:p w14:paraId="0C38DE3A" w14:textId="77777777" w:rsidR="00A97318" w:rsidRDefault="00A97318" w:rsidP="00750175">
            <w:pPr>
              <w:pStyle w:val="Tabletext"/>
              <w:keepNext/>
            </w:pPr>
            <w:r w:rsidRPr="0015746A">
              <w:t>4 (3%)</w:t>
            </w:r>
          </w:p>
        </w:tc>
      </w:tr>
      <w:tr w:rsidR="00A97318" w14:paraId="3BF425F5" w14:textId="77777777" w:rsidTr="002A6A11">
        <w:trPr>
          <w:cantSplit/>
        </w:trPr>
        <w:tc>
          <w:tcPr>
            <w:tcW w:w="1281" w:type="dxa"/>
            <w:shd w:val="clear" w:color="auto" w:fill="auto"/>
          </w:tcPr>
          <w:p w14:paraId="55261036" w14:textId="77777777" w:rsidR="00A97318" w:rsidRPr="00BD438E" w:rsidRDefault="00A97318" w:rsidP="00750175">
            <w:pPr>
              <w:pStyle w:val="Tabletext"/>
              <w:keepNext/>
              <w:rPr>
                <w:vertAlign w:val="superscript"/>
              </w:rPr>
            </w:pPr>
            <w:r w:rsidRPr="000158A4">
              <w:t>An</w:t>
            </w:r>
            <w:r>
              <w:t>a</w:t>
            </w:r>
            <w:r w:rsidRPr="000158A4">
              <w:t>emia</w:t>
            </w:r>
          </w:p>
        </w:tc>
        <w:tc>
          <w:tcPr>
            <w:tcW w:w="1011" w:type="dxa"/>
            <w:shd w:val="clear" w:color="auto" w:fill="auto"/>
          </w:tcPr>
          <w:p w14:paraId="3048D04B" w14:textId="77777777" w:rsidR="00A97318" w:rsidRPr="00D219A2" w:rsidRDefault="00A97318" w:rsidP="00750175">
            <w:pPr>
              <w:pStyle w:val="Tabletext"/>
              <w:keepNext/>
            </w:pPr>
            <w:r>
              <w:t>42</w:t>
            </w:r>
            <w:r w:rsidRPr="00D219A2">
              <w:t xml:space="preserve"> (2</w:t>
            </w:r>
            <w:r>
              <w:t>4</w:t>
            </w:r>
            <w:r w:rsidRPr="00D219A2">
              <w:t>%)</w:t>
            </w:r>
          </w:p>
        </w:tc>
        <w:tc>
          <w:tcPr>
            <w:tcW w:w="982" w:type="dxa"/>
            <w:shd w:val="clear" w:color="auto" w:fill="auto"/>
          </w:tcPr>
          <w:p w14:paraId="746B9D91" w14:textId="77777777" w:rsidR="00A97318" w:rsidRPr="00D219A2" w:rsidRDefault="00A97318" w:rsidP="00750175">
            <w:pPr>
              <w:pStyle w:val="Tabletext"/>
              <w:keepNext/>
            </w:pPr>
            <w:r>
              <w:t>5</w:t>
            </w:r>
            <w:r w:rsidRPr="00D219A2">
              <w:t xml:space="preserve"> (</w:t>
            </w:r>
            <w:r>
              <w:t>3</w:t>
            </w:r>
            <w:r w:rsidRPr="00D219A2">
              <w:t>%)</w:t>
            </w:r>
          </w:p>
        </w:tc>
        <w:tc>
          <w:tcPr>
            <w:tcW w:w="932" w:type="dxa"/>
            <w:shd w:val="clear" w:color="auto" w:fill="auto"/>
          </w:tcPr>
          <w:p w14:paraId="5F88B916" w14:textId="77777777" w:rsidR="00A97318" w:rsidRPr="00D219A2" w:rsidRDefault="00A97318" w:rsidP="00750175">
            <w:pPr>
              <w:pStyle w:val="Tabletext"/>
              <w:keepNext/>
            </w:pPr>
            <w:r>
              <w:t>40</w:t>
            </w:r>
            <w:r w:rsidRPr="00D219A2">
              <w:t xml:space="preserve"> (</w:t>
            </w:r>
            <w:r>
              <w:t>23</w:t>
            </w:r>
            <w:r w:rsidRPr="00D219A2">
              <w:t>%)</w:t>
            </w:r>
          </w:p>
        </w:tc>
        <w:tc>
          <w:tcPr>
            <w:tcW w:w="934" w:type="dxa"/>
            <w:shd w:val="clear" w:color="auto" w:fill="auto"/>
          </w:tcPr>
          <w:p w14:paraId="1B31731C" w14:textId="77777777" w:rsidR="00A97318" w:rsidRPr="00D219A2" w:rsidRDefault="00A97318" w:rsidP="00750175">
            <w:pPr>
              <w:pStyle w:val="Tabletext"/>
              <w:keepNext/>
            </w:pPr>
            <w:r>
              <w:t>6</w:t>
            </w:r>
            <w:r w:rsidRPr="00D219A2">
              <w:t xml:space="preserve"> (</w:t>
            </w:r>
            <w:r>
              <w:t>3</w:t>
            </w:r>
            <w:r w:rsidRPr="00D219A2">
              <w:t>%)</w:t>
            </w:r>
          </w:p>
        </w:tc>
        <w:tc>
          <w:tcPr>
            <w:tcW w:w="989" w:type="dxa"/>
            <w:shd w:val="clear" w:color="auto" w:fill="auto"/>
          </w:tcPr>
          <w:p w14:paraId="5319C526" w14:textId="77777777" w:rsidR="00A97318" w:rsidRDefault="00A97318" w:rsidP="00750175">
            <w:pPr>
              <w:pStyle w:val="Tabletext"/>
              <w:keepNext/>
            </w:pPr>
            <w:r w:rsidRPr="0015746A">
              <w:t>76 (39%)</w:t>
            </w:r>
          </w:p>
        </w:tc>
        <w:tc>
          <w:tcPr>
            <w:tcW w:w="951" w:type="dxa"/>
            <w:shd w:val="clear" w:color="auto" w:fill="auto"/>
          </w:tcPr>
          <w:p w14:paraId="1EAD23B0" w14:textId="77777777" w:rsidR="00A97318" w:rsidRDefault="00A97318" w:rsidP="00750175">
            <w:pPr>
              <w:pStyle w:val="Tabletext"/>
              <w:keepNext/>
            </w:pPr>
            <w:r w:rsidRPr="0015746A">
              <w:t>1 (0.5%)</w:t>
            </w:r>
          </w:p>
        </w:tc>
        <w:tc>
          <w:tcPr>
            <w:tcW w:w="989" w:type="dxa"/>
            <w:shd w:val="clear" w:color="auto" w:fill="auto"/>
          </w:tcPr>
          <w:p w14:paraId="733EEB74" w14:textId="77777777" w:rsidR="00A97318" w:rsidRDefault="00A97318" w:rsidP="00750175">
            <w:pPr>
              <w:pStyle w:val="Tabletext"/>
              <w:keepNext/>
            </w:pPr>
            <w:r w:rsidRPr="0015746A">
              <w:t>59 (42%)</w:t>
            </w:r>
          </w:p>
        </w:tc>
        <w:tc>
          <w:tcPr>
            <w:tcW w:w="948" w:type="dxa"/>
            <w:shd w:val="clear" w:color="auto" w:fill="auto"/>
          </w:tcPr>
          <w:p w14:paraId="4FDBBD25" w14:textId="77777777" w:rsidR="00A97318" w:rsidRDefault="00A97318" w:rsidP="00750175">
            <w:pPr>
              <w:pStyle w:val="Tabletext"/>
              <w:keepNext/>
            </w:pPr>
            <w:r w:rsidRPr="0015746A">
              <w:t>2 (1%)</w:t>
            </w:r>
          </w:p>
        </w:tc>
      </w:tr>
      <w:tr w:rsidR="00A97318" w14:paraId="76B9AC82" w14:textId="77777777" w:rsidTr="002A6A11">
        <w:trPr>
          <w:cantSplit/>
        </w:trPr>
        <w:tc>
          <w:tcPr>
            <w:tcW w:w="1281" w:type="dxa"/>
            <w:shd w:val="clear" w:color="auto" w:fill="auto"/>
          </w:tcPr>
          <w:p w14:paraId="206108F7" w14:textId="77777777" w:rsidR="00A97318" w:rsidRDefault="00A97318" w:rsidP="00750175">
            <w:pPr>
              <w:pStyle w:val="Tabletext"/>
              <w:keepNext/>
            </w:pPr>
            <w:r>
              <w:t>Constipation</w:t>
            </w:r>
          </w:p>
        </w:tc>
        <w:tc>
          <w:tcPr>
            <w:tcW w:w="1011" w:type="dxa"/>
            <w:shd w:val="clear" w:color="auto" w:fill="auto"/>
          </w:tcPr>
          <w:p w14:paraId="45A1A0DB" w14:textId="77777777" w:rsidR="00A97318" w:rsidRPr="00D219A2" w:rsidRDefault="00A97318" w:rsidP="00750175">
            <w:pPr>
              <w:pStyle w:val="Tabletext"/>
              <w:keepNext/>
            </w:pPr>
            <w:r>
              <w:t>37</w:t>
            </w:r>
            <w:r w:rsidRPr="00D219A2">
              <w:t xml:space="preserve"> (21%)</w:t>
            </w:r>
          </w:p>
        </w:tc>
        <w:tc>
          <w:tcPr>
            <w:tcW w:w="982" w:type="dxa"/>
            <w:shd w:val="clear" w:color="auto" w:fill="auto"/>
          </w:tcPr>
          <w:p w14:paraId="64A4C314" w14:textId="77777777" w:rsidR="00A97318" w:rsidRPr="00D219A2" w:rsidRDefault="00A97318" w:rsidP="00750175">
            <w:pPr>
              <w:pStyle w:val="Tabletext"/>
              <w:keepNext/>
            </w:pPr>
            <w:r>
              <w:t>0</w:t>
            </w:r>
          </w:p>
        </w:tc>
        <w:tc>
          <w:tcPr>
            <w:tcW w:w="932" w:type="dxa"/>
            <w:shd w:val="clear" w:color="auto" w:fill="auto"/>
          </w:tcPr>
          <w:p w14:paraId="1FDCC816" w14:textId="77777777" w:rsidR="00A97318" w:rsidRPr="00D219A2" w:rsidRDefault="00A97318" w:rsidP="00750175">
            <w:pPr>
              <w:pStyle w:val="Tabletext"/>
              <w:keepNext/>
            </w:pPr>
            <w:r>
              <w:t>36</w:t>
            </w:r>
            <w:r w:rsidRPr="00D219A2">
              <w:t xml:space="preserve"> (</w:t>
            </w:r>
            <w:r>
              <w:t>21</w:t>
            </w:r>
            <w:r w:rsidRPr="00D219A2">
              <w:t>%)</w:t>
            </w:r>
          </w:p>
        </w:tc>
        <w:tc>
          <w:tcPr>
            <w:tcW w:w="934" w:type="dxa"/>
            <w:shd w:val="clear" w:color="auto" w:fill="auto"/>
          </w:tcPr>
          <w:p w14:paraId="73F4A418" w14:textId="77777777" w:rsidR="00A97318" w:rsidRPr="00D219A2" w:rsidRDefault="00A97318" w:rsidP="00750175">
            <w:pPr>
              <w:pStyle w:val="Tabletext"/>
              <w:keepNext/>
            </w:pPr>
            <w:r>
              <w:t>2</w:t>
            </w:r>
            <w:r w:rsidRPr="00D219A2">
              <w:t xml:space="preserve"> (</w:t>
            </w:r>
            <w:r>
              <w:t>1</w:t>
            </w:r>
            <w:r w:rsidRPr="00D219A2">
              <w:t>%)</w:t>
            </w:r>
          </w:p>
        </w:tc>
        <w:tc>
          <w:tcPr>
            <w:tcW w:w="989" w:type="dxa"/>
            <w:shd w:val="clear" w:color="auto" w:fill="auto"/>
          </w:tcPr>
          <w:p w14:paraId="0B481E17" w14:textId="77777777" w:rsidR="00A97318" w:rsidRDefault="00A97318" w:rsidP="00750175">
            <w:pPr>
              <w:pStyle w:val="Tabletext"/>
              <w:keepNext/>
            </w:pPr>
            <w:r>
              <w:t>NR</w:t>
            </w:r>
          </w:p>
        </w:tc>
        <w:tc>
          <w:tcPr>
            <w:tcW w:w="951" w:type="dxa"/>
            <w:shd w:val="clear" w:color="auto" w:fill="auto"/>
          </w:tcPr>
          <w:p w14:paraId="68B70516" w14:textId="77777777" w:rsidR="00A97318" w:rsidRDefault="00A97318" w:rsidP="00750175">
            <w:pPr>
              <w:pStyle w:val="Tabletext"/>
              <w:keepNext/>
            </w:pPr>
            <w:r>
              <w:t>NR</w:t>
            </w:r>
          </w:p>
        </w:tc>
        <w:tc>
          <w:tcPr>
            <w:tcW w:w="989" w:type="dxa"/>
            <w:shd w:val="clear" w:color="auto" w:fill="auto"/>
          </w:tcPr>
          <w:p w14:paraId="504B07B0" w14:textId="77777777" w:rsidR="00A97318" w:rsidRDefault="00A97318" w:rsidP="00750175">
            <w:pPr>
              <w:pStyle w:val="Tabletext"/>
              <w:keepNext/>
            </w:pPr>
            <w:r>
              <w:t>NR</w:t>
            </w:r>
          </w:p>
        </w:tc>
        <w:tc>
          <w:tcPr>
            <w:tcW w:w="948" w:type="dxa"/>
            <w:shd w:val="clear" w:color="auto" w:fill="auto"/>
          </w:tcPr>
          <w:p w14:paraId="6972DDF3" w14:textId="77777777" w:rsidR="00A97318" w:rsidRDefault="00A97318" w:rsidP="00750175">
            <w:pPr>
              <w:pStyle w:val="Tabletext"/>
              <w:keepNext/>
            </w:pPr>
            <w:r>
              <w:t>NR</w:t>
            </w:r>
          </w:p>
        </w:tc>
      </w:tr>
      <w:tr w:rsidR="00A97318" w14:paraId="3A2AE840" w14:textId="77777777" w:rsidTr="002A6A11">
        <w:trPr>
          <w:cantSplit/>
        </w:trPr>
        <w:tc>
          <w:tcPr>
            <w:tcW w:w="1281" w:type="dxa"/>
            <w:shd w:val="clear" w:color="auto" w:fill="auto"/>
          </w:tcPr>
          <w:p w14:paraId="4C1BF362" w14:textId="77777777" w:rsidR="00A97318" w:rsidRPr="008321B3" w:rsidRDefault="00A97318" w:rsidP="00750175">
            <w:pPr>
              <w:pStyle w:val="Tabletext"/>
              <w:keepNext/>
            </w:pPr>
            <w:r>
              <w:t>Decreased appetite</w:t>
            </w:r>
          </w:p>
        </w:tc>
        <w:tc>
          <w:tcPr>
            <w:tcW w:w="1011" w:type="dxa"/>
            <w:shd w:val="clear" w:color="auto" w:fill="auto"/>
          </w:tcPr>
          <w:p w14:paraId="6754CFB0" w14:textId="77777777" w:rsidR="00A97318" w:rsidRPr="00D219A2" w:rsidRDefault="00A97318" w:rsidP="00750175">
            <w:pPr>
              <w:pStyle w:val="Tabletext"/>
              <w:keepNext/>
            </w:pPr>
            <w:r>
              <w:t>29</w:t>
            </w:r>
            <w:r w:rsidRPr="00D219A2">
              <w:t xml:space="preserve"> (1</w:t>
            </w:r>
            <w:r>
              <w:t>7</w:t>
            </w:r>
            <w:r w:rsidRPr="00D219A2">
              <w:t>%)</w:t>
            </w:r>
          </w:p>
        </w:tc>
        <w:tc>
          <w:tcPr>
            <w:tcW w:w="982" w:type="dxa"/>
            <w:shd w:val="clear" w:color="auto" w:fill="auto"/>
          </w:tcPr>
          <w:p w14:paraId="3BB09204" w14:textId="77777777" w:rsidR="00A97318" w:rsidRPr="00D219A2" w:rsidRDefault="00A97318" w:rsidP="00750175">
            <w:pPr>
              <w:pStyle w:val="Tabletext"/>
              <w:keepNext/>
            </w:pPr>
            <w:r>
              <w:t xml:space="preserve">2 </w:t>
            </w:r>
            <w:r w:rsidRPr="00D219A2">
              <w:t>(</w:t>
            </w:r>
            <w:r>
              <w:t>1</w:t>
            </w:r>
            <w:r w:rsidRPr="00D219A2">
              <w:t>%)</w:t>
            </w:r>
          </w:p>
        </w:tc>
        <w:tc>
          <w:tcPr>
            <w:tcW w:w="932" w:type="dxa"/>
            <w:shd w:val="clear" w:color="auto" w:fill="auto"/>
          </w:tcPr>
          <w:p w14:paraId="7FDE7FB0" w14:textId="77777777" w:rsidR="00A97318" w:rsidRPr="00D219A2" w:rsidRDefault="00A97318" w:rsidP="00750175">
            <w:pPr>
              <w:pStyle w:val="Tabletext"/>
              <w:keepNext/>
            </w:pPr>
            <w:r>
              <w:t>38</w:t>
            </w:r>
            <w:r w:rsidRPr="00D219A2">
              <w:t xml:space="preserve"> (</w:t>
            </w:r>
            <w:r>
              <w:t>2</w:t>
            </w:r>
            <w:r w:rsidRPr="00D219A2">
              <w:t>2%)</w:t>
            </w:r>
          </w:p>
        </w:tc>
        <w:tc>
          <w:tcPr>
            <w:tcW w:w="934" w:type="dxa"/>
            <w:shd w:val="clear" w:color="auto" w:fill="auto"/>
          </w:tcPr>
          <w:p w14:paraId="15D573C8" w14:textId="77777777" w:rsidR="00A97318" w:rsidRPr="00D219A2" w:rsidRDefault="00A97318" w:rsidP="00750175">
            <w:pPr>
              <w:pStyle w:val="Tabletext"/>
              <w:keepNext/>
            </w:pPr>
            <w:r>
              <w:t>4</w:t>
            </w:r>
            <w:r w:rsidRPr="00D219A2">
              <w:t xml:space="preserve"> (</w:t>
            </w:r>
            <w:r>
              <w:t>2</w:t>
            </w:r>
            <w:r w:rsidRPr="00D219A2">
              <w:t>%)</w:t>
            </w:r>
          </w:p>
        </w:tc>
        <w:tc>
          <w:tcPr>
            <w:tcW w:w="989" w:type="dxa"/>
            <w:shd w:val="clear" w:color="auto" w:fill="auto"/>
          </w:tcPr>
          <w:p w14:paraId="38C7886A" w14:textId="77777777" w:rsidR="00A97318" w:rsidRDefault="00A97318" w:rsidP="00750175">
            <w:pPr>
              <w:pStyle w:val="Tabletext"/>
              <w:keepNext/>
            </w:pPr>
            <w:r>
              <w:t>NR</w:t>
            </w:r>
          </w:p>
        </w:tc>
        <w:tc>
          <w:tcPr>
            <w:tcW w:w="951" w:type="dxa"/>
            <w:shd w:val="clear" w:color="auto" w:fill="auto"/>
          </w:tcPr>
          <w:p w14:paraId="59C90C4B" w14:textId="77777777" w:rsidR="00A97318" w:rsidRDefault="00A97318" w:rsidP="00750175">
            <w:pPr>
              <w:pStyle w:val="Tabletext"/>
              <w:keepNext/>
            </w:pPr>
            <w:r>
              <w:t>NR</w:t>
            </w:r>
          </w:p>
        </w:tc>
        <w:tc>
          <w:tcPr>
            <w:tcW w:w="989" w:type="dxa"/>
            <w:shd w:val="clear" w:color="auto" w:fill="auto"/>
          </w:tcPr>
          <w:p w14:paraId="10E98585" w14:textId="77777777" w:rsidR="00A97318" w:rsidRDefault="00A97318" w:rsidP="00750175">
            <w:pPr>
              <w:pStyle w:val="Tabletext"/>
              <w:keepNext/>
            </w:pPr>
            <w:r>
              <w:t>NR</w:t>
            </w:r>
          </w:p>
        </w:tc>
        <w:tc>
          <w:tcPr>
            <w:tcW w:w="948" w:type="dxa"/>
            <w:shd w:val="clear" w:color="auto" w:fill="auto"/>
          </w:tcPr>
          <w:p w14:paraId="69B404D9" w14:textId="77777777" w:rsidR="00A97318" w:rsidRDefault="00A97318" w:rsidP="00750175">
            <w:pPr>
              <w:pStyle w:val="Tabletext"/>
              <w:keepNext/>
            </w:pPr>
            <w:r>
              <w:t>NR</w:t>
            </w:r>
          </w:p>
        </w:tc>
      </w:tr>
      <w:tr w:rsidR="00A97318" w14:paraId="055D695C" w14:textId="77777777" w:rsidTr="002A6A11">
        <w:trPr>
          <w:cantSplit/>
        </w:trPr>
        <w:tc>
          <w:tcPr>
            <w:tcW w:w="1281" w:type="dxa"/>
            <w:shd w:val="clear" w:color="auto" w:fill="auto"/>
          </w:tcPr>
          <w:p w14:paraId="1B1CBCEA" w14:textId="77777777" w:rsidR="00A97318" w:rsidRPr="00BD438E" w:rsidRDefault="00A97318" w:rsidP="00750175">
            <w:pPr>
              <w:pStyle w:val="Tabletext"/>
              <w:keepNext/>
              <w:rPr>
                <w:vertAlign w:val="superscript"/>
              </w:rPr>
            </w:pPr>
            <w:r>
              <w:t>Neutropenia</w:t>
            </w:r>
          </w:p>
        </w:tc>
        <w:tc>
          <w:tcPr>
            <w:tcW w:w="1011" w:type="dxa"/>
            <w:shd w:val="clear" w:color="auto" w:fill="auto"/>
          </w:tcPr>
          <w:p w14:paraId="3888126F" w14:textId="77777777" w:rsidR="00A97318" w:rsidRPr="00D219A2" w:rsidRDefault="00A97318" w:rsidP="00750175">
            <w:pPr>
              <w:pStyle w:val="Tabletext"/>
              <w:keepNext/>
            </w:pPr>
            <w:r>
              <w:t>28</w:t>
            </w:r>
            <w:r w:rsidRPr="00D219A2">
              <w:t xml:space="preserve"> (1</w:t>
            </w:r>
            <w:r>
              <w:t>6</w:t>
            </w:r>
            <w:r w:rsidRPr="00D219A2">
              <w:t>%)</w:t>
            </w:r>
          </w:p>
        </w:tc>
        <w:tc>
          <w:tcPr>
            <w:tcW w:w="982" w:type="dxa"/>
            <w:shd w:val="clear" w:color="auto" w:fill="auto"/>
          </w:tcPr>
          <w:p w14:paraId="5737F35B" w14:textId="77777777" w:rsidR="00A97318" w:rsidRPr="00D219A2" w:rsidRDefault="00A97318" w:rsidP="00750175">
            <w:pPr>
              <w:pStyle w:val="Tabletext"/>
              <w:keepNext/>
            </w:pPr>
            <w:r>
              <w:t>15</w:t>
            </w:r>
            <w:r w:rsidRPr="00D219A2">
              <w:t xml:space="preserve"> (</w:t>
            </w:r>
            <w:r>
              <w:t>9</w:t>
            </w:r>
            <w:r w:rsidRPr="00D219A2">
              <w:t>%)</w:t>
            </w:r>
          </w:p>
        </w:tc>
        <w:tc>
          <w:tcPr>
            <w:tcW w:w="932" w:type="dxa"/>
            <w:shd w:val="clear" w:color="auto" w:fill="auto"/>
          </w:tcPr>
          <w:p w14:paraId="187FCB65" w14:textId="77777777" w:rsidR="00A97318" w:rsidRPr="00D219A2" w:rsidRDefault="00A97318" w:rsidP="00750175">
            <w:pPr>
              <w:pStyle w:val="Tabletext"/>
              <w:keepNext/>
            </w:pPr>
            <w:r>
              <w:t>29</w:t>
            </w:r>
            <w:r w:rsidRPr="00D219A2">
              <w:t xml:space="preserve"> (</w:t>
            </w:r>
            <w:r>
              <w:t>17</w:t>
            </w:r>
            <w:r w:rsidRPr="00D219A2">
              <w:t>%)</w:t>
            </w:r>
          </w:p>
        </w:tc>
        <w:tc>
          <w:tcPr>
            <w:tcW w:w="934" w:type="dxa"/>
            <w:shd w:val="clear" w:color="auto" w:fill="auto"/>
          </w:tcPr>
          <w:p w14:paraId="79AA934A" w14:textId="77777777" w:rsidR="00A97318" w:rsidRPr="00D219A2" w:rsidRDefault="00A97318" w:rsidP="00750175">
            <w:pPr>
              <w:pStyle w:val="Tabletext"/>
              <w:keepNext/>
            </w:pPr>
            <w:r>
              <w:t>21 (12%)</w:t>
            </w:r>
          </w:p>
        </w:tc>
        <w:tc>
          <w:tcPr>
            <w:tcW w:w="989" w:type="dxa"/>
            <w:shd w:val="clear" w:color="auto" w:fill="auto"/>
          </w:tcPr>
          <w:p w14:paraId="1FE18787" w14:textId="77777777" w:rsidR="00A97318" w:rsidRDefault="00A97318" w:rsidP="00750175">
            <w:pPr>
              <w:pStyle w:val="Tabletext"/>
              <w:keepNext/>
            </w:pPr>
            <w:r w:rsidRPr="0015746A">
              <w:t>62 (32%)</w:t>
            </w:r>
          </w:p>
        </w:tc>
        <w:tc>
          <w:tcPr>
            <w:tcW w:w="951" w:type="dxa"/>
            <w:shd w:val="clear" w:color="auto" w:fill="auto"/>
          </w:tcPr>
          <w:p w14:paraId="2A191372" w14:textId="77777777" w:rsidR="00A97318" w:rsidRDefault="00A97318" w:rsidP="00750175">
            <w:pPr>
              <w:pStyle w:val="Tabletext"/>
              <w:keepNext/>
            </w:pPr>
            <w:r w:rsidRPr="0015746A">
              <w:t>24 (12%)</w:t>
            </w:r>
          </w:p>
        </w:tc>
        <w:tc>
          <w:tcPr>
            <w:tcW w:w="989" w:type="dxa"/>
            <w:shd w:val="clear" w:color="auto" w:fill="auto"/>
          </w:tcPr>
          <w:p w14:paraId="1F0BC83E" w14:textId="77777777" w:rsidR="00A97318" w:rsidRDefault="00A97318" w:rsidP="00750175">
            <w:pPr>
              <w:pStyle w:val="Tabletext"/>
              <w:keepNext/>
            </w:pPr>
            <w:r w:rsidRPr="0015746A">
              <w:t>38 (27%)</w:t>
            </w:r>
          </w:p>
        </w:tc>
        <w:tc>
          <w:tcPr>
            <w:tcW w:w="948" w:type="dxa"/>
            <w:shd w:val="clear" w:color="auto" w:fill="auto"/>
          </w:tcPr>
          <w:p w14:paraId="220DC579" w14:textId="77777777" w:rsidR="00A97318" w:rsidRDefault="00A97318" w:rsidP="00750175">
            <w:pPr>
              <w:pStyle w:val="Tabletext"/>
              <w:keepNext/>
            </w:pPr>
            <w:r w:rsidRPr="0015746A">
              <w:t>10 (7%)</w:t>
            </w:r>
          </w:p>
        </w:tc>
      </w:tr>
    </w:tbl>
    <w:p w14:paraId="1656FFEC" w14:textId="77777777" w:rsidR="00A97318" w:rsidRDefault="00A97318" w:rsidP="00A97318">
      <w:pPr>
        <w:pStyle w:val="TableFooter"/>
        <w:rPr>
          <w:rFonts w:eastAsiaTheme="minorHAnsi"/>
        </w:rPr>
      </w:pPr>
      <w:r>
        <w:rPr>
          <w:rFonts w:eastAsiaTheme="minorHAnsi"/>
        </w:rPr>
        <w:t>Source: Table 72, p108 of the submission.</w:t>
      </w:r>
    </w:p>
    <w:p w14:paraId="22A4C0BA" w14:textId="555F53E6" w:rsidR="00A97318" w:rsidRPr="00FE5DCE" w:rsidRDefault="00A97318" w:rsidP="00A97318">
      <w:pPr>
        <w:pStyle w:val="TableFooter"/>
        <w:rPr>
          <w:rFonts w:eastAsia="Calibri"/>
        </w:rPr>
      </w:pPr>
      <w:r>
        <w:rPr>
          <w:rFonts w:eastAsiaTheme="minorHAnsi"/>
        </w:rPr>
        <w:t xml:space="preserve">Adj=adjuvant; Chemo=chemotherapy; </w:t>
      </w:r>
      <w:r w:rsidR="000039B4">
        <w:rPr>
          <w:rFonts w:eastAsiaTheme="minorHAnsi"/>
        </w:rPr>
        <w:t>neo</w:t>
      </w:r>
      <w:r>
        <w:rPr>
          <w:rFonts w:eastAsiaTheme="minorHAnsi"/>
        </w:rPr>
        <w:t>=neoadjuvant; NIVO=nivolumab</w:t>
      </w:r>
    </w:p>
    <w:p w14:paraId="146AFD04" w14:textId="2F474BCB" w:rsidR="00A97318" w:rsidRDefault="00A97318" w:rsidP="009648A3">
      <w:pPr>
        <w:pStyle w:val="3-BodyText"/>
        <w:spacing w:before="120"/>
        <w:rPr>
          <w:rFonts w:eastAsia="Calibri"/>
        </w:rPr>
      </w:pPr>
      <w:r w:rsidRPr="000A6E90">
        <w:rPr>
          <w:rFonts w:eastAsia="Calibri"/>
        </w:rPr>
        <w:t xml:space="preserve">AE rates varied substantially between the </w:t>
      </w:r>
      <w:r w:rsidR="000039B4" w:rsidRPr="000A6E90">
        <w:rPr>
          <w:rFonts w:eastAsia="Calibri"/>
        </w:rPr>
        <w:t>neoChemo</w:t>
      </w:r>
      <w:r w:rsidRPr="000A6E90">
        <w:rPr>
          <w:rFonts w:eastAsia="Calibri"/>
        </w:rPr>
        <w:t xml:space="preserve"> common reference arms of the CM816 and NATCH trials reflecting the different patient populations and treatment exposure.</w:t>
      </w:r>
      <w:r w:rsidRPr="00A97318">
        <w:rPr>
          <w:rFonts w:eastAsia="Calibri"/>
        </w:rPr>
        <w:t xml:space="preserve"> Higher rates of nausea were reported in CM816, while higher rates of anaemia and neutropenia were reported in NATCH. Nausea, anaemia and neutropenia are well established side effects associated with the use of the chemotherapy agents which were administered in both trials.</w:t>
      </w:r>
      <w:r w:rsidR="0083195C">
        <w:rPr>
          <w:rFonts w:eastAsia="Calibri"/>
        </w:rPr>
        <w:t xml:space="preserve"> </w:t>
      </w:r>
      <w:r w:rsidR="0083195C" w:rsidRPr="000A6E90">
        <w:rPr>
          <w:rFonts w:eastAsia="Calibri"/>
        </w:rPr>
        <w:t>The indirect comparison of safety</w:t>
      </w:r>
      <w:r w:rsidR="005D2E78" w:rsidRPr="000A6E90">
        <w:rPr>
          <w:rFonts w:eastAsia="Calibri"/>
        </w:rPr>
        <w:t xml:space="preserve"> between the CM816 and NATCH trials</w:t>
      </w:r>
      <w:r w:rsidR="0083195C" w:rsidRPr="000A6E90">
        <w:rPr>
          <w:rFonts w:eastAsia="Calibri"/>
        </w:rPr>
        <w:t xml:space="preserve"> ignores the additional incidence of IMAEs associated with neoadjuvant immunotherapy with nivolumab</w:t>
      </w:r>
      <w:r w:rsidR="0083195C">
        <w:rPr>
          <w:rFonts w:eastAsia="Calibri"/>
        </w:rPr>
        <w:t xml:space="preserve">. </w:t>
      </w:r>
    </w:p>
    <w:p w14:paraId="67794284" w14:textId="1C2DAAB5" w:rsidR="00FE5DCE" w:rsidRDefault="00FE5DCE" w:rsidP="00FE5DCE">
      <w:pPr>
        <w:pStyle w:val="3-BodyText"/>
        <w:rPr>
          <w:rFonts w:eastAsia="Calibri"/>
        </w:rPr>
      </w:pPr>
      <w:r w:rsidRPr="00FE5DCE">
        <w:rPr>
          <w:rFonts w:eastAsia="Calibri"/>
        </w:rPr>
        <w:t xml:space="preserve">The </w:t>
      </w:r>
      <w:r w:rsidR="00A97318">
        <w:rPr>
          <w:rFonts w:eastAsia="Calibri"/>
        </w:rPr>
        <w:t xml:space="preserve">comparison of safety between </w:t>
      </w:r>
      <w:r w:rsidR="000039B4">
        <w:rPr>
          <w:rFonts w:eastAsia="Calibri"/>
        </w:rPr>
        <w:t>neoNIVO</w:t>
      </w:r>
      <w:r w:rsidR="00A97318" w:rsidRPr="00A97318">
        <w:rPr>
          <w:rFonts w:eastAsia="Calibri"/>
        </w:rPr>
        <w:t>+</w:t>
      </w:r>
      <w:r w:rsidR="000039B4">
        <w:rPr>
          <w:rFonts w:eastAsia="Calibri"/>
        </w:rPr>
        <w:t>neoChemo</w:t>
      </w:r>
      <w:r w:rsidR="00A97318" w:rsidRPr="00A97318">
        <w:rPr>
          <w:rFonts w:eastAsia="Calibri"/>
        </w:rPr>
        <w:t xml:space="preserve"> and </w:t>
      </w:r>
      <w:r w:rsidR="003D24E4">
        <w:rPr>
          <w:rFonts w:eastAsia="Calibri"/>
        </w:rPr>
        <w:t>adjChemo</w:t>
      </w:r>
      <w:r w:rsidR="00A97318" w:rsidRPr="00A97318">
        <w:rPr>
          <w:rFonts w:eastAsia="Calibri"/>
        </w:rPr>
        <w:t>+</w:t>
      </w:r>
      <w:r w:rsidR="000039B4">
        <w:rPr>
          <w:rFonts w:eastAsia="Calibri"/>
        </w:rPr>
        <w:t>adjATEZO</w:t>
      </w:r>
      <w:r w:rsidR="00A97318" w:rsidRPr="00A97318">
        <w:rPr>
          <w:rFonts w:eastAsia="Calibri"/>
        </w:rPr>
        <w:t xml:space="preserve"> </w:t>
      </w:r>
      <w:r w:rsidR="00A97318">
        <w:rPr>
          <w:rFonts w:eastAsia="Calibri"/>
        </w:rPr>
        <w:t>are</w:t>
      </w:r>
      <w:r w:rsidR="00A97318" w:rsidRPr="00A97318">
        <w:rPr>
          <w:rFonts w:eastAsia="Calibri"/>
        </w:rPr>
        <w:t xml:space="preserve"> presented in</w:t>
      </w:r>
      <w:r w:rsidR="00750175">
        <w:rPr>
          <w:rFonts w:eastAsia="Calibri"/>
        </w:rPr>
        <w:t xml:space="preserve"> </w:t>
      </w:r>
      <w:r w:rsidR="00750175">
        <w:rPr>
          <w:rFonts w:eastAsia="Calibri"/>
        </w:rPr>
        <w:fldChar w:fldCharType="begin"/>
      </w:r>
      <w:r w:rsidR="00750175">
        <w:rPr>
          <w:rFonts w:eastAsia="Calibri"/>
        </w:rPr>
        <w:instrText xml:space="preserve"> REF _Ref121063737 \h </w:instrText>
      </w:r>
      <w:r w:rsidR="00750175">
        <w:rPr>
          <w:rFonts w:eastAsia="Calibri"/>
        </w:rPr>
      </w:r>
      <w:r w:rsidR="00750175">
        <w:rPr>
          <w:rFonts w:eastAsia="Calibri"/>
        </w:rPr>
        <w:fldChar w:fldCharType="separate"/>
      </w:r>
      <w:r w:rsidR="00A77D90">
        <w:t xml:space="preserve">Table </w:t>
      </w:r>
      <w:r w:rsidR="00A77D90">
        <w:rPr>
          <w:noProof/>
        </w:rPr>
        <w:t>14</w:t>
      </w:r>
      <w:r w:rsidR="00750175">
        <w:rPr>
          <w:rFonts w:eastAsia="Calibri"/>
        </w:rPr>
        <w:fldChar w:fldCharType="end"/>
      </w:r>
      <w:r w:rsidR="00750175">
        <w:rPr>
          <w:rFonts w:eastAsia="Calibri"/>
        </w:rPr>
        <w:t xml:space="preserve"> and </w:t>
      </w:r>
      <w:r w:rsidR="00750175">
        <w:rPr>
          <w:rFonts w:eastAsia="Calibri"/>
        </w:rPr>
        <w:fldChar w:fldCharType="begin"/>
      </w:r>
      <w:r w:rsidR="00750175">
        <w:rPr>
          <w:rFonts w:eastAsia="Calibri"/>
        </w:rPr>
        <w:instrText xml:space="preserve"> REF _Ref121063742 \h </w:instrText>
      </w:r>
      <w:r w:rsidR="00750175">
        <w:rPr>
          <w:rFonts w:eastAsia="Calibri"/>
        </w:rPr>
      </w:r>
      <w:r w:rsidR="00750175">
        <w:rPr>
          <w:rFonts w:eastAsia="Calibri"/>
        </w:rPr>
        <w:fldChar w:fldCharType="separate"/>
      </w:r>
      <w:r w:rsidR="00A77D90">
        <w:t xml:space="preserve">Table </w:t>
      </w:r>
      <w:r w:rsidR="00A77D90">
        <w:rPr>
          <w:noProof/>
        </w:rPr>
        <w:t>15</w:t>
      </w:r>
      <w:r w:rsidR="00750175">
        <w:rPr>
          <w:rFonts w:eastAsia="Calibri"/>
        </w:rPr>
        <w:fldChar w:fldCharType="end"/>
      </w:r>
      <w:r w:rsidR="00750175">
        <w:rPr>
          <w:rFonts w:eastAsia="Calibri"/>
        </w:rPr>
        <w:t>.</w:t>
      </w:r>
    </w:p>
    <w:p w14:paraId="31F9A768" w14:textId="5C33B33D" w:rsidR="00A97318" w:rsidRPr="00786A68" w:rsidRDefault="00A97318" w:rsidP="00A97318">
      <w:pPr>
        <w:pStyle w:val="Caption"/>
      </w:pPr>
      <w:bookmarkStart w:id="50" w:name="_Ref121063737"/>
      <w:r>
        <w:t xml:space="preserve">Table </w:t>
      </w:r>
      <w:r w:rsidR="00A77D90">
        <w:fldChar w:fldCharType="begin"/>
      </w:r>
      <w:r w:rsidR="00A77D90">
        <w:instrText xml:space="preserve"> SEQ Table \* ARABIC </w:instrText>
      </w:r>
      <w:r w:rsidR="00A77D90">
        <w:fldChar w:fldCharType="separate"/>
      </w:r>
      <w:r w:rsidR="00A77D90">
        <w:rPr>
          <w:noProof/>
        </w:rPr>
        <w:t>14</w:t>
      </w:r>
      <w:r w:rsidR="00A77D90">
        <w:rPr>
          <w:noProof/>
        </w:rPr>
        <w:fldChar w:fldCharType="end"/>
      </w:r>
      <w:bookmarkEnd w:id="50"/>
      <w:r>
        <w:t xml:space="preserve">: </w:t>
      </w:r>
      <w:r w:rsidRPr="00786A68">
        <w:t xml:space="preserve">Comparison of </w:t>
      </w:r>
      <w:r>
        <w:t xml:space="preserve">overall </w:t>
      </w:r>
      <w:r w:rsidRPr="00786A68">
        <w:t xml:space="preserve">adverse events reported in CM816 and </w:t>
      </w:r>
      <w:r w:rsidR="00824874">
        <w:t>IMpower010</w:t>
      </w:r>
    </w:p>
    <w:tbl>
      <w:tblPr>
        <w:tblStyle w:val="TableGrid"/>
        <w:tblW w:w="5000" w:type="pct"/>
        <w:tblLook w:val="04A0" w:firstRow="1" w:lastRow="0" w:firstColumn="1" w:lastColumn="0" w:noHBand="0" w:noVBand="1"/>
      </w:tblPr>
      <w:tblGrid>
        <w:gridCol w:w="4897"/>
        <w:gridCol w:w="2061"/>
        <w:gridCol w:w="2059"/>
      </w:tblGrid>
      <w:tr w:rsidR="00A97318" w:rsidRPr="00786A68" w14:paraId="450D929F" w14:textId="77777777" w:rsidTr="00750175">
        <w:trPr>
          <w:cantSplit/>
        </w:trPr>
        <w:tc>
          <w:tcPr>
            <w:tcW w:w="2715" w:type="pct"/>
            <w:tcBorders>
              <w:bottom w:val="nil"/>
            </w:tcBorders>
            <w:shd w:val="clear" w:color="auto" w:fill="auto"/>
          </w:tcPr>
          <w:p w14:paraId="5198185F" w14:textId="77777777" w:rsidR="00A97318" w:rsidRPr="00786A68" w:rsidRDefault="00A97318" w:rsidP="00750175">
            <w:pPr>
              <w:pStyle w:val="Tabletext"/>
              <w:keepNext/>
              <w:rPr>
                <w:rFonts w:eastAsiaTheme="minorHAnsi"/>
              </w:rPr>
            </w:pPr>
          </w:p>
        </w:tc>
        <w:tc>
          <w:tcPr>
            <w:tcW w:w="1143" w:type="pct"/>
            <w:shd w:val="clear" w:color="auto" w:fill="auto"/>
          </w:tcPr>
          <w:p w14:paraId="52EBDB50" w14:textId="77777777" w:rsidR="00A97318" w:rsidRPr="00786A68" w:rsidRDefault="00A97318" w:rsidP="00750175">
            <w:pPr>
              <w:pStyle w:val="Tabletext"/>
              <w:keepNext/>
              <w:rPr>
                <w:rFonts w:eastAsiaTheme="minorHAnsi"/>
                <w:b/>
              </w:rPr>
            </w:pPr>
            <w:r w:rsidRPr="00786A68">
              <w:rPr>
                <w:rFonts w:eastAsiaTheme="minorHAnsi"/>
                <w:b/>
              </w:rPr>
              <w:t>CM816</w:t>
            </w:r>
          </w:p>
        </w:tc>
        <w:tc>
          <w:tcPr>
            <w:tcW w:w="1142" w:type="pct"/>
            <w:shd w:val="clear" w:color="auto" w:fill="auto"/>
          </w:tcPr>
          <w:p w14:paraId="3D496DFF" w14:textId="77777777" w:rsidR="00A97318" w:rsidRPr="00786A68" w:rsidRDefault="00A97318" w:rsidP="00750175">
            <w:pPr>
              <w:pStyle w:val="Tabletext"/>
              <w:keepNext/>
              <w:rPr>
                <w:rFonts w:eastAsiaTheme="minorHAnsi"/>
                <w:b/>
              </w:rPr>
            </w:pPr>
            <w:r w:rsidRPr="00786A68">
              <w:rPr>
                <w:rFonts w:eastAsiaTheme="minorHAnsi"/>
                <w:b/>
              </w:rPr>
              <w:t>Impower010</w:t>
            </w:r>
          </w:p>
        </w:tc>
      </w:tr>
      <w:tr w:rsidR="00A97318" w:rsidRPr="00786A68" w14:paraId="764B29C1" w14:textId="77777777" w:rsidTr="00750175">
        <w:trPr>
          <w:cantSplit/>
        </w:trPr>
        <w:tc>
          <w:tcPr>
            <w:tcW w:w="2715" w:type="pct"/>
            <w:tcBorders>
              <w:top w:val="nil"/>
            </w:tcBorders>
            <w:shd w:val="clear" w:color="auto" w:fill="auto"/>
          </w:tcPr>
          <w:p w14:paraId="34BEC670" w14:textId="77777777" w:rsidR="00A97318" w:rsidRPr="00786A68" w:rsidRDefault="00A97318" w:rsidP="00750175">
            <w:pPr>
              <w:pStyle w:val="Tabletext"/>
              <w:keepNext/>
              <w:rPr>
                <w:rFonts w:eastAsiaTheme="minorHAnsi"/>
              </w:rPr>
            </w:pPr>
          </w:p>
        </w:tc>
        <w:tc>
          <w:tcPr>
            <w:tcW w:w="1143" w:type="pct"/>
            <w:shd w:val="clear" w:color="auto" w:fill="auto"/>
          </w:tcPr>
          <w:p w14:paraId="15CF8703" w14:textId="365A5038" w:rsidR="00A97318" w:rsidRPr="00786A68" w:rsidRDefault="000039B4" w:rsidP="00750175">
            <w:pPr>
              <w:pStyle w:val="Tabletext"/>
              <w:keepNext/>
              <w:rPr>
                <w:rFonts w:eastAsiaTheme="minorHAnsi"/>
                <w:b/>
              </w:rPr>
            </w:pPr>
            <w:r>
              <w:rPr>
                <w:rFonts w:eastAsiaTheme="minorHAnsi"/>
                <w:b/>
              </w:rPr>
              <w:t>neoNIVO</w:t>
            </w:r>
            <w:r w:rsidR="00A97318" w:rsidRPr="00786A68">
              <w:rPr>
                <w:rFonts w:eastAsiaTheme="minorHAnsi"/>
                <w:b/>
              </w:rPr>
              <w:t>+</w:t>
            </w:r>
            <w:r>
              <w:rPr>
                <w:rFonts w:eastAsiaTheme="minorHAnsi"/>
                <w:b/>
              </w:rPr>
              <w:t>neoChemo</w:t>
            </w:r>
            <w:r w:rsidR="00A97318" w:rsidRPr="00786A68">
              <w:rPr>
                <w:rFonts w:eastAsiaTheme="minorHAnsi"/>
                <w:b/>
              </w:rPr>
              <w:t xml:space="preserve"> (N=176)</w:t>
            </w:r>
          </w:p>
        </w:tc>
        <w:tc>
          <w:tcPr>
            <w:tcW w:w="1142" w:type="pct"/>
            <w:shd w:val="clear" w:color="auto" w:fill="auto"/>
          </w:tcPr>
          <w:p w14:paraId="557B4D23" w14:textId="566F3DAA" w:rsidR="00A97318" w:rsidRPr="00786A68" w:rsidRDefault="003D24E4" w:rsidP="00750175">
            <w:pPr>
              <w:pStyle w:val="Tabletext"/>
              <w:keepNext/>
              <w:rPr>
                <w:rFonts w:eastAsiaTheme="minorHAnsi"/>
                <w:b/>
              </w:rPr>
            </w:pPr>
            <w:r>
              <w:rPr>
                <w:rFonts w:eastAsiaTheme="minorHAnsi"/>
                <w:b/>
              </w:rPr>
              <w:t>adjChemo</w:t>
            </w:r>
            <w:r w:rsidR="00A97318" w:rsidRPr="00786A68">
              <w:rPr>
                <w:rFonts w:eastAsiaTheme="minorHAnsi"/>
                <w:b/>
              </w:rPr>
              <w:t>+</w:t>
            </w:r>
            <w:r w:rsidR="000039B4">
              <w:rPr>
                <w:rFonts w:eastAsiaTheme="minorHAnsi"/>
                <w:b/>
              </w:rPr>
              <w:t>adjATEZO</w:t>
            </w:r>
            <w:r w:rsidR="00A97318" w:rsidRPr="00786A68">
              <w:rPr>
                <w:rFonts w:eastAsiaTheme="minorHAnsi"/>
                <w:b/>
              </w:rPr>
              <w:t xml:space="preserve"> (N=495)</w:t>
            </w:r>
          </w:p>
        </w:tc>
      </w:tr>
      <w:tr w:rsidR="00A97318" w:rsidRPr="00786A68" w14:paraId="7BA3EBB3" w14:textId="77777777" w:rsidTr="00750175">
        <w:trPr>
          <w:cantSplit/>
        </w:trPr>
        <w:tc>
          <w:tcPr>
            <w:tcW w:w="2715" w:type="pct"/>
            <w:shd w:val="clear" w:color="auto" w:fill="auto"/>
          </w:tcPr>
          <w:p w14:paraId="3C8DBC7C" w14:textId="77777777" w:rsidR="00A97318" w:rsidRPr="00786A68" w:rsidRDefault="00A97318" w:rsidP="00750175">
            <w:pPr>
              <w:pStyle w:val="Tabletext"/>
              <w:keepNext/>
              <w:rPr>
                <w:rFonts w:eastAsiaTheme="minorHAnsi"/>
              </w:rPr>
            </w:pPr>
            <w:r w:rsidRPr="00786A68">
              <w:t>Any adverse event (all-causality)</w:t>
            </w:r>
          </w:p>
        </w:tc>
        <w:tc>
          <w:tcPr>
            <w:tcW w:w="1143" w:type="pct"/>
            <w:shd w:val="clear" w:color="auto" w:fill="auto"/>
          </w:tcPr>
          <w:p w14:paraId="2484C621" w14:textId="77777777" w:rsidR="00A97318" w:rsidRPr="00786A68" w:rsidRDefault="00A97318" w:rsidP="00750175">
            <w:pPr>
              <w:pStyle w:val="Tabletext"/>
              <w:keepNext/>
              <w:rPr>
                <w:rFonts w:eastAsiaTheme="minorHAnsi"/>
              </w:rPr>
            </w:pPr>
            <w:r w:rsidRPr="00786A68">
              <w:rPr>
                <w:rFonts w:eastAsiaTheme="minorHAnsi"/>
              </w:rPr>
              <w:t>163 (93%)</w:t>
            </w:r>
          </w:p>
        </w:tc>
        <w:tc>
          <w:tcPr>
            <w:tcW w:w="1142" w:type="pct"/>
            <w:shd w:val="clear" w:color="auto" w:fill="auto"/>
          </w:tcPr>
          <w:p w14:paraId="14B194BE" w14:textId="77777777" w:rsidR="00A97318" w:rsidRPr="00786A68" w:rsidRDefault="00A97318" w:rsidP="00750175">
            <w:pPr>
              <w:pStyle w:val="Tabletext"/>
              <w:keepNext/>
              <w:rPr>
                <w:rFonts w:eastAsiaTheme="minorHAnsi"/>
              </w:rPr>
            </w:pPr>
            <w:r w:rsidRPr="00786A68">
              <w:rPr>
                <w:rFonts w:eastAsiaTheme="minorHAnsi"/>
              </w:rPr>
              <w:t>459 (93%)</w:t>
            </w:r>
          </w:p>
        </w:tc>
      </w:tr>
      <w:tr w:rsidR="00A97318" w:rsidRPr="00786A68" w14:paraId="0B46235E" w14:textId="77777777" w:rsidTr="00750175">
        <w:trPr>
          <w:cantSplit/>
        </w:trPr>
        <w:tc>
          <w:tcPr>
            <w:tcW w:w="2715" w:type="pct"/>
            <w:shd w:val="clear" w:color="auto" w:fill="auto"/>
          </w:tcPr>
          <w:p w14:paraId="5A963873" w14:textId="77777777" w:rsidR="00A97318" w:rsidRPr="00786A68" w:rsidRDefault="00A97318" w:rsidP="00750175">
            <w:pPr>
              <w:pStyle w:val="Tabletext"/>
              <w:keepNext/>
              <w:rPr>
                <w:rFonts w:eastAsiaTheme="minorHAnsi"/>
              </w:rPr>
            </w:pPr>
            <w:r w:rsidRPr="00786A68">
              <w:t>Any adverse event ≥ Grade 3 (all-causality)</w:t>
            </w:r>
          </w:p>
        </w:tc>
        <w:tc>
          <w:tcPr>
            <w:tcW w:w="1143" w:type="pct"/>
            <w:shd w:val="clear" w:color="auto" w:fill="auto"/>
          </w:tcPr>
          <w:p w14:paraId="50006885" w14:textId="77777777" w:rsidR="00A97318" w:rsidRPr="00786A68" w:rsidRDefault="00A97318" w:rsidP="00750175">
            <w:pPr>
              <w:pStyle w:val="Tabletext"/>
              <w:keepNext/>
              <w:rPr>
                <w:rFonts w:eastAsiaTheme="minorHAnsi"/>
              </w:rPr>
            </w:pPr>
            <w:r w:rsidRPr="00786A68">
              <w:rPr>
                <w:rFonts w:eastAsiaTheme="minorHAnsi"/>
              </w:rPr>
              <w:t>72 (41%)</w:t>
            </w:r>
          </w:p>
        </w:tc>
        <w:tc>
          <w:tcPr>
            <w:tcW w:w="1142" w:type="pct"/>
            <w:shd w:val="clear" w:color="auto" w:fill="auto"/>
          </w:tcPr>
          <w:p w14:paraId="3AB6A0DD" w14:textId="77777777" w:rsidR="00A97318" w:rsidRPr="00786A68" w:rsidRDefault="00A97318" w:rsidP="00750175">
            <w:pPr>
              <w:pStyle w:val="Tabletext"/>
              <w:keepNext/>
              <w:rPr>
                <w:rFonts w:eastAsiaTheme="minorHAnsi"/>
              </w:rPr>
            </w:pPr>
            <w:r w:rsidRPr="00786A68">
              <w:rPr>
                <w:rFonts w:eastAsiaTheme="minorHAnsi"/>
              </w:rPr>
              <w:t>116 (25%)</w:t>
            </w:r>
          </w:p>
        </w:tc>
      </w:tr>
      <w:tr w:rsidR="00A97318" w:rsidRPr="00786A68" w14:paraId="7E81122B" w14:textId="77777777" w:rsidTr="00750175">
        <w:trPr>
          <w:cantSplit/>
        </w:trPr>
        <w:tc>
          <w:tcPr>
            <w:tcW w:w="2715" w:type="pct"/>
            <w:shd w:val="clear" w:color="auto" w:fill="auto"/>
          </w:tcPr>
          <w:p w14:paraId="1CC781E7" w14:textId="77777777" w:rsidR="00A97318" w:rsidRPr="00786A68" w:rsidRDefault="00A97318" w:rsidP="00750175">
            <w:pPr>
              <w:pStyle w:val="Tabletext"/>
              <w:keepNext/>
              <w:rPr>
                <w:rFonts w:eastAsiaTheme="minorHAnsi"/>
              </w:rPr>
            </w:pPr>
            <w:r w:rsidRPr="00786A68">
              <w:t>Adverse events resulting in treatment discontinuation (all-causality)</w:t>
            </w:r>
          </w:p>
        </w:tc>
        <w:tc>
          <w:tcPr>
            <w:tcW w:w="1143" w:type="pct"/>
            <w:shd w:val="clear" w:color="auto" w:fill="auto"/>
          </w:tcPr>
          <w:p w14:paraId="2CCF299A" w14:textId="77777777" w:rsidR="00A97318" w:rsidRPr="00786A68" w:rsidRDefault="00A97318" w:rsidP="00750175">
            <w:pPr>
              <w:pStyle w:val="Tabletext"/>
              <w:keepNext/>
              <w:rPr>
                <w:rFonts w:eastAsiaTheme="minorHAnsi"/>
              </w:rPr>
            </w:pPr>
            <w:r w:rsidRPr="00786A68">
              <w:rPr>
                <w:rFonts w:eastAsiaTheme="minorHAnsi"/>
              </w:rPr>
              <w:t>18 (10%)</w:t>
            </w:r>
          </w:p>
        </w:tc>
        <w:tc>
          <w:tcPr>
            <w:tcW w:w="1142" w:type="pct"/>
            <w:shd w:val="clear" w:color="auto" w:fill="auto"/>
          </w:tcPr>
          <w:p w14:paraId="227BB2A4" w14:textId="77777777" w:rsidR="00A97318" w:rsidRPr="00786A68" w:rsidRDefault="00A97318" w:rsidP="00750175">
            <w:pPr>
              <w:pStyle w:val="Tabletext"/>
              <w:keepNext/>
              <w:rPr>
                <w:rFonts w:eastAsiaTheme="minorHAnsi"/>
              </w:rPr>
            </w:pPr>
            <w:r w:rsidRPr="00786A68">
              <w:rPr>
                <w:rFonts w:eastAsiaTheme="minorHAnsi"/>
              </w:rPr>
              <w:t>90 (18%)</w:t>
            </w:r>
          </w:p>
        </w:tc>
      </w:tr>
      <w:tr w:rsidR="00A97318" w:rsidRPr="00786A68" w14:paraId="3309963A" w14:textId="77777777" w:rsidTr="00750175">
        <w:trPr>
          <w:cantSplit/>
        </w:trPr>
        <w:tc>
          <w:tcPr>
            <w:tcW w:w="2715" w:type="pct"/>
            <w:shd w:val="clear" w:color="auto" w:fill="auto"/>
          </w:tcPr>
          <w:p w14:paraId="38A2FE99" w14:textId="77777777" w:rsidR="00A97318" w:rsidRPr="00786A68" w:rsidRDefault="00A97318" w:rsidP="00750175">
            <w:pPr>
              <w:pStyle w:val="Tabletext"/>
              <w:keepNext/>
            </w:pPr>
            <w:r w:rsidRPr="00786A68">
              <w:t>Adverse events resulting in treatment discontinuation (study drug-related)</w:t>
            </w:r>
          </w:p>
        </w:tc>
        <w:tc>
          <w:tcPr>
            <w:tcW w:w="1143" w:type="pct"/>
            <w:shd w:val="clear" w:color="auto" w:fill="auto"/>
          </w:tcPr>
          <w:p w14:paraId="600DFA8A" w14:textId="77777777" w:rsidR="00A97318" w:rsidRPr="00786A68" w:rsidRDefault="00A97318" w:rsidP="00750175">
            <w:pPr>
              <w:pStyle w:val="Tabletext"/>
              <w:keepNext/>
              <w:rPr>
                <w:rFonts w:eastAsiaTheme="minorHAnsi"/>
              </w:rPr>
            </w:pPr>
            <w:r w:rsidRPr="00786A68">
              <w:rPr>
                <w:rFonts w:eastAsiaTheme="minorHAnsi"/>
              </w:rPr>
              <w:t>18 (10%)</w:t>
            </w:r>
          </w:p>
        </w:tc>
        <w:tc>
          <w:tcPr>
            <w:tcW w:w="1142" w:type="pct"/>
            <w:shd w:val="clear" w:color="auto" w:fill="auto"/>
          </w:tcPr>
          <w:p w14:paraId="13515A80" w14:textId="77777777" w:rsidR="00A97318" w:rsidRPr="00786A68" w:rsidRDefault="00A97318" w:rsidP="00750175">
            <w:pPr>
              <w:pStyle w:val="Tabletext"/>
              <w:keepNext/>
              <w:rPr>
                <w:rFonts w:eastAsiaTheme="minorHAnsi"/>
              </w:rPr>
            </w:pPr>
            <w:r w:rsidRPr="00786A68">
              <w:rPr>
                <w:rFonts w:eastAsiaTheme="minorHAnsi"/>
              </w:rPr>
              <w:t>NR</w:t>
            </w:r>
          </w:p>
        </w:tc>
      </w:tr>
      <w:tr w:rsidR="00A97318" w:rsidRPr="00786A68" w14:paraId="58C8F0DE" w14:textId="77777777" w:rsidTr="00750175">
        <w:trPr>
          <w:cantSplit/>
        </w:trPr>
        <w:tc>
          <w:tcPr>
            <w:tcW w:w="2715" w:type="pct"/>
            <w:shd w:val="clear" w:color="auto" w:fill="auto"/>
          </w:tcPr>
          <w:p w14:paraId="11D4EB9E" w14:textId="77777777" w:rsidR="00A97318" w:rsidRPr="00786A68" w:rsidRDefault="00A97318" w:rsidP="00750175">
            <w:pPr>
              <w:pStyle w:val="Tabletext"/>
              <w:keepNext/>
            </w:pPr>
            <w:r w:rsidRPr="00786A68">
              <w:t>Deaths due to study drug toxicity</w:t>
            </w:r>
          </w:p>
        </w:tc>
        <w:tc>
          <w:tcPr>
            <w:tcW w:w="1143" w:type="pct"/>
            <w:shd w:val="clear" w:color="auto" w:fill="auto"/>
          </w:tcPr>
          <w:p w14:paraId="305FB6E2" w14:textId="77777777" w:rsidR="00A97318" w:rsidRPr="00786A68" w:rsidRDefault="00A97318" w:rsidP="00750175">
            <w:pPr>
              <w:pStyle w:val="Tabletext"/>
              <w:keepNext/>
              <w:rPr>
                <w:rFonts w:eastAsiaTheme="minorHAnsi"/>
              </w:rPr>
            </w:pPr>
            <w:r w:rsidRPr="00786A68">
              <w:rPr>
                <w:rFonts w:eastAsiaTheme="minorHAnsi"/>
              </w:rPr>
              <w:t>0</w:t>
            </w:r>
          </w:p>
        </w:tc>
        <w:tc>
          <w:tcPr>
            <w:tcW w:w="1142" w:type="pct"/>
            <w:shd w:val="clear" w:color="auto" w:fill="auto"/>
          </w:tcPr>
          <w:p w14:paraId="62F7D590" w14:textId="77777777" w:rsidR="00A97318" w:rsidRPr="00786A68" w:rsidRDefault="00A97318" w:rsidP="00750175">
            <w:pPr>
              <w:pStyle w:val="Tabletext"/>
              <w:keepNext/>
              <w:rPr>
                <w:rFonts w:eastAsiaTheme="minorHAnsi"/>
              </w:rPr>
            </w:pPr>
            <w:r w:rsidRPr="00786A68">
              <w:rPr>
                <w:rFonts w:eastAsiaTheme="minorHAnsi"/>
              </w:rPr>
              <w:t>8 (2%)</w:t>
            </w:r>
          </w:p>
        </w:tc>
      </w:tr>
    </w:tbl>
    <w:p w14:paraId="2FCD62A5" w14:textId="77777777" w:rsidR="00A97318" w:rsidRDefault="00A97318" w:rsidP="00A97318">
      <w:pPr>
        <w:pStyle w:val="TableFooter"/>
        <w:rPr>
          <w:rFonts w:eastAsiaTheme="minorHAnsi"/>
        </w:rPr>
      </w:pPr>
      <w:r>
        <w:rPr>
          <w:rFonts w:eastAsiaTheme="minorHAnsi"/>
        </w:rPr>
        <w:t>Source: Table 74, p109 of the submission.</w:t>
      </w:r>
    </w:p>
    <w:p w14:paraId="754E204A" w14:textId="586B759A" w:rsidR="00A97318" w:rsidRPr="00FE5DCE" w:rsidRDefault="00A97318" w:rsidP="000E15B8">
      <w:pPr>
        <w:pStyle w:val="TableFooter"/>
        <w:spacing w:after="120"/>
        <w:rPr>
          <w:rFonts w:eastAsia="Calibri"/>
        </w:rPr>
      </w:pPr>
      <w:r>
        <w:rPr>
          <w:rFonts w:eastAsiaTheme="minorHAnsi"/>
        </w:rPr>
        <w:t xml:space="preserve">Adj=adjuvant; ATEZO=atezolizumab; Chemo=chemotherapy; </w:t>
      </w:r>
      <w:r w:rsidR="000039B4">
        <w:rPr>
          <w:rFonts w:eastAsiaTheme="minorHAnsi"/>
        </w:rPr>
        <w:t>neo</w:t>
      </w:r>
      <w:r>
        <w:rPr>
          <w:rFonts w:eastAsiaTheme="minorHAnsi"/>
        </w:rPr>
        <w:t>=neoadjuvant; NIVO=nivolumab</w:t>
      </w:r>
    </w:p>
    <w:p w14:paraId="08666B28" w14:textId="13504A33" w:rsidR="00B2043D" w:rsidRDefault="002B160F" w:rsidP="00B2043D">
      <w:pPr>
        <w:pStyle w:val="Caption"/>
        <w:spacing w:before="120"/>
      </w:pPr>
      <w:bookmarkStart w:id="51" w:name="_Ref121063742"/>
      <w:r>
        <w:t xml:space="preserve">Table </w:t>
      </w:r>
      <w:r w:rsidR="00A77D90">
        <w:fldChar w:fldCharType="begin"/>
      </w:r>
      <w:r w:rsidR="00A77D90">
        <w:instrText xml:space="preserve"> SEQ Table \* ARABIC </w:instrText>
      </w:r>
      <w:r w:rsidR="00A77D90">
        <w:fldChar w:fldCharType="separate"/>
      </w:r>
      <w:r w:rsidR="00A77D90">
        <w:rPr>
          <w:noProof/>
        </w:rPr>
        <w:t>15</w:t>
      </w:r>
      <w:r w:rsidR="00A77D90">
        <w:rPr>
          <w:noProof/>
        </w:rPr>
        <w:fldChar w:fldCharType="end"/>
      </w:r>
      <w:bookmarkEnd w:id="51"/>
      <w:r>
        <w:t xml:space="preserve">: </w:t>
      </w:r>
      <w:r w:rsidR="00B2043D">
        <w:t xml:space="preserve">Comparison of immune mediated adverse events: CM816 and </w:t>
      </w:r>
      <w:r w:rsidR="00824874">
        <w:t>IMpower010</w:t>
      </w:r>
    </w:p>
    <w:tbl>
      <w:tblPr>
        <w:tblStyle w:val="TableGrid"/>
        <w:tblW w:w="5000" w:type="pct"/>
        <w:tblLook w:val="04A0" w:firstRow="1" w:lastRow="0" w:firstColumn="1" w:lastColumn="0" w:noHBand="0" w:noVBand="1"/>
      </w:tblPr>
      <w:tblGrid>
        <w:gridCol w:w="3007"/>
        <w:gridCol w:w="3006"/>
        <w:gridCol w:w="3004"/>
      </w:tblGrid>
      <w:tr w:rsidR="00B2043D" w:rsidRPr="00711928" w14:paraId="7B395F12" w14:textId="77777777" w:rsidTr="00B2043D">
        <w:tc>
          <w:tcPr>
            <w:tcW w:w="1667" w:type="pct"/>
            <w:vMerge w:val="restart"/>
          </w:tcPr>
          <w:p w14:paraId="76FD08A3" w14:textId="500F5F12" w:rsidR="00B2043D" w:rsidRPr="00711928" w:rsidRDefault="00B2043D" w:rsidP="00BF14E8">
            <w:pPr>
              <w:pStyle w:val="Tabletext"/>
              <w:keepNext/>
              <w:rPr>
                <w:rFonts w:eastAsiaTheme="minorHAnsi"/>
                <w:b/>
              </w:rPr>
            </w:pPr>
            <w:r>
              <w:rPr>
                <w:rFonts w:eastAsiaTheme="minorHAnsi"/>
                <w:b/>
              </w:rPr>
              <w:t>Immune mediated adverse event</w:t>
            </w:r>
          </w:p>
        </w:tc>
        <w:tc>
          <w:tcPr>
            <w:tcW w:w="1667" w:type="pct"/>
            <w:shd w:val="clear" w:color="auto" w:fill="auto"/>
          </w:tcPr>
          <w:p w14:paraId="5C299D98" w14:textId="4298B24D" w:rsidR="00B2043D" w:rsidRPr="00711928" w:rsidRDefault="00B2043D" w:rsidP="00BF14E8">
            <w:pPr>
              <w:pStyle w:val="Tabletext"/>
              <w:keepNext/>
              <w:rPr>
                <w:rFonts w:eastAsiaTheme="minorHAnsi"/>
                <w:b/>
              </w:rPr>
            </w:pPr>
            <w:r w:rsidRPr="00711928">
              <w:rPr>
                <w:rFonts w:eastAsiaTheme="minorHAnsi"/>
                <w:b/>
              </w:rPr>
              <w:t>CM816</w:t>
            </w:r>
          </w:p>
        </w:tc>
        <w:tc>
          <w:tcPr>
            <w:tcW w:w="1666" w:type="pct"/>
            <w:shd w:val="clear" w:color="auto" w:fill="auto"/>
          </w:tcPr>
          <w:p w14:paraId="438FB5AC" w14:textId="17A2A091" w:rsidR="00B2043D" w:rsidRPr="00711928" w:rsidRDefault="00824874" w:rsidP="00BF14E8">
            <w:pPr>
              <w:pStyle w:val="Tabletext"/>
              <w:keepNext/>
              <w:rPr>
                <w:rFonts w:eastAsiaTheme="minorHAnsi"/>
                <w:b/>
              </w:rPr>
            </w:pPr>
            <w:r>
              <w:rPr>
                <w:rFonts w:eastAsiaTheme="minorHAnsi"/>
                <w:b/>
              </w:rPr>
              <w:t>IMpower010</w:t>
            </w:r>
          </w:p>
        </w:tc>
      </w:tr>
      <w:tr w:rsidR="00B2043D" w:rsidRPr="00711928" w14:paraId="4ACC9423" w14:textId="77777777" w:rsidTr="00B2043D">
        <w:tc>
          <w:tcPr>
            <w:tcW w:w="1667" w:type="pct"/>
            <w:vMerge/>
          </w:tcPr>
          <w:p w14:paraId="3AEC6ACE" w14:textId="77777777" w:rsidR="00B2043D" w:rsidRDefault="00B2043D" w:rsidP="00BF14E8">
            <w:pPr>
              <w:pStyle w:val="Tabletext"/>
              <w:keepNext/>
              <w:rPr>
                <w:rFonts w:eastAsiaTheme="minorHAnsi"/>
                <w:b/>
              </w:rPr>
            </w:pPr>
          </w:p>
        </w:tc>
        <w:tc>
          <w:tcPr>
            <w:tcW w:w="1667" w:type="pct"/>
            <w:shd w:val="clear" w:color="auto" w:fill="auto"/>
          </w:tcPr>
          <w:p w14:paraId="630142B4" w14:textId="64415F28" w:rsidR="00B2043D" w:rsidRPr="00711928" w:rsidRDefault="00B2043D" w:rsidP="00BF14E8">
            <w:pPr>
              <w:pStyle w:val="Tabletext"/>
              <w:keepNext/>
              <w:rPr>
                <w:rFonts w:eastAsiaTheme="minorHAnsi"/>
                <w:b/>
              </w:rPr>
            </w:pPr>
            <w:r>
              <w:rPr>
                <w:rFonts w:eastAsiaTheme="minorHAnsi"/>
                <w:b/>
              </w:rPr>
              <w:t>neoNIVO</w:t>
            </w:r>
            <w:r w:rsidRPr="00786A68">
              <w:rPr>
                <w:rFonts w:eastAsiaTheme="minorHAnsi"/>
                <w:b/>
              </w:rPr>
              <w:t>+</w:t>
            </w:r>
            <w:r>
              <w:rPr>
                <w:rFonts w:eastAsiaTheme="minorHAnsi"/>
                <w:b/>
              </w:rPr>
              <w:t>neoChemo</w:t>
            </w:r>
            <w:r w:rsidRPr="00786A68">
              <w:rPr>
                <w:rFonts w:eastAsiaTheme="minorHAnsi"/>
                <w:b/>
              </w:rPr>
              <w:t xml:space="preserve"> (N=176)</w:t>
            </w:r>
          </w:p>
        </w:tc>
        <w:tc>
          <w:tcPr>
            <w:tcW w:w="1666" w:type="pct"/>
            <w:shd w:val="clear" w:color="auto" w:fill="auto"/>
          </w:tcPr>
          <w:p w14:paraId="4268D552" w14:textId="77777777" w:rsidR="00B2043D" w:rsidRPr="00711928" w:rsidRDefault="00B2043D" w:rsidP="00BF14E8">
            <w:pPr>
              <w:pStyle w:val="Tabletext"/>
              <w:keepNext/>
              <w:rPr>
                <w:rFonts w:eastAsiaTheme="minorHAnsi"/>
                <w:b/>
              </w:rPr>
            </w:pPr>
            <w:r>
              <w:rPr>
                <w:rFonts w:eastAsiaTheme="minorHAnsi"/>
                <w:b/>
              </w:rPr>
              <w:t>adjChemo</w:t>
            </w:r>
            <w:r w:rsidRPr="00786A68">
              <w:rPr>
                <w:rFonts w:eastAsiaTheme="minorHAnsi"/>
                <w:b/>
              </w:rPr>
              <w:t>+</w:t>
            </w:r>
            <w:r>
              <w:rPr>
                <w:rFonts w:eastAsiaTheme="minorHAnsi"/>
                <w:b/>
              </w:rPr>
              <w:t>adjATEZO</w:t>
            </w:r>
            <w:r w:rsidRPr="00786A68">
              <w:rPr>
                <w:rFonts w:eastAsiaTheme="minorHAnsi"/>
                <w:b/>
              </w:rPr>
              <w:t xml:space="preserve"> (N=495)</w:t>
            </w:r>
          </w:p>
        </w:tc>
      </w:tr>
      <w:tr w:rsidR="00B2043D" w:rsidRPr="00711928" w14:paraId="1B3174B8" w14:textId="77777777" w:rsidTr="00B2043D">
        <w:tc>
          <w:tcPr>
            <w:tcW w:w="1667" w:type="pct"/>
          </w:tcPr>
          <w:p w14:paraId="5C67A2F0" w14:textId="310AF493" w:rsidR="00B2043D" w:rsidRDefault="00B2043D" w:rsidP="00BF14E8">
            <w:pPr>
              <w:pStyle w:val="Tabletext"/>
              <w:keepNext/>
              <w:rPr>
                <w:rFonts w:eastAsiaTheme="minorHAnsi"/>
              </w:rPr>
            </w:pPr>
            <w:r>
              <w:rPr>
                <w:rFonts w:eastAsiaTheme="minorHAnsi"/>
              </w:rPr>
              <w:t>Adrenal insufficiency</w:t>
            </w:r>
          </w:p>
        </w:tc>
        <w:tc>
          <w:tcPr>
            <w:tcW w:w="1667" w:type="pct"/>
          </w:tcPr>
          <w:p w14:paraId="255BEB64" w14:textId="4E29687E" w:rsidR="00B2043D" w:rsidRDefault="00B2043D" w:rsidP="00BF14E8">
            <w:pPr>
              <w:pStyle w:val="Tabletext"/>
              <w:keepNext/>
              <w:rPr>
                <w:rFonts w:eastAsiaTheme="minorHAnsi"/>
              </w:rPr>
            </w:pPr>
            <w:r>
              <w:rPr>
                <w:rFonts w:eastAsiaTheme="minorHAnsi"/>
              </w:rPr>
              <w:t>1%</w:t>
            </w:r>
          </w:p>
        </w:tc>
        <w:tc>
          <w:tcPr>
            <w:tcW w:w="1666" w:type="pct"/>
          </w:tcPr>
          <w:p w14:paraId="52622BA7" w14:textId="357E1B46" w:rsidR="00B2043D" w:rsidRDefault="00B2043D" w:rsidP="00BF14E8">
            <w:pPr>
              <w:pStyle w:val="Tabletext"/>
              <w:keepNext/>
              <w:rPr>
                <w:rFonts w:eastAsiaTheme="minorHAnsi"/>
              </w:rPr>
            </w:pPr>
            <w:r>
              <w:rPr>
                <w:rFonts w:eastAsiaTheme="minorHAnsi"/>
              </w:rPr>
              <w:t>1%</w:t>
            </w:r>
          </w:p>
        </w:tc>
      </w:tr>
      <w:tr w:rsidR="00B2043D" w:rsidRPr="00711928" w14:paraId="5EFB2BF0" w14:textId="77777777" w:rsidTr="00B2043D">
        <w:tc>
          <w:tcPr>
            <w:tcW w:w="1667" w:type="pct"/>
          </w:tcPr>
          <w:p w14:paraId="2CDB6E45" w14:textId="4286B4DD" w:rsidR="00B2043D" w:rsidRDefault="00B2043D" w:rsidP="00BF14E8">
            <w:pPr>
              <w:pStyle w:val="Tabletext"/>
              <w:keepNext/>
              <w:rPr>
                <w:rFonts w:eastAsiaTheme="minorHAnsi"/>
              </w:rPr>
            </w:pPr>
            <w:r>
              <w:rPr>
                <w:rFonts w:eastAsiaTheme="minorHAnsi"/>
              </w:rPr>
              <w:t>Rash</w:t>
            </w:r>
          </w:p>
        </w:tc>
        <w:tc>
          <w:tcPr>
            <w:tcW w:w="1667" w:type="pct"/>
          </w:tcPr>
          <w:p w14:paraId="53578285" w14:textId="1953E3CE" w:rsidR="00B2043D" w:rsidRPr="00711928" w:rsidRDefault="00B2043D" w:rsidP="00BF14E8">
            <w:pPr>
              <w:pStyle w:val="Tabletext"/>
              <w:keepNext/>
            </w:pPr>
            <w:r>
              <w:rPr>
                <w:rFonts w:eastAsiaTheme="minorHAnsi"/>
              </w:rPr>
              <w:t>9%</w:t>
            </w:r>
          </w:p>
        </w:tc>
        <w:tc>
          <w:tcPr>
            <w:tcW w:w="1666" w:type="pct"/>
          </w:tcPr>
          <w:p w14:paraId="5F3713B0" w14:textId="224ED9BE" w:rsidR="00B2043D" w:rsidRPr="00711928" w:rsidRDefault="00B2043D" w:rsidP="00BF14E8">
            <w:pPr>
              <w:pStyle w:val="Tabletext"/>
              <w:keepNext/>
            </w:pPr>
            <w:r>
              <w:rPr>
                <w:rFonts w:eastAsiaTheme="minorHAnsi"/>
              </w:rPr>
              <w:t>18%</w:t>
            </w:r>
          </w:p>
        </w:tc>
      </w:tr>
      <w:tr w:rsidR="00B2043D" w:rsidRPr="00711928" w14:paraId="262005B3" w14:textId="77777777" w:rsidTr="00B2043D">
        <w:tc>
          <w:tcPr>
            <w:tcW w:w="1667" w:type="pct"/>
          </w:tcPr>
          <w:p w14:paraId="2E32C458" w14:textId="58C5C641" w:rsidR="00B2043D" w:rsidRDefault="00B2043D" w:rsidP="00BF14E8">
            <w:pPr>
              <w:pStyle w:val="Tabletext"/>
              <w:keepNext/>
              <w:rPr>
                <w:rFonts w:eastAsiaTheme="minorHAnsi"/>
              </w:rPr>
            </w:pPr>
            <w:r>
              <w:rPr>
                <w:rFonts w:eastAsiaTheme="minorHAnsi"/>
              </w:rPr>
              <w:t>Hyperthyroidism</w:t>
            </w:r>
          </w:p>
        </w:tc>
        <w:tc>
          <w:tcPr>
            <w:tcW w:w="1667" w:type="pct"/>
          </w:tcPr>
          <w:p w14:paraId="64D190B1" w14:textId="40837EA9" w:rsidR="00B2043D" w:rsidRPr="00711928" w:rsidRDefault="00B2043D" w:rsidP="00BF14E8">
            <w:pPr>
              <w:pStyle w:val="Tabletext"/>
              <w:keepNext/>
            </w:pPr>
            <w:r>
              <w:rPr>
                <w:rFonts w:eastAsiaTheme="minorHAnsi"/>
              </w:rPr>
              <w:t>4%</w:t>
            </w:r>
          </w:p>
        </w:tc>
        <w:tc>
          <w:tcPr>
            <w:tcW w:w="1666" w:type="pct"/>
          </w:tcPr>
          <w:p w14:paraId="56A8D5D4" w14:textId="155ECACC" w:rsidR="00B2043D" w:rsidRPr="00711928" w:rsidRDefault="00B2043D" w:rsidP="00BF14E8">
            <w:pPr>
              <w:pStyle w:val="Tabletext"/>
              <w:keepNext/>
            </w:pPr>
            <w:r>
              <w:t>7%</w:t>
            </w:r>
          </w:p>
        </w:tc>
      </w:tr>
      <w:tr w:rsidR="00B2043D" w:rsidRPr="00711928" w14:paraId="3B71C2B2" w14:textId="77777777" w:rsidTr="00B2043D">
        <w:tc>
          <w:tcPr>
            <w:tcW w:w="1667" w:type="pct"/>
          </w:tcPr>
          <w:p w14:paraId="49932D65" w14:textId="417A1C95" w:rsidR="00B2043D" w:rsidRDefault="00B20B6D" w:rsidP="00BF14E8">
            <w:pPr>
              <w:pStyle w:val="Tabletext"/>
              <w:keepNext/>
              <w:rPr>
                <w:rFonts w:eastAsiaTheme="minorHAnsi"/>
              </w:rPr>
            </w:pPr>
            <w:r>
              <w:rPr>
                <w:rFonts w:eastAsiaTheme="minorHAnsi"/>
              </w:rPr>
              <w:t>Hypothyroidism/thyroiditis</w:t>
            </w:r>
          </w:p>
        </w:tc>
        <w:tc>
          <w:tcPr>
            <w:tcW w:w="1667" w:type="pct"/>
          </w:tcPr>
          <w:p w14:paraId="35877C25" w14:textId="3C062A5F" w:rsidR="00B2043D" w:rsidRPr="00711928" w:rsidRDefault="00B2043D" w:rsidP="00BF14E8">
            <w:pPr>
              <w:pStyle w:val="Tabletext"/>
              <w:keepNext/>
            </w:pPr>
            <w:r>
              <w:rPr>
                <w:rFonts w:eastAsiaTheme="minorHAnsi"/>
              </w:rPr>
              <w:t>2%</w:t>
            </w:r>
          </w:p>
        </w:tc>
        <w:tc>
          <w:tcPr>
            <w:tcW w:w="1666" w:type="pct"/>
          </w:tcPr>
          <w:p w14:paraId="29B2624C" w14:textId="79FD89AB" w:rsidR="00B2043D" w:rsidRPr="00711928" w:rsidRDefault="00B2043D" w:rsidP="00BF14E8">
            <w:pPr>
              <w:pStyle w:val="Tabletext"/>
              <w:keepNext/>
            </w:pPr>
            <w:r>
              <w:t>17%</w:t>
            </w:r>
          </w:p>
        </w:tc>
      </w:tr>
      <w:tr w:rsidR="00B2043D" w:rsidRPr="00711928" w14:paraId="55EE80AE" w14:textId="77777777" w:rsidTr="00B2043D">
        <w:tc>
          <w:tcPr>
            <w:tcW w:w="1667" w:type="pct"/>
          </w:tcPr>
          <w:p w14:paraId="1A5BA103" w14:textId="4E9DB54C" w:rsidR="00B2043D" w:rsidRPr="005D1EB2" w:rsidRDefault="00B20B6D" w:rsidP="00BF14E8">
            <w:pPr>
              <w:pStyle w:val="Tabletext"/>
              <w:keepNext/>
            </w:pPr>
            <w:r w:rsidRPr="005D1EB2">
              <w:t>Pneumonitis</w:t>
            </w:r>
          </w:p>
        </w:tc>
        <w:tc>
          <w:tcPr>
            <w:tcW w:w="1667" w:type="pct"/>
          </w:tcPr>
          <w:p w14:paraId="1646EC46" w14:textId="695261AA" w:rsidR="00B2043D" w:rsidRPr="005D1EB2" w:rsidRDefault="00B2043D" w:rsidP="00BF14E8">
            <w:pPr>
              <w:pStyle w:val="Tabletext"/>
              <w:keepNext/>
            </w:pPr>
            <w:r>
              <w:t>1%</w:t>
            </w:r>
          </w:p>
        </w:tc>
        <w:tc>
          <w:tcPr>
            <w:tcW w:w="1666" w:type="pct"/>
          </w:tcPr>
          <w:p w14:paraId="39E30974" w14:textId="2E9A0747" w:rsidR="00B2043D" w:rsidRPr="005D1EB2" w:rsidRDefault="00B2043D" w:rsidP="00BF14E8">
            <w:pPr>
              <w:pStyle w:val="Tabletext"/>
              <w:keepNext/>
            </w:pPr>
            <w:r>
              <w:t>4%</w:t>
            </w:r>
          </w:p>
        </w:tc>
      </w:tr>
    </w:tbl>
    <w:p w14:paraId="39CB6F60" w14:textId="77777777" w:rsidR="00B2043D" w:rsidRDefault="00B2043D" w:rsidP="00B2043D">
      <w:pPr>
        <w:pStyle w:val="TableFooter"/>
        <w:rPr>
          <w:rFonts w:eastAsiaTheme="minorHAnsi"/>
        </w:rPr>
      </w:pPr>
      <w:r>
        <w:rPr>
          <w:rFonts w:eastAsiaTheme="minorHAnsi"/>
        </w:rPr>
        <w:t>Source: Tables 76-77, pp110-111 of the submission.</w:t>
      </w:r>
    </w:p>
    <w:p w14:paraId="2F912A74" w14:textId="3FDF0A17" w:rsidR="00A97318" w:rsidRDefault="00B2043D" w:rsidP="00461D53">
      <w:pPr>
        <w:pStyle w:val="TableFooter"/>
        <w:spacing w:after="120"/>
        <w:rPr>
          <w:rFonts w:eastAsiaTheme="minorHAnsi"/>
        </w:rPr>
      </w:pPr>
      <w:r>
        <w:rPr>
          <w:rFonts w:eastAsiaTheme="minorHAnsi"/>
        </w:rPr>
        <w:t>Adj=adjuvant; ATEZO=atezolizumab; Chemo=chemotherapy; neo=neoadjuvant; NIVO=nivolumab</w:t>
      </w:r>
    </w:p>
    <w:p w14:paraId="6F165F08" w14:textId="00ED4126" w:rsidR="00750175" w:rsidRPr="00CB0DE6" w:rsidRDefault="00750175" w:rsidP="00FE5DCE">
      <w:pPr>
        <w:pStyle w:val="3-BodyText"/>
        <w:rPr>
          <w:rFonts w:eastAsia="Calibri"/>
        </w:rPr>
      </w:pPr>
      <w:r w:rsidRPr="000A6E90">
        <w:rPr>
          <w:rFonts w:eastAsia="Calibri"/>
        </w:rPr>
        <w:t xml:space="preserve">Overall AEs and IMAEs were generally more frequent in the </w:t>
      </w:r>
      <w:r w:rsidR="003D24E4" w:rsidRPr="000A6E90">
        <w:rPr>
          <w:rFonts w:eastAsia="Calibri"/>
        </w:rPr>
        <w:t>adjChemo</w:t>
      </w:r>
      <w:r w:rsidRPr="000A6E90">
        <w:rPr>
          <w:rFonts w:eastAsia="Calibri"/>
        </w:rPr>
        <w:t>+</w:t>
      </w:r>
      <w:r w:rsidR="000039B4" w:rsidRPr="000A6E90">
        <w:rPr>
          <w:rFonts w:eastAsia="Calibri"/>
        </w:rPr>
        <w:t>adjATEZO</w:t>
      </w:r>
      <w:r w:rsidRPr="000A6E90">
        <w:rPr>
          <w:rFonts w:eastAsia="Calibri"/>
        </w:rPr>
        <w:t xml:space="preserve"> arm</w:t>
      </w:r>
      <w:r w:rsidR="004F2565" w:rsidRPr="000A6E90">
        <w:rPr>
          <w:rFonts w:eastAsia="Calibri"/>
        </w:rPr>
        <w:t xml:space="preserve"> compared with neoNIVO+neoChemo</w:t>
      </w:r>
      <w:r w:rsidRPr="000A6E90">
        <w:rPr>
          <w:rFonts w:eastAsia="Calibri"/>
        </w:rPr>
        <w:t xml:space="preserve">. Interpretation of the safety data should consider </w:t>
      </w:r>
      <w:r w:rsidR="0083195C" w:rsidRPr="000A6E90">
        <w:rPr>
          <w:rFonts w:eastAsia="Calibri"/>
        </w:rPr>
        <w:t xml:space="preserve">1) </w:t>
      </w:r>
      <w:r w:rsidRPr="000A6E90">
        <w:rPr>
          <w:rFonts w:eastAsia="Calibri"/>
        </w:rPr>
        <w:t>the longer exposure to adjuvant atezolizumab (median 16 cycles or one year) compared to that of neoadjuvant nivolumab (maximum of three cycles)</w:t>
      </w:r>
      <w:r w:rsidR="0083195C" w:rsidRPr="000A6E90">
        <w:rPr>
          <w:rFonts w:eastAsia="Calibri"/>
        </w:rPr>
        <w:t xml:space="preserve">, and ii) the different eligible trial populations across neoadjuvant </w:t>
      </w:r>
      <w:r w:rsidR="008716AF">
        <w:rPr>
          <w:rFonts w:eastAsia="Calibri"/>
        </w:rPr>
        <w:t xml:space="preserve">use </w:t>
      </w:r>
      <w:r w:rsidR="0083195C" w:rsidRPr="000A6E90">
        <w:rPr>
          <w:rFonts w:eastAsia="Calibri"/>
        </w:rPr>
        <w:t xml:space="preserve">and adjuvant </w:t>
      </w:r>
      <w:r w:rsidR="008716AF">
        <w:rPr>
          <w:rFonts w:eastAsia="Calibri"/>
        </w:rPr>
        <w:t>use</w:t>
      </w:r>
      <w:r w:rsidRPr="000A6E90">
        <w:rPr>
          <w:rFonts w:eastAsia="Calibri"/>
        </w:rPr>
        <w:t>.</w:t>
      </w:r>
    </w:p>
    <w:p w14:paraId="272BF12E" w14:textId="77777777" w:rsidR="00750175" w:rsidRPr="00C9624D" w:rsidRDefault="00750175" w:rsidP="00750175">
      <w:pPr>
        <w:pStyle w:val="4-SubsectionHeading"/>
      </w:pPr>
      <w:bookmarkStart w:id="52" w:name="_Toc101281144"/>
      <w:bookmarkStart w:id="53" w:name="_Toc124932957"/>
      <w:r w:rsidRPr="00C9624D">
        <w:t>Benefits/harms</w:t>
      </w:r>
      <w:bookmarkEnd w:id="52"/>
      <w:bookmarkEnd w:id="53"/>
    </w:p>
    <w:p w14:paraId="5BD045A1" w14:textId="4FE856D6" w:rsidR="00750175" w:rsidRDefault="00F66236" w:rsidP="002D5375">
      <w:pPr>
        <w:pStyle w:val="3-BodyText"/>
        <w:rPr>
          <w:rFonts w:eastAsia="Calibri"/>
        </w:rPr>
      </w:pPr>
      <w:r w:rsidRPr="00F66236">
        <w:rPr>
          <w:rFonts w:eastAsia="Calibri"/>
        </w:rPr>
        <w:t xml:space="preserve">A summary of the comparative benefits and harms for </w:t>
      </w:r>
      <w:r w:rsidR="000039B4">
        <w:rPr>
          <w:rFonts w:eastAsia="Calibri"/>
        </w:rPr>
        <w:t>neoNIVO</w:t>
      </w:r>
      <w:r>
        <w:rPr>
          <w:rFonts w:eastAsia="Calibri"/>
        </w:rPr>
        <w:t>+</w:t>
      </w:r>
      <w:r w:rsidR="000039B4">
        <w:rPr>
          <w:rFonts w:eastAsia="Calibri"/>
        </w:rPr>
        <w:t>neoChemo</w:t>
      </w:r>
      <w:r w:rsidRPr="00F66236">
        <w:rPr>
          <w:rFonts w:eastAsia="Calibri"/>
        </w:rPr>
        <w:t xml:space="preserve"> compared with </w:t>
      </w:r>
      <w:r w:rsidR="000039B4">
        <w:rPr>
          <w:rFonts w:eastAsia="Calibri"/>
        </w:rPr>
        <w:t>neoChemo</w:t>
      </w:r>
      <w:r w:rsidRPr="00F66236">
        <w:rPr>
          <w:rFonts w:eastAsia="Calibri"/>
        </w:rPr>
        <w:t xml:space="preserve"> is presented</w:t>
      </w:r>
      <w:r>
        <w:rPr>
          <w:rFonts w:eastAsia="Calibri"/>
        </w:rPr>
        <w:t xml:space="preserve"> in </w:t>
      </w:r>
      <w:r>
        <w:rPr>
          <w:rFonts w:eastAsia="Calibri"/>
        </w:rPr>
        <w:fldChar w:fldCharType="begin"/>
      </w:r>
      <w:r>
        <w:rPr>
          <w:rFonts w:eastAsia="Calibri"/>
        </w:rPr>
        <w:instrText xml:space="preserve"> REF _Ref121137880 \h </w:instrText>
      </w:r>
      <w:r>
        <w:rPr>
          <w:rFonts w:eastAsia="Calibri"/>
        </w:rPr>
      </w:r>
      <w:r>
        <w:rPr>
          <w:rFonts w:eastAsia="Calibri"/>
        </w:rPr>
        <w:fldChar w:fldCharType="separate"/>
      </w:r>
      <w:r w:rsidR="00A77D90">
        <w:t xml:space="preserve">Table </w:t>
      </w:r>
      <w:r w:rsidR="00A77D90">
        <w:rPr>
          <w:noProof/>
        </w:rPr>
        <w:t>16</w:t>
      </w:r>
      <w:r>
        <w:rPr>
          <w:rFonts w:eastAsia="Calibri"/>
        </w:rPr>
        <w:fldChar w:fldCharType="end"/>
      </w:r>
      <w:r>
        <w:rPr>
          <w:rFonts w:eastAsia="Calibri"/>
        </w:rPr>
        <w:t>.</w:t>
      </w:r>
      <w:r w:rsidR="006D314A">
        <w:rPr>
          <w:rFonts w:eastAsia="Calibri"/>
        </w:rPr>
        <w:t xml:space="preserve"> </w:t>
      </w:r>
    </w:p>
    <w:p w14:paraId="600C1C1C" w14:textId="3C3EA923" w:rsidR="002D5375" w:rsidRPr="009B66B3" w:rsidRDefault="00F66236" w:rsidP="00F66236">
      <w:pPr>
        <w:pStyle w:val="Caption"/>
      </w:pPr>
      <w:bookmarkStart w:id="54" w:name="_Ref121137880"/>
      <w:r>
        <w:t xml:space="preserve">Table </w:t>
      </w:r>
      <w:r w:rsidR="00A77D90">
        <w:fldChar w:fldCharType="begin"/>
      </w:r>
      <w:r w:rsidR="00A77D90">
        <w:instrText xml:space="preserve"> SEQ Table \* ARABIC </w:instrText>
      </w:r>
      <w:r w:rsidR="00A77D90">
        <w:fldChar w:fldCharType="separate"/>
      </w:r>
      <w:r w:rsidR="00A77D90">
        <w:rPr>
          <w:noProof/>
        </w:rPr>
        <w:t>16</w:t>
      </w:r>
      <w:r w:rsidR="00A77D90">
        <w:rPr>
          <w:noProof/>
        </w:rPr>
        <w:fldChar w:fldCharType="end"/>
      </w:r>
      <w:bookmarkEnd w:id="54"/>
      <w:r>
        <w:t xml:space="preserve">: </w:t>
      </w:r>
      <w:r w:rsidR="002D5375" w:rsidRPr="009B66B3">
        <w:t>Summary of comparative benefits and harms</w:t>
      </w:r>
      <w:r>
        <w:t xml:space="preserve"> – CM816</w:t>
      </w:r>
    </w:p>
    <w:tbl>
      <w:tblPr>
        <w:tblStyle w:val="TableGrid"/>
        <w:tblW w:w="5000" w:type="pct"/>
        <w:tblLayout w:type="fixed"/>
        <w:tblLook w:val="01E0" w:firstRow="1" w:lastRow="1" w:firstColumn="1" w:lastColumn="1" w:noHBand="0" w:noVBand="0"/>
        <w:tblCaption w:val="Table 8: Summary of comparative benefits and harms"/>
      </w:tblPr>
      <w:tblGrid>
        <w:gridCol w:w="4062"/>
        <w:gridCol w:w="2409"/>
        <w:gridCol w:w="2546"/>
      </w:tblGrid>
      <w:tr w:rsidR="002D5375" w:rsidRPr="00A339CD" w14:paraId="5B00860C" w14:textId="77777777" w:rsidTr="00035EB3">
        <w:trPr>
          <w:tblHeader/>
        </w:trPr>
        <w:tc>
          <w:tcPr>
            <w:tcW w:w="4062" w:type="dxa"/>
          </w:tcPr>
          <w:p w14:paraId="4B9F4A38" w14:textId="77777777" w:rsidR="002D5375" w:rsidRPr="00A339CD" w:rsidRDefault="002D5375" w:rsidP="00A339CD">
            <w:pPr>
              <w:pStyle w:val="TableText0"/>
            </w:pPr>
          </w:p>
        </w:tc>
        <w:tc>
          <w:tcPr>
            <w:tcW w:w="2409" w:type="dxa"/>
          </w:tcPr>
          <w:p w14:paraId="38EF1D56" w14:textId="77777777" w:rsidR="00A339CD" w:rsidRPr="006778F9" w:rsidRDefault="00A339CD" w:rsidP="00A339CD">
            <w:pPr>
              <w:pStyle w:val="TableText0"/>
              <w:rPr>
                <w:b/>
              </w:rPr>
            </w:pPr>
            <w:r w:rsidRPr="006778F9">
              <w:rPr>
                <w:b/>
              </w:rPr>
              <w:t>Nivolumab, 360 mg Q3W plus chemotherapy Q3W</w:t>
            </w:r>
          </w:p>
          <w:p w14:paraId="484541A9" w14:textId="77777777" w:rsidR="002D5375" w:rsidRPr="006778F9" w:rsidRDefault="00A339CD" w:rsidP="00A339CD">
            <w:pPr>
              <w:pStyle w:val="TableText0"/>
              <w:rPr>
                <w:b/>
              </w:rPr>
            </w:pPr>
            <w:r w:rsidRPr="006778F9">
              <w:rPr>
                <w:b/>
              </w:rPr>
              <w:t>Maximum 3 cycles</w:t>
            </w:r>
          </w:p>
        </w:tc>
        <w:tc>
          <w:tcPr>
            <w:tcW w:w="2546" w:type="dxa"/>
          </w:tcPr>
          <w:p w14:paraId="23F4CCEF" w14:textId="77777777" w:rsidR="00A339CD" w:rsidRPr="006778F9" w:rsidRDefault="00A339CD" w:rsidP="00A339CD">
            <w:pPr>
              <w:pStyle w:val="TableText0"/>
              <w:rPr>
                <w:b/>
              </w:rPr>
            </w:pPr>
            <w:r w:rsidRPr="006778F9">
              <w:rPr>
                <w:b/>
              </w:rPr>
              <w:t>Chemotherapy Q3W</w:t>
            </w:r>
          </w:p>
          <w:p w14:paraId="0166ACD1" w14:textId="77777777" w:rsidR="002D5375" w:rsidRPr="006778F9" w:rsidRDefault="00A339CD" w:rsidP="00A339CD">
            <w:pPr>
              <w:pStyle w:val="TableText0"/>
              <w:rPr>
                <w:b/>
              </w:rPr>
            </w:pPr>
            <w:r w:rsidRPr="006778F9">
              <w:rPr>
                <w:b/>
              </w:rPr>
              <w:t>Maximum 3 cycles</w:t>
            </w:r>
          </w:p>
        </w:tc>
      </w:tr>
      <w:tr w:rsidR="002D5375" w:rsidRPr="00A339CD" w14:paraId="6CA9E26D" w14:textId="77777777" w:rsidTr="00035EB3">
        <w:tc>
          <w:tcPr>
            <w:tcW w:w="9017" w:type="dxa"/>
            <w:gridSpan w:val="3"/>
          </w:tcPr>
          <w:p w14:paraId="3E235613" w14:textId="77777777" w:rsidR="002D5375" w:rsidRPr="00FA2A25" w:rsidRDefault="00A339CD" w:rsidP="00A339CD">
            <w:pPr>
              <w:pStyle w:val="TableText0"/>
            </w:pPr>
            <w:r w:rsidRPr="00FA2A25">
              <w:t xml:space="preserve">Interim analysis 1; Data cutoff October 2021; </w:t>
            </w:r>
            <w:r w:rsidR="002D5375" w:rsidRPr="00FA2A25">
              <w:t xml:space="preserve">Median duration of follow up </w:t>
            </w:r>
            <w:r w:rsidRPr="00FA2A25">
              <w:t>29.5</w:t>
            </w:r>
            <w:r w:rsidR="002D5375" w:rsidRPr="00FA2A25">
              <w:t xml:space="preserve"> months.</w:t>
            </w:r>
          </w:p>
        </w:tc>
      </w:tr>
      <w:tr w:rsidR="002D5375" w:rsidRPr="00A339CD" w14:paraId="2B37D703" w14:textId="77777777" w:rsidTr="00035EB3">
        <w:tc>
          <w:tcPr>
            <w:tcW w:w="9017" w:type="dxa"/>
            <w:gridSpan w:val="3"/>
          </w:tcPr>
          <w:p w14:paraId="4C607365" w14:textId="4648F45E" w:rsidR="002D5375" w:rsidRPr="006778F9" w:rsidRDefault="002D5375" w:rsidP="00A339CD">
            <w:pPr>
              <w:pStyle w:val="TableText0"/>
              <w:rPr>
                <w:b/>
              </w:rPr>
            </w:pPr>
            <w:r w:rsidRPr="006778F9">
              <w:rPr>
                <w:b/>
              </w:rPr>
              <w:t>B</w:t>
            </w:r>
            <w:r w:rsidR="00F02E17">
              <w:rPr>
                <w:b/>
              </w:rPr>
              <w:t>enefits</w:t>
            </w:r>
            <w:r w:rsidR="00FA2A25" w:rsidRPr="006778F9">
              <w:rPr>
                <w:b/>
                <w:vertAlign w:val="superscript"/>
              </w:rPr>
              <w:t>a</w:t>
            </w:r>
            <w:r w:rsidRPr="006778F9">
              <w:rPr>
                <w:b/>
              </w:rPr>
              <w:t xml:space="preserve">: </w:t>
            </w:r>
            <w:r w:rsidR="00A339CD" w:rsidRPr="006778F9">
              <w:rPr>
                <w:b/>
              </w:rPr>
              <w:t>E</w:t>
            </w:r>
            <w:r w:rsidRPr="006778F9">
              <w:rPr>
                <w:b/>
              </w:rPr>
              <w:t>FS</w:t>
            </w:r>
          </w:p>
        </w:tc>
      </w:tr>
      <w:tr w:rsidR="002D5375" w:rsidRPr="000A6E90" w14:paraId="79F40639" w14:textId="77777777" w:rsidTr="00035EB3">
        <w:tc>
          <w:tcPr>
            <w:tcW w:w="9017" w:type="dxa"/>
            <w:gridSpan w:val="3"/>
          </w:tcPr>
          <w:p w14:paraId="18406875" w14:textId="77777777" w:rsidR="002D5375" w:rsidRPr="00D72541" w:rsidRDefault="00035EB3" w:rsidP="008642AC">
            <w:pPr>
              <w:pStyle w:val="TableText0"/>
              <w:rPr>
                <w:b/>
                <w:bCs w:val="0"/>
              </w:rPr>
            </w:pPr>
            <w:r w:rsidRPr="00D72541">
              <w:rPr>
                <w:b/>
                <w:bCs w:val="0"/>
              </w:rPr>
              <w:t xml:space="preserve">Intention to treat </w:t>
            </w:r>
            <w:r w:rsidR="002D5375" w:rsidRPr="00D72541">
              <w:rPr>
                <w:b/>
                <w:bCs w:val="0"/>
              </w:rPr>
              <w:t>Stage I</w:t>
            </w:r>
            <w:r w:rsidR="00A339CD" w:rsidRPr="00D72541">
              <w:rPr>
                <w:b/>
                <w:bCs w:val="0"/>
              </w:rPr>
              <w:t>B</w:t>
            </w:r>
            <w:r w:rsidR="002D5375" w:rsidRPr="00D72541">
              <w:rPr>
                <w:b/>
                <w:bCs w:val="0"/>
              </w:rPr>
              <w:t xml:space="preserve">-IIIA </w:t>
            </w:r>
            <w:r w:rsidR="00A339CD" w:rsidRPr="00D72541">
              <w:rPr>
                <w:b/>
                <w:bCs w:val="0"/>
              </w:rPr>
              <w:t>N</w:t>
            </w:r>
            <w:r w:rsidR="002D5375" w:rsidRPr="00D72541">
              <w:rPr>
                <w:b/>
                <w:bCs w:val="0"/>
              </w:rPr>
              <w:t>SCLC</w:t>
            </w:r>
            <w:r w:rsidR="00A339CD" w:rsidRPr="00D72541">
              <w:rPr>
                <w:b/>
                <w:bCs w:val="0"/>
              </w:rPr>
              <w:t xml:space="preserve"> (American Joint Committee on Cancer 7</w:t>
            </w:r>
            <w:r w:rsidR="00A339CD" w:rsidRPr="00D72541">
              <w:rPr>
                <w:b/>
                <w:bCs w:val="0"/>
                <w:vertAlign w:val="superscript"/>
              </w:rPr>
              <w:t>th</w:t>
            </w:r>
            <w:r w:rsidR="00A339CD" w:rsidRPr="00D72541">
              <w:rPr>
                <w:b/>
                <w:bCs w:val="0"/>
              </w:rPr>
              <w:t xml:space="preserve"> Edition)</w:t>
            </w:r>
          </w:p>
        </w:tc>
      </w:tr>
      <w:tr w:rsidR="002D5375" w:rsidRPr="00A339CD" w14:paraId="29DEC8B0" w14:textId="77777777" w:rsidTr="00035EB3">
        <w:tc>
          <w:tcPr>
            <w:tcW w:w="4062" w:type="dxa"/>
          </w:tcPr>
          <w:p w14:paraId="219FC1FA" w14:textId="77777777" w:rsidR="002D5375" w:rsidRPr="00A339CD" w:rsidRDefault="002D5375" w:rsidP="00A339CD">
            <w:pPr>
              <w:pStyle w:val="TableText0"/>
            </w:pPr>
          </w:p>
        </w:tc>
        <w:tc>
          <w:tcPr>
            <w:tcW w:w="2409" w:type="dxa"/>
          </w:tcPr>
          <w:p w14:paraId="08E164AC" w14:textId="77777777" w:rsidR="002D5375" w:rsidRPr="00A339CD" w:rsidRDefault="002D5375" w:rsidP="00A339CD">
            <w:pPr>
              <w:pStyle w:val="TableText0"/>
            </w:pPr>
            <w:r w:rsidRPr="00A339CD">
              <w:t>N=</w:t>
            </w:r>
            <w:r w:rsidR="00A339CD">
              <w:t>179</w:t>
            </w:r>
          </w:p>
        </w:tc>
        <w:tc>
          <w:tcPr>
            <w:tcW w:w="2546" w:type="dxa"/>
          </w:tcPr>
          <w:p w14:paraId="49DFCD96" w14:textId="77777777" w:rsidR="002D5375" w:rsidRPr="00A339CD" w:rsidRDefault="002D5375" w:rsidP="00A339CD">
            <w:pPr>
              <w:pStyle w:val="TableText0"/>
            </w:pPr>
            <w:r w:rsidRPr="00A339CD">
              <w:t>N=</w:t>
            </w:r>
            <w:r w:rsidR="00A339CD">
              <w:t>179</w:t>
            </w:r>
          </w:p>
        </w:tc>
      </w:tr>
      <w:tr w:rsidR="002D5375" w:rsidRPr="00A339CD" w14:paraId="2602FB37" w14:textId="77777777" w:rsidTr="00035EB3">
        <w:tc>
          <w:tcPr>
            <w:tcW w:w="4062" w:type="dxa"/>
          </w:tcPr>
          <w:p w14:paraId="62C5CF91" w14:textId="77777777" w:rsidR="002D5375" w:rsidRPr="00A339CD" w:rsidRDefault="002D5375" w:rsidP="002F204B">
            <w:pPr>
              <w:pStyle w:val="TableText0"/>
            </w:pPr>
            <w:r w:rsidRPr="00A339CD">
              <w:t>Events</w:t>
            </w:r>
            <w:r w:rsidR="002F204B">
              <w:rPr>
                <w:vertAlign w:val="superscript"/>
              </w:rPr>
              <w:t>a</w:t>
            </w:r>
            <w:r w:rsidRPr="00A339CD">
              <w:t>, n (event rate per 100 patients, %)</w:t>
            </w:r>
          </w:p>
        </w:tc>
        <w:tc>
          <w:tcPr>
            <w:tcW w:w="2409" w:type="dxa"/>
          </w:tcPr>
          <w:p w14:paraId="59B8E064" w14:textId="77777777" w:rsidR="002D5375" w:rsidRPr="00A339CD" w:rsidRDefault="00A339CD" w:rsidP="00A339CD">
            <w:pPr>
              <w:pStyle w:val="TableText0"/>
            </w:pPr>
            <w:r>
              <w:t>64</w:t>
            </w:r>
            <w:r w:rsidR="002D5375" w:rsidRPr="00A339CD">
              <w:t xml:space="preserve"> (35.</w:t>
            </w:r>
            <w:r>
              <w:t>8</w:t>
            </w:r>
            <w:r w:rsidR="002D5375" w:rsidRPr="00A339CD">
              <w:t>)</w:t>
            </w:r>
          </w:p>
        </w:tc>
        <w:tc>
          <w:tcPr>
            <w:tcW w:w="2546" w:type="dxa"/>
          </w:tcPr>
          <w:p w14:paraId="248539B1" w14:textId="77777777" w:rsidR="002D5375" w:rsidRPr="00A339CD" w:rsidRDefault="00A339CD" w:rsidP="00A339CD">
            <w:pPr>
              <w:pStyle w:val="TableText0"/>
            </w:pPr>
            <w:r>
              <w:t>87</w:t>
            </w:r>
            <w:r w:rsidR="002D5375" w:rsidRPr="00A339CD">
              <w:t xml:space="preserve"> (4</w:t>
            </w:r>
            <w:r>
              <w:t>8</w:t>
            </w:r>
            <w:r w:rsidR="002D5375" w:rsidRPr="00A339CD">
              <w:t>.</w:t>
            </w:r>
            <w:r>
              <w:t>6</w:t>
            </w:r>
            <w:r w:rsidR="002D5375" w:rsidRPr="00A339CD">
              <w:t>)</w:t>
            </w:r>
          </w:p>
        </w:tc>
      </w:tr>
      <w:tr w:rsidR="002D5375" w:rsidRPr="00A339CD" w14:paraId="0776F76B" w14:textId="77777777" w:rsidTr="00035EB3">
        <w:tc>
          <w:tcPr>
            <w:tcW w:w="4062" w:type="dxa"/>
          </w:tcPr>
          <w:p w14:paraId="5B6C447F" w14:textId="77777777" w:rsidR="002D5375" w:rsidRPr="00A339CD" w:rsidRDefault="002D5375" w:rsidP="00A339CD">
            <w:pPr>
              <w:pStyle w:val="TableText0"/>
            </w:pPr>
            <w:r w:rsidRPr="00A339CD">
              <w:t xml:space="preserve">Median </w:t>
            </w:r>
            <w:r w:rsidR="00A339CD">
              <w:t>E</w:t>
            </w:r>
            <w:r w:rsidRPr="00A339CD">
              <w:t>FS duration, months (95% CI)</w:t>
            </w:r>
          </w:p>
        </w:tc>
        <w:tc>
          <w:tcPr>
            <w:tcW w:w="2409" w:type="dxa"/>
          </w:tcPr>
          <w:p w14:paraId="638C9BF8" w14:textId="77777777" w:rsidR="002D5375" w:rsidRPr="00A339CD" w:rsidRDefault="00A339CD" w:rsidP="00AE002C">
            <w:pPr>
              <w:pStyle w:val="TableText0"/>
            </w:pPr>
            <w:r>
              <w:t>31.6</w:t>
            </w:r>
            <w:r w:rsidR="002D5375" w:rsidRPr="00A339CD">
              <w:t xml:space="preserve"> (</w:t>
            </w:r>
            <w:r>
              <w:t>30.2</w:t>
            </w:r>
            <w:r w:rsidR="002D5375" w:rsidRPr="00A339CD">
              <w:t>, N</w:t>
            </w:r>
            <w:r w:rsidR="00AE002C">
              <w:t>A</w:t>
            </w:r>
            <w:r w:rsidR="002D5375" w:rsidRPr="00A339CD">
              <w:t>)</w:t>
            </w:r>
          </w:p>
        </w:tc>
        <w:tc>
          <w:tcPr>
            <w:tcW w:w="2546" w:type="dxa"/>
          </w:tcPr>
          <w:p w14:paraId="24485F26" w14:textId="77777777" w:rsidR="002D5375" w:rsidRPr="00A339CD" w:rsidRDefault="00AE002C" w:rsidP="00AE002C">
            <w:pPr>
              <w:pStyle w:val="TableText0"/>
              <w:rPr>
                <w:highlight w:val="yellow"/>
              </w:rPr>
            </w:pPr>
            <w:r>
              <w:t>20.8</w:t>
            </w:r>
            <w:r w:rsidR="002D5375" w:rsidRPr="00A339CD">
              <w:t xml:space="preserve"> (</w:t>
            </w:r>
            <w:r>
              <w:t>14</w:t>
            </w:r>
            <w:r w:rsidR="002D5375" w:rsidRPr="00A339CD">
              <w:t xml:space="preserve">.0, </w:t>
            </w:r>
            <w:r>
              <w:t>26.7</w:t>
            </w:r>
            <w:r w:rsidR="002D5375" w:rsidRPr="00A339CD">
              <w:t>)</w:t>
            </w:r>
          </w:p>
        </w:tc>
      </w:tr>
      <w:tr w:rsidR="002D5375" w:rsidRPr="00A339CD" w14:paraId="4E874E0A" w14:textId="77777777" w:rsidTr="00035EB3">
        <w:tc>
          <w:tcPr>
            <w:tcW w:w="4062" w:type="dxa"/>
            <w:tcBorders>
              <w:bottom w:val="single" w:sz="4" w:space="0" w:color="auto"/>
            </w:tcBorders>
          </w:tcPr>
          <w:p w14:paraId="79FE89B3" w14:textId="77777777" w:rsidR="002D5375" w:rsidRPr="00A339CD" w:rsidRDefault="002D5375" w:rsidP="00A339CD">
            <w:pPr>
              <w:pStyle w:val="TableText0"/>
            </w:pPr>
            <w:r w:rsidRPr="00A339CD">
              <w:t>HR (95% CI); p-value</w:t>
            </w:r>
          </w:p>
        </w:tc>
        <w:tc>
          <w:tcPr>
            <w:tcW w:w="4955" w:type="dxa"/>
            <w:gridSpan w:val="2"/>
            <w:tcBorders>
              <w:bottom w:val="single" w:sz="4" w:space="0" w:color="auto"/>
            </w:tcBorders>
          </w:tcPr>
          <w:p w14:paraId="34F5A352" w14:textId="77777777" w:rsidR="002D5375" w:rsidRPr="008642AC" w:rsidRDefault="002D5375" w:rsidP="00CC0942">
            <w:pPr>
              <w:pStyle w:val="TableText0"/>
              <w:rPr>
                <w:b/>
                <w:vertAlign w:val="superscript"/>
              </w:rPr>
            </w:pPr>
            <w:r w:rsidRPr="008642AC">
              <w:rPr>
                <w:b/>
              </w:rPr>
              <w:t>0.6</w:t>
            </w:r>
            <w:r w:rsidR="00AE002C" w:rsidRPr="008642AC">
              <w:rPr>
                <w:b/>
              </w:rPr>
              <w:t>3</w:t>
            </w:r>
            <w:r w:rsidRPr="008642AC">
              <w:rPr>
                <w:b/>
              </w:rPr>
              <w:t xml:space="preserve"> (0.</w:t>
            </w:r>
            <w:r w:rsidR="00AE002C" w:rsidRPr="008642AC">
              <w:rPr>
                <w:b/>
              </w:rPr>
              <w:t>45</w:t>
            </w:r>
            <w:r w:rsidRPr="008642AC">
              <w:rPr>
                <w:b/>
              </w:rPr>
              <w:t>, 0.8</w:t>
            </w:r>
            <w:r w:rsidR="00AE002C" w:rsidRPr="008642AC">
              <w:rPr>
                <w:b/>
              </w:rPr>
              <w:t>7</w:t>
            </w:r>
            <w:r w:rsidRPr="008642AC">
              <w:rPr>
                <w:b/>
              </w:rPr>
              <w:t>); p-value=0.00</w:t>
            </w:r>
            <w:r w:rsidR="00AE002C" w:rsidRPr="008642AC">
              <w:rPr>
                <w:b/>
              </w:rPr>
              <w:t>52</w:t>
            </w:r>
            <w:r w:rsidR="00CC0942" w:rsidRPr="008642AC">
              <w:rPr>
                <w:b/>
                <w:vertAlign w:val="superscript"/>
              </w:rPr>
              <w:t>b</w:t>
            </w:r>
          </w:p>
        </w:tc>
      </w:tr>
      <w:tr w:rsidR="002D5375" w:rsidRPr="00A339CD" w14:paraId="155EBD27" w14:textId="77777777" w:rsidTr="00035EB3">
        <w:tc>
          <w:tcPr>
            <w:tcW w:w="4062" w:type="dxa"/>
            <w:tcBorders>
              <w:bottom w:val="nil"/>
            </w:tcBorders>
          </w:tcPr>
          <w:p w14:paraId="37C9B9E3" w14:textId="77777777" w:rsidR="002D5375" w:rsidRPr="00A339CD" w:rsidRDefault="00AE002C" w:rsidP="00AE002C">
            <w:pPr>
              <w:pStyle w:val="TableText0"/>
            </w:pPr>
            <w:r>
              <w:t>E</w:t>
            </w:r>
            <w:r w:rsidR="002D5375" w:rsidRPr="00A339CD">
              <w:t xml:space="preserve">FS rate at </w:t>
            </w:r>
            <w:r>
              <w:t>24 months</w:t>
            </w:r>
            <w:r w:rsidR="002D5375" w:rsidRPr="00A339CD">
              <w:t>, %</w:t>
            </w:r>
          </w:p>
        </w:tc>
        <w:tc>
          <w:tcPr>
            <w:tcW w:w="2409" w:type="dxa"/>
            <w:tcBorders>
              <w:bottom w:val="single" w:sz="4" w:space="0" w:color="auto"/>
            </w:tcBorders>
          </w:tcPr>
          <w:p w14:paraId="50ED14A7" w14:textId="77777777" w:rsidR="002D5375" w:rsidRPr="00A339CD" w:rsidRDefault="00AE002C" w:rsidP="00A339CD">
            <w:pPr>
              <w:pStyle w:val="TableText0"/>
            </w:pPr>
            <w:r>
              <w:t>63.8</w:t>
            </w:r>
          </w:p>
        </w:tc>
        <w:tc>
          <w:tcPr>
            <w:tcW w:w="2546" w:type="dxa"/>
            <w:tcBorders>
              <w:bottom w:val="single" w:sz="4" w:space="0" w:color="auto"/>
            </w:tcBorders>
          </w:tcPr>
          <w:p w14:paraId="323E26AE" w14:textId="77777777" w:rsidR="002D5375" w:rsidRPr="00A339CD" w:rsidRDefault="00AE002C" w:rsidP="00A339CD">
            <w:pPr>
              <w:pStyle w:val="TableText0"/>
            </w:pPr>
            <w:r>
              <w:t>45.3</w:t>
            </w:r>
          </w:p>
        </w:tc>
      </w:tr>
      <w:tr w:rsidR="002D5375" w:rsidRPr="00A339CD" w14:paraId="6738D09B" w14:textId="77777777" w:rsidTr="00035EB3">
        <w:tc>
          <w:tcPr>
            <w:tcW w:w="4062" w:type="dxa"/>
            <w:tcBorders>
              <w:top w:val="nil"/>
            </w:tcBorders>
          </w:tcPr>
          <w:p w14:paraId="6E8B2FC5" w14:textId="77777777" w:rsidR="002D5375" w:rsidRPr="00A339CD" w:rsidRDefault="002D5375" w:rsidP="004762E9">
            <w:pPr>
              <w:pStyle w:val="TableText0"/>
              <w:ind w:left="720"/>
            </w:pPr>
            <w:r w:rsidRPr="00A339CD">
              <w:t>Difference</w:t>
            </w:r>
            <w:r w:rsidR="00AE002C">
              <w:t>, %</w:t>
            </w:r>
          </w:p>
        </w:tc>
        <w:tc>
          <w:tcPr>
            <w:tcW w:w="4955" w:type="dxa"/>
            <w:gridSpan w:val="2"/>
            <w:tcBorders>
              <w:top w:val="single" w:sz="4" w:space="0" w:color="auto"/>
            </w:tcBorders>
          </w:tcPr>
          <w:p w14:paraId="6CB49804" w14:textId="77777777" w:rsidR="002D5375" w:rsidRPr="00A339CD" w:rsidRDefault="00AE002C" w:rsidP="00A339CD">
            <w:pPr>
              <w:pStyle w:val="TableText0"/>
            </w:pPr>
            <w:r>
              <w:t>18.5</w:t>
            </w:r>
          </w:p>
        </w:tc>
      </w:tr>
      <w:tr w:rsidR="00426C6C" w:rsidRPr="00A339CD" w14:paraId="1A851C01" w14:textId="77777777" w:rsidTr="00C96433">
        <w:tc>
          <w:tcPr>
            <w:tcW w:w="9017" w:type="dxa"/>
            <w:gridSpan w:val="3"/>
          </w:tcPr>
          <w:p w14:paraId="3901F0F1" w14:textId="14864E61" w:rsidR="00426C6C" w:rsidRPr="00D72541" w:rsidRDefault="00426C6C" w:rsidP="00035EB3">
            <w:pPr>
              <w:pStyle w:val="TableText0"/>
              <w:rPr>
                <w:b/>
                <w:bCs w:val="0"/>
              </w:rPr>
            </w:pPr>
            <w:r w:rsidRPr="00D72541">
              <w:rPr>
                <w:b/>
                <w:bCs w:val="0"/>
              </w:rPr>
              <w:t>Subgroup stratification factor: Stage IIIA NSCLC</w:t>
            </w:r>
            <w:r w:rsidRPr="00D72541">
              <w:rPr>
                <w:b/>
                <w:bCs w:val="0"/>
                <w:vertAlign w:val="superscript"/>
              </w:rPr>
              <w:t>c</w:t>
            </w:r>
          </w:p>
        </w:tc>
      </w:tr>
      <w:tr w:rsidR="002D5375" w:rsidRPr="00A339CD" w14:paraId="45FCFE8B" w14:textId="77777777" w:rsidTr="00035EB3">
        <w:tc>
          <w:tcPr>
            <w:tcW w:w="4062" w:type="dxa"/>
          </w:tcPr>
          <w:p w14:paraId="2BA69AEF" w14:textId="78B308FB" w:rsidR="002D5375" w:rsidRPr="00A339CD" w:rsidRDefault="002D5375" w:rsidP="00A339CD">
            <w:pPr>
              <w:pStyle w:val="TableText0"/>
              <w:rPr>
                <w:highlight w:val="yellow"/>
              </w:rPr>
            </w:pPr>
          </w:p>
        </w:tc>
        <w:tc>
          <w:tcPr>
            <w:tcW w:w="2409" w:type="dxa"/>
          </w:tcPr>
          <w:p w14:paraId="319299E5" w14:textId="77777777" w:rsidR="002D5375" w:rsidRPr="00A339CD" w:rsidRDefault="002D5375" w:rsidP="00035EB3">
            <w:pPr>
              <w:pStyle w:val="TableText0"/>
            </w:pPr>
            <w:r w:rsidRPr="00A339CD">
              <w:t>N=11</w:t>
            </w:r>
            <w:r w:rsidR="00035EB3">
              <w:t>3</w:t>
            </w:r>
          </w:p>
        </w:tc>
        <w:tc>
          <w:tcPr>
            <w:tcW w:w="2546" w:type="dxa"/>
          </w:tcPr>
          <w:p w14:paraId="6026A7B7" w14:textId="77777777" w:rsidR="002D5375" w:rsidRPr="00A339CD" w:rsidRDefault="002D5375" w:rsidP="00035EB3">
            <w:pPr>
              <w:pStyle w:val="TableText0"/>
            </w:pPr>
            <w:r w:rsidRPr="00A339CD">
              <w:t>N=11</w:t>
            </w:r>
            <w:r w:rsidR="00035EB3">
              <w:t>5</w:t>
            </w:r>
          </w:p>
        </w:tc>
      </w:tr>
      <w:tr w:rsidR="002D5375" w:rsidRPr="00A339CD" w14:paraId="5C6BA52B" w14:textId="77777777" w:rsidTr="00035EB3">
        <w:tc>
          <w:tcPr>
            <w:tcW w:w="4062" w:type="dxa"/>
          </w:tcPr>
          <w:p w14:paraId="15BE019A" w14:textId="77777777" w:rsidR="002D5375" w:rsidRPr="00A339CD" w:rsidRDefault="002D5375" w:rsidP="002F204B">
            <w:pPr>
              <w:pStyle w:val="TableText0"/>
            </w:pPr>
            <w:r w:rsidRPr="00A339CD">
              <w:t>Events</w:t>
            </w:r>
            <w:r w:rsidR="002F204B">
              <w:rPr>
                <w:vertAlign w:val="superscript"/>
              </w:rPr>
              <w:t>a</w:t>
            </w:r>
            <w:r w:rsidRPr="00A339CD">
              <w:t>, n (event rate per 100 patients, %)</w:t>
            </w:r>
          </w:p>
        </w:tc>
        <w:tc>
          <w:tcPr>
            <w:tcW w:w="2409" w:type="dxa"/>
          </w:tcPr>
          <w:p w14:paraId="35502206" w14:textId="77777777" w:rsidR="002D5375" w:rsidRPr="00A339CD" w:rsidRDefault="00035EB3" w:rsidP="00035EB3">
            <w:pPr>
              <w:pStyle w:val="TableText0"/>
            </w:pPr>
            <w:r>
              <w:t>43</w:t>
            </w:r>
            <w:r w:rsidR="002D5375" w:rsidRPr="00A339CD">
              <w:t xml:space="preserve"> (</w:t>
            </w:r>
            <w:r>
              <w:t>38.1</w:t>
            </w:r>
            <w:r w:rsidR="002D5375" w:rsidRPr="00A339CD">
              <w:t>)</w:t>
            </w:r>
          </w:p>
        </w:tc>
        <w:tc>
          <w:tcPr>
            <w:tcW w:w="2546" w:type="dxa"/>
          </w:tcPr>
          <w:p w14:paraId="5E36190B" w14:textId="77777777" w:rsidR="002D5375" w:rsidRPr="00A339CD" w:rsidRDefault="00035EB3" w:rsidP="00035EB3">
            <w:pPr>
              <w:pStyle w:val="TableText0"/>
            </w:pPr>
            <w:r>
              <w:t>6</w:t>
            </w:r>
            <w:r w:rsidR="002D5375" w:rsidRPr="00A339CD">
              <w:t>2 (</w:t>
            </w:r>
            <w:r>
              <w:t>53.9</w:t>
            </w:r>
            <w:r w:rsidR="002D5375" w:rsidRPr="00A339CD">
              <w:t>)</w:t>
            </w:r>
          </w:p>
        </w:tc>
      </w:tr>
      <w:tr w:rsidR="002D5375" w:rsidRPr="00A339CD" w14:paraId="17C25201" w14:textId="77777777" w:rsidTr="00035EB3">
        <w:tc>
          <w:tcPr>
            <w:tcW w:w="4062" w:type="dxa"/>
          </w:tcPr>
          <w:p w14:paraId="28AC4B39" w14:textId="77777777" w:rsidR="002D5375" w:rsidRPr="00A339CD" w:rsidRDefault="002D5375" w:rsidP="00035EB3">
            <w:pPr>
              <w:pStyle w:val="TableText0"/>
            </w:pPr>
            <w:r w:rsidRPr="00A339CD">
              <w:t xml:space="preserve">Median </w:t>
            </w:r>
            <w:r w:rsidR="00035EB3">
              <w:t>E</w:t>
            </w:r>
            <w:r w:rsidRPr="00A339CD">
              <w:t>FS duration, months (95% CI)</w:t>
            </w:r>
          </w:p>
        </w:tc>
        <w:tc>
          <w:tcPr>
            <w:tcW w:w="2409" w:type="dxa"/>
          </w:tcPr>
          <w:p w14:paraId="74CE930F" w14:textId="77777777" w:rsidR="002D5375" w:rsidRPr="00A339CD" w:rsidRDefault="00035EB3" w:rsidP="00035EB3">
            <w:pPr>
              <w:pStyle w:val="TableText0"/>
            </w:pPr>
            <w:r>
              <w:t>31.6</w:t>
            </w:r>
            <w:r w:rsidR="002D5375" w:rsidRPr="00A339CD">
              <w:t xml:space="preserve"> (</w:t>
            </w:r>
            <w:r>
              <w:t>26.6</w:t>
            </w:r>
            <w:r w:rsidR="002D5375" w:rsidRPr="00A339CD">
              <w:t>, N</w:t>
            </w:r>
            <w:r>
              <w:t>A</w:t>
            </w:r>
            <w:r w:rsidR="002D5375" w:rsidRPr="00A339CD">
              <w:t>)</w:t>
            </w:r>
          </w:p>
        </w:tc>
        <w:tc>
          <w:tcPr>
            <w:tcW w:w="2546" w:type="dxa"/>
            <w:shd w:val="clear" w:color="auto" w:fill="auto"/>
          </w:tcPr>
          <w:p w14:paraId="33EC9FFC" w14:textId="77777777" w:rsidR="002D5375" w:rsidRPr="00A339CD" w:rsidRDefault="00035EB3" w:rsidP="00035EB3">
            <w:pPr>
              <w:pStyle w:val="TableText0"/>
            </w:pPr>
            <w:r>
              <w:t>1</w:t>
            </w:r>
            <w:r w:rsidR="002D5375" w:rsidRPr="00A339CD">
              <w:t>5.7 (</w:t>
            </w:r>
            <w:r>
              <w:t>10.8</w:t>
            </w:r>
            <w:r w:rsidR="002D5375" w:rsidRPr="00A339CD">
              <w:t xml:space="preserve">, </w:t>
            </w:r>
            <w:r>
              <w:t>22.7</w:t>
            </w:r>
            <w:r w:rsidR="002D5375" w:rsidRPr="00A339CD">
              <w:t>)</w:t>
            </w:r>
          </w:p>
        </w:tc>
      </w:tr>
      <w:tr w:rsidR="002D5375" w:rsidRPr="00A339CD" w14:paraId="44A34E9A" w14:textId="77777777" w:rsidTr="00035EB3">
        <w:tc>
          <w:tcPr>
            <w:tcW w:w="4062" w:type="dxa"/>
            <w:tcBorders>
              <w:bottom w:val="single" w:sz="4" w:space="0" w:color="auto"/>
            </w:tcBorders>
          </w:tcPr>
          <w:p w14:paraId="14D0A078" w14:textId="77777777" w:rsidR="002D5375" w:rsidRPr="00A339CD" w:rsidRDefault="002D5375" w:rsidP="00035EB3">
            <w:pPr>
              <w:pStyle w:val="TableText0"/>
            </w:pPr>
            <w:r w:rsidRPr="00A339CD">
              <w:t xml:space="preserve">HR </w:t>
            </w:r>
            <w:r w:rsidR="00035EB3">
              <w:t>(95% CI)</w:t>
            </w:r>
          </w:p>
        </w:tc>
        <w:tc>
          <w:tcPr>
            <w:tcW w:w="4955" w:type="dxa"/>
            <w:gridSpan w:val="2"/>
          </w:tcPr>
          <w:p w14:paraId="22A8E699" w14:textId="77777777" w:rsidR="002D5375" w:rsidRPr="008642AC" w:rsidRDefault="002D5375" w:rsidP="00035EB3">
            <w:pPr>
              <w:pStyle w:val="TableText0"/>
              <w:rPr>
                <w:b/>
              </w:rPr>
            </w:pPr>
            <w:r w:rsidRPr="008642AC">
              <w:rPr>
                <w:b/>
              </w:rPr>
              <w:t>0.</w:t>
            </w:r>
            <w:r w:rsidR="00035EB3" w:rsidRPr="008642AC">
              <w:rPr>
                <w:b/>
              </w:rPr>
              <w:t>54</w:t>
            </w:r>
            <w:r w:rsidRPr="008642AC">
              <w:rPr>
                <w:b/>
              </w:rPr>
              <w:t xml:space="preserve"> (0.</w:t>
            </w:r>
            <w:r w:rsidR="00035EB3" w:rsidRPr="008642AC">
              <w:rPr>
                <w:b/>
              </w:rPr>
              <w:t>37</w:t>
            </w:r>
            <w:r w:rsidRPr="008642AC">
              <w:rPr>
                <w:b/>
              </w:rPr>
              <w:t>, 0.</w:t>
            </w:r>
            <w:r w:rsidR="00035EB3" w:rsidRPr="008642AC">
              <w:rPr>
                <w:b/>
              </w:rPr>
              <w:t>80)</w:t>
            </w:r>
          </w:p>
        </w:tc>
      </w:tr>
      <w:tr w:rsidR="00426C6C" w:rsidRPr="00A339CD" w14:paraId="0AD8C9DB" w14:textId="77777777" w:rsidTr="00C96433">
        <w:tc>
          <w:tcPr>
            <w:tcW w:w="9017" w:type="dxa"/>
            <w:gridSpan w:val="3"/>
            <w:tcBorders>
              <w:bottom w:val="nil"/>
            </w:tcBorders>
          </w:tcPr>
          <w:p w14:paraId="76789428" w14:textId="73F3B73B" w:rsidR="00426C6C" w:rsidRPr="00D72541" w:rsidRDefault="00426C6C" w:rsidP="00CC0942">
            <w:pPr>
              <w:pStyle w:val="TableText0"/>
              <w:rPr>
                <w:b/>
                <w:bCs w:val="0"/>
              </w:rPr>
            </w:pPr>
            <w:r w:rsidRPr="00D72541">
              <w:rPr>
                <w:b/>
                <w:bCs w:val="0"/>
              </w:rPr>
              <w:t>Subgroup stratification factor: PD-L1 ≥ 1%</w:t>
            </w:r>
            <w:r w:rsidRPr="00D72541">
              <w:rPr>
                <w:b/>
                <w:bCs w:val="0"/>
                <w:vertAlign w:val="superscript"/>
              </w:rPr>
              <w:t>d</w:t>
            </w:r>
          </w:p>
        </w:tc>
      </w:tr>
      <w:tr w:rsidR="00CC0942" w:rsidRPr="00A339CD" w14:paraId="34303BA1" w14:textId="77777777" w:rsidTr="00035EB3">
        <w:tc>
          <w:tcPr>
            <w:tcW w:w="4062" w:type="dxa"/>
            <w:tcBorders>
              <w:bottom w:val="nil"/>
            </w:tcBorders>
          </w:tcPr>
          <w:p w14:paraId="13FDC443" w14:textId="2E6ECBD4" w:rsidR="00CC0942" w:rsidRPr="00A339CD" w:rsidRDefault="00CC0942" w:rsidP="00CC0942">
            <w:pPr>
              <w:pStyle w:val="TableText0"/>
            </w:pPr>
          </w:p>
        </w:tc>
        <w:tc>
          <w:tcPr>
            <w:tcW w:w="2409" w:type="dxa"/>
          </w:tcPr>
          <w:p w14:paraId="095EF15F" w14:textId="77777777" w:rsidR="00CC0942" w:rsidRPr="00A339CD" w:rsidRDefault="00CC0942" w:rsidP="00CC0942">
            <w:pPr>
              <w:pStyle w:val="TableText0"/>
            </w:pPr>
            <w:r w:rsidRPr="00A339CD">
              <w:t>N=</w:t>
            </w:r>
            <w:r>
              <w:t>89</w:t>
            </w:r>
          </w:p>
        </w:tc>
        <w:tc>
          <w:tcPr>
            <w:tcW w:w="2546" w:type="dxa"/>
            <w:shd w:val="clear" w:color="auto" w:fill="auto"/>
          </w:tcPr>
          <w:p w14:paraId="1A5E7160" w14:textId="77777777" w:rsidR="00CC0942" w:rsidRPr="00A339CD" w:rsidRDefault="00CC0942" w:rsidP="00CC0942">
            <w:pPr>
              <w:pStyle w:val="TableText0"/>
            </w:pPr>
            <w:r w:rsidRPr="00A339CD">
              <w:t>N=</w:t>
            </w:r>
            <w:r>
              <w:t>89</w:t>
            </w:r>
          </w:p>
        </w:tc>
      </w:tr>
      <w:tr w:rsidR="00CC0942" w:rsidRPr="00A339CD" w14:paraId="05AAF4BC" w14:textId="77777777" w:rsidTr="002F204B">
        <w:tc>
          <w:tcPr>
            <w:tcW w:w="4062" w:type="dxa"/>
          </w:tcPr>
          <w:p w14:paraId="396C5B77" w14:textId="77777777" w:rsidR="00CC0942" w:rsidRPr="00A339CD" w:rsidRDefault="00CC0942" w:rsidP="002F204B">
            <w:pPr>
              <w:pStyle w:val="TableText0"/>
            </w:pPr>
            <w:r w:rsidRPr="00A339CD">
              <w:t>Events</w:t>
            </w:r>
            <w:r w:rsidR="002F204B">
              <w:rPr>
                <w:vertAlign w:val="superscript"/>
              </w:rPr>
              <w:t>a</w:t>
            </w:r>
            <w:r w:rsidRPr="00A339CD">
              <w:t>, n (event rate per 100 patients, %)</w:t>
            </w:r>
          </w:p>
        </w:tc>
        <w:tc>
          <w:tcPr>
            <w:tcW w:w="2409" w:type="dxa"/>
          </w:tcPr>
          <w:p w14:paraId="0CFDC51E" w14:textId="77777777" w:rsidR="00CC0942" w:rsidRPr="00A339CD" w:rsidRDefault="00CC0942" w:rsidP="00CC0942">
            <w:pPr>
              <w:pStyle w:val="TableText0"/>
            </w:pPr>
            <w:r>
              <w:t>21 (23.6)</w:t>
            </w:r>
          </w:p>
        </w:tc>
        <w:tc>
          <w:tcPr>
            <w:tcW w:w="2546" w:type="dxa"/>
            <w:shd w:val="clear" w:color="auto" w:fill="auto"/>
          </w:tcPr>
          <w:p w14:paraId="7E7FBE0D" w14:textId="77777777" w:rsidR="00CC0942" w:rsidRPr="00A339CD" w:rsidRDefault="00CC0942" w:rsidP="00CC0942">
            <w:pPr>
              <w:pStyle w:val="TableText0"/>
            </w:pPr>
            <w:r>
              <w:t>41 (46.1)</w:t>
            </w:r>
          </w:p>
        </w:tc>
      </w:tr>
      <w:tr w:rsidR="00CC0942" w:rsidRPr="00A339CD" w14:paraId="674E16B9" w14:textId="77777777" w:rsidTr="002F204B">
        <w:tc>
          <w:tcPr>
            <w:tcW w:w="4062" w:type="dxa"/>
          </w:tcPr>
          <w:p w14:paraId="0A7B7517" w14:textId="77777777" w:rsidR="00CC0942" w:rsidRPr="00A339CD" w:rsidRDefault="00CC0942" w:rsidP="00CC0942">
            <w:pPr>
              <w:pStyle w:val="TableText0"/>
            </w:pPr>
            <w:r w:rsidRPr="00A339CD">
              <w:t xml:space="preserve">Median </w:t>
            </w:r>
            <w:r>
              <w:t>E</w:t>
            </w:r>
            <w:r w:rsidRPr="00A339CD">
              <w:t>FS duration, months (95% CI)</w:t>
            </w:r>
          </w:p>
        </w:tc>
        <w:tc>
          <w:tcPr>
            <w:tcW w:w="2409" w:type="dxa"/>
          </w:tcPr>
          <w:p w14:paraId="3D47ADF3" w14:textId="77777777" w:rsidR="00CC0942" w:rsidRPr="00A339CD" w:rsidRDefault="00CC0942" w:rsidP="00CC0942">
            <w:pPr>
              <w:pStyle w:val="TableText0"/>
            </w:pPr>
            <w:r>
              <w:t>NA</w:t>
            </w:r>
          </w:p>
        </w:tc>
        <w:tc>
          <w:tcPr>
            <w:tcW w:w="2546" w:type="dxa"/>
            <w:shd w:val="clear" w:color="auto" w:fill="auto"/>
          </w:tcPr>
          <w:p w14:paraId="01E91EC5" w14:textId="77777777" w:rsidR="00CC0942" w:rsidRPr="00A339CD" w:rsidRDefault="00CC0942" w:rsidP="00CC0942">
            <w:pPr>
              <w:pStyle w:val="TableText0"/>
            </w:pPr>
            <w:r>
              <w:t>21.1 (11.5, NA)</w:t>
            </w:r>
          </w:p>
        </w:tc>
      </w:tr>
      <w:tr w:rsidR="00CC0942" w:rsidRPr="00A339CD" w14:paraId="1261209C" w14:textId="77777777" w:rsidTr="002F204B">
        <w:tc>
          <w:tcPr>
            <w:tcW w:w="4062" w:type="dxa"/>
            <w:tcBorders>
              <w:bottom w:val="single" w:sz="4" w:space="0" w:color="auto"/>
            </w:tcBorders>
          </w:tcPr>
          <w:p w14:paraId="39CAA907" w14:textId="77777777" w:rsidR="00CC0942" w:rsidRPr="00A339CD" w:rsidRDefault="00CC0942" w:rsidP="00CC0942">
            <w:pPr>
              <w:pStyle w:val="TableText0"/>
            </w:pPr>
            <w:r w:rsidRPr="00A339CD">
              <w:t xml:space="preserve">HR </w:t>
            </w:r>
            <w:r>
              <w:t>(95% CI)</w:t>
            </w:r>
          </w:p>
        </w:tc>
        <w:tc>
          <w:tcPr>
            <w:tcW w:w="4955" w:type="dxa"/>
            <w:gridSpan w:val="2"/>
          </w:tcPr>
          <w:p w14:paraId="2EC338A7" w14:textId="77777777" w:rsidR="00CC0942" w:rsidRPr="008642AC" w:rsidRDefault="00CC0942" w:rsidP="00CC0942">
            <w:pPr>
              <w:pStyle w:val="TableText0"/>
              <w:rPr>
                <w:b/>
              </w:rPr>
            </w:pPr>
            <w:r w:rsidRPr="008642AC">
              <w:rPr>
                <w:b/>
              </w:rPr>
              <w:t>0.41 (0.24, 0.70)</w:t>
            </w:r>
          </w:p>
        </w:tc>
      </w:tr>
      <w:tr w:rsidR="00426C6C" w:rsidRPr="00A339CD" w14:paraId="0C2EFE8A" w14:textId="77777777" w:rsidTr="00C96433">
        <w:tc>
          <w:tcPr>
            <w:tcW w:w="9017" w:type="dxa"/>
            <w:gridSpan w:val="3"/>
            <w:tcBorders>
              <w:bottom w:val="single" w:sz="4" w:space="0" w:color="auto"/>
            </w:tcBorders>
          </w:tcPr>
          <w:p w14:paraId="04715DFA" w14:textId="3796D32E" w:rsidR="00426C6C" w:rsidRPr="00D72541" w:rsidRDefault="00426C6C" w:rsidP="004B1E02">
            <w:pPr>
              <w:pStyle w:val="TableText0"/>
              <w:rPr>
                <w:b/>
                <w:bCs w:val="0"/>
              </w:rPr>
            </w:pPr>
            <w:r w:rsidRPr="00D72541">
              <w:rPr>
                <w:b/>
                <w:bCs w:val="0"/>
              </w:rPr>
              <w:t>Subgroup PD-L1 ≥ 50%</w:t>
            </w:r>
          </w:p>
        </w:tc>
      </w:tr>
      <w:tr w:rsidR="004B1E02" w:rsidRPr="00A339CD" w14:paraId="09E9BBBF" w14:textId="77777777" w:rsidTr="002F204B">
        <w:tc>
          <w:tcPr>
            <w:tcW w:w="4062" w:type="dxa"/>
            <w:tcBorders>
              <w:bottom w:val="single" w:sz="4" w:space="0" w:color="auto"/>
            </w:tcBorders>
          </w:tcPr>
          <w:p w14:paraId="3546F575" w14:textId="30304C60" w:rsidR="004B1E02" w:rsidRDefault="004B1E02" w:rsidP="004B1E02">
            <w:pPr>
              <w:pStyle w:val="TableText0"/>
            </w:pPr>
          </w:p>
        </w:tc>
        <w:tc>
          <w:tcPr>
            <w:tcW w:w="2409" w:type="dxa"/>
          </w:tcPr>
          <w:p w14:paraId="7E43601E" w14:textId="77777777" w:rsidR="004B1E02" w:rsidRPr="00A339CD" w:rsidRDefault="004B1E02" w:rsidP="004B1E02">
            <w:pPr>
              <w:pStyle w:val="TableText0"/>
            </w:pPr>
            <w:r w:rsidRPr="00A339CD">
              <w:t>N=</w:t>
            </w:r>
            <w:r>
              <w:t>38</w:t>
            </w:r>
          </w:p>
        </w:tc>
        <w:tc>
          <w:tcPr>
            <w:tcW w:w="2546" w:type="dxa"/>
            <w:shd w:val="clear" w:color="auto" w:fill="auto"/>
          </w:tcPr>
          <w:p w14:paraId="79CB5E33" w14:textId="77777777" w:rsidR="004B1E02" w:rsidRPr="00A339CD" w:rsidRDefault="004B1E02" w:rsidP="004B1E02">
            <w:pPr>
              <w:pStyle w:val="TableText0"/>
            </w:pPr>
            <w:r w:rsidRPr="00A339CD">
              <w:t>N=</w:t>
            </w:r>
            <w:r>
              <w:t>42</w:t>
            </w:r>
          </w:p>
        </w:tc>
      </w:tr>
      <w:tr w:rsidR="004B1E02" w:rsidRPr="00A339CD" w14:paraId="5B481CD8" w14:textId="77777777" w:rsidTr="002F204B">
        <w:tc>
          <w:tcPr>
            <w:tcW w:w="4062" w:type="dxa"/>
          </w:tcPr>
          <w:p w14:paraId="66D4538B" w14:textId="77777777" w:rsidR="004B1E02" w:rsidRDefault="004B1E02" w:rsidP="002F204B">
            <w:pPr>
              <w:pStyle w:val="TableText0"/>
            </w:pPr>
            <w:r w:rsidRPr="00A339CD">
              <w:t>Events</w:t>
            </w:r>
            <w:r w:rsidR="002F204B">
              <w:rPr>
                <w:vertAlign w:val="superscript"/>
              </w:rPr>
              <w:t>a</w:t>
            </w:r>
            <w:r w:rsidRPr="00A339CD">
              <w:t>, n (event rate per 100 patients, %)</w:t>
            </w:r>
          </w:p>
        </w:tc>
        <w:tc>
          <w:tcPr>
            <w:tcW w:w="2409" w:type="dxa"/>
          </w:tcPr>
          <w:p w14:paraId="7A95EE6F" w14:textId="77777777" w:rsidR="004B1E02" w:rsidRPr="00A339CD" w:rsidRDefault="004B1E02" w:rsidP="004B1E02">
            <w:pPr>
              <w:pStyle w:val="TableText0"/>
            </w:pPr>
            <w:r>
              <w:t>6 (15.8)</w:t>
            </w:r>
          </w:p>
        </w:tc>
        <w:tc>
          <w:tcPr>
            <w:tcW w:w="2546" w:type="dxa"/>
            <w:shd w:val="clear" w:color="auto" w:fill="auto"/>
          </w:tcPr>
          <w:p w14:paraId="64E90A97" w14:textId="77777777" w:rsidR="004B1E02" w:rsidRPr="00A339CD" w:rsidRDefault="004B1E02" w:rsidP="004B1E02">
            <w:pPr>
              <w:pStyle w:val="TableText0"/>
            </w:pPr>
            <w:r>
              <w:t>20 (47.6)</w:t>
            </w:r>
          </w:p>
        </w:tc>
      </w:tr>
      <w:tr w:rsidR="004B1E02" w:rsidRPr="00A339CD" w14:paraId="5643E8B3" w14:textId="77777777" w:rsidTr="002F204B">
        <w:tc>
          <w:tcPr>
            <w:tcW w:w="4062" w:type="dxa"/>
          </w:tcPr>
          <w:p w14:paraId="78876A13" w14:textId="77777777" w:rsidR="004B1E02" w:rsidRDefault="004B1E02" w:rsidP="004B1E02">
            <w:pPr>
              <w:pStyle w:val="TableText0"/>
            </w:pPr>
            <w:r w:rsidRPr="00A339CD">
              <w:t xml:space="preserve">Median </w:t>
            </w:r>
            <w:r>
              <w:t>E</w:t>
            </w:r>
            <w:r w:rsidRPr="00A339CD">
              <w:t>FS duration, months (95% CI)</w:t>
            </w:r>
          </w:p>
        </w:tc>
        <w:tc>
          <w:tcPr>
            <w:tcW w:w="2409" w:type="dxa"/>
          </w:tcPr>
          <w:p w14:paraId="7DFD5269" w14:textId="77777777" w:rsidR="004B1E02" w:rsidRPr="00A339CD" w:rsidRDefault="004B1E02" w:rsidP="004B1E02">
            <w:pPr>
              <w:pStyle w:val="TableText0"/>
            </w:pPr>
            <w:r>
              <w:t>NA</w:t>
            </w:r>
          </w:p>
        </w:tc>
        <w:tc>
          <w:tcPr>
            <w:tcW w:w="2546" w:type="dxa"/>
            <w:shd w:val="clear" w:color="auto" w:fill="auto"/>
          </w:tcPr>
          <w:p w14:paraId="7A4F7B8E" w14:textId="77777777" w:rsidR="004B1E02" w:rsidRPr="00A339CD" w:rsidRDefault="004B1E02" w:rsidP="004B1E02">
            <w:pPr>
              <w:pStyle w:val="TableText0"/>
            </w:pPr>
            <w:r>
              <w:t>19.7 (8.2, NA)</w:t>
            </w:r>
          </w:p>
        </w:tc>
      </w:tr>
      <w:tr w:rsidR="004B1E02" w:rsidRPr="00A339CD" w14:paraId="01086152" w14:textId="77777777" w:rsidTr="002F204B">
        <w:tc>
          <w:tcPr>
            <w:tcW w:w="4062" w:type="dxa"/>
            <w:tcBorders>
              <w:bottom w:val="single" w:sz="4" w:space="0" w:color="auto"/>
            </w:tcBorders>
          </w:tcPr>
          <w:p w14:paraId="06430D72" w14:textId="77777777" w:rsidR="004B1E02" w:rsidRDefault="004B1E02" w:rsidP="004B1E02">
            <w:pPr>
              <w:pStyle w:val="TableText0"/>
            </w:pPr>
            <w:r w:rsidRPr="00A339CD">
              <w:t xml:space="preserve">HR </w:t>
            </w:r>
            <w:r>
              <w:t>(95% CI)</w:t>
            </w:r>
          </w:p>
        </w:tc>
        <w:tc>
          <w:tcPr>
            <w:tcW w:w="4955" w:type="dxa"/>
            <w:gridSpan w:val="2"/>
          </w:tcPr>
          <w:p w14:paraId="55678FE7" w14:textId="77777777" w:rsidR="004B1E02" w:rsidRPr="008642AC" w:rsidRDefault="004B1E02" w:rsidP="004B1E02">
            <w:pPr>
              <w:pStyle w:val="TableText0"/>
              <w:rPr>
                <w:b/>
              </w:rPr>
            </w:pPr>
            <w:r w:rsidRPr="008642AC">
              <w:rPr>
                <w:b/>
              </w:rPr>
              <w:t>0.24 (0.10, 0.61)</w:t>
            </w:r>
          </w:p>
        </w:tc>
      </w:tr>
      <w:tr w:rsidR="002D5375" w:rsidRPr="00A339CD" w14:paraId="06577AFA" w14:textId="77777777" w:rsidTr="00035EB3">
        <w:tc>
          <w:tcPr>
            <w:tcW w:w="9017" w:type="dxa"/>
            <w:gridSpan w:val="3"/>
          </w:tcPr>
          <w:p w14:paraId="398A3672" w14:textId="77D388F8" w:rsidR="002D5375" w:rsidRPr="006778F9" w:rsidRDefault="002D5375" w:rsidP="00FA2A25">
            <w:pPr>
              <w:pStyle w:val="TableText0"/>
              <w:rPr>
                <w:b/>
              </w:rPr>
            </w:pPr>
            <w:r w:rsidRPr="006778F9">
              <w:rPr>
                <w:b/>
              </w:rPr>
              <w:t>H</w:t>
            </w:r>
            <w:r w:rsidR="00F02E17">
              <w:rPr>
                <w:b/>
              </w:rPr>
              <w:t>arms</w:t>
            </w:r>
            <w:r w:rsidR="00FA2A25" w:rsidRPr="006778F9">
              <w:rPr>
                <w:b/>
                <w:vertAlign w:val="superscript"/>
              </w:rPr>
              <w:t>e</w:t>
            </w:r>
            <w:r w:rsidRPr="006778F9">
              <w:rPr>
                <w:b/>
              </w:rPr>
              <w:t>: (event rate per 100 patients), Safety evaluable population</w:t>
            </w:r>
          </w:p>
        </w:tc>
      </w:tr>
      <w:tr w:rsidR="002D5375" w:rsidRPr="00A339CD" w14:paraId="0F9270C2" w14:textId="77777777" w:rsidTr="00035EB3">
        <w:tc>
          <w:tcPr>
            <w:tcW w:w="4062" w:type="dxa"/>
          </w:tcPr>
          <w:p w14:paraId="6515734D" w14:textId="77777777" w:rsidR="002D5375" w:rsidRPr="00A339CD" w:rsidRDefault="004B1E02" w:rsidP="00A339CD">
            <w:pPr>
              <w:pStyle w:val="TableText0"/>
            </w:pPr>
            <w:r>
              <w:t>Immune mediated adverse events</w:t>
            </w:r>
            <w:r w:rsidR="00FA2A25">
              <w:t>, any grade</w:t>
            </w:r>
          </w:p>
        </w:tc>
        <w:tc>
          <w:tcPr>
            <w:tcW w:w="2409" w:type="dxa"/>
          </w:tcPr>
          <w:p w14:paraId="02F550CE" w14:textId="77777777" w:rsidR="002D5375" w:rsidRPr="00A339CD" w:rsidRDefault="002D5375" w:rsidP="004B1E02">
            <w:pPr>
              <w:pStyle w:val="TableText0"/>
            </w:pPr>
            <w:r w:rsidRPr="00A339CD">
              <w:t>N=</w:t>
            </w:r>
            <w:r w:rsidR="004B1E02">
              <w:t>176</w:t>
            </w:r>
          </w:p>
        </w:tc>
        <w:tc>
          <w:tcPr>
            <w:tcW w:w="2546" w:type="dxa"/>
          </w:tcPr>
          <w:p w14:paraId="18299DAB" w14:textId="77777777" w:rsidR="002D5375" w:rsidRPr="00A339CD" w:rsidRDefault="002D5375" w:rsidP="004B1E02">
            <w:pPr>
              <w:pStyle w:val="TableText0"/>
            </w:pPr>
            <w:r w:rsidRPr="00A339CD">
              <w:t>N=</w:t>
            </w:r>
            <w:r w:rsidR="004B1E02">
              <w:t>176</w:t>
            </w:r>
          </w:p>
        </w:tc>
      </w:tr>
      <w:tr w:rsidR="002D5375" w:rsidRPr="00A339CD" w14:paraId="5D3CD2FC" w14:textId="77777777" w:rsidTr="00035EB3">
        <w:tc>
          <w:tcPr>
            <w:tcW w:w="4062" w:type="dxa"/>
          </w:tcPr>
          <w:p w14:paraId="7FFC7F77" w14:textId="77777777" w:rsidR="002D5375" w:rsidRPr="00A339CD" w:rsidRDefault="004B1E02" w:rsidP="00FA2A25">
            <w:pPr>
              <w:pStyle w:val="TableText0"/>
              <w:ind w:left="720"/>
            </w:pPr>
            <w:r>
              <w:t xml:space="preserve">Rash, </w:t>
            </w:r>
            <w:r w:rsidR="002D5375" w:rsidRPr="00A339CD">
              <w:t>n (%)</w:t>
            </w:r>
          </w:p>
        </w:tc>
        <w:tc>
          <w:tcPr>
            <w:tcW w:w="2409" w:type="dxa"/>
          </w:tcPr>
          <w:p w14:paraId="14B2F2E4" w14:textId="77777777" w:rsidR="002D5375" w:rsidRPr="00A339CD" w:rsidRDefault="004B1E02" w:rsidP="004B1E02">
            <w:pPr>
              <w:pStyle w:val="TableText0"/>
            </w:pPr>
            <w:r>
              <w:t>15</w:t>
            </w:r>
            <w:r w:rsidR="002D5375" w:rsidRPr="00A339CD">
              <w:t xml:space="preserve"> (</w:t>
            </w:r>
            <w:r>
              <w:t>8</w:t>
            </w:r>
            <w:r w:rsidR="002D5375" w:rsidRPr="00A339CD">
              <w:t>.5)</w:t>
            </w:r>
          </w:p>
        </w:tc>
        <w:tc>
          <w:tcPr>
            <w:tcW w:w="2546" w:type="dxa"/>
          </w:tcPr>
          <w:p w14:paraId="301CD5A4" w14:textId="77777777" w:rsidR="002D5375" w:rsidRPr="00A339CD" w:rsidRDefault="004B1E02" w:rsidP="00A339CD">
            <w:pPr>
              <w:pStyle w:val="TableText0"/>
            </w:pPr>
            <w:r>
              <w:t>1 (0.6)</w:t>
            </w:r>
          </w:p>
        </w:tc>
      </w:tr>
      <w:tr w:rsidR="002D5375" w:rsidRPr="00A339CD" w14:paraId="1900F810" w14:textId="77777777" w:rsidTr="00035EB3">
        <w:tc>
          <w:tcPr>
            <w:tcW w:w="4062" w:type="dxa"/>
          </w:tcPr>
          <w:p w14:paraId="017708A8" w14:textId="77777777" w:rsidR="002D5375" w:rsidRPr="00A339CD" w:rsidRDefault="002D5375" w:rsidP="00FA2A25">
            <w:pPr>
              <w:pStyle w:val="TableText0"/>
              <w:ind w:left="1440"/>
            </w:pPr>
            <w:r w:rsidRPr="00A339CD">
              <w:t xml:space="preserve">Difference </w:t>
            </w:r>
          </w:p>
        </w:tc>
        <w:tc>
          <w:tcPr>
            <w:tcW w:w="4955" w:type="dxa"/>
            <w:gridSpan w:val="2"/>
          </w:tcPr>
          <w:p w14:paraId="4E93D937" w14:textId="77777777" w:rsidR="002D5375" w:rsidRPr="00A339CD" w:rsidRDefault="004B1E02" w:rsidP="00A339CD">
            <w:pPr>
              <w:pStyle w:val="TableText0"/>
            </w:pPr>
            <w:r>
              <w:t>7.9</w:t>
            </w:r>
            <w:r w:rsidR="002D5375" w:rsidRPr="00A339CD">
              <w:t>%</w:t>
            </w:r>
          </w:p>
        </w:tc>
      </w:tr>
      <w:tr w:rsidR="002D5375" w:rsidRPr="00A339CD" w14:paraId="77784483" w14:textId="77777777" w:rsidTr="00035EB3">
        <w:tc>
          <w:tcPr>
            <w:tcW w:w="4062" w:type="dxa"/>
          </w:tcPr>
          <w:p w14:paraId="55393E06" w14:textId="77777777" w:rsidR="002D5375" w:rsidRPr="00A339CD" w:rsidRDefault="00FA2A25" w:rsidP="00FA2A25">
            <w:pPr>
              <w:pStyle w:val="TableText0"/>
              <w:ind w:left="720"/>
            </w:pPr>
            <w:r>
              <w:t>Hyperthyroidism</w:t>
            </w:r>
            <w:r w:rsidR="002D5375" w:rsidRPr="00A339CD">
              <w:t>, n (%)</w:t>
            </w:r>
          </w:p>
        </w:tc>
        <w:tc>
          <w:tcPr>
            <w:tcW w:w="2409" w:type="dxa"/>
            <w:tcBorders>
              <w:left w:val="nil"/>
              <w:right w:val="single" w:sz="4" w:space="0" w:color="auto"/>
            </w:tcBorders>
          </w:tcPr>
          <w:p w14:paraId="100D5F93" w14:textId="77777777" w:rsidR="002D5375" w:rsidRPr="00A339CD" w:rsidRDefault="00FA2A25" w:rsidP="00FA2A25">
            <w:pPr>
              <w:pStyle w:val="TableText0"/>
            </w:pPr>
            <w:r>
              <w:t>7</w:t>
            </w:r>
            <w:r w:rsidR="002D5375" w:rsidRPr="00A339CD">
              <w:t xml:space="preserve"> (</w:t>
            </w:r>
            <w:r>
              <w:t>4.0</w:t>
            </w:r>
            <w:r w:rsidR="002D5375" w:rsidRPr="00A339CD">
              <w:t>)</w:t>
            </w:r>
          </w:p>
        </w:tc>
        <w:tc>
          <w:tcPr>
            <w:tcW w:w="2546" w:type="dxa"/>
            <w:tcBorders>
              <w:left w:val="single" w:sz="4" w:space="0" w:color="auto"/>
              <w:right w:val="single" w:sz="4" w:space="0" w:color="auto"/>
            </w:tcBorders>
          </w:tcPr>
          <w:p w14:paraId="6C183363" w14:textId="77777777" w:rsidR="002D5375" w:rsidRPr="00A339CD" w:rsidRDefault="00FA2A25" w:rsidP="00A339CD">
            <w:pPr>
              <w:pStyle w:val="TableText0"/>
            </w:pPr>
            <w:r>
              <w:t>0 (0.0)</w:t>
            </w:r>
          </w:p>
        </w:tc>
      </w:tr>
      <w:tr w:rsidR="002D5375" w:rsidRPr="00A339CD" w14:paraId="223E4662" w14:textId="77777777" w:rsidTr="00035EB3">
        <w:tc>
          <w:tcPr>
            <w:tcW w:w="4062" w:type="dxa"/>
          </w:tcPr>
          <w:p w14:paraId="5BE956FD" w14:textId="77777777" w:rsidR="002D5375" w:rsidRPr="00A339CD" w:rsidRDefault="002D5375" w:rsidP="00FA2A25">
            <w:pPr>
              <w:pStyle w:val="TableText0"/>
              <w:ind w:left="1440"/>
            </w:pPr>
            <w:r w:rsidRPr="00A339CD">
              <w:t xml:space="preserve">Difference </w:t>
            </w:r>
          </w:p>
        </w:tc>
        <w:tc>
          <w:tcPr>
            <w:tcW w:w="4955" w:type="dxa"/>
            <w:gridSpan w:val="2"/>
          </w:tcPr>
          <w:p w14:paraId="21BB1C6D" w14:textId="77777777" w:rsidR="002D5375" w:rsidRPr="00A339CD" w:rsidRDefault="00FA2A25" w:rsidP="00A339CD">
            <w:pPr>
              <w:pStyle w:val="TableText0"/>
            </w:pPr>
            <w:r>
              <w:t>4.0</w:t>
            </w:r>
            <w:r w:rsidR="002D5375" w:rsidRPr="00A339CD">
              <w:t>%</w:t>
            </w:r>
          </w:p>
        </w:tc>
      </w:tr>
    </w:tbl>
    <w:p w14:paraId="4A1EEDB3" w14:textId="77777777" w:rsidR="002D5375" w:rsidRPr="008642AC" w:rsidRDefault="002D5375" w:rsidP="002D5375">
      <w:pPr>
        <w:pStyle w:val="TableFooter"/>
      </w:pPr>
      <w:r w:rsidRPr="008642AC">
        <w:t xml:space="preserve">Source: Section 2.5 of the submission and Section </w:t>
      </w:r>
      <w:r w:rsidR="004762E9" w:rsidRPr="008642AC">
        <w:t>7</w:t>
      </w:r>
      <w:r w:rsidRPr="008642AC">
        <w:t xml:space="preserve">.2 of the </w:t>
      </w:r>
      <w:r w:rsidR="004762E9" w:rsidRPr="008642AC">
        <w:t xml:space="preserve">CM816 </w:t>
      </w:r>
      <w:r w:rsidRPr="008642AC">
        <w:t>Clinical Study Report.</w:t>
      </w:r>
    </w:p>
    <w:p w14:paraId="1F91CC8A" w14:textId="3C1B7CD4" w:rsidR="004762E9" w:rsidRDefault="002D5375" w:rsidP="004762E9">
      <w:pPr>
        <w:pStyle w:val="TableFooter"/>
      </w:pPr>
      <w:r w:rsidRPr="008642AC">
        <w:t xml:space="preserve">CI=confidence interval; </w:t>
      </w:r>
      <w:r w:rsidR="004762E9" w:rsidRPr="008642AC">
        <w:t xml:space="preserve">chemo=chemotherapy; EFS=event free survival; </w:t>
      </w:r>
      <w:r w:rsidRPr="008642AC">
        <w:t xml:space="preserve">HR=hazard ratio; </w:t>
      </w:r>
      <w:r w:rsidR="008642AC" w:rsidRPr="008642AC">
        <w:t xml:space="preserve">NSCLC=non-small cell lung cancer; </w:t>
      </w:r>
      <w:r w:rsidRPr="008642AC">
        <w:t xml:space="preserve">n=number of patients; NA=not </w:t>
      </w:r>
      <w:r w:rsidR="004762E9" w:rsidRPr="008642AC">
        <w:t>reached/not available</w:t>
      </w:r>
      <w:r w:rsidRPr="008642AC">
        <w:t xml:space="preserve">; </w:t>
      </w:r>
      <w:r w:rsidR="004762E9" w:rsidRPr="008642AC">
        <w:t>NIVO=nivolumab</w:t>
      </w:r>
      <w:r w:rsidR="008642AC" w:rsidRPr="008642AC">
        <w:t xml:space="preserve">; PD-L1 programmed cell death </w:t>
      </w:r>
      <w:r w:rsidR="00E13DE6">
        <w:t>l</w:t>
      </w:r>
      <w:r w:rsidR="008642AC" w:rsidRPr="008642AC">
        <w:t>igand 1.</w:t>
      </w:r>
    </w:p>
    <w:p w14:paraId="37607BD0" w14:textId="77777777" w:rsidR="002F204B" w:rsidRPr="000A6E90" w:rsidRDefault="002D5375" w:rsidP="002D5375">
      <w:pPr>
        <w:pStyle w:val="TableFooter"/>
      </w:pPr>
      <w:r w:rsidRPr="000A6E90">
        <w:rPr>
          <w:vertAlign w:val="superscript"/>
        </w:rPr>
        <w:t>a</w:t>
      </w:r>
      <w:r w:rsidRPr="000A6E90">
        <w:t xml:space="preserve">Overall survival data remain immature at the data cutoff date </w:t>
      </w:r>
      <w:r w:rsidR="00F66236" w:rsidRPr="000A6E90">
        <w:t>October 2021. Events were also not provided.</w:t>
      </w:r>
      <w:r w:rsidRPr="000A6E90">
        <w:t xml:space="preserve"> </w:t>
      </w:r>
      <w:r w:rsidR="00F66236" w:rsidRPr="000A6E90">
        <w:t>Thus</w:t>
      </w:r>
      <w:r w:rsidRPr="000A6E90">
        <w:t xml:space="preserve"> only </w:t>
      </w:r>
      <w:r w:rsidR="00CC0942" w:rsidRPr="000A6E90">
        <w:t>E</w:t>
      </w:r>
      <w:r w:rsidR="002F204B" w:rsidRPr="000A6E90">
        <w:t>FS is presented: EFS was defined as</w:t>
      </w:r>
      <w:r w:rsidR="00CC0942" w:rsidRPr="000A6E90">
        <w:t xml:space="preserve"> </w:t>
      </w:r>
      <w:r w:rsidR="002F204B" w:rsidRPr="000A6E90">
        <w:t>time from randomisation to progression of disease precluding surgery, progression or recurrence of disease after surgery, or death due to any cause.</w:t>
      </w:r>
    </w:p>
    <w:p w14:paraId="0B7A9E73" w14:textId="77777777" w:rsidR="002D5375" w:rsidRDefault="00CC0942" w:rsidP="002D5375">
      <w:pPr>
        <w:pStyle w:val="TableFooter"/>
      </w:pPr>
      <w:r w:rsidRPr="000A6E90">
        <w:rPr>
          <w:vertAlign w:val="superscript"/>
        </w:rPr>
        <w:t>b</w:t>
      </w:r>
      <w:r>
        <w:t>S</w:t>
      </w:r>
      <w:r w:rsidRPr="00623A41">
        <w:t>tratified log-rank test p-value = 0.0052</w:t>
      </w:r>
      <w:r>
        <w:t xml:space="preserve">. </w:t>
      </w:r>
      <w:r w:rsidRPr="007F0657">
        <w:t>The p-value threshold for statistical significance at interim analysis was 0.0262</w:t>
      </w:r>
      <w:r>
        <w:t>.</w:t>
      </w:r>
    </w:p>
    <w:p w14:paraId="7A1D6AFB" w14:textId="77777777" w:rsidR="00CC0942" w:rsidRDefault="00CC0942" w:rsidP="002D5375">
      <w:pPr>
        <w:pStyle w:val="TableFooter"/>
      </w:pPr>
      <w:r w:rsidRPr="00CC0942">
        <w:rPr>
          <w:vertAlign w:val="superscript"/>
        </w:rPr>
        <w:t>c</w:t>
      </w:r>
      <w:r>
        <w:t>Stage IIIA versus Stage 1B-II.</w:t>
      </w:r>
    </w:p>
    <w:p w14:paraId="559E0AC8" w14:textId="515BB3FA" w:rsidR="00FA2A25" w:rsidRDefault="00FA2A25" w:rsidP="002D5375">
      <w:pPr>
        <w:pStyle w:val="TableFooter"/>
      </w:pPr>
      <w:r>
        <w:rPr>
          <w:vertAlign w:val="superscript"/>
        </w:rPr>
        <w:t>d</w:t>
      </w:r>
      <w:r w:rsidR="004762E9">
        <w:t xml:space="preserve">PD-L1 </w:t>
      </w:r>
      <w:r w:rsidRPr="00FA2A25">
        <w:t>&lt;</w:t>
      </w:r>
      <w:r w:rsidR="00826DB7">
        <w:t xml:space="preserve"> </w:t>
      </w:r>
      <w:r w:rsidRPr="00FA2A25">
        <w:t xml:space="preserve">1% </w:t>
      </w:r>
      <w:r>
        <w:t>versus</w:t>
      </w:r>
      <w:r w:rsidR="004762E9" w:rsidRPr="004762E9">
        <w:t xml:space="preserve"> </w:t>
      </w:r>
      <w:r w:rsidR="004762E9">
        <w:t>PD-L1</w:t>
      </w:r>
      <w:r w:rsidRPr="00FA2A25">
        <w:t xml:space="preserve"> ≥ 1% or not evaluable</w:t>
      </w:r>
      <w:r w:rsidR="004762E9">
        <w:t>.</w:t>
      </w:r>
    </w:p>
    <w:p w14:paraId="2B106E34" w14:textId="46144F44" w:rsidR="00FA2A25" w:rsidRPr="000A6E90" w:rsidRDefault="00FA2A25" w:rsidP="002D5375">
      <w:pPr>
        <w:pStyle w:val="TableFooter"/>
      </w:pPr>
      <w:r w:rsidRPr="000A6E90">
        <w:rPr>
          <w:vertAlign w:val="superscript"/>
        </w:rPr>
        <w:t>e</w:t>
      </w:r>
      <w:r w:rsidRPr="000A6E90">
        <w:t>There were no important differences between treatment arms in terms of overall adverse events, frequently reported adverse events (≥</w:t>
      </w:r>
      <w:r w:rsidR="00826DB7" w:rsidRPr="000A6E90">
        <w:t xml:space="preserve"> </w:t>
      </w:r>
      <w:r w:rsidRPr="000A6E90">
        <w:t xml:space="preserve">15% of patients in any treatment arm), and </w:t>
      </w:r>
      <w:r w:rsidR="004762E9" w:rsidRPr="000A6E90">
        <w:t xml:space="preserve">≥ </w:t>
      </w:r>
      <w:r w:rsidR="00200B22" w:rsidRPr="000A6E90">
        <w:t xml:space="preserve">3 </w:t>
      </w:r>
      <w:r w:rsidR="004762E9" w:rsidRPr="000A6E90">
        <w:t>Grade immune-mediated adverse events.</w:t>
      </w:r>
      <w:r w:rsidRPr="000A6E90">
        <w:t xml:space="preserve"> Thus, o</w:t>
      </w:r>
      <w:r w:rsidR="004762E9" w:rsidRPr="000A6E90">
        <w:t xml:space="preserve">nly immune-mediated adverse events </w:t>
      </w:r>
      <w:r w:rsidR="004762E9" w:rsidRPr="000A6E90">
        <w:rPr>
          <w:u w:val="single"/>
        </w:rPr>
        <w:t>of any grade</w:t>
      </w:r>
      <w:r w:rsidR="004762E9" w:rsidRPr="000A6E90">
        <w:t xml:space="preserve"> have been presented.</w:t>
      </w:r>
    </w:p>
    <w:p w14:paraId="306088AC" w14:textId="77777777" w:rsidR="002D5375" w:rsidRDefault="002D5375" w:rsidP="002D5375">
      <w:pPr>
        <w:pStyle w:val="TableFooter"/>
      </w:pPr>
      <w:r w:rsidRPr="00B75328">
        <w:rPr>
          <w:b/>
        </w:rPr>
        <w:t>Bolded results are statistically significant</w:t>
      </w:r>
    </w:p>
    <w:p w14:paraId="6C25690C" w14:textId="40E76257" w:rsidR="006D314A" w:rsidRPr="006D314A" w:rsidRDefault="006D314A" w:rsidP="00426C6C">
      <w:pPr>
        <w:pStyle w:val="3-BodyText"/>
        <w:spacing w:before="120"/>
        <w:rPr>
          <w:rFonts w:eastAsia="Calibri"/>
        </w:rPr>
      </w:pPr>
      <w:r w:rsidRPr="006D314A">
        <w:rPr>
          <w:rFonts w:eastAsia="Calibri"/>
        </w:rPr>
        <w:t xml:space="preserve">On the basis of the </w:t>
      </w:r>
      <w:r>
        <w:rPr>
          <w:rFonts w:eastAsia="Calibri"/>
        </w:rPr>
        <w:t>CM816</w:t>
      </w:r>
      <w:r w:rsidR="00B20B6D">
        <w:rPr>
          <w:rFonts w:eastAsia="Calibri"/>
        </w:rPr>
        <w:t xml:space="preserve"> trial, </w:t>
      </w:r>
      <w:r w:rsidR="001505F7">
        <w:rPr>
          <w:rFonts w:eastAsia="Calibri"/>
        </w:rPr>
        <w:t xml:space="preserve">for </w:t>
      </w:r>
      <w:r w:rsidR="00B20B6D" w:rsidRPr="006D314A">
        <w:rPr>
          <w:rFonts w:eastAsia="Calibri"/>
        </w:rPr>
        <w:t xml:space="preserve">every 100 patients </w:t>
      </w:r>
      <w:r w:rsidR="00B20B6D">
        <w:rPr>
          <w:rFonts w:eastAsia="Calibri"/>
        </w:rPr>
        <w:t xml:space="preserve">with resectable NSCLC, </w:t>
      </w:r>
      <w:r w:rsidR="00B20B6D" w:rsidRPr="006D314A">
        <w:rPr>
          <w:rFonts w:eastAsia="Calibri"/>
        </w:rPr>
        <w:t xml:space="preserve">treated with </w:t>
      </w:r>
      <w:r w:rsidR="00B20B6D">
        <w:rPr>
          <w:rFonts w:eastAsia="Calibri"/>
        </w:rPr>
        <w:t>nivolumab</w:t>
      </w:r>
      <w:r w:rsidR="00B20B6D" w:rsidRPr="006D314A">
        <w:rPr>
          <w:rFonts w:eastAsia="Calibri"/>
        </w:rPr>
        <w:t xml:space="preserve"> </w:t>
      </w:r>
      <w:r w:rsidR="00B20B6D">
        <w:rPr>
          <w:rFonts w:eastAsia="Calibri"/>
        </w:rPr>
        <w:t>360</w:t>
      </w:r>
      <w:r w:rsidR="00B20B6D" w:rsidRPr="006D314A">
        <w:rPr>
          <w:rFonts w:eastAsia="Calibri"/>
        </w:rPr>
        <w:t xml:space="preserve"> mg Q3W </w:t>
      </w:r>
      <w:r w:rsidR="00B20B6D">
        <w:rPr>
          <w:rFonts w:eastAsia="Calibri"/>
        </w:rPr>
        <w:t xml:space="preserve">and chemotherapy (Q3W) for 3 cycles </w:t>
      </w:r>
      <w:r w:rsidR="00B20B6D" w:rsidRPr="00B87175">
        <w:rPr>
          <w:rFonts w:eastAsia="Calibri"/>
          <w:iCs/>
        </w:rPr>
        <w:t>versus</w:t>
      </w:r>
      <w:r w:rsidR="00B20B6D">
        <w:rPr>
          <w:rFonts w:eastAsia="Calibri"/>
        </w:rPr>
        <w:t xml:space="preserve"> chemotherapy alone, over a </w:t>
      </w:r>
      <w:r w:rsidRPr="006D314A">
        <w:rPr>
          <w:rFonts w:eastAsia="Calibri"/>
        </w:rPr>
        <w:t xml:space="preserve">median follow up of </w:t>
      </w:r>
      <w:r>
        <w:rPr>
          <w:rFonts w:eastAsia="Calibri"/>
        </w:rPr>
        <w:t>19.5</w:t>
      </w:r>
      <w:r w:rsidRPr="006D314A">
        <w:rPr>
          <w:rFonts w:eastAsia="Calibri"/>
        </w:rPr>
        <w:t xml:space="preserve"> months</w:t>
      </w:r>
      <w:r w:rsidR="00485BF6">
        <w:rPr>
          <w:rFonts w:eastAsia="Calibri"/>
        </w:rPr>
        <w:t>:</w:t>
      </w:r>
    </w:p>
    <w:p w14:paraId="19B4040C" w14:textId="2C6F0959" w:rsidR="006D314A" w:rsidRPr="005131AC" w:rsidRDefault="006D314A" w:rsidP="005131AC">
      <w:pPr>
        <w:pStyle w:val="Bulletpoints"/>
      </w:pPr>
      <w:r w:rsidRPr="005131AC">
        <w:t xml:space="preserve">In the </w:t>
      </w:r>
      <w:r w:rsidR="002F204B" w:rsidRPr="005131AC">
        <w:t xml:space="preserve">overall </w:t>
      </w:r>
      <w:r w:rsidRPr="005131AC">
        <w:t xml:space="preserve">Stage </w:t>
      </w:r>
      <w:r w:rsidR="002F204B" w:rsidRPr="005131AC">
        <w:t>1B</w:t>
      </w:r>
      <w:r w:rsidRPr="005131AC">
        <w:t xml:space="preserve">-IIIA NSCLC </w:t>
      </w:r>
      <w:r w:rsidR="002F204B" w:rsidRPr="005131AC">
        <w:t>population</w:t>
      </w:r>
      <w:r w:rsidRPr="005131AC">
        <w:t xml:space="preserve">, </w:t>
      </w:r>
      <w:r w:rsidR="002F204B" w:rsidRPr="005131AC">
        <w:t>19</w:t>
      </w:r>
      <w:r w:rsidRPr="005131AC">
        <w:t xml:space="preserve"> additional patients will remain </w:t>
      </w:r>
      <w:r w:rsidR="002F204B" w:rsidRPr="005131AC">
        <w:t>event free (</w:t>
      </w:r>
      <w:r w:rsidR="005B7D65" w:rsidRPr="005131AC">
        <w:t>defined as ‘</w:t>
      </w:r>
      <w:r w:rsidR="00BA5B54" w:rsidRPr="005131AC">
        <w:t>any progression of disease precluding surgery, progression or recurrence of disease after surgery, progression of disease in the absence of surgery, or death from any cause</w:t>
      </w:r>
      <w:r w:rsidR="005B7D65" w:rsidRPr="005131AC">
        <w:t>’</w:t>
      </w:r>
      <w:r w:rsidR="002F204B" w:rsidRPr="005131AC">
        <w:t>) at 2 years</w:t>
      </w:r>
      <w:r w:rsidRPr="005131AC">
        <w:t xml:space="preserve">. </w:t>
      </w:r>
      <w:r w:rsidR="00485BF6" w:rsidRPr="005131AC">
        <w:t>The reduction in hazard of an event occurring is 37%.</w:t>
      </w:r>
    </w:p>
    <w:p w14:paraId="2A0C0BAA" w14:textId="56425101" w:rsidR="008642AC" w:rsidRPr="005131AC" w:rsidRDefault="006D314A" w:rsidP="005131AC">
      <w:pPr>
        <w:pStyle w:val="Bulletpoints"/>
      </w:pPr>
      <w:r w:rsidRPr="005131AC">
        <w:t xml:space="preserve">Approximately </w:t>
      </w:r>
      <w:r w:rsidR="00D72541" w:rsidRPr="005131AC">
        <w:t>8</w:t>
      </w:r>
      <w:r w:rsidRPr="005131AC">
        <w:t xml:space="preserve"> additional patients will experience </w:t>
      </w:r>
      <w:r w:rsidR="009D2B9F" w:rsidRPr="005131AC">
        <w:t>any grade rash</w:t>
      </w:r>
      <w:r w:rsidRPr="005131AC">
        <w:t xml:space="preserve"> </w:t>
      </w:r>
      <w:r w:rsidR="009D2B9F" w:rsidRPr="005131AC">
        <w:t>and 4</w:t>
      </w:r>
      <w:r w:rsidRPr="005131AC">
        <w:t xml:space="preserve"> additional patients will experience </w:t>
      </w:r>
      <w:r w:rsidR="009D2B9F" w:rsidRPr="005131AC">
        <w:t>any grade hyperthyroidism.</w:t>
      </w:r>
    </w:p>
    <w:p w14:paraId="2B28414A" w14:textId="1B3AAB55" w:rsidR="002D5375" w:rsidRPr="000A6E90" w:rsidRDefault="006D314A" w:rsidP="002D5375">
      <w:pPr>
        <w:pStyle w:val="3-BodyText"/>
        <w:rPr>
          <w:rFonts w:eastAsia="Calibri"/>
          <w:iCs/>
        </w:rPr>
      </w:pPr>
      <w:r w:rsidRPr="000A6E90">
        <w:rPr>
          <w:rFonts w:eastAsia="Calibri"/>
          <w:iCs/>
        </w:rPr>
        <w:t>The results of the unadjusted ITC</w:t>
      </w:r>
      <w:r w:rsidR="009D2B9F" w:rsidRPr="000A6E90">
        <w:rPr>
          <w:rFonts w:eastAsia="Calibri"/>
          <w:iCs/>
        </w:rPr>
        <w:t>s</w:t>
      </w:r>
      <w:r w:rsidRPr="000A6E90">
        <w:rPr>
          <w:rFonts w:eastAsia="Calibri"/>
          <w:iCs/>
        </w:rPr>
        <w:t xml:space="preserve"> </w:t>
      </w:r>
      <w:r w:rsidR="009D2B9F" w:rsidRPr="000A6E90">
        <w:rPr>
          <w:rFonts w:eastAsia="Calibri"/>
          <w:iCs/>
        </w:rPr>
        <w:t xml:space="preserve">were unreliable and associated with a high risk of bias, particularly the </w:t>
      </w:r>
      <w:r w:rsidRPr="000A6E90">
        <w:rPr>
          <w:rFonts w:eastAsia="Calibri"/>
          <w:iCs/>
        </w:rPr>
        <w:t xml:space="preserve">modelled ITC with </w:t>
      </w:r>
      <w:r w:rsidR="003D24E4" w:rsidRPr="000A6E90">
        <w:rPr>
          <w:rFonts w:eastAsia="Calibri"/>
          <w:iCs/>
        </w:rPr>
        <w:t>adjChemo</w:t>
      </w:r>
      <w:r w:rsidRPr="000A6E90">
        <w:rPr>
          <w:rFonts w:eastAsia="Calibri"/>
          <w:iCs/>
        </w:rPr>
        <w:t>+</w:t>
      </w:r>
      <w:r w:rsidR="000039B4" w:rsidRPr="000A6E90">
        <w:rPr>
          <w:rFonts w:eastAsia="Calibri"/>
          <w:iCs/>
        </w:rPr>
        <w:t>adjATEZO</w:t>
      </w:r>
      <w:r w:rsidRPr="000A6E90">
        <w:rPr>
          <w:rFonts w:eastAsia="Calibri"/>
          <w:iCs/>
        </w:rPr>
        <w:t xml:space="preserve">. There were </w:t>
      </w:r>
      <w:r w:rsidR="009D2B9F" w:rsidRPr="000A6E90">
        <w:rPr>
          <w:rFonts w:eastAsia="Calibri"/>
          <w:iCs/>
        </w:rPr>
        <w:t xml:space="preserve">several </w:t>
      </w:r>
      <w:r w:rsidRPr="000A6E90">
        <w:rPr>
          <w:rFonts w:eastAsia="Calibri"/>
          <w:iCs/>
        </w:rPr>
        <w:t xml:space="preserve">important differences </w:t>
      </w:r>
      <w:r w:rsidR="009D2B9F" w:rsidRPr="000A6E90">
        <w:rPr>
          <w:rFonts w:eastAsia="Calibri"/>
          <w:iCs/>
        </w:rPr>
        <w:t xml:space="preserve">in patient, disease and other study characteristics </w:t>
      </w:r>
      <w:r w:rsidRPr="000A6E90">
        <w:rPr>
          <w:rFonts w:eastAsia="Calibri"/>
          <w:iCs/>
        </w:rPr>
        <w:t>that were not adjusted</w:t>
      </w:r>
      <w:r w:rsidR="009D2B9F" w:rsidRPr="000A6E90">
        <w:rPr>
          <w:rFonts w:eastAsia="Calibri"/>
          <w:iCs/>
        </w:rPr>
        <w:t xml:space="preserve"> for. T</w:t>
      </w:r>
      <w:r w:rsidRPr="000A6E90">
        <w:rPr>
          <w:rFonts w:eastAsia="Calibri"/>
          <w:iCs/>
        </w:rPr>
        <w:t xml:space="preserve">he impact of unknown confounders remains unclear. All these limitations lead to a high level of uncertainty </w:t>
      </w:r>
      <w:r w:rsidR="009D2B9F" w:rsidRPr="000A6E90">
        <w:rPr>
          <w:rFonts w:eastAsia="Calibri"/>
          <w:iCs/>
        </w:rPr>
        <w:t>regarding</w:t>
      </w:r>
      <w:r w:rsidRPr="000A6E90">
        <w:rPr>
          <w:rFonts w:eastAsia="Calibri"/>
          <w:iCs/>
        </w:rPr>
        <w:t xml:space="preserve"> the magnitude of any incremental benefit associated with </w:t>
      </w:r>
      <w:r w:rsidR="000039B4" w:rsidRPr="000A6E90">
        <w:rPr>
          <w:rFonts w:eastAsia="Calibri"/>
          <w:iCs/>
        </w:rPr>
        <w:t>neoNIVO</w:t>
      </w:r>
      <w:r w:rsidR="009D2B9F" w:rsidRPr="000A6E90">
        <w:rPr>
          <w:rFonts w:eastAsia="Calibri"/>
          <w:iCs/>
        </w:rPr>
        <w:t>+</w:t>
      </w:r>
      <w:r w:rsidR="000039B4" w:rsidRPr="000A6E90">
        <w:rPr>
          <w:rFonts w:eastAsia="Calibri"/>
          <w:iCs/>
        </w:rPr>
        <w:t>neoChemo</w:t>
      </w:r>
      <w:r w:rsidR="009D2B9F" w:rsidRPr="000A6E90">
        <w:rPr>
          <w:rFonts w:eastAsia="Calibri"/>
          <w:iCs/>
        </w:rPr>
        <w:t xml:space="preserve"> compared with either </w:t>
      </w:r>
      <w:r w:rsidR="003D24E4" w:rsidRPr="000A6E90">
        <w:rPr>
          <w:rFonts w:eastAsia="Calibri"/>
          <w:iCs/>
        </w:rPr>
        <w:t>adjChemo</w:t>
      </w:r>
      <w:r w:rsidR="009D2B9F" w:rsidRPr="000A6E90">
        <w:rPr>
          <w:rFonts w:eastAsia="Calibri"/>
          <w:iCs/>
        </w:rPr>
        <w:t xml:space="preserve"> or </w:t>
      </w:r>
      <w:r w:rsidR="003D24E4" w:rsidRPr="000A6E90">
        <w:rPr>
          <w:rFonts w:eastAsia="Calibri"/>
          <w:iCs/>
        </w:rPr>
        <w:t>adjChemo</w:t>
      </w:r>
      <w:r w:rsidR="009D2B9F" w:rsidRPr="000A6E90">
        <w:rPr>
          <w:rFonts w:eastAsia="Calibri"/>
          <w:iCs/>
        </w:rPr>
        <w:t>+</w:t>
      </w:r>
      <w:r w:rsidR="000039B4" w:rsidRPr="000A6E90">
        <w:rPr>
          <w:rFonts w:eastAsia="Calibri"/>
          <w:iCs/>
        </w:rPr>
        <w:t>adjATEZO</w:t>
      </w:r>
      <w:r w:rsidRPr="000A6E90">
        <w:rPr>
          <w:rFonts w:eastAsia="Calibri"/>
          <w:iCs/>
        </w:rPr>
        <w:t>. Interpretation of the safety data was problematic given the descriptive nature of the comparison</w:t>
      </w:r>
      <w:r w:rsidR="009D2B9F" w:rsidRPr="000A6E90">
        <w:rPr>
          <w:rFonts w:eastAsia="Calibri"/>
          <w:iCs/>
        </w:rPr>
        <w:t>s</w:t>
      </w:r>
      <w:r w:rsidRPr="000A6E90">
        <w:rPr>
          <w:rFonts w:eastAsia="Calibri"/>
          <w:iCs/>
        </w:rPr>
        <w:t xml:space="preserve">. </w:t>
      </w:r>
      <w:r w:rsidR="009D2B9F" w:rsidRPr="000A6E90">
        <w:rPr>
          <w:rFonts w:eastAsia="Calibri"/>
          <w:iCs/>
        </w:rPr>
        <w:t xml:space="preserve">Furthermore, the ITCs have not been captured in the economic analysis and financial estimates. </w:t>
      </w:r>
      <w:r w:rsidRPr="000A6E90">
        <w:rPr>
          <w:rFonts w:eastAsia="Calibri"/>
          <w:iCs/>
        </w:rPr>
        <w:t xml:space="preserve">Accordingly, a benefits/harms quantification table </w:t>
      </w:r>
      <w:r w:rsidR="009D2B9F" w:rsidRPr="000A6E90">
        <w:rPr>
          <w:rFonts w:eastAsia="Calibri"/>
          <w:iCs/>
        </w:rPr>
        <w:t xml:space="preserve">for the ITCs </w:t>
      </w:r>
      <w:r w:rsidRPr="000A6E90">
        <w:rPr>
          <w:rFonts w:eastAsia="Calibri"/>
          <w:iCs/>
        </w:rPr>
        <w:t>has not been presented</w:t>
      </w:r>
      <w:r w:rsidR="009D2B9F" w:rsidRPr="000A6E90">
        <w:rPr>
          <w:rFonts w:eastAsia="Calibri"/>
          <w:iCs/>
        </w:rPr>
        <w:t>.</w:t>
      </w:r>
    </w:p>
    <w:p w14:paraId="1915CF43" w14:textId="77777777" w:rsidR="00750175" w:rsidRPr="00C9624D" w:rsidRDefault="00750175" w:rsidP="00750175">
      <w:pPr>
        <w:pStyle w:val="4-SubsectionHeading"/>
      </w:pPr>
      <w:bookmarkStart w:id="55" w:name="_Toc101281145"/>
      <w:bookmarkStart w:id="56" w:name="_Toc124932958"/>
      <w:r w:rsidRPr="00C9624D">
        <w:t>Clinical claim</w:t>
      </w:r>
      <w:bookmarkEnd w:id="55"/>
      <w:bookmarkEnd w:id="56"/>
    </w:p>
    <w:p w14:paraId="74BD01BF" w14:textId="4B03A8DF" w:rsidR="007B1DAA" w:rsidRPr="007B1DAA" w:rsidRDefault="007B1DAA" w:rsidP="00461D53">
      <w:pPr>
        <w:pStyle w:val="3-BodyText"/>
        <w:rPr>
          <w:rFonts w:eastAsia="Calibri"/>
        </w:rPr>
      </w:pPr>
      <w:r w:rsidRPr="007B1DAA">
        <w:rPr>
          <w:rFonts w:eastAsia="Calibri"/>
        </w:rPr>
        <w:t xml:space="preserve">The submission described </w:t>
      </w:r>
      <w:r w:rsidR="000039B4">
        <w:rPr>
          <w:rFonts w:eastAsia="Calibri"/>
        </w:rPr>
        <w:t>neoNIVO</w:t>
      </w:r>
      <w:r w:rsidRPr="007B1DAA">
        <w:rPr>
          <w:rFonts w:eastAsia="Calibri"/>
        </w:rPr>
        <w:t>+</w:t>
      </w:r>
      <w:r w:rsidR="000039B4">
        <w:rPr>
          <w:rFonts w:eastAsia="Calibri"/>
        </w:rPr>
        <w:t>neoChemo</w:t>
      </w:r>
      <w:r w:rsidRPr="007B1DAA">
        <w:rPr>
          <w:rFonts w:eastAsia="Calibri"/>
        </w:rPr>
        <w:t xml:space="preserve"> as:</w:t>
      </w:r>
    </w:p>
    <w:p w14:paraId="11F8F660" w14:textId="7136BC90" w:rsidR="007B1DAA" w:rsidRPr="005131AC" w:rsidRDefault="007B1DAA" w:rsidP="005131AC">
      <w:pPr>
        <w:pStyle w:val="Bulletpoints"/>
      </w:pPr>
      <w:r w:rsidRPr="005131AC">
        <w:t xml:space="preserve">Superior in terms of effectiveness (EFS) and non-inferior in terms of safety compared with </w:t>
      </w:r>
      <w:r w:rsidR="000039B4" w:rsidRPr="005131AC">
        <w:t>neoChemo</w:t>
      </w:r>
      <w:r w:rsidRPr="005131AC">
        <w:t>;</w:t>
      </w:r>
    </w:p>
    <w:p w14:paraId="17106944" w14:textId="4E3848A8" w:rsidR="007B1DAA" w:rsidRPr="005131AC" w:rsidRDefault="007B1DAA" w:rsidP="005131AC">
      <w:pPr>
        <w:pStyle w:val="Bulletpoints"/>
      </w:pPr>
      <w:r w:rsidRPr="005131AC">
        <w:t xml:space="preserve">Superior in terms of effectiveness (EFS) and non-inferior in terms of safety compared with </w:t>
      </w:r>
      <w:r w:rsidR="003D24E4" w:rsidRPr="005131AC">
        <w:t>adjChemo</w:t>
      </w:r>
      <w:r w:rsidRPr="005131AC">
        <w:t>; and</w:t>
      </w:r>
    </w:p>
    <w:p w14:paraId="6BA30581" w14:textId="2C12BC31" w:rsidR="007B1DAA" w:rsidRPr="005131AC" w:rsidRDefault="00474EEF" w:rsidP="005131AC">
      <w:pPr>
        <w:pStyle w:val="Bulletpoints"/>
      </w:pPr>
      <w:r w:rsidRPr="005131AC">
        <w:t>‘</w:t>
      </w:r>
      <w:r w:rsidR="007B1DAA" w:rsidRPr="005131AC">
        <w:t>Likely superior and at least non-inferior</w:t>
      </w:r>
      <w:r w:rsidRPr="005131AC">
        <w:t>’</w:t>
      </w:r>
      <w:r w:rsidR="007B1DAA" w:rsidRPr="005131AC">
        <w:t xml:space="preserve"> in terms of effectiveness (EFS) and </w:t>
      </w:r>
      <w:r w:rsidRPr="005131AC">
        <w:t>‘</w:t>
      </w:r>
      <w:r w:rsidR="007B1DAA" w:rsidRPr="005131AC">
        <w:t>different and non-inferior</w:t>
      </w:r>
      <w:r w:rsidRPr="005131AC">
        <w:t>’</w:t>
      </w:r>
      <w:r w:rsidR="007B1DAA" w:rsidRPr="005131AC">
        <w:t xml:space="preserve"> in terms of safety compared with </w:t>
      </w:r>
      <w:r w:rsidR="003D24E4" w:rsidRPr="005131AC">
        <w:t>adjChemo</w:t>
      </w:r>
      <w:r w:rsidR="007B1DAA" w:rsidRPr="005131AC">
        <w:t>+</w:t>
      </w:r>
      <w:r w:rsidR="000039B4" w:rsidRPr="005131AC">
        <w:t>adjATEZO</w:t>
      </w:r>
      <w:r w:rsidR="00E30355" w:rsidRPr="005131AC">
        <w:t>.</w:t>
      </w:r>
    </w:p>
    <w:p w14:paraId="41E2AB3E" w14:textId="492A8328" w:rsidR="005A4D69" w:rsidRPr="00CA56B5" w:rsidRDefault="007B1DAA" w:rsidP="00FE5DCE">
      <w:pPr>
        <w:pStyle w:val="3-BodyText"/>
        <w:rPr>
          <w:rFonts w:eastAsia="Calibri"/>
        </w:rPr>
      </w:pPr>
      <w:r w:rsidRPr="000A6E90">
        <w:rPr>
          <w:rFonts w:eastAsia="Calibri"/>
        </w:rPr>
        <w:t xml:space="preserve">The </w:t>
      </w:r>
      <w:r w:rsidR="009C692D">
        <w:rPr>
          <w:rFonts w:eastAsia="Calibri"/>
        </w:rPr>
        <w:t xml:space="preserve">evaluation considered the </w:t>
      </w:r>
      <w:r w:rsidRPr="000A6E90">
        <w:rPr>
          <w:rFonts w:eastAsia="Calibri"/>
        </w:rPr>
        <w:t xml:space="preserve">therapeutic conclusion regarding the direct comparison with </w:t>
      </w:r>
      <w:r w:rsidR="000039B4" w:rsidRPr="000A6E90">
        <w:rPr>
          <w:rFonts w:eastAsia="Calibri"/>
        </w:rPr>
        <w:t>neoChemo</w:t>
      </w:r>
      <w:r w:rsidRPr="000A6E90">
        <w:rPr>
          <w:rFonts w:eastAsia="Calibri"/>
        </w:rPr>
        <w:t xml:space="preserve">, in terms of EFS, was supported by the </w:t>
      </w:r>
      <w:r w:rsidR="005A4D69">
        <w:rPr>
          <w:rFonts w:eastAsia="Calibri"/>
        </w:rPr>
        <w:t xml:space="preserve">clinical </w:t>
      </w:r>
      <w:r w:rsidRPr="000A6E90">
        <w:rPr>
          <w:rFonts w:eastAsia="Calibri"/>
        </w:rPr>
        <w:t>evidence presented</w:t>
      </w:r>
      <w:r w:rsidR="00F02E17">
        <w:rPr>
          <w:rFonts w:eastAsia="Calibri"/>
        </w:rPr>
        <w:t xml:space="preserve"> in the submission</w:t>
      </w:r>
      <w:r w:rsidR="001505F7" w:rsidRPr="000A6E90">
        <w:rPr>
          <w:rFonts w:eastAsia="Calibri"/>
        </w:rPr>
        <w:t>. Interim OS data from CM816 were immature at the October 2021 data cutoff although the results favoured neoNIVO+neoChemo over neoChemo (HR for death=0.57; 99.67% CI: 0.30, 1.07; p=0.008).</w:t>
      </w:r>
      <w:r w:rsidRPr="000A6E90">
        <w:rPr>
          <w:rFonts w:eastAsia="Calibri"/>
        </w:rPr>
        <w:t xml:space="preserve"> </w:t>
      </w:r>
      <w:r w:rsidR="005A4D69" w:rsidRPr="00CA56B5">
        <w:rPr>
          <w:rFonts w:eastAsia="Calibri"/>
        </w:rPr>
        <w:t>The ESC considered that the claim of superior comparative effectiveness</w:t>
      </w:r>
      <w:r w:rsidR="00F02E17" w:rsidRPr="00CA56B5">
        <w:rPr>
          <w:rFonts w:eastAsia="Calibri"/>
        </w:rPr>
        <w:t xml:space="preserve"> for </w:t>
      </w:r>
      <w:r w:rsidR="00F02E17" w:rsidRPr="00CA56B5">
        <w:t>neoNIVO+neoChemo</w:t>
      </w:r>
      <w:r w:rsidR="00BA5B54" w:rsidRPr="00CA56B5">
        <w:t xml:space="preserve"> </w:t>
      </w:r>
      <w:r w:rsidR="00F02E17" w:rsidRPr="00CA56B5">
        <w:rPr>
          <w:rFonts w:eastAsia="Calibri"/>
        </w:rPr>
        <w:t>versus</w:t>
      </w:r>
      <w:r w:rsidR="001C6E62" w:rsidRPr="00CA56B5">
        <w:rPr>
          <w:rFonts w:eastAsia="Calibri"/>
        </w:rPr>
        <w:t xml:space="preserve"> neoChemo </w:t>
      </w:r>
      <w:r w:rsidR="005A4D69" w:rsidRPr="00CA56B5">
        <w:rPr>
          <w:rFonts w:eastAsia="Calibri"/>
        </w:rPr>
        <w:t xml:space="preserve">was supported by the data presented for EFS and also for the clinically meaningful </w:t>
      </w:r>
      <w:r w:rsidR="00D04DCD" w:rsidRPr="00CA56B5">
        <w:rPr>
          <w:rFonts w:eastAsia="Calibri"/>
        </w:rPr>
        <w:t xml:space="preserve">composite </w:t>
      </w:r>
      <w:r w:rsidR="005A4D69" w:rsidRPr="00CA56B5">
        <w:rPr>
          <w:rFonts w:eastAsia="Calibri"/>
        </w:rPr>
        <w:t xml:space="preserve">endpoint of death or distant metastases. </w:t>
      </w:r>
    </w:p>
    <w:p w14:paraId="5A75736C" w14:textId="7180267A" w:rsidR="007B1DAA" w:rsidRPr="00CA56B5" w:rsidRDefault="005A4D69" w:rsidP="00FE5DCE">
      <w:pPr>
        <w:pStyle w:val="3-BodyText"/>
        <w:rPr>
          <w:rFonts w:eastAsia="Calibri"/>
        </w:rPr>
      </w:pPr>
      <w:r w:rsidRPr="00CA56B5">
        <w:rPr>
          <w:rFonts w:eastAsia="Calibri"/>
        </w:rPr>
        <w:t>The evaluation considered c</w:t>
      </w:r>
      <w:r w:rsidR="007B1DAA" w:rsidRPr="00CA56B5">
        <w:rPr>
          <w:rFonts w:eastAsia="Calibri"/>
        </w:rPr>
        <w:t xml:space="preserve">omparative safety </w:t>
      </w:r>
      <w:r w:rsidR="00200B22" w:rsidRPr="00CA56B5">
        <w:rPr>
          <w:rFonts w:eastAsia="Calibri"/>
        </w:rPr>
        <w:t xml:space="preserve">was slightly worse with </w:t>
      </w:r>
      <w:r w:rsidR="000039B4" w:rsidRPr="00CA56B5">
        <w:rPr>
          <w:rFonts w:eastAsia="Calibri"/>
        </w:rPr>
        <w:t>neoNIVO</w:t>
      </w:r>
      <w:r w:rsidR="00200B22" w:rsidRPr="00CA56B5">
        <w:rPr>
          <w:rFonts w:eastAsia="Calibri"/>
        </w:rPr>
        <w:t>+</w:t>
      </w:r>
      <w:r w:rsidR="000039B4" w:rsidRPr="00CA56B5">
        <w:rPr>
          <w:rFonts w:eastAsia="Calibri"/>
        </w:rPr>
        <w:t>neoChemo</w:t>
      </w:r>
      <w:r w:rsidR="00200B22" w:rsidRPr="00CA56B5">
        <w:rPr>
          <w:rFonts w:eastAsia="Calibri"/>
        </w:rPr>
        <w:t xml:space="preserve"> </w:t>
      </w:r>
      <w:r w:rsidR="0046672B" w:rsidRPr="00CA56B5">
        <w:rPr>
          <w:rFonts w:eastAsia="Calibri"/>
        </w:rPr>
        <w:t xml:space="preserve">compared to neoChemo </w:t>
      </w:r>
      <w:r w:rsidR="00200B22" w:rsidRPr="00CA56B5">
        <w:rPr>
          <w:rFonts w:eastAsia="Calibri"/>
        </w:rPr>
        <w:t>in terms of IMAEs but manageable.</w:t>
      </w:r>
      <w:r w:rsidR="0046672B" w:rsidRPr="00CA56B5">
        <w:rPr>
          <w:rFonts w:eastAsia="Calibri"/>
        </w:rPr>
        <w:t xml:space="preserve"> The ESC considered the claim of non-inferior safety was not supported by the clinical evidence provided</w:t>
      </w:r>
      <w:r w:rsidR="00F02E17" w:rsidRPr="00CA56B5">
        <w:rPr>
          <w:rFonts w:eastAsia="Calibri"/>
        </w:rPr>
        <w:t xml:space="preserve"> in the submission</w:t>
      </w:r>
      <w:r w:rsidR="0046672B" w:rsidRPr="00CA56B5">
        <w:rPr>
          <w:rFonts w:eastAsia="Calibri"/>
        </w:rPr>
        <w:t>.</w:t>
      </w:r>
      <w:r w:rsidR="00CC7AE8">
        <w:rPr>
          <w:rFonts w:eastAsia="Calibri"/>
        </w:rPr>
        <w:t xml:space="preserve"> </w:t>
      </w:r>
    </w:p>
    <w:p w14:paraId="66D9DF6F" w14:textId="736B9C23" w:rsidR="007B1DAA" w:rsidRPr="00CA56B5" w:rsidRDefault="00F77505" w:rsidP="002F204B">
      <w:pPr>
        <w:pStyle w:val="3-BodyText"/>
        <w:rPr>
          <w:rFonts w:eastAsia="Calibri"/>
        </w:rPr>
      </w:pPr>
      <w:r w:rsidRPr="000A6E90">
        <w:rPr>
          <w:rFonts w:eastAsia="Calibri"/>
        </w:rPr>
        <w:t>R</w:t>
      </w:r>
      <w:r w:rsidR="007B1DAA" w:rsidRPr="000A6E90">
        <w:rPr>
          <w:rFonts w:eastAsia="Calibri"/>
        </w:rPr>
        <w:t xml:space="preserve">egarding the indirect comparison with </w:t>
      </w:r>
      <w:r w:rsidR="003D24E4" w:rsidRPr="000A6E90">
        <w:rPr>
          <w:rFonts w:eastAsia="Calibri"/>
        </w:rPr>
        <w:t>adjChemo</w:t>
      </w:r>
      <w:r w:rsidR="007B1DAA" w:rsidRPr="000A6E90">
        <w:rPr>
          <w:rFonts w:eastAsia="Calibri"/>
        </w:rPr>
        <w:t xml:space="preserve">, </w:t>
      </w:r>
      <w:r w:rsidRPr="000A6E90">
        <w:rPr>
          <w:rFonts w:eastAsia="Calibri"/>
        </w:rPr>
        <w:t xml:space="preserve">transitivity was questionable given the </w:t>
      </w:r>
      <w:r w:rsidR="00323BD2" w:rsidRPr="000A6E90">
        <w:rPr>
          <w:rFonts w:eastAsia="Calibri"/>
        </w:rPr>
        <w:t xml:space="preserve">differences in </w:t>
      </w:r>
      <w:r w:rsidRPr="000A6E90">
        <w:rPr>
          <w:rFonts w:eastAsia="Calibri"/>
        </w:rPr>
        <w:t>study, patient and disease characteristics across the</w:t>
      </w:r>
      <w:r w:rsidR="007B1DAA" w:rsidRPr="000A6E90">
        <w:rPr>
          <w:rFonts w:eastAsia="Calibri"/>
        </w:rPr>
        <w:t xml:space="preserve"> CM816 and NATCH trials</w:t>
      </w:r>
      <w:r w:rsidRPr="000A6E90">
        <w:rPr>
          <w:rFonts w:eastAsia="Calibri"/>
        </w:rPr>
        <w:t xml:space="preserve">. </w:t>
      </w:r>
      <w:r w:rsidR="00686F26" w:rsidRPr="000A6E90">
        <w:rPr>
          <w:rFonts w:eastAsia="Calibri"/>
        </w:rPr>
        <w:t>The evidence remains inadequate to enable a robust quantification of the magnitude of comparative benefit. Notwithstanding these limitations</w:t>
      </w:r>
      <w:r w:rsidRPr="000A6E90">
        <w:rPr>
          <w:rFonts w:eastAsia="Calibri"/>
        </w:rPr>
        <w:t xml:space="preserve">, </w:t>
      </w:r>
      <w:r w:rsidR="00686F26" w:rsidRPr="000A6E90">
        <w:rPr>
          <w:rFonts w:eastAsia="Calibri"/>
        </w:rPr>
        <w:t xml:space="preserve">and recognising </w:t>
      </w:r>
      <w:r w:rsidRPr="000A6E90">
        <w:rPr>
          <w:rFonts w:eastAsia="Calibri"/>
        </w:rPr>
        <w:t xml:space="preserve">the </w:t>
      </w:r>
      <w:r w:rsidR="00686F26" w:rsidRPr="000A6E90">
        <w:rPr>
          <w:rFonts w:eastAsia="Calibri"/>
        </w:rPr>
        <w:t xml:space="preserve">need for caution in cross-study comparisons, the </w:t>
      </w:r>
      <w:r w:rsidR="009C692D">
        <w:rPr>
          <w:rFonts w:eastAsia="Calibri"/>
        </w:rPr>
        <w:t xml:space="preserve">evaluation considered the </w:t>
      </w:r>
      <w:r w:rsidRPr="000A6E90">
        <w:rPr>
          <w:rFonts w:eastAsia="Calibri"/>
        </w:rPr>
        <w:t xml:space="preserve">totality of the evidence </w:t>
      </w:r>
      <w:r w:rsidR="007B1DAA" w:rsidRPr="000A6E90">
        <w:rPr>
          <w:rFonts w:eastAsia="Calibri"/>
        </w:rPr>
        <w:t xml:space="preserve">indicated </w:t>
      </w:r>
      <w:r w:rsidR="000039B4" w:rsidRPr="000A6E90">
        <w:rPr>
          <w:rFonts w:eastAsia="Calibri"/>
        </w:rPr>
        <w:t>neoNIVO</w:t>
      </w:r>
      <w:r w:rsidR="007B1DAA" w:rsidRPr="000A6E90">
        <w:rPr>
          <w:rFonts w:eastAsia="Calibri"/>
        </w:rPr>
        <w:t>+</w:t>
      </w:r>
      <w:r w:rsidR="000039B4" w:rsidRPr="000A6E90">
        <w:rPr>
          <w:rFonts w:eastAsia="Calibri"/>
        </w:rPr>
        <w:t>neoChemo</w:t>
      </w:r>
      <w:r w:rsidR="007B1DAA" w:rsidRPr="000A6E90">
        <w:rPr>
          <w:rFonts w:eastAsia="Calibri"/>
        </w:rPr>
        <w:t xml:space="preserve"> may be superior to </w:t>
      </w:r>
      <w:r w:rsidR="003D24E4" w:rsidRPr="000A6E90">
        <w:rPr>
          <w:rFonts w:eastAsia="Calibri"/>
        </w:rPr>
        <w:t>adjChemo</w:t>
      </w:r>
      <w:r w:rsidR="00200B22" w:rsidRPr="000A6E90">
        <w:rPr>
          <w:rFonts w:eastAsia="Calibri"/>
        </w:rPr>
        <w:t>.</w:t>
      </w:r>
      <w:r w:rsidR="0046672B">
        <w:rPr>
          <w:rFonts w:eastAsia="Calibri"/>
        </w:rPr>
        <w:t xml:space="preserve"> </w:t>
      </w:r>
      <w:r w:rsidR="0046672B" w:rsidRPr="00CA56B5">
        <w:rPr>
          <w:rFonts w:eastAsia="Calibri"/>
        </w:rPr>
        <w:t xml:space="preserve">The ESC considered </w:t>
      </w:r>
      <w:r w:rsidR="009E1E17" w:rsidRPr="00CA56B5">
        <w:rPr>
          <w:rFonts w:eastAsia="Calibri"/>
        </w:rPr>
        <w:t>the claim of superior effectiveness compared to adjChemo was uncertain due to the</w:t>
      </w:r>
      <w:r w:rsidR="00CC7AE8">
        <w:rPr>
          <w:rFonts w:eastAsia="Calibri"/>
        </w:rPr>
        <w:t xml:space="preserve"> </w:t>
      </w:r>
      <w:r w:rsidR="0046672B" w:rsidRPr="00CA56B5">
        <w:rPr>
          <w:rFonts w:eastAsia="Calibri"/>
        </w:rPr>
        <w:t>transitivity concerns identified for the indirect comparison</w:t>
      </w:r>
      <w:r w:rsidR="009E1E17" w:rsidRPr="00CA56B5">
        <w:rPr>
          <w:rFonts w:eastAsia="Calibri"/>
        </w:rPr>
        <w:t>.</w:t>
      </w:r>
      <w:r w:rsidR="004D03E6" w:rsidRPr="00CA56B5">
        <w:rPr>
          <w:rFonts w:eastAsia="Calibri"/>
        </w:rPr>
        <w:t xml:space="preserve"> </w:t>
      </w:r>
      <w:bookmarkStart w:id="57" w:name="_Hlk126858814"/>
      <w:r w:rsidR="004D03E6" w:rsidRPr="00CA56B5">
        <w:rPr>
          <w:rFonts w:eastAsia="Calibri"/>
        </w:rPr>
        <w:t xml:space="preserve">The ESC also considered the claim of non-inferior safety was uncertain. </w:t>
      </w:r>
      <w:bookmarkEnd w:id="57"/>
    </w:p>
    <w:p w14:paraId="4F5D8010" w14:textId="67416611" w:rsidR="007B1DAA" w:rsidRDefault="00CE56F8" w:rsidP="002F204B">
      <w:pPr>
        <w:pStyle w:val="3-BodyText"/>
        <w:rPr>
          <w:rFonts w:eastAsia="Calibri"/>
          <w:iCs/>
        </w:rPr>
      </w:pPr>
      <w:r w:rsidRPr="000A6E90">
        <w:rPr>
          <w:rFonts w:eastAsia="Calibri"/>
        </w:rPr>
        <w:t xml:space="preserve">The </w:t>
      </w:r>
      <w:r w:rsidR="00610F83" w:rsidRPr="000A6E90">
        <w:rPr>
          <w:rFonts w:eastAsia="Calibri"/>
        </w:rPr>
        <w:t xml:space="preserve">comparison between </w:t>
      </w:r>
      <w:r w:rsidR="000039B4" w:rsidRPr="000A6E90">
        <w:rPr>
          <w:rFonts w:eastAsia="Calibri"/>
        </w:rPr>
        <w:t>neoNIVO</w:t>
      </w:r>
      <w:r w:rsidR="002352FF" w:rsidRPr="000A6E90">
        <w:rPr>
          <w:rFonts w:eastAsia="Calibri"/>
        </w:rPr>
        <w:t>+</w:t>
      </w:r>
      <w:r w:rsidR="000039B4" w:rsidRPr="000A6E90">
        <w:rPr>
          <w:rFonts w:eastAsia="Calibri"/>
        </w:rPr>
        <w:t>neoChemo</w:t>
      </w:r>
      <w:r w:rsidR="002352FF" w:rsidRPr="000A6E90">
        <w:rPr>
          <w:rFonts w:eastAsia="Calibri"/>
        </w:rPr>
        <w:t xml:space="preserve"> and </w:t>
      </w:r>
      <w:r w:rsidR="003D24E4" w:rsidRPr="000A6E90">
        <w:rPr>
          <w:rFonts w:eastAsia="Calibri"/>
        </w:rPr>
        <w:t>adjChemo</w:t>
      </w:r>
      <w:r w:rsidR="002352FF" w:rsidRPr="000A6E90">
        <w:rPr>
          <w:rFonts w:eastAsia="Calibri"/>
        </w:rPr>
        <w:t>+</w:t>
      </w:r>
      <w:r w:rsidR="000039B4" w:rsidRPr="000A6E90">
        <w:rPr>
          <w:rFonts w:eastAsia="Calibri"/>
        </w:rPr>
        <w:t>adjATEZO</w:t>
      </w:r>
      <w:r w:rsidR="00610F83" w:rsidRPr="000A6E90">
        <w:rPr>
          <w:rFonts w:eastAsia="Calibri"/>
        </w:rPr>
        <w:t xml:space="preserve"> </w:t>
      </w:r>
      <w:r w:rsidR="002352FF" w:rsidRPr="000A6E90">
        <w:rPr>
          <w:rFonts w:eastAsia="Calibri"/>
        </w:rPr>
        <w:t xml:space="preserve">involved </w:t>
      </w:r>
      <w:r w:rsidR="00610F83" w:rsidRPr="000A6E90">
        <w:rPr>
          <w:rFonts w:eastAsia="Calibri"/>
        </w:rPr>
        <w:t xml:space="preserve">different treatment settings </w:t>
      </w:r>
      <w:r w:rsidR="002352FF" w:rsidRPr="000A6E90">
        <w:rPr>
          <w:rFonts w:eastAsia="Calibri"/>
        </w:rPr>
        <w:t>with</w:t>
      </w:r>
      <w:r w:rsidR="00610F83" w:rsidRPr="000A6E90">
        <w:rPr>
          <w:rFonts w:eastAsia="Calibri"/>
        </w:rPr>
        <w:t xml:space="preserve"> differences in the eligible patient populations (potentially resectable patients, as assessed prior to surgery, in</w:t>
      </w:r>
      <w:r w:rsidR="008716AF">
        <w:rPr>
          <w:rFonts w:eastAsia="Calibri"/>
        </w:rPr>
        <w:t xml:space="preserve"> </w:t>
      </w:r>
      <w:r w:rsidR="00610F83" w:rsidRPr="000A6E90">
        <w:rPr>
          <w:rFonts w:eastAsia="Calibri"/>
        </w:rPr>
        <w:t xml:space="preserve">neoadjuvant </w:t>
      </w:r>
      <w:r w:rsidR="008716AF">
        <w:rPr>
          <w:rFonts w:eastAsia="Calibri"/>
        </w:rPr>
        <w:t>use</w:t>
      </w:r>
      <w:r w:rsidR="00610F83" w:rsidRPr="000A6E90">
        <w:rPr>
          <w:rFonts w:eastAsia="Calibri"/>
        </w:rPr>
        <w:t xml:space="preserve"> versus patients with completely resected tumours following </w:t>
      </w:r>
      <w:r w:rsidR="003D24E4" w:rsidRPr="000A6E90">
        <w:rPr>
          <w:rFonts w:eastAsia="Calibri"/>
        </w:rPr>
        <w:t>adjChemo</w:t>
      </w:r>
      <w:r w:rsidR="00610F83" w:rsidRPr="000A6E90">
        <w:rPr>
          <w:rFonts w:eastAsia="Calibri"/>
        </w:rPr>
        <w:t xml:space="preserve"> in </w:t>
      </w:r>
      <w:r w:rsidR="008716AF">
        <w:rPr>
          <w:rFonts w:eastAsia="Calibri"/>
        </w:rPr>
        <w:t>a</w:t>
      </w:r>
      <w:r w:rsidR="00610F83" w:rsidRPr="000A6E90">
        <w:rPr>
          <w:rFonts w:eastAsia="Calibri"/>
        </w:rPr>
        <w:t xml:space="preserve">djuvant </w:t>
      </w:r>
      <w:r w:rsidR="008716AF">
        <w:rPr>
          <w:rFonts w:eastAsia="Calibri"/>
        </w:rPr>
        <w:t>use</w:t>
      </w:r>
      <w:r w:rsidR="00610F83" w:rsidRPr="000A6E90">
        <w:rPr>
          <w:rFonts w:eastAsia="Calibri"/>
        </w:rPr>
        <w:t xml:space="preserve">). The submission made a comprehensive effort to address some of these contextual differences. However, the ITC was particularly complex, with substantial modelling and adjustment of the observed trial data. The </w:t>
      </w:r>
      <w:r w:rsidR="009C692D">
        <w:rPr>
          <w:rFonts w:eastAsia="Calibri"/>
        </w:rPr>
        <w:t xml:space="preserve">evaluation considered the </w:t>
      </w:r>
      <w:r w:rsidR="00610F83" w:rsidRPr="000A6E90">
        <w:rPr>
          <w:rFonts w:eastAsia="Calibri"/>
        </w:rPr>
        <w:t xml:space="preserve">therapeutic conclusion regarding the indirect comparison with </w:t>
      </w:r>
      <w:r w:rsidR="003D24E4" w:rsidRPr="000A6E90">
        <w:rPr>
          <w:rFonts w:eastAsia="Calibri"/>
        </w:rPr>
        <w:t>adjChemo</w:t>
      </w:r>
      <w:r w:rsidR="00610F83" w:rsidRPr="000A6E90">
        <w:rPr>
          <w:rFonts w:eastAsia="Calibri"/>
        </w:rPr>
        <w:t>+</w:t>
      </w:r>
      <w:r w:rsidR="000039B4" w:rsidRPr="000A6E90">
        <w:rPr>
          <w:rFonts w:eastAsia="Calibri"/>
        </w:rPr>
        <w:t>adjATEZO</w:t>
      </w:r>
      <w:r w:rsidR="00610F83" w:rsidRPr="000A6E90">
        <w:rPr>
          <w:rFonts w:eastAsia="Calibri"/>
        </w:rPr>
        <w:t xml:space="preserve"> was not adequately supported. No firm conclusions can be made on the modelled ITC </w:t>
      </w:r>
      <w:r w:rsidR="002D5375" w:rsidRPr="000A6E90">
        <w:rPr>
          <w:rFonts w:eastAsia="Calibri"/>
        </w:rPr>
        <w:t xml:space="preserve">results </w:t>
      </w:r>
      <w:r w:rsidR="00610F83" w:rsidRPr="000A6E90">
        <w:rPr>
          <w:rFonts w:eastAsia="Calibri"/>
        </w:rPr>
        <w:t xml:space="preserve">as much of the observed data were adjusted and several </w:t>
      </w:r>
      <w:r w:rsidRPr="000A6E90">
        <w:rPr>
          <w:rFonts w:eastAsia="Calibri"/>
        </w:rPr>
        <w:t xml:space="preserve">untested </w:t>
      </w:r>
      <w:r w:rsidR="00610F83" w:rsidRPr="000A6E90">
        <w:rPr>
          <w:rFonts w:eastAsia="Calibri"/>
        </w:rPr>
        <w:t xml:space="preserve">assumptions were made. Importantly, no measures to address the differences in patient and disease characteristics across the trials </w:t>
      </w:r>
      <w:r w:rsidR="002D5375" w:rsidRPr="000A6E90">
        <w:rPr>
          <w:rFonts w:eastAsia="Calibri"/>
        </w:rPr>
        <w:t xml:space="preserve">in the ITC </w:t>
      </w:r>
      <w:r w:rsidR="00610F83" w:rsidRPr="000A6E90">
        <w:rPr>
          <w:rFonts w:eastAsia="Calibri"/>
        </w:rPr>
        <w:t>were undertaken.</w:t>
      </w:r>
      <w:r w:rsidR="009E1E17" w:rsidRPr="009E1E17">
        <w:rPr>
          <w:bCs/>
          <w:sz w:val="22"/>
          <w:szCs w:val="22"/>
        </w:rPr>
        <w:t xml:space="preserve"> </w:t>
      </w:r>
      <w:r w:rsidR="0046672B" w:rsidRPr="00CA56B5">
        <w:rPr>
          <w:iCs/>
        </w:rPr>
        <w:t>The ESC considered that the ITC limitations outlined lead</w:t>
      </w:r>
      <w:r w:rsidR="0046672B" w:rsidRPr="00CA56B5">
        <w:rPr>
          <w:rFonts w:eastAsia="Calibri"/>
          <w:iCs/>
        </w:rPr>
        <w:t xml:space="preserve"> to a high level of uncertainty regarding the magnitude of any incremental benefit associated with neoNIVO+neoChemo compared with adjChemo+adjATEZO.</w:t>
      </w:r>
      <w:r w:rsidR="004D03E6" w:rsidRPr="00CA56B5">
        <w:rPr>
          <w:rFonts w:eastAsia="Calibri"/>
          <w:iCs/>
        </w:rPr>
        <w:t xml:space="preserve"> The ESC also considered the claim of non-inferior safety </w:t>
      </w:r>
      <w:r w:rsidR="001C6E62" w:rsidRPr="00CA56B5">
        <w:rPr>
          <w:rFonts w:eastAsia="Calibri"/>
          <w:iCs/>
        </w:rPr>
        <w:t xml:space="preserve">with adjChemo+adjATEZO </w:t>
      </w:r>
      <w:r w:rsidR="004D03E6" w:rsidRPr="00CA56B5">
        <w:rPr>
          <w:rFonts w:eastAsia="Calibri"/>
          <w:iCs/>
        </w:rPr>
        <w:t>was uncertain.</w:t>
      </w:r>
    </w:p>
    <w:p w14:paraId="05F87FD3" w14:textId="40B47AC3" w:rsidR="00EC194F" w:rsidRPr="00EC194F" w:rsidRDefault="00EC194F" w:rsidP="00EC194F">
      <w:pPr>
        <w:widowControl w:val="0"/>
        <w:numPr>
          <w:ilvl w:val="1"/>
          <w:numId w:val="1"/>
        </w:numPr>
        <w:spacing w:after="120"/>
        <w:rPr>
          <w:rFonts w:asciiTheme="minorHAnsi" w:hAnsiTheme="minorHAnsi"/>
          <w:snapToGrid w:val="0"/>
          <w:szCs w:val="20"/>
        </w:rPr>
      </w:pPr>
      <w:bookmarkStart w:id="58" w:name="_Hlk76376200"/>
      <w:r w:rsidRPr="009C692D">
        <w:rPr>
          <w:rFonts w:asciiTheme="minorHAnsi" w:hAnsiTheme="minorHAnsi"/>
          <w:iCs/>
          <w:snapToGrid w:val="0"/>
        </w:rPr>
        <w:t>The</w:t>
      </w:r>
      <w:r w:rsidRPr="009C692D">
        <w:rPr>
          <w:rFonts w:asciiTheme="minorHAnsi" w:hAnsiTheme="minorHAnsi"/>
          <w:snapToGrid w:val="0"/>
          <w:szCs w:val="20"/>
        </w:rPr>
        <w:t xml:space="preserve"> PBAC considered that the claim of superior comparative effectiveness </w:t>
      </w:r>
      <w:r>
        <w:rPr>
          <w:rFonts w:asciiTheme="minorHAnsi" w:hAnsiTheme="minorHAnsi"/>
          <w:snapToGrid w:val="0"/>
          <w:szCs w:val="20"/>
        </w:rPr>
        <w:t xml:space="preserve">compared to neoChemo </w:t>
      </w:r>
      <w:r w:rsidRPr="009C692D">
        <w:rPr>
          <w:rFonts w:asciiTheme="minorHAnsi" w:hAnsiTheme="minorHAnsi"/>
          <w:snapToGrid w:val="0"/>
          <w:szCs w:val="20"/>
        </w:rPr>
        <w:t>was reasonable.</w:t>
      </w:r>
      <w:r>
        <w:rPr>
          <w:rFonts w:asciiTheme="minorHAnsi" w:hAnsiTheme="minorHAnsi"/>
          <w:snapToGrid w:val="0"/>
          <w:szCs w:val="20"/>
        </w:rPr>
        <w:t xml:space="preserve"> The PBAC considered the claim of </w:t>
      </w:r>
      <w:r w:rsidRPr="007B1DAA">
        <w:rPr>
          <w:rFonts w:eastAsia="Calibri"/>
        </w:rPr>
        <w:t xml:space="preserve">non-inferior </w:t>
      </w:r>
      <w:r>
        <w:rPr>
          <w:rFonts w:eastAsia="Calibri"/>
        </w:rPr>
        <w:t xml:space="preserve">comparative </w:t>
      </w:r>
      <w:r w:rsidRPr="007B1DAA">
        <w:rPr>
          <w:rFonts w:eastAsia="Calibri"/>
        </w:rPr>
        <w:t xml:space="preserve">safety compared with </w:t>
      </w:r>
      <w:r>
        <w:rPr>
          <w:rFonts w:eastAsia="Calibri"/>
        </w:rPr>
        <w:t xml:space="preserve">neoChemo was not adequately supported by the data. </w:t>
      </w:r>
    </w:p>
    <w:p w14:paraId="738B1C17" w14:textId="0F713B31" w:rsidR="00B847DC" w:rsidRPr="00CA56B5" w:rsidRDefault="00B847DC" w:rsidP="00B847DC">
      <w:pPr>
        <w:pStyle w:val="3-BodyText"/>
        <w:rPr>
          <w:rFonts w:eastAsia="Calibri"/>
        </w:rPr>
      </w:pPr>
      <w:bookmarkStart w:id="59" w:name="_Ref131088555"/>
      <w:r w:rsidRPr="00CA56B5">
        <w:rPr>
          <w:rFonts w:eastAsia="Calibri"/>
        </w:rPr>
        <w:t xml:space="preserve">The </w:t>
      </w:r>
      <w:r>
        <w:rPr>
          <w:rFonts w:eastAsia="Calibri"/>
        </w:rPr>
        <w:t>PBAC</w:t>
      </w:r>
      <w:r w:rsidRPr="00CA56B5">
        <w:rPr>
          <w:rFonts w:eastAsia="Calibri"/>
        </w:rPr>
        <w:t xml:space="preserve"> considered the claim of superior </w:t>
      </w:r>
      <w:r>
        <w:rPr>
          <w:rFonts w:eastAsia="Calibri"/>
        </w:rPr>
        <w:t xml:space="preserve">comparative </w:t>
      </w:r>
      <w:r w:rsidRPr="00CA56B5">
        <w:rPr>
          <w:rFonts w:eastAsia="Calibri"/>
        </w:rPr>
        <w:t xml:space="preserve">effectiveness </w:t>
      </w:r>
      <w:r>
        <w:rPr>
          <w:rFonts w:eastAsia="Calibri"/>
        </w:rPr>
        <w:t xml:space="preserve">and non-inferior safety </w:t>
      </w:r>
      <w:r w:rsidRPr="00CA56B5">
        <w:rPr>
          <w:rFonts w:eastAsia="Calibri"/>
        </w:rPr>
        <w:t xml:space="preserve">compared to adjChemo was </w:t>
      </w:r>
      <w:r>
        <w:rPr>
          <w:rFonts w:eastAsia="Calibri"/>
        </w:rPr>
        <w:t>not adequately supported by the data</w:t>
      </w:r>
      <w:r w:rsidRPr="00CA56B5">
        <w:rPr>
          <w:rFonts w:eastAsia="Calibri"/>
        </w:rPr>
        <w:t>.</w:t>
      </w:r>
      <w:bookmarkEnd w:id="59"/>
      <w:r w:rsidRPr="00CA56B5">
        <w:rPr>
          <w:rFonts w:eastAsia="Calibri"/>
        </w:rPr>
        <w:t xml:space="preserve"> </w:t>
      </w:r>
    </w:p>
    <w:p w14:paraId="193D0605" w14:textId="61A10C49" w:rsidR="00B847DC" w:rsidRPr="00B847DC" w:rsidRDefault="00B847DC" w:rsidP="00B847DC">
      <w:pPr>
        <w:widowControl w:val="0"/>
        <w:numPr>
          <w:ilvl w:val="1"/>
          <w:numId w:val="1"/>
        </w:numPr>
        <w:spacing w:after="120"/>
        <w:rPr>
          <w:rFonts w:asciiTheme="minorHAnsi" w:hAnsiTheme="minorHAnsi"/>
          <w:snapToGrid w:val="0"/>
          <w:szCs w:val="20"/>
        </w:rPr>
      </w:pPr>
      <w:bookmarkStart w:id="60" w:name="_Ref131088558"/>
      <w:r w:rsidRPr="00CA56B5">
        <w:rPr>
          <w:iCs/>
        </w:rPr>
        <w:t xml:space="preserve">The </w:t>
      </w:r>
      <w:r>
        <w:rPr>
          <w:iCs/>
        </w:rPr>
        <w:t xml:space="preserve">PBAC considered the claim of </w:t>
      </w:r>
      <w:r>
        <w:rPr>
          <w:rFonts w:eastAsia="Calibri"/>
        </w:rPr>
        <w:t>‘</w:t>
      </w:r>
      <w:r w:rsidR="00EC194F">
        <w:rPr>
          <w:rFonts w:eastAsia="Calibri"/>
        </w:rPr>
        <w:t>l</w:t>
      </w:r>
      <w:r w:rsidRPr="007B1DAA">
        <w:rPr>
          <w:rFonts w:eastAsia="Calibri"/>
        </w:rPr>
        <w:t>ikely superior and at least non-inferior</w:t>
      </w:r>
      <w:r>
        <w:rPr>
          <w:rFonts w:eastAsia="Calibri"/>
        </w:rPr>
        <w:t>’</w:t>
      </w:r>
      <w:r w:rsidRPr="007B1DAA">
        <w:rPr>
          <w:rFonts w:eastAsia="Calibri"/>
        </w:rPr>
        <w:t xml:space="preserve"> </w:t>
      </w:r>
      <w:r>
        <w:rPr>
          <w:rFonts w:eastAsia="Calibri"/>
        </w:rPr>
        <w:t xml:space="preserve">effectiveness </w:t>
      </w:r>
      <w:r w:rsidR="00C35B0D">
        <w:rPr>
          <w:rFonts w:eastAsia="Calibri"/>
          <w:iCs/>
        </w:rPr>
        <w:t>and</w:t>
      </w:r>
      <w:r w:rsidRPr="00CA56B5">
        <w:rPr>
          <w:rFonts w:eastAsia="Calibri"/>
          <w:iCs/>
        </w:rPr>
        <w:t xml:space="preserve"> </w:t>
      </w:r>
      <w:r>
        <w:rPr>
          <w:rFonts w:eastAsia="Calibri"/>
        </w:rPr>
        <w:t>‘</w:t>
      </w:r>
      <w:r w:rsidRPr="007B1DAA">
        <w:rPr>
          <w:rFonts w:eastAsia="Calibri"/>
        </w:rPr>
        <w:t>different and non-inferior</w:t>
      </w:r>
      <w:r>
        <w:rPr>
          <w:rFonts w:eastAsia="Calibri"/>
        </w:rPr>
        <w:t>’</w:t>
      </w:r>
      <w:r w:rsidRPr="007B1DAA">
        <w:rPr>
          <w:rFonts w:eastAsia="Calibri"/>
        </w:rPr>
        <w:t xml:space="preserve"> </w:t>
      </w:r>
      <w:r w:rsidRPr="00CA56B5">
        <w:rPr>
          <w:rFonts w:eastAsia="Calibri"/>
          <w:iCs/>
        </w:rPr>
        <w:t xml:space="preserve">safety </w:t>
      </w:r>
      <w:r>
        <w:rPr>
          <w:rFonts w:eastAsia="Calibri"/>
          <w:iCs/>
        </w:rPr>
        <w:t xml:space="preserve">compared </w:t>
      </w:r>
      <w:r w:rsidRPr="00CA56B5">
        <w:rPr>
          <w:rFonts w:eastAsia="Calibri"/>
          <w:iCs/>
        </w:rPr>
        <w:t xml:space="preserve">with adjChemo+adjATEZO was </w:t>
      </w:r>
      <w:r>
        <w:rPr>
          <w:rFonts w:eastAsia="Calibri"/>
          <w:iCs/>
        </w:rPr>
        <w:t>not adequately supported by the data</w:t>
      </w:r>
      <w:r w:rsidRPr="00CA56B5">
        <w:rPr>
          <w:rFonts w:eastAsia="Calibri"/>
          <w:iCs/>
        </w:rPr>
        <w:t>.</w:t>
      </w:r>
      <w:bookmarkEnd w:id="60"/>
    </w:p>
    <w:p w14:paraId="0AC25D8B" w14:textId="77777777" w:rsidR="00B60939" w:rsidRPr="00C9624D" w:rsidRDefault="00B60939" w:rsidP="00E9094A">
      <w:pPr>
        <w:pStyle w:val="4-SubsectionHeading"/>
      </w:pPr>
      <w:bookmarkStart w:id="61" w:name="_Toc22897645"/>
      <w:bookmarkStart w:id="62" w:name="_Toc124932959"/>
      <w:bookmarkEnd w:id="58"/>
      <w:r w:rsidRPr="00C9624D">
        <w:t>Economic analysis</w:t>
      </w:r>
      <w:bookmarkEnd w:id="61"/>
      <w:bookmarkEnd w:id="62"/>
      <w:r w:rsidR="00491B3A" w:rsidRPr="00C9624D">
        <w:t xml:space="preserve"> </w:t>
      </w:r>
    </w:p>
    <w:p w14:paraId="0212ADC4" w14:textId="094563DA" w:rsidR="00F2381C" w:rsidRPr="00542D0B" w:rsidRDefault="00F2381C" w:rsidP="00F2381C">
      <w:pPr>
        <w:pStyle w:val="3-BodyText"/>
      </w:pPr>
      <w:bookmarkStart w:id="63" w:name="_Toc22897646"/>
      <w:r w:rsidRPr="00542D0B">
        <w:rPr>
          <w:snapToGrid/>
        </w:rPr>
        <w:t xml:space="preserve">The submission presented </w:t>
      </w:r>
      <w:r w:rsidRPr="00FB40BC">
        <w:rPr>
          <w:snapToGrid/>
        </w:rPr>
        <w:t xml:space="preserve">a </w:t>
      </w:r>
      <w:r>
        <w:rPr>
          <w:snapToGrid/>
        </w:rPr>
        <w:t>stepped</w:t>
      </w:r>
      <w:r w:rsidRPr="00FB40BC">
        <w:rPr>
          <w:snapToGrid/>
        </w:rPr>
        <w:t xml:space="preserve"> economic evaluation based on </w:t>
      </w:r>
      <w:r>
        <w:rPr>
          <w:snapToGrid/>
        </w:rPr>
        <w:t>the</w:t>
      </w:r>
      <w:r w:rsidRPr="00FB40BC">
        <w:rPr>
          <w:snapToGrid/>
        </w:rPr>
        <w:t xml:space="preserve"> direct randomised trial CM816.</w:t>
      </w:r>
      <w:r w:rsidRPr="00542D0B">
        <w:rPr>
          <w:snapToGrid/>
        </w:rPr>
        <w:t xml:space="preserve"> </w:t>
      </w:r>
      <w:r>
        <w:rPr>
          <w:snapToGrid/>
        </w:rPr>
        <w:t xml:space="preserve">The economic evaluation </w:t>
      </w:r>
      <w:r w:rsidRPr="00542D0B">
        <w:rPr>
          <w:snapToGrid/>
        </w:rPr>
        <w:t>compar</w:t>
      </w:r>
      <w:r>
        <w:rPr>
          <w:snapToGrid/>
        </w:rPr>
        <w:t>ed</w:t>
      </w:r>
      <w:r w:rsidRPr="00542D0B">
        <w:rPr>
          <w:snapToGrid/>
        </w:rPr>
        <w:t xml:space="preserve"> </w:t>
      </w:r>
      <w:r>
        <w:rPr>
          <w:snapToGrid/>
        </w:rPr>
        <w:t>neoNIVO+neoChemo</w:t>
      </w:r>
      <w:r w:rsidRPr="00542D0B">
        <w:rPr>
          <w:snapToGrid/>
        </w:rPr>
        <w:t xml:space="preserve"> </w:t>
      </w:r>
      <w:r w:rsidRPr="004229BD">
        <w:rPr>
          <w:iCs/>
          <w:snapToGrid/>
        </w:rPr>
        <w:t>versus</w:t>
      </w:r>
      <w:r w:rsidRPr="000A6E90">
        <w:rPr>
          <w:snapToGrid/>
        </w:rPr>
        <w:t xml:space="preserve"> </w:t>
      </w:r>
      <w:r>
        <w:rPr>
          <w:snapToGrid/>
        </w:rPr>
        <w:t xml:space="preserve">neoChemo </w:t>
      </w:r>
      <w:r w:rsidRPr="00542D0B">
        <w:rPr>
          <w:snapToGrid/>
        </w:rPr>
        <w:t xml:space="preserve">for </w:t>
      </w:r>
      <w:r>
        <w:rPr>
          <w:snapToGrid/>
        </w:rPr>
        <w:t xml:space="preserve">the </w:t>
      </w:r>
      <w:r w:rsidRPr="00542D0B">
        <w:rPr>
          <w:snapToGrid/>
        </w:rPr>
        <w:t>treatment of patients with resectable (tumours ≥</w:t>
      </w:r>
      <w:r>
        <w:rPr>
          <w:snapToGrid/>
        </w:rPr>
        <w:t xml:space="preserve"> </w:t>
      </w:r>
      <w:r w:rsidRPr="00542D0B">
        <w:rPr>
          <w:snapToGrid/>
        </w:rPr>
        <w:t>4 cm or node positive) NSCLC. The key components of the economic evaluation are summarised in</w:t>
      </w:r>
      <w:r>
        <w:rPr>
          <w:snapToGrid/>
        </w:rPr>
        <w:t xml:space="preserve"> </w:t>
      </w:r>
      <w:r>
        <w:rPr>
          <w:snapToGrid/>
        </w:rPr>
        <w:fldChar w:fldCharType="begin"/>
      </w:r>
      <w:r>
        <w:rPr>
          <w:snapToGrid/>
        </w:rPr>
        <w:instrText xml:space="preserve"> REF _Ref120870595 \h </w:instrText>
      </w:r>
      <w:r>
        <w:rPr>
          <w:snapToGrid/>
        </w:rPr>
      </w:r>
      <w:r>
        <w:rPr>
          <w:snapToGrid/>
        </w:rPr>
        <w:fldChar w:fldCharType="separate"/>
      </w:r>
      <w:r w:rsidR="00A77D90" w:rsidRPr="00542D0B">
        <w:t xml:space="preserve">Table </w:t>
      </w:r>
      <w:r w:rsidR="00A77D90">
        <w:rPr>
          <w:noProof/>
        </w:rPr>
        <w:t>17</w:t>
      </w:r>
      <w:r>
        <w:rPr>
          <w:snapToGrid/>
        </w:rPr>
        <w:fldChar w:fldCharType="end"/>
      </w:r>
      <w:r>
        <w:rPr>
          <w:snapToGrid/>
        </w:rPr>
        <w:t>.</w:t>
      </w:r>
    </w:p>
    <w:p w14:paraId="21A0EAEF" w14:textId="1A22EAC8" w:rsidR="00F2381C" w:rsidRPr="00542D0B" w:rsidRDefault="00F2381C" w:rsidP="00461D53">
      <w:pPr>
        <w:pStyle w:val="Caption"/>
        <w:jc w:val="left"/>
        <w:rPr>
          <w:rStyle w:val="CommentReference"/>
          <w:b/>
          <w:szCs w:val="24"/>
        </w:rPr>
      </w:pPr>
      <w:bookmarkStart w:id="64" w:name="_Ref120870595"/>
      <w:r w:rsidRPr="00542D0B">
        <w:t xml:space="preserve">Table </w:t>
      </w:r>
      <w:r w:rsidR="00A77D90">
        <w:fldChar w:fldCharType="begin"/>
      </w:r>
      <w:r w:rsidR="00A77D90">
        <w:instrText xml:space="preserve"> SEQ Table \* ARABIC </w:instrText>
      </w:r>
      <w:r w:rsidR="00A77D90">
        <w:fldChar w:fldCharType="separate"/>
      </w:r>
      <w:r w:rsidR="00A77D90">
        <w:rPr>
          <w:noProof/>
        </w:rPr>
        <w:t>17</w:t>
      </w:r>
      <w:r w:rsidR="00A77D90">
        <w:rPr>
          <w:noProof/>
        </w:rPr>
        <w:fldChar w:fldCharType="end"/>
      </w:r>
      <w:bookmarkEnd w:id="64"/>
      <w:r w:rsidRPr="00542D0B">
        <w:t>:</w:t>
      </w:r>
      <w:r w:rsidRPr="00542D0B">
        <w:rPr>
          <w:rStyle w:val="CommentReference"/>
          <w:b/>
          <w:szCs w:val="24"/>
        </w:rPr>
        <w:t xml:space="preserve">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80"/>
        <w:gridCol w:w="7037"/>
      </w:tblGrid>
      <w:tr w:rsidR="00F2381C" w:rsidRPr="003D1DE4" w14:paraId="2175256E" w14:textId="77777777" w:rsidTr="00910F31">
        <w:trPr>
          <w:tblHeader/>
        </w:trPr>
        <w:tc>
          <w:tcPr>
            <w:tcW w:w="1098" w:type="pct"/>
            <w:shd w:val="clear" w:color="auto" w:fill="auto"/>
            <w:vAlign w:val="center"/>
          </w:tcPr>
          <w:p w14:paraId="3561938D" w14:textId="77777777" w:rsidR="00F2381C" w:rsidRPr="00641FB3" w:rsidRDefault="00F2381C" w:rsidP="00461D53">
            <w:pPr>
              <w:pStyle w:val="In-tableHeading"/>
            </w:pPr>
            <w:r w:rsidRPr="00641FB3">
              <w:t>Component</w:t>
            </w:r>
          </w:p>
        </w:tc>
        <w:tc>
          <w:tcPr>
            <w:tcW w:w="3902" w:type="pct"/>
            <w:shd w:val="clear" w:color="auto" w:fill="auto"/>
            <w:vAlign w:val="center"/>
          </w:tcPr>
          <w:p w14:paraId="7B665FC6" w14:textId="77777777" w:rsidR="00F2381C" w:rsidRPr="00641FB3" w:rsidRDefault="00F2381C" w:rsidP="00461D53">
            <w:pPr>
              <w:pStyle w:val="In-tableHeading"/>
            </w:pPr>
            <w:r w:rsidRPr="00641FB3">
              <w:t>Summary</w:t>
            </w:r>
          </w:p>
        </w:tc>
      </w:tr>
      <w:tr w:rsidR="00F2381C" w:rsidRPr="00E2771E" w14:paraId="475859F3" w14:textId="77777777" w:rsidTr="00910F31">
        <w:tc>
          <w:tcPr>
            <w:tcW w:w="1098" w:type="pct"/>
            <w:shd w:val="clear" w:color="auto" w:fill="auto"/>
            <w:vAlign w:val="center"/>
          </w:tcPr>
          <w:p w14:paraId="2629BDCF" w14:textId="77777777" w:rsidR="00F2381C" w:rsidRPr="00E2771E" w:rsidRDefault="00F2381C" w:rsidP="00461D53">
            <w:pPr>
              <w:pStyle w:val="TableText0"/>
            </w:pPr>
            <w:r>
              <w:t>Treatments</w:t>
            </w:r>
          </w:p>
        </w:tc>
        <w:tc>
          <w:tcPr>
            <w:tcW w:w="3902" w:type="pct"/>
            <w:shd w:val="clear" w:color="auto" w:fill="auto"/>
            <w:vAlign w:val="center"/>
          </w:tcPr>
          <w:p w14:paraId="2A6387AA" w14:textId="77777777" w:rsidR="00F2381C" w:rsidRPr="00E2771E" w:rsidRDefault="00F2381C" w:rsidP="00461D53">
            <w:pPr>
              <w:pStyle w:val="TableText0"/>
            </w:pPr>
            <w:r>
              <w:rPr>
                <w:rFonts w:eastAsiaTheme="minorEastAsia"/>
                <w:lang w:val="en-GB"/>
              </w:rPr>
              <w:t>neo</w:t>
            </w:r>
            <w:r w:rsidRPr="00527109">
              <w:rPr>
                <w:rFonts w:eastAsiaTheme="minorEastAsia"/>
                <w:lang w:val="en-GB"/>
              </w:rPr>
              <w:t xml:space="preserve">adjuvant nivolumab </w:t>
            </w:r>
            <w:r>
              <w:rPr>
                <w:rFonts w:eastAsiaTheme="minorEastAsia"/>
                <w:lang w:val="en-GB"/>
              </w:rPr>
              <w:t>+</w:t>
            </w:r>
            <w:r w:rsidRPr="00527109">
              <w:rPr>
                <w:rFonts w:eastAsiaTheme="minorEastAsia"/>
                <w:lang w:val="en-GB"/>
              </w:rPr>
              <w:t xml:space="preserve"> </w:t>
            </w:r>
            <w:r>
              <w:rPr>
                <w:rFonts w:eastAsiaTheme="minorEastAsia"/>
                <w:lang w:val="en-GB"/>
              </w:rPr>
              <w:t>chemotherapy</w:t>
            </w:r>
            <w:r w:rsidRPr="00527109">
              <w:rPr>
                <w:rFonts w:eastAsiaTheme="minorEastAsia"/>
                <w:lang w:val="en-GB"/>
              </w:rPr>
              <w:t xml:space="preserve"> </w:t>
            </w:r>
            <w:r w:rsidRPr="006D341B">
              <w:rPr>
                <w:rFonts w:eastAsiaTheme="minorEastAsia"/>
                <w:iCs/>
                <w:lang w:val="en-GB"/>
              </w:rPr>
              <w:t>versus</w:t>
            </w:r>
            <w:r w:rsidRPr="000A6E90">
              <w:rPr>
                <w:rFonts w:eastAsiaTheme="minorEastAsia"/>
                <w:lang w:val="en-GB"/>
              </w:rPr>
              <w:t xml:space="preserve"> </w:t>
            </w:r>
            <w:r>
              <w:rPr>
                <w:rFonts w:eastAsiaTheme="minorEastAsia"/>
                <w:lang w:val="en-GB"/>
              </w:rPr>
              <w:t>n</w:t>
            </w:r>
            <w:r w:rsidRPr="00527109">
              <w:rPr>
                <w:rFonts w:eastAsiaTheme="minorEastAsia"/>
                <w:lang w:val="en-GB"/>
              </w:rPr>
              <w:t xml:space="preserve">eoadjuvant </w:t>
            </w:r>
            <w:r>
              <w:rPr>
                <w:rFonts w:eastAsiaTheme="minorEastAsia"/>
                <w:lang w:val="en-GB"/>
              </w:rPr>
              <w:t>chemotherapy</w:t>
            </w:r>
          </w:p>
        </w:tc>
      </w:tr>
      <w:tr w:rsidR="00F2381C" w:rsidRPr="00E2771E" w14:paraId="1C6E3005" w14:textId="77777777" w:rsidTr="00910F31">
        <w:tc>
          <w:tcPr>
            <w:tcW w:w="1098" w:type="pct"/>
            <w:shd w:val="clear" w:color="auto" w:fill="auto"/>
            <w:vAlign w:val="center"/>
          </w:tcPr>
          <w:p w14:paraId="237FAD46" w14:textId="77777777" w:rsidR="00F2381C" w:rsidRPr="00E2771E" w:rsidRDefault="00F2381C" w:rsidP="00461D53">
            <w:pPr>
              <w:pStyle w:val="TableText0"/>
            </w:pPr>
            <w:r w:rsidRPr="00E2771E">
              <w:t>Time horizon</w:t>
            </w:r>
          </w:p>
        </w:tc>
        <w:tc>
          <w:tcPr>
            <w:tcW w:w="3902" w:type="pct"/>
            <w:shd w:val="clear" w:color="auto" w:fill="auto"/>
            <w:vAlign w:val="center"/>
          </w:tcPr>
          <w:p w14:paraId="742722C7" w14:textId="77777777" w:rsidR="00F2381C" w:rsidRPr="00E2771E" w:rsidRDefault="00F2381C" w:rsidP="00461D53">
            <w:pPr>
              <w:pStyle w:val="TableText0"/>
            </w:pPr>
            <w:r>
              <w:t>25</w:t>
            </w:r>
            <w:r w:rsidRPr="00E2771E">
              <w:t xml:space="preserve"> years in the model base case </w:t>
            </w:r>
            <w:r w:rsidRPr="006D341B">
              <w:rPr>
                <w:iCs/>
              </w:rPr>
              <w:t>versus</w:t>
            </w:r>
            <w:r w:rsidRPr="00E2771E">
              <w:t xml:space="preserve"> </w:t>
            </w:r>
            <w:r>
              <w:t>median follow-up of 29.5 months in the key trial CM816</w:t>
            </w:r>
          </w:p>
        </w:tc>
      </w:tr>
      <w:tr w:rsidR="00F2381C" w:rsidRPr="00E2771E" w14:paraId="0F53DF65" w14:textId="77777777" w:rsidTr="00910F31">
        <w:tc>
          <w:tcPr>
            <w:tcW w:w="1098" w:type="pct"/>
            <w:shd w:val="clear" w:color="auto" w:fill="auto"/>
            <w:vAlign w:val="center"/>
          </w:tcPr>
          <w:p w14:paraId="4A34EFE1" w14:textId="77777777" w:rsidR="00F2381C" w:rsidRPr="00E2771E" w:rsidRDefault="00F2381C" w:rsidP="00461D53">
            <w:pPr>
              <w:pStyle w:val="TableText0"/>
            </w:pPr>
            <w:r w:rsidRPr="00E2771E">
              <w:t>Outcomes</w:t>
            </w:r>
          </w:p>
        </w:tc>
        <w:tc>
          <w:tcPr>
            <w:tcW w:w="3902" w:type="pct"/>
            <w:shd w:val="clear" w:color="auto" w:fill="auto"/>
            <w:vAlign w:val="center"/>
          </w:tcPr>
          <w:p w14:paraId="6BE37030" w14:textId="77777777" w:rsidR="00F2381C" w:rsidRPr="00E2771E" w:rsidRDefault="00F2381C" w:rsidP="00461D53">
            <w:pPr>
              <w:pStyle w:val="TableText0"/>
            </w:pPr>
            <w:r>
              <w:t>Life years (LYs) gained and quality-adjusted life years (QALYs) gained</w:t>
            </w:r>
          </w:p>
        </w:tc>
      </w:tr>
      <w:tr w:rsidR="00F2381C" w:rsidRPr="00E2771E" w14:paraId="6099C79C" w14:textId="77777777" w:rsidTr="00910F31">
        <w:tc>
          <w:tcPr>
            <w:tcW w:w="1098" w:type="pct"/>
            <w:shd w:val="clear" w:color="auto" w:fill="auto"/>
            <w:vAlign w:val="center"/>
          </w:tcPr>
          <w:p w14:paraId="1FADE635" w14:textId="77777777" w:rsidR="00F2381C" w:rsidRPr="00E2771E" w:rsidRDefault="00F2381C" w:rsidP="00461D53">
            <w:pPr>
              <w:pStyle w:val="TableText0"/>
            </w:pPr>
            <w:r w:rsidRPr="00E2771E">
              <w:t>Methods used to generate results</w:t>
            </w:r>
          </w:p>
        </w:tc>
        <w:tc>
          <w:tcPr>
            <w:tcW w:w="3902" w:type="pct"/>
            <w:shd w:val="clear" w:color="auto" w:fill="auto"/>
            <w:vAlign w:val="center"/>
          </w:tcPr>
          <w:p w14:paraId="6D6541CA" w14:textId="77777777" w:rsidR="00F2381C" w:rsidRPr="00E2771E" w:rsidRDefault="00F2381C" w:rsidP="00461D53">
            <w:pPr>
              <w:pStyle w:val="TableText0"/>
            </w:pPr>
            <w:r>
              <w:t>Semi-Markov cohort model</w:t>
            </w:r>
          </w:p>
        </w:tc>
      </w:tr>
      <w:tr w:rsidR="00F2381C" w:rsidRPr="00E2771E" w14:paraId="06CB796E" w14:textId="77777777" w:rsidTr="00910F31">
        <w:tc>
          <w:tcPr>
            <w:tcW w:w="1098" w:type="pct"/>
            <w:shd w:val="clear" w:color="auto" w:fill="auto"/>
            <w:vAlign w:val="center"/>
          </w:tcPr>
          <w:p w14:paraId="068B94CD" w14:textId="77777777" w:rsidR="00F2381C" w:rsidRPr="00E2771E" w:rsidRDefault="00F2381C" w:rsidP="00461D53">
            <w:pPr>
              <w:pStyle w:val="TableText0"/>
            </w:pPr>
            <w:r w:rsidRPr="00E2771E">
              <w:t>Health states</w:t>
            </w:r>
          </w:p>
        </w:tc>
        <w:tc>
          <w:tcPr>
            <w:tcW w:w="3902" w:type="pct"/>
            <w:shd w:val="clear" w:color="auto" w:fill="auto"/>
            <w:vAlign w:val="center"/>
          </w:tcPr>
          <w:p w14:paraId="33D829E1" w14:textId="77777777" w:rsidR="00F2381C" w:rsidRPr="00E2771E" w:rsidRDefault="00F2381C" w:rsidP="00461D53">
            <w:pPr>
              <w:pStyle w:val="TableText0"/>
            </w:pPr>
            <w:r>
              <w:t>Four health states: event-free survival (EFS), locoregional recurrence (LR), distant metastasis (DM) and death</w:t>
            </w:r>
          </w:p>
        </w:tc>
      </w:tr>
      <w:tr w:rsidR="00F2381C" w:rsidRPr="00E2771E" w14:paraId="161A1433" w14:textId="77777777" w:rsidTr="00910F31">
        <w:tc>
          <w:tcPr>
            <w:tcW w:w="1098" w:type="pct"/>
            <w:shd w:val="clear" w:color="auto" w:fill="auto"/>
            <w:vAlign w:val="center"/>
          </w:tcPr>
          <w:p w14:paraId="46FE1886" w14:textId="77777777" w:rsidR="00F2381C" w:rsidRPr="00E2771E" w:rsidRDefault="00F2381C" w:rsidP="00461D53">
            <w:pPr>
              <w:pStyle w:val="TableText0"/>
            </w:pPr>
            <w:r w:rsidRPr="00E2771E">
              <w:t>Cycle length</w:t>
            </w:r>
          </w:p>
        </w:tc>
        <w:tc>
          <w:tcPr>
            <w:tcW w:w="3902" w:type="pct"/>
            <w:shd w:val="clear" w:color="auto" w:fill="auto"/>
            <w:vAlign w:val="center"/>
          </w:tcPr>
          <w:p w14:paraId="1CFFA2ED" w14:textId="77777777" w:rsidR="00F2381C" w:rsidRPr="00E2771E" w:rsidRDefault="00F2381C" w:rsidP="00461D53">
            <w:pPr>
              <w:pStyle w:val="TableText0"/>
            </w:pPr>
            <w:r>
              <w:t>3 weeks</w:t>
            </w:r>
          </w:p>
        </w:tc>
      </w:tr>
      <w:tr w:rsidR="00F2381C" w:rsidRPr="00E2771E" w14:paraId="61717FF5" w14:textId="77777777" w:rsidTr="00910F31">
        <w:tc>
          <w:tcPr>
            <w:tcW w:w="1098" w:type="pct"/>
            <w:shd w:val="clear" w:color="auto" w:fill="auto"/>
            <w:vAlign w:val="center"/>
          </w:tcPr>
          <w:p w14:paraId="0185A18D" w14:textId="77777777" w:rsidR="00F2381C" w:rsidRPr="00E2771E" w:rsidRDefault="00F2381C" w:rsidP="00461D53">
            <w:pPr>
              <w:pStyle w:val="TableText0"/>
            </w:pPr>
            <w:r w:rsidRPr="00E2771E">
              <w:t>Transition probabilities</w:t>
            </w:r>
          </w:p>
        </w:tc>
        <w:tc>
          <w:tcPr>
            <w:tcW w:w="3902" w:type="pct"/>
            <w:shd w:val="clear" w:color="auto" w:fill="auto"/>
            <w:vAlign w:val="center"/>
          </w:tcPr>
          <w:p w14:paraId="7E935A76" w14:textId="77777777" w:rsidR="00F2381C" w:rsidRDefault="00F2381C" w:rsidP="00461D53">
            <w:pPr>
              <w:pStyle w:val="TableText0"/>
            </w:pPr>
            <w:r>
              <w:t xml:space="preserve">Transition probabilities from EFS to other health states (LR, DM and death) and the transition probabilities from LR to death were estimated based on the Kaplan-Meier data on time to LR, time to any progression, mortality in event-free patients and post-LR survival from Trial CM816. </w:t>
            </w:r>
          </w:p>
          <w:p w14:paraId="76026291" w14:textId="77777777" w:rsidR="00F2381C" w:rsidRDefault="00F2381C" w:rsidP="00461D53">
            <w:pPr>
              <w:pStyle w:val="TableText0"/>
            </w:pPr>
          </w:p>
          <w:p w14:paraId="548C4A3D" w14:textId="77777777" w:rsidR="00F2381C" w:rsidRDefault="00F2381C" w:rsidP="00461D53">
            <w:pPr>
              <w:pStyle w:val="TableText0"/>
            </w:pPr>
            <w:r>
              <w:t>The submission assumed a constant transition probability from LR to DM over the entire time horizon, based on clinician opinion.</w:t>
            </w:r>
          </w:p>
          <w:p w14:paraId="2508DFDA" w14:textId="77777777" w:rsidR="00F2381C" w:rsidRDefault="00F2381C" w:rsidP="00461D53">
            <w:pPr>
              <w:pStyle w:val="TableText0"/>
            </w:pPr>
          </w:p>
          <w:p w14:paraId="608071EE" w14:textId="77777777" w:rsidR="00F2381C" w:rsidRDefault="00F2381C" w:rsidP="00461D53">
            <w:pPr>
              <w:pStyle w:val="TableText0"/>
            </w:pPr>
            <w:r>
              <w:t xml:space="preserve">DM health state was modelled as an absorbing health state. One-off costs, LYs and QALYs were applied on transition. </w:t>
            </w:r>
          </w:p>
          <w:p w14:paraId="3A9F9918" w14:textId="77777777" w:rsidR="00F2381C" w:rsidRDefault="00F2381C" w:rsidP="00461D53">
            <w:pPr>
              <w:pStyle w:val="TableText0"/>
            </w:pPr>
          </w:p>
          <w:p w14:paraId="17C0FB33" w14:textId="4DEFA815" w:rsidR="00F2381C" w:rsidRPr="00E2771E" w:rsidRDefault="00F2381C" w:rsidP="00461D53">
            <w:pPr>
              <w:pStyle w:val="TableText0"/>
            </w:pPr>
            <w:r>
              <w:t xml:space="preserve">Health outcomes associated with various treatments for metastatic NSCLC were estimated </w:t>
            </w:r>
            <w:r w:rsidRPr="00D22F26">
              <w:t xml:space="preserve">based on the previous PBAC submissions of pembrolizumab combination therapy (Pembrolizumab </w:t>
            </w:r>
            <w:r>
              <w:t>PSDs</w:t>
            </w:r>
            <w:r w:rsidRPr="00D22F26">
              <w:t>, November 2018 and July 2019 PBAC meetings)</w:t>
            </w:r>
            <w:r>
              <w:t>, and then weighted by the proportion of patients receiving each therapy.</w:t>
            </w:r>
            <w:r w:rsidR="00CC7AE8">
              <w:t xml:space="preserve"> </w:t>
            </w:r>
          </w:p>
        </w:tc>
      </w:tr>
      <w:tr w:rsidR="00F2381C" w:rsidRPr="00E2771E" w14:paraId="7AA810B7" w14:textId="77777777" w:rsidTr="00910F31">
        <w:tc>
          <w:tcPr>
            <w:tcW w:w="1098" w:type="pct"/>
            <w:shd w:val="clear" w:color="auto" w:fill="auto"/>
            <w:vAlign w:val="center"/>
          </w:tcPr>
          <w:p w14:paraId="5A46CF31" w14:textId="77777777" w:rsidR="00F2381C" w:rsidRPr="00E2771E" w:rsidRDefault="00F2381C" w:rsidP="00461D53">
            <w:pPr>
              <w:pStyle w:val="TableText0"/>
            </w:pPr>
            <w:r>
              <w:t>Extrapolation method</w:t>
            </w:r>
          </w:p>
        </w:tc>
        <w:tc>
          <w:tcPr>
            <w:tcW w:w="3902" w:type="pct"/>
            <w:shd w:val="clear" w:color="auto" w:fill="auto"/>
            <w:vAlign w:val="center"/>
          </w:tcPr>
          <w:p w14:paraId="698767EF" w14:textId="77777777" w:rsidR="00F2381C" w:rsidRDefault="00F2381C" w:rsidP="00461D53">
            <w:pPr>
              <w:pStyle w:val="TableText0"/>
            </w:pPr>
            <w:r>
              <w:t>Jointly fitted log-normal distributions were used to extrapolate time to LR and time to any progression from Month 25. Survival data in event-free patients were pooled for the two treatment arms and extrapolated using an exponential function from Month 25 (around 20%-30% patients remaining at risk). The spline model (DF</w:t>
            </w:r>
            <w:r w:rsidRPr="00B03939">
              <w:t xml:space="preserve"> </w:t>
            </w:r>
            <w:r>
              <w:t xml:space="preserve">= 3, hazard) was used to extrapolate post-LR survival data from Month 21 (around 20% patients remaining at risk). </w:t>
            </w:r>
          </w:p>
          <w:p w14:paraId="0AAB3390" w14:textId="77777777" w:rsidR="00F2381C" w:rsidRDefault="00F2381C" w:rsidP="00461D53">
            <w:pPr>
              <w:pStyle w:val="TableText0"/>
            </w:pPr>
          </w:p>
          <w:p w14:paraId="64E5D8D4" w14:textId="77777777" w:rsidR="00F2381C" w:rsidRDefault="00F2381C" w:rsidP="00461D53">
            <w:pPr>
              <w:pStyle w:val="TableText0"/>
            </w:pPr>
            <w:r>
              <w:t>Adjustment for a cure assumption has been incorporated into the transitions from EFS to LR and to DM. It was</w:t>
            </w:r>
            <w:r w:rsidRPr="00B03939">
              <w:t xml:space="preserve"> assumed that</w:t>
            </w:r>
            <w:r>
              <w:t>, in both treatment arms,</w:t>
            </w:r>
            <w:r w:rsidRPr="00B03939">
              <w:t xml:space="preserve"> the proportion of patients in the EFS health state who </w:t>
            </w:r>
            <w:r>
              <w:t>were</w:t>
            </w:r>
            <w:r w:rsidRPr="00B03939">
              <w:t xml:space="preserve"> cured linearly increased from Year 5 to a maximum of 95% at Year 7.</w:t>
            </w:r>
          </w:p>
          <w:p w14:paraId="60BC1BB9" w14:textId="77777777" w:rsidR="00F2381C" w:rsidRDefault="00F2381C" w:rsidP="00461D53">
            <w:pPr>
              <w:pStyle w:val="TableText0"/>
            </w:pPr>
          </w:p>
          <w:p w14:paraId="2B8078D3" w14:textId="77777777" w:rsidR="00F2381C" w:rsidRPr="00E2771E" w:rsidRDefault="00F2381C" w:rsidP="00461D53">
            <w:pPr>
              <w:pStyle w:val="TableText0"/>
            </w:pPr>
            <w:r>
              <w:t>All extrapolations were adjusted for background mortality</w:t>
            </w:r>
            <w:r w:rsidRPr="000A6E90">
              <w:t>.</w:t>
            </w:r>
          </w:p>
        </w:tc>
      </w:tr>
      <w:tr w:rsidR="00F2381C" w:rsidRPr="00E2771E" w14:paraId="24F81C63" w14:textId="77777777" w:rsidTr="00910F31">
        <w:tc>
          <w:tcPr>
            <w:tcW w:w="1098" w:type="pct"/>
            <w:shd w:val="clear" w:color="auto" w:fill="auto"/>
            <w:vAlign w:val="center"/>
          </w:tcPr>
          <w:p w14:paraId="1C96230F" w14:textId="77777777" w:rsidR="00F2381C" w:rsidRPr="001F4081" w:rsidRDefault="00F2381C" w:rsidP="00461D53">
            <w:pPr>
              <w:pStyle w:val="TableText0"/>
            </w:pPr>
            <w:r>
              <w:t>Health related quality of life</w:t>
            </w:r>
          </w:p>
        </w:tc>
        <w:tc>
          <w:tcPr>
            <w:tcW w:w="3902" w:type="pct"/>
            <w:shd w:val="clear" w:color="auto" w:fill="auto"/>
            <w:vAlign w:val="center"/>
          </w:tcPr>
          <w:p w14:paraId="46CBC38D" w14:textId="77777777" w:rsidR="00F2381C" w:rsidRDefault="00F2381C" w:rsidP="00461D53">
            <w:pPr>
              <w:pStyle w:val="TableText0"/>
            </w:pPr>
            <w:r>
              <w:t xml:space="preserve">Health state utilities for EFS and LR were derived from CM816 and adjusted based on the utility in </w:t>
            </w:r>
            <w:r w:rsidRPr="00C10837">
              <w:t xml:space="preserve">general Australian population reported in </w:t>
            </w:r>
            <w:r>
              <w:t>an external study (</w:t>
            </w:r>
            <w:r w:rsidRPr="00C10837">
              <w:t xml:space="preserve">Clemens </w:t>
            </w:r>
            <w:r w:rsidRPr="00C10837">
              <w:rPr>
                <w:i/>
              </w:rPr>
              <w:t>et al</w:t>
            </w:r>
            <w:r w:rsidRPr="00C10837">
              <w:t xml:space="preserve"> 2014)</w:t>
            </w:r>
            <w:r>
              <w:t xml:space="preserve">. </w:t>
            </w:r>
          </w:p>
          <w:p w14:paraId="1219CE8B" w14:textId="77777777" w:rsidR="00F2381C" w:rsidRDefault="00F2381C" w:rsidP="00461D53">
            <w:pPr>
              <w:pStyle w:val="TableText0"/>
            </w:pPr>
            <w:r>
              <w:t>EFS =0.85; LR = 0.796</w:t>
            </w:r>
          </w:p>
          <w:p w14:paraId="03156791" w14:textId="77777777" w:rsidR="00F2381C" w:rsidRPr="00E2771E" w:rsidRDefault="00F2381C" w:rsidP="00461D53">
            <w:pPr>
              <w:pStyle w:val="TableText0"/>
            </w:pPr>
          </w:p>
          <w:p w14:paraId="6732DA93" w14:textId="4D88A863" w:rsidR="00F2381C" w:rsidRPr="00E2771E" w:rsidRDefault="00F2381C" w:rsidP="00461D53">
            <w:pPr>
              <w:pStyle w:val="TableText0"/>
            </w:pPr>
            <w:r>
              <w:t xml:space="preserve">Health state utility for DM was not estimated specifically. Instead, </w:t>
            </w:r>
            <w:r w:rsidRPr="00240202">
              <w:t xml:space="preserve">one-off QALYs </w:t>
            </w:r>
            <w:r>
              <w:t>(1.3</w:t>
            </w:r>
            <w:r w:rsidR="004E4F11">
              <w:t>57</w:t>
            </w:r>
            <w:r>
              <w:t xml:space="preserve"> QALYs) were applied on transition and the estimates were sourced from previous PBAC submissions (see the “Transition probabilities” row above).</w:t>
            </w:r>
          </w:p>
        </w:tc>
      </w:tr>
    </w:tbl>
    <w:p w14:paraId="5D65CA6B" w14:textId="77777777" w:rsidR="00F2381C" w:rsidRDefault="00F2381C" w:rsidP="00461D53">
      <w:pPr>
        <w:pStyle w:val="FooterTableFigure"/>
        <w:keepNext/>
      </w:pPr>
      <w:r>
        <w:t xml:space="preserve">Source: </w:t>
      </w:r>
      <w:r w:rsidRPr="00240202">
        <w:t>Table 85, p121 of the submission.</w:t>
      </w:r>
    </w:p>
    <w:p w14:paraId="25135D83" w14:textId="77777777" w:rsidR="00F2381C" w:rsidRPr="0072416F" w:rsidRDefault="00F2381C" w:rsidP="00E15225">
      <w:pPr>
        <w:pStyle w:val="FooterTableFigure"/>
      </w:pPr>
      <w:r>
        <w:t xml:space="preserve">DF = </w:t>
      </w:r>
      <w:r w:rsidRPr="00502070">
        <w:t xml:space="preserve">degrees of </w:t>
      </w:r>
      <w:r>
        <w:t>freedom; DM = distant metastasis; EFS = event-free survival; LYs = life years; LR = locoregional recurrence; NSCLC = non-small cell lung cancer; PSD = Public Summary Document; QALYs = quality-adjusted life years</w:t>
      </w:r>
    </w:p>
    <w:p w14:paraId="72F740FB" w14:textId="00977D9D" w:rsidR="00F2381C" w:rsidRPr="00CA56B5" w:rsidRDefault="00F2381C" w:rsidP="00F2381C">
      <w:pPr>
        <w:pStyle w:val="3-BodyText"/>
      </w:pPr>
      <w:bookmarkStart w:id="65" w:name="_Ref127118372"/>
      <w:r>
        <w:t xml:space="preserve">The economic model adopted a 25-year time horizon, compared with a median follow-up of 29.5 months in CM816. </w:t>
      </w:r>
      <w:r w:rsidRPr="000A6E90">
        <w:t xml:space="preserve">The same time horizon was used in the previous PBAC submission of atezolizumab as adjuvant treatment for patients with Stage II-IIIA, PD-L1 positive NSCLC following complete resection and platinum-based chemotherapy. </w:t>
      </w:r>
      <w:r w:rsidR="00B363DF">
        <w:t>In March 2022, t</w:t>
      </w:r>
      <w:r w:rsidRPr="000A6E90">
        <w:t xml:space="preserve">he ESC considered that a better prognosis (in comparison with </w:t>
      </w:r>
      <w:r w:rsidR="008716AF">
        <w:t>use in</w:t>
      </w:r>
      <w:r w:rsidRPr="000A6E90">
        <w:t xml:space="preserve"> locally advanced unresectable NSCLC and metastatic </w:t>
      </w:r>
      <w:r w:rsidR="008716AF">
        <w:t>disease</w:t>
      </w:r>
      <w:r w:rsidRPr="000A6E90">
        <w:t xml:space="preserve">) might justify a longer time horizon, however the trial data did not provide a reliable basis for a long-term extrapolation. </w:t>
      </w:r>
      <w:r w:rsidR="00B363DF">
        <w:t>At that time t</w:t>
      </w:r>
      <w:r w:rsidRPr="000A6E90">
        <w:t xml:space="preserve">he PBAC agreed with ESC that, based on the duration of follow-up in the clinical trial (median follow-up of 32.2 months in the key atezolizumab trial IMpower010) and the extent of extrapolation required, a 15-year time horizon was more reasonable in this population (Paragraphs 6.36, 6.37, and 7.7, </w:t>
      </w:r>
      <w:r w:rsidR="005C3EA0">
        <w:t>a</w:t>
      </w:r>
      <w:r w:rsidRPr="000A6E90">
        <w:t xml:space="preserve">tezolizumab Public Summary Document </w:t>
      </w:r>
      <w:r w:rsidR="00483400">
        <w:t>[</w:t>
      </w:r>
      <w:r w:rsidRPr="000A6E90">
        <w:t>PSD</w:t>
      </w:r>
      <w:r w:rsidR="00483400">
        <w:t>]</w:t>
      </w:r>
      <w:r w:rsidRPr="000A6E90">
        <w:t>, March 2022 PBAC meeting).</w:t>
      </w:r>
      <w:r w:rsidR="00B363DF">
        <w:t xml:space="preserve"> </w:t>
      </w:r>
      <w:r w:rsidR="00B363DF" w:rsidRPr="00CA56B5">
        <w:t xml:space="preserve">The PSCR acknowledged the potential uncertainty in the long-term extrapolation based on the median trial follow-up period of 29.5 months in </w:t>
      </w:r>
      <w:r w:rsidR="005C3EA0" w:rsidRPr="00CA56B5">
        <w:t xml:space="preserve">the </w:t>
      </w:r>
      <w:r w:rsidR="00B363DF" w:rsidRPr="00CA56B5">
        <w:t>CM816</w:t>
      </w:r>
      <w:r w:rsidR="005C3EA0" w:rsidRPr="00CA56B5">
        <w:t xml:space="preserve"> clinical trial</w:t>
      </w:r>
      <w:r w:rsidR="00B363DF" w:rsidRPr="00CA56B5">
        <w:t xml:space="preserve"> </w:t>
      </w:r>
      <w:r w:rsidR="00D8022C" w:rsidRPr="00CA56B5">
        <w:t>but argued that using a shorter time horizon would fail to sufficiently capture the full cost and benefit</w:t>
      </w:r>
      <w:r w:rsidR="005C3EA0" w:rsidRPr="00CA56B5">
        <w:t xml:space="preserve"> associated with the treatment</w:t>
      </w:r>
      <w:r w:rsidR="00D8022C" w:rsidRPr="00CA56B5">
        <w:t xml:space="preserve"> of patients</w:t>
      </w:r>
      <w:r w:rsidR="005C3EA0" w:rsidRPr="00CA56B5">
        <w:t xml:space="preserve"> with resectable NSCLC</w:t>
      </w:r>
      <w:r w:rsidR="00D8022C" w:rsidRPr="00CA56B5">
        <w:t>. T</w:t>
      </w:r>
      <w:r w:rsidR="002919FA" w:rsidRPr="00CA56B5">
        <w:t xml:space="preserve">he ESC </w:t>
      </w:r>
      <w:r w:rsidR="00D8022C" w:rsidRPr="00CA56B5">
        <w:t>considered</w:t>
      </w:r>
      <w:r w:rsidR="002919FA" w:rsidRPr="00CA56B5">
        <w:t xml:space="preserve"> that the</w:t>
      </w:r>
      <w:r w:rsidR="00D8022C" w:rsidRPr="00CA56B5">
        <w:t xml:space="preserve"> </w:t>
      </w:r>
      <w:r w:rsidR="002919FA" w:rsidRPr="00CA56B5">
        <w:t>logic applied</w:t>
      </w:r>
      <w:r w:rsidR="00D8022C" w:rsidRPr="00CA56B5">
        <w:t xml:space="preserve"> </w:t>
      </w:r>
      <w:r w:rsidR="005C3EA0" w:rsidRPr="00CA56B5">
        <w:t>to the economic evaluation</w:t>
      </w:r>
      <w:r w:rsidR="00273531" w:rsidRPr="00CA56B5">
        <w:t xml:space="preserve"> of atezolizumab</w:t>
      </w:r>
      <w:r w:rsidR="005C3EA0" w:rsidRPr="00CA56B5">
        <w:t xml:space="preserve"> </w:t>
      </w:r>
      <w:r w:rsidR="00D8022C" w:rsidRPr="00CA56B5">
        <w:t xml:space="preserve">in </w:t>
      </w:r>
      <w:r w:rsidR="00461D53" w:rsidRPr="00CA56B5">
        <w:t>March</w:t>
      </w:r>
      <w:r w:rsidR="00461D53">
        <w:t> </w:t>
      </w:r>
      <w:r w:rsidR="00D8022C" w:rsidRPr="00CA56B5">
        <w:t>2022 was relevant to the current submission</w:t>
      </w:r>
      <w:r w:rsidR="002919FA" w:rsidRPr="00CA56B5">
        <w:t xml:space="preserve"> and </w:t>
      </w:r>
      <w:r w:rsidR="00D8022C" w:rsidRPr="00CA56B5">
        <w:t xml:space="preserve">advised </w:t>
      </w:r>
      <w:r w:rsidR="002919FA" w:rsidRPr="00CA56B5">
        <w:t>that a 15-year time horizon was likely appropriate.</w:t>
      </w:r>
      <w:bookmarkEnd w:id="65"/>
      <w:r w:rsidR="00B17464">
        <w:t xml:space="preserve"> </w:t>
      </w:r>
      <w:r w:rsidR="00CF3313">
        <w:t xml:space="preserve">The pre-PBAC response </w:t>
      </w:r>
      <w:r w:rsidR="00CF3313" w:rsidRPr="00CF3313">
        <w:t>noted that data from a patient-level meta-analysis</w:t>
      </w:r>
      <w:r w:rsidR="00351762">
        <w:t>,</w:t>
      </w:r>
      <w:r w:rsidR="00351762" w:rsidRPr="00351762">
        <w:t xml:space="preserve"> </w:t>
      </w:r>
      <w:r w:rsidR="00351762" w:rsidRPr="00CF3313">
        <w:t>conducted by the sponsor</w:t>
      </w:r>
      <w:r w:rsidR="00351762">
        <w:t>,</w:t>
      </w:r>
      <w:r w:rsidR="00CF3313" w:rsidRPr="00CF3313">
        <w:t xml:space="preserve"> of patients with stage I to III NSCLC receiving neoadjuvant therapy suggested that 19% of the patients were still alive after 15 </w:t>
      </w:r>
      <w:r w:rsidR="00351762">
        <w:t xml:space="preserve">years </w:t>
      </w:r>
      <w:r w:rsidR="00CF3313" w:rsidRPr="00CF3313">
        <w:t xml:space="preserve">and </w:t>
      </w:r>
      <w:r w:rsidR="00351762">
        <w:t>therefore argued that</w:t>
      </w:r>
      <w:r w:rsidR="00CF3313" w:rsidRPr="00CF3313">
        <w:t xml:space="preserve"> using a 15-year time horizon </w:t>
      </w:r>
      <w:r w:rsidR="00351762">
        <w:t xml:space="preserve">would </w:t>
      </w:r>
      <w:r w:rsidR="00CF3313" w:rsidRPr="00CF3313">
        <w:t>fail to capture the full cost and benefit</w:t>
      </w:r>
      <w:r w:rsidR="00351762">
        <w:t>s associated with</w:t>
      </w:r>
      <w:r w:rsidR="00CF3313" w:rsidRPr="00CF3313">
        <w:t xml:space="preserve"> </w:t>
      </w:r>
      <w:r w:rsidR="00351762" w:rsidRPr="00351762">
        <w:t>patients entering the model.</w:t>
      </w:r>
    </w:p>
    <w:p w14:paraId="1284C796" w14:textId="009C3C65" w:rsidR="00F2381C" w:rsidRPr="00FD03B1" w:rsidRDefault="00F2381C" w:rsidP="00F2381C">
      <w:pPr>
        <w:pStyle w:val="3-BodyText"/>
      </w:pPr>
      <w:r>
        <w:t>The KM curves for EFS in the CM816 clinical trial were not used in the economic evaluation. Instead, trial-based time to locoregional recurrence (LR) was the basis to estimate the transition probabilities from EFS to LR following neoNIVO+neoChemo and following neoChemo. As d</w:t>
      </w:r>
      <w:r w:rsidRPr="001E755D">
        <w:t xml:space="preserve">ata on time to </w:t>
      </w:r>
      <w:r>
        <w:t>distant metastasis (</w:t>
      </w:r>
      <w:r w:rsidRPr="001E755D">
        <w:t>DM</w:t>
      </w:r>
      <w:r>
        <w:t>)</w:t>
      </w:r>
      <w:r w:rsidRPr="001E755D">
        <w:t xml:space="preserve"> from CM816 were immature with only 20 DM events occurring in the </w:t>
      </w:r>
      <w:r>
        <w:t>neoNIVO+neoChemo</w:t>
      </w:r>
      <w:r w:rsidRPr="001E755D">
        <w:t xml:space="preserve"> arm (11.2%), and 32 DM events in the </w:t>
      </w:r>
      <w:r>
        <w:t>neoChemo</w:t>
      </w:r>
      <w:r w:rsidRPr="001E755D">
        <w:t xml:space="preserve"> arm (17.9%), </w:t>
      </w:r>
      <w:r>
        <w:t>transitions from EFS to DM</w:t>
      </w:r>
      <w:r w:rsidRPr="001E755D">
        <w:t xml:space="preserve"> were calculated as the difference between the time to any progression and time to LR. The survival curves in </w:t>
      </w:r>
      <w:r>
        <w:t>event-free</w:t>
      </w:r>
      <w:r w:rsidRPr="001E755D">
        <w:t xml:space="preserve"> patients for both treatment groups were overlapping</w:t>
      </w:r>
      <w:r>
        <w:t xml:space="preserve"> during the trial observation period</w:t>
      </w:r>
      <w:r w:rsidRPr="001E755D">
        <w:t>. Therefore, data on death from the two treatment arms pr</w:t>
      </w:r>
      <w:r>
        <w:t xml:space="preserve">ior to </w:t>
      </w:r>
      <w:r w:rsidRPr="001E755D">
        <w:t xml:space="preserve">recurrence were pooled </w:t>
      </w:r>
      <w:r>
        <w:t>to estimate the transition probabilities from EFS to death</w:t>
      </w:r>
      <w:r w:rsidRPr="001E755D">
        <w:t>.</w:t>
      </w:r>
      <w:r>
        <w:t xml:space="preserve"> A comparison of the trial KM data on EFS and the modelled proportion of patients remaining in the EFS health state over time is presented in </w:t>
      </w:r>
      <w:r>
        <w:fldChar w:fldCharType="begin"/>
      </w:r>
      <w:r>
        <w:instrText xml:space="preserve"> REF _Ref120878723 \h </w:instrText>
      </w:r>
      <w:r>
        <w:fldChar w:fldCharType="separate"/>
      </w:r>
      <w:r w:rsidR="00A77D90">
        <w:t xml:space="preserve">Figure </w:t>
      </w:r>
      <w:r w:rsidR="00A77D90">
        <w:rPr>
          <w:noProof/>
        </w:rPr>
        <w:t>5</w:t>
      </w:r>
      <w:r>
        <w:fldChar w:fldCharType="end"/>
      </w:r>
      <w:r>
        <w:t xml:space="preserve">. </w:t>
      </w:r>
      <w:r w:rsidRPr="000A6E90">
        <w:t>The</w:t>
      </w:r>
      <w:r w:rsidR="00307047">
        <w:t xml:space="preserve"> evaluation considered that the</w:t>
      </w:r>
      <w:r w:rsidRPr="000A6E90">
        <w:t xml:space="preserve"> modelled EFS estimates provided a reasonable fit to the trial-based data, based on visual inspection. </w:t>
      </w:r>
    </w:p>
    <w:p w14:paraId="0AE97646" w14:textId="17F3659F" w:rsidR="00F2381C" w:rsidRPr="00294FCF" w:rsidRDefault="00F2381C" w:rsidP="00F2381C">
      <w:pPr>
        <w:pStyle w:val="Caption"/>
        <w:jc w:val="left"/>
      </w:pPr>
      <w:bookmarkStart w:id="66" w:name="_Ref120878723"/>
      <w:r>
        <w:t xml:space="preserve">Figure </w:t>
      </w:r>
      <w:r w:rsidR="00A77D90">
        <w:fldChar w:fldCharType="begin"/>
      </w:r>
      <w:r w:rsidR="00A77D90">
        <w:instrText xml:space="preserve"> SEQ Figure \* ARABIC </w:instrText>
      </w:r>
      <w:r w:rsidR="00A77D90">
        <w:fldChar w:fldCharType="separate"/>
      </w:r>
      <w:r w:rsidR="00A77D90">
        <w:rPr>
          <w:noProof/>
        </w:rPr>
        <w:t>5</w:t>
      </w:r>
      <w:r w:rsidR="00A77D90">
        <w:rPr>
          <w:noProof/>
        </w:rPr>
        <w:fldChar w:fldCharType="end"/>
      </w:r>
      <w:bookmarkEnd w:id="66"/>
      <w:r>
        <w:t xml:space="preserve">: Trial-based </w:t>
      </w:r>
      <w:r w:rsidRPr="000371E8">
        <w:rPr>
          <w:iCs/>
        </w:rPr>
        <w:t>versus</w:t>
      </w:r>
      <w:r w:rsidRPr="00FD03B1">
        <w:t xml:space="preserve"> </w:t>
      </w:r>
      <w:r>
        <w:t>modelled EFS</w:t>
      </w:r>
    </w:p>
    <w:p w14:paraId="396B186C" w14:textId="77777777" w:rsidR="00F2381C" w:rsidRDefault="00F2381C" w:rsidP="00F2381C">
      <w:r>
        <w:rPr>
          <w:noProof/>
        </w:rPr>
        <w:drawing>
          <wp:inline distT="0" distB="0" distL="0" distR="0" wp14:anchorId="608BAD41" wp14:editId="19B3A076">
            <wp:extent cx="5189517" cy="2891155"/>
            <wp:effectExtent l="0" t="0" r="0" b="4445"/>
            <wp:docPr id="52" name="Picture 52" descr="Figure 5: Trial-based versus modelled 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Figure 5: Trial-based versus modelled EFS"/>
                    <pic:cNvPicPr>
                      <a:picLocks noChangeAspect="1" noChangeArrowheads="1"/>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5203264" cy="2898814"/>
                    </a:xfrm>
                    <a:prstGeom prst="rect">
                      <a:avLst/>
                    </a:prstGeom>
                    <a:noFill/>
                    <a:ln>
                      <a:noFill/>
                    </a:ln>
                    <a:extLst>
                      <a:ext uri="{53640926-AAD7-44D8-BBD7-CCE9431645EC}">
                        <a14:shadowObscured xmlns:a14="http://schemas.microsoft.com/office/drawing/2010/main"/>
                      </a:ext>
                    </a:extLst>
                  </pic:spPr>
                </pic:pic>
              </a:graphicData>
            </a:graphic>
          </wp:inline>
        </w:drawing>
      </w:r>
    </w:p>
    <w:p w14:paraId="5C94BB87" w14:textId="77777777" w:rsidR="00F2381C" w:rsidRPr="000A6E90" w:rsidRDefault="00F2381C" w:rsidP="00F2381C">
      <w:pPr>
        <w:pStyle w:val="FooterTableFigure"/>
      </w:pPr>
      <w:r w:rsidRPr="000A6E90">
        <w:rPr>
          <w:snapToGrid/>
        </w:rPr>
        <w:t>Source: Figure constructed during the evaluation from the “Attachment 7 - Nivolumab neoadjuvant NSCLC Economic Evaluation” Excel workbook</w:t>
      </w:r>
    </w:p>
    <w:p w14:paraId="50EB1125" w14:textId="77777777" w:rsidR="00F2381C" w:rsidRDefault="00F2381C" w:rsidP="00F2381C">
      <w:pPr>
        <w:pStyle w:val="FooterTableFigure"/>
      </w:pPr>
      <w:r>
        <w:t>EFS = event-free survival; KM = Kaplan-Meier; neoChemo</w:t>
      </w:r>
      <w:r w:rsidRPr="00812D9F">
        <w:t xml:space="preserve"> = neoadjuvant chemotherapy; </w:t>
      </w:r>
      <w:r>
        <w:t>neoNIVO</w:t>
      </w:r>
      <w:r w:rsidRPr="00812D9F">
        <w:t xml:space="preserve"> = neoadjuvant nivolumab</w:t>
      </w:r>
    </w:p>
    <w:p w14:paraId="6E85A9F7" w14:textId="77777777" w:rsidR="00F2381C" w:rsidRPr="0052039A" w:rsidRDefault="00F2381C" w:rsidP="00F2381C">
      <w:pPr>
        <w:pStyle w:val="3-BodyText"/>
      </w:pPr>
      <w:r>
        <w:t>Trial data on time to LR, time to any disease progression, and time to death in event-free patients, were truncated at a time point</w:t>
      </w:r>
      <w:r w:rsidRPr="003E618B">
        <w:t xml:space="preserve"> when at least 20% </w:t>
      </w:r>
      <w:r>
        <w:t xml:space="preserve">of </w:t>
      </w:r>
      <w:r w:rsidRPr="003E618B">
        <w:t xml:space="preserve">patients </w:t>
      </w:r>
      <w:r>
        <w:t>were</w:t>
      </w:r>
      <w:r w:rsidRPr="003E618B">
        <w:t xml:space="preserve"> at risk </w:t>
      </w:r>
      <w:r>
        <w:t>in</w:t>
      </w:r>
      <w:r w:rsidRPr="003E618B">
        <w:t xml:space="preserve"> either arm in the trial. </w:t>
      </w:r>
      <w:r w:rsidRPr="000A6E90">
        <w:t>The PBAC guidelines (version 5.0) recommend the use of observed time-to-event data in preference to modelled data up to the time point at which the observed data become unreliable as a result of small numbers of patients remaining event-free. The method the submission used to determine the point at which KM data were truncated invoked a switch to extrapolated methods while there were still reasonable patient numbers in some arms. However, sensitivity analyses conducted during the evaluation showed that the results of the economic model were not sensitive to the use of alternative extrapolation time points.</w:t>
      </w:r>
    </w:p>
    <w:p w14:paraId="18D652E8" w14:textId="7506A2D8" w:rsidR="00F2381C" w:rsidRPr="003C4122" w:rsidRDefault="00F2381C" w:rsidP="00F2381C">
      <w:pPr>
        <w:pStyle w:val="3-BodyText"/>
      </w:pPr>
      <w:bookmarkStart w:id="67" w:name="_Ref131686913"/>
      <w:r w:rsidRPr="00F730A9">
        <w:t>Parametric model selection was based on an assessment of proportional hazards, goodness of fit statistics, visual inspection and assessment of clinical plausibility.</w:t>
      </w:r>
      <w:r>
        <w:t xml:space="preserve"> The submission claimed that diagnostic plots, </w:t>
      </w:r>
      <w:r w:rsidRPr="000A6E90">
        <w:t>e.g.</w:t>
      </w:r>
      <w:r>
        <w:t xml:space="preserve"> the log-log plot and the Schoenfeld residuals, suggest that the proportional hazard assumption holds between the two arms for both time to disease progression curves and time to any progression curves; therefore, </w:t>
      </w:r>
      <w:r w:rsidRPr="00EF4513">
        <w:t>a jointly fitted approach was adopted</w:t>
      </w:r>
      <w:r>
        <w:t xml:space="preserve">. </w:t>
      </w:r>
      <w:r w:rsidRPr="000A6E90">
        <w:t xml:space="preserve">The interpretation of the diagnostic plots is not as straightforward as suggested by the submission. The log-log survival curve after 10 months was not a continuation of the first 10 months, and the Schoenfeld residuals plot, while flatted for the first 10 months, showed a non-zero slope from 11 months and crossed 0 at around 27-28 months. This does not support use of jointly fitted models, which effectively assumed ongoing treatment effect (in terms of time to LR and time to any disease progression) throughout the entire 25-year time horizon following the short treatment duration of neoNIVO+neoChemo or neoChemo in neoadjuvant </w:t>
      </w:r>
      <w:r w:rsidR="008716AF">
        <w:t>use</w:t>
      </w:r>
      <w:r w:rsidRPr="000A6E90">
        <w:t xml:space="preserve"> (up to 3 treatment (3-weekly) cycles. The impacts of using independent parametric functions, to extrapolate time to LR data and time to any progression data for neoNIVO+neoChemo and for neoChemo, on the incremental cost-effectiveness ratio (ICER) could not be estimated during the evaluation as the submission did not provide the scale and shape parameters for</w:t>
      </w:r>
      <w:r w:rsidR="00CC7AE8">
        <w:t xml:space="preserve"> </w:t>
      </w:r>
      <w:r w:rsidRPr="000A6E90">
        <w:t>independent distributions.</w:t>
      </w:r>
      <w:bookmarkEnd w:id="67"/>
    </w:p>
    <w:p w14:paraId="71375097" w14:textId="6C89E121" w:rsidR="00F2381C" w:rsidRPr="00CA56B5" w:rsidRDefault="00F2381C" w:rsidP="00F2381C">
      <w:pPr>
        <w:pStyle w:val="3-BodyText"/>
        <w:rPr>
          <w:color w:val="000000" w:themeColor="text1"/>
          <w:lang w:val="en-GB"/>
        </w:rPr>
      </w:pPr>
      <w:bookmarkStart w:id="68" w:name="_Ref120909308"/>
      <w:bookmarkStart w:id="69" w:name="_Ref131687026"/>
      <w:bookmarkStart w:id="70" w:name="_Ref131347372"/>
      <w:r w:rsidRPr="003C4122">
        <w:t>The economic model allowed</w:t>
      </w:r>
      <w:r>
        <w:t xml:space="preserve"> </w:t>
      </w:r>
      <w:r w:rsidRPr="003C4122">
        <w:t xml:space="preserve">a proportion of patients in the EFS health state who are </w:t>
      </w:r>
      <w:r>
        <w:t>‘</w:t>
      </w:r>
      <w:r w:rsidRPr="003C4122">
        <w:t>cured</w:t>
      </w:r>
      <w:r>
        <w:t>’</w:t>
      </w:r>
      <w:r w:rsidRPr="003C4122">
        <w:t xml:space="preserve"> to increase linearly from Year 5 to a maximum </w:t>
      </w:r>
      <w:r>
        <w:t xml:space="preserve">of </w:t>
      </w:r>
      <w:r w:rsidRPr="003C4122">
        <w:t xml:space="preserve">95% at Year </w:t>
      </w:r>
      <w:r>
        <w:t>7 in both arms of the model</w:t>
      </w:r>
      <w:r w:rsidRPr="003C4122">
        <w:t>.</w:t>
      </w:r>
      <w:r>
        <w:t xml:space="preserve"> </w:t>
      </w:r>
      <w:r w:rsidRPr="000A6E90">
        <w:t>A comparison of modelled EFS curves with and without incorporating a cure rate (</w:t>
      </w:r>
      <w:r w:rsidRPr="000A6E90">
        <w:fldChar w:fldCharType="begin"/>
      </w:r>
      <w:r w:rsidRPr="000A6E90">
        <w:instrText xml:space="preserve"> REF _Ref120878723 \h  \* MERGEFORMAT </w:instrText>
      </w:r>
      <w:r w:rsidRPr="000A6E90">
        <w:fldChar w:fldCharType="separate"/>
      </w:r>
      <w:r w:rsidR="00A77D90">
        <w:t xml:space="preserve">Figure </w:t>
      </w:r>
      <w:r w:rsidR="00A77D90">
        <w:rPr>
          <w:noProof/>
        </w:rPr>
        <w:t>5</w:t>
      </w:r>
      <w:r w:rsidRPr="000A6E90">
        <w:fldChar w:fldCharType="end"/>
      </w:r>
      <w:r w:rsidRPr="000A6E90">
        <w:t xml:space="preserve">) indicates that this adjustment resulted in sustained EFS benefit to </w:t>
      </w:r>
      <w:r w:rsidR="00FC677C">
        <w:t>approximately</w:t>
      </w:r>
      <w:r w:rsidRPr="000A6E90">
        <w:t xml:space="preserve"> 20 years, after which the EFS curves of the two treatments converged due to background mortality. </w:t>
      </w:r>
      <w:r w:rsidRPr="003C4122">
        <w:t xml:space="preserve">The </w:t>
      </w:r>
      <w:r>
        <w:t xml:space="preserve">submission argued that the </w:t>
      </w:r>
      <w:r w:rsidRPr="003C4122">
        <w:t xml:space="preserve">application of </w:t>
      </w:r>
      <w:r>
        <w:t xml:space="preserve">a </w:t>
      </w:r>
      <w:r w:rsidRPr="003C4122">
        <w:t xml:space="preserve">cure assumption was </w:t>
      </w:r>
      <w:r>
        <w:t>supported by the</w:t>
      </w:r>
      <w:r w:rsidRPr="003C4122">
        <w:t xml:space="preserve"> long-term EFS data from external studies which show a plateau after approximately 5 years</w:t>
      </w:r>
      <w:r>
        <w:rPr>
          <w:rStyle w:val="FootnoteReference"/>
        </w:rPr>
        <w:footnoteReference w:id="19"/>
      </w:r>
      <w:r w:rsidRPr="003C4122">
        <w:t xml:space="preserve">. </w:t>
      </w:r>
      <w:r w:rsidRPr="000A6E90">
        <w:t>However, all the interventions in these external studies were neoChemo, and did not include the concomitant use of neoNIVO.</w:t>
      </w:r>
      <w:r w:rsidRPr="003C4122">
        <w:t xml:space="preserve"> The submission </w:t>
      </w:r>
      <w:r>
        <w:t>noted</w:t>
      </w:r>
      <w:r w:rsidRPr="003C4122">
        <w:t xml:space="preserve"> that a cure assumption was included in two National Institute for Health and Care Excellence (NICE) Technology Appraisals (TAs) on adjuvant treatments following complete resection of early stage NSCLC. In the osimertinib (TA761) model, it was assumed that 95% of patients who were recurrence-free at 5 years would be cured. </w:t>
      </w:r>
      <w:r w:rsidRPr="000A6E90">
        <w:t>Clinical expert advice to the NICE Evidence Review Group (ERG) was that, for the active monitoring arm of the model, a 5-year cure time point may be appropriate, however a potential cure time point for the intervention arm was considered uncertain. The ERG did an additional analysis applying a later time point for cure (8 years) in the adjuvant osimertinib group.</w:t>
      </w:r>
      <w:r w:rsidRPr="003C4122">
        <w:t xml:space="preserve"> The atezolizumab (TA823) model </w:t>
      </w:r>
      <w:r>
        <w:t xml:space="preserve">developed by the sponsor </w:t>
      </w:r>
      <w:r w:rsidRPr="003C4122">
        <w:t xml:space="preserve">used a cure rate of 91.5% at Year 5. </w:t>
      </w:r>
      <w:r w:rsidRPr="000A6E90">
        <w:t>The NICE Appraisal Committee noted that there was uncertainty around both the cure time point and the proportion cured. The Committee considered that a cure time point of 6 years or 7 years for atezolizumab and a cure time point of 5 years for active monitoring was a reasonable assumption.</w:t>
      </w:r>
      <w:r w:rsidRPr="000A6E90">
        <w:rPr>
          <w:color w:val="000000" w:themeColor="text1"/>
          <w:lang w:val="en-GB"/>
        </w:rPr>
        <w:t xml:space="preserve"> Overall, while the rationale for the adjustment in the recurrence rate seemed reasonable, the variables associated with the adjustment applied to the neoNIVO+neoChemo arm were not supported by the clinical evidence presented in the submission and, therefore, remain an area of uncertainty. Of note, a delayed cure time point in the intervention arm versus the comparator arm was recommended for both TA761 and TA823.</w:t>
      </w:r>
      <w:bookmarkEnd w:id="68"/>
      <w:r w:rsidRPr="000A6E90">
        <w:rPr>
          <w:color w:val="000000" w:themeColor="text1"/>
          <w:lang w:val="en-GB"/>
        </w:rPr>
        <w:t xml:space="preserve"> </w:t>
      </w:r>
      <w:r w:rsidR="000619A0" w:rsidRPr="00CA56B5">
        <w:rPr>
          <w:color w:val="000000" w:themeColor="text1"/>
          <w:lang w:val="en-GB"/>
        </w:rPr>
        <w:t xml:space="preserve">The PSCR </w:t>
      </w:r>
      <w:r w:rsidR="00C375A5" w:rsidRPr="00CA56B5">
        <w:rPr>
          <w:color w:val="000000" w:themeColor="text1"/>
          <w:lang w:val="en-GB"/>
        </w:rPr>
        <w:t>noted</w:t>
      </w:r>
      <w:r w:rsidR="000619A0" w:rsidRPr="00CA56B5">
        <w:rPr>
          <w:color w:val="000000" w:themeColor="text1"/>
          <w:lang w:val="en-GB"/>
        </w:rPr>
        <w:t xml:space="preserve"> that the differential cure timepoints in</w:t>
      </w:r>
      <w:r w:rsidR="00C375A5" w:rsidRPr="00CA56B5">
        <w:rPr>
          <w:color w:val="000000" w:themeColor="text1"/>
          <w:lang w:val="en-GB"/>
        </w:rPr>
        <w:t xml:space="preserve"> the</w:t>
      </w:r>
      <w:r w:rsidR="000619A0" w:rsidRPr="00CA56B5">
        <w:rPr>
          <w:color w:val="000000" w:themeColor="text1"/>
          <w:lang w:val="en-GB"/>
        </w:rPr>
        <w:t xml:space="preserve"> osimertinib (TA761) </w:t>
      </w:r>
      <w:r w:rsidR="00C375A5" w:rsidRPr="00CA56B5">
        <w:rPr>
          <w:color w:val="000000" w:themeColor="text1"/>
          <w:lang w:val="en-GB"/>
        </w:rPr>
        <w:t xml:space="preserve">economic </w:t>
      </w:r>
      <w:r w:rsidR="000619A0" w:rsidRPr="00CA56B5">
        <w:rPr>
          <w:color w:val="000000" w:themeColor="text1"/>
          <w:lang w:val="en-GB"/>
        </w:rPr>
        <w:t>model (8</w:t>
      </w:r>
      <w:r w:rsidR="002E0EA7">
        <w:rPr>
          <w:color w:val="000000" w:themeColor="text1"/>
          <w:lang w:val="en-GB"/>
        </w:rPr>
        <w:t> </w:t>
      </w:r>
      <w:r w:rsidR="000619A0" w:rsidRPr="00CA56B5">
        <w:rPr>
          <w:color w:val="000000" w:themeColor="text1"/>
          <w:lang w:val="en-GB"/>
        </w:rPr>
        <w:t>years in intervention arm and 5 years in best supportive care arm)</w:t>
      </w:r>
      <w:r w:rsidR="003A5D48" w:rsidRPr="00CA56B5">
        <w:rPr>
          <w:color w:val="000000" w:themeColor="text1"/>
          <w:lang w:val="en-GB"/>
        </w:rPr>
        <w:t xml:space="preserve"> were </w:t>
      </w:r>
      <w:r w:rsidR="000619A0" w:rsidRPr="00CA56B5">
        <w:rPr>
          <w:color w:val="000000" w:themeColor="text1"/>
          <w:lang w:val="en-GB"/>
        </w:rPr>
        <w:t>to account for treatment time with osimertinib (i.e., 5 years plus the 3-year maximum adjuvant osimertinib treatment time).</w:t>
      </w:r>
      <w:r w:rsidR="003A5D48" w:rsidRPr="00CA56B5">
        <w:rPr>
          <w:color w:val="000000" w:themeColor="text1"/>
          <w:lang w:val="en-GB"/>
        </w:rPr>
        <w:t xml:space="preserve"> In addition, the PSCR stated that i</w:t>
      </w:r>
      <w:r w:rsidR="000619A0" w:rsidRPr="00CA56B5">
        <w:rPr>
          <w:color w:val="000000" w:themeColor="text1"/>
          <w:lang w:val="en-GB"/>
        </w:rPr>
        <w:t xml:space="preserve">n the atezolizumab </w:t>
      </w:r>
      <w:r w:rsidR="003A5D48" w:rsidRPr="00CA56B5">
        <w:rPr>
          <w:color w:val="000000" w:themeColor="text1"/>
          <w:lang w:val="en-GB"/>
        </w:rPr>
        <w:t>(</w:t>
      </w:r>
      <w:r w:rsidR="000619A0" w:rsidRPr="00CA56B5">
        <w:rPr>
          <w:color w:val="000000" w:themeColor="text1"/>
          <w:lang w:val="en-GB"/>
        </w:rPr>
        <w:t>TA823</w:t>
      </w:r>
      <w:r w:rsidR="003A5D48" w:rsidRPr="00CA56B5">
        <w:rPr>
          <w:color w:val="000000" w:themeColor="text1"/>
          <w:lang w:val="en-GB"/>
        </w:rPr>
        <w:t>)</w:t>
      </w:r>
      <w:r w:rsidR="000619A0" w:rsidRPr="00CA56B5">
        <w:rPr>
          <w:color w:val="000000" w:themeColor="text1"/>
          <w:lang w:val="en-GB"/>
        </w:rPr>
        <w:t xml:space="preserve"> submission, the </w:t>
      </w:r>
      <w:r w:rsidR="003A5D48" w:rsidRPr="00CA56B5">
        <w:rPr>
          <w:color w:val="000000" w:themeColor="text1"/>
          <w:lang w:val="en-GB"/>
        </w:rPr>
        <w:t>NICE Appraisal C</w:t>
      </w:r>
      <w:r w:rsidR="000619A0" w:rsidRPr="00CA56B5">
        <w:rPr>
          <w:color w:val="000000" w:themeColor="text1"/>
          <w:lang w:val="en-GB"/>
        </w:rPr>
        <w:t>ommittee noted that the logic in the TA761 appraisal of using an 8-year cure time</w:t>
      </w:r>
      <w:r w:rsidR="00FB6A4F">
        <w:rPr>
          <w:color w:val="000000" w:themeColor="text1"/>
          <w:lang w:val="en-GB"/>
        </w:rPr>
        <w:t xml:space="preserve"> </w:t>
      </w:r>
      <w:r w:rsidR="000619A0" w:rsidRPr="00CA56B5">
        <w:rPr>
          <w:color w:val="000000" w:themeColor="text1"/>
          <w:lang w:val="en-GB"/>
        </w:rPr>
        <w:t>point was combining a 5-year cure time</w:t>
      </w:r>
      <w:r w:rsidR="00FB6A4F">
        <w:rPr>
          <w:color w:val="000000" w:themeColor="text1"/>
          <w:lang w:val="en-GB"/>
        </w:rPr>
        <w:t xml:space="preserve"> </w:t>
      </w:r>
      <w:r w:rsidR="000619A0" w:rsidRPr="00CA56B5">
        <w:rPr>
          <w:color w:val="000000" w:themeColor="text1"/>
          <w:lang w:val="en-GB"/>
        </w:rPr>
        <w:t>point in the active monitoring group plus a 3-year osimertinib treatment period, and by the same logic, a 6-year cure time</w:t>
      </w:r>
      <w:r w:rsidR="00FB6A4F">
        <w:rPr>
          <w:color w:val="000000" w:themeColor="text1"/>
          <w:lang w:val="en-GB"/>
        </w:rPr>
        <w:t xml:space="preserve"> </w:t>
      </w:r>
      <w:r w:rsidR="000619A0" w:rsidRPr="00CA56B5">
        <w:rPr>
          <w:color w:val="000000" w:themeColor="text1"/>
          <w:lang w:val="en-GB"/>
        </w:rPr>
        <w:t>point (5-year cure time</w:t>
      </w:r>
      <w:r w:rsidR="00FB6A4F">
        <w:rPr>
          <w:color w:val="000000" w:themeColor="text1"/>
          <w:lang w:val="en-GB"/>
        </w:rPr>
        <w:t xml:space="preserve"> </w:t>
      </w:r>
      <w:r w:rsidR="000619A0" w:rsidRPr="00CA56B5">
        <w:rPr>
          <w:color w:val="000000" w:themeColor="text1"/>
          <w:lang w:val="en-GB"/>
        </w:rPr>
        <w:t>point in the active monitoring group plus a 1-year atezolizumab treatment period)</w:t>
      </w:r>
      <w:r w:rsidR="003A5D48" w:rsidRPr="00CA56B5">
        <w:rPr>
          <w:color w:val="000000" w:themeColor="text1"/>
          <w:lang w:val="en-GB"/>
        </w:rPr>
        <w:t xml:space="preserve"> </w:t>
      </w:r>
      <w:r w:rsidR="000619A0" w:rsidRPr="00CA56B5">
        <w:rPr>
          <w:color w:val="000000" w:themeColor="text1"/>
          <w:lang w:val="en-GB"/>
        </w:rPr>
        <w:t>was used for atezolizumab, with scenarios for 6-, 7-, and 8-year cure assumptions in the atezolizumab arm presented for transparency.</w:t>
      </w:r>
      <w:r w:rsidR="003A5D48" w:rsidRPr="00CA56B5">
        <w:rPr>
          <w:color w:val="000000" w:themeColor="text1"/>
          <w:lang w:val="en-GB"/>
        </w:rPr>
        <w:t xml:space="preserve"> The ESC acknowledged the response in the PSCR explaining the difference between the two arms (relating to the duration of therapy). The ESC </w:t>
      </w:r>
      <w:r w:rsidR="0056771B" w:rsidRPr="00CA56B5">
        <w:rPr>
          <w:color w:val="000000" w:themeColor="text1"/>
          <w:lang w:val="en-GB"/>
        </w:rPr>
        <w:t>noted neoNIVO was used concomitantly with neoChemo and the treatment duration of 3 cycles and considered that delaying the time point for cure for neoNIVO+neoCHEMO versus neoChemo was likely not required.</w:t>
      </w:r>
      <w:bookmarkEnd w:id="69"/>
      <w:r w:rsidR="0056771B" w:rsidRPr="00CA56B5">
        <w:rPr>
          <w:color w:val="000000" w:themeColor="text1"/>
          <w:lang w:val="en-GB"/>
        </w:rPr>
        <w:t xml:space="preserve"> </w:t>
      </w:r>
      <w:bookmarkEnd w:id="70"/>
    </w:p>
    <w:p w14:paraId="721BA78A" w14:textId="02B36B7A" w:rsidR="00F2381C" w:rsidRPr="00CA56B5" w:rsidRDefault="00F2381C" w:rsidP="00F2381C">
      <w:pPr>
        <w:pStyle w:val="3-BodyText"/>
        <w:rPr>
          <w:color w:val="000000" w:themeColor="text1"/>
          <w:lang w:val="en-GB"/>
        </w:rPr>
      </w:pPr>
      <w:r w:rsidRPr="00BD21BF">
        <w:rPr>
          <w:color w:val="000000" w:themeColor="text1"/>
          <w:lang w:val="en-GB"/>
        </w:rPr>
        <w:t xml:space="preserve">The submission indicated that the transition probabilities from the LR health state to the DM state </w:t>
      </w:r>
      <w:r>
        <w:rPr>
          <w:color w:val="000000" w:themeColor="text1"/>
          <w:lang w:val="en-GB"/>
        </w:rPr>
        <w:t>could not</w:t>
      </w:r>
      <w:r w:rsidRPr="00BD21BF">
        <w:rPr>
          <w:color w:val="000000" w:themeColor="text1"/>
          <w:lang w:val="en-GB"/>
        </w:rPr>
        <w:t xml:space="preserve"> be derived from the key trial as the trial protocol did not require monitoring for progression events following the first progression. An annual transition probability of 7.7% was calculated based on the number of patients with LR who had progressed to DM reported in a retrospective observational study</w:t>
      </w:r>
      <w:r w:rsidRPr="000A6E90">
        <w:rPr>
          <w:rStyle w:val="FootnoteReference"/>
          <w:color w:val="000000" w:themeColor="text1"/>
          <w:lang w:val="en-GB"/>
        </w:rPr>
        <w:footnoteReference w:id="20"/>
      </w:r>
      <w:r w:rsidRPr="00BD21BF">
        <w:rPr>
          <w:color w:val="000000" w:themeColor="text1"/>
          <w:lang w:val="en-GB"/>
        </w:rPr>
        <w:t xml:space="preserve"> in patients with complete resection of Stage IB-IIIA NSCLC, using the median follow-up of the study. </w:t>
      </w:r>
      <w:r w:rsidRPr="000A6E90">
        <w:rPr>
          <w:color w:val="000000" w:themeColor="text1"/>
          <w:lang w:val="en-GB"/>
        </w:rPr>
        <w:t>The</w:t>
      </w:r>
      <w:r w:rsidR="00EA577D">
        <w:rPr>
          <w:color w:val="000000" w:themeColor="text1"/>
          <w:lang w:val="en-GB"/>
        </w:rPr>
        <w:t xml:space="preserve"> evaluation considered that the</w:t>
      </w:r>
      <w:r w:rsidRPr="000A6E90">
        <w:rPr>
          <w:color w:val="000000" w:themeColor="text1"/>
          <w:lang w:val="en-GB"/>
        </w:rPr>
        <w:t xml:space="preserve"> annual transition probability estimated based on the Chouaid et al (2018) study is likely to be an underestimate, as the subjects involved in this study had a better prognosis than the CM816 population. All patients in Chouaid study had their tumour completely resected and the proportion of patients with more advanced disease (Stage III) was half that of patients in CM816 (30% vs. 64%). </w:t>
      </w:r>
      <w:r w:rsidRPr="00BD21BF">
        <w:rPr>
          <w:color w:val="000000" w:themeColor="text1"/>
          <w:lang w:val="en-GB"/>
        </w:rPr>
        <w:t>The transition probabilit</w:t>
      </w:r>
      <w:r>
        <w:rPr>
          <w:color w:val="000000" w:themeColor="text1"/>
          <w:lang w:val="en-GB"/>
        </w:rPr>
        <w:t>y</w:t>
      </w:r>
      <w:r w:rsidRPr="00BD21BF">
        <w:rPr>
          <w:color w:val="000000" w:themeColor="text1"/>
          <w:lang w:val="en-GB"/>
        </w:rPr>
        <w:t xml:space="preserve"> from LR to DM applied in the base case (20% annually) was </w:t>
      </w:r>
      <w:r>
        <w:rPr>
          <w:color w:val="000000" w:themeColor="text1"/>
          <w:lang w:val="en-GB"/>
        </w:rPr>
        <w:t>an</w:t>
      </w:r>
      <w:r w:rsidRPr="00BD21BF">
        <w:rPr>
          <w:color w:val="000000" w:themeColor="text1"/>
          <w:lang w:val="en-GB"/>
        </w:rPr>
        <w:t xml:space="preserve"> estimate </w:t>
      </w:r>
      <w:r>
        <w:rPr>
          <w:color w:val="000000" w:themeColor="text1"/>
          <w:lang w:val="en-GB"/>
        </w:rPr>
        <w:t>based on</w:t>
      </w:r>
      <w:r w:rsidRPr="00BD21BF">
        <w:rPr>
          <w:color w:val="000000" w:themeColor="text1"/>
          <w:lang w:val="en-GB"/>
        </w:rPr>
        <w:t xml:space="preserve"> </w:t>
      </w:r>
      <w:r>
        <w:rPr>
          <w:color w:val="000000" w:themeColor="text1"/>
          <w:lang w:val="en-GB"/>
        </w:rPr>
        <w:t>clinical expert opinion (</w:t>
      </w:r>
      <w:r w:rsidRPr="00BD21BF">
        <w:rPr>
          <w:color w:val="000000" w:themeColor="text1"/>
          <w:lang w:val="en-GB"/>
        </w:rPr>
        <w:t xml:space="preserve">11 </w:t>
      </w:r>
      <w:r>
        <w:rPr>
          <w:color w:val="000000" w:themeColor="text1"/>
          <w:lang w:val="en-GB"/>
        </w:rPr>
        <w:t>oncologists).</w:t>
      </w:r>
      <w:r w:rsidRPr="00BD21BF">
        <w:rPr>
          <w:color w:val="000000" w:themeColor="text1"/>
          <w:lang w:val="en-GB"/>
        </w:rPr>
        <w:t xml:space="preserve"> </w:t>
      </w:r>
      <w:r w:rsidRPr="000A6E90">
        <w:rPr>
          <w:color w:val="000000" w:themeColor="text1"/>
          <w:lang w:val="en-GB"/>
        </w:rPr>
        <w:t xml:space="preserve">The submission did not provide any information regarding how the clinicians were selected. Therefore, the reliability and generalisability of this estimate could not be determined. In addition, the submission did not provide any evidence to support the use of an identical LR to DM transition rate between the two treatment arms and the assumption of a constant transition rate over time. </w:t>
      </w:r>
      <w:r w:rsidR="001B7008" w:rsidRPr="00CA56B5">
        <w:rPr>
          <w:color w:val="000000" w:themeColor="text1"/>
          <w:lang w:val="en-GB"/>
        </w:rPr>
        <w:t>The ESC agreed with the evaluation that the use of clinical expert opinion to inform the transition probability from LR to DM was not reliable</w:t>
      </w:r>
      <w:r w:rsidR="00B36D0D" w:rsidRPr="00CA56B5">
        <w:rPr>
          <w:color w:val="000000" w:themeColor="text1"/>
          <w:lang w:val="en-GB"/>
        </w:rPr>
        <w:t xml:space="preserve"> and advised that a published source should be used to inform this model input</w:t>
      </w:r>
      <w:r w:rsidR="001B7008" w:rsidRPr="00CA56B5">
        <w:rPr>
          <w:color w:val="000000" w:themeColor="text1"/>
          <w:lang w:val="en-GB"/>
        </w:rPr>
        <w:t xml:space="preserve">. </w:t>
      </w:r>
    </w:p>
    <w:p w14:paraId="29F74E8C" w14:textId="77777777" w:rsidR="00F2381C" w:rsidRPr="00AB6584" w:rsidRDefault="00F2381C" w:rsidP="00F2381C">
      <w:pPr>
        <w:pStyle w:val="3-BodyText"/>
      </w:pPr>
      <w:r w:rsidRPr="00AB6584">
        <w:t xml:space="preserve">The </w:t>
      </w:r>
      <w:r>
        <w:t>transition probabilities from LR to death were estimated based on the KM</w:t>
      </w:r>
      <w:r w:rsidRPr="00AB6584">
        <w:t xml:space="preserve"> cur</w:t>
      </w:r>
      <w:r>
        <w:t>v</w:t>
      </w:r>
      <w:r w:rsidRPr="00AB6584">
        <w:t xml:space="preserve">es </w:t>
      </w:r>
      <w:r>
        <w:t>of</w:t>
      </w:r>
      <w:r w:rsidRPr="00AB6584">
        <w:t xml:space="preserve"> post-LR survival from CM816</w:t>
      </w:r>
      <w:r>
        <w:t xml:space="preserve">. A spline </w:t>
      </w:r>
      <w:r w:rsidRPr="00E20070">
        <w:t>model (</w:t>
      </w:r>
      <w:r>
        <w:t>degrees of freedom</w:t>
      </w:r>
      <w:r w:rsidRPr="00E20070">
        <w:t xml:space="preserve"> = 3, hazard)</w:t>
      </w:r>
      <w:r>
        <w:t xml:space="preserve"> was selected for extrapolation. The submission stated that none of the standard parametric distributions provided</w:t>
      </w:r>
      <w:r w:rsidRPr="00E20070">
        <w:t xml:space="preserve"> a good fit to the observed post-LR mortality data</w:t>
      </w:r>
      <w:r>
        <w:t xml:space="preserve">. </w:t>
      </w:r>
      <w:r w:rsidRPr="000A6E90">
        <w:t xml:space="preserve">In CM816, data on progression events following the first progression were not required to be collected according to the trial protocol. The post-LR survival data as reported in the trial reflected both the death events directly from the LR state </w:t>
      </w:r>
      <w:r w:rsidRPr="008062B4">
        <w:t>and</w:t>
      </w:r>
      <w:r w:rsidRPr="000A6E90">
        <w:t xml:space="preserve"> the death events in patients who had LR and then developed DM. The mortality of the latter population may have been double counted as the subsequent transition from DM to death has been implicitly captured by the one-off life years (LYs) applied to patients entering the DM state. </w:t>
      </w:r>
    </w:p>
    <w:p w14:paraId="2D5AA27D" w14:textId="5E3E502B" w:rsidR="002D2F2A" w:rsidRPr="00CA56B5" w:rsidRDefault="00F2381C" w:rsidP="00B615EB">
      <w:pPr>
        <w:pStyle w:val="3-BodyText"/>
      </w:pPr>
      <w:bookmarkStart w:id="71" w:name="_Ref131342296"/>
      <w:r w:rsidRPr="000457E8">
        <w:t xml:space="preserve">The health state utility values </w:t>
      </w:r>
      <w:r>
        <w:t>for EFS and LR</w:t>
      </w:r>
      <w:r w:rsidRPr="000457E8">
        <w:t xml:space="preserve"> were </w:t>
      </w:r>
      <w:r>
        <w:t xml:space="preserve">estimated </w:t>
      </w:r>
      <w:r w:rsidRPr="000457E8">
        <w:t xml:space="preserve">based on the EQ-5D data from </w:t>
      </w:r>
      <w:r>
        <w:t>CM816</w:t>
      </w:r>
      <w:r w:rsidRPr="000457E8">
        <w:t xml:space="preserve">, using Australian </w:t>
      </w:r>
      <w:r>
        <w:t>weights</w:t>
      </w:r>
      <w:r w:rsidRPr="000457E8">
        <w:t xml:space="preserve">. The least square means were slightly higher in the </w:t>
      </w:r>
      <w:r>
        <w:t>neoNIVO</w:t>
      </w:r>
      <w:r w:rsidRPr="007964C7">
        <w:t>+</w:t>
      </w:r>
      <w:r>
        <w:t>neoChemo</w:t>
      </w:r>
      <w:r w:rsidRPr="000457E8">
        <w:t xml:space="preserve"> arm than in the </w:t>
      </w:r>
      <w:r>
        <w:t>neoChemo</w:t>
      </w:r>
      <w:r w:rsidRPr="007964C7">
        <w:t xml:space="preserve"> </w:t>
      </w:r>
      <w:r w:rsidRPr="000457E8">
        <w:t>arm</w:t>
      </w:r>
      <w:r>
        <w:t xml:space="preserve"> but the difference was not statistically significant. Therefore, health state-specific utility values were applied to both treatment arms.</w:t>
      </w:r>
      <w:r w:rsidR="0088678F">
        <w:t xml:space="preserve"> </w:t>
      </w:r>
      <w:r w:rsidR="0088678F" w:rsidRPr="00CA56B5">
        <w:t>The ESC considered this approach appropriate.</w:t>
      </w:r>
      <w:r w:rsidRPr="00CA56B5">
        <w:t xml:space="preserve"> It</w:t>
      </w:r>
      <w:r>
        <w:t xml:space="preserve"> was noted in the submission that the utility for the EFS health state derived from the CM816 EQ-5D-3L data was better than the expected utility for a general Australian population with the same age range and sex distribution of CM816 as reported in the Clemens </w:t>
      </w:r>
      <w:r w:rsidRPr="00554558">
        <w:rPr>
          <w:iCs/>
        </w:rPr>
        <w:t>et al</w:t>
      </w:r>
      <w:r>
        <w:t xml:space="preserve"> (2014) study</w:t>
      </w:r>
      <w:r>
        <w:rPr>
          <w:rStyle w:val="FootnoteReference"/>
        </w:rPr>
        <w:footnoteReference w:id="21"/>
      </w:r>
      <w:r>
        <w:t xml:space="preserve"> (0.874 </w:t>
      </w:r>
      <w:r w:rsidRPr="000A6E90">
        <w:t>vs.</w:t>
      </w:r>
      <w:r>
        <w:t xml:space="preserve"> 0.850). To account for this discrepancy, in the base case, the general population utility of 0.850 was used as the EFS health state utility. </w:t>
      </w:r>
      <w:r w:rsidRPr="000A6E90">
        <w:t xml:space="preserve">This implied no </w:t>
      </w:r>
      <w:r w:rsidR="0063796F">
        <w:t>QoL</w:t>
      </w:r>
      <w:r w:rsidRPr="000A6E90">
        <w:t xml:space="preserve"> decrements associated with a diagnosis of NSCLC and subsequent treatments, which was not rea</w:t>
      </w:r>
      <w:r w:rsidR="002919FA">
        <w:t>listic</w:t>
      </w:r>
      <w:r w:rsidRPr="000A6E90">
        <w:t>.</w:t>
      </w:r>
      <w:r w:rsidRPr="00C83C04">
        <w:t xml:space="preserve"> </w:t>
      </w:r>
      <w:r w:rsidRPr="000A6E90">
        <w:t>Of note, the utility value for the DFS health state in the economic model for the atezolizumab PBAC submission was 0.81, which was sourced from an external study by Grutters et al</w:t>
      </w:r>
      <w:r w:rsidR="009E4176">
        <w:t xml:space="preserve"> 2010</w:t>
      </w:r>
      <w:r w:rsidRPr="000A6E90">
        <w:rPr>
          <w:rStyle w:val="FootnoteReference"/>
        </w:rPr>
        <w:footnoteReference w:id="22"/>
      </w:r>
      <w:r w:rsidRPr="000A6E90">
        <w:t xml:space="preserve">. </w:t>
      </w:r>
      <w:r w:rsidR="00A15AB8">
        <w:t>In July 2022, t</w:t>
      </w:r>
      <w:r w:rsidRPr="000A6E90">
        <w:t xml:space="preserve">he PBAC noted that the utility value of 0.81 represented the median utility score in subgroups with a better </w:t>
      </w:r>
      <w:r w:rsidR="0063796F">
        <w:t>QoL</w:t>
      </w:r>
      <w:r w:rsidRPr="000A6E90">
        <w:t xml:space="preserve"> (e.g. patients without severe AEs and patients with Stage I disease at initial diagnosis) (Paragraph 6.48, </w:t>
      </w:r>
      <w:r w:rsidR="0088678F">
        <w:t>a</w:t>
      </w:r>
      <w:r w:rsidRPr="000A6E90">
        <w:t xml:space="preserve">tezolizumab PSD, July 2022 PBAC meeting). Sensitivity analyses were performed during the evaluation of the atezolizumab submission by assuming a lower DFS utility value (0.76 </w:t>
      </w:r>
      <w:r w:rsidR="00D645C0" w:rsidRPr="000A6E90">
        <w:t>and 0.74</w:t>
      </w:r>
      <w:r w:rsidR="00907F34" w:rsidRPr="000A6E90">
        <w:t xml:space="preserve">, </w:t>
      </w:r>
      <w:r w:rsidRPr="000A6E90">
        <w:t xml:space="preserve">Table 16, </w:t>
      </w:r>
      <w:r w:rsidR="009E4176">
        <w:t>a</w:t>
      </w:r>
      <w:r w:rsidRPr="000A6E90">
        <w:t>tezolizumab PSD, July 2022 PBAC meeting).</w:t>
      </w:r>
      <w:r w:rsidR="00A15AB8">
        <w:t xml:space="preserve"> </w:t>
      </w:r>
      <w:r w:rsidR="002D2F2A" w:rsidRPr="00CA56B5">
        <w:t>The PSCR noted the evaluator provided an alternative source for health-state utilities (Grutters et al 2010). The PSCR noted this study was based on a patient population from the Netherlands and referenced different EQ-5D population norms compared to Australia</w:t>
      </w:r>
      <w:r w:rsidR="0088678F" w:rsidRPr="00CA56B5">
        <w:t>.</w:t>
      </w:r>
      <w:r w:rsidR="002D2F2A" w:rsidRPr="00CA56B5">
        <w:t xml:space="preserve"> Grutters et al 2010 referenced a population norm of 0.78 for 65 to 74 years of age, while the Australian population norm for 65 to </w:t>
      </w:r>
      <w:r w:rsidR="002E0EA7" w:rsidRPr="00CA56B5">
        <w:t>74</w:t>
      </w:r>
      <w:r w:rsidR="002E0EA7">
        <w:t> </w:t>
      </w:r>
      <w:r w:rsidR="002D2F2A" w:rsidRPr="00CA56B5">
        <w:t xml:space="preserve">years of age is 0.82 </w:t>
      </w:r>
      <w:r w:rsidR="0088678F" w:rsidRPr="00CA56B5">
        <w:t>(</w:t>
      </w:r>
      <w:r w:rsidR="002D2F2A" w:rsidRPr="00CA56B5">
        <w:t xml:space="preserve">Clemens et al 2014). The PSCR argued that the study results indicated that </w:t>
      </w:r>
      <w:r w:rsidR="00AF7B29" w:rsidRPr="00CA56B5">
        <w:t>’</w:t>
      </w:r>
      <w:r w:rsidR="002D2F2A" w:rsidRPr="00CA56B5">
        <w:t>survivors of NSCLC are on average in good health</w:t>
      </w:r>
      <w:r w:rsidR="00AF7B29" w:rsidRPr="00CA56B5">
        <w:t>’</w:t>
      </w:r>
      <w:r w:rsidR="002D2F2A" w:rsidRPr="00CA56B5">
        <w:t xml:space="preserve"> and that the average utility of non-recurrent patients (0.76) was only slightly lower than the age-matched general population utility (0.78). The ESC noted the concerns raised by the evaluation and </w:t>
      </w:r>
      <w:r w:rsidR="00E43EFD" w:rsidRPr="00CA56B5">
        <w:t>noted that the</w:t>
      </w:r>
      <w:r w:rsidR="002D2F2A" w:rsidRPr="00CA56B5">
        <w:t xml:space="preserve"> </w:t>
      </w:r>
      <w:r w:rsidR="00E43EFD" w:rsidRPr="00CA56B5">
        <w:t xml:space="preserve">ICER was moderately sensitive to </w:t>
      </w:r>
      <w:r w:rsidR="002D2F2A" w:rsidRPr="00CA56B5">
        <w:t>utility values. However, the ESC considered the approach taken by the submission to account for the</w:t>
      </w:r>
      <w:r w:rsidR="00CC7AE8">
        <w:t xml:space="preserve"> </w:t>
      </w:r>
      <w:r w:rsidR="00B615EB" w:rsidRPr="00CA56B5">
        <w:t xml:space="preserve">discrepancy in the utility for the EFS health state </w:t>
      </w:r>
      <w:r w:rsidR="002D2F2A" w:rsidRPr="00CA56B5">
        <w:t xml:space="preserve">was likely reasonable. </w:t>
      </w:r>
      <w:bookmarkEnd w:id="71"/>
    </w:p>
    <w:p w14:paraId="338F7F03" w14:textId="4419D5B8" w:rsidR="00F2381C" w:rsidRPr="006B0E1A" w:rsidRDefault="00F2381C" w:rsidP="006B0E1A">
      <w:pPr>
        <w:pStyle w:val="3-BodyText"/>
        <w:spacing w:before="120"/>
        <w:rPr>
          <w:i/>
          <w:iCs/>
        </w:rPr>
      </w:pPr>
      <w:bookmarkStart w:id="72" w:name="_Ref127880848"/>
      <w:r>
        <w:t xml:space="preserve">The DM health state was modelled as an absorbing health state. When patients experienced DM, they were expected to receive a mix of therapies for first-line metastatic disease. Discounted LYs and quality-adjusted life years (QALYs) relating to these therapies were estimated based on previous PBAC submissions on treatments of metastatic NSCLC. </w:t>
      </w:r>
      <w:r w:rsidRPr="000A6E90">
        <w:t xml:space="preserve">The uncertainties surrounding the health outcomes associated with various metastatic NSCLC therapies are summarised in </w:t>
      </w:r>
      <w:r w:rsidRPr="000A6E90">
        <w:fldChar w:fldCharType="begin"/>
      </w:r>
      <w:r w:rsidRPr="000A6E90">
        <w:instrText xml:space="preserve"> REF _Ref120895461 \h  \* MERGEFORMAT </w:instrText>
      </w:r>
      <w:r w:rsidRPr="000A6E90">
        <w:fldChar w:fldCharType="separate"/>
      </w:r>
      <w:r w:rsidR="00A77D90">
        <w:t xml:space="preserve">Table </w:t>
      </w:r>
      <w:r w:rsidR="00A77D90">
        <w:rPr>
          <w:noProof/>
        </w:rPr>
        <w:t>18</w:t>
      </w:r>
      <w:r w:rsidRPr="000A6E90">
        <w:fldChar w:fldCharType="end"/>
      </w:r>
      <w:r w:rsidRPr="000A6E90">
        <w:t xml:space="preserve">. Overall, </w:t>
      </w:r>
      <w:r w:rsidR="007947EB" w:rsidRPr="00CA56B5">
        <w:t>the</w:t>
      </w:r>
      <w:r w:rsidR="00FA03BE" w:rsidRPr="00CA56B5">
        <w:t xml:space="preserve"> ESC agreed with the</w:t>
      </w:r>
      <w:r w:rsidR="007947EB" w:rsidRPr="00CA56B5">
        <w:t xml:space="preserve"> </w:t>
      </w:r>
      <w:r w:rsidR="00EB2754" w:rsidRPr="00CA56B5">
        <w:t>evaluation</w:t>
      </w:r>
      <w:r w:rsidR="007947EB" w:rsidRPr="00CA56B5">
        <w:t xml:space="preserve"> </w:t>
      </w:r>
      <w:r w:rsidR="00FA03BE" w:rsidRPr="00CA56B5">
        <w:t xml:space="preserve">and </w:t>
      </w:r>
      <w:r w:rsidR="00EB2754" w:rsidRPr="00CA56B5">
        <w:t>considered that the</w:t>
      </w:r>
      <w:r w:rsidR="00EB2754">
        <w:t xml:space="preserve"> </w:t>
      </w:r>
      <w:r w:rsidRPr="000A6E90">
        <w:t xml:space="preserve">health outcome inputs assumed in the submission were </w:t>
      </w:r>
      <w:r w:rsidR="005E6B21">
        <w:t xml:space="preserve">not </w:t>
      </w:r>
      <w:r w:rsidRPr="000A6E90">
        <w:t>well justified.</w:t>
      </w:r>
      <w:bookmarkEnd w:id="72"/>
      <w:r w:rsidR="00CC7AE8">
        <w:t xml:space="preserve"> </w:t>
      </w:r>
    </w:p>
    <w:p w14:paraId="230876F9" w14:textId="01B22F6C" w:rsidR="00F2381C" w:rsidRPr="00863076" w:rsidRDefault="00F2381C" w:rsidP="00F2381C">
      <w:pPr>
        <w:pStyle w:val="Caption"/>
      </w:pPr>
      <w:bookmarkStart w:id="73" w:name="_Ref120895461"/>
      <w:r>
        <w:t xml:space="preserve">Table </w:t>
      </w:r>
      <w:r w:rsidR="00A77D90">
        <w:fldChar w:fldCharType="begin"/>
      </w:r>
      <w:r w:rsidR="00A77D90">
        <w:instrText xml:space="preserve"> SEQ Table \* ARABIC </w:instrText>
      </w:r>
      <w:r w:rsidR="00A77D90">
        <w:fldChar w:fldCharType="separate"/>
      </w:r>
      <w:r w:rsidR="00A77D90">
        <w:rPr>
          <w:noProof/>
        </w:rPr>
        <w:t>18</w:t>
      </w:r>
      <w:r w:rsidR="00A77D90">
        <w:rPr>
          <w:noProof/>
        </w:rPr>
        <w:fldChar w:fldCharType="end"/>
      </w:r>
      <w:bookmarkEnd w:id="73"/>
      <w:r>
        <w:t xml:space="preserve">: </w:t>
      </w:r>
      <w:r w:rsidRPr="00863076">
        <w:t>Health outcome</w:t>
      </w:r>
      <w:r>
        <w:t xml:space="preserve"> </w:t>
      </w:r>
      <w:r w:rsidRPr="00863076">
        <w:t>inputs for DM state</w:t>
      </w:r>
    </w:p>
    <w:tbl>
      <w:tblPr>
        <w:tblStyle w:val="TableGrid1"/>
        <w:tblW w:w="4950" w:type="pct"/>
        <w:tblLayout w:type="fixed"/>
        <w:tblLook w:val="0620" w:firstRow="1" w:lastRow="0" w:firstColumn="0" w:lastColumn="0" w:noHBand="1" w:noVBand="1"/>
      </w:tblPr>
      <w:tblGrid>
        <w:gridCol w:w="1552"/>
        <w:gridCol w:w="1137"/>
        <w:gridCol w:w="6238"/>
      </w:tblGrid>
      <w:tr w:rsidR="00F2381C" w:rsidRPr="00614AF8" w14:paraId="530F86B0" w14:textId="77777777" w:rsidTr="00910F31">
        <w:trPr>
          <w:tblHeader/>
        </w:trPr>
        <w:tc>
          <w:tcPr>
            <w:tcW w:w="1552" w:type="dxa"/>
            <w:shd w:val="clear" w:color="auto" w:fill="FFFFFF" w:themeFill="background1"/>
            <w:hideMark/>
          </w:tcPr>
          <w:p w14:paraId="16C902FB" w14:textId="77777777" w:rsidR="00F2381C" w:rsidRPr="00333C33" w:rsidRDefault="00F2381C" w:rsidP="00910F31">
            <w:pPr>
              <w:pStyle w:val="TableText0"/>
              <w:rPr>
                <w:rFonts w:cs="Segoe UI"/>
                <w:b/>
                <w:bCs w:val="0"/>
                <w:sz w:val="20"/>
                <w:szCs w:val="20"/>
                <w:lang w:val="en-GB"/>
              </w:rPr>
            </w:pPr>
            <w:r w:rsidRPr="00614AF8">
              <w:rPr>
                <w:b/>
                <w:sz w:val="20"/>
                <w:szCs w:val="20"/>
                <w:lang w:val="en-GB"/>
              </w:rPr>
              <w:t>Treatment </w:t>
            </w:r>
          </w:p>
        </w:tc>
        <w:tc>
          <w:tcPr>
            <w:tcW w:w="1137" w:type="dxa"/>
            <w:shd w:val="clear" w:color="auto" w:fill="FFFFFF" w:themeFill="background1"/>
          </w:tcPr>
          <w:p w14:paraId="38840677" w14:textId="77777777" w:rsidR="00F2381C" w:rsidRPr="00614AF8" w:rsidRDefault="00F2381C" w:rsidP="00910F31">
            <w:pPr>
              <w:pStyle w:val="TableText0"/>
              <w:jc w:val="center"/>
              <w:rPr>
                <w:rFonts w:cs="Segoe UI"/>
                <w:b/>
                <w:bCs w:val="0"/>
                <w:sz w:val="20"/>
                <w:szCs w:val="20"/>
                <w:lang w:val="en-GB"/>
              </w:rPr>
            </w:pPr>
            <w:r>
              <w:rPr>
                <w:rFonts w:cs="Segoe UI"/>
                <w:b/>
                <w:bCs w:val="0"/>
                <w:sz w:val="20"/>
                <w:szCs w:val="20"/>
                <w:lang w:val="en-GB"/>
              </w:rPr>
              <w:t>Values</w:t>
            </w:r>
          </w:p>
        </w:tc>
        <w:tc>
          <w:tcPr>
            <w:tcW w:w="6237" w:type="dxa"/>
            <w:shd w:val="clear" w:color="auto" w:fill="FFFFFF" w:themeFill="background1"/>
            <w:hideMark/>
          </w:tcPr>
          <w:p w14:paraId="3BF8CE4F" w14:textId="77777777" w:rsidR="00F2381C" w:rsidRPr="00614AF8" w:rsidRDefault="00F2381C" w:rsidP="00910F31">
            <w:pPr>
              <w:pStyle w:val="TableText0"/>
              <w:rPr>
                <w:rFonts w:cs="Segoe UI"/>
                <w:b/>
                <w:bCs w:val="0"/>
                <w:sz w:val="20"/>
                <w:szCs w:val="20"/>
                <w:lang w:val="en-GB"/>
              </w:rPr>
            </w:pPr>
            <w:r>
              <w:rPr>
                <w:rFonts w:cs="Segoe UI"/>
                <w:b/>
                <w:bCs w:val="0"/>
                <w:sz w:val="20"/>
                <w:szCs w:val="20"/>
                <w:lang w:val="en-GB"/>
              </w:rPr>
              <w:t>Source and comments</w:t>
            </w:r>
          </w:p>
        </w:tc>
      </w:tr>
      <w:tr w:rsidR="00F2381C" w:rsidRPr="00863076" w14:paraId="72DBE501" w14:textId="77777777" w:rsidTr="00910F31">
        <w:tc>
          <w:tcPr>
            <w:tcW w:w="8926" w:type="dxa"/>
            <w:gridSpan w:val="3"/>
          </w:tcPr>
          <w:p w14:paraId="15AEED8D" w14:textId="77777777" w:rsidR="00F2381C" w:rsidRPr="00863076" w:rsidRDefault="00F2381C" w:rsidP="00910F31">
            <w:pPr>
              <w:pStyle w:val="TableText0"/>
              <w:rPr>
                <w:b/>
                <w:sz w:val="20"/>
                <w:szCs w:val="20"/>
                <w:lang w:val="en-GB"/>
              </w:rPr>
            </w:pPr>
            <w:r w:rsidRPr="00863076">
              <w:rPr>
                <w:b/>
                <w:sz w:val="20"/>
                <w:szCs w:val="20"/>
                <w:lang w:val="en-GB"/>
              </w:rPr>
              <w:t>Health outcomes</w:t>
            </w:r>
          </w:p>
        </w:tc>
      </w:tr>
      <w:tr w:rsidR="00F2381C" w:rsidRPr="00614AF8" w14:paraId="01949BC1" w14:textId="77777777" w:rsidTr="00910F31">
        <w:tc>
          <w:tcPr>
            <w:tcW w:w="1552" w:type="dxa"/>
          </w:tcPr>
          <w:p w14:paraId="78ED4CB3" w14:textId="77777777" w:rsidR="00F2381C" w:rsidRPr="00614AF8" w:rsidRDefault="00F2381C" w:rsidP="00910F31">
            <w:pPr>
              <w:pStyle w:val="TableText0"/>
              <w:rPr>
                <w:sz w:val="20"/>
                <w:szCs w:val="20"/>
                <w:lang w:val="en-GB"/>
              </w:rPr>
            </w:pPr>
            <w:r w:rsidRPr="00614AF8">
              <w:rPr>
                <w:sz w:val="20"/>
                <w:szCs w:val="20"/>
                <w:lang w:val="en-GB"/>
              </w:rPr>
              <w:t>Pembrolizumab </w:t>
            </w:r>
          </w:p>
        </w:tc>
        <w:tc>
          <w:tcPr>
            <w:tcW w:w="1137" w:type="dxa"/>
          </w:tcPr>
          <w:p w14:paraId="42A45A40" w14:textId="77777777" w:rsidR="00F2381C" w:rsidRPr="00614AF8" w:rsidRDefault="00F2381C" w:rsidP="00910F31">
            <w:pPr>
              <w:pStyle w:val="TableText0"/>
              <w:ind w:right="-57"/>
              <w:rPr>
                <w:sz w:val="20"/>
                <w:szCs w:val="20"/>
                <w:lang w:val="en-GB"/>
              </w:rPr>
            </w:pPr>
            <w:r>
              <w:rPr>
                <w:sz w:val="20"/>
                <w:szCs w:val="20"/>
                <w:lang w:val="en-GB"/>
              </w:rPr>
              <w:t xml:space="preserve">LYs: </w:t>
            </w:r>
            <w:r w:rsidRPr="00614AF8">
              <w:rPr>
                <w:sz w:val="20"/>
                <w:szCs w:val="20"/>
                <w:lang w:val="en-GB"/>
              </w:rPr>
              <w:t>2.55</w:t>
            </w:r>
          </w:p>
          <w:p w14:paraId="36272064" w14:textId="77777777" w:rsidR="00F2381C" w:rsidRPr="00614AF8" w:rsidRDefault="00F2381C" w:rsidP="00910F31">
            <w:pPr>
              <w:pStyle w:val="TableText0"/>
              <w:ind w:right="-57"/>
              <w:rPr>
                <w:sz w:val="20"/>
                <w:szCs w:val="20"/>
                <w:lang w:val="en-GB"/>
              </w:rPr>
            </w:pPr>
            <w:r>
              <w:rPr>
                <w:sz w:val="20"/>
                <w:szCs w:val="20"/>
                <w:lang w:val="en-GB"/>
              </w:rPr>
              <w:t>QALYs: 1.81</w:t>
            </w:r>
          </w:p>
        </w:tc>
        <w:tc>
          <w:tcPr>
            <w:tcW w:w="6237" w:type="dxa"/>
          </w:tcPr>
          <w:p w14:paraId="16127FB0" w14:textId="77777777" w:rsidR="00F2381C" w:rsidRDefault="00F2381C" w:rsidP="00910F31">
            <w:pPr>
              <w:pStyle w:val="TableText0"/>
              <w:rPr>
                <w:sz w:val="20"/>
                <w:szCs w:val="20"/>
                <w:lang w:val="en-GB"/>
              </w:rPr>
            </w:pPr>
            <w:r w:rsidRPr="00614AF8">
              <w:rPr>
                <w:sz w:val="20"/>
                <w:szCs w:val="20"/>
                <w:lang w:val="en-GB"/>
              </w:rPr>
              <w:t>Pembrolizumab July 2019 PSD Table 1</w:t>
            </w:r>
            <w:r>
              <w:rPr>
                <w:sz w:val="20"/>
                <w:szCs w:val="20"/>
                <w:lang w:val="en-GB"/>
              </w:rPr>
              <w:t>6</w:t>
            </w:r>
            <w:r w:rsidRPr="00614AF8">
              <w:rPr>
                <w:sz w:val="20"/>
                <w:szCs w:val="20"/>
                <w:lang w:val="en-GB"/>
              </w:rPr>
              <w:t>, PD-L1 ≥ 50%</w:t>
            </w:r>
            <w:r>
              <w:rPr>
                <w:sz w:val="20"/>
                <w:szCs w:val="20"/>
                <w:lang w:val="en-GB"/>
              </w:rPr>
              <w:t xml:space="preserve">. </w:t>
            </w:r>
          </w:p>
          <w:p w14:paraId="5EB930DE" w14:textId="77777777" w:rsidR="00F2381C" w:rsidRPr="00614AF8" w:rsidRDefault="00F2381C" w:rsidP="00910F31">
            <w:pPr>
              <w:pStyle w:val="TableText0"/>
              <w:rPr>
                <w:sz w:val="20"/>
                <w:szCs w:val="20"/>
                <w:lang w:val="en-GB"/>
              </w:rPr>
            </w:pPr>
            <w:r w:rsidRPr="000619EC">
              <w:rPr>
                <w:iCs/>
                <w:sz w:val="20"/>
                <w:szCs w:val="20"/>
                <w:lang w:val="en-GB"/>
              </w:rPr>
              <w:t xml:space="preserve">The economic evaluation of pembrolizumab combination therapy compared with pembrolizumab monotherapy in patients with PD-L1 ≥ 50% NSCLC was based on an indirect comparison. The PBAC considered that this cost-utility analysis was not appropriate given the clinical uncertainties. The PBAC considered that, for patients with PD-L1 ≥ 50%, the PBAC recommendation for listing was based on, among other matters, its assessment that the cost-effectiveness of pembrolizumab used in combination with chemotherapy would be acceptable at the pembrolizumab price proposed in the PSCR for this population (Paragraph 7.3, </w:t>
            </w:r>
            <w:r w:rsidRPr="000619EC">
              <w:rPr>
                <w:rFonts w:cs="Segoe UI"/>
                <w:iCs/>
                <w:sz w:val="20"/>
                <w:szCs w:val="20"/>
                <w:lang w:val="en-GB"/>
              </w:rPr>
              <w:t>Pembrolizumab PSD, July 2019 PBAC meeting</w:t>
            </w:r>
            <w:r w:rsidRPr="000619EC">
              <w:rPr>
                <w:iCs/>
                <w:sz w:val="20"/>
                <w:szCs w:val="20"/>
                <w:lang w:val="en-GB"/>
              </w:rPr>
              <w:t>).</w:t>
            </w:r>
            <w:r w:rsidRPr="000A6E90">
              <w:rPr>
                <w:sz w:val="20"/>
                <w:szCs w:val="20"/>
                <w:lang w:val="en-GB"/>
              </w:rPr>
              <w:t xml:space="preserve"> As the PBAC recommendation was not based on the cost-utility analysis as presented in the July 2019 submission, the use of estimated LYs and QALYs for pembrolizumab monotherapy in the neoNIVO+neoChemo economic model was not justified in the submission.</w:t>
            </w:r>
          </w:p>
        </w:tc>
      </w:tr>
      <w:tr w:rsidR="00F2381C" w:rsidRPr="00614AF8" w14:paraId="3C0063CF" w14:textId="77777777" w:rsidTr="00910F31">
        <w:tc>
          <w:tcPr>
            <w:tcW w:w="1552" w:type="dxa"/>
          </w:tcPr>
          <w:p w14:paraId="3D27EC31" w14:textId="77777777" w:rsidR="00F2381C" w:rsidRPr="00614AF8" w:rsidRDefault="00F2381C" w:rsidP="00910F31">
            <w:pPr>
              <w:pStyle w:val="TableText0"/>
              <w:rPr>
                <w:rFonts w:cs="Segoe UI"/>
                <w:sz w:val="20"/>
                <w:szCs w:val="20"/>
                <w:lang w:val="en-GB"/>
              </w:rPr>
            </w:pPr>
            <w:r w:rsidRPr="00614AF8">
              <w:rPr>
                <w:sz w:val="20"/>
                <w:szCs w:val="20"/>
                <w:lang w:val="en-GB"/>
              </w:rPr>
              <w:t>Pembrolizumab + PDC (non-squamous) </w:t>
            </w:r>
          </w:p>
        </w:tc>
        <w:tc>
          <w:tcPr>
            <w:tcW w:w="1137" w:type="dxa"/>
          </w:tcPr>
          <w:p w14:paraId="3F9CECAB" w14:textId="77777777" w:rsidR="00F2381C" w:rsidRPr="00614AF8" w:rsidRDefault="00F2381C" w:rsidP="00910F31">
            <w:pPr>
              <w:pStyle w:val="TableText0"/>
              <w:ind w:right="-57"/>
              <w:rPr>
                <w:rFonts w:cs="Segoe UI"/>
                <w:sz w:val="20"/>
                <w:szCs w:val="20"/>
                <w:lang w:val="en-GB"/>
              </w:rPr>
            </w:pPr>
            <w:r>
              <w:rPr>
                <w:sz w:val="20"/>
                <w:szCs w:val="20"/>
                <w:lang w:val="en-GB"/>
              </w:rPr>
              <w:t xml:space="preserve">LYs: </w:t>
            </w:r>
            <w:r w:rsidRPr="00614AF8">
              <w:rPr>
                <w:rFonts w:cs="Segoe UI"/>
                <w:sz w:val="20"/>
                <w:szCs w:val="20"/>
                <w:lang w:val="en-GB"/>
              </w:rPr>
              <w:t>2.1</w:t>
            </w:r>
          </w:p>
          <w:p w14:paraId="02302B66" w14:textId="77777777" w:rsidR="00F2381C" w:rsidRPr="00614AF8" w:rsidRDefault="00F2381C" w:rsidP="00910F31">
            <w:pPr>
              <w:pStyle w:val="TableText0"/>
              <w:ind w:right="-57"/>
              <w:rPr>
                <w:rFonts w:cs="Segoe UI"/>
                <w:sz w:val="20"/>
                <w:szCs w:val="20"/>
                <w:lang w:val="en-GB"/>
              </w:rPr>
            </w:pPr>
            <w:r>
              <w:rPr>
                <w:sz w:val="20"/>
                <w:szCs w:val="20"/>
                <w:lang w:val="en-GB"/>
              </w:rPr>
              <w:t xml:space="preserve">QALYs: </w:t>
            </w:r>
            <w:r w:rsidRPr="00614AF8">
              <w:rPr>
                <w:rFonts w:cs="Segoe UI"/>
                <w:sz w:val="20"/>
                <w:szCs w:val="20"/>
                <w:lang w:val="en-GB"/>
              </w:rPr>
              <w:t>1.57</w:t>
            </w:r>
          </w:p>
        </w:tc>
        <w:tc>
          <w:tcPr>
            <w:tcW w:w="6237" w:type="dxa"/>
          </w:tcPr>
          <w:p w14:paraId="0CFDA247" w14:textId="77777777" w:rsidR="00F2381C" w:rsidRDefault="00F2381C" w:rsidP="00910F31">
            <w:pPr>
              <w:pStyle w:val="TableText0"/>
              <w:rPr>
                <w:sz w:val="20"/>
                <w:szCs w:val="20"/>
                <w:lang w:val="en-GB"/>
              </w:rPr>
            </w:pPr>
            <w:r w:rsidRPr="00614AF8">
              <w:rPr>
                <w:sz w:val="20"/>
                <w:szCs w:val="20"/>
                <w:lang w:val="en-GB"/>
              </w:rPr>
              <w:t xml:space="preserve">Pembrolizumab July 2019 PSD Table 15 </w:t>
            </w:r>
            <w:r>
              <w:rPr>
                <w:sz w:val="20"/>
                <w:szCs w:val="20"/>
                <w:lang w:val="en-GB"/>
              </w:rPr>
              <w:t xml:space="preserve">(PD-L1 &lt; 50%) </w:t>
            </w:r>
            <w:r w:rsidRPr="00614AF8">
              <w:rPr>
                <w:sz w:val="20"/>
                <w:szCs w:val="20"/>
                <w:lang w:val="en-GB"/>
              </w:rPr>
              <w:t>and Table 16</w:t>
            </w:r>
            <w:r>
              <w:rPr>
                <w:sz w:val="20"/>
                <w:szCs w:val="20"/>
                <w:lang w:val="en-GB"/>
              </w:rPr>
              <w:t xml:space="preserve"> (PD-L1 </w:t>
            </w:r>
            <w:r w:rsidRPr="00614AF8">
              <w:rPr>
                <w:sz w:val="20"/>
                <w:szCs w:val="20"/>
                <w:lang w:val="en-GB"/>
              </w:rPr>
              <w:t>≥ 50%</w:t>
            </w:r>
            <w:r>
              <w:rPr>
                <w:sz w:val="20"/>
                <w:szCs w:val="20"/>
                <w:lang w:val="en-GB"/>
              </w:rPr>
              <w:t xml:space="preserve">), </w:t>
            </w:r>
            <w:r w:rsidRPr="00614AF8">
              <w:rPr>
                <w:sz w:val="20"/>
                <w:szCs w:val="20"/>
                <w:lang w:val="en-GB"/>
              </w:rPr>
              <w:t>weighted by outcomes stratified by PD-L1 status reported in Pembrolizumab November 2018 PSD</w:t>
            </w:r>
            <w:r>
              <w:rPr>
                <w:sz w:val="20"/>
                <w:szCs w:val="20"/>
                <w:lang w:val="en-GB"/>
              </w:rPr>
              <w:t>,</w:t>
            </w:r>
            <w:r w:rsidRPr="00614AF8">
              <w:rPr>
                <w:sz w:val="20"/>
                <w:szCs w:val="20"/>
                <w:lang w:val="en-GB"/>
              </w:rPr>
              <w:t xml:space="preserve"> Table 14</w:t>
            </w:r>
            <w:r>
              <w:rPr>
                <w:sz w:val="20"/>
                <w:szCs w:val="20"/>
                <w:lang w:val="en-GB"/>
              </w:rPr>
              <w:t xml:space="preserve">. </w:t>
            </w:r>
          </w:p>
          <w:p w14:paraId="79473670" w14:textId="77777777" w:rsidR="00F2381C" w:rsidRPr="005E754A" w:rsidRDefault="00F2381C" w:rsidP="00910F31">
            <w:pPr>
              <w:pStyle w:val="TableText0"/>
              <w:rPr>
                <w:rFonts w:cs="Segoe UI"/>
                <w:i/>
                <w:sz w:val="20"/>
                <w:szCs w:val="20"/>
                <w:lang w:val="en-GB"/>
              </w:rPr>
            </w:pPr>
            <w:r w:rsidRPr="000A6E90">
              <w:rPr>
                <w:rFonts w:cs="Segoe UI"/>
                <w:sz w:val="20"/>
                <w:szCs w:val="20"/>
                <w:lang w:val="en-GB"/>
              </w:rPr>
              <w:t>As commented above, the appropriateness of the LYs and QALYs relating to pembrolizumab combination therapy in the PD-L1 ≥ 50% model has not been established. With regard to the PD-L1 &lt; 50% model, the PBAC considered that the updates to the economic model largely addressed its major concerns with the previous model. However, the PBAC agreed with the ESC concerning the validity and appropriateness of the utilities (i.e. the application of higher utilities associated with pembrolizumab + chemotherapy, compared with chemotherapy, for both the PFS and progressive disease health states), and considered the ICER was likely to be higher than the base case presented in the resubmission (Paragraph 7.10, Pembrolizumab PSD, July 2019 PBAC meeting).</w:t>
            </w:r>
          </w:p>
        </w:tc>
      </w:tr>
      <w:tr w:rsidR="00F2381C" w:rsidRPr="00614AF8" w14:paraId="1673C34A" w14:textId="77777777" w:rsidTr="00910F31">
        <w:trPr>
          <w:trHeight w:val="421"/>
        </w:trPr>
        <w:tc>
          <w:tcPr>
            <w:tcW w:w="1552" w:type="dxa"/>
          </w:tcPr>
          <w:p w14:paraId="7601D3F0" w14:textId="77777777" w:rsidR="00F2381C" w:rsidRPr="00614AF8" w:rsidRDefault="00F2381C" w:rsidP="00910F31">
            <w:pPr>
              <w:pStyle w:val="TableText0"/>
              <w:rPr>
                <w:rFonts w:cs="Segoe UI"/>
                <w:sz w:val="20"/>
                <w:szCs w:val="20"/>
                <w:lang w:val="en-GB"/>
              </w:rPr>
            </w:pPr>
            <w:r w:rsidRPr="00614AF8">
              <w:rPr>
                <w:sz w:val="20"/>
                <w:szCs w:val="20"/>
                <w:lang w:val="en-GB"/>
              </w:rPr>
              <w:t>Pembrolizumab + PDC (squamous)</w:t>
            </w:r>
          </w:p>
        </w:tc>
        <w:tc>
          <w:tcPr>
            <w:tcW w:w="1137" w:type="dxa"/>
          </w:tcPr>
          <w:p w14:paraId="3F2C92ED" w14:textId="77777777" w:rsidR="00F2381C" w:rsidRPr="00614AF8" w:rsidRDefault="00F2381C" w:rsidP="00910F31">
            <w:pPr>
              <w:pStyle w:val="TableText0"/>
              <w:ind w:right="-57"/>
              <w:rPr>
                <w:rFonts w:cs="Segoe UI"/>
                <w:sz w:val="20"/>
                <w:szCs w:val="20"/>
                <w:lang w:val="en-GB"/>
              </w:rPr>
            </w:pPr>
            <w:r>
              <w:rPr>
                <w:sz w:val="20"/>
                <w:szCs w:val="20"/>
                <w:lang w:val="en-GB"/>
              </w:rPr>
              <w:t xml:space="preserve">LYs: </w:t>
            </w:r>
            <w:r w:rsidRPr="00614AF8">
              <w:rPr>
                <w:rFonts w:cs="Segoe UI"/>
                <w:sz w:val="20"/>
                <w:szCs w:val="20"/>
                <w:lang w:val="en-GB"/>
              </w:rPr>
              <w:t>1.15</w:t>
            </w:r>
          </w:p>
          <w:p w14:paraId="2C0D67F0" w14:textId="77777777" w:rsidR="00F2381C" w:rsidRPr="00614AF8" w:rsidRDefault="00F2381C" w:rsidP="00910F31">
            <w:pPr>
              <w:pStyle w:val="TableText0"/>
              <w:ind w:right="-57"/>
              <w:rPr>
                <w:rFonts w:cs="Segoe UI"/>
                <w:sz w:val="20"/>
                <w:szCs w:val="20"/>
                <w:lang w:val="en-GB"/>
              </w:rPr>
            </w:pPr>
            <w:r>
              <w:rPr>
                <w:sz w:val="20"/>
                <w:szCs w:val="20"/>
                <w:lang w:val="en-GB"/>
              </w:rPr>
              <w:t xml:space="preserve">QALYs: </w:t>
            </w:r>
            <w:r w:rsidRPr="00614AF8">
              <w:rPr>
                <w:rFonts w:cs="Segoe UI"/>
                <w:sz w:val="20"/>
                <w:szCs w:val="20"/>
                <w:lang w:val="en-GB"/>
              </w:rPr>
              <w:t>0.84</w:t>
            </w:r>
          </w:p>
        </w:tc>
        <w:tc>
          <w:tcPr>
            <w:tcW w:w="6237" w:type="dxa"/>
          </w:tcPr>
          <w:p w14:paraId="195933DD" w14:textId="77777777" w:rsidR="00F2381C" w:rsidRDefault="00F2381C" w:rsidP="00910F31">
            <w:pPr>
              <w:pStyle w:val="TableText0"/>
              <w:rPr>
                <w:sz w:val="20"/>
                <w:szCs w:val="20"/>
                <w:lang w:val="en-GB"/>
              </w:rPr>
            </w:pPr>
            <w:r w:rsidRPr="00614AF8">
              <w:rPr>
                <w:sz w:val="20"/>
                <w:szCs w:val="20"/>
                <w:lang w:val="en-GB"/>
              </w:rPr>
              <w:t xml:space="preserve">Calculated as values of pembrolizumab + PDC (non-squamous) multiplied by ratio of squamous to non-squamous in UK submissions for nivolumab in </w:t>
            </w:r>
            <w:r>
              <w:rPr>
                <w:sz w:val="20"/>
                <w:szCs w:val="20"/>
                <w:lang w:val="en-GB"/>
              </w:rPr>
              <w:t>first-line</w:t>
            </w:r>
            <w:r w:rsidRPr="00614AF8">
              <w:rPr>
                <w:sz w:val="20"/>
                <w:szCs w:val="20"/>
                <w:lang w:val="en-GB"/>
              </w:rPr>
              <w:t xml:space="preserve"> metastatic NSCLC</w:t>
            </w:r>
            <w:r>
              <w:rPr>
                <w:sz w:val="20"/>
                <w:szCs w:val="20"/>
                <w:vertAlign w:val="superscript"/>
                <w:lang w:val="en-GB"/>
              </w:rPr>
              <w:t>a</w:t>
            </w:r>
          </w:p>
          <w:p w14:paraId="0E275851" w14:textId="77777777" w:rsidR="00F2381C" w:rsidRPr="002B3E58" w:rsidRDefault="00F2381C" w:rsidP="00910F31">
            <w:pPr>
              <w:pStyle w:val="TableText0"/>
              <w:rPr>
                <w:rFonts w:cs="Segoe UI"/>
                <w:i/>
                <w:sz w:val="20"/>
                <w:szCs w:val="20"/>
                <w:lang w:val="en-GB"/>
              </w:rPr>
            </w:pPr>
            <w:r w:rsidRPr="000A6E90">
              <w:rPr>
                <w:rFonts w:cs="Segoe UI"/>
                <w:sz w:val="20"/>
                <w:szCs w:val="20"/>
                <w:lang w:val="en-GB"/>
              </w:rPr>
              <w:t>These ratios could not be verified based on the references provided in the submission. More importantly, the LYs and QALYs for pembrolizumab combination therapy in the non-squamous NSCLC population, based on which the health outcome values in squamous NSCLC patients were calculated, were not adequately justified (see the above row).</w:t>
            </w:r>
          </w:p>
        </w:tc>
      </w:tr>
      <w:tr w:rsidR="00F2381C" w:rsidRPr="00614AF8" w14:paraId="08493546" w14:textId="77777777" w:rsidTr="00910F31">
        <w:trPr>
          <w:trHeight w:val="44"/>
        </w:trPr>
        <w:tc>
          <w:tcPr>
            <w:tcW w:w="1552" w:type="dxa"/>
          </w:tcPr>
          <w:p w14:paraId="7217B9A2" w14:textId="77777777" w:rsidR="00F2381C" w:rsidRPr="00614AF8" w:rsidRDefault="00F2381C" w:rsidP="00910F31">
            <w:pPr>
              <w:pStyle w:val="TableText0"/>
              <w:rPr>
                <w:sz w:val="20"/>
                <w:szCs w:val="20"/>
                <w:lang w:val="en-GB"/>
              </w:rPr>
            </w:pPr>
            <w:r w:rsidRPr="00614AF8">
              <w:rPr>
                <w:sz w:val="20"/>
                <w:szCs w:val="20"/>
                <w:lang w:val="en-GB"/>
              </w:rPr>
              <w:t>PDC </w:t>
            </w:r>
          </w:p>
        </w:tc>
        <w:tc>
          <w:tcPr>
            <w:tcW w:w="1137" w:type="dxa"/>
          </w:tcPr>
          <w:p w14:paraId="13396E32" w14:textId="77777777" w:rsidR="00F2381C" w:rsidRPr="00614AF8" w:rsidRDefault="00F2381C" w:rsidP="00910F31">
            <w:pPr>
              <w:pStyle w:val="TableText0"/>
              <w:ind w:right="-57"/>
              <w:rPr>
                <w:sz w:val="20"/>
                <w:szCs w:val="20"/>
                <w:lang w:val="en-GB"/>
              </w:rPr>
            </w:pPr>
            <w:r>
              <w:rPr>
                <w:sz w:val="20"/>
                <w:szCs w:val="20"/>
                <w:lang w:val="en-GB"/>
              </w:rPr>
              <w:t xml:space="preserve">LYs: </w:t>
            </w:r>
            <w:r w:rsidRPr="00614AF8">
              <w:rPr>
                <w:sz w:val="20"/>
                <w:szCs w:val="20"/>
                <w:lang w:val="en-GB"/>
              </w:rPr>
              <w:t>1.24</w:t>
            </w:r>
          </w:p>
          <w:p w14:paraId="1D452ED6" w14:textId="77777777" w:rsidR="00F2381C" w:rsidRPr="00614AF8" w:rsidRDefault="00F2381C" w:rsidP="00910F31">
            <w:pPr>
              <w:pStyle w:val="TableText0"/>
              <w:ind w:right="-57"/>
              <w:rPr>
                <w:sz w:val="20"/>
                <w:szCs w:val="20"/>
                <w:lang w:val="en-GB"/>
              </w:rPr>
            </w:pPr>
            <w:r>
              <w:rPr>
                <w:sz w:val="20"/>
                <w:szCs w:val="20"/>
                <w:lang w:val="en-GB"/>
              </w:rPr>
              <w:t xml:space="preserve">QALYs: </w:t>
            </w:r>
            <w:r w:rsidRPr="00614AF8">
              <w:rPr>
                <w:sz w:val="20"/>
                <w:szCs w:val="20"/>
                <w:lang w:val="en-GB"/>
              </w:rPr>
              <w:t>0.9</w:t>
            </w:r>
          </w:p>
        </w:tc>
        <w:tc>
          <w:tcPr>
            <w:tcW w:w="6237" w:type="dxa"/>
          </w:tcPr>
          <w:p w14:paraId="022283D7" w14:textId="77777777" w:rsidR="00F2381C" w:rsidRDefault="00F2381C" w:rsidP="00910F31">
            <w:pPr>
              <w:pStyle w:val="TableText0"/>
              <w:rPr>
                <w:sz w:val="20"/>
                <w:szCs w:val="20"/>
                <w:lang w:val="en-GB"/>
              </w:rPr>
            </w:pPr>
            <w:r w:rsidRPr="00614AF8">
              <w:rPr>
                <w:sz w:val="20"/>
                <w:szCs w:val="20"/>
                <w:lang w:val="en-GB"/>
              </w:rPr>
              <w:t>Pembrolizumab July 2019 PSD Table 15, PD-L1 &lt; 50%</w:t>
            </w:r>
          </w:p>
          <w:p w14:paraId="01287626" w14:textId="66033A74" w:rsidR="00F2381C" w:rsidRPr="002B3E58" w:rsidRDefault="00F2381C" w:rsidP="00910F31">
            <w:pPr>
              <w:pStyle w:val="TableText0"/>
              <w:rPr>
                <w:i/>
                <w:sz w:val="20"/>
                <w:szCs w:val="20"/>
                <w:lang w:val="en-GB"/>
              </w:rPr>
            </w:pPr>
            <w:r w:rsidRPr="000A6E90">
              <w:rPr>
                <w:sz w:val="20"/>
                <w:szCs w:val="20"/>
                <w:lang w:val="en-GB"/>
              </w:rPr>
              <w:t xml:space="preserve">LYs and QALYs were taken directly from the comparator arm of the economic model for pembrolizumab + chemotherapy versus chemotherapy in the PD-L1 &lt; 50%, non-squamous NSCLC population, not for unselected NSCLC patients. As squamous histology and PD-L1 positive expression are poor prognostic factors in advanced stage NSCLC, the LYs and QALYs gained following chemotherapy in metastatic </w:t>
            </w:r>
            <w:r w:rsidR="008716AF">
              <w:rPr>
                <w:sz w:val="20"/>
                <w:szCs w:val="20"/>
                <w:lang w:val="en-GB"/>
              </w:rPr>
              <w:t>disease</w:t>
            </w:r>
            <w:r w:rsidRPr="000A6E90">
              <w:rPr>
                <w:sz w:val="20"/>
                <w:szCs w:val="20"/>
                <w:lang w:val="en-GB"/>
              </w:rPr>
              <w:t xml:space="preserve"> are likely to be lower than the submission’s estimates.</w:t>
            </w:r>
          </w:p>
        </w:tc>
      </w:tr>
      <w:tr w:rsidR="00F2381C" w:rsidRPr="00614AF8" w14:paraId="355F4DF4" w14:textId="77777777" w:rsidTr="00910F31">
        <w:trPr>
          <w:trHeight w:val="50"/>
        </w:trPr>
        <w:tc>
          <w:tcPr>
            <w:tcW w:w="1552" w:type="dxa"/>
          </w:tcPr>
          <w:p w14:paraId="7B8D8201" w14:textId="77777777" w:rsidR="00F2381C" w:rsidRPr="00614AF8" w:rsidRDefault="00F2381C" w:rsidP="00910F31">
            <w:pPr>
              <w:pStyle w:val="TableText0"/>
              <w:rPr>
                <w:sz w:val="20"/>
                <w:szCs w:val="20"/>
                <w:lang w:val="en-GB"/>
              </w:rPr>
            </w:pPr>
            <w:r w:rsidRPr="00614AF8">
              <w:rPr>
                <w:sz w:val="20"/>
                <w:szCs w:val="20"/>
                <w:lang w:val="en-GB"/>
              </w:rPr>
              <w:t>BSC</w:t>
            </w:r>
          </w:p>
        </w:tc>
        <w:tc>
          <w:tcPr>
            <w:tcW w:w="1137" w:type="dxa"/>
          </w:tcPr>
          <w:p w14:paraId="7EC16DA8" w14:textId="77777777" w:rsidR="00F2381C" w:rsidRPr="00614AF8" w:rsidRDefault="00F2381C" w:rsidP="00910F31">
            <w:pPr>
              <w:pStyle w:val="TableText0"/>
              <w:ind w:right="-57"/>
              <w:rPr>
                <w:sz w:val="20"/>
                <w:szCs w:val="20"/>
                <w:lang w:val="en-GB"/>
              </w:rPr>
            </w:pPr>
            <w:r>
              <w:rPr>
                <w:sz w:val="20"/>
                <w:szCs w:val="20"/>
                <w:lang w:val="en-GB"/>
              </w:rPr>
              <w:t xml:space="preserve">LYs: </w:t>
            </w:r>
            <w:r w:rsidRPr="00614AF8">
              <w:rPr>
                <w:sz w:val="20"/>
                <w:szCs w:val="20"/>
                <w:lang w:val="en-GB"/>
              </w:rPr>
              <w:t>1.12</w:t>
            </w:r>
          </w:p>
          <w:p w14:paraId="5D98BDD7" w14:textId="77777777" w:rsidR="00F2381C" w:rsidRPr="00614AF8" w:rsidRDefault="00F2381C" w:rsidP="00910F31">
            <w:pPr>
              <w:pStyle w:val="TableText0"/>
              <w:ind w:right="-57"/>
              <w:rPr>
                <w:sz w:val="20"/>
                <w:szCs w:val="20"/>
                <w:lang w:val="en-GB"/>
              </w:rPr>
            </w:pPr>
            <w:r>
              <w:rPr>
                <w:sz w:val="20"/>
                <w:szCs w:val="20"/>
                <w:lang w:val="en-GB"/>
              </w:rPr>
              <w:t xml:space="preserve">QALYs: </w:t>
            </w:r>
            <w:r w:rsidRPr="00614AF8">
              <w:rPr>
                <w:sz w:val="20"/>
                <w:szCs w:val="20"/>
                <w:lang w:val="en-GB"/>
              </w:rPr>
              <w:t>0.81</w:t>
            </w:r>
          </w:p>
        </w:tc>
        <w:tc>
          <w:tcPr>
            <w:tcW w:w="6237" w:type="dxa"/>
          </w:tcPr>
          <w:p w14:paraId="47B7CC07" w14:textId="77777777" w:rsidR="00F2381C" w:rsidRPr="000A6E90" w:rsidRDefault="00F2381C" w:rsidP="00910F31">
            <w:pPr>
              <w:pStyle w:val="TableText0"/>
              <w:rPr>
                <w:lang w:val="en-GB"/>
              </w:rPr>
            </w:pPr>
            <w:r w:rsidRPr="00614AF8">
              <w:rPr>
                <w:sz w:val="20"/>
                <w:szCs w:val="20"/>
                <w:lang w:val="en-GB"/>
              </w:rPr>
              <w:t xml:space="preserve">BSC set to 90% of those for PDC, as per </w:t>
            </w:r>
            <w:r>
              <w:rPr>
                <w:sz w:val="20"/>
                <w:szCs w:val="20"/>
                <w:lang w:val="en-GB"/>
              </w:rPr>
              <w:t>clinical expert opinion</w:t>
            </w:r>
            <w:r w:rsidRPr="000A6E90">
              <w:rPr>
                <w:lang w:val="en-GB"/>
              </w:rPr>
              <w:t xml:space="preserve"> </w:t>
            </w:r>
          </w:p>
          <w:p w14:paraId="711B0A19" w14:textId="6E25F976" w:rsidR="00F2381C" w:rsidRPr="002B3E58" w:rsidRDefault="00F2381C" w:rsidP="00910F31">
            <w:pPr>
              <w:pStyle w:val="TableText0"/>
              <w:rPr>
                <w:sz w:val="20"/>
                <w:szCs w:val="20"/>
                <w:lang w:val="en-GB"/>
              </w:rPr>
            </w:pPr>
            <w:r w:rsidRPr="000A6E90">
              <w:rPr>
                <w:sz w:val="20"/>
                <w:szCs w:val="20"/>
                <w:lang w:val="en-GB"/>
              </w:rPr>
              <w:t xml:space="preserve">As commented previously, the estimated LYs and QALYs associated with chemotherapy are likely to have been overestimated in the submission. In addition, it is unknown whether the clinician estimate can reflect the comparative effectiveness between chemotherapy and BSC in metastatic </w:t>
            </w:r>
            <w:r w:rsidR="008716AF">
              <w:rPr>
                <w:sz w:val="20"/>
                <w:szCs w:val="20"/>
                <w:lang w:val="en-GB"/>
              </w:rPr>
              <w:t>disease</w:t>
            </w:r>
            <w:r w:rsidRPr="000A6E90">
              <w:rPr>
                <w:sz w:val="20"/>
                <w:szCs w:val="20"/>
                <w:lang w:val="en-GB"/>
              </w:rPr>
              <w:t>.</w:t>
            </w:r>
          </w:p>
        </w:tc>
      </w:tr>
    </w:tbl>
    <w:p w14:paraId="243E60A2" w14:textId="77777777" w:rsidR="00F2381C" w:rsidRDefault="00F2381C" w:rsidP="00F2381C">
      <w:pPr>
        <w:pStyle w:val="TableFooter"/>
        <w:rPr>
          <w:lang w:val="en-GB"/>
        </w:rPr>
      </w:pPr>
      <w:r>
        <w:rPr>
          <w:lang w:val="en-GB"/>
        </w:rPr>
        <w:t>Source: Table 99, p153 of the submission</w:t>
      </w:r>
    </w:p>
    <w:p w14:paraId="080DFC46" w14:textId="77777777" w:rsidR="00F2381C" w:rsidRPr="00A40A13" w:rsidRDefault="00F2381C" w:rsidP="00F2381C">
      <w:pPr>
        <w:pStyle w:val="TableFooter"/>
        <w:rPr>
          <w:lang w:val="en-GB"/>
        </w:rPr>
      </w:pPr>
      <w:r w:rsidRPr="00A40A13">
        <w:rPr>
          <w:lang w:val="en-GB"/>
        </w:rPr>
        <w:t xml:space="preserve">BSC = basic supportive care; DM = distant metastasis; </w:t>
      </w:r>
      <w:r>
        <w:rPr>
          <w:lang w:val="en-GB"/>
        </w:rPr>
        <w:t xml:space="preserve">ICER = incremental cost-effectiveness ratio; </w:t>
      </w:r>
      <w:r w:rsidRPr="00A40A13">
        <w:rPr>
          <w:lang w:val="en-GB"/>
        </w:rPr>
        <w:t xml:space="preserve">LY = life year; NSCLC = non-small cell lung cancer; PD-L1 = programmed death-ligand 1; PDC = platinum-doublet chemotherapy; </w:t>
      </w:r>
      <w:r>
        <w:rPr>
          <w:lang w:val="en-GB"/>
        </w:rPr>
        <w:t xml:space="preserve">PFS = progression-free survival; PSCR = Pre-Sub-Committee Response; </w:t>
      </w:r>
      <w:r w:rsidRPr="00A40A13">
        <w:rPr>
          <w:lang w:val="en-GB"/>
        </w:rPr>
        <w:t>PSD = Public Summary Document; QALY = quality-adjusted life year; UK = United Kingdom</w:t>
      </w:r>
    </w:p>
    <w:p w14:paraId="1B93BF9B" w14:textId="77777777" w:rsidR="00F2381C" w:rsidRDefault="00F2381C" w:rsidP="00F2381C">
      <w:pPr>
        <w:pStyle w:val="TableFooter"/>
        <w:rPr>
          <w:lang w:val="en-GB"/>
        </w:rPr>
      </w:pPr>
      <w:r>
        <w:rPr>
          <w:vertAlign w:val="superscript"/>
          <w:lang w:val="en-GB"/>
        </w:rPr>
        <w:t>a</w:t>
      </w:r>
      <w:r w:rsidRPr="00A40A13">
        <w:rPr>
          <w:lang w:val="en-GB"/>
        </w:rPr>
        <w:t>Outcomes for squamous patients extracted from Table 3 of 9LA unredacted Scottish Medicines Consortium detailed advice document; outcomes for non-squamous patients extracted from Table 12 of ID1566 nivolumab ERG comments on company response to Appraisal Consol</w:t>
      </w:r>
      <w:r>
        <w:rPr>
          <w:lang w:val="en-GB"/>
        </w:rPr>
        <w:t>id</w:t>
      </w:r>
      <w:r w:rsidRPr="00A40A13">
        <w:rPr>
          <w:lang w:val="en-GB"/>
        </w:rPr>
        <w:t>ation Document</w:t>
      </w:r>
    </w:p>
    <w:p w14:paraId="0E2A5D4D" w14:textId="1AA970CC" w:rsidR="00F2381C" w:rsidRDefault="00F2381C" w:rsidP="00F2381C">
      <w:pPr>
        <w:pStyle w:val="3-BodyText"/>
      </w:pPr>
      <w:r w:rsidRPr="00D56CB4">
        <w:t xml:space="preserve">The costs considered in the DM health state </w:t>
      </w:r>
      <w:r>
        <w:t>included</w:t>
      </w:r>
      <w:r w:rsidRPr="00D56CB4">
        <w:t xml:space="preserve"> costs </w:t>
      </w:r>
      <w:r>
        <w:t>of treatments for</w:t>
      </w:r>
      <w:r w:rsidRPr="00D56CB4">
        <w:t xml:space="preserve"> DM</w:t>
      </w:r>
      <w:r>
        <w:t xml:space="preserve"> (first-line and subsequent line)</w:t>
      </w:r>
      <w:r w:rsidRPr="00D56CB4">
        <w:t xml:space="preserve">, </w:t>
      </w:r>
      <w:r>
        <w:t xml:space="preserve">disease management </w:t>
      </w:r>
      <w:r w:rsidRPr="00D56CB4">
        <w:t xml:space="preserve">costs, and </w:t>
      </w:r>
      <w:r>
        <w:t>palliative</w:t>
      </w:r>
      <w:r w:rsidRPr="00D56CB4">
        <w:t xml:space="preserve"> care</w:t>
      </w:r>
      <w:r>
        <w:t xml:space="preserve"> costs</w:t>
      </w:r>
      <w:r w:rsidRPr="00D56CB4">
        <w:t xml:space="preserve">. </w:t>
      </w:r>
      <w:r>
        <w:t xml:space="preserve">The drug costs associated with pembrolizumab as first-line therapy in DM were derived from a cost-minimisation analysis (CMA) of nivolumab + ipilimumab + chemotherapy with pembrolizumab + chemotherapy for squamous NSCLC. </w:t>
      </w:r>
      <w:r w:rsidRPr="000A6E90">
        <w:t xml:space="preserve">The PBAC recommended the listing of nivolumab as first-line treatment of squamous NSCLC on a cost minimisation basis (Paragraph 7.1, Nivolumab + ipilimumab PSD, </w:t>
      </w:r>
      <w:r w:rsidR="002E0EA7" w:rsidRPr="000A6E90">
        <w:t>November</w:t>
      </w:r>
      <w:r w:rsidR="002E0EA7">
        <w:t> </w:t>
      </w:r>
      <w:r w:rsidRPr="000A6E90">
        <w:t xml:space="preserve">2020 PBAC meeting). </w:t>
      </w:r>
      <w:r w:rsidRPr="00D554E2">
        <w:t>The drug cost per patient per course for pembrolizumab, as part of pembrolizumab combination therapy, was calculated to be $</w:t>
      </w:r>
      <w:r w:rsidR="001172C3" w:rsidRPr="00A77D90">
        <w:rPr>
          <w:color w:val="000000"/>
          <w:w w:val="15"/>
          <w:shd w:val="solid" w:color="000000" w:fill="000000"/>
          <w:fitText w:val="-20" w:id="-1234435323"/>
          <w14:textFill>
            <w14:solidFill>
              <w14:srgbClr w14:val="000000">
                <w14:alpha w14:val="100000"/>
              </w14:srgbClr>
            </w14:solidFill>
          </w14:textFill>
        </w:rPr>
        <w:t xml:space="preserve">|  </w:t>
      </w:r>
      <w:r w:rsidR="001172C3" w:rsidRPr="00A77D90">
        <w:rPr>
          <w:color w:val="000000"/>
          <w:spacing w:val="-69"/>
          <w:w w:val="15"/>
          <w:shd w:val="solid" w:color="000000" w:fill="000000"/>
          <w:fitText w:val="-20" w:id="-1234435323"/>
          <w14:textFill>
            <w14:solidFill>
              <w14:srgbClr w14:val="000000">
                <w14:alpha w14:val="100000"/>
              </w14:srgbClr>
            </w14:solidFill>
          </w14:textFill>
        </w:rPr>
        <w:t>|</w:t>
      </w:r>
      <w:r w:rsidRPr="00D554E2">
        <w:t xml:space="preserve"> for squamous NSCLC, using the effective price for pembrolizumab when the nivolumab + ipilimumab submission was evaluated. This cost was used as the drug acquisition cost for pembrolizumab in the current economic model, </w:t>
      </w:r>
      <w:r>
        <w:t>when used in</w:t>
      </w:r>
      <w:r w:rsidRPr="00D554E2">
        <w:t xml:space="preserve"> combination with chemotherapy for squamous NSCLC and non-squamous NSCLC and as monotherapy for NSCLC of any histology type. </w:t>
      </w:r>
      <w:r w:rsidRPr="000A6E90">
        <w:t xml:space="preserve">The identical pembrolizumab treatment cost suggests that the treatment duration and, thus, the progression-free survival duration are comparable among pembrolizumab monotherapy for PD-L1 </w:t>
      </w:r>
      <w:r w:rsidR="002E0EA7" w:rsidRPr="000A6E90">
        <w:t>≥</w:t>
      </w:r>
      <w:r w:rsidR="002E0EA7">
        <w:t> </w:t>
      </w:r>
      <w:r w:rsidRPr="000A6E90">
        <w:t xml:space="preserve">50% NSCLC, pembrolizumab combination therapy for non-squamous NSCLC and pembrolizumab combination therapy for squamous NSCLC. </w:t>
      </w:r>
      <w:r w:rsidR="002A4CB1">
        <w:t>The evaluation considered that this</w:t>
      </w:r>
      <w:r w:rsidRPr="000A6E90">
        <w:t xml:space="preserve"> </w:t>
      </w:r>
      <w:r w:rsidR="002A4CB1">
        <w:t>was</w:t>
      </w:r>
      <w:r w:rsidRPr="000A6E90">
        <w:t xml:space="preserve"> not appropriate and </w:t>
      </w:r>
      <w:r w:rsidR="002A4CB1">
        <w:t>was</w:t>
      </w:r>
      <w:r w:rsidRPr="000A6E90">
        <w:t xml:space="preserve"> inconsistent with the dissimilar survival benefits applied to these treatments (LYs: 2.55 vs. 2.1 and 1.15).</w:t>
      </w:r>
      <w:r w:rsidR="00CC7AE8">
        <w:t xml:space="preserve"> </w:t>
      </w:r>
    </w:p>
    <w:p w14:paraId="0A4A0B19" w14:textId="7346E9A9" w:rsidR="00F2381C" w:rsidRPr="000A6E90" w:rsidRDefault="00F2381C" w:rsidP="00F2381C">
      <w:pPr>
        <w:pStyle w:val="3-BodyText"/>
      </w:pPr>
      <w:r w:rsidRPr="000A6E90">
        <w:t xml:space="preserve">The above concerns with the submission’s approach to determining health outcomes and costs associated with treatments in </w:t>
      </w:r>
      <w:r w:rsidR="008716AF">
        <w:t xml:space="preserve">the </w:t>
      </w:r>
      <w:r w:rsidRPr="000A6E90">
        <w:t>DM setting were further corroborated by the ICER for the treatment options. If the outcomes associated with pembrolizumab combination therapy (non-squamous) and pembrolizumab combination therapy (squamous) were weighted according to the NSCLC histology distribution assumed in the financial analysis (77.6%/22.4%), the QALYs gained from first-line pembrolizumab combination therapy would be 1.406, at a cost of $</w:t>
      </w:r>
      <w:r w:rsidR="001172C3" w:rsidRPr="00A77D90">
        <w:rPr>
          <w:color w:val="000000"/>
          <w:w w:val="15"/>
          <w:shd w:val="solid" w:color="000000" w:fill="000000"/>
          <w:fitText w:val="-20" w:id="-1234435322"/>
          <w14:textFill>
            <w14:solidFill>
              <w14:srgbClr w14:val="000000">
                <w14:alpha w14:val="100000"/>
              </w14:srgbClr>
            </w14:solidFill>
          </w14:textFill>
        </w:rPr>
        <w:t xml:space="preserve">|  </w:t>
      </w:r>
      <w:r w:rsidR="001172C3" w:rsidRPr="00A77D90">
        <w:rPr>
          <w:color w:val="000000"/>
          <w:spacing w:val="-69"/>
          <w:w w:val="15"/>
          <w:shd w:val="solid" w:color="000000" w:fill="000000"/>
          <w:fitText w:val="-20" w:id="-1234435322"/>
          <w14:textFill>
            <w14:solidFill>
              <w14:srgbClr w14:val="000000">
                <w14:alpha w14:val="100000"/>
              </w14:srgbClr>
            </w14:solidFill>
          </w14:textFill>
        </w:rPr>
        <w:t>|</w:t>
      </w:r>
      <w:r w:rsidRPr="000A6E90">
        <w:t>. The ICER of pembrolizumab combination therapy would be above $75,000/QALY gained versus chemotherapy alone and above $100,000/QALY gained versus no active treatment, unlikely to be cost-effective. Pembrolizumab monotherapy and chemotherapy would also not be cost-effective compared with best supportive care.</w:t>
      </w:r>
    </w:p>
    <w:p w14:paraId="5598736E" w14:textId="58ECC664" w:rsidR="00F2381C" w:rsidRDefault="00F2381C" w:rsidP="00F2381C">
      <w:pPr>
        <w:pStyle w:val="3-BodyText"/>
      </w:pPr>
      <w:bookmarkStart w:id="74" w:name="_Ref124417503"/>
      <w:r w:rsidRPr="00F830D1">
        <w:t xml:space="preserve">The </w:t>
      </w:r>
      <w:r>
        <w:t xml:space="preserve">health outcomes and costs for various NSCLC treatments in the DM setting were weighted according to the </w:t>
      </w:r>
      <w:r w:rsidRPr="00F830D1">
        <w:t xml:space="preserve">proportion of patients receiving </w:t>
      </w:r>
      <w:r>
        <w:t>each</w:t>
      </w:r>
      <w:r w:rsidRPr="00F830D1">
        <w:t xml:space="preserve"> </w:t>
      </w:r>
      <w:r>
        <w:t xml:space="preserve">treatment. The weighted costs and QALYs were </w:t>
      </w:r>
      <w:r w:rsidRPr="00D6508A">
        <w:t xml:space="preserve">applied </w:t>
      </w:r>
      <w:r>
        <w:t xml:space="preserve">as one-off values </w:t>
      </w:r>
      <w:r w:rsidRPr="00D6508A">
        <w:t>upon entry into the DM state</w:t>
      </w:r>
      <w:r w:rsidRPr="00F830D1">
        <w:t xml:space="preserve">. </w:t>
      </w:r>
      <w:r w:rsidRPr="000A6E90">
        <w:t xml:space="preserve">The basis on which the relative use of these therapies was determined was not specified in the submission. Essentially, the base case model assumed identical treatment distribution across pembrolizumab </w:t>
      </w:r>
      <w:r w:rsidRPr="000A6E90">
        <w:rPr>
          <w:rFonts w:cstheme="minorHAnsi"/>
        </w:rPr>
        <w:t>±</w:t>
      </w:r>
      <w:r w:rsidRPr="000A6E90">
        <w:t xml:space="preserve"> chemotherapy, chemotherapy alone and no active treatment between the model arms in the DM state.</w:t>
      </w:r>
      <w:r>
        <w:t xml:space="preserve"> </w:t>
      </w:r>
      <w:r w:rsidRPr="007376CA">
        <w:t xml:space="preserve">The </w:t>
      </w:r>
      <w:r>
        <w:t>economic model assumed</w:t>
      </w:r>
      <w:r w:rsidRPr="007376CA">
        <w:t xml:space="preserve"> that the vast majority (70.4%) of the patients would receive immunotherapy (</w:t>
      </w:r>
      <w:r w:rsidRPr="000A6E90">
        <w:t>i.e.</w:t>
      </w:r>
      <w:r w:rsidRPr="007376CA">
        <w:t xml:space="preserve"> pembrolizumab ± chemotherapy) for treatment of metastatic NSCLC following neoNIVO+neoChemo</w:t>
      </w:r>
      <w:r>
        <w:t>.</w:t>
      </w:r>
      <w:r w:rsidRPr="007376CA">
        <w:t xml:space="preserve"> </w:t>
      </w:r>
      <w:bookmarkEnd w:id="74"/>
    </w:p>
    <w:p w14:paraId="54912963" w14:textId="20356CBE" w:rsidR="00F2381C" w:rsidRPr="00D56CB4" w:rsidRDefault="00F2381C" w:rsidP="00F2381C">
      <w:pPr>
        <w:pStyle w:val="Caption"/>
      </w:pPr>
      <w:bookmarkStart w:id="75" w:name="_Ref124355072"/>
      <w:r>
        <w:t xml:space="preserve">Table </w:t>
      </w:r>
      <w:r w:rsidR="00A77D90">
        <w:fldChar w:fldCharType="begin"/>
      </w:r>
      <w:r w:rsidR="00A77D90">
        <w:instrText xml:space="preserve"> SEQ Table \* ARABIC </w:instrText>
      </w:r>
      <w:r w:rsidR="00A77D90">
        <w:fldChar w:fldCharType="separate"/>
      </w:r>
      <w:r w:rsidR="00A77D90">
        <w:rPr>
          <w:noProof/>
        </w:rPr>
        <w:t>19</w:t>
      </w:r>
      <w:r w:rsidR="00A77D90">
        <w:rPr>
          <w:noProof/>
        </w:rPr>
        <w:fldChar w:fldCharType="end"/>
      </w:r>
      <w:bookmarkEnd w:id="75"/>
      <w:r w:rsidRPr="00D56CB4">
        <w:t xml:space="preserve">: </w:t>
      </w:r>
      <w:r>
        <w:t>The relative use of NSCLC therapies in the DM setting and the weighted c</w:t>
      </w:r>
      <w:r w:rsidRPr="00D56CB4">
        <w:t xml:space="preserve">osts </w:t>
      </w:r>
      <w:r>
        <w:t xml:space="preserve">and outcomes </w:t>
      </w:r>
    </w:p>
    <w:tbl>
      <w:tblPr>
        <w:tblStyle w:val="TableGrid1"/>
        <w:tblW w:w="5000" w:type="pct"/>
        <w:shd w:val="clear" w:color="auto" w:fill="FFFFFF" w:themeFill="background1"/>
        <w:tblLayout w:type="fixed"/>
        <w:tblLook w:val="0620" w:firstRow="1" w:lastRow="0" w:firstColumn="0" w:lastColumn="0" w:noHBand="1" w:noVBand="1"/>
      </w:tblPr>
      <w:tblGrid>
        <w:gridCol w:w="1598"/>
        <w:gridCol w:w="1365"/>
        <w:gridCol w:w="1347"/>
        <w:gridCol w:w="1369"/>
        <w:gridCol w:w="1107"/>
        <w:gridCol w:w="1116"/>
        <w:gridCol w:w="1115"/>
      </w:tblGrid>
      <w:tr w:rsidR="00F2381C" w:rsidRPr="00BB3CCA" w14:paraId="60D6A762" w14:textId="77777777" w:rsidTr="00910F31">
        <w:trPr>
          <w:trHeight w:val="426"/>
        </w:trPr>
        <w:tc>
          <w:tcPr>
            <w:tcW w:w="886" w:type="pct"/>
            <w:shd w:val="clear" w:color="auto" w:fill="FFFFFF" w:themeFill="background1"/>
            <w:noWrap/>
            <w:hideMark/>
          </w:tcPr>
          <w:p w14:paraId="5FEDA06B" w14:textId="77777777" w:rsidR="00F2381C" w:rsidRPr="00BB3CCA" w:rsidRDefault="00F2381C" w:rsidP="00910F31">
            <w:pPr>
              <w:pStyle w:val="TableText0"/>
              <w:ind w:right="-57"/>
              <w:rPr>
                <w:b/>
                <w:bCs w:val="0"/>
                <w:sz w:val="20"/>
                <w:szCs w:val="20"/>
                <w:lang w:val="en-GB"/>
              </w:rPr>
            </w:pPr>
          </w:p>
        </w:tc>
        <w:tc>
          <w:tcPr>
            <w:tcW w:w="757" w:type="pct"/>
            <w:shd w:val="clear" w:color="auto" w:fill="FFFFFF" w:themeFill="background1"/>
          </w:tcPr>
          <w:p w14:paraId="3A300077" w14:textId="77777777" w:rsidR="00F2381C" w:rsidRPr="00BB3CCA" w:rsidRDefault="00F2381C" w:rsidP="00910F31">
            <w:pPr>
              <w:pStyle w:val="TableText0"/>
              <w:ind w:left="-57" w:right="-57"/>
              <w:rPr>
                <w:b/>
                <w:bCs w:val="0"/>
                <w:sz w:val="20"/>
                <w:szCs w:val="20"/>
                <w:lang w:val="en-GB"/>
              </w:rPr>
            </w:pPr>
            <w:r w:rsidRPr="00BB3CCA">
              <w:rPr>
                <w:b/>
                <w:sz w:val="20"/>
                <w:szCs w:val="20"/>
                <w:lang w:val="en-GB"/>
              </w:rPr>
              <w:t>Pembrolizumab</w:t>
            </w:r>
          </w:p>
        </w:tc>
        <w:tc>
          <w:tcPr>
            <w:tcW w:w="747" w:type="pct"/>
            <w:shd w:val="clear" w:color="auto" w:fill="FFFFFF" w:themeFill="background1"/>
            <w:noWrap/>
          </w:tcPr>
          <w:p w14:paraId="5E8E95AB" w14:textId="77777777" w:rsidR="00F2381C" w:rsidRPr="00BB3CCA" w:rsidRDefault="00F2381C" w:rsidP="00910F31">
            <w:pPr>
              <w:pStyle w:val="TableText0"/>
              <w:ind w:left="-57" w:right="-57"/>
              <w:rPr>
                <w:b/>
                <w:bCs w:val="0"/>
                <w:sz w:val="20"/>
                <w:szCs w:val="20"/>
                <w:lang w:val="en-GB"/>
              </w:rPr>
            </w:pPr>
            <w:r w:rsidRPr="00BB3CCA">
              <w:rPr>
                <w:b/>
                <w:sz w:val="20"/>
                <w:szCs w:val="20"/>
                <w:lang w:val="en-GB"/>
              </w:rPr>
              <w:t>Pembrolizumab + PDC (squamous)</w:t>
            </w:r>
          </w:p>
        </w:tc>
        <w:tc>
          <w:tcPr>
            <w:tcW w:w="759" w:type="pct"/>
            <w:shd w:val="clear" w:color="auto" w:fill="FFFFFF" w:themeFill="background1"/>
            <w:noWrap/>
          </w:tcPr>
          <w:p w14:paraId="1F10A30E" w14:textId="77777777" w:rsidR="00F2381C" w:rsidRPr="00BB3CCA" w:rsidRDefault="00F2381C" w:rsidP="00910F31">
            <w:pPr>
              <w:pStyle w:val="TableText0"/>
              <w:ind w:left="-57" w:right="-57"/>
              <w:rPr>
                <w:b/>
                <w:bCs w:val="0"/>
                <w:sz w:val="20"/>
                <w:szCs w:val="20"/>
                <w:lang w:val="en-GB"/>
              </w:rPr>
            </w:pPr>
            <w:r w:rsidRPr="00BB3CCA">
              <w:rPr>
                <w:b/>
                <w:sz w:val="20"/>
                <w:szCs w:val="20"/>
                <w:lang w:val="en-GB"/>
              </w:rPr>
              <w:t>Pembrolizumab + PDC (non-squamous)</w:t>
            </w:r>
          </w:p>
        </w:tc>
        <w:tc>
          <w:tcPr>
            <w:tcW w:w="614" w:type="pct"/>
            <w:shd w:val="clear" w:color="auto" w:fill="FFFFFF" w:themeFill="background1"/>
            <w:noWrap/>
          </w:tcPr>
          <w:p w14:paraId="5C4C1312" w14:textId="77777777" w:rsidR="00F2381C" w:rsidRPr="00BB3CCA" w:rsidRDefault="00F2381C" w:rsidP="00910F31">
            <w:pPr>
              <w:pStyle w:val="TableText0"/>
              <w:ind w:right="-57"/>
              <w:rPr>
                <w:b/>
                <w:bCs w:val="0"/>
                <w:sz w:val="20"/>
                <w:szCs w:val="20"/>
                <w:lang w:val="en-GB"/>
              </w:rPr>
            </w:pPr>
            <w:r w:rsidRPr="00BB3CCA">
              <w:rPr>
                <w:b/>
                <w:sz w:val="20"/>
                <w:szCs w:val="20"/>
                <w:lang w:val="en-GB"/>
              </w:rPr>
              <w:t>PDC</w:t>
            </w:r>
          </w:p>
        </w:tc>
        <w:tc>
          <w:tcPr>
            <w:tcW w:w="619" w:type="pct"/>
            <w:shd w:val="clear" w:color="auto" w:fill="FFFFFF" w:themeFill="background1"/>
            <w:noWrap/>
          </w:tcPr>
          <w:p w14:paraId="6D848236" w14:textId="77777777" w:rsidR="00F2381C" w:rsidRPr="00BB3CCA" w:rsidRDefault="00F2381C" w:rsidP="00910F31">
            <w:pPr>
              <w:pStyle w:val="TableText0"/>
              <w:ind w:right="-57"/>
              <w:rPr>
                <w:b/>
                <w:bCs w:val="0"/>
                <w:sz w:val="20"/>
                <w:szCs w:val="20"/>
                <w:lang w:val="en-GB"/>
              </w:rPr>
            </w:pPr>
            <w:r w:rsidRPr="00BB3CCA">
              <w:rPr>
                <w:b/>
                <w:sz w:val="20"/>
                <w:szCs w:val="20"/>
                <w:lang w:val="en-GB"/>
              </w:rPr>
              <w:t>BSC</w:t>
            </w:r>
          </w:p>
        </w:tc>
        <w:tc>
          <w:tcPr>
            <w:tcW w:w="618" w:type="pct"/>
            <w:shd w:val="clear" w:color="auto" w:fill="FFFFFF" w:themeFill="background1"/>
          </w:tcPr>
          <w:p w14:paraId="0F84484F" w14:textId="77777777" w:rsidR="00F2381C" w:rsidRPr="00BB3CCA" w:rsidRDefault="00F2381C" w:rsidP="00910F31">
            <w:pPr>
              <w:pStyle w:val="TableText0"/>
              <w:ind w:right="-57"/>
              <w:rPr>
                <w:b/>
                <w:szCs w:val="20"/>
                <w:lang w:val="en-GB"/>
              </w:rPr>
            </w:pPr>
            <w:r>
              <w:rPr>
                <w:b/>
                <w:szCs w:val="20"/>
                <w:lang w:val="en-GB"/>
              </w:rPr>
              <w:t>Weighted</w:t>
            </w:r>
          </w:p>
        </w:tc>
      </w:tr>
      <w:tr w:rsidR="00F2381C" w:rsidRPr="00BB3CCA" w14:paraId="085A3B7E" w14:textId="77777777" w:rsidTr="00910F31">
        <w:trPr>
          <w:trHeight w:val="212"/>
        </w:trPr>
        <w:tc>
          <w:tcPr>
            <w:tcW w:w="886" w:type="pct"/>
            <w:shd w:val="clear" w:color="auto" w:fill="FFFFFF" w:themeFill="background1"/>
            <w:noWrap/>
          </w:tcPr>
          <w:p w14:paraId="25E04CA5" w14:textId="77777777" w:rsidR="00F2381C" w:rsidRPr="00BB3CCA" w:rsidRDefault="00F2381C" w:rsidP="00910F31">
            <w:pPr>
              <w:pStyle w:val="TableText0"/>
              <w:rPr>
                <w:sz w:val="20"/>
                <w:szCs w:val="20"/>
                <w:lang w:val="en-GB"/>
              </w:rPr>
            </w:pPr>
            <w:r w:rsidRPr="00BB3CCA">
              <w:rPr>
                <w:sz w:val="20"/>
                <w:szCs w:val="20"/>
                <w:lang w:val="en-GB"/>
              </w:rPr>
              <w:t>Distribution</w:t>
            </w:r>
          </w:p>
        </w:tc>
        <w:tc>
          <w:tcPr>
            <w:tcW w:w="757" w:type="pct"/>
            <w:shd w:val="clear" w:color="auto" w:fill="FFFFFF" w:themeFill="background1"/>
          </w:tcPr>
          <w:p w14:paraId="28E91AF4" w14:textId="77777777" w:rsidR="00F2381C" w:rsidRPr="00F830D1" w:rsidRDefault="00F2381C" w:rsidP="00910F31">
            <w:pPr>
              <w:pStyle w:val="TableText0"/>
              <w:rPr>
                <w:rFonts w:eastAsia="Calibri Light"/>
                <w:sz w:val="20"/>
                <w:szCs w:val="20"/>
                <w:lang w:val="en-GB"/>
              </w:rPr>
            </w:pPr>
            <w:r w:rsidRPr="00F830D1">
              <w:rPr>
                <w:rFonts w:eastAsia="Calibri Light"/>
                <w:sz w:val="20"/>
                <w:szCs w:val="20"/>
                <w:lang w:val="en-GB"/>
              </w:rPr>
              <w:t>28.32%</w:t>
            </w:r>
          </w:p>
        </w:tc>
        <w:tc>
          <w:tcPr>
            <w:tcW w:w="747" w:type="pct"/>
            <w:shd w:val="clear" w:color="auto" w:fill="FFFFFF" w:themeFill="background1"/>
            <w:noWrap/>
          </w:tcPr>
          <w:p w14:paraId="11BBC149" w14:textId="77777777" w:rsidR="00F2381C" w:rsidRPr="00F830D1" w:rsidRDefault="00F2381C" w:rsidP="00910F31">
            <w:pPr>
              <w:pStyle w:val="TableText0"/>
              <w:rPr>
                <w:rFonts w:eastAsia="Calibri Light"/>
                <w:sz w:val="20"/>
                <w:szCs w:val="20"/>
                <w:lang w:val="en-GB"/>
              </w:rPr>
            </w:pPr>
            <w:r w:rsidRPr="00F830D1">
              <w:rPr>
                <w:rFonts w:eastAsia="Calibri Light"/>
                <w:sz w:val="20"/>
                <w:szCs w:val="20"/>
                <w:lang w:val="en-GB"/>
              </w:rPr>
              <w:t>9.42%</w:t>
            </w:r>
          </w:p>
        </w:tc>
        <w:tc>
          <w:tcPr>
            <w:tcW w:w="759" w:type="pct"/>
            <w:shd w:val="clear" w:color="auto" w:fill="FFFFFF" w:themeFill="background1"/>
            <w:noWrap/>
          </w:tcPr>
          <w:p w14:paraId="6AF2BB4C" w14:textId="77777777" w:rsidR="00F2381C" w:rsidRPr="00F830D1" w:rsidRDefault="00F2381C" w:rsidP="00910F31">
            <w:pPr>
              <w:pStyle w:val="TableText0"/>
              <w:rPr>
                <w:rFonts w:eastAsia="Calibri Light"/>
                <w:sz w:val="20"/>
                <w:szCs w:val="20"/>
                <w:lang w:val="en-GB"/>
              </w:rPr>
            </w:pPr>
            <w:r w:rsidRPr="00F830D1">
              <w:rPr>
                <w:rFonts w:eastAsia="Calibri Light"/>
                <w:sz w:val="20"/>
                <w:szCs w:val="20"/>
                <w:lang w:val="en-GB"/>
              </w:rPr>
              <w:t>32.62%</w:t>
            </w:r>
          </w:p>
        </w:tc>
        <w:tc>
          <w:tcPr>
            <w:tcW w:w="614" w:type="pct"/>
            <w:shd w:val="clear" w:color="auto" w:fill="FFFFFF" w:themeFill="background1"/>
            <w:noWrap/>
          </w:tcPr>
          <w:p w14:paraId="7D085222" w14:textId="77777777" w:rsidR="00F2381C" w:rsidRPr="00F830D1" w:rsidRDefault="00F2381C" w:rsidP="00910F31">
            <w:pPr>
              <w:pStyle w:val="TableText0"/>
              <w:rPr>
                <w:rFonts w:eastAsia="Calibri Light"/>
                <w:sz w:val="20"/>
                <w:szCs w:val="20"/>
                <w:lang w:val="en-GB"/>
              </w:rPr>
            </w:pPr>
            <w:r w:rsidRPr="00F830D1">
              <w:rPr>
                <w:rFonts w:eastAsia="Calibri Light"/>
                <w:sz w:val="20"/>
                <w:szCs w:val="20"/>
                <w:lang w:val="en-GB"/>
              </w:rPr>
              <w:t>14.64%</w:t>
            </w:r>
          </w:p>
        </w:tc>
        <w:tc>
          <w:tcPr>
            <w:tcW w:w="619" w:type="pct"/>
            <w:shd w:val="clear" w:color="auto" w:fill="FFFFFF" w:themeFill="background1"/>
            <w:noWrap/>
          </w:tcPr>
          <w:p w14:paraId="4343E88C" w14:textId="77777777" w:rsidR="00F2381C" w:rsidRPr="00F830D1" w:rsidRDefault="00F2381C" w:rsidP="00910F31">
            <w:pPr>
              <w:pStyle w:val="TableText0"/>
              <w:rPr>
                <w:rFonts w:eastAsia="Calibri Light"/>
                <w:sz w:val="20"/>
                <w:szCs w:val="20"/>
                <w:lang w:val="en-GB"/>
              </w:rPr>
            </w:pPr>
            <w:r w:rsidRPr="00F830D1">
              <w:rPr>
                <w:rFonts w:eastAsia="Calibri Light"/>
                <w:sz w:val="20"/>
                <w:szCs w:val="20"/>
                <w:lang w:val="en-GB"/>
              </w:rPr>
              <w:t>15%</w:t>
            </w:r>
          </w:p>
        </w:tc>
        <w:tc>
          <w:tcPr>
            <w:tcW w:w="618" w:type="pct"/>
            <w:shd w:val="clear" w:color="auto" w:fill="FFFFFF" w:themeFill="background1"/>
          </w:tcPr>
          <w:p w14:paraId="1F3D28FD" w14:textId="77777777" w:rsidR="00F2381C" w:rsidRPr="00F830D1" w:rsidRDefault="00F2381C" w:rsidP="00910F31">
            <w:pPr>
              <w:pStyle w:val="TableText0"/>
              <w:rPr>
                <w:rFonts w:eastAsia="Calibri Light"/>
                <w:sz w:val="20"/>
                <w:szCs w:val="20"/>
                <w:lang w:val="en-GB"/>
              </w:rPr>
            </w:pPr>
            <w:r>
              <w:rPr>
                <w:rFonts w:eastAsia="Calibri Light"/>
                <w:sz w:val="20"/>
                <w:szCs w:val="20"/>
                <w:lang w:val="en-GB"/>
              </w:rPr>
              <w:t>–</w:t>
            </w:r>
          </w:p>
        </w:tc>
      </w:tr>
      <w:tr w:rsidR="00F2381C" w:rsidRPr="00BB3CCA" w14:paraId="4FE78537" w14:textId="77777777" w:rsidTr="00910F31">
        <w:trPr>
          <w:trHeight w:val="212"/>
        </w:trPr>
        <w:tc>
          <w:tcPr>
            <w:tcW w:w="886" w:type="pct"/>
            <w:shd w:val="clear" w:color="auto" w:fill="FFFFFF" w:themeFill="background1"/>
            <w:noWrap/>
          </w:tcPr>
          <w:p w14:paraId="08A9127D" w14:textId="77777777" w:rsidR="00F2381C" w:rsidRPr="00BB3CCA" w:rsidRDefault="00F2381C" w:rsidP="00910F31">
            <w:pPr>
              <w:pStyle w:val="TableText0"/>
              <w:rPr>
                <w:sz w:val="20"/>
                <w:szCs w:val="20"/>
                <w:lang w:val="en-GB"/>
              </w:rPr>
            </w:pPr>
            <w:r w:rsidRPr="00BB3CCA">
              <w:rPr>
                <w:sz w:val="20"/>
                <w:szCs w:val="20"/>
                <w:lang w:val="en-GB"/>
              </w:rPr>
              <w:t>Total cost</w:t>
            </w:r>
          </w:p>
        </w:tc>
        <w:tc>
          <w:tcPr>
            <w:tcW w:w="757" w:type="pct"/>
            <w:shd w:val="clear" w:color="auto" w:fill="FFFFFF" w:themeFill="background1"/>
          </w:tcPr>
          <w:p w14:paraId="59370459" w14:textId="24FCF096" w:rsidR="00F2381C" w:rsidRPr="00F830D1" w:rsidRDefault="00F2381C" w:rsidP="00910F31">
            <w:pPr>
              <w:pStyle w:val="TableText0"/>
              <w:rPr>
                <w:rFonts w:eastAsia="Calibri Light"/>
                <w:sz w:val="20"/>
                <w:szCs w:val="20"/>
                <w:lang w:val="en-GB"/>
              </w:rPr>
            </w:pPr>
            <w:r w:rsidRPr="00F830D1">
              <w:rPr>
                <w:rFonts w:eastAsia="Calibri Light"/>
                <w:sz w:val="20"/>
                <w:szCs w:val="20"/>
                <w:lang w:val="en-GB"/>
              </w:rPr>
              <w:t>$</w:t>
            </w:r>
            <w:r w:rsidR="001172C3" w:rsidRPr="001172C3">
              <w:rPr>
                <w:rFonts w:eastAsia="Calibri Light"/>
                <w:color w:val="000000"/>
                <w:spacing w:val="36"/>
                <w:sz w:val="20"/>
                <w:szCs w:val="20"/>
                <w:shd w:val="solid" w:color="000000" w:fill="000000"/>
                <w:fitText w:val="438" w:id="-1234435321"/>
                <w:lang w:val="en-GB"/>
                <w14:textFill>
                  <w14:solidFill>
                    <w14:srgbClr w14:val="000000">
                      <w14:alpha w14:val="100000"/>
                    </w14:srgbClr>
                  </w14:solidFill>
                </w14:textFill>
              </w:rPr>
              <w:t>|||||</w:t>
            </w:r>
            <w:r w:rsidR="001172C3" w:rsidRPr="001172C3">
              <w:rPr>
                <w:rFonts w:eastAsia="Calibri Light"/>
                <w:color w:val="000000"/>
                <w:spacing w:val="3"/>
                <w:sz w:val="20"/>
                <w:szCs w:val="20"/>
                <w:shd w:val="solid" w:color="000000" w:fill="000000"/>
                <w:fitText w:val="438" w:id="-1234435321"/>
                <w:lang w:val="en-GB"/>
                <w14:textFill>
                  <w14:solidFill>
                    <w14:srgbClr w14:val="000000">
                      <w14:alpha w14:val="100000"/>
                    </w14:srgbClr>
                  </w14:solidFill>
                </w14:textFill>
              </w:rPr>
              <w:t>|</w:t>
            </w:r>
          </w:p>
        </w:tc>
        <w:tc>
          <w:tcPr>
            <w:tcW w:w="747" w:type="pct"/>
            <w:shd w:val="clear" w:color="auto" w:fill="FFFFFF" w:themeFill="background1"/>
            <w:noWrap/>
          </w:tcPr>
          <w:p w14:paraId="2EAEBA5A" w14:textId="372DAA09" w:rsidR="00F2381C" w:rsidRPr="00F830D1" w:rsidRDefault="00F2381C" w:rsidP="00910F31">
            <w:pPr>
              <w:pStyle w:val="TableText0"/>
              <w:rPr>
                <w:rFonts w:eastAsia="Calibri Light"/>
                <w:sz w:val="20"/>
                <w:szCs w:val="20"/>
                <w:lang w:val="en-GB"/>
              </w:rPr>
            </w:pPr>
            <w:r w:rsidRPr="00F830D1">
              <w:rPr>
                <w:rFonts w:eastAsia="Calibri Light"/>
                <w:sz w:val="20"/>
                <w:szCs w:val="20"/>
                <w:lang w:val="en-GB"/>
              </w:rPr>
              <w:t>$</w:t>
            </w:r>
            <w:r w:rsidR="001172C3" w:rsidRPr="001172C3">
              <w:rPr>
                <w:rFonts w:eastAsia="Calibri Light"/>
                <w:color w:val="000000"/>
                <w:spacing w:val="36"/>
                <w:sz w:val="20"/>
                <w:szCs w:val="20"/>
                <w:shd w:val="solid" w:color="000000" w:fill="000000"/>
                <w:fitText w:val="437" w:id="-1234435320"/>
                <w:lang w:val="en-GB"/>
                <w14:textFill>
                  <w14:solidFill>
                    <w14:srgbClr w14:val="000000">
                      <w14:alpha w14:val="100000"/>
                    </w14:srgbClr>
                  </w14:solidFill>
                </w14:textFill>
              </w:rPr>
              <w:t>|||||</w:t>
            </w:r>
            <w:r w:rsidR="001172C3" w:rsidRPr="001172C3">
              <w:rPr>
                <w:rFonts w:eastAsia="Calibri Light"/>
                <w:color w:val="000000"/>
                <w:spacing w:val="2"/>
                <w:sz w:val="20"/>
                <w:szCs w:val="20"/>
                <w:shd w:val="solid" w:color="000000" w:fill="000000"/>
                <w:fitText w:val="437" w:id="-1234435320"/>
                <w:lang w:val="en-GB"/>
                <w14:textFill>
                  <w14:solidFill>
                    <w14:srgbClr w14:val="000000">
                      <w14:alpha w14:val="100000"/>
                    </w14:srgbClr>
                  </w14:solidFill>
                </w14:textFill>
              </w:rPr>
              <w:t>|</w:t>
            </w:r>
          </w:p>
        </w:tc>
        <w:tc>
          <w:tcPr>
            <w:tcW w:w="759" w:type="pct"/>
            <w:shd w:val="clear" w:color="auto" w:fill="FFFFFF" w:themeFill="background1"/>
            <w:noWrap/>
          </w:tcPr>
          <w:p w14:paraId="002FD761" w14:textId="008FB075" w:rsidR="00F2381C" w:rsidRPr="00F830D1" w:rsidRDefault="00F2381C" w:rsidP="00910F31">
            <w:pPr>
              <w:pStyle w:val="TableText0"/>
              <w:rPr>
                <w:rFonts w:eastAsia="Calibri Light"/>
                <w:sz w:val="20"/>
                <w:szCs w:val="20"/>
                <w:lang w:val="en-GB"/>
              </w:rPr>
            </w:pPr>
            <w:r w:rsidRPr="00C733FB">
              <w:rPr>
                <w:rFonts w:eastAsia="Calibri Light"/>
                <w:sz w:val="20"/>
                <w:szCs w:val="20"/>
                <w:lang w:val="en-GB"/>
              </w:rPr>
              <w:t>$</w:t>
            </w:r>
            <w:r w:rsidR="001172C3" w:rsidRPr="001172C3">
              <w:rPr>
                <w:rFonts w:eastAsia="Calibri Light"/>
                <w:color w:val="000000"/>
                <w:spacing w:val="36"/>
                <w:sz w:val="20"/>
                <w:szCs w:val="20"/>
                <w:shd w:val="solid" w:color="000000" w:fill="000000"/>
                <w:fitText w:val="437" w:id="-1234435319"/>
                <w:lang w:val="en-GB"/>
                <w14:textFill>
                  <w14:solidFill>
                    <w14:srgbClr w14:val="000000">
                      <w14:alpha w14:val="100000"/>
                    </w14:srgbClr>
                  </w14:solidFill>
                </w14:textFill>
              </w:rPr>
              <w:t>|||||</w:t>
            </w:r>
            <w:r w:rsidR="001172C3" w:rsidRPr="001172C3">
              <w:rPr>
                <w:rFonts w:eastAsia="Calibri Light"/>
                <w:color w:val="000000"/>
                <w:spacing w:val="2"/>
                <w:sz w:val="20"/>
                <w:szCs w:val="20"/>
                <w:shd w:val="solid" w:color="000000" w:fill="000000"/>
                <w:fitText w:val="437" w:id="-1234435319"/>
                <w:lang w:val="en-GB"/>
                <w14:textFill>
                  <w14:solidFill>
                    <w14:srgbClr w14:val="000000">
                      <w14:alpha w14:val="100000"/>
                    </w14:srgbClr>
                  </w14:solidFill>
                </w14:textFill>
              </w:rPr>
              <w:t>|</w:t>
            </w:r>
          </w:p>
        </w:tc>
        <w:tc>
          <w:tcPr>
            <w:tcW w:w="614" w:type="pct"/>
            <w:shd w:val="clear" w:color="auto" w:fill="FFFFFF" w:themeFill="background1"/>
            <w:noWrap/>
          </w:tcPr>
          <w:p w14:paraId="46665F0F" w14:textId="77777777" w:rsidR="00F2381C" w:rsidRPr="00F830D1" w:rsidRDefault="00F2381C" w:rsidP="00910F31">
            <w:pPr>
              <w:pStyle w:val="TableText0"/>
              <w:rPr>
                <w:rFonts w:eastAsia="Calibri Light"/>
                <w:sz w:val="20"/>
                <w:szCs w:val="20"/>
                <w:lang w:val="en-GB"/>
              </w:rPr>
            </w:pPr>
            <w:r w:rsidRPr="00F830D1">
              <w:rPr>
                <w:rFonts w:eastAsia="Calibri Light"/>
                <w:sz w:val="20"/>
                <w:szCs w:val="20"/>
                <w:lang w:val="en-GB"/>
              </w:rPr>
              <w:t>$50,157</w:t>
            </w:r>
          </w:p>
        </w:tc>
        <w:tc>
          <w:tcPr>
            <w:tcW w:w="619" w:type="pct"/>
            <w:shd w:val="clear" w:color="auto" w:fill="FFFFFF" w:themeFill="background1"/>
            <w:noWrap/>
          </w:tcPr>
          <w:p w14:paraId="60598C7A" w14:textId="77777777" w:rsidR="00F2381C" w:rsidRPr="00F830D1" w:rsidRDefault="00F2381C" w:rsidP="00910F31">
            <w:pPr>
              <w:pStyle w:val="TableText0"/>
              <w:rPr>
                <w:rFonts w:eastAsia="Calibri Light"/>
                <w:sz w:val="20"/>
                <w:szCs w:val="20"/>
                <w:lang w:val="en-GB"/>
              </w:rPr>
            </w:pPr>
            <w:r w:rsidRPr="00F830D1">
              <w:rPr>
                <w:rFonts w:eastAsia="Calibri Light"/>
                <w:sz w:val="20"/>
                <w:szCs w:val="20"/>
                <w:lang w:val="en-GB"/>
              </w:rPr>
              <w:t>$26,028</w:t>
            </w:r>
          </w:p>
        </w:tc>
        <w:tc>
          <w:tcPr>
            <w:tcW w:w="618" w:type="pct"/>
            <w:shd w:val="clear" w:color="auto" w:fill="FFFFFF" w:themeFill="background1"/>
          </w:tcPr>
          <w:p w14:paraId="666F1E3A" w14:textId="375C7BA6" w:rsidR="00F2381C" w:rsidRPr="00F830D1" w:rsidRDefault="00F2381C" w:rsidP="00910F31">
            <w:pPr>
              <w:pStyle w:val="TableText0"/>
              <w:rPr>
                <w:rFonts w:eastAsia="Calibri Light"/>
                <w:sz w:val="20"/>
                <w:szCs w:val="20"/>
                <w:lang w:val="en-GB"/>
              </w:rPr>
            </w:pPr>
            <w:r w:rsidRPr="00F830D1">
              <w:rPr>
                <w:rFonts w:eastAsia="Calibri Light"/>
                <w:b/>
                <w:sz w:val="20"/>
                <w:szCs w:val="20"/>
                <w:lang w:val="en-GB"/>
              </w:rPr>
              <w:t>$</w:t>
            </w:r>
            <w:r w:rsidR="001172C3" w:rsidRPr="001172C3">
              <w:rPr>
                <w:rFonts w:eastAsia="Calibri Light"/>
                <w:b/>
                <w:color w:val="000000"/>
                <w:spacing w:val="39"/>
                <w:sz w:val="20"/>
                <w:szCs w:val="20"/>
                <w:shd w:val="solid" w:color="000000" w:fill="000000"/>
                <w:fitText w:val="473" w:id="-1234435318"/>
                <w:lang w:val="en-GB"/>
                <w14:textFill>
                  <w14:solidFill>
                    <w14:srgbClr w14:val="000000">
                      <w14:alpha w14:val="100000"/>
                    </w14:srgbClr>
                  </w14:solidFill>
                </w14:textFill>
              </w:rPr>
              <w:t>|||||</w:t>
            </w:r>
            <w:r w:rsidR="001172C3" w:rsidRPr="001172C3">
              <w:rPr>
                <w:rFonts w:eastAsia="Calibri Light"/>
                <w:b/>
                <w:color w:val="000000"/>
                <w:spacing w:val="3"/>
                <w:sz w:val="20"/>
                <w:szCs w:val="20"/>
                <w:shd w:val="solid" w:color="000000" w:fill="000000"/>
                <w:fitText w:val="473" w:id="-1234435318"/>
                <w:lang w:val="en-GB"/>
                <w14:textFill>
                  <w14:solidFill>
                    <w14:srgbClr w14:val="000000">
                      <w14:alpha w14:val="100000"/>
                    </w14:srgbClr>
                  </w14:solidFill>
                </w14:textFill>
              </w:rPr>
              <w:t>|</w:t>
            </w:r>
          </w:p>
        </w:tc>
      </w:tr>
      <w:tr w:rsidR="00F2381C" w:rsidRPr="00BB3CCA" w14:paraId="3ED6798A" w14:textId="77777777" w:rsidTr="00910F31">
        <w:trPr>
          <w:trHeight w:val="212"/>
        </w:trPr>
        <w:tc>
          <w:tcPr>
            <w:tcW w:w="886" w:type="pct"/>
            <w:shd w:val="clear" w:color="auto" w:fill="FFFFFF" w:themeFill="background1"/>
            <w:noWrap/>
          </w:tcPr>
          <w:p w14:paraId="7FEE6944" w14:textId="77777777" w:rsidR="00F2381C" w:rsidRPr="00BB3CCA" w:rsidRDefault="00F2381C" w:rsidP="00910F31">
            <w:pPr>
              <w:pStyle w:val="TableText0"/>
              <w:rPr>
                <w:sz w:val="20"/>
                <w:szCs w:val="20"/>
                <w:lang w:val="en-GB"/>
              </w:rPr>
            </w:pPr>
            <w:r>
              <w:rPr>
                <w:sz w:val="20"/>
                <w:szCs w:val="20"/>
                <w:lang w:val="en-GB"/>
              </w:rPr>
              <w:t>QALYs</w:t>
            </w:r>
          </w:p>
        </w:tc>
        <w:tc>
          <w:tcPr>
            <w:tcW w:w="757" w:type="pct"/>
            <w:shd w:val="clear" w:color="auto" w:fill="FFFFFF" w:themeFill="background1"/>
          </w:tcPr>
          <w:p w14:paraId="7849512F" w14:textId="77777777" w:rsidR="00F2381C" w:rsidRPr="00F830D1" w:rsidRDefault="00F2381C" w:rsidP="00910F31">
            <w:pPr>
              <w:pStyle w:val="TableText0"/>
              <w:rPr>
                <w:rFonts w:eastAsia="Calibri Light"/>
                <w:sz w:val="20"/>
                <w:szCs w:val="20"/>
                <w:lang w:val="en-GB"/>
              </w:rPr>
            </w:pPr>
            <w:r w:rsidRPr="00F830D1">
              <w:rPr>
                <w:sz w:val="20"/>
                <w:szCs w:val="20"/>
              </w:rPr>
              <w:t>1.81</w:t>
            </w:r>
          </w:p>
        </w:tc>
        <w:tc>
          <w:tcPr>
            <w:tcW w:w="747" w:type="pct"/>
            <w:shd w:val="clear" w:color="auto" w:fill="FFFFFF" w:themeFill="background1"/>
            <w:noWrap/>
          </w:tcPr>
          <w:p w14:paraId="2FBC5F1A" w14:textId="77777777" w:rsidR="00F2381C" w:rsidRPr="00F830D1" w:rsidRDefault="00F2381C" w:rsidP="00910F31">
            <w:pPr>
              <w:pStyle w:val="TableText0"/>
              <w:rPr>
                <w:rFonts w:eastAsia="Calibri Light"/>
                <w:sz w:val="20"/>
                <w:szCs w:val="20"/>
                <w:lang w:val="en-GB"/>
              </w:rPr>
            </w:pPr>
            <w:r w:rsidRPr="00F830D1">
              <w:rPr>
                <w:sz w:val="20"/>
                <w:szCs w:val="20"/>
              </w:rPr>
              <w:t>0.84</w:t>
            </w:r>
          </w:p>
        </w:tc>
        <w:tc>
          <w:tcPr>
            <w:tcW w:w="759" w:type="pct"/>
            <w:shd w:val="clear" w:color="auto" w:fill="FFFFFF" w:themeFill="background1"/>
            <w:noWrap/>
          </w:tcPr>
          <w:p w14:paraId="689938FE" w14:textId="77777777" w:rsidR="00F2381C" w:rsidRPr="00F830D1" w:rsidRDefault="00F2381C" w:rsidP="00910F31">
            <w:pPr>
              <w:pStyle w:val="TableText0"/>
              <w:rPr>
                <w:rFonts w:eastAsia="Calibri Light"/>
                <w:sz w:val="20"/>
                <w:szCs w:val="20"/>
                <w:lang w:val="en-GB"/>
              </w:rPr>
            </w:pPr>
            <w:r w:rsidRPr="00F830D1">
              <w:rPr>
                <w:sz w:val="20"/>
                <w:szCs w:val="20"/>
              </w:rPr>
              <w:t>1.57</w:t>
            </w:r>
          </w:p>
        </w:tc>
        <w:tc>
          <w:tcPr>
            <w:tcW w:w="614" w:type="pct"/>
            <w:shd w:val="clear" w:color="auto" w:fill="FFFFFF" w:themeFill="background1"/>
            <w:noWrap/>
          </w:tcPr>
          <w:p w14:paraId="592C4C3A" w14:textId="77777777" w:rsidR="00F2381C" w:rsidRPr="00F830D1" w:rsidRDefault="00F2381C" w:rsidP="00910F31">
            <w:pPr>
              <w:pStyle w:val="TableText0"/>
              <w:rPr>
                <w:rFonts w:eastAsia="Calibri Light"/>
                <w:sz w:val="20"/>
                <w:szCs w:val="20"/>
                <w:lang w:val="en-GB"/>
              </w:rPr>
            </w:pPr>
            <w:r w:rsidRPr="00F830D1">
              <w:rPr>
                <w:sz w:val="20"/>
                <w:szCs w:val="20"/>
              </w:rPr>
              <w:t>0.9</w:t>
            </w:r>
          </w:p>
        </w:tc>
        <w:tc>
          <w:tcPr>
            <w:tcW w:w="619" w:type="pct"/>
            <w:shd w:val="clear" w:color="auto" w:fill="FFFFFF" w:themeFill="background1"/>
            <w:noWrap/>
          </w:tcPr>
          <w:p w14:paraId="137532C0" w14:textId="77777777" w:rsidR="00F2381C" w:rsidRPr="00F830D1" w:rsidRDefault="00F2381C" w:rsidP="00910F31">
            <w:pPr>
              <w:pStyle w:val="TableText0"/>
              <w:rPr>
                <w:rFonts w:eastAsia="Calibri Light"/>
                <w:sz w:val="20"/>
                <w:szCs w:val="20"/>
                <w:lang w:val="en-GB"/>
              </w:rPr>
            </w:pPr>
            <w:r w:rsidRPr="00F830D1">
              <w:rPr>
                <w:sz w:val="20"/>
                <w:szCs w:val="20"/>
              </w:rPr>
              <w:t>0.81</w:t>
            </w:r>
          </w:p>
        </w:tc>
        <w:tc>
          <w:tcPr>
            <w:tcW w:w="618" w:type="pct"/>
            <w:shd w:val="clear" w:color="auto" w:fill="FFFFFF" w:themeFill="background1"/>
          </w:tcPr>
          <w:p w14:paraId="1228B5E3" w14:textId="77777777" w:rsidR="00F2381C" w:rsidRPr="00F830D1" w:rsidRDefault="00F2381C" w:rsidP="00910F31">
            <w:pPr>
              <w:pStyle w:val="TableText0"/>
              <w:rPr>
                <w:rFonts w:eastAsia="Calibri Light"/>
                <w:b/>
                <w:sz w:val="20"/>
                <w:szCs w:val="20"/>
                <w:lang w:val="en-GB"/>
              </w:rPr>
            </w:pPr>
            <w:r w:rsidRPr="00F830D1">
              <w:rPr>
                <w:rFonts w:eastAsia="Calibri Light"/>
                <w:b/>
                <w:sz w:val="20"/>
                <w:szCs w:val="20"/>
                <w:lang w:val="en-GB"/>
              </w:rPr>
              <w:t>1.357</w:t>
            </w:r>
          </w:p>
        </w:tc>
      </w:tr>
    </w:tbl>
    <w:p w14:paraId="45018630" w14:textId="77777777" w:rsidR="00F2381C" w:rsidRDefault="00F2381C" w:rsidP="00F2381C">
      <w:pPr>
        <w:pStyle w:val="TableFooter"/>
        <w:rPr>
          <w:lang w:val="en-GB"/>
        </w:rPr>
      </w:pPr>
      <w:r>
        <w:rPr>
          <w:lang w:val="en-GB"/>
        </w:rPr>
        <w:t>Source: Table 99, p153, Table 100, p153 and Table 133, p196 of the submission</w:t>
      </w:r>
    </w:p>
    <w:p w14:paraId="6685BE38" w14:textId="3A71F34C" w:rsidR="00F2381C" w:rsidRDefault="00F2381C" w:rsidP="00F2381C">
      <w:pPr>
        <w:pStyle w:val="TableFooter"/>
        <w:rPr>
          <w:lang w:val="en-GB"/>
        </w:rPr>
      </w:pPr>
      <w:r>
        <w:rPr>
          <w:lang w:val="en-GB"/>
        </w:rPr>
        <w:t xml:space="preserve">BSC = best supportive care; </w:t>
      </w:r>
      <w:r w:rsidR="00C733FB">
        <w:t>DM = distant metastasis;</w:t>
      </w:r>
      <w:r w:rsidR="00C733FB">
        <w:rPr>
          <w:lang w:val="en-GB"/>
        </w:rPr>
        <w:t xml:space="preserve"> </w:t>
      </w:r>
      <w:r>
        <w:rPr>
          <w:lang w:val="en-GB"/>
        </w:rPr>
        <w:t>PDC = platinum-doublet chemotherapy; QALY = quality-adjusted life year</w:t>
      </w:r>
    </w:p>
    <w:p w14:paraId="4C30A50B" w14:textId="7B0FB70E" w:rsidR="000372A0" w:rsidRPr="00CA56B5" w:rsidRDefault="00FA03BE" w:rsidP="00415E8A">
      <w:pPr>
        <w:pStyle w:val="3-BodyText"/>
        <w:spacing w:before="120"/>
      </w:pPr>
      <w:bookmarkStart w:id="76" w:name="_Ref131350487"/>
      <w:bookmarkStart w:id="77" w:name="_Ref127117339"/>
      <w:r w:rsidRPr="00CA56B5">
        <w:t xml:space="preserve">The ESC agreed with the evaluation that applying cost-ineffective therapies on transition into the DM health state is not appropriate. </w:t>
      </w:r>
      <w:r w:rsidR="007C6236" w:rsidRPr="00CA56B5">
        <w:t>The</w:t>
      </w:r>
      <w:r w:rsidR="004C02F7" w:rsidRPr="00CA56B5">
        <w:t xml:space="preserve"> </w:t>
      </w:r>
      <w:r w:rsidR="007C6236" w:rsidRPr="00CA56B5">
        <w:t xml:space="preserve">ESC </w:t>
      </w:r>
      <w:r w:rsidRPr="00CA56B5">
        <w:t xml:space="preserve">also </w:t>
      </w:r>
      <w:r w:rsidR="00CB55AB" w:rsidRPr="00CA56B5">
        <w:t>expressed concern with the</w:t>
      </w:r>
      <w:r w:rsidR="007C6236" w:rsidRPr="00CA56B5">
        <w:t xml:space="preserve"> </w:t>
      </w:r>
      <w:r w:rsidR="00CB55AB" w:rsidRPr="00CA56B5">
        <w:t>non-standard approach taken to modelling the DM health state</w:t>
      </w:r>
      <w:r w:rsidR="00EF465A" w:rsidRPr="00CA56B5">
        <w:t xml:space="preserve"> and </w:t>
      </w:r>
      <w:bookmarkStart w:id="78" w:name="_Hlk127385630"/>
      <w:r w:rsidR="00EF465A" w:rsidRPr="00CA56B5">
        <w:t>considered that applying one-off discounted LYs, QALYs and costs on transition into the health state</w:t>
      </w:r>
      <w:r w:rsidR="008540E0" w:rsidRPr="00CA56B5">
        <w:t xml:space="preserve"> may be</w:t>
      </w:r>
      <w:r w:rsidR="00EF465A" w:rsidRPr="00CA56B5">
        <w:t xml:space="preserve"> </w:t>
      </w:r>
      <w:r w:rsidR="0004782E" w:rsidRPr="00CA56B5">
        <w:t>over</w:t>
      </w:r>
      <w:r w:rsidR="00EF465A" w:rsidRPr="00CA56B5">
        <w:t>simplistic</w:t>
      </w:r>
      <w:r w:rsidR="008540E0" w:rsidRPr="00CA56B5">
        <w:t xml:space="preserve"> </w:t>
      </w:r>
      <w:bookmarkStart w:id="79" w:name="_Hlk127385702"/>
      <w:r w:rsidR="008540E0" w:rsidRPr="00CA56B5">
        <w:t xml:space="preserve">as it does not </w:t>
      </w:r>
      <w:r w:rsidR="00A15DAE" w:rsidRPr="00CA56B5">
        <w:t>account for the</w:t>
      </w:r>
      <w:r w:rsidR="008540E0" w:rsidRPr="00CA56B5">
        <w:t xml:space="preserve"> relationship between transitions, costs</w:t>
      </w:r>
      <w:r w:rsidR="00A15DAE" w:rsidRPr="00CA56B5">
        <w:t>,</w:t>
      </w:r>
      <w:r w:rsidR="008540E0" w:rsidRPr="00CA56B5">
        <w:t xml:space="preserve"> and </w:t>
      </w:r>
      <w:r w:rsidR="00A15DAE" w:rsidRPr="00CA56B5">
        <w:t>the health outcomes</w:t>
      </w:r>
      <w:r w:rsidR="008540E0" w:rsidRPr="00CA56B5">
        <w:t xml:space="preserve"> associated with metastatic disease.</w:t>
      </w:r>
      <w:r w:rsidR="0004782E" w:rsidRPr="00CA56B5">
        <w:t xml:space="preserve"> </w:t>
      </w:r>
      <w:bookmarkEnd w:id="79"/>
      <w:r w:rsidR="00FC4C6B" w:rsidRPr="00CA56B5">
        <w:t xml:space="preserve">The ESC also expressed concern that the one-off costs and outcomes are predominately independent to the time horizon, so that if the time horizon is reduced it has little impact on the cost and health outcomes associated with the DM health state. </w:t>
      </w:r>
      <w:r w:rsidR="008540E0" w:rsidRPr="00CA56B5">
        <w:t xml:space="preserve">The ESC advised that a model structure </w:t>
      </w:r>
      <w:r w:rsidR="006B0E1A" w:rsidRPr="00CA56B5">
        <w:t>that incorporates</w:t>
      </w:r>
      <w:r w:rsidR="008540E0" w:rsidRPr="00CA56B5">
        <w:t xml:space="preserve"> transitions from </w:t>
      </w:r>
      <w:r w:rsidR="00A15DAE" w:rsidRPr="00CA56B5">
        <w:t xml:space="preserve">a </w:t>
      </w:r>
      <w:r w:rsidR="008540E0" w:rsidRPr="00CA56B5">
        <w:t xml:space="preserve">distant </w:t>
      </w:r>
      <w:r w:rsidR="00CC3DD4">
        <w:t>metastasis</w:t>
      </w:r>
      <w:r w:rsidR="00CC3DD4" w:rsidRPr="00CA56B5">
        <w:t xml:space="preserve"> </w:t>
      </w:r>
      <w:r w:rsidR="00A15DAE" w:rsidRPr="00CA56B5">
        <w:t xml:space="preserve">health state </w:t>
      </w:r>
      <w:r w:rsidR="008540E0" w:rsidRPr="00CA56B5">
        <w:t>to death is the preferred modelling approach</w:t>
      </w:r>
      <w:bookmarkEnd w:id="78"/>
      <w:r w:rsidR="008540E0" w:rsidRPr="00CA56B5">
        <w:t>.</w:t>
      </w:r>
      <w:r w:rsidR="00EF465A" w:rsidRPr="00CA56B5">
        <w:t xml:space="preserve"> </w:t>
      </w:r>
      <w:r w:rsidR="00172890">
        <w:t>The pre-PBAC</w:t>
      </w:r>
      <w:r w:rsidR="00CC3DD4">
        <w:t xml:space="preserve"> response</w:t>
      </w:r>
      <w:r w:rsidR="00172890">
        <w:t xml:space="preserve"> </w:t>
      </w:r>
      <w:r w:rsidR="00925C60">
        <w:t xml:space="preserve">maintained that the approach taken to </w:t>
      </w:r>
      <w:r w:rsidR="00925C60" w:rsidRPr="00CA56B5">
        <w:t xml:space="preserve">model the DM health state </w:t>
      </w:r>
      <w:r w:rsidR="00925C60">
        <w:t xml:space="preserve">was appropriate and </w:t>
      </w:r>
      <w:r w:rsidR="00172890">
        <w:t>argued</w:t>
      </w:r>
      <w:r w:rsidR="00925C60">
        <w:t xml:space="preserve"> that</w:t>
      </w:r>
      <w:r w:rsidR="00172890">
        <w:t xml:space="preserve"> the </w:t>
      </w:r>
      <w:r w:rsidR="00925C60">
        <w:t>‘</w:t>
      </w:r>
      <w:r w:rsidR="00172890">
        <w:t>one-off approach</w:t>
      </w:r>
      <w:r w:rsidR="00925C60">
        <w:t>’</w:t>
      </w:r>
      <w:r w:rsidR="00172890">
        <w:t xml:space="preserve"> captures the life-years and costs incurred during the</w:t>
      </w:r>
      <w:r w:rsidR="00CC7AE8">
        <w:t xml:space="preserve"> </w:t>
      </w:r>
      <w:r w:rsidR="00172890">
        <w:t xml:space="preserve">DM </w:t>
      </w:r>
      <w:r w:rsidR="00925C60">
        <w:t xml:space="preserve">health </w:t>
      </w:r>
      <w:r w:rsidR="00172890">
        <w:t>state and was selected to avoid developing a series of additional health states in metast</w:t>
      </w:r>
      <w:r w:rsidR="00504358">
        <w:t>at</w:t>
      </w:r>
      <w:r w:rsidR="00172890">
        <w:t xml:space="preserve">ic disease and track progression and survival time </w:t>
      </w:r>
      <w:r w:rsidR="00925C60">
        <w:t>with</w:t>
      </w:r>
      <w:r w:rsidR="00172890">
        <w:t xml:space="preserve">in </w:t>
      </w:r>
      <w:r w:rsidR="00925C60">
        <w:t xml:space="preserve">the </w:t>
      </w:r>
      <w:r w:rsidR="00172890">
        <w:t>DM</w:t>
      </w:r>
      <w:r w:rsidR="00925C60">
        <w:t xml:space="preserve"> health</w:t>
      </w:r>
      <w:r w:rsidR="00172890">
        <w:t xml:space="preserve"> state for various metastatic therapies.</w:t>
      </w:r>
      <w:bookmarkEnd w:id="76"/>
      <w:bookmarkEnd w:id="77"/>
      <w:r w:rsidR="00CC7AE8">
        <w:t xml:space="preserve"> </w:t>
      </w:r>
    </w:p>
    <w:p w14:paraId="1BBCBD68" w14:textId="11F8128E" w:rsidR="00F2381C" w:rsidRPr="00B50DB8" w:rsidRDefault="00F2381C" w:rsidP="00F2381C">
      <w:pPr>
        <w:pStyle w:val="3-BodyText"/>
      </w:pPr>
      <w:r>
        <w:rPr>
          <w:color w:val="000000" w:themeColor="text1"/>
        </w:rPr>
        <w:t xml:space="preserve">Key drivers of the model are summarised in </w:t>
      </w:r>
      <w:r>
        <w:rPr>
          <w:color w:val="000000" w:themeColor="text1"/>
        </w:rPr>
        <w:fldChar w:fldCharType="begin"/>
      </w:r>
      <w:r>
        <w:rPr>
          <w:color w:val="000000" w:themeColor="text1"/>
        </w:rPr>
        <w:instrText xml:space="preserve"> REF _Ref120898741 \h </w:instrText>
      </w:r>
      <w:r>
        <w:rPr>
          <w:color w:val="000000" w:themeColor="text1"/>
        </w:rPr>
      </w:r>
      <w:r>
        <w:rPr>
          <w:color w:val="000000" w:themeColor="text1"/>
        </w:rPr>
        <w:fldChar w:fldCharType="separate"/>
      </w:r>
      <w:r w:rsidR="00A77D90">
        <w:t xml:space="preserve">Table </w:t>
      </w:r>
      <w:r w:rsidR="00A77D90">
        <w:rPr>
          <w:noProof/>
        </w:rPr>
        <w:t>20</w:t>
      </w:r>
      <w:r>
        <w:rPr>
          <w:color w:val="000000" w:themeColor="text1"/>
        </w:rPr>
        <w:fldChar w:fldCharType="end"/>
      </w:r>
      <w:r>
        <w:rPr>
          <w:color w:val="000000" w:themeColor="text1"/>
        </w:rPr>
        <w:t xml:space="preserve">. </w:t>
      </w:r>
    </w:p>
    <w:p w14:paraId="32BAFF5F" w14:textId="37C161A4" w:rsidR="00F2381C" w:rsidRPr="00BB00B3" w:rsidRDefault="00F2381C" w:rsidP="00C733FB">
      <w:pPr>
        <w:pStyle w:val="Caption"/>
        <w:jc w:val="left"/>
        <w:rPr>
          <w:rStyle w:val="CommentReference"/>
          <w:b/>
          <w:szCs w:val="24"/>
        </w:rPr>
      </w:pPr>
      <w:bookmarkStart w:id="80" w:name="_Ref120898741"/>
      <w:r>
        <w:t xml:space="preserve">Table </w:t>
      </w:r>
      <w:r w:rsidR="00A77D90">
        <w:fldChar w:fldCharType="begin"/>
      </w:r>
      <w:r w:rsidR="00A77D90">
        <w:instrText xml:space="preserve"> SEQ Table \* ARABIC </w:instrText>
      </w:r>
      <w:r w:rsidR="00A77D90">
        <w:fldChar w:fldCharType="separate"/>
      </w:r>
      <w:r w:rsidR="00A77D90">
        <w:rPr>
          <w:noProof/>
        </w:rPr>
        <w:t>20</w:t>
      </w:r>
      <w:r w:rsidR="00A77D90">
        <w:rPr>
          <w:noProof/>
        </w:rPr>
        <w:fldChar w:fldCharType="end"/>
      </w:r>
      <w:bookmarkEnd w:id="80"/>
      <w:r>
        <w:t>:</w:t>
      </w:r>
      <w:r w:rsidRPr="00BB00B3">
        <w:rPr>
          <w:rStyle w:val="CommentReference"/>
          <w:b/>
          <w:szCs w:val="24"/>
        </w:rPr>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3969"/>
        <w:gridCol w:w="3493"/>
      </w:tblGrid>
      <w:tr w:rsidR="00F2381C" w:rsidRPr="003D1DE4" w14:paraId="071A70BD" w14:textId="77777777" w:rsidTr="00910F31">
        <w:trPr>
          <w:tblHeader/>
        </w:trPr>
        <w:tc>
          <w:tcPr>
            <w:tcW w:w="862" w:type="pct"/>
            <w:shd w:val="clear" w:color="auto" w:fill="auto"/>
            <w:vAlign w:val="center"/>
          </w:tcPr>
          <w:p w14:paraId="4AE3A904" w14:textId="77777777" w:rsidR="00F2381C" w:rsidRPr="003D1DE4" w:rsidRDefault="00F2381C" w:rsidP="00C733FB">
            <w:pPr>
              <w:pStyle w:val="In-tableHeading"/>
            </w:pPr>
            <w:r w:rsidRPr="003D1DE4">
              <w:t>Description</w:t>
            </w:r>
          </w:p>
        </w:tc>
        <w:tc>
          <w:tcPr>
            <w:tcW w:w="2201" w:type="pct"/>
            <w:shd w:val="clear" w:color="auto" w:fill="auto"/>
            <w:vAlign w:val="center"/>
          </w:tcPr>
          <w:p w14:paraId="1AD7DF90" w14:textId="77777777" w:rsidR="00F2381C" w:rsidRPr="003D1DE4" w:rsidRDefault="00F2381C" w:rsidP="00C733FB">
            <w:pPr>
              <w:pStyle w:val="In-tableHeading"/>
              <w:jc w:val="center"/>
            </w:pPr>
            <w:r w:rsidRPr="003D1DE4">
              <w:t>Method/Value</w:t>
            </w:r>
          </w:p>
        </w:tc>
        <w:tc>
          <w:tcPr>
            <w:tcW w:w="1937" w:type="pct"/>
            <w:shd w:val="clear" w:color="auto" w:fill="auto"/>
            <w:vAlign w:val="center"/>
          </w:tcPr>
          <w:p w14:paraId="66A85A5F" w14:textId="77777777" w:rsidR="00F2381C" w:rsidRDefault="00F2381C" w:rsidP="00C733FB">
            <w:pPr>
              <w:pStyle w:val="In-tableHeading"/>
              <w:jc w:val="center"/>
            </w:pPr>
            <w:r w:rsidRPr="003D1DE4">
              <w:t>Impact</w:t>
            </w:r>
          </w:p>
          <w:p w14:paraId="639FDE27" w14:textId="118D2AE8" w:rsidR="00F2381C" w:rsidRPr="003D1DE4" w:rsidRDefault="00F2381C" w:rsidP="00C733FB">
            <w:pPr>
              <w:pStyle w:val="In-tableHeading"/>
              <w:jc w:val="center"/>
            </w:pPr>
            <w:r w:rsidRPr="00354F64">
              <w:rPr>
                <w:rFonts w:cs="Arial"/>
                <w:szCs w:val="20"/>
              </w:rPr>
              <w:t>Base case: $</w:t>
            </w:r>
            <w:r w:rsidR="001172C3" w:rsidRPr="001172C3">
              <w:rPr>
                <w:rFonts w:cs="Arial" w:hint="eastAsia"/>
                <w:color w:val="000000"/>
                <w:w w:val="25"/>
                <w:szCs w:val="20"/>
                <w:shd w:val="solid" w:color="000000" w:fill="000000"/>
                <w:fitText w:val="115" w:id="-1234435317"/>
                <w14:textFill>
                  <w14:solidFill>
                    <w14:srgbClr w14:val="000000">
                      <w14:alpha w14:val="100000"/>
                    </w14:srgbClr>
                  </w14:solidFill>
                </w14:textFill>
              </w:rPr>
              <w:t xml:space="preserve">　</w:t>
            </w:r>
            <w:r w:rsidR="001172C3" w:rsidRPr="001172C3">
              <w:rPr>
                <w:rFonts w:cs="Arial"/>
                <w:color w:val="000000"/>
                <w:w w:val="25"/>
                <w:szCs w:val="20"/>
                <w:shd w:val="solid" w:color="000000" w:fill="000000"/>
                <w:fitText w:val="115" w:id="-1234435317"/>
                <w14:textFill>
                  <w14:solidFill>
                    <w14:srgbClr w14:val="000000">
                      <w14:alpha w14:val="100000"/>
                    </w14:srgbClr>
                  </w14:solidFill>
                </w14:textFill>
              </w:rPr>
              <w:t>|</w:t>
            </w:r>
            <w:r w:rsidR="001172C3" w:rsidRPr="001172C3">
              <w:rPr>
                <w:rFonts w:cs="Arial" w:hint="eastAsia"/>
                <w:color w:val="000000"/>
                <w:spacing w:val="3"/>
                <w:w w:val="25"/>
                <w:szCs w:val="20"/>
                <w:shd w:val="solid" w:color="000000" w:fill="000000"/>
                <w:fitText w:val="115" w:id="-1234435317"/>
                <w14:textFill>
                  <w14:solidFill>
                    <w14:srgbClr w14:val="000000">
                      <w14:alpha w14:val="100000"/>
                    </w14:srgbClr>
                  </w14:solidFill>
                </w14:textFill>
              </w:rPr>
              <w:t xml:space="preserve">　</w:t>
            </w:r>
            <w:r w:rsidR="00463A79">
              <w:rPr>
                <w:rFonts w:cs="Arial"/>
                <w:szCs w:val="20"/>
                <w:vertAlign w:val="superscript"/>
              </w:rPr>
              <w:t>1</w:t>
            </w:r>
            <w:r w:rsidRPr="00354F64">
              <w:rPr>
                <w:rFonts w:cs="Arial"/>
                <w:szCs w:val="20"/>
              </w:rPr>
              <w:t>/QALY gained</w:t>
            </w:r>
          </w:p>
        </w:tc>
      </w:tr>
      <w:tr w:rsidR="00F2381C" w:rsidRPr="00E2771E" w14:paraId="708F260E" w14:textId="77777777" w:rsidTr="00910F31">
        <w:tc>
          <w:tcPr>
            <w:tcW w:w="862" w:type="pct"/>
            <w:shd w:val="clear" w:color="auto" w:fill="auto"/>
            <w:vAlign w:val="center"/>
          </w:tcPr>
          <w:p w14:paraId="1C63ABB9" w14:textId="77777777" w:rsidR="00F2381C" w:rsidRDefault="00F2381C" w:rsidP="00C733FB">
            <w:pPr>
              <w:pStyle w:val="TableText0"/>
              <w:rPr>
                <w:lang w:val="en-US"/>
              </w:rPr>
            </w:pPr>
            <w:r>
              <w:rPr>
                <w:lang w:val="en-US"/>
              </w:rPr>
              <w:t>Time horizon</w:t>
            </w:r>
          </w:p>
        </w:tc>
        <w:tc>
          <w:tcPr>
            <w:tcW w:w="2201" w:type="pct"/>
            <w:shd w:val="clear" w:color="auto" w:fill="auto"/>
            <w:vAlign w:val="center"/>
          </w:tcPr>
          <w:p w14:paraId="36BFA05D" w14:textId="77777777" w:rsidR="00F2381C" w:rsidRDefault="00F2381C" w:rsidP="00C733FB">
            <w:pPr>
              <w:pStyle w:val="TableText0"/>
              <w:rPr>
                <w:lang w:val="en-US"/>
              </w:rPr>
            </w:pPr>
            <w:r>
              <w:rPr>
                <w:lang w:val="en-US"/>
              </w:rPr>
              <w:t>25 years</w:t>
            </w:r>
          </w:p>
        </w:tc>
        <w:tc>
          <w:tcPr>
            <w:tcW w:w="1937" w:type="pct"/>
            <w:shd w:val="clear" w:color="auto" w:fill="auto"/>
            <w:vAlign w:val="center"/>
          </w:tcPr>
          <w:p w14:paraId="7077E68D" w14:textId="77777777" w:rsidR="00F2381C" w:rsidRPr="000A6E90" w:rsidRDefault="00F2381C" w:rsidP="00C733FB">
            <w:pPr>
              <w:pStyle w:val="TableText0"/>
            </w:pPr>
            <w:r w:rsidRPr="000A6E90">
              <w:t>Moderate, favoured nivolumab</w:t>
            </w:r>
          </w:p>
          <w:p w14:paraId="42D49619" w14:textId="57D7AB29" w:rsidR="00F2381C" w:rsidRPr="00CD7A41" w:rsidRDefault="00F2381C" w:rsidP="00C733FB">
            <w:pPr>
              <w:pStyle w:val="TableText0"/>
              <w:rPr>
                <w:i/>
              </w:rPr>
            </w:pPr>
            <w:r w:rsidRPr="000A6E90">
              <w:t>Using a 15-time horizon increased the ICER to $</w:t>
            </w:r>
            <w:r w:rsidR="001172C3" w:rsidRPr="001172C3">
              <w:rPr>
                <w:color w:val="000000"/>
                <w:spacing w:val="36"/>
                <w:shd w:val="solid" w:color="000000" w:fill="000000"/>
                <w:fitText w:val="438" w:id="-1234435316"/>
                <w14:textFill>
                  <w14:solidFill>
                    <w14:srgbClr w14:val="000000">
                      <w14:alpha w14:val="100000"/>
                    </w14:srgbClr>
                  </w14:solidFill>
                </w14:textFill>
              </w:rPr>
              <w:t>|||||</w:t>
            </w:r>
            <w:r w:rsidR="001172C3" w:rsidRPr="001172C3">
              <w:rPr>
                <w:color w:val="000000"/>
                <w:spacing w:val="3"/>
                <w:shd w:val="solid" w:color="000000" w:fill="000000"/>
                <w:fitText w:val="438" w:id="-1234435316"/>
                <w14:textFill>
                  <w14:solidFill>
                    <w14:srgbClr w14:val="000000">
                      <w14:alpha w14:val="100000"/>
                    </w14:srgbClr>
                  </w14:solidFill>
                </w14:textFill>
              </w:rPr>
              <w:t>|</w:t>
            </w:r>
            <w:r w:rsidR="00463A79">
              <w:rPr>
                <w:vertAlign w:val="superscript"/>
              </w:rPr>
              <w:t>2</w:t>
            </w:r>
            <w:r w:rsidRPr="000A6E90">
              <w:t>/QALY gained.</w:t>
            </w:r>
          </w:p>
        </w:tc>
      </w:tr>
      <w:tr w:rsidR="00F2381C" w:rsidRPr="00E2771E" w14:paraId="47C24897" w14:textId="77777777" w:rsidTr="00910F31">
        <w:tc>
          <w:tcPr>
            <w:tcW w:w="862" w:type="pct"/>
            <w:shd w:val="clear" w:color="auto" w:fill="auto"/>
            <w:vAlign w:val="center"/>
          </w:tcPr>
          <w:p w14:paraId="3EB3D348" w14:textId="77777777" w:rsidR="00F2381C" w:rsidRPr="00E2771E" w:rsidRDefault="00F2381C" w:rsidP="00C733FB">
            <w:pPr>
              <w:pStyle w:val="TableText0"/>
              <w:rPr>
                <w:lang w:val="en-US"/>
              </w:rPr>
            </w:pPr>
            <w:r>
              <w:rPr>
                <w:lang w:val="en-US"/>
              </w:rPr>
              <w:t>Cure assumption in the nivolumab arm</w:t>
            </w:r>
          </w:p>
        </w:tc>
        <w:tc>
          <w:tcPr>
            <w:tcW w:w="2201" w:type="pct"/>
            <w:shd w:val="clear" w:color="auto" w:fill="auto"/>
            <w:vAlign w:val="center"/>
          </w:tcPr>
          <w:p w14:paraId="13BD5616" w14:textId="77777777" w:rsidR="00F2381C" w:rsidRPr="00E2771E" w:rsidRDefault="00F2381C" w:rsidP="00C733FB">
            <w:pPr>
              <w:pStyle w:val="TableText0"/>
              <w:rPr>
                <w:lang w:val="en-US"/>
              </w:rPr>
            </w:pPr>
            <w:r>
              <w:rPr>
                <w:lang w:val="en-US"/>
              </w:rPr>
              <w:t>P</w:t>
            </w:r>
            <w:r w:rsidRPr="00BC48AB">
              <w:rPr>
                <w:lang w:val="en-US"/>
              </w:rPr>
              <w:t>roportion of pa</w:t>
            </w:r>
            <w:r>
              <w:rPr>
                <w:lang w:val="en-US"/>
              </w:rPr>
              <w:t>tients ‘cured’ started</w:t>
            </w:r>
            <w:r w:rsidRPr="00BC48AB">
              <w:rPr>
                <w:lang w:val="en-US"/>
              </w:rPr>
              <w:t xml:space="preserve"> to increase from Year </w:t>
            </w:r>
            <w:r>
              <w:rPr>
                <w:lang w:val="en-US"/>
              </w:rPr>
              <w:t>5</w:t>
            </w:r>
            <w:r w:rsidRPr="00BC48AB">
              <w:rPr>
                <w:lang w:val="en-US"/>
              </w:rPr>
              <w:t xml:space="preserve"> and achieve </w:t>
            </w:r>
            <w:r>
              <w:rPr>
                <w:lang w:val="en-US"/>
              </w:rPr>
              <w:t>a m</w:t>
            </w:r>
            <w:r w:rsidRPr="00BC48AB">
              <w:rPr>
                <w:lang w:val="en-US"/>
              </w:rPr>
              <w:t xml:space="preserve">aximum of </w:t>
            </w:r>
            <w:r>
              <w:rPr>
                <w:lang w:val="en-US"/>
              </w:rPr>
              <w:t>95</w:t>
            </w:r>
            <w:r w:rsidRPr="00BC48AB">
              <w:rPr>
                <w:lang w:val="en-US"/>
              </w:rPr>
              <w:t xml:space="preserve">% at Year </w:t>
            </w:r>
            <w:r>
              <w:rPr>
                <w:lang w:val="en-US"/>
              </w:rPr>
              <w:t>7.</w:t>
            </w:r>
          </w:p>
        </w:tc>
        <w:tc>
          <w:tcPr>
            <w:tcW w:w="1937" w:type="pct"/>
            <w:shd w:val="clear" w:color="auto" w:fill="auto"/>
            <w:vAlign w:val="center"/>
          </w:tcPr>
          <w:p w14:paraId="619C572B" w14:textId="40780EE8" w:rsidR="00F2381C" w:rsidRPr="000A6E90" w:rsidRDefault="00F2381C" w:rsidP="00C733FB">
            <w:pPr>
              <w:pStyle w:val="TableText0"/>
            </w:pPr>
            <w:r w:rsidRPr="000A6E90">
              <w:t>Moderate, favoured nivolumab</w:t>
            </w:r>
          </w:p>
          <w:p w14:paraId="45C8E9E8" w14:textId="2E7EC2F2" w:rsidR="00F2381C" w:rsidRPr="00CD7A41" w:rsidRDefault="00F2381C" w:rsidP="00C733FB">
            <w:pPr>
              <w:pStyle w:val="TableText0"/>
              <w:rPr>
                <w:i/>
              </w:rPr>
            </w:pPr>
            <w:r w:rsidRPr="000A6E90">
              <w:t>Delaying time point for cure by 1-2 years increased the ICER to $</w:t>
            </w:r>
            <w:r w:rsidR="001172C3" w:rsidRPr="001172C3">
              <w:rPr>
                <w:color w:val="000000"/>
                <w:spacing w:val="36"/>
                <w:shd w:val="solid" w:color="000000" w:fill="000000"/>
                <w:fitText w:val="438" w:id="-1234435315"/>
                <w14:textFill>
                  <w14:solidFill>
                    <w14:srgbClr w14:val="000000">
                      <w14:alpha w14:val="100000"/>
                    </w14:srgbClr>
                  </w14:solidFill>
                </w14:textFill>
              </w:rPr>
              <w:t>|||||</w:t>
            </w:r>
            <w:r w:rsidR="001172C3" w:rsidRPr="001172C3">
              <w:rPr>
                <w:color w:val="000000"/>
                <w:spacing w:val="3"/>
                <w:shd w:val="solid" w:color="000000" w:fill="000000"/>
                <w:fitText w:val="438" w:id="-1234435315"/>
                <w14:textFill>
                  <w14:solidFill>
                    <w14:srgbClr w14:val="000000">
                      <w14:alpha w14:val="100000"/>
                    </w14:srgbClr>
                  </w14:solidFill>
                </w14:textFill>
              </w:rPr>
              <w:t>|</w:t>
            </w:r>
            <w:r w:rsidR="00463A79">
              <w:rPr>
                <w:vertAlign w:val="superscript"/>
              </w:rPr>
              <w:t>2</w:t>
            </w:r>
            <w:r w:rsidRPr="000A6E90">
              <w:t>-$</w:t>
            </w:r>
            <w:r w:rsidR="001172C3" w:rsidRPr="001172C3">
              <w:rPr>
                <w:color w:val="000000"/>
                <w:spacing w:val="36"/>
                <w:shd w:val="solid" w:color="000000" w:fill="000000"/>
                <w:fitText w:val="438" w:id="-1234435314"/>
                <w14:textFill>
                  <w14:solidFill>
                    <w14:srgbClr w14:val="000000">
                      <w14:alpha w14:val="100000"/>
                    </w14:srgbClr>
                  </w14:solidFill>
                </w14:textFill>
              </w:rPr>
              <w:t>|||||</w:t>
            </w:r>
            <w:r w:rsidR="001172C3" w:rsidRPr="001172C3">
              <w:rPr>
                <w:color w:val="000000"/>
                <w:spacing w:val="3"/>
                <w:shd w:val="solid" w:color="000000" w:fill="000000"/>
                <w:fitText w:val="438" w:id="-1234435314"/>
                <w14:textFill>
                  <w14:solidFill>
                    <w14:srgbClr w14:val="000000">
                      <w14:alpha w14:val="100000"/>
                    </w14:srgbClr>
                  </w14:solidFill>
                </w14:textFill>
              </w:rPr>
              <w:t>|</w:t>
            </w:r>
            <w:r w:rsidR="00463A79">
              <w:rPr>
                <w:vertAlign w:val="superscript"/>
              </w:rPr>
              <w:t>2</w:t>
            </w:r>
            <w:r w:rsidRPr="000A6E90">
              <w:t>/QALY gained.</w:t>
            </w:r>
            <w:r w:rsidR="00CC7AE8">
              <w:t xml:space="preserve"> </w:t>
            </w:r>
          </w:p>
        </w:tc>
      </w:tr>
      <w:tr w:rsidR="00F2381C" w:rsidRPr="00E2771E" w14:paraId="18B9F0E0" w14:textId="77777777" w:rsidTr="00910F31">
        <w:tc>
          <w:tcPr>
            <w:tcW w:w="862" w:type="pct"/>
            <w:shd w:val="clear" w:color="auto" w:fill="auto"/>
            <w:vAlign w:val="center"/>
          </w:tcPr>
          <w:p w14:paraId="0367A47F" w14:textId="77777777" w:rsidR="00F2381C" w:rsidRPr="00E2771E" w:rsidRDefault="00F2381C" w:rsidP="00C733FB">
            <w:pPr>
              <w:pStyle w:val="TableText0"/>
              <w:rPr>
                <w:lang w:val="en-US"/>
              </w:rPr>
            </w:pPr>
            <w:r>
              <w:rPr>
                <w:lang w:val="en-US"/>
              </w:rPr>
              <w:t>Utilities</w:t>
            </w:r>
          </w:p>
        </w:tc>
        <w:tc>
          <w:tcPr>
            <w:tcW w:w="2201" w:type="pct"/>
            <w:shd w:val="clear" w:color="auto" w:fill="auto"/>
            <w:vAlign w:val="center"/>
          </w:tcPr>
          <w:p w14:paraId="3A1E553C" w14:textId="289EF66A" w:rsidR="00F2381C" w:rsidRPr="00E2771E" w:rsidRDefault="00F2381C" w:rsidP="00C733FB">
            <w:pPr>
              <w:pStyle w:val="TableText0"/>
              <w:rPr>
                <w:lang w:val="en-US"/>
              </w:rPr>
            </w:pPr>
            <w:r>
              <w:rPr>
                <w:lang w:val="en-US"/>
              </w:rPr>
              <w:t xml:space="preserve">High values for model health states derived from the key trial: </w:t>
            </w:r>
            <w:r w:rsidRPr="00377ECD">
              <w:rPr>
                <w:lang w:val="en-US"/>
              </w:rPr>
              <w:t>0.850 in EFS and 0.796 in LR</w:t>
            </w:r>
            <w:r>
              <w:rPr>
                <w:lang w:val="en-US"/>
              </w:rPr>
              <w:t>.</w:t>
            </w:r>
          </w:p>
        </w:tc>
        <w:tc>
          <w:tcPr>
            <w:tcW w:w="1937" w:type="pct"/>
            <w:shd w:val="clear" w:color="auto" w:fill="auto"/>
            <w:vAlign w:val="center"/>
          </w:tcPr>
          <w:p w14:paraId="38B8A202" w14:textId="77777777" w:rsidR="00F2381C" w:rsidRPr="000A6E90" w:rsidRDefault="00F2381C" w:rsidP="00C733FB">
            <w:pPr>
              <w:pStyle w:val="TableText0"/>
            </w:pPr>
            <w:r w:rsidRPr="000A6E90">
              <w:t>Moderate, favoured nivolumab</w:t>
            </w:r>
          </w:p>
          <w:p w14:paraId="1E2BFDF2" w14:textId="6E578C27" w:rsidR="00F2381C" w:rsidRPr="00CD7A41" w:rsidRDefault="00F2381C" w:rsidP="00C733FB">
            <w:pPr>
              <w:pStyle w:val="TableText0"/>
              <w:rPr>
                <w:i/>
              </w:rPr>
            </w:pPr>
            <w:r w:rsidRPr="000A6E90">
              <w:t xml:space="preserve">Use of lower health state utilities based on Grutters 2010 data increased the ICER to </w:t>
            </w:r>
            <w:r w:rsidRPr="000A6E90">
              <w:rPr>
                <w:szCs w:val="20"/>
              </w:rPr>
              <w:t>$</w:t>
            </w:r>
            <w:r w:rsidR="001172C3" w:rsidRPr="001172C3">
              <w:rPr>
                <w:color w:val="000000"/>
                <w:spacing w:val="36"/>
                <w:szCs w:val="20"/>
                <w:shd w:val="solid" w:color="000000" w:fill="000000"/>
                <w:fitText w:val="438" w:id="-1234435313"/>
                <w14:textFill>
                  <w14:solidFill>
                    <w14:srgbClr w14:val="000000">
                      <w14:alpha w14:val="100000"/>
                    </w14:srgbClr>
                  </w14:solidFill>
                </w14:textFill>
              </w:rPr>
              <w:t>|||||</w:t>
            </w:r>
            <w:r w:rsidR="001172C3" w:rsidRPr="001172C3">
              <w:rPr>
                <w:color w:val="000000"/>
                <w:spacing w:val="3"/>
                <w:szCs w:val="20"/>
                <w:shd w:val="solid" w:color="000000" w:fill="000000"/>
                <w:fitText w:val="438" w:id="-1234435313"/>
                <w14:textFill>
                  <w14:solidFill>
                    <w14:srgbClr w14:val="000000">
                      <w14:alpha w14:val="100000"/>
                    </w14:srgbClr>
                  </w14:solidFill>
                </w14:textFill>
              </w:rPr>
              <w:t>|</w:t>
            </w:r>
            <w:r w:rsidR="00463A79">
              <w:rPr>
                <w:vertAlign w:val="superscript"/>
              </w:rPr>
              <w:t>2</w:t>
            </w:r>
            <w:r w:rsidRPr="000A6E90">
              <w:rPr>
                <w:szCs w:val="20"/>
              </w:rPr>
              <w:t>/QALY gained.</w:t>
            </w:r>
          </w:p>
        </w:tc>
      </w:tr>
      <w:tr w:rsidR="00F2381C" w:rsidRPr="00E2771E" w14:paraId="6213A100" w14:textId="77777777" w:rsidTr="00910F31">
        <w:tc>
          <w:tcPr>
            <w:tcW w:w="862" w:type="pct"/>
            <w:shd w:val="clear" w:color="auto" w:fill="auto"/>
            <w:vAlign w:val="center"/>
          </w:tcPr>
          <w:p w14:paraId="305A918D" w14:textId="77777777" w:rsidR="00F2381C" w:rsidRPr="00377ECD" w:rsidRDefault="00F2381C" w:rsidP="00C733FB">
            <w:pPr>
              <w:pStyle w:val="TableText0"/>
              <w:rPr>
                <w:lang w:val="en-US"/>
              </w:rPr>
            </w:pPr>
            <w:r>
              <w:rPr>
                <w:lang w:val="en-US"/>
              </w:rPr>
              <w:t>Health outcomes and costs in DM</w:t>
            </w:r>
          </w:p>
        </w:tc>
        <w:tc>
          <w:tcPr>
            <w:tcW w:w="2201" w:type="pct"/>
            <w:shd w:val="clear" w:color="auto" w:fill="auto"/>
          </w:tcPr>
          <w:p w14:paraId="1D8E8F56" w14:textId="156DE582" w:rsidR="00F2381C" w:rsidRPr="00377ECD" w:rsidRDefault="00F2381C" w:rsidP="00C733FB">
            <w:pPr>
              <w:pStyle w:val="TableText0"/>
              <w:rPr>
                <w:lang w:val="en-US"/>
              </w:rPr>
            </w:pPr>
            <w:r>
              <w:rPr>
                <w:lang w:val="en-US"/>
              </w:rPr>
              <w:t>T</w:t>
            </w:r>
            <w:r w:rsidRPr="00377ECD">
              <w:rPr>
                <w:lang w:val="en-US"/>
              </w:rPr>
              <w:t xml:space="preserve">here </w:t>
            </w:r>
            <w:r>
              <w:rPr>
                <w:lang w:val="en-US"/>
              </w:rPr>
              <w:t>were</w:t>
            </w:r>
            <w:r w:rsidRPr="00377ECD">
              <w:rPr>
                <w:lang w:val="en-US"/>
              </w:rPr>
              <w:t xml:space="preserve"> major uncertainties in the </w:t>
            </w:r>
            <w:r>
              <w:rPr>
                <w:lang w:val="en-US"/>
              </w:rPr>
              <w:t>submission’s approach to</w:t>
            </w:r>
            <w:r w:rsidRPr="00377ECD">
              <w:rPr>
                <w:lang w:val="en-US"/>
              </w:rPr>
              <w:t xml:space="preserve"> determination of the health outcomes </w:t>
            </w:r>
            <w:r>
              <w:rPr>
                <w:lang w:val="en-US"/>
              </w:rPr>
              <w:t xml:space="preserve">and cost </w:t>
            </w:r>
            <w:r w:rsidRPr="00377ECD">
              <w:rPr>
                <w:lang w:val="en-US"/>
              </w:rPr>
              <w:t xml:space="preserve">relating to </w:t>
            </w:r>
            <w:r>
              <w:rPr>
                <w:lang w:val="en-US"/>
              </w:rPr>
              <w:t>various</w:t>
            </w:r>
            <w:r w:rsidRPr="00377ECD">
              <w:rPr>
                <w:lang w:val="en-US"/>
              </w:rPr>
              <w:t xml:space="preserve"> DM treatment options</w:t>
            </w:r>
            <w:r>
              <w:rPr>
                <w:lang w:val="en-US"/>
              </w:rPr>
              <w:t>. In addition, the submission’s assumption that a majority of patients in the neoadjuvant nivolumab arm would be retreated with immunotherapy in the DM setting is not in line with current clinical practice.</w:t>
            </w:r>
            <w:r w:rsidR="00CC7AE8">
              <w:rPr>
                <w:lang w:val="en-US"/>
              </w:rPr>
              <w:t xml:space="preserve"> </w:t>
            </w:r>
          </w:p>
        </w:tc>
        <w:tc>
          <w:tcPr>
            <w:tcW w:w="1937" w:type="pct"/>
            <w:shd w:val="clear" w:color="auto" w:fill="auto"/>
            <w:vAlign w:val="center"/>
          </w:tcPr>
          <w:p w14:paraId="011DAA2B" w14:textId="22347C01" w:rsidR="00F2381C" w:rsidRPr="000A6E90" w:rsidRDefault="00F2381C" w:rsidP="00C733FB">
            <w:pPr>
              <w:pStyle w:val="TableText0"/>
            </w:pPr>
            <w:r w:rsidRPr="000A6E90">
              <w:t>Likely moderate, favoured nivolumab</w:t>
            </w:r>
          </w:p>
          <w:p w14:paraId="6A15D184" w14:textId="61D61EED" w:rsidR="00F2381C" w:rsidRPr="00CD7A41" w:rsidRDefault="00F2381C" w:rsidP="00C733FB">
            <w:pPr>
              <w:pStyle w:val="TableText0"/>
              <w:rPr>
                <w:i/>
              </w:rPr>
            </w:pPr>
            <w:r w:rsidRPr="000A6E90">
              <w:t>Assuming different payoffs applied to patient entering the DM state between the two treatment arms, the ICER could increase to $</w:t>
            </w:r>
            <w:r w:rsidR="001172C3" w:rsidRPr="001172C3">
              <w:rPr>
                <w:color w:val="000000"/>
                <w:spacing w:val="36"/>
                <w:shd w:val="solid" w:color="000000" w:fill="000000"/>
                <w:fitText w:val="438" w:id="-1234435312"/>
                <w14:textFill>
                  <w14:solidFill>
                    <w14:srgbClr w14:val="000000">
                      <w14:alpha w14:val="100000"/>
                    </w14:srgbClr>
                  </w14:solidFill>
                </w14:textFill>
              </w:rPr>
              <w:t>|||||</w:t>
            </w:r>
            <w:r w:rsidR="001172C3" w:rsidRPr="001172C3">
              <w:rPr>
                <w:color w:val="000000"/>
                <w:spacing w:val="3"/>
                <w:shd w:val="solid" w:color="000000" w:fill="000000"/>
                <w:fitText w:val="438" w:id="-1234435312"/>
                <w14:textFill>
                  <w14:solidFill>
                    <w14:srgbClr w14:val="000000">
                      <w14:alpha w14:val="100000"/>
                    </w14:srgbClr>
                  </w14:solidFill>
                </w14:textFill>
              </w:rPr>
              <w:t>|</w:t>
            </w:r>
            <w:r w:rsidR="00463A79">
              <w:rPr>
                <w:vertAlign w:val="superscript"/>
              </w:rPr>
              <w:t>2</w:t>
            </w:r>
            <w:r w:rsidRPr="000A6E90">
              <w:t>/QALY gained.</w:t>
            </w:r>
          </w:p>
        </w:tc>
      </w:tr>
    </w:tbl>
    <w:p w14:paraId="26145F75" w14:textId="77777777" w:rsidR="00F2381C" w:rsidRPr="000A6E90" w:rsidRDefault="00F2381C" w:rsidP="00C733FB">
      <w:pPr>
        <w:pStyle w:val="TableFigureFooter"/>
        <w:keepNext/>
      </w:pPr>
      <w:r>
        <w:t xml:space="preserve">Source: </w:t>
      </w:r>
      <w:r w:rsidRPr="000A6E90">
        <w:t>Compiled during the evaluation, based on Section 3.9 of the submission and the sensitivity analyses performed during the evaluation</w:t>
      </w:r>
    </w:p>
    <w:p w14:paraId="769ED8E7" w14:textId="377013CB" w:rsidR="00F2381C" w:rsidRDefault="00F2381C" w:rsidP="00C733FB">
      <w:pPr>
        <w:pStyle w:val="TableFigureFooter"/>
        <w:keepNext/>
        <w:spacing w:after="0"/>
      </w:pPr>
      <w:r>
        <w:t>DM = distant metastasis; EFS = event-free survival; ICER = incremental cost-effectiveness ratio; LR = locoregional recurrence; QALY = quality-adjusted life year</w:t>
      </w:r>
    </w:p>
    <w:p w14:paraId="29CA6C36" w14:textId="77777777" w:rsidR="00463A79" w:rsidRPr="009A6D58" w:rsidRDefault="00463A79" w:rsidP="00463A79">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55A60CC9" w14:textId="37B43684" w:rsidR="00463A79" w:rsidRPr="009A6D58" w:rsidRDefault="00463A79" w:rsidP="00463A79">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463A79">
        <w:rPr>
          <w:rFonts w:ascii="Arial Narrow" w:hAnsi="Arial Narrow"/>
          <w:i/>
          <w:sz w:val="18"/>
          <w:szCs w:val="18"/>
        </w:rPr>
        <w:t>$25,000 to &lt; $35,000</w:t>
      </w:r>
    </w:p>
    <w:p w14:paraId="61B42072" w14:textId="669D9B93" w:rsidR="00463A79" w:rsidRPr="000730B0" w:rsidRDefault="00463A79" w:rsidP="00463A79">
      <w:pPr>
        <w:spacing w:after="120"/>
      </w:pPr>
      <w:r w:rsidRPr="009A6D58">
        <w:rPr>
          <w:rFonts w:ascii="Arial Narrow" w:hAnsi="Arial Narrow"/>
          <w:i/>
          <w:sz w:val="18"/>
          <w:szCs w:val="18"/>
          <w:vertAlign w:val="superscript"/>
        </w:rPr>
        <w:t>2</w:t>
      </w:r>
      <w:r>
        <w:rPr>
          <w:rFonts w:ascii="Arial Narrow" w:hAnsi="Arial Narrow"/>
          <w:i/>
          <w:sz w:val="18"/>
          <w:szCs w:val="18"/>
        </w:rPr>
        <w:t xml:space="preserve"> </w:t>
      </w:r>
      <w:r w:rsidRPr="00463A79">
        <w:rPr>
          <w:rFonts w:ascii="Arial Narrow" w:hAnsi="Arial Narrow"/>
          <w:i/>
          <w:sz w:val="18"/>
          <w:szCs w:val="18"/>
        </w:rPr>
        <w:t>$35,000 to &lt; $45,000</w:t>
      </w:r>
    </w:p>
    <w:bookmarkStart w:id="81" w:name="_Ref104805160"/>
    <w:p w14:paraId="46F4081C" w14:textId="6C437ACD" w:rsidR="00F2381C" w:rsidRDefault="00F2381C" w:rsidP="00F2381C">
      <w:pPr>
        <w:pStyle w:val="3-BodyText"/>
        <w:rPr>
          <w:rFonts w:eastAsia="Trebuchet MS" w:cs="Trebuchet MS"/>
          <w:color w:val="000000" w:themeColor="text1"/>
          <w:lang w:val="en-GB"/>
        </w:rPr>
      </w:pPr>
      <w:r>
        <w:fldChar w:fldCharType="begin"/>
      </w:r>
      <w:r>
        <w:instrText xml:space="preserve"> REF _Ref120906995 \h </w:instrText>
      </w:r>
      <w:r>
        <w:fldChar w:fldCharType="separate"/>
      </w:r>
      <w:r w:rsidR="00A77D90">
        <w:t xml:space="preserve">Table </w:t>
      </w:r>
      <w:r w:rsidR="00A77D90">
        <w:rPr>
          <w:noProof/>
        </w:rPr>
        <w:t>21</w:t>
      </w:r>
      <w:r>
        <w:fldChar w:fldCharType="end"/>
      </w:r>
      <w:r>
        <w:t xml:space="preserve"> presents the results </w:t>
      </w:r>
      <w:r w:rsidR="00B743AD">
        <w:t>of stepped economic evaluation</w:t>
      </w:r>
      <w:r>
        <w:rPr>
          <w:rFonts w:eastAsia="Trebuchet MS" w:cs="Trebuchet MS"/>
          <w:color w:val="000000" w:themeColor="text1"/>
          <w:lang w:val="en-GB"/>
        </w:rPr>
        <w:t>.</w:t>
      </w:r>
    </w:p>
    <w:p w14:paraId="1AE7ED1F" w14:textId="1FE3A09A" w:rsidR="00F2381C" w:rsidRPr="00BB00B3" w:rsidRDefault="00F2381C" w:rsidP="00F2381C">
      <w:pPr>
        <w:pStyle w:val="Caption"/>
      </w:pPr>
      <w:bookmarkStart w:id="82" w:name="_Ref120906995"/>
      <w:r>
        <w:t xml:space="preserve">Table </w:t>
      </w:r>
      <w:r w:rsidR="00A77D90">
        <w:fldChar w:fldCharType="begin"/>
      </w:r>
      <w:r w:rsidR="00A77D90">
        <w:instrText xml:space="preserve"> SEQ Table \* ARABIC </w:instrText>
      </w:r>
      <w:r w:rsidR="00A77D90">
        <w:fldChar w:fldCharType="separate"/>
      </w:r>
      <w:r w:rsidR="00A77D90">
        <w:rPr>
          <w:noProof/>
        </w:rPr>
        <w:t>21</w:t>
      </w:r>
      <w:r w:rsidR="00A77D90">
        <w:rPr>
          <w:noProof/>
        </w:rPr>
        <w:fldChar w:fldCharType="end"/>
      </w:r>
      <w:bookmarkEnd w:id="82"/>
      <w:r>
        <w:t>:</w:t>
      </w:r>
      <w:r w:rsidRPr="00BB00B3">
        <w:rPr>
          <w:rStyle w:val="CommentReference"/>
          <w:b/>
          <w:szCs w:val="24"/>
        </w:rPr>
        <w:t xml:space="preserve"> Results of the </w:t>
      </w:r>
      <w:r>
        <w:rPr>
          <w:rStyle w:val="CommentReference"/>
          <w:b/>
          <w:szCs w:val="24"/>
        </w:rPr>
        <w:t xml:space="preserve">stepped </w:t>
      </w:r>
      <w:r w:rsidRPr="00BB00B3">
        <w:rPr>
          <w:rStyle w:val="CommentReference"/>
          <w:b/>
          <w:szCs w:val="24"/>
        </w:rPr>
        <w:t>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757"/>
        <w:gridCol w:w="2451"/>
        <w:gridCol w:w="2298"/>
        <w:gridCol w:w="1511"/>
      </w:tblGrid>
      <w:tr w:rsidR="00F2381C" w:rsidRPr="00825266" w14:paraId="35950464" w14:textId="77777777" w:rsidTr="00910F31">
        <w:trPr>
          <w:cantSplit/>
          <w:tblHeader/>
        </w:trPr>
        <w:tc>
          <w:tcPr>
            <w:tcW w:w="1529" w:type="pct"/>
            <w:vAlign w:val="center"/>
          </w:tcPr>
          <w:p w14:paraId="4E8074A9" w14:textId="77777777" w:rsidR="00F2381C" w:rsidRPr="00825266" w:rsidRDefault="00F2381C" w:rsidP="00910F31">
            <w:pPr>
              <w:pStyle w:val="In-tableHeading"/>
              <w:rPr>
                <w:szCs w:val="20"/>
              </w:rPr>
            </w:pPr>
            <w:bookmarkStart w:id="83" w:name="_Hlk121415951"/>
          </w:p>
        </w:tc>
        <w:tc>
          <w:tcPr>
            <w:tcW w:w="1359" w:type="pct"/>
            <w:vAlign w:val="center"/>
          </w:tcPr>
          <w:p w14:paraId="31084C4A" w14:textId="77777777" w:rsidR="00F2381C" w:rsidRPr="00825266" w:rsidRDefault="00F2381C" w:rsidP="00910F31">
            <w:pPr>
              <w:pStyle w:val="In-tableHeading"/>
              <w:jc w:val="center"/>
              <w:rPr>
                <w:szCs w:val="20"/>
              </w:rPr>
            </w:pPr>
            <w:r>
              <w:rPr>
                <w:szCs w:val="20"/>
              </w:rPr>
              <w:t>neoNIVO</w:t>
            </w:r>
            <w:r w:rsidRPr="001D0BBA">
              <w:rPr>
                <w:szCs w:val="20"/>
              </w:rPr>
              <w:t>+</w:t>
            </w:r>
            <w:r>
              <w:rPr>
                <w:szCs w:val="20"/>
              </w:rPr>
              <w:t>neoChemo</w:t>
            </w:r>
          </w:p>
        </w:tc>
        <w:tc>
          <w:tcPr>
            <w:tcW w:w="1274" w:type="pct"/>
            <w:vAlign w:val="center"/>
          </w:tcPr>
          <w:p w14:paraId="26638502" w14:textId="77777777" w:rsidR="00F2381C" w:rsidRPr="00825266" w:rsidRDefault="00F2381C" w:rsidP="00910F31">
            <w:pPr>
              <w:pStyle w:val="In-tableHeading"/>
              <w:jc w:val="center"/>
              <w:rPr>
                <w:szCs w:val="20"/>
              </w:rPr>
            </w:pPr>
            <w:r>
              <w:rPr>
                <w:szCs w:val="20"/>
              </w:rPr>
              <w:t>neoChemo</w:t>
            </w:r>
            <w:r w:rsidRPr="00825266">
              <w:rPr>
                <w:szCs w:val="20"/>
              </w:rPr>
              <w:t xml:space="preserve"> </w:t>
            </w:r>
          </w:p>
        </w:tc>
        <w:tc>
          <w:tcPr>
            <w:tcW w:w="838" w:type="pct"/>
            <w:vAlign w:val="center"/>
          </w:tcPr>
          <w:p w14:paraId="52F25433" w14:textId="77777777" w:rsidR="00F2381C" w:rsidRPr="00825266" w:rsidRDefault="00F2381C" w:rsidP="00910F31">
            <w:pPr>
              <w:pStyle w:val="In-tableHeading"/>
              <w:jc w:val="center"/>
              <w:rPr>
                <w:szCs w:val="20"/>
              </w:rPr>
            </w:pPr>
            <w:r w:rsidRPr="00825266">
              <w:rPr>
                <w:szCs w:val="20"/>
              </w:rPr>
              <w:t>Increment</w:t>
            </w:r>
          </w:p>
        </w:tc>
      </w:tr>
      <w:bookmarkEnd w:id="83"/>
      <w:tr w:rsidR="00F2381C" w:rsidRPr="00825266" w14:paraId="2621F9BA" w14:textId="77777777" w:rsidTr="00910F31">
        <w:trPr>
          <w:cantSplit/>
        </w:trPr>
        <w:tc>
          <w:tcPr>
            <w:tcW w:w="5000" w:type="pct"/>
            <w:gridSpan w:val="4"/>
            <w:vAlign w:val="center"/>
          </w:tcPr>
          <w:p w14:paraId="30D63E54" w14:textId="640CDCB5" w:rsidR="00F2381C" w:rsidRPr="00825266" w:rsidRDefault="00F2381C" w:rsidP="00910F31">
            <w:pPr>
              <w:pStyle w:val="In-tableHeading"/>
              <w:rPr>
                <w:szCs w:val="20"/>
              </w:rPr>
            </w:pPr>
            <w:r>
              <w:rPr>
                <w:szCs w:val="20"/>
              </w:rPr>
              <w:t>Step 1: Trial-based per LY gained (time-horizon of 41.4 months</w:t>
            </w:r>
            <w:r w:rsidR="00B743AD">
              <w:rPr>
                <w:szCs w:val="20"/>
                <w:vertAlign w:val="superscript"/>
              </w:rPr>
              <w:t>a</w:t>
            </w:r>
            <w:r>
              <w:rPr>
                <w:szCs w:val="20"/>
              </w:rPr>
              <w:t>)</w:t>
            </w:r>
          </w:p>
        </w:tc>
      </w:tr>
      <w:tr w:rsidR="00F2381C" w:rsidRPr="00825266" w14:paraId="640F44BB" w14:textId="77777777" w:rsidTr="00910F31">
        <w:trPr>
          <w:cantSplit/>
        </w:trPr>
        <w:tc>
          <w:tcPr>
            <w:tcW w:w="1529" w:type="pct"/>
            <w:vAlign w:val="center"/>
          </w:tcPr>
          <w:p w14:paraId="02B93C82" w14:textId="77777777" w:rsidR="00F2381C" w:rsidRPr="00825266" w:rsidRDefault="00F2381C" w:rsidP="00910F31">
            <w:pPr>
              <w:pStyle w:val="TableText0"/>
              <w:rPr>
                <w:szCs w:val="20"/>
              </w:rPr>
            </w:pPr>
            <w:r w:rsidRPr="00825266">
              <w:rPr>
                <w:szCs w:val="20"/>
              </w:rPr>
              <w:t>Costs</w:t>
            </w:r>
          </w:p>
        </w:tc>
        <w:tc>
          <w:tcPr>
            <w:tcW w:w="1359" w:type="pct"/>
            <w:vAlign w:val="center"/>
          </w:tcPr>
          <w:p w14:paraId="1752F310" w14:textId="4A30995B" w:rsidR="00F2381C" w:rsidRPr="00825266" w:rsidRDefault="00F2381C" w:rsidP="00910F31">
            <w:pPr>
              <w:pStyle w:val="TableText0"/>
              <w:jc w:val="center"/>
              <w:rPr>
                <w:szCs w:val="20"/>
              </w:rPr>
            </w:pPr>
            <w:r w:rsidRPr="00825266">
              <w:rPr>
                <w:szCs w:val="20"/>
              </w:rPr>
              <w:t>$</w:t>
            </w:r>
            <w:r w:rsidR="001172C3" w:rsidRPr="001172C3">
              <w:rPr>
                <w:color w:val="000000"/>
                <w:szCs w:val="20"/>
                <w:shd w:val="solid" w:color="000000" w:fill="000000"/>
                <w14:textFill>
                  <w14:solidFill>
                    <w14:srgbClr w14:val="000000">
                      <w14:alpha w14:val="100000"/>
                    </w14:srgbClr>
                  </w14:solidFill>
                </w14:textFill>
              </w:rPr>
              <w:t>|</w:t>
            </w:r>
          </w:p>
        </w:tc>
        <w:tc>
          <w:tcPr>
            <w:tcW w:w="1274" w:type="pct"/>
            <w:vAlign w:val="center"/>
          </w:tcPr>
          <w:p w14:paraId="64436A41" w14:textId="77777777" w:rsidR="00F2381C" w:rsidRPr="00825266" w:rsidRDefault="00F2381C" w:rsidP="00910F31">
            <w:pPr>
              <w:pStyle w:val="TableText0"/>
              <w:jc w:val="center"/>
              <w:rPr>
                <w:szCs w:val="20"/>
              </w:rPr>
            </w:pPr>
            <w:r w:rsidRPr="00825266">
              <w:rPr>
                <w:szCs w:val="20"/>
              </w:rPr>
              <w:t>$66,485</w:t>
            </w:r>
          </w:p>
        </w:tc>
        <w:tc>
          <w:tcPr>
            <w:tcW w:w="838" w:type="pct"/>
            <w:vAlign w:val="center"/>
          </w:tcPr>
          <w:p w14:paraId="09502E5C" w14:textId="0738608F" w:rsidR="00F2381C" w:rsidRPr="00825266" w:rsidRDefault="00F2381C" w:rsidP="00910F31">
            <w:pPr>
              <w:pStyle w:val="TableText0"/>
              <w:jc w:val="center"/>
              <w:rPr>
                <w:szCs w:val="20"/>
              </w:rPr>
            </w:pPr>
            <w:r w:rsidRPr="00825266">
              <w:rPr>
                <w:szCs w:val="20"/>
              </w:rPr>
              <w:t>$</w:t>
            </w:r>
            <w:r w:rsidR="001172C3" w:rsidRPr="00EC5EF5">
              <w:rPr>
                <w:rFonts w:hint="eastAsia"/>
                <w:color w:val="000000"/>
                <w:w w:val="15"/>
                <w:szCs w:val="20"/>
                <w:shd w:val="solid" w:color="000000" w:fill="000000"/>
                <w:fitText w:val="34" w:id="-1234435328"/>
                <w14:textFill>
                  <w14:solidFill>
                    <w14:srgbClr w14:val="000000">
                      <w14:alpha w14:val="100000"/>
                    </w14:srgbClr>
                  </w14:solidFill>
                </w14:textFill>
              </w:rPr>
              <w:t xml:space="preserve">　</w:t>
            </w:r>
            <w:r w:rsidR="001172C3" w:rsidRPr="00EC5EF5">
              <w:rPr>
                <w:color w:val="000000"/>
                <w:w w:val="15"/>
                <w:szCs w:val="20"/>
                <w:shd w:val="solid" w:color="000000" w:fill="000000"/>
                <w:fitText w:val="34" w:id="-1234435328"/>
                <w14:textFill>
                  <w14:solidFill>
                    <w14:srgbClr w14:val="000000">
                      <w14:alpha w14:val="100000"/>
                    </w14:srgbClr>
                  </w14:solidFill>
                </w14:textFill>
              </w:rPr>
              <w:t>|</w:t>
            </w:r>
            <w:r w:rsidR="001172C3" w:rsidRPr="00EC5EF5">
              <w:rPr>
                <w:rFonts w:hint="eastAsia"/>
                <w:color w:val="000000"/>
                <w:spacing w:val="-31"/>
                <w:w w:val="15"/>
                <w:szCs w:val="20"/>
                <w:shd w:val="solid" w:color="000000" w:fill="000000"/>
                <w:fitText w:val="34" w:id="-1234435328"/>
                <w14:textFill>
                  <w14:solidFill>
                    <w14:srgbClr w14:val="000000">
                      <w14:alpha w14:val="100000"/>
                    </w14:srgbClr>
                  </w14:solidFill>
                </w14:textFill>
              </w:rPr>
              <w:t xml:space="preserve">　</w:t>
            </w:r>
          </w:p>
        </w:tc>
      </w:tr>
      <w:tr w:rsidR="00F2381C" w:rsidRPr="00825266" w14:paraId="76352FBD" w14:textId="77777777" w:rsidTr="00910F31">
        <w:trPr>
          <w:cantSplit/>
        </w:trPr>
        <w:tc>
          <w:tcPr>
            <w:tcW w:w="1529" w:type="pct"/>
            <w:vAlign w:val="center"/>
          </w:tcPr>
          <w:p w14:paraId="38CC9473" w14:textId="77777777" w:rsidR="00F2381C" w:rsidRPr="00825266" w:rsidRDefault="00F2381C" w:rsidP="00910F31">
            <w:pPr>
              <w:pStyle w:val="TableText0"/>
              <w:rPr>
                <w:szCs w:val="20"/>
              </w:rPr>
            </w:pPr>
            <w:r w:rsidRPr="00825266">
              <w:rPr>
                <w:szCs w:val="20"/>
              </w:rPr>
              <w:t>LYs</w:t>
            </w:r>
          </w:p>
        </w:tc>
        <w:tc>
          <w:tcPr>
            <w:tcW w:w="1359" w:type="pct"/>
          </w:tcPr>
          <w:p w14:paraId="1B67C371" w14:textId="77777777" w:rsidR="00F2381C" w:rsidRPr="00825266" w:rsidRDefault="00F2381C" w:rsidP="00910F31">
            <w:pPr>
              <w:pStyle w:val="TableText0"/>
              <w:jc w:val="center"/>
              <w:rPr>
                <w:szCs w:val="20"/>
              </w:rPr>
            </w:pPr>
            <w:r w:rsidRPr="00825266">
              <w:rPr>
                <w:szCs w:val="20"/>
              </w:rPr>
              <w:t>2.89</w:t>
            </w:r>
          </w:p>
        </w:tc>
        <w:tc>
          <w:tcPr>
            <w:tcW w:w="1274" w:type="pct"/>
          </w:tcPr>
          <w:p w14:paraId="76C17A59" w14:textId="77777777" w:rsidR="00F2381C" w:rsidRPr="00825266" w:rsidRDefault="00F2381C" w:rsidP="00910F31">
            <w:pPr>
              <w:pStyle w:val="TableText0"/>
              <w:jc w:val="center"/>
              <w:rPr>
                <w:szCs w:val="20"/>
              </w:rPr>
            </w:pPr>
            <w:r w:rsidRPr="00825266">
              <w:rPr>
                <w:szCs w:val="20"/>
              </w:rPr>
              <w:t>2.81</w:t>
            </w:r>
          </w:p>
        </w:tc>
        <w:tc>
          <w:tcPr>
            <w:tcW w:w="838" w:type="pct"/>
            <w:vAlign w:val="center"/>
          </w:tcPr>
          <w:p w14:paraId="777FA04A" w14:textId="77777777" w:rsidR="00F2381C" w:rsidRPr="00825266" w:rsidRDefault="00F2381C" w:rsidP="00910F31">
            <w:pPr>
              <w:pStyle w:val="TableText0"/>
              <w:jc w:val="center"/>
              <w:rPr>
                <w:szCs w:val="20"/>
              </w:rPr>
            </w:pPr>
            <w:r w:rsidRPr="00825266">
              <w:rPr>
                <w:szCs w:val="20"/>
              </w:rPr>
              <w:t>0.09</w:t>
            </w:r>
          </w:p>
        </w:tc>
      </w:tr>
      <w:tr w:rsidR="00F2381C" w:rsidRPr="00825266" w14:paraId="527514FF" w14:textId="77777777" w:rsidTr="00910F31">
        <w:trPr>
          <w:cantSplit/>
        </w:trPr>
        <w:tc>
          <w:tcPr>
            <w:tcW w:w="4162" w:type="pct"/>
            <w:gridSpan w:val="3"/>
            <w:vAlign w:val="center"/>
          </w:tcPr>
          <w:p w14:paraId="71756569" w14:textId="77777777" w:rsidR="00F2381C" w:rsidRPr="00825266" w:rsidRDefault="00F2381C" w:rsidP="00910F31">
            <w:pPr>
              <w:pStyle w:val="TableText0"/>
              <w:rPr>
                <w:szCs w:val="20"/>
              </w:rPr>
            </w:pPr>
            <w:r w:rsidRPr="00825266">
              <w:rPr>
                <w:szCs w:val="20"/>
              </w:rPr>
              <w:t>Incremental cost/extra LYs gained</w:t>
            </w:r>
          </w:p>
        </w:tc>
        <w:tc>
          <w:tcPr>
            <w:tcW w:w="838" w:type="pct"/>
            <w:vAlign w:val="center"/>
          </w:tcPr>
          <w:p w14:paraId="3FC061CF" w14:textId="029D2F90" w:rsidR="00F2381C" w:rsidRPr="00463A79" w:rsidRDefault="00F2381C" w:rsidP="00910F31">
            <w:pPr>
              <w:pStyle w:val="TableText0"/>
              <w:jc w:val="center"/>
              <w:rPr>
                <w:szCs w:val="20"/>
                <w:vertAlign w:val="superscript"/>
              </w:rPr>
            </w:pPr>
            <w:r w:rsidRPr="00825266">
              <w:rPr>
                <w:szCs w:val="20"/>
              </w:rPr>
              <w:t>$</w:t>
            </w:r>
            <w:r w:rsidR="001172C3" w:rsidRPr="001172C3">
              <w:rPr>
                <w:rFonts w:hint="eastAsia"/>
                <w:color w:val="000000"/>
                <w:w w:val="15"/>
                <w:szCs w:val="20"/>
                <w:shd w:val="solid" w:color="000000" w:fill="000000"/>
                <w:fitText w:val="58" w:id="-1234435327"/>
                <w14:textFill>
                  <w14:solidFill>
                    <w14:srgbClr w14:val="000000">
                      <w14:alpha w14:val="100000"/>
                    </w14:srgbClr>
                  </w14:solidFill>
                </w14:textFill>
              </w:rPr>
              <w:t xml:space="preserve">　</w:t>
            </w:r>
            <w:r w:rsidR="001172C3" w:rsidRPr="001172C3">
              <w:rPr>
                <w:color w:val="000000"/>
                <w:w w:val="15"/>
                <w:szCs w:val="20"/>
                <w:shd w:val="solid" w:color="000000" w:fill="000000"/>
                <w:fitText w:val="58" w:id="-1234435327"/>
                <w14:textFill>
                  <w14:solidFill>
                    <w14:srgbClr w14:val="000000">
                      <w14:alpha w14:val="100000"/>
                    </w14:srgbClr>
                  </w14:solidFill>
                </w14:textFill>
              </w:rPr>
              <w:t>|</w:t>
            </w:r>
            <w:r w:rsidR="001172C3" w:rsidRPr="001172C3">
              <w:rPr>
                <w:rFonts w:hint="eastAsia"/>
                <w:color w:val="000000"/>
                <w:spacing w:val="-7"/>
                <w:w w:val="15"/>
                <w:szCs w:val="20"/>
                <w:shd w:val="solid" w:color="000000" w:fill="000000"/>
                <w:fitText w:val="58" w:id="-1234435327"/>
                <w14:textFill>
                  <w14:solidFill>
                    <w14:srgbClr w14:val="000000">
                      <w14:alpha w14:val="100000"/>
                    </w14:srgbClr>
                  </w14:solidFill>
                </w14:textFill>
              </w:rPr>
              <w:t xml:space="preserve">　</w:t>
            </w:r>
            <w:r w:rsidR="00463A79">
              <w:rPr>
                <w:szCs w:val="20"/>
                <w:vertAlign w:val="superscript"/>
              </w:rPr>
              <w:t>1</w:t>
            </w:r>
          </w:p>
        </w:tc>
      </w:tr>
      <w:tr w:rsidR="00F2381C" w:rsidRPr="008C1097" w14:paraId="29161101" w14:textId="77777777" w:rsidTr="00910F31">
        <w:trPr>
          <w:cantSplit/>
        </w:trPr>
        <w:tc>
          <w:tcPr>
            <w:tcW w:w="5000" w:type="pct"/>
            <w:gridSpan w:val="4"/>
            <w:vAlign w:val="center"/>
          </w:tcPr>
          <w:p w14:paraId="70B34975" w14:textId="5C7BF819" w:rsidR="00F2381C" w:rsidRPr="004229BD" w:rsidRDefault="00F2381C" w:rsidP="00910F31">
            <w:pPr>
              <w:pStyle w:val="In-tableHeading"/>
              <w:rPr>
                <w:bCs/>
                <w:szCs w:val="20"/>
              </w:rPr>
            </w:pPr>
            <w:r>
              <w:rPr>
                <w:bCs/>
                <w:szCs w:val="20"/>
              </w:rPr>
              <w:t xml:space="preserve">Step 2: </w:t>
            </w:r>
            <w:r w:rsidRPr="004229BD">
              <w:rPr>
                <w:bCs/>
                <w:szCs w:val="20"/>
              </w:rPr>
              <w:t>Trial</w:t>
            </w:r>
            <w:r>
              <w:rPr>
                <w:bCs/>
                <w:szCs w:val="20"/>
              </w:rPr>
              <w:t xml:space="preserve">-based per QALY gained (trial </w:t>
            </w:r>
            <w:r w:rsidRPr="004229BD">
              <w:rPr>
                <w:bCs/>
                <w:szCs w:val="20"/>
              </w:rPr>
              <w:t>data transformed to clinical outcome</w:t>
            </w:r>
            <w:r>
              <w:rPr>
                <w:bCs/>
                <w:szCs w:val="20"/>
              </w:rPr>
              <w:t>)</w:t>
            </w:r>
          </w:p>
        </w:tc>
      </w:tr>
      <w:tr w:rsidR="00F2381C" w:rsidRPr="00825266" w14:paraId="5711E8D3" w14:textId="77777777" w:rsidTr="00910F31">
        <w:trPr>
          <w:cantSplit/>
        </w:trPr>
        <w:tc>
          <w:tcPr>
            <w:tcW w:w="1529" w:type="pct"/>
            <w:vAlign w:val="center"/>
          </w:tcPr>
          <w:p w14:paraId="4E9724CF" w14:textId="77777777" w:rsidR="00F2381C" w:rsidRPr="00825266" w:rsidRDefault="00F2381C" w:rsidP="00910F31">
            <w:pPr>
              <w:pStyle w:val="TableText0"/>
              <w:rPr>
                <w:szCs w:val="20"/>
              </w:rPr>
            </w:pPr>
            <w:r w:rsidRPr="00825266">
              <w:rPr>
                <w:szCs w:val="20"/>
              </w:rPr>
              <w:t>Costs</w:t>
            </w:r>
          </w:p>
        </w:tc>
        <w:tc>
          <w:tcPr>
            <w:tcW w:w="1359" w:type="pct"/>
            <w:vAlign w:val="center"/>
          </w:tcPr>
          <w:p w14:paraId="176C040D" w14:textId="2A6F5725" w:rsidR="00F2381C" w:rsidRPr="00825266" w:rsidRDefault="00F2381C" w:rsidP="00910F31">
            <w:pPr>
              <w:pStyle w:val="TableText0"/>
              <w:jc w:val="center"/>
              <w:rPr>
                <w:szCs w:val="20"/>
              </w:rPr>
            </w:pPr>
            <w:r w:rsidRPr="00825266">
              <w:rPr>
                <w:szCs w:val="20"/>
              </w:rPr>
              <w:t>$</w:t>
            </w:r>
            <w:r w:rsidR="001172C3" w:rsidRPr="001172C3">
              <w:rPr>
                <w:color w:val="000000"/>
                <w:szCs w:val="20"/>
                <w:shd w:val="solid" w:color="000000" w:fill="000000"/>
                <w14:textFill>
                  <w14:solidFill>
                    <w14:srgbClr w14:val="000000">
                      <w14:alpha w14:val="100000"/>
                    </w14:srgbClr>
                  </w14:solidFill>
                </w14:textFill>
              </w:rPr>
              <w:t>|</w:t>
            </w:r>
          </w:p>
        </w:tc>
        <w:tc>
          <w:tcPr>
            <w:tcW w:w="1274" w:type="pct"/>
            <w:vAlign w:val="center"/>
          </w:tcPr>
          <w:p w14:paraId="25E41AF3" w14:textId="77777777" w:rsidR="00F2381C" w:rsidRPr="00825266" w:rsidRDefault="00F2381C" w:rsidP="00910F31">
            <w:pPr>
              <w:pStyle w:val="TableText0"/>
              <w:jc w:val="center"/>
              <w:rPr>
                <w:szCs w:val="20"/>
              </w:rPr>
            </w:pPr>
            <w:r w:rsidRPr="00825266">
              <w:rPr>
                <w:szCs w:val="20"/>
              </w:rPr>
              <w:t>$</w:t>
            </w:r>
            <w:r w:rsidRPr="00463A79">
              <w:rPr>
                <w:szCs w:val="20"/>
              </w:rPr>
              <w:t>66,485</w:t>
            </w:r>
          </w:p>
        </w:tc>
        <w:tc>
          <w:tcPr>
            <w:tcW w:w="838" w:type="pct"/>
            <w:vAlign w:val="center"/>
          </w:tcPr>
          <w:p w14:paraId="3AEAA6E8" w14:textId="63E28527" w:rsidR="00F2381C" w:rsidRPr="00825266" w:rsidRDefault="00F2381C" w:rsidP="00910F31">
            <w:pPr>
              <w:pStyle w:val="TableText0"/>
              <w:jc w:val="center"/>
              <w:rPr>
                <w:szCs w:val="20"/>
              </w:rPr>
            </w:pPr>
            <w:r w:rsidRPr="00825266">
              <w:rPr>
                <w:szCs w:val="20"/>
              </w:rPr>
              <w:t>$</w:t>
            </w:r>
            <w:r w:rsidR="001172C3" w:rsidRPr="00EC5EF5">
              <w:rPr>
                <w:rFonts w:hint="eastAsia"/>
                <w:color w:val="000000"/>
                <w:w w:val="15"/>
                <w:szCs w:val="20"/>
                <w:shd w:val="solid" w:color="000000" w:fill="000000"/>
                <w:fitText w:val="34" w:id="-1234435326"/>
                <w14:textFill>
                  <w14:solidFill>
                    <w14:srgbClr w14:val="000000">
                      <w14:alpha w14:val="100000"/>
                    </w14:srgbClr>
                  </w14:solidFill>
                </w14:textFill>
              </w:rPr>
              <w:t xml:space="preserve">　</w:t>
            </w:r>
            <w:r w:rsidR="001172C3" w:rsidRPr="00EC5EF5">
              <w:rPr>
                <w:color w:val="000000"/>
                <w:w w:val="15"/>
                <w:szCs w:val="20"/>
                <w:shd w:val="solid" w:color="000000" w:fill="000000"/>
                <w:fitText w:val="34" w:id="-1234435326"/>
                <w14:textFill>
                  <w14:solidFill>
                    <w14:srgbClr w14:val="000000">
                      <w14:alpha w14:val="100000"/>
                    </w14:srgbClr>
                  </w14:solidFill>
                </w14:textFill>
              </w:rPr>
              <w:t>|</w:t>
            </w:r>
            <w:r w:rsidR="001172C3" w:rsidRPr="00EC5EF5">
              <w:rPr>
                <w:rFonts w:hint="eastAsia"/>
                <w:color w:val="000000"/>
                <w:spacing w:val="-31"/>
                <w:w w:val="15"/>
                <w:szCs w:val="20"/>
                <w:shd w:val="solid" w:color="000000" w:fill="000000"/>
                <w:fitText w:val="34" w:id="-1234435326"/>
                <w14:textFill>
                  <w14:solidFill>
                    <w14:srgbClr w14:val="000000">
                      <w14:alpha w14:val="100000"/>
                    </w14:srgbClr>
                  </w14:solidFill>
                </w14:textFill>
              </w:rPr>
              <w:t xml:space="preserve">　</w:t>
            </w:r>
          </w:p>
        </w:tc>
      </w:tr>
      <w:tr w:rsidR="00F2381C" w:rsidRPr="00825266" w14:paraId="0CD8D1D3" w14:textId="77777777" w:rsidTr="00910F31">
        <w:trPr>
          <w:cantSplit/>
        </w:trPr>
        <w:tc>
          <w:tcPr>
            <w:tcW w:w="1529" w:type="pct"/>
            <w:vAlign w:val="center"/>
          </w:tcPr>
          <w:p w14:paraId="651DB89F" w14:textId="77777777" w:rsidR="00F2381C" w:rsidRPr="00825266" w:rsidRDefault="00F2381C" w:rsidP="00910F31">
            <w:pPr>
              <w:pStyle w:val="TableText0"/>
              <w:rPr>
                <w:szCs w:val="20"/>
              </w:rPr>
            </w:pPr>
            <w:r w:rsidRPr="00825266">
              <w:rPr>
                <w:szCs w:val="20"/>
              </w:rPr>
              <w:t>QALYs</w:t>
            </w:r>
          </w:p>
        </w:tc>
        <w:tc>
          <w:tcPr>
            <w:tcW w:w="1359" w:type="pct"/>
          </w:tcPr>
          <w:p w14:paraId="4040A106" w14:textId="77777777" w:rsidR="00F2381C" w:rsidRPr="00825266" w:rsidRDefault="00F2381C" w:rsidP="00910F31">
            <w:pPr>
              <w:pStyle w:val="TableText0"/>
              <w:jc w:val="center"/>
              <w:rPr>
                <w:szCs w:val="20"/>
              </w:rPr>
            </w:pPr>
            <w:r w:rsidRPr="00825266">
              <w:rPr>
                <w:szCs w:val="20"/>
              </w:rPr>
              <w:t>2.35</w:t>
            </w:r>
          </w:p>
        </w:tc>
        <w:tc>
          <w:tcPr>
            <w:tcW w:w="1274" w:type="pct"/>
          </w:tcPr>
          <w:p w14:paraId="0A6E474A" w14:textId="77777777" w:rsidR="00F2381C" w:rsidRPr="00825266" w:rsidRDefault="00F2381C" w:rsidP="00910F31">
            <w:pPr>
              <w:pStyle w:val="TableText0"/>
              <w:jc w:val="center"/>
              <w:rPr>
                <w:szCs w:val="20"/>
              </w:rPr>
            </w:pPr>
            <w:r w:rsidRPr="00825266">
              <w:rPr>
                <w:szCs w:val="20"/>
              </w:rPr>
              <w:t>2.26</w:t>
            </w:r>
          </w:p>
        </w:tc>
        <w:tc>
          <w:tcPr>
            <w:tcW w:w="838" w:type="pct"/>
            <w:vAlign w:val="center"/>
          </w:tcPr>
          <w:p w14:paraId="43B188C5" w14:textId="77777777" w:rsidR="00F2381C" w:rsidRPr="00825266" w:rsidRDefault="00F2381C" w:rsidP="00910F31">
            <w:pPr>
              <w:pStyle w:val="TableText0"/>
              <w:jc w:val="center"/>
              <w:rPr>
                <w:szCs w:val="20"/>
              </w:rPr>
            </w:pPr>
            <w:r w:rsidRPr="00825266">
              <w:rPr>
                <w:szCs w:val="20"/>
              </w:rPr>
              <w:t>0.10</w:t>
            </w:r>
          </w:p>
        </w:tc>
      </w:tr>
      <w:tr w:rsidR="00F2381C" w:rsidRPr="00825266" w14:paraId="7759ECD0" w14:textId="77777777" w:rsidTr="00910F31">
        <w:trPr>
          <w:cantSplit/>
        </w:trPr>
        <w:tc>
          <w:tcPr>
            <w:tcW w:w="4162" w:type="pct"/>
            <w:gridSpan w:val="3"/>
            <w:vAlign w:val="center"/>
          </w:tcPr>
          <w:p w14:paraId="74F64079" w14:textId="77777777" w:rsidR="00F2381C" w:rsidRPr="00825266" w:rsidRDefault="00F2381C" w:rsidP="00910F31">
            <w:pPr>
              <w:pStyle w:val="TableText0"/>
              <w:rPr>
                <w:szCs w:val="20"/>
              </w:rPr>
            </w:pPr>
            <w:r w:rsidRPr="00825266">
              <w:rPr>
                <w:szCs w:val="20"/>
              </w:rPr>
              <w:t>Incremental cost/extra QALYs gained</w:t>
            </w:r>
          </w:p>
        </w:tc>
        <w:tc>
          <w:tcPr>
            <w:tcW w:w="838" w:type="pct"/>
            <w:vAlign w:val="center"/>
          </w:tcPr>
          <w:p w14:paraId="26146456" w14:textId="56F3CE51" w:rsidR="00F2381C" w:rsidRPr="00463A79" w:rsidRDefault="00F2381C" w:rsidP="00910F31">
            <w:pPr>
              <w:pStyle w:val="TableText0"/>
              <w:jc w:val="center"/>
              <w:rPr>
                <w:szCs w:val="20"/>
                <w:vertAlign w:val="superscript"/>
              </w:rPr>
            </w:pPr>
            <w:r w:rsidRPr="00825266">
              <w:rPr>
                <w:szCs w:val="20"/>
              </w:rPr>
              <w:t>$</w:t>
            </w:r>
            <w:r w:rsidR="001172C3" w:rsidRPr="001172C3">
              <w:rPr>
                <w:rFonts w:hint="eastAsia"/>
                <w:color w:val="000000"/>
                <w:w w:val="15"/>
                <w:szCs w:val="20"/>
                <w:shd w:val="solid" w:color="000000" w:fill="000000"/>
                <w:fitText w:val="58" w:id="-1234435325"/>
                <w14:textFill>
                  <w14:solidFill>
                    <w14:srgbClr w14:val="000000">
                      <w14:alpha w14:val="100000"/>
                    </w14:srgbClr>
                  </w14:solidFill>
                </w14:textFill>
              </w:rPr>
              <w:t xml:space="preserve">　</w:t>
            </w:r>
            <w:r w:rsidR="001172C3" w:rsidRPr="001172C3">
              <w:rPr>
                <w:color w:val="000000"/>
                <w:w w:val="15"/>
                <w:szCs w:val="20"/>
                <w:shd w:val="solid" w:color="000000" w:fill="000000"/>
                <w:fitText w:val="58" w:id="-1234435325"/>
                <w14:textFill>
                  <w14:solidFill>
                    <w14:srgbClr w14:val="000000">
                      <w14:alpha w14:val="100000"/>
                    </w14:srgbClr>
                  </w14:solidFill>
                </w14:textFill>
              </w:rPr>
              <w:t>|</w:t>
            </w:r>
            <w:r w:rsidR="001172C3" w:rsidRPr="001172C3">
              <w:rPr>
                <w:rFonts w:hint="eastAsia"/>
                <w:color w:val="000000"/>
                <w:spacing w:val="-7"/>
                <w:w w:val="15"/>
                <w:szCs w:val="20"/>
                <w:shd w:val="solid" w:color="000000" w:fill="000000"/>
                <w:fitText w:val="58" w:id="-1234435325"/>
                <w14:textFill>
                  <w14:solidFill>
                    <w14:srgbClr w14:val="000000">
                      <w14:alpha w14:val="100000"/>
                    </w14:srgbClr>
                  </w14:solidFill>
                </w14:textFill>
              </w:rPr>
              <w:t xml:space="preserve">　</w:t>
            </w:r>
            <w:r w:rsidR="00463A79">
              <w:rPr>
                <w:szCs w:val="20"/>
                <w:vertAlign w:val="superscript"/>
              </w:rPr>
              <w:t>1</w:t>
            </w:r>
          </w:p>
        </w:tc>
      </w:tr>
      <w:tr w:rsidR="00F2381C" w:rsidRPr="00825266" w14:paraId="34B3446F" w14:textId="77777777" w:rsidTr="00910F31">
        <w:trPr>
          <w:cantSplit/>
        </w:trPr>
        <w:tc>
          <w:tcPr>
            <w:tcW w:w="5000" w:type="pct"/>
            <w:gridSpan w:val="4"/>
            <w:vAlign w:val="center"/>
          </w:tcPr>
          <w:p w14:paraId="4FDEE2E5" w14:textId="58E0BFE2" w:rsidR="00F2381C" w:rsidRPr="00825266" w:rsidRDefault="00F2381C" w:rsidP="00910F31">
            <w:pPr>
              <w:pStyle w:val="In-tableHeading"/>
              <w:rPr>
                <w:szCs w:val="20"/>
              </w:rPr>
            </w:pPr>
            <w:r>
              <w:rPr>
                <w:szCs w:val="20"/>
              </w:rPr>
              <w:t>Step 3: Cost per LY gained extrapolated to 25 years</w:t>
            </w:r>
          </w:p>
        </w:tc>
      </w:tr>
      <w:tr w:rsidR="00F2381C" w:rsidRPr="00825266" w14:paraId="727AA77E" w14:textId="77777777" w:rsidTr="00910F31">
        <w:trPr>
          <w:cantSplit/>
        </w:trPr>
        <w:tc>
          <w:tcPr>
            <w:tcW w:w="1529" w:type="pct"/>
            <w:vAlign w:val="center"/>
          </w:tcPr>
          <w:p w14:paraId="16D15323" w14:textId="77777777" w:rsidR="00F2381C" w:rsidRPr="00825266" w:rsidRDefault="00F2381C" w:rsidP="00910F31">
            <w:pPr>
              <w:pStyle w:val="TableText0"/>
              <w:rPr>
                <w:szCs w:val="20"/>
              </w:rPr>
            </w:pPr>
            <w:r w:rsidRPr="00825266">
              <w:rPr>
                <w:szCs w:val="20"/>
              </w:rPr>
              <w:t>Costs</w:t>
            </w:r>
          </w:p>
        </w:tc>
        <w:tc>
          <w:tcPr>
            <w:tcW w:w="1359" w:type="pct"/>
          </w:tcPr>
          <w:p w14:paraId="776F2746" w14:textId="4ECB3796" w:rsidR="00F2381C" w:rsidRPr="00825266" w:rsidRDefault="00F2381C" w:rsidP="00910F31">
            <w:pPr>
              <w:pStyle w:val="TableText0"/>
              <w:jc w:val="center"/>
              <w:rPr>
                <w:szCs w:val="20"/>
              </w:rPr>
            </w:pPr>
            <w:r w:rsidRPr="00825266">
              <w:rPr>
                <w:szCs w:val="20"/>
              </w:rPr>
              <w:t>$</w:t>
            </w:r>
            <w:r w:rsidR="001172C3" w:rsidRPr="001172C3">
              <w:rPr>
                <w:color w:val="000000"/>
                <w:szCs w:val="20"/>
                <w:shd w:val="solid" w:color="000000" w:fill="000000"/>
                <w14:textFill>
                  <w14:solidFill>
                    <w14:srgbClr w14:val="000000">
                      <w14:alpha w14:val="100000"/>
                    </w14:srgbClr>
                  </w14:solidFill>
                </w14:textFill>
              </w:rPr>
              <w:t>|</w:t>
            </w:r>
          </w:p>
        </w:tc>
        <w:tc>
          <w:tcPr>
            <w:tcW w:w="1274" w:type="pct"/>
          </w:tcPr>
          <w:p w14:paraId="7E42A628" w14:textId="77777777" w:rsidR="00F2381C" w:rsidRPr="00825266" w:rsidRDefault="00F2381C" w:rsidP="00910F31">
            <w:pPr>
              <w:pStyle w:val="TableText0"/>
              <w:jc w:val="center"/>
              <w:rPr>
                <w:szCs w:val="20"/>
              </w:rPr>
            </w:pPr>
            <w:r w:rsidRPr="00825266">
              <w:rPr>
                <w:szCs w:val="20"/>
              </w:rPr>
              <w:t>$95,163</w:t>
            </w:r>
          </w:p>
        </w:tc>
        <w:tc>
          <w:tcPr>
            <w:tcW w:w="838" w:type="pct"/>
            <w:vAlign w:val="center"/>
          </w:tcPr>
          <w:p w14:paraId="5DED44F1" w14:textId="240F0612" w:rsidR="00F2381C" w:rsidRPr="00825266" w:rsidRDefault="00F2381C" w:rsidP="00910F31">
            <w:pPr>
              <w:pStyle w:val="TableText0"/>
              <w:jc w:val="center"/>
              <w:rPr>
                <w:szCs w:val="20"/>
              </w:rPr>
            </w:pPr>
            <w:r w:rsidRPr="00825266">
              <w:rPr>
                <w:szCs w:val="20"/>
              </w:rPr>
              <w:t>$</w:t>
            </w:r>
            <w:r w:rsidR="001172C3" w:rsidRPr="00EC5EF5">
              <w:rPr>
                <w:rFonts w:hint="eastAsia"/>
                <w:color w:val="000000"/>
                <w:w w:val="15"/>
                <w:szCs w:val="20"/>
                <w:shd w:val="solid" w:color="000000" w:fill="000000"/>
                <w:fitText w:val="34" w:id="-1234435324"/>
                <w14:textFill>
                  <w14:solidFill>
                    <w14:srgbClr w14:val="000000">
                      <w14:alpha w14:val="100000"/>
                    </w14:srgbClr>
                  </w14:solidFill>
                </w14:textFill>
              </w:rPr>
              <w:t xml:space="preserve">　</w:t>
            </w:r>
            <w:r w:rsidR="001172C3" w:rsidRPr="00EC5EF5">
              <w:rPr>
                <w:color w:val="000000"/>
                <w:w w:val="15"/>
                <w:szCs w:val="20"/>
                <w:shd w:val="solid" w:color="000000" w:fill="000000"/>
                <w:fitText w:val="34" w:id="-1234435324"/>
                <w14:textFill>
                  <w14:solidFill>
                    <w14:srgbClr w14:val="000000">
                      <w14:alpha w14:val="100000"/>
                    </w14:srgbClr>
                  </w14:solidFill>
                </w14:textFill>
              </w:rPr>
              <w:t>|</w:t>
            </w:r>
            <w:r w:rsidR="001172C3" w:rsidRPr="00EC5EF5">
              <w:rPr>
                <w:rFonts w:hint="eastAsia"/>
                <w:color w:val="000000"/>
                <w:spacing w:val="-31"/>
                <w:w w:val="15"/>
                <w:szCs w:val="20"/>
                <w:shd w:val="solid" w:color="000000" w:fill="000000"/>
                <w:fitText w:val="34" w:id="-1234435324"/>
                <w14:textFill>
                  <w14:solidFill>
                    <w14:srgbClr w14:val="000000">
                      <w14:alpha w14:val="100000"/>
                    </w14:srgbClr>
                  </w14:solidFill>
                </w14:textFill>
              </w:rPr>
              <w:t xml:space="preserve">　</w:t>
            </w:r>
          </w:p>
        </w:tc>
      </w:tr>
      <w:tr w:rsidR="00F2381C" w:rsidRPr="00825266" w14:paraId="229519DB" w14:textId="77777777" w:rsidTr="00910F31">
        <w:trPr>
          <w:cantSplit/>
        </w:trPr>
        <w:tc>
          <w:tcPr>
            <w:tcW w:w="1529" w:type="pct"/>
            <w:vAlign w:val="center"/>
          </w:tcPr>
          <w:p w14:paraId="667873B9" w14:textId="77777777" w:rsidR="00F2381C" w:rsidRPr="00825266" w:rsidRDefault="00F2381C" w:rsidP="00910F31">
            <w:pPr>
              <w:pStyle w:val="TableText0"/>
              <w:rPr>
                <w:szCs w:val="20"/>
              </w:rPr>
            </w:pPr>
            <w:r w:rsidRPr="00825266">
              <w:rPr>
                <w:szCs w:val="20"/>
              </w:rPr>
              <w:t>LYs</w:t>
            </w:r>
          </w:p>
        </w:tc>
        <w:tc>
          <w:tcPr>
            <w:tcW w:w="1359" w:type="pct"/>
          </w:tcPr>
          <w:p w14:paraId="35FC703A" w14:textId="77777777" w:rsidR="00F2381C" w:rsidRPr="00825266" w:rsidRDefault="00F2381C" w:rsidP="00910F31">
            <w:pPr>
              <w:pStyle w:val="TableText0"/>
              <w:jc w:val="center"/>
              <w:rPr>
                <w:szCs w:val="20"/>
              </w:rPr>
            </w:pPr>
            <w:r w:rsidRPr="00825266">
              <w:rPr>
                <w:szCs w:val="20"/>
              </w:rPr>
              <w:t>6.62</w:t>
            </w:r>
          </w:p>
        </w:tc>
        <w:tc>
          <w:tcPr>
            <w:tcW w:w="1274" w:type="pct"/>
          </w:tcPr>
          <w:p w14:paraId="306A29C1" w14:textId="77777777" w:rsidR="00F2381C" w:rsidRPr="00825266" w:rsidRDefault="00F2381C" w:rsidP="00910F31">
            <w:pPr>
              <w:pStyle w:val="TableText0"/>
              <w:jc w:val="center"/>
              <w:rPr>
                <w:szCs w:val="20"/>
              </w:rPr>
            </w:pPr>
            <w:r w:rsidRPr="00825266">
              <w:rPr>
                <w:szCs w:val="20"/>
              </w:rPr>
              <w:t>5.39</w:t>
            </w:r>
          </w:p>
        </w:tc>
        <w:tc>
          <w:tcPr>
            <w:tcW w:w="838" w:type="pct"/>
            <w:vAlign w:val="center"/>
          </w:tcPr>
          <w:p w14:paraId="73D08BEE" w14:textId="77777777" w:rsidR="00F2381C" w:rsidRPr="00825266" w:rsidRDefault="00F2381C" w:rsidP="00910F31">
            <w:pPr>
              <w:pStyle w:val="TableText0"/>
              <w:jc w:val="center"/>
              <w:rPr>
                <w:szCs w:val="20"/>
              </w:rPr>
            </w:pPr>
            <w:r w:rsidRPr="00825266">
              <w:rPr>
                <w:szCs w:val="20"/>
              </w:rPr>
              <w:t>1.23</w:t>
            </w:r>
          </w:p>
        </w:tc>
      </w:tr>
      <w:tr w:rsidR="00F2381C" w:rsidRPr="00825266" w14:paraId="22DBC124" w14:textId="77777777" w:rsidTr="00910F31">
        <w:trPr>
          <w:cantSplit/>
        </w:trPr>
        <w:tc>
          <w:tcPr>
            <w:tcW w:w="4162" w:type="pct"/>
            <w:gridSpan w:val="3"/>
            <w:vAlign w:val="center"/>
          </w:tcPr>
          <w:p w14:paraId="4D0DABB8" w14:textId="228CCD0D" w:rsidR="00F2381C" w:rsidRPr="004229BD" w:rsidRDefault="00F2381C" w:rsidP="00910F31">
            <w:pPr>
              <w:pStyle w:val="TableText0"/>
              <w:rPr>
                <w:b/>
                <w:bCs w:val="0"/>
                <w:szCs w:val="20"/>
              </w:rPr>
            </w:pPr>
            <w:r w:rsidRPr="004229BD">
              <w:rPr>
                <w:b/>
                <w:bCs w:val="0"/>
                <w:szCs w:val="20"/>
              </w:rPr>
              <w:t>Incremental cost</w:t>
            </w:r>
            <w:r w:rsidR="006B0E1A">
              <w:rPr>
                <w:b/>
                <w:bCs w:val="0"/>
                <w:szCs w:val="20"/>
              </w:rPr>
              <w:t xml:space="preserve"> per</w:t>
            </w:r>
            <w:r w:rsidRPr="004229BD">
              <w:rPr>
                <w:b/>
                <w:bCs w:val="0"/>
                <w:szCs w:val="20"/>
              </w:rPr>
              <w:t xml:space="preserve"> </w:t>
            </w:r>
            <w:r w:rsidR="006B0E1A">
              <w:rPr>
                <w:b/>
                <w:bCs w:val="0"/>
                <w:szCs w:val="20"/>
              </w:rPr>
              <w:t>QA</w:t>
            </w:r>
            <w:r w:rsidRPr="004229BD">
              <w:rPr>
                <w:b/>
                <w:bCs w:val="0"/>
                <w:szCs w:val="20"/>
              </w:rPr>
              <w:t>LY gained</w:t>
            </w:r>
            <w:r w:rsidR="006B0E1A">
              <w:rPr>
                <w:b/>
                <w:bCs w:val="0"/>
                <w:szCs w:val="20"/>
              </w:rPr>
              <w:t xml:space="preserve"> </w:t>
            </w:r>
          </w:p>
        </w:tc>
        <w:tc>
          <w:tcPr>
            <w:tcW w:w="838" w:type="pct"/>
            <w:vAlign w:val="center"/>
          </w:tcPr>
          <w:p w14:paraId="20817E6C" w14:textId="78F30C81" w:rsidR="00F2381C" w:rsidRPr="00463A79" w:rsidRDefault="00F2381C" w:rsidP="00910F31">
            <w:pPr>
              <w:pStyle w:val="TableText0"/>
              <w:jc w:val="center"/>
              <w:rPr>
                <w:szCs w:val="20"/>
                <w:vertAlign w:val="superscript"/>
              </w:rPr>
            </w:pPr>
            <w:r w:rsidRPr="00825266">
              <w:rPr>
                <w:szCs w:val="20"/>
              </w:rPr>
              <w:t>$</w:t>
            </w:r>
            <w:r w:rsidR="001172C3" w:rsidRPr="001172C3">
              <w:rPr>
                <w:rFonts w:hint="eastAsia"/>
                <w:color w:val="000000"/>
                <w:w w:val="15"/>
                <w:szCs w:val="20"/>
                <w:shd w:val="solid" w:color="000000" w:fill="000000"/>
                <w:fitText w:val="58" w:id="-1234435323"/>
                <w14:textFill>
                  <w14:solidFill>
                    <w14:srgbClr w14:val="000000">
                      <w14:alpha w14:val="100000"/>
                    </w14:srgbClr>
                  </w14:solidFill>
                </w14:textFill>
              </w:rPr>
              <w:t xml:space="preserve">　</w:t>
            </w:r>
            <w:r w:rsidR="001172C3" w:rsidRPr="001172C3">
              <w:rPr>
                <w:color w:val="000000"/>
                <w:w w:val="15"/>
                <w:szCs w:val="20"/>
                <w:shd w:val="solid" w:color="000000" w:fill="000000"/>
                <w:fitText w:val="58" w:id="-1234435323"/>
                <w14:textFill>
                  <w14:solidFill>
                    <w14:srgbClr w14:val="000000">
                      <w14:alpha w14:val="100000"/>
                    </w14:srgbClr>
                  </w14:solidFill>
                </w14:textFill>
              </w:rPr>
              <w:t>|</w:t>
            </w:r>
            <w:r w:rsidR="001172C3" w:rsidRPr="001172C3">
              <w:rPr>
                <w:rFonts w:hint="eastAsia"/>
                <w:color w:val="000000"/>
                <w:spacing w:val="-7"/>
                <w:w w:val="15"/>
                <w:szCs w:val="20"/>
                <w:shd w:val="solid" w:color="000000" w:fill="000000"/>
                <w:fitText w:val="58" w:id="-1234435323"/>
                <w14:textFill>
                  <w14:solidFill>
                    <w14:srgbClr w14:val="000000">
                      <w14:alpha w14:val="100000"/>
                    </w14:srgbClr>
                  </w14:solidFill>
                </w14:textFill>
              </w:rPr>
              <w:t xml:space="preserve">　</w:t>
            </w:r>
            <w:r w:rsidR="00463A79">
              <w:rPr>
                <w:szCs w:val="20"/>
                <w:vertAlign w:val="superscript"/>
              </w:rPr>
              <w:t>2</w:t>
            </w:r>
          </w:p>
        </w:tc>
      </w:tr>
      <w:tr w:rsidR="00F2381C" w:rsidRPr="00825266" w14:paraId="15FB6345" w14:textId="77777777" w:rsidTr="00910F31">
        <w:trPr>
          <w:cantSplit/>
        </w:trPr>
        <w:tc>
          <w:tcPr>
            <w:tcW w:w="1529" w:type="pct"/>
            <w:vAlign w:val="center"/>
          </w:tcPr>
          <w:p w14:paraId="6975D941" w14:textId="77777777" w:rsidR="00F2381C" w:rsidRPr="00825266" w:rsidRDefault="00F2381C" w:rsidP="00910F31">
            <w:pPr>
              <w:pStyle w:val="TableText0"/>
              <w:rPr>
                <w:szCs w:val="20"/>
              </w:rPr>
            </w:pPr>
            <w:r w:rsidRPr="00825266">
              <w:rPr>
                <w:szCs w:val="20"/>
              </w:rPr>
              <w:t>Costs</w:t>
            </w:r>
          </w:p>
        </w:tc>
        <w:tc>
          <w:tcPr>
            <w:tcW w:w="1359" w:type="pct"/>
          </w:tcPr>
          <w:p w14:paraId="691C8793" w14:textId="72C9E667" w:rsidR="00F2381C" w:rsidRPr="00825266" w:rsidRDefault="00F2381C" w:rsidP="00910F31">
            <w:pPr>
              <w:pStyle w:val="TableText0"/>
              <w:jc w:val="center"/>
              <w:rPr>
                <w:szCs w:val="20"/>
              </w:rPr>
            </w:pPr>
            <w:r w:rsidRPr="00825266">
              <w:rPr>
                <w:szCs w:val="20"/>
              </w:rPr>
              <w:t>$</w:t>
            </w:r>
            <w:r w:rsidR="001172C3" w:rsidRPr="001172C3">
              <w:rPr>
                <w:color w:val="000000"/>
                <w:szCs w:val="20"/>
                <w:shd w:val="solid" w:color="000000" w:fill="000000"/>
                <w14:textFill>
                  <w14:solidFill>
                    <w14:srgbClr w14:val="000000">
                      <w14:alpha w14:val="100000"/>
                    </w14:srgbClr>
                  </w14:solidFill>
                </w14:textFill>
              </w:rPr>
              <w:t>|</w:t>
            </w:r>
          </w:p>
        </w:tc>
        <w:tc>
          <w:tcPr>
            <w:tcW w:w="1274" w:type="pct"/>
          </w:tcPr>
          <w:p w14:paraId="068A0100" w14:textId="77777777" w:rsidR="00F2381C" w:rsidRPr="00825266" w:rsidRDefault="00F2381C" w:rsidP="00910F31">
            <w:pPr>
              <w:pStyle w:val="TableText0"/>
              <w:jc w:val="center"/>
              <w:rPr>
                <w:szCs w:val="20"/>
              </w:rPr>
            </w:pPr>
            <w:r w:rsidRPr="00825266">
              <w:rPr>
                <w:szCs w:val="20"/>
              </w:rPr>
              <w:t>$95,163</w:t>
            </w:r>
          </w:p>
        </w:tc>
        <w:tc>
          <w:tcPr>
            <w:tcW w:w="838" w:type="pct"/>
            <w:vAlign w:val="center"/>
          </w:tcPr>
          <w:p w14:paraId="7755145E" w14:textId="36FF35F3" w:rsidR="00F2381C" w:rsidRPr="00825266" w:rsidRDefault="00F2381C" w:rsidP="00910F31">
            <w:pPr>
              <w:pStyle w:val="TableText0"/>
              <w:jc w:val="center"/>
              <w:rPr>
                <w:szCs w:val="20"/>
              </w:rPr>
            </w:pPr>
            <w:r w:rsidRPr="00825266">
              <w:rPr>
                <w:szCs w:val="20"/>
              </w:rPr>
              <w:t>$</w:t>
            </w:r>
            <w:r w:rsidR="001172C3" w:rsidRPr="00EC5EF5">
              <w:rPr>
                <w:rFonts w:hint="eastAsia"/>
                <w:color w:val="000000"/>
                <w:w w:val="15"/>
                <w:szCs w:val="20"/>
                <w:shd w:val="solid" w:color="000000" w:fill="000000"/>
                <w:fitText w:val="34" w:id="-1234435322"/>
                <w14:textFill>
                  <w14:solidFill>
                    <w14:srgbClr w14:val="000000">
                      <w14:alpha w14:val="100000"/>
                    </w14:srgbClr>
                  </w14:solidFill>
                </w14:textFill>
              </w:rPr>
              <w:t xml:space="preserve">　</w:t>
            </w:r>
            <w:r w:rsidR="001172C3" w:rsidRPr="00EC5EF5">
              <w:rPr>
                <w:color w:val="000000"/>
                <w:w w:val="15"/>
                <w:szCs w:val="20"/>
                <w:shd w:val="solid" w:color="000000" w:fill="000000"/>
                <w:fitText w:val="34" w:id="-1234435322"/>
                <w14:textFill>
                  <w14:solidFill>
                    <w14:srgbClr w14:val="000000">
                      <w14:alpha w14:val="100000"/>
                    </w14:srgbClr>
                  </w14:solidFill>
                </w14:textFill>
              </w:rPr>
              <w:t>|</w:t>
            </w:r>
            <w:r w:rsidR="001172C3" w:rsidRPr="00EC5EF5">
              <w:rPr>
                <w:rFonts w:hint="eastAsia"/>
                <w:color w:val="000000"/>
                <w:spacing w:val="-31"/>
                <w:w w:val="15"/>
                <w:szCs w:val="20"/>
                <w:shd w:val="solid" w:color="000000" w:fill="000000"/>
                <w:fitText w:val="34" w:id="-1234435322"/>
                <w14:textFill>
                  <w14:solidFill>
                    <w14:srgbClr w14:val="000000">
                      <w14:alpha w14:val="100000"/>
                    </w14:srgbClr>
                  </w14:solidFill>
                </w14:textFill>
              </w:rPr>
              <w:t xml:space="preserve">　</w:t>
            </w:r>
          </w:p>
        </w:tc>
      </w:tr>
      <w:tr w:rsidR="00F2381C" w:rsidRPr="00825266" w14:paraId="455F7AEE" w14:textId="77777777" w:rsidTr="00910F31">
        <w:trPr>
          <w:cantSplit/>
        </w:trPr>
        <w:tc>
          <w:tcPr>
            <w:tcW w:w="1529" w:type="pct"/>
            <w:vAlign w:val="center"/>
          </w:tcPr>
          <w:p w14:paraId="681C1120" w14:textId="77777777" w:rsidR="00F2381C" w:rsidRPr="00825266" w:rsidRDefault="00F2381C" w:rsidP="00910F31">
            <w:pPr>
              <w:pStyle w:val="TableText0"/>
              <w:rPr>
                <w:szCs w:val="20"/>
              </w:rPr>
            </w:pPr>
            <w:r w:rsidRPr="00825266">
              <w:rPr>
                <w:szCs w:val="20"/>
              </w:rPr>
              <w:t>QALYs</w:t>
            </w:r>
          </w:p>
        </w:tc>
        <w:tc>
          <w:tcPr>
            <w:tcW w:w="1359" w:type="pct"/>
          </w:tcPr>
          <w:p w14:paraId="17C9E845" w14:textId="77777777" w:rsidR="00F2381C" w:rsidRPr="00825266" w:rsidRDefault="00F2381C" w:rsidP="00910F31">
            <w:pPr>
              <w:pStyle w:val="TableText0"/>
              <w:jc w:val="center"/>
              <w:rPr>
                <w:szCs w:val="20"/>
              </w:rPr>
            </w:pPr>
            <w:r w:rsidRPr="00825266">
              <w:rPr>
                <w:szCs w:val="20"/>
              </w:rPr>
              <w:t>5.34</w:t>
            </w:r>
          </w:p>
        </w:tc>
        <w:tc>
          <w:tcPr>
            <w:tcW w:w="1274" w:type="pct"/>
          </w:tcPr>
          <w:p w14:paraId="37E06B45" w14:textId="77777777" w:rsidR="00F2381C" w:rsidRPr="00825266" w:rsidRDefault="00F2381C" w:rsidP="00910F31">
            <w:pPr>
              <w:pStyle w:val="TableText0"/>
              <w:jc w:val="center"/>
              <w:rPr>
                <w:szCs w:val="20"/>
              </w:rPr>
            </w:pPr>
            <w:r w:rsidRPr="00825266">
              <w:rPr>
                <w:szCs w:val="20"/>
              </w:rPr>
              <w:t>4.31</w:t>
            </w:r>
          </w:p>
        </w:tc>
        <w:tc>
          <w:tcPr>
            <w:tcW w:w="838" w:type="pct"/>
            <w:vAlign w:val="center"/>
          </w:tcPr>
          <w:p w14:paraId="3780057E" w14:textId="77777777" w:rsidR="00F2381C" w:rsidRPr="00825266" w:rsidRDefault="00F2381C" w:rsidP="00910F31">
            <w:pPr>
              <w:pStyle w:val="TableText0"/>
              <w:jc w:val="center"/>
              <w:rPr>
                <w:szCs w:val="20"/>
              </w:rPr>
            </w:pPr>
            <w:r w:rsidRPr="00825266">
              <w:rPr>
                <w:szCs w:val="20"/>
              </w:rPr>
              <w:t>1.03</w:t>
            </w:r>
          </w:p>
        </w:tc>
      </w:tr>
      <w:tr w:rsidR="00F2381C" w:rsidRPr="00825266" w14:paraId="0DF2B2E4" w14:textId="77777777" w:rsidTr="00910F31">
        <w:trPr>
          <w:cantSplit/>
        </w:trPr>
        <w:tc>
          <w:tcPr>
            <w:tcW w:w="4162" w:type="pct"/>
            <w:gridSpan w:val="3"/>
            <w:vAlign w:val="center"/>
          </w:tcPr>
          <w:p w14:paraId="7AFBD33A" w14:textId="2443E9F1" w:rsidR="00F2381C" w:rsidRPr="00825266" w:rsidRDefault="00F2381C" w:rsidP="00910F31">
            <w:pPr>
              <w:pStyle w:val="TableText0"/>
              <w:rPr>
                <w:szCs w:val="20"/>
              </w:rPr>
            </w:pPr>
            <w:r w:rsidRPr="00825266">
              <w:rPr>
                <w:szCs w:val="20"/>
              </w:rPr>
              <w:t>Incremental cost</w:t>
            </w:r>
            <w:r w:rsidR="006B0E1A">
              <w:rPr>
                <w:szCs w:val="20"/>
              </w:rPr>
              <w:t xml:space="preserve"> per</w:t>
            </w:r>
            <w:r w:rsidRPr="00825266">
              <w:rPr>
                <w:szCs w:val="20"/>
              </w:rPr>
              <w:t xml:space="preserve"> QALY gained</w:t>
            </w:r>
          </w:p>
        </w:tc>
        <w:tc>
          <w:tcPr>
            <w:tcW w:w="838" w:type="pct"/>
            <w:vAlign w:val="center"/>
          </w:tcPr>
          <w:p w14:paraId="29E33EF3" w14:textId="593D64CE" w:rsidR="00F2381C" w:rsidRPr="00463A79" w:rsidRDefault="00F2381C" w:rsidP="00910F31">
            <w:pPr>
              <w:pStyle w:val="TableText0"/>
              <w:jc w:val="center"/>
              <w:rPr>
                <w:szCs w:val="20"/>
                <w:vertAlign w:val="superscript"/>
              </w:rPr>
            </w:pPr>
            <w:r w:rsidRPr="00825266">
              <w:rPr>
                <w:szCs w:val="20"/>
              </w:rPr>
              <w:t>$</w:t>
            </w:r>
            <w:r w:rsidR="001172C3" w:rsidRPr="001172C3">
              <w:rPr>
                <w:rFonts w:hint="eastAsia"/>
                <w:color w:val="000000"/>
                <w:w w:val="15"/>
                <w:szCs w:val="20"/>
                <w:shd w:val="solid" w:color="000000" w:fill="000000"/>
                <w:fitText w:val="58" w:id="-1234435321"/>
                <w14:textFill>
                  <w14:solidFill>
                    <w14:srgbClr w14:val="000000">
                      <w14:alpha w14:val="100000"/>
                    </w14:srgbClr>
                  </w14:solidFill>
                </w14:textFill>
              </w:rPr>
              <w:t xml:space="preserve">　</w:t>
            </w:r>
            <w:r w:rsidR="001172C3" w:rsidRPr="001172C3">
              <w:rPr>
                <w:color w:val="000000"/>
                <w:w w:val="15"/>
                <w:szCs w:val="20"/>
                <w:shd w:val="solid" w:color="000000" w:fill="000000"/>
                <w:fitText w:val="58" w:id="-1234435321"/>
                <w14:textFill>
                  <w14:solidFill>
                    <w14:srgbClr w14:val="000000">
                      <w14:alpha w14:val="100000"/>
                    </w14:srgbClr>
                  </w14:solidFill>
                </w14:textFill>
              </w:rPr>
              <w:t>|</w:t>
            </w:r>
            <w:r w:rsidR="001172C3" w:rsidRPr="001172C3">
              <w:rPr>
                <w:rFonts w:hint="eastAsia"/>
                <w:color w:val="000000"/>
                <w:spacing w:val="-7"/>
                <w:w w:val="15"/>
                <w:szCs w:val="20"/>
                <w:shd w:val="solid" w:color="000000" w:fill="000000"/>
                <w:fitText w:val="58" w:id="-1234435321"/>
                <w14:textFill>
                  <w14:solidFill>
                    <w14:srgbClr w14:val="000000">
                      <w14:alpha w14:val="100000"/>
                    </w14:srgbClr>
                  </w14:solidFill>
                </w14:textFill>
              </w:rPr>
              <w:t xml:space="preserve">　</w:t>
            </w:r>
            <w:r w:rsidR="00463A79">
              <w:rPr>
                <w:szCs w:val="20"/>
                <w:vertAlign w:val="superscript"/>
              </w:rPr>
              <w:t>2</w:t>
            </w:r>
          </w:p>
        </w:tc>
      </w:tr>
    </w:tbl>
    <w:p w14:paraId="32C59AAA" w14:textId="77777777" w:rsidR="00F2381C" w:rsidRDefault="00F2381C" w:rsidP="00F2381C">
      <w:pPr>
        <w:pStyle w:val="TableFooter"/>
      </w:pPr>
      <w:r>
        <w:t xml:space="preserve">Source: Table 139, p203 of the submission; </w:t>
      </w:r>
      <w:r w:rsidRPr="00B7532F">
        <w:rPr>
          <w:lang w:val="en-GB"/>
        </w:rPr>
        <w:t>the ‘</w:t>
      </w:r>
      <w:r>
        <w:rPr>
          <w:lang w:val="en-GB"/>
        </w:rPr>
        <w:t>Results’</w:t>
      </w:r>
      <w:r w:rsidRPr="00B7532F">
        <w:rPr>
          <w:lang w:val="en-GB"/>
        </w:rPr>
        <w:t xml:space="preserve"> spreadsheet in the “Attachment 7 - Nivolumab </w:t>
      </w:r>
      <w:r>
        <w:rPr>
          <w:lang w:val="en-GB"/>
        </w:rPr>
        <w:t>neo</w:t>
      </w:r>
      <w:r w:rsidRPr="00B7532F">
        <w:rPr>
          <w:lang w:val="en-GB"/>
        </w:rPr>
        <w:t>adjuvant NSCLC Economic Evaluation” Excel workbook</w:t>
      </w:r>
    </w:p>
    <w:p w14:paraId="61CB2A52" w14:textId="3AD75054" w:rsidR="00F2381C" w:rsidRDefault="00F2381C" w:rsidP="00F2381C">
      <w:pPr>
        <w:pStyle w:val="TableFooter"/>
      </w:pPr>
      <w:r>
        <w:t>QALY = quality-adjusted life year; LY = life year; neoChemo</w:t>
      </w:r>
      <w:r w:rsidRPr="001D0BBA">
        <w:t xml:space="preserve"> = neoadjuvant chemotherapy; </w:t>
      </w:r>
      <w:r>
        <w:t>neoNIVO</w:t>
      </w:r>
      <w:r w:rsidRPr="001D0BBA">
        <w:t xml:space="preserve"> = neoadjuvant nivolumab</w:t>
      </w:r>
    </w:p>
    <w:p w14:paraId="71316E85" w14:textId="7B18F45B" w:rsidR="00B743AD" w:rsidRDefault="00B743AD" w:rsidP="00F2381C">
      <w:pPr>
        <w:pStyle w:val="TableFooter"/>
      </w:pPr>
      <w:r>
        <w:rPr>
          <w:vertAlign w:val="superscript"/>
        </w:rPr>
        <w:t xml:space="preserve">a </w:t>
      </w:r>
      <w:r>
        <w:t xml:space="preserve">The time point where the last trial-based </w:t>
      </w:r>
      <w:r w:rsidR="00907F34">
        <w:t>event-free survival</w:t>
      </w:r>
      <w:r>
        <w:t xml:space="preserve"> data were available.</w:t>
      </w:r>
    </w:p>
    <w:p w14:paraId="70DC42F3" w14:textId="77777777" w:rsidR="00463A79" w:rsidRPr="009A6D58" w:rsidRDefault="00463A79" w:rsidP="00463A79">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D015EA3" w14:textId="4C7FDE0E" w:rsidR="00463A79" w:rsidRPr="009A6D58" w:rsidRDefault="00463A79" w:rsidP="00463A79">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463A79">
        <w:rPr>
          <w:rFonts w:ascii="Arial Narrow" w:hAnsi="Arial Narrow"/>
          <w:i/>
          <w:sz w:val="18"/>
          <w:szCs w:val="18"/>
        </w:rPr>
        <w:t>$</w:t>
      </w:r>
      <w:r>
        <w:rPr>
          <w:rFonts w:ascii="Arial Narrow" w:hAnsi="Arial Narrow"/>
          <w:i/>
          <w:sz w:val="18"/>
          <w:szCs w:val="18"/>
        </w:rPr>
        <w:t>255,000 to &lt; $355,000</w:t>
      </w:r>
    </w:p>
    <w:p w14:paraId="0F949907" w14:textId="538E0CD7" w:rsidR="00B743AD" w:rsidRPr="00B743AD" w:rsidRDefault="00463A79" w:rsidP="00463A79">
      <w:pPr>
        <w:spacing w:after="120"/>
      </w:pPr>
      <w:r w:rsidRPr="009A6D58">
        <w:rPr>
          <w:rFonts w:ascii="Arial Narrow" w:hAnsi="Arial Narrow"/>
          <w:i/>
          <w:sz w:val="18"/>
          <w:szCs w:val="18"/>
          <w:vertAlign w:val="superscript"/>
        </w:rPr>
        <w:t>2</w:t>
      </w:r>
      <w:r>
        <w:rPr>
          <w:rFonts w:ascii="Arial Narrow" w:hAnsi="Arial Narrow"/>
          <w:i/>
          <w:sz w:val="18"/>
          <w:szCs w:val="18"/>
        </w:rPr>
        <w:t xml:space="preserve"> </w:t>
      </w:r>
      <w:r w:rsidRPr="00463A79">
        <w:rPr>
          <w:rFonts w:ascii="Arial Narrow" w:hAnsi="Arial Narrow"/>
          <w:i/>
          <w:sz w:val="18"/>
          <w:szCs w:val="18"/>
        </w:rPr>
        <w:t>$25,000 to &lt; $35,000</w:t>
      </w:r>
    </w:p>
    <w:p w14:paraId="4A237F54" w14:textId="4650789E" w:rsidR="00F2381C" w:rsidRPr="00F26EC0" w:rsidRDefault="00F2381C" w:rsidP="00F2381C">
      <w:pPr>
        <w:pStyle w:val="3-BodyText"/>
      </w:pPr>
      <w:r w:rsidRPr="000A6E90">
        <w:t xml:space="preserve">Results indicate that the differences in LYs and QALYs gained between the two treatment arms during the trial period were </w:t>
      </w:r>
      <w:r w:rsidR="002919FA">
        <w:t>small</w:t>
      </w:r>
      <w:r w:rsidRPr="000A6E90">
        <w:t xml:space="preserve"> (0.09 LY and 0.10 QALY). The extension of the time horizon to 25 years had a significant impact on the result. The incremental LYs gained increased substantially from 0.09 to 1.23; so did the incremental QALYs (from 0.10 to 1.03). The base case ICER was estimated to be </w:t>
      </w:r>
      <w:r w:rsidR="00463A79" w:rsidRPr="00463A79">
        <w:rPr>
          <w:iCs/>
        </w:rPr>
        <w:t>$25,000 to &lt; $35,000</w:t>
      </w:r>
      <w:r w:rsidRPr="000A6E90">
        <w:t xml:space="preserve">/QALY gained, compared with </w:t>
      </w:r>
      <w:r w:rsidR="00463A79" w:rsidRPr="00463A79">
        <w:rPr>
          <w:iCs/>
        </w:rPr>
        <w:t>$255,000 to &lt; $355,000</w:t>
      </w:r>
      <w:r w:rsidRPr="000A6E90">
        <w:t xml:space="preserve">/QALY gained in the trial-based analysis. </w:t>
      </w:r>
    </w:p>
    <w:p w14:paraId="4ED896CD" w14:textId="4DCA52CD" w:rsidR="00F2381C" w:rsidRPr="000A6E90" w:rsidRDefault="00F2381C" w:rsidP="00F2381C">
      <w:pPr>
        <w:pStyle w:val="3-BodyText"/>
      </w:pPr>
      <w:r w:rsidRPr="00F26EC0">
        <w:t xml:space="preserve">The </w:t>
      </w:r>
      <w:r w:rsidRPr="00B514EC">
        <w:rPr>
          <w:iCs/>
        </w:rPr>
        <w:t>disaggregated and aggregated base case results</w:t>
      </w:r>
      <w:r>
        <w:rPr>
          <w:iCs/>
        </w:rPr>
        <w:t xml:space="preserve"> for health outcomes are presented in </w:t>
      </w:r>
      <w:r>
        <w:rPr>
          <w:iCs/>
        </w:rPr>
        <w:fldChar w:fldCharType="begin"/>
      </w:r>
      <w:r>
        <w:rPr>
          <w:iCs/>
        </w:rPr>
        <w:instrText xml:space="preserve"> REF _Ref120908994 \h </w:instrText>
      </w:r>
      <w:r>
        <w:rPr>
          <w:iCs/>
        </w:rPr>
      </w:r>
      <w:r>
        <w:rPr>
          <w:iCs/>
        </w:rPr>
        <w:fldChar w:fldCharType="separate"/>
      </w:r>
      <w:r w:rsidR="00A77D90">
        <w:t xml:space="preserve">Table </w:t>
      </w:r>
      <w:r w:rsidR="00A77D90">
        <w:rPr>
          <w:noProof/>
        </w:rPr>
        <w:t>22</w:t>
      </w:r>
      <w:r>
        <w:rPr>
          <w:iCs/>
        </w:rPr>
        <w:fldChar w:fldCharType="end"/>
      </w:r>
      <w:r>
        <w:rPr>
          <w:iCs/>
        </w:rPr>
        <w:t xml:space="preserve">. </w:t>
      </w:r>
      <w:r w:rsidRPr="000A6E90">
        <w:t xml:space="preserve">The LYs and QALYs gained were predominantly accrued in the EFS health state, with a reduction in QALYs related to LR and DM. This is consistent with the claim that the addition of neoNIVO improves EFS and leads to a reduction in recurrence. The accumulation of LYs (undiscounted) over the model time horizon in the two treatment arms are depicted in </w:t>
      </w:r>
      <w:r w:rsidRPr="000A6E90">
        <w:fldChar w:fldCharType="begin"/>
      </w:r>
      <w:r w:rsidRPr="000A6E90">
        <w:instrText xml:space="preserve"> REF _Ref120909385 \h  \* MERGEFORMAT </w:instrText>
      </w:r>
      <w:r w:rsidRPr="000A6E90">
        <w:fldChar w:fldCharType="separate"/>
      </w:r>
      <w:r w:rsidR="00A77D90">
        <w:t xml:space="preserve">Figure </w:t>
      </w:r>
      <w:r w:rsidR="00A77D90">
        <w:rPr>
          <w:noProof/>
        </w:rPr>
        <w:t>6</w:t>
      </w:r>
      <w:r w:rsidRPr="000A6E90">
        <w:fldChar w:fldCharType="end"/>
      </w:r>
      <w:r w:rsidRPr="000A6E90">
        <w:t xml:space="preserve">. The majority of the LYs gained with neoNIVO+neoChemo were accrued in the extrapolated period, particularly beyond </w:t>
      </w:r>
      <w:r w:rsidR="00463A79" w:rsidRPr="000A6E90">
        <w:t>5</w:t>
      </w:r>
      <w:r w:rsidR="00463A79">
        <w:t> </w:t>
      </w:r>
      <w:r w:rsidRPr="000A6E90">
        <w:t xml:space="preserve">years, in line with the time point when a cure rate was applied to patients remaining in the EFS health state. As stated in </w:t>
      </w:r>
      <w:r w:rsidR="00463A79">
        <w:t>p</w:t>
      </w:r>
      <w:r w:rsidRPr="000A6E90">
        <w:t xml:space="preserve">aragraph </w:t>
      </w:r>
      <w:r w:rsidRPr="000A6E90">
        <w:fldChar w:fldCharType="begin"/>
      </w:r>
      <w:r w:rsidRPr="000A6E90">
        <w:instrText xml:space="preserve"> REF _Ref120909308 \r \h </w:instrText>
      </w:r>
      <w:r w:rsidRPr="000A6E90">
        <w:fldChar w:fldCharType="separate"/>
      </w:r>
      <w:r w:rsidR="00A77D90">
        <w:t>6.69</w:t>
      </w:r>
      <w:r w:rsidRPr="000A6E90">
        <w:fldChar w:fldCharType="end"/>
      </w:r>
      <w:r w:rsidRPr="000A6E90">
        <w:t>, the cure assumption, especially in the neoNIVO+neoChemo arm, was not sufficiently justified.</w:t>
      </w:r>
    </w:p>
    <w:p w14:paraId="661E15C8" w14:textId="05D6BA3A" w:rsidR="00F2381C" w:rsidRPr="00596102" w:rsidRDefault="00F2381C" w:rsidP="00F2381C">
      <w:pPr>
        <w:pStyle w:val="Caption"/>
      </w:pPr>
      <w:bookmarkStart w:id="84" w:name="_Ref120908994"/>
      <w:r>
        <w:t xml:space="preserve">Table </w:t>
      </w:r>
      <w:r w:rsidR="00A77D90">
        <w:fldChar w:fldCharType="begin"/>
      </w:r>
      <w:r w:rsidR="00A77D90">
        <w:instrText xml:space="preserve"> SEQ Table \* ARABIC </w:instrText>
      </w:r>
      <w:r w:rsidR="00A77D90">
        <w:fldChar w:fldCharType="separate"/>
      </w:r>
      <w:r w:rsidR="00A77D90">
        <w:rPr>
          <w:noProof/>
        </w:rPr>
        <w:t>22</w:t>
      </w:r>
      <w:r w:rsidR="00A77D90">
        <w:rPr>
          <w:noProof/>
        </w:rPr>
        <w:fldChar w:fldCharType="end"/>
      </w:r>
      <w:bookmarkEnd w:id="84"/>
      <w:r>
        <w:t xml:space="preserve">: </w:t>
      </w:r>
      <w:r w:rsidRPr="00596102">
        <w:t>Disaggregated summary of health outcome impacts in the economic evaluation (discounted)</w:t>
      </w:r>
    </w:p>
    <w:tbl>
      <w:tblPr>
        <w:tblW w:w="4950" w:type="pct"/>
        <w:tblCellMar>
          <w:left w:w="28" w:type="dxa"/>
          <w:right w:w="28" w:type="dxa"/>
        </w:tblCellMar>
        <w:tblLook w:val="01E0" w:firstRow="1" w:lastRow="1" w:firstColumn="1" w:lastColumn="1" w:noHBand="0" w:noVBand="0"/>
      </w:tblPr>
      <w:tblGrid>
        <w:gridCol w:w="2865"/>
        <w:gridCol w:w="1692"/>
        <w:gridCol w:w="1485"/>
        <w:gridCol w:w="1483"/>
        <w:gridCol w:w="1402"/>
      </w:tblGrid>
      <w:tr w:rsidR="00F2381C" w:rsidRPr="00596102" w14:paraId="647E6B55" w14:textId="77777777" w:rsidTr="00910F31">
        <w:trPr>
          <w:tblHeader/>
        </w:trPr>
        <w:tc>
          <w:tcPr>
            <w:tcW w:w="1628" w:type="pct"/>
            <w:tcBorders>
              <w:top w:val="single" w:sz="4" w:space="0" w:color="auto"/>
              <w:left w:val="single" w:sz="4" w:space="0" w:color="auto"/>
              <w:bottom w:val="single" w:sz="4" w:space="0" w:color="auto"/>
              <w:right w:val="single" w:sz="4" w:space="0" w:color="auto"/>
            </w:tcBorders>
            <w:vAlign w:val="center"/>
          </w:tcPr>
          <w:p w14:paraId="2B36754C" w14:textId="77777777" w:rsidR="00F2381C" w:rsidRPr="00B96BB8" w:rsidRDefault="00F2381C" w:rsidP="00910F31">
            <w:pPr>
              <w:pStyle w:val="In-tableHeading"/>
              <w:ind w:left="57"/>
            </w:pPr>
          </w:p>
        </w:tc>
        <w:tc>
          <w:tcPr>
            <w:tcW w:w="855" w:type="pct"/>
            <w:tcBorders>
              <w:top w:val="single" w:sz="4" w:space="0" w:color="auto"/>
              <w:left w:val="single" w:sz="4" w:space="0" w:color="auto"/>
              <w:bottom w:val="single" w:sz="4" w:space="0" w:color="auto"/>
              <w:right w:val="single" w:sz="4" w:space="0" w:color="auto"/>
            </w:tcBorders>
          </w:tcPr>
          <w:p w14:paraId="633E9DB4" w14:textId="77777777" w:rsidR="00F2381C" w:rsidRPr="00223C24" w:rsidRDefault="00F2381C" w:rsidP="00910F31">
            <w:pPr>
              <w:pStyle w:val="In-tableHeading"/>
              <w:jc w:val="center"/>
            </w:pPr>
            <w:r>
              <w:t>neoNIVO</w:t>
            </w:r>
            <w:r w:rsidRPr="001D0BBA">
              <w:t>+</w:t>
            </w:r>
            <w:r>
              <w:t>neoChemo</w:t>
            </w:r>
          </w:p>
        </w:tc>
        <w:tc>
          <w:tcPr>
            <w:tcW w:w="855" w:type="pct"/>
            <w:tcBorders>
              <w:top w:val="single" w:sz="4" w:space="0" w:color="auto"/>
              <w:left w:val="single" w:sz="4" w:space="0" w:color="auto"/>
              <w:bottom w:val="single" w:sz="4" w:space="0" w:color="auto"/>
              <w:right w:val="single" w:sz="4" w:space="0" w:color="auto"/>
            </w:tcBorders>
          </w:tcPr>
          <w:p w14:paraId="7434EBF6" w14:textId="77777777" w:rsidR="00F2381C" w:rsidRPr="00223C24" w:rsidRDefault="00F2381C" w:rsidP="00910F31">
            <w:pPr>
              <w:pStyle w:val="In-tableHeading"/>
              <w:jc w:val="center"/>
            </w:pPr>
            <w:r>
              <w:t>neoChemo</w:t>
            </w:r>
          </w:p>
        </w:tc>
        <w:tc>
          <w:tcPr>
            <w:tcW w:w="854" w:type="pct"/>
            <w:tcBorders>
              <w:top w:val="single" w:sz="4" w:space="0" w:color="auto"/>
              <w:left w:val="single" w:sz="4" w:space="0" w:color="auto"/>
              <w:bottom w:val="single" w:sz="4" w:space="0" w:color="auto"/>
              <w:right w:val="single" w:sz="4" w:space="0" w:color="auto"/>
            </w:tcBorders>
          </w:tcPr>
          <w:p w14:paraId="2D4D39F3" w14:textId="77777777" w:rsidR="00F2381C" w:rsidRPr="00223C24" w:rsidRDefault="00F2381C" w:rsidP="00910F31">
            <w:pPr>
              <w:pStyle w:val="In-tableHeading"/>
              <w:jc w:val="center"/>
            </w:pPr>
            <w:r w:rsidRPr="00223C24">
              <w:t>Increment</w:t>
            </w:r>
          </w:p>
        </w:tc>
        <w:tc>
          <w:tcPr>
            <w:tcW w:w="808" w:type="pct"/>
            <w:tcBorders>
              <w:top w:val="single" w:sz="4" w:space="0" w:color="auto"/>
              <w:left w:val="single" w:sz="4" w:space="0" w:color="auto"/>
              <w:bottom w:val="single" w:sz="4" w:space="0" w:color="auto"/>
              <w:right w:val="single" w:sz="4" w:space="0" w:color="auto"/>
            </w:tcBorders>
          </w:tcPr>
          <w:p w14:paraId="06B4E33E" w14:textId="77777777" w:rsidR="00F2381C" w:rsidRPr="00223C24" w:rsidRDefault="00F2381C" w:rsidP="00910F31">
            <w:pPr>
              <w:pStyle w:val="In-tableHeading"/>
              <w:jc w:val="center"/>
            </w:pPr>
            <w:r w:rsidRPr="00223C24">
              <w:rPr>
                <w:rFonts w:eastAsia="Trebuchet MS" w:cs="Trebuchet MS"/>
                <w:lang w:val="en-GB"/>
              </w:rPr>
              <w:t xml:space="preserve">% </w:t>
            </w:r>
            <w:proofErr w:type="gramStart"/>
            <w:r w:rsidRPr="00223C24">
              <w:rPr>
                <w:rFonts w:eastAsia="Trebuchet MS" w:cs="Trebuchet MS"/>
                <w:lang w:val="en-GB"/>
              </w:rPr>
              <w:t>of</w:t>
            </w:r>
            <w:proofErr w:type="gramEnd"/>
            <w:r w:rsidRPr="00223C24">
              <w:rPr>
                <w:rFonts w:eastAsia="Trebuchet MS" w:cs="Trebuchet MS"/>
                <w:lang w:val="en-GB"/>
              </w:rPr>
              <w:t xml:space="preserve"> total increment</w:t>
            </w:r>
          </w:p>
        </w:tc>
      </w:tr>
      <w:tr w:rsidR="00F2381C" w:rsidRPr="00596102" w14:paraId="53040DFA" w14:textId="77777777" w:rsidTr="00910F31">
        <w:trPr>
          <w:tblHead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60E8835A" w14:textId="77777777" w:rsidR="00F2381C" w:rsidRPr="00B96BB8" w:rsidRDefault="00F2381C" w:rsidP="00910F31">
            <w:pPr>
              <w:pStyle w:val="In-tableHeading"/>
              <w:ind w:left="57"/>
            </w:pPr>
            <w:r>
              <w:t>Life years</w:t>
            </w:r>
            <w:r w:rsidRPr="00B96BB8">
              <w:t xml:space="preserve"> </w:t>
            </w:r>
          </w:p>
        </w:tc>
      </w:tr>
      <w:tr w:rsidR="00F2381C" w:rsidRPr="00596102" w14:paraId="3A7A8D94" w14:textId="77777777" w:rsidTr="00910F31">
        <w:trPr>
          <w:tblHeader/>
        </w:trPr>
        <w:tc>
          <w:tcPr>
            <w:tcW w:w="1628" w:type="pct"/>
            <w:tcBorders>
              <w:top w:val="single" w:sz="4" w:space="0" w:color="auto"/>
              <w:left w:val="single" w:sz="4" w:space="0" w:color="auto"/>
              <w:bottom w:val="single" w:sz="4" w:space="0" w:color="auto"/>
              <w:right w:val="single" w:sz="4" w:space="0" w:color="auto"/>
            </w:tcBorders>
            <w:vAlign w:val="center"/>
          </w:tcPr>
          <w:p w14:paraId="5D991A71" w14:textId="77777777" w:rsidR="00F2381C" w:rsidRPr="00B96BB8" w:rsidRDefault="00F2381C" w:rsidP="00910F31">
            <w:pPr>
              <w:pStyle w:val="In-tableHeading"/>
              <w:ind w:left="57"/>
              <w:rPr>
                <w:b w:val="0"/>
              </w:rPr>
            </w:pPr>
            <w:r>
              <w:rPr>
                <w:b w:val="0"/>
              </w:rPr>
              <w:t>Event-free survival</w:t>
            </w:r>
          </w:p>
        </w:tc>
        <w:tc>
          <w:tcPr>
            <w:tcW w:w="855" w:type="pct"/>
            <w:tcBorders>
              <w:top w:val="single" w:sz="4" w:space="0" w:color="auto"/>
              <w:left w:val="single" w:sz="4" w:space="0" w:color="auto"/>
              <w:bottom w:val="single" w:sz="4" w:space="0" w:color="auto"/>
              <w:right w:val="single" w:sz="4" w:space="0" w:color="auto"/>
            </w:tcBorders>
          </w:tcPr>
          <w:p w14:paraId="55984D19" w14:textId="77777777" w:rsidR="00F2381C" w:rsidRPr="00237C13" w:rsidRDefault="00F2381C" w:rsidP="00910F31">
            <w:pPr>
              <w:pStyle w:val="In-tableHeading"/>
              <w:jc w:val="center"/>
              <w:rPr>
                <w:b w:val="0"/>
              </w:rPr>
            </w:pPr>
            <w:r w:rsidRPr="00237C13">
              <w:rPr>
                <w:b w:val="0"/>
              </w:rPr>
              <w:t>5.43</w:t>
            </w:r>
          </w:p>
        </w:tc>
        <w:tc>
          <w:tcPr>
            <w:tcW w:w="855" w:type="pct"/>
            <w:tcBorders>
              <w:top w:val="single" w:sz="4" w:space="0" w:color="auto"/>
              <w:left w:val="single" w:sz="4" w:space="0" w:color="auto"/>
              <w:bottom w:val="single" w:sz="4" w:space="0" w:color="auto"/>
              <w:right w:val="single" w:sz="4" w:space="0" w:color="auto"/>
            </w:tcBorders>
          </w:tcPr>
          <w:p w14:paraId="4ED28F13" w14:textId="77777777" w:rsidR="00F2381C" w:rsidRPr="00237C13" w:rsidRDefault="00F2381C" w:rsidP="00910F31">
            <w:pPr>
              <w:pStyle w:val="In-tableHeading"/>
              <w:jc w:val="center"/>
              <w:rPr>
                <w:b w:val="0"/>
              </w:rPr>
            </w:pPr>
            <w:r w:rsidRPr="00237C13">
              <w:rPr>
                <w:b w:val="0"/>
              </w:rPr>
              <w:t>3.85</w:t>
            </w:r>
          </w:p>
        </w:tc>
        <w:tc>
          <w:tcPr>
            <w:tcW w:w="854" w:type="pct"/>
            <w:tcBorders>
              <w:top w:val="single" w:sz="4" w:space="0" w:color="auto"/>
              <w:left w:val="single" w:sz="4" w:space="0" w:color="auto"/>
              <w:bottom w:val="single" w:sz="4" w:space="0" w:color="auto"/>
              <w:right w:val="single" w:sz="4" w:space="0" w:color="auto"/>
            </w:tcBorders>
          </w:tcPr>
          <w:p w14:paraId="7EC7A151" w14:textId="77777777" w:rsidR="00F2381C" w:rsidRPr="00237C13" w:rsidRDefault="00F2381C" w:rsidP="00910F31">
            <w:pPr>
              <w:pStyle w:val="In-tableHeading"/>
              <w:jc w:val="center"/>
              <w:rPr>
                <w:b w:val="0"/>
              </w:rPr>
            </w:pPr>
            <w:r w:rsidRPr="00237C13">
              <w:rPr>
                <w:b w:val="0"/>
              </w:rPr>
              <w:t>1.58</w:t>
            </w:r>
          </w:p>
        </w:tc>
        <w:tc>
          <w:tcPr>
            <w:tcW w:w="808" w:type="pct"/>
            <w:tcBorders>
              <w:top w:val="single" w:sz="4" w:space="0" w:color="auto"/>
              <w:left w:val="single" w:sz="4" w:space="0" w:color="auto"/>
              <w:bottom w:val="single" w:sz="4" w:space="0" w:color="auto"/>
              <w:right w:val="single" w:sz="4" w:space="0" w:color="auto"/>
            </w:tcBorders>
          </w:tcPr>
          <w:p w14:paraId="4B84A353" w14:textId="77777777" w:rsidR="00F2381C" w:rsidRPr="00223C24" w:rsidRDefault="00F2381C" w:rsidP="00910F31">
            <w:pPr>
              <w:pStyle w:val="In-tableHeading"/>
              <w:jc w:val="center"/>
              <w:rPr>
                <w:b w:val="0"/>
              </w:rPr>
            </w:pPr>
            <w:r w:rsidRPr="00223C24">
              <w:rPr>
                <w:b w:val="0"/>
              </w:rPr>
              <w:t>128.7%</w:t>
            </w:r>
          </w:p>
        </w:tc>
      </w:tr>
      <w:tr w:rsidR="00F2381C" w:rsidRPr="00596102" w14:paraId="1C2C1B27" w14:textId="77777777" w:rsidTr="00910F31">
        <w:trPr>
          <w:tblHeader/>
        </w:trPr>
        <w:tc>
          <w:tcPr>
            <w:tcW w:w="1628" w:type="pct"/>
            <w:tcBorders>
              <w:top w:val="single" w:sz="4" w:space="0" w:color="auto"/>
              <w:left w:val="single" w:sz="4" w:space="0" w:color="auto"/>
              <w:bottom w:val="single" w:sz="4" w:space="0" w:color="auto"/>
              <w:right w:val="single" w:sz="4" w:space="0" w:color="auto"/>
            </w:tcBorders>
            <w:vAlign w:val="center"/>
          </w:tcPr>
          <w:p w14:paraId="0A964C39" w14:textId="77777777" w:rsidR="00F2381C" w:rsidRPr="00B96BB8" w:rsidRDefault="00F2381C" w:rsidP="00910F31">
            <w:pPr>
              <w:pStyle w:val="In-tableHeading"/>
              <w:ind w:left="57"/>
              <w:rPr>
                <w:b w:val="0"/>
              </w:rPr>
            </w:pPr>
            <w:r>
              <w:rPr>
                <w:b w:val="0"/>
              </w:rPr>
              <w:t>Locoregional recurrence</w:t>
            </w:r>
          </w:p>
        </w:tc>
        <w:tc>
          <w:tcPr>
            <w:tcW w:w="855" w:type="pct"/>
            <w:tcBorders>
              <w:top w:val="single" w:sz="4" w:space="0" w:color="auto"/>
              <w:left w:val="single" w:sz="4" w:space="0" w:color="auto"/>
              <w:bottom w:val="single" w:sz="4" w:space="0" w:color="auto"/>
              <w:right w:val="single" w:sz="4" w:space="0" w:color="auto"/>
            </w:tcBorders>
          </w:tcPr>
          <w:p w14:paraId="42F6D7EF" w14:textId="77777777" w:rsidR="00F2381C" w:rsidRPr="00237C13" w:rsidRDefault="00F2381C" w:rsidP="00910F31">
            <w:pPr>
              <w:pStyle w:val="In-tableHeading"/>
              <w:jc w:val="center"/>
              <w:rPr>
                <w:b w:val="0"/>
              </w:rPr>
            </w:pPr>
            <w:r w:rsidRPr="00237C13">
              <w:rPr>
                <w:b w:val="0"/>
              </w:rPr>
              <w:t>0.59</w:t>
            </w:r>
          </w:p>
        </w:tc>
        <w:tc>
          <w:tcPr>
            <w:tcW w:w="855" w:type="pct"/>
            <w:tcBorders>
              <w:top w:val="single" w:sz="4" w:space="0" w:color="auto"/>
              <w:left w:val="single" w:sz="4" w:space="0" w:color="auto"/>
              <w:bottom w:val="single" w:sz="4" w:space="0" w:color="auto"/>
              <w:right w:val="single" w:sz="4" w:space="0" w:color="auto"/>
            </w:tcBorders>
          </w:tcPr>
          <w:p w14:paraId="12C6D2A1" w14:textId="77777777" w:rsidR="00F2381C" w:rsidRPr="00237C13" w:rsidRDefault="00F2381C" w:rsidP="00910F31">
            <w:pPr>
              <w:pStyle w:val="In-tableHeading"/>
              <w:jc w:val="center"/>
              <w:rPr>
                <w:b w:val="0"/>
              </w:rPr>
            </w:pPr>
            <w:r w:rsidRPr="00237C13">
              <w:rPr>
                <w:b w:val="0"/>
              </w:rPr>
              <w:t>0.74</w:t>
            </w:r>
          </w:p>
        </w:tc>
        <w:tc>
          <w:tcPr>
            <w:tcW w:w="854" w:type="pct"/>
            <w:tcBorders>
              <w:top w:val="single" w:sz="4" w:space="0" w:color="auto"/>
              <w:left w:val="single" w:sz="4" w:space="0" w:color="auto"/>
              <w:bottom w:val="single" w:sz="4" w:space="0" w:color="auto"/>
              <w:right w:val="single" w:sz="4" w:space="0" w:color="auto"/>
            </w:tcBorders>
          </w:tcPr>
          <w:p w14:paraId="708B260E" w14:textId="77777777" w:rsidR="00F2381C" w:rsidRPr="00237C13" w:rsidRDefault="00F2381C" w:rsidP="00910F31">
            <w:pPr>
              <w:pStyle w:val="In-tableHeading"/>
              <w:jc w:val="center"/>
              <w:rPr>
                <w:b w:val="0"/>
              </w:rPr>
            </w:pPr>
            <w:r w:rsidRPr="00237C13">
              <w:rPr>
                <w:b w:val="0"/>
              </w:rPr>
              <w:t>-0.14</w:t>
            </w:r>
          </w:p>
        </w:tc>
        <w:tc>
          <w:tcPr>
            <w:tcW w:w="808" w:type="pct"/>
            <w:tcBorders>
              <w:top w:val="single" w:sz="4" w:space="0" w:color="auto"/>
              <w:left w:val="single" w:sz="4" w:space="0" w:color="auto"/>
              <w:bottom w:val="single" w:sz="4" w:space="0" w:color="auto"/>
              <w:right w:val="single" w:sz="4" w:space="0" w:color="auto"/>
            </w:tcBorders>
          </w:tcPr>
          <w:p w14:paraId="253FD070" w14:textId="77777777" w:rsidR="00F2381C" w:rsidRPr="00223C24" w:rsidRDefault="00F2381C" w:rsidP="00910F31">
            <w:pPr>
              <w:pStyle w:val="In-tableHeading"/>
              <w:jc w:val="center"/>
              <w:rPr>
                <w:b w:val="0"/>
              </w:rPr>
            </w:pPr>
            <w:r w:rsidRPr="00223C24">
              <w:rPr>
                <w:b w:val="0"/>
              </w:rPr>
              <w:t>-11.7%</w:t>
            </w:r>
          </w:p>
        </w:tc>
      </w:tr>
      <w:tr w:rsidR="00F2381C" w:rsidRPr="00596102" w14:paraId="280A773E" w14:textId="77777777" w:rsidTr="00910F31">
        <w:trPr>
          <w:tblHeader/>
        </w:trPr>
        <w:tc>
          <w:tcPr>
            <w:tcW w:w="1628" w:type="pct"/>
            <w:tcBorders>
              <w:top w:val="single" w:sz="4" w:space="0" w:color="auto"/>
              <w:left w:val="single" w:sz="4" w:space="0" w:color="auto"/>
              <w:bottom w:val="single" w:sz="4" w:space="0" w:color="auto"/>
              <w:right w:val="single" w:sz="4" w:space="0" w:color="auto"/>
            </w:tcBorders>
            <w:vAlign w:val="center"/>
          </w:tcPr>
          <w:p w14:paraId="631A5F10" w14:textId="77777777" w:rsidR="00F2381C" w:rsidRPr="00B96BB8" w:rsidRDefault="00F2381C" w:rsidP="00910F31">
            <w:pPr>
              <w:pStyle w:val="In-tableHeading"/>
              <w:ind w:left="57"/>
              <w:rPr>
                <w:b w:val="0"/>
              </w:rPr>
            </w:pPr>
            <w:r>
              <w:rPr>
                <w:b w:val="0"/>
              </w:rPr>
              <w:t>Distant metastasis</w:t>
            </w:r>
          </w:p>
        </w:tc>
        <w:tc>
          <w:tcPr>
            <w:tcW w:w="855" w:type="pct"/>
            <w:tcBorders>
              <w:top w:val="single" w:sz="4" w:space="0" w:color="auto"/>
              <w:left w:val="single" w:sz="4" w:space="0" w:color="auto"/>
              <w:bottom w:val="single" w:sz="4" w:space="0" w:color="auto"/>
              <w:right w:val="single" w:sz="4" w:space="0" w:color="auto"/>
            </w:tcBorders>
          </w:tcPr>
          <w:p w14:paraId="05BDD5FD" w14:textId="77777777" w:rsidR="00F2381C" w:rsidRPr="00237C13" w:rsidRDefault="00F2381C" w:rsidP="00910F31">
            <w:pPr>
              <w:pStyle w:val="In-tableHeading"/>
              <w:jc w:val="center"/>
              <w:rPr>
                <w:b w:val="0"/>
              </w:rPr>
            </w:pPr>
            <w:r w:rsidRPr="00237C13">
              <w:rPr>
                <w:b w:val="0"/>
              </w:rPr>
              <w:t>0.59</w:t>
            </w:r>
          </w:p>
        </w:tc>
        <w:tc>
          <w:tcPr>
            <w:tcW w:w="855" w:type="pct"/>
            <w:tcBorders>
              <w:top w:val="single" w:sz="4" w:space="0" w:color="auto"/>
              <w:left w:val="single" w:sz="4" w:space="0" w:color="auto"/>
              <w:bottom w:val="single" w:sz="4" w:space="0" w:color="auto"/>
              <w:right w:val="single" w:sz="4" w:space="0" w:color="auto"/>
            </w:tcBorders>
          </w:tcPr>
          <w:p w14:paraId="5EC6F0F9" w14:textId="77777777" w:rsidR="00F2381C" w:rsidRPr="00237C13" w:rsidRDefault="00F2381C" w:rsidP="00910F31">
            <w:pPr>
              <w:pStyle w:val="In-tableHeading"/>
              <w:jc w:val="center"/>
              <w:rPr>
                <w:b w:val="0"/>
              </w:rPr>
            </w:pPr>
            <w:r w:rsidRPr="00237C13">
              <w:rPr>
                <w:b w:val="0"/>
              </w:rPr>
              <w:t>0.80</w:t>
            </w:r>
          </w:p>
        </w:tc>
        <w:tc>
          <w:tcPr>
            <w:tcW w:w="854" w:type="pct"/>
            <w:tcBorders>
              <w:top w:val="single" w:sz="4" w:space="0" w:color="auto"/>
              <w:left w:val="single" w:sz="4" w:space="0" w:color="auto"/>
              <w:bottom w:val="single" w:sz="4" w:space="0" w:color="auto"/>
              <w:right w:val="single" w:sz="4" w:space="0" w:color="auto"/>
            </w:tcBorders>
          </w:tcPr>
          <w:p w14:paraId="111764CA" w14:textId="77777777" w:rsidR="00F2381C" w:rsidRPr="00237C13" w:rsidRDefault="00F2381C" w:rsidP="00910F31">
            <w:pPr>
              <w:pStyle w:val="In-tableHeading"/>
              <w:jc w:val="center"/>
              <w:rPr>
                <w:b w:val="0"/>
              </w:rPr>
            </w:pPr>
            <w:r w:rsidRPr="00237C13">
              <w:rPr>
                <w:b w:val="0"/>
              </w:rPr>
              <w:t>-0.21</w:t>
            </w:r>
          </w:p>
        </w:tc>
        <w:tc>
          <w:tcPr>
            <w:tcW w:w="808" w:type="pct"/>
            <w:tcBorders>
              <w:top w:val="single" w:sz="4" w:space="0" w:color="auto"/>
              <w:left w:val="single" w:sz="4" w:space="0" w:color="auto"/>
              <w:bottom w:val="single" w:sz="4" w:space="0" w:color="auto"/>
              <w:right w:val="single" w:sz="4" w:space="0" w:color="auto"/>
            </w:tcBorders>
          </w:tcPr>
          <w:p w14:paraId="4982552D" w14:textId="77777777" w:rsidR="00F2381C" w:rsidRPr="00223C24" w:rsidRDefault="00F2381C" w:rsidP="00910F31">
            <w:pPr>
              <w:pStyle w:val="In-tableHeading"/>
              <w:jc w:val="center"/>
              <w:rPr>
                <w:b w:val="0"/>
              </w:rPr>
            </w:pPr>
            <w:r w:rsidRPr="00223C24">
              <w:rPr>
                <w:b w:val="0"/>
              </w:rPr>
              <w:t>-17.0%</w:t>
            </w:r>
          </w:p>
        </w:tc>
      </w:tr>
      <w:tr w:rsidR="00F2381C" w:rsidRPr="00596102" w14:paraId="4D2459EB" w14:textId="77777777" w:rsidTr="00910F31">
        <w:trPr>
          <w:tblHeader/>
        </w:trPr>
        <w:tc>
          <w:tcPr>
            <w:tcW w:w="1628" w:type="pct"/>
            <w:tcBorders>
              <w:top w:val="single" w:sz="4" w:space="0" w:color="auto"/>
              <w:left w:val="single" w:sz="4" w:space="0" w:color="auto"/>
              <w:bottom w:val="single" w:sz="4" w:space="0" w:color="auto"/>
              <w:right w:val="single" w:sz="4" w:space="0" w:color="auto"/>
            </w:tcBorders>
            <w:vAlign w:val="center"/>
          </w:tcPr>
          <w:p w14:paraId="348D3B79" w14:textId="77777777" w:rsidR="00F2381C" w:rsidRPr="00B96BB8" w:rsidRDefault="00F2381C" w:rsidP="00910F31">
            <w:pPr>
              <w:pStyle w:val="In-tableHeading"/>
              <w:ind w:left="57"/>
            </w:pPr>
            <w:r w:rsidRPr="00B96BB8">
              <w:t xml:space="preserve">Total </w:t>
            </w:r>
            <w:r>
              <w:t>life years</w:t>
            </w:r>
          </w:p>
        </w:tc>
        <w:tc>
          <w:tcPr>
            <w:tcW w:w="855" w:type="pct"/>
            <w:tcBorders>
              <w:top w:val="single" w:sz="4" w:space="0" w:color="auto"/>
              <w:left w:val="single" w:sz="4" w:space="0" w:color="auto"/>
              <w:bottom w:val="single" w:sz="4" w:space="0" w:color="auto"/>
              <w:right w:val="single" w:sz="4" w:space="0" w:color="auto"/>
            </w:tcBorders>
          </w:tcPr>
          <w:p w14:paraId="292F6268" w14:textId="77777777" w:rsidR="00F2381C" w:rsidRPr="00B96BB8" w:rsidRDefault="00F2381C" w:rsidP="00910F31">
            <w:pPr>
              <w:pStyle w:val="In-tableHeading"/>
              <w:jc w:val="center"/>
            </w:pPr>
            <w:r w:rsidRPr="00CE289B">
              <w:t>6.62</w:t>
            </w:r>
          </w:p>
        </w:tc>
        <w:tc>
          <w:tcPr>
            <w:tcW w:w="855" w:type="pct"/>
            <w:tcBorders>
              <w:top w:val="single" w:sz="4" w:space="0" w:color="auto"/>
              <w:left w:val="single" w:sz="4" w:space="0" w:color="auto"/>
              <w:bottom w:val="single" w:sz="4" w:space="0" w:color="auto"/>
              <w:right w:val="single" w:sz="4" w:space="0" w:color="auto"/>
            </w:tcBorders>
          </w:tcPr>
          <w:p w14:paraId="19DEF445" w14:textId="77777777" w:rsidR="00F2381C" w:rsidRPr="00B96BB8" w:rsidRDefault="00F2381C" w:rsidP="00910F31">
            <w:pPr>
              <w:pStyle w:val="In-tableHeading"/>
              <w:jc w:val="center"/>
            </w:pPr>
            <w:r w:rsidRPr="00CE289B">
              <w:t>5.39</w:t>
            </w:r>
          </w:p>
        </w:tc>
        <w:tc>
          <w:tcPr>
            <w:tcW w:w="854" w:type="pct"/>
            <w:tcBorders>
              <w:top w:val="single" w:sz="4" w:space="0" w:color="auto"/>
              <w:left w:val="single" w:sz="4" w:space="0" w:color="auto"/>
              <w:bottom w:val="single" w:sz="4" w:space="0" w:color="auto"/>
              <w:right w:val="single" w:sz="4" w:space="0" w:color="auto"/>
            </w:tcBorders>
          </w:tcPr>
          <w:p w14:paraId="194DAF4B" w14:textId="77777777" w:rsidR="00F2381C" w:rsidRPr="00B96BB8" w:rsidRDefault="00F2381C" w:rsidP="00910F31">
            <w:pPr>
              <w:pStyle w:val="In-tableHeading"/>
              <w:jc w:val="center"/>
            </w:pPr>
            <w:r w:rsidRPr="00CE289B">
              <w:t>1.23</w:t>
            </w:r>
          </w:p>
        </w:tc>
        <w:tc>
          <w:tcPr>
            <w:tcW w:w="808" w:type="pct"/>
            <w:tcBorders>
              <w:top w:val="single" w:sz="4" w:space="0" w:color="auto"/>
              <w:left w:val="single" w:sz="4" w:space="0" w:color="auto"/>
              <w:bottom w:val="single" w:sz="4" w:space="0" w:color="auto"/>
              <w:right w:val="single" w:sz="4" w:space="0" w:color="auto"/>
            </w:tcBorders>
            <w:vAlign w:val="center"/>
          </w:tcPr>
          <w:p w14:paraId="544A9AE0" w14:textId="77777777" w:rsidR="00F2381C" w:rsidRPr="00B96BB8" w:rsidRDefault="00F2381C" w:rsidP="00910F31">
            <w:pPr>
              <w:pStyle w:val="In-tableHeading"/>
              <w:jc w:val="center"/>
            </w:pPr>
            <w:r w:rsidRPr="00B96BB8">
              <w:t>100.0%</w:t>
            </w:r>
          </w:p>
        </w:tc>
      </w:tr>
      <w:tr w:rsidR="00F2381C" w:rsidRPr="00596102" w14:paraId="6B2224DE" w14:textId="77777777" w:rsidTr="00910F31">
        <w:trPr>
          <w:tblHeader/>
        </w:trPr>
        <w:tc>
          <w:tcPr>
            <w:tcW w:w="5000" w:type="pct"/>
            <w:gridSpan w:val="5"/>
            <w:tcBorders>
              <w:top w:val="single" w:sz="4" w:space="0" w:color="auto"/>
              <w:left w:val="single" w:sz="4" w:space="0" w:color="auto"/>
              <w:bottom w:val="single" w:sz="4" w:space="0" w:color="auto"/>
              <w:right w:val="single" w:sz="4" w:space="0" w:color="auto"/>
            </w:tcBorders>
            <w:vAlign w:val="center"/>
          </w:tcPr>
          <w:p w14:paraId="069A5E59" w14:textId="77777777" w:rsidR="00F2381C" w:rsidRPr="00B96BB8" w:rsidRDefault="00F2381C" w:rsidP="00910F31">
            <w:pPr>
              <w:pStyle w:val="In-tableHeading"/>
              <w:ind w:left="57"/>
            </w:pPr>
            <w:r>
              <w:t>Quality-adjusted life years</w:t>
            </w:r>
          </w:p>
        </w:tc>
      </w:tr>
      <w:tr w:rsidR="00F2381C" w:rsidRPr="00596102" w14:paraId="0529C536" w14:textId="77777777" w:rsidTr="00910F31">
        <w:trPr>
          <w:tblHeader/>
        </w:trPr>
        <w:tc>
          <w:tcPr>
            <w:tcW w:w="1628" w:type="pct"/>
            <w:tcBorders>
              <w:top w:val="single" w:sz="4" w:space="0" w:color="auto"/>
              <w:left w:val="single" w:sz="4" w:space="0" w:color="auto"/>
              <w:bottom w:val="single" w:sz="4" w:space="0" w:color="auto"/>
              <w:right w:val="single" w:sz="4" w:space="0" w:color="auto"/>
            </w:tcBorders>
            <w:vAlign w:val="center"/>
          </w:tcPr>
          <w:p w14:paraId="17ED3CC1" w14:textId="77777777" w:rsidR="00F2381C" w:rsidRPr="00B96BB8" w:rsidRDefault="00F2381C" w:rsidP="00910F31">
            <w:pPr>
              <w:pStyle w:val="In-tableHeading"/>
              <w:ind w:left="57"/>
            </w:pPr>
            <w:r>
              <w:rPr>
                <w:b w:val="0"/>
              </w:rPr>
              <w:t>Event-free survival</w:t>
            </w:r>
          </w:p>
        </w:tc>
        <w:tc>
          <w:tcPr>
            <w:tcW w:w="855" w:type="pct"/>
            <w:tcBorders>
              <w:top w:val="single" w:sz="4" w:space="0" w:color="auto"/>
              <w:left w:val="single" w:sz="4" w:space="0" w:color="auto"/>
              <w:bottom w:val="single" w:sz="4" w:space="0" w:color="auto"/>
              <w:right w:val="single" w:sz="4" w:space="0" w:color="auto"/>
            </w:tcBorders>
          </w:tcPr>
          <w:p w14:paraId="0340855E" w14:textId="77777777" w:rsidR="00F2381C" w:rsidRPr="00237C13" w:rsidRDefault="00F2381C" w:rsidP="00910F31">
            <w:pPr>
              <w:pStyle w:val="In-tableHeading"/>
              <w:jc w:val="center"/>
              <w:rPr>
                <w:b w:val="0"/>
              </w:rPr>
            </w:pPr>
            <w:r w:rsidRPr="00237C13">
              <w:rPr>
                <w:b w:val="0"/>
              </w:rPr>
              <w:t>4.45</w:t>
            </w:r>
          </w:p>
        </w:tc>
        <w:tc>
          <w:tcPr>
            <w:tcW w:w="855" w:type="pct"/>
            <w:tcBorders>
              <w:top w:val="single" w:sz="4" w:space="0" w:color="auto"/>
              <w:left w:val="single" w:sz="4" w:space="0" w:color="auto"/>
              <w:bottom w:val="single" w:sz="4" w:space="0" w:color="auto"/>
              <w:right w:val="single" w:sz="4" w:space="0" w:color="auto"/>
            </w:tcBorders>
          </w:tcPr>
          <w:p w14:paraId="5D49250A" w14:textId="77777777" w:rsidR="00F2381C" w:rsidRPr="00237C13" w:rsidRDefault="00F2381C" w:rsidP="00910F31">
            <w:pPr>
              <w:pStyle w:val="In-tableHeading"/>
              <w:jc w:val="center"/>
              <w:rPr>
                <w:b w:val="0"/>
              </w:rPr>
            </w:pPr>
            <w:r w:rsidRPr="00237C13">
              <w:rPr>
                <w:b w:val="0"/>
              </w:rPr>
              <w:t>3.16</w:t>
            </w:r>
          </w:p>
        </w:tc>
        <w:tc>
          <w:tcPr>
            <w:tcW w:w="854" w:type="pct"/>
            <w:tcBorders>
              <w:top w:val="single" w:sz="4" w:space="0" w:color="auto"/>
              <w:left w:val="single" w:sz="4" w:space="0" w:color="auto"/>
              <w:bottom w:val="single" w:sz="4" w:space="0" w:color="auto"/>
              <w:right w:val="single" w:sz="4" w:space="0" w:color="auto"/>
            </w:tcBorders>
          </w:tcPr>
          <w:p w14:paraId="5A1ECBD2" w14:textId="77777777" w:rsidR="00F2381C" w:rsidRPr="00237C13" w:rsidRDefault="00F2381C" w:rsidP="00910F31">
            <w:pPr>
              <w:pStyle w:val="In-tableHeading"/>
              <w:jc w:val="center"/>
              <w:rPr>
                <w:b w:val="0"/>
              </w:rPr>
            </w:pPr>
            <w:r w:rsidRPr="00237C13">
              <w:rPr>
                <w:b w:val="0"/>
              </w:rPr>
              <w:t>1.29</w:t>
            </w:r>
          </w:p>
        </w:tc>
        <w:tc>
          <w:tcPr>
            <w:tcW w:w="808" w:type="pct"/>
            <w:tcBorders>
              <w:top w:val="single" w:sz="4" w:space="0" w:color="auto"/>
              <w:left w:val="single" w:sz="4" w:space="0" w:color="auto"/>
              <w:bottom w:val="single" w:sz="4" w:space="0" w:color="auto"/>
              <w:right w:val="single" w:sz="4" w:space="0" w:color="auto"/>
            </w:tcBorders>
          </w:tcPr>
          <w:p w14:paraId="6A7E2A4D" w14:textId="77777777" w:rsidR="00F2381C" w:rsidRPr="00223C24" w:rsidRDefault="00F2381C" w:rsidP="00910F31">
            <w:pPr>
              <w:pStyle w:val="In-tableHeading"/>
              <w:jc w:val="center"/>
              <w:rPr>
                <w:b w:val="0"/>
              </w:rPr>
            </w:pPr>
            <w:r w:rsidRPr="00223C24">
              <w:rPr>
                <w:b w:val="0"/>
              </w:rPr>
              <w:t>125.8%</w:t>
            </w:r>
          </w:p>
        </w:tc>
      </w:tr>
      <w:tr w:rsidR="00F2381C" w:rsidRPr="00596102" w14:paraId="5BA3BA46" w14:textId="77777777" w:rsidTr="00910F31">
        <w:trPr>
          <w:tblHeader/>
        </w:trPr>
        <w:tc>
          <w:tcPr>
            <w:tcW w:w="1628" w:type="pct"/>
            <w:tcBorders>
              <w:top w:val="single" w:sz="4" w:space="0" w:color="auto"/>
              <w:left w:val="single" w:sz="4" w:space="0" w:color="auto"/>
              <w:bottom w:val="single" w:sz="4" w:space="0" w:color="auto"/>
              <w:right w:val="single" w:sz="4" w:space="0" w:color="auto"/>
            </w:tcBorders>
            <w:vAlign w:val="center"/>
          </w:tcPr>
          <w:p w14:paraId="2E7F580C" w14:textId="77777777" w:rsidR="00F2381C" w:rsidRPr="00B96BB8" w:rsidRDefault="00F2381C" w:rsidP="00910F31">
            <w:pPr>
              <w:pStyle w:val="In-tableHeading"/>
              <w:ind w:left="57"/>
            </w:pPr>
            <w:r>
              <w:rPr>
                <w:b w:val="0"/>
              </w:rPr>
              <w:t>Locoregional recurrence</w:t>
            </w:r>
          </w:p>
        </w:tc>
        <w:tc>
          <w:tcPr>
            <w:tcW w:w="855" w:type="pct"/>
            <w:tcBorders>
              <w:top w:val="single" w:sz="4" w:space="0" w:color="auto"/>
              <w:left w:val="single" w:sz="4" w:space="0" w:color="auto"/>
              <w:bottom w:val="single" w:sz="4" w:space="0" w:color="auto"/>
              <w:right w:val="single" w:sz="4" w:space="0" w:color="auto"/>
            </w:tcBorders>
          </w:tcPr>
          <w:p w14:paraId="66619D5F" w14:textId="77777777" w:rsidR="00F2381C" w:rsidRPr="00237C13" w:rsidRDefault="00F2381C" w:rsidP="00910F31">
            <w:pPr>
              <w:pStyle w:val="In-tableHeading"/>
              <w:jc w:val="center"/>
              <w:rPr>
                <w:b w:val="0"/>
              </w:rPr>
            </w:pPr>
            <w:r w:rsidRPr="00237C13">
              <w:rPr>
                <w:b w:val="0"/>
              </w:rPr>
              <w:t>0.46</w:t>
            </w:r>
          </w:p>
        </w:tc>
        <w:tc>
          <w:tcPr>
            <w:tcW w:w="855" w:type="pct"/>
            <w:tcBorders>
              <w:top w:val="single" w:sz="4" w:space="0" w:color="auto"/>
              <w:left w:val="single" w:sz="4" w:space="0" w:color="auto"/>
              <w:bottom w:val="single" w:sz="4" w:space="0" w:color="auto"/>
              <w:right w:val="single" w:sz="4" w:space="0" w:color="auto"/>
            </w:tcBorders>
          </w:tcPr>
          <w:p w14:paraId="49DF3D9F" w14:textId="77777777" w:rsidR="00F2381C" w:rsidRPr="00237C13" w:rsidRDefault="00F2381C" w:rsidP="00910F31">
            <w:pPr>
              <w:pStyle w:val="In-tableHeading"/>
              <w:jc w:val="center"/>
              <w:rPr>
                <w:b w:val="0"/>
              </w:rPr>
            </w:pPr>
            <w:r w:rsidRPr="00237C13">
              <w:rPr>
                <w:b w:val="0"/>
              </w:rPr>
              <w:t>0.57</w:t>
            </w:r>
          </w:p>
        </w:tc>
        <w:tc>
          <w:tcPr>
            <w:tcW w:w="854" w:type="pct"/>
            <w:tcBorders>
              <w:top w:val="single" w:sz="4" w:space="0" w:color="auto"/>
              <w:left w:val="single" w:sz="4" w:space="0" w:color="auto"/>
              <w:bottom w:val="single" w:sz="4" w:space="0" w:color="auto"/>
              <w:right w:val="single" w:sz="4" w:space="0" w:color="auto"/>
            </w:tcBorders>
          </w:tcPr>
          <w:p w14:paraId="144BDD1F" w14:textId="77777777" w:rsidR="00F2381C" w:rsidRPr="00237C13" w:rsidRDefault="00F2381C" w:rsidP="00910F31">
            <w:pPr>
              <w:pStyle w:val="In-tableHeading"/>
              <w:jc w:val="center"/>
              <w:rPr>
                <w:b w:val="0"/>
              </w:rPr>
            </w:pPr>
            <w:r w:rsidRPr="00237C13">
              <w:rPr>
                <w:b w:val="0"/>
              </w:rPr>
              <w:t>-0.11</w:t>
            </w:r>
          </w:p>
        </w:tc>
        <w:tc>
          <w:tcPr>
            <w:tcW w:w="808" w:type="pct"/>
            <w:tcBorders>
              <w:top w:val="single" w:sz="4" w:space="0" w:color="auto"/>
              <w:left w:val="single" w:sz="4" w:space="0" w:color="auto"/>
              <w:bottom w:val="single" w:sz="4" w:space="0" w:color="auto"/>
              <w:right w:val="single" w:sz="4" w:space="0" w:color="auto"/>
            </w:tcBorders>
          </w:tcPr>
          <w:p w14:paraId="3D6EB85E" w14:textId="77777777" w:rsidR="00F2381C" w:rsidRPr="00223C24" w:rsidRDefault="00F2381C" w:rsidP="00910F31">
            <w:pPr>
              <w:pStyle w:val="In-tableHeading"/>
              <w:jc w:val="center"/>
              <w:rPr>
                <w:b w:val="0"/>
              </w:rPr>
            </w:pPr>
            <w:r w:rsidRPr="00223C24">
              <w:rPr>
                <w:b w:val="0"/>
              </w:rPr>
              <w:t>-10.9%</w:t>
            </w:r>
          </w:p>
        </w:tc>
      </w:tr>
      <w:tr w:rsidR="00F2381C" w:rsidRPr="00596102" w14:paraId="37EAC3B0" w14:textId="77777777" w:rsidTr="00910F31">
        <w:trPr>
          <w:tblHeader/>
        </w:trPr>
        <w:tc>
          <w:tcPr>
            <w:tcW w:w="1628" w:type="pct"/>
            <w:tcBorders>
              <w:top w:val="single" w:sz="4" w:space="0" w:color="auto"/>
              <w:left w:val="single" w:sz="4" w:space="0" w:color="auto"/>
              <w:bottom w:val="single" w:sz="4" w:space="0" w:color="auto"/>
              <w:right w:val="single" w:sz="4" w:space="0" w:color="auto"/>
            </w:tcBorders>
            <w:vAlign w:val="center"/>
          </w:tcPr>
          <w:p w14:paraId="332DFE40" w14:textId="77777777" w:rsidR="00F2381C" w:rsidRPr="00B96BB8" w:rsidRDefault="00F2381C" w:rsidP="00910F31">
            <w:pPr>
              <w:pStyle w:val="In-tableHeading"/>
              <w:ind w:left="57"/>
            </w:pPr>
            <w:r>
              <w:rPr>
                <w:b w:val="0"/>
              </w:rPr>
              <w:t>Distant metastasis</w:t>
            </w:r>
          </w:p>
        </w:tc>
        <w:tc>
          <w:tcPr>
            <w:tcW w:w="855" w:type="pct"/>
            <w:tcBorders>
              <w:top w:val="single" w:sz="4" w:space="0" w:color="auto"/>
              <w:left w:val="single" w:sz="4" w:space="0" w:color="auto"/>
              <w:bottom w:val="single" w:sz="4" w:space="0" w:color="auto"/>
              <w:right w:val="single" w:sz="4" w:space="0" w:color="auto"/>
            </w:tcBorders>
          </w:tcPr>
          <w:p w14:paraId="067FA988" w14:textId="77777777" w:rsidR="00F2381C" w:rsidRPr="00237C13" w:rsidRDefault="00F2381C" w:rsidP="00910F31">
            <w:pPr>
              <w:pStyle w:val="In-tableHeading"/>
              <w:jc w:val="center"/>
              <w:rPr>
                <w:b w:val="0"/>
              </w:rPr>
            </w:pPr>
            <w:r w:rsidRPr="00237C13">
              <w:rPr>
                <w:b w:val="0"/>
              </w:rPr>
              <w:t>0.43</w:t>
            </w:r>
          </w:p>
        </w:tc>
        <w:tc>
          <w:tcPr>
            <w:tcW w:w="855" w:type="pct"/>
            <w:tcBorders>
              <w:top w:val="single" w:sz="4" w:space="0" w:color="auto"/>
              <w:left w:val="single" w:sz="4" w:space="0" w:color="auto"/>
              <w:bottom w:val="single" w:sz="4" w:space="0" w:color="auto"/>
              <w:right w:val="single" w:sz="4" w:space="0" w:color="auto"/>
            </w:tcBorders>
          </w:tcPr>
          <w:p w14:paraId="6A97766F" w14:textId="77777777" w:rsidR="00F2381C" w:rsidRPr="00237C13" w:rsidRDefault="00F2381C" w:rsidP="00910F31">
            <w:pPr>
              <w:pStyle w:val="In-tableHeading"/>
              <w:jc w:val="center"/>
              <w:rPr>
                <w:b w:val="0"/>
              </w:rPr>
            </w:pPr>
            <w:r w:rsidRPr="00237C13">
              <w:rPr>
                <w:b w:val="0"/>
              </w:rPr>
              <w:t>0.58</w:t>
            </w:r>
          </w:p>
        </w:tc>
        <w:tc>
          <w:tcPr>
            <w:tcW w:w="854" w:type="pct"/>
            <w:tcBorders>
              <w:top w:val="single" w:sz="4" w:space="0" w:color="auto"/>
              <w:left w:val="single" w:sz="4" w:space="0" w:color="auto"/>
              <w:bottom w:val="single" w:sz="4" w:space="0" w:color="auto"/>
              <w:right w:val="single" w:sz="4" w:space="0" w:color="auto"/>
            </w:tcBorders>
          </w:tcPr>
          <w:p w14:paraId="4FA76AB9" w14:textId="77777777" w:rsidR="00F2381C" w:rsidRPr="00237C13" w:rsidRDefault="00F2381C" w:rsidP="00910F31">
            <w:pPr>
              <w:pStyle w:val="In-tableHeading"/>
              <w:jc w:val="center"/>
              <w:rPr>
                <w:b w:val="0"/>
              </w:rPr>
            </w:pPr>
            <w:r w:rsidRPr="00237C13">
              <w:rPr>
                <w:b w:val="0"/>
              </w:rPr>
              <w:t>-0.15</w:t>
            </w:r>
          </w:p>
        </w:tc>
        <w:tc>
          <w:tcPr>
            <w:tcW w:w="808" w:type="pct"/>
            <w:tcBorders>
              <w:top w:val="single" w:sz="4" w:space="0" w:color="auto"/>
              <w:left w:val="single" w:sz="4" w:space="0" w:color="auto"/>
              <w:bottom w:val="single" w:sz="4" w:space="0" w:color="auto"/>
              <w:right w:val="single" w:sz="4" w:space="0" w:color="auto"/>
            </w:tcBorders>
          </w:tcPr>
          <w:p w14:paraId="64B61259" w14:textId="77777777" w:rsidR="00F2381C" w:rsidRPr="00223C24" w:rsidRDefault="00F2381C" w:rsidP="00910F31">
            <w:pPr>
              <w:pStyle w:val="In-tableHeading"/>
              <w:jc w:val="center"/>
              <w:rPr>
                <w:b w:val="0"/>
              </w:rPr>
            </w:pPr>
            <w:r w:rsidRPr="00223C24">
              <w:rPr>
                <w:b w:val="0"/>
              </w:rPr>
              <w:t>-14.9%</w:t>
            </w:r>
          </w:p>
        </w:tc>
      </w:tr>
      <w:tr w:rsidR="00F2381C" w:rsidRPr="00596102" w14:paraId="33523167" w14:textId="77777777" w:rsidTr="00910F31">
        <w:trPr>
          <w:tblHeader/>
        </w:trPr>
        <w:tc>
          <w:tcPr>
            <w:tcW w:w="1628" w:type="pct"/>
            <w:tcBorders>
              <w:top w:val="single" w:sz="4" w:space="0" w:color="auto"/>
              <w:left w:val="single" w:sz="4" w:space="0" w:color="auto"/>
              <w:bottom w:val="single" w:sz="4" w:space="0" w:color="auto"/>
              <w:right w:val="single" w:sz="4" w:space="0" w:color="auto"/>
            </w:tcBorders>
            <w:vAlign w:val="center"/>
          </w:tcPr>
          <w:p w14:paraId="44620B3B" w14:textId="77777777" w:rsidR="00F2381C" w:rsidRPr="00B96BB8" w:rsidRDefault="00F2381C" w:rsidP="00910F31">
            <w:pPr>
              <w:pStyle w:val="In-tableHeading"/>
              <w:ind w:left="57"/>
            </w:pPr>
            <w:r w:rsidRPr="00B96BB8">
              <w:t xml:space="preserve">Total </w:t>
            </w:r>
            <w:r>
              <w:t>quality-adjusted life years</w:t>
            </w:r>
          </w:p>
        </w:tc>
        <w:tc>
          <w:tcPr>
            <w:tcW w:w="855" w:type="pct"/>
            <w:tcBorders>
              <w:top w:val="single" w:sz="4" w:space="0" w:color="auto"/>
              <w:left w:val="single" w:sz="4" w:space="0" w:color="auto"/>
              <w:bottom w:val="single" w:sz="4" w:space="0" w:color="auto"/>
              <w:right w:val="single" w:sz="4" w:space="0" w:color="auto"/>
            </w:tcBorders>
          </w:tcPr>
          <w:p w14:paraId="0055BD8A" w14:textId="77777777" w:rsidR="00F2381C" w:rsidRPr="00B96BB8" w:rsidRDefault="00F2381C" w:rsidP="00910F31">
            <w:pPr>
              <w:pStyle w:val="In-tableHeading"/>
              <w:jc w:val="center"/>
            </w:pPr>
            <w:r w:rsidRPr="00A45563">
              <w:t>5.34</w:t>
            </w:r>
          </w:p>
        </w:tc>
        <w:tc>
          <w:tcPr>
            <w:tcW w:w="855" w:type="pct"/>
            <w:tcBorders>
              <w:top w:val="single" w:sz="4" w:space="0" w:color="auto"/>
              <w:left w:val="single" w:sz="4" w:space="0" w:color="auto"/>
              <w:bottom w:val="single" w:sz="4" w:space="0" w:color="auto"/>
              <w:right w:val="single" w:sz="4" w:space="0" w:color="auto"/>
            </w:tcBorders>
          </w:tcPr>
          <w:p w14:paraId="74550835" w14:textId="77777777" w:rsidR="00F2381C" w:rsidRPr="00B96BB8" w:rsidRDefault="00F2381C" w:rsidP="00910F31">
            <w:pPr>
              <w:pStyle w:val="In-tableHeading"/>
              <w:jc w:val="center"/>
            </w:pPr>
            <w:r w:rsidRPr="00A45563">
              <w:t>4.31</w:t>
            </w:r>
          </w:p>
        </w:tc>
        <w:tc>
          <w:tcPr>
            <w:tcW w:w="854" w:type="pct"/>
            <w:tcBorders>
              <w:top w:val="single" w:sz="4" w:space="0" w:color="auto"/>
              <w:left w:val="single" w:sz="4" w:space="0" w:color="auto"/>
              <w:bottom w:val="single" w:sz="4" w:space="0" w:color="auto"/>
              <w:right w:val="single" w:sz="4" w:space="0" w:color="auto"/>
            </w:tcBorders>
          </w:tcPr>
          <w:p w14:paraId="7D28D87B" w14:textId="77777777" w:rsidR="00F2381C" w:rsidRPr="00B96BB8" w:rsidRDefault="00F2381C" w:rsidP="00910F31">
            <w:pPr>
              <w:pStyle w:val="In-tableHeading"/>
              <w:jc w:val="center"/>
            </w:pPr>
            <w:r w:rsidRPr="00A45563">
              <w:t>1.03</w:t>
            </w:r>
          </w:p>
        </w:tc>
        <w:tc>
          <w:tcPr>
            <w:tcW w:w="808" w:type="pct"/>
            <w:tcBorders>
              <w:top w:val="single" w:sz="4" w:space="0" w:color="auto"/>
              <w:left w:val="single" w:sz="4" w:space="0" w:color="auto"/>
              <w:bottom w:val="single" w:sz="4" w:space="0" w:color="auto"/>
              <w:right w:val="single" w:sz="4" w:space="0" w:color="auto"/>
            </w:tcBorders>
            <w:vAlign w:val="center"/>
          </w:tcPr>
          <w:p w14:paraId="2305DF3F" w14:textId="77777777" w:rsidR="00F2381C" w:rsidRPr="00B96BB8" w:rsidRDefault="00F2381C" w:rsidP="00910F31">
            <w:pPr>
              <w:pStyle w:val="In-tableHeading"/>
              <w:jc w:val="center"/>
            </w:pPr>
            <w:r w:rsidRPr="00B96BB8">
              <w:t>100.0%</w:t>
            </w:r>
          </w:p>
        </w:tc>
      </w:tr>
    </w:tbl>
    <w:p w14:paraId="733E1B20" w14:textId="77777777" w:rsidR="00F2381C" w:rsidRDefault="00F2381C" w:rsidP="00F2381C">
      <w:pPr>
        <w:pStyle w:val="TableFooter"/>
      </w:pPr>
      <w:r>
        <w:t xml:space="preserve">Source: Table 141, p206 of the submission </w:t>
      </w:r>
    </w:p>
    <w:p w14:paraId="30A38B3E" w14:textId="329DC72B" w:rsidR="00F2381C" w:rsidRPr="00B96BB8" w:rsidRDefault="00F2381C" w:rsidP="00F2381C">
      <w:pPr>
        <w:pStyle w:val="TableFooter"/>
        <w:rPr>
          <w:rStyle w:val="CommentReference"/>
          <w:b w:val="0"/>
        </w:rPr>
      </w:pPr>
      <w:r>
        <w:t>neoChemo</w:t>
      </w:r>
      <w:r w:rsidRPr="001D0BBA">
        <w:t xml:space="preserve"> = neoadjuvant chemotherapy; </w:t>
      </w:r>
      <w:r>
        <w:t>neoNIVO</w:t>
      </w:r>
      <w:r w:rsidRPr="001D0BBA">
        <w:t xml:space="preserve"> = neoadjuvant nivolumab</w:t>
      </w:r>
    </w:p>
    <w:p w14:paraId="0D21A3AA" w14:textId="6EA6CEE1" w:rsidR="00F2381C" w:rsidRPr="0024542A" w:rsidRDefault="00F2381C" w:rsidP="00F2381C">
      <w:pPr>
        <w:pStyle w:val="Caption"/>
        <w:spacing w:before="120"/>
      </w:pPr>
      <w:bookmarkStart w:id="85" w:name="_Ref120909385"/>
      <w:r>
        <w:t xml:space="preserve">Figure </w:t>
      </w:r>
      <w:r w:rsidR="00A77D90">
        <w:fldChar w:fldCharType="begin"/>
      </w:r>
      <w:r w:rsidR="00A77D90">
        <w:instrText xml:space="preserve"> SEQ Figure \* ARABIC </w:instrText>
      </w:r>
      <w:r w:rsidR="00A77D90">
        <w:fldChar w:fldCharType="separate"/>
      </w:r>
      <w:r w:rsidR="00A77D90">
        <w:rPr>
          <w:noProof/>
        </w:rPr>
        <w:t>6</w:t>
      </w:r>
      <w:r w:rsidR="00A77D90">
        <w:rPr>
          <w:noProof/>
        </w:rPr>
        <w:fldChar w:fldCharType="end"/>
      </w:r>
      <w:bookmarkEnd w:id="85"/>
      <w:r>
        <w:t xml:space="preserve">: </w:t>
      </w:r>
      <w:r w:rsidRPr="0024542A">
        <w:t>Cumulative life years over the time horizon of the model (undiscounted)</w:t>
      </w:r>
    </w:p>
    <w:p w14:paraId="5E9077F0" w14:textId="77777777" w:rsidR="00F2381C" w:rsidRDefault="00F2381C" w:rsidP="00F2381C">
      <w:pPr>
        <w:pStyle w:val="TableFooter"/>
      </w:pPr>
      <w:r>
        <w:rPr>
          <w:noProof/>
        </w:rPr>
        <w:drawing>
          <wp:inline distT="0" distB="0" distL="0" distR="0" wp14:anchorId="4BED2624" wp14:editId="1BCCA668">
            <wp:extent cx="5274310" cy="3035559"/>
            <wp:effectExtent l="0" t="0" r="2540" b="0"/>
            <wp:docPr id="5" name="Picture 5" descr="Figure 6: Cumulative life years over the time horizon of the model (undiscou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6: Cumulative life years over the time horizon of the model (undiscounted)"/>
                    <pic:cNvPicPr>
                      <a:picLocks noChangeAspect="1" noChangeArrowheads="1"/>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5298227" cy="3049324"/>
                    </a:xfrm>
                    <a:prstGeom prst="rect">
                      <a:avLst/>
                    </a:prstGeom>
                    <a:noFill/>
                    <a:ln>
                      <a:noFill/>
                    </a:ln>
                    <a:extLst>
                      <a:ext uri="{53640926-AAD7-44D8-BBD7-CCE9431645EC}">
                        <a14:shadowObscured xmlns:a14="http://schemas.microsoft.com/office/drawing/2010/main"/>
                      </a:ext>
                    </a:extLst>
                  </pic:spPr>
                </pic:pic>
              </a:graphicData>
            </a:graphic>
          </wp:inline>
        </w:drawing>
      </w:r>
    </w:p>
    <w:p w14:paraId="67562174" w14:textId="77777777" w:rsidR="00F2381C" w:rsidRDefault="00F2381C" w:rsidP="00F2381C">
      <w:pPr>
        <w:pStyle w:val="TableFooter"/>
        <w:rPr>
          <w:lang w:val="en-GB"/>
        </w:rPr>
      </w:pPr>
      <w:r w:rsidRPr="0024542A">
        <w:t xml:space="preserve">Source: Constructed during the evaluation from the </w:t>
      </w:r>
      <w:r w:rsidRPr="0024542A">
        <w:rPr>
          <w:lang w:val="en-GB"/>
        </w:rPr>
        <w:t xml:space="preserve">“Attachment 7 - Nivolumab </w:t>
      </w:r>
      <w:r>
        <w:rPr>
          <w:lang w:val="en-GB"/>
        </w:rPr>
        <w:t>neo</w:t>
      </w:r>
      <w:r w:rsidRPr="0024542A">
        <w:rPr>
          <w:lang w:val="en-GB"/>
        </w:rPr>
        <w:t>adjuvant NSCLC Economic Evaluation” Excel workbook</w:t>
      </w:r>
    </w:p>
    <w:p w14:paraId="017BE7B1" w14:textId="77777777" w:rsidR="00F308DC" w:rsidRDefault="00F2381C" w:rsidP="00F308DC">
      <w:pPr>
        <w:pStyle w:val="TableFooter"/>
      </w:pPr>
      <w:r>
        <w:t>KM = Kaplan-Meier</w:t>
      </w:r>
    </w:p>
    <w:p w14:paraId="4E287619" w14:textId="6577DAB6" w:rsidR="00F2381C" w:rsidRDefault="00F308DC" w:rsidP="00463A79">
      <w:pPr>
        <w:pStyle w:val="TableFooter"/>
        <w:spacing w:after="120"/>
      </w:pPr>
      <w:r>
        <w:t xml:space="preserve">Note: </w:t>
      </w:r>
      <w:r w:rsidR="00F2381C" w:rsidRPr="000A6E90">
        <w:t>The disaggregated costs were driven by the neoNIVO acquisition cost (99.6% of the total incremental costs), followed by the greater medical resource use associated with disease management in the EFS health state (28.1% of the total incremental costs). The cost offsets were primarily due to the reduction in lump-sum costs in the DM health state (-26.2% of the total incremental costs).</w:t>
      </w:r>
    </w:p>
    <w:bookmarkEnd w:id="81"/>
    <w:p w14:paraId="014789CF" w14:textId="70AA18A3" w:rsidR="00F2381C" w:rsidRPr="00D23D11" w:rsidRDefault="00F2381C" w:rsidP="00F2381C">
      <w:pPr>
        <w:pStyle w:val="3-BodyText"/>
      </w:pPr>
      <w:r w:rsidRPr="00D23D11">
        <w:t xml:space="preserve">The results of key </w:t>
      </w:r>
      <w:r>
        <w:t xml:space="preserve">univariate and multivariate </w:t>
      </w:r>
      <w:r w:rsidRPr="00D23D11">
        <w:t>sensitivity analyses</w:t>
      </w:r>
      <w:r>
        <w:t xml:space="preserve"> conducted in the submission and </w:t>
      </w:r>
      <w:r w:rsidRPr="00AC3DFA">
        <w:rPr>
          <w:iCs/>
        </w:rPr>
        <w:t>during the evaluation</w:t>
      </w:r>
      <w:r w:rsidRPr="00D23D11">
        <w:t xml:space="preserve"> are summarised </w:t>
      </w:r>
      <w:r>
        <w:t xml:space="preserve">in </w:t>
      </w:r>
      <w:r>
        <w:fldChar w:fldCharType="begin"/>
      </w:r>
      <w:r>
        <w:instrText xml:space="preserve"> REF _Ref104804865 \h </w:instrText>
      </w:r>
      <w:r>
        <w:fldChar w:fldCharType="separate"/>
      </w:r>
      <w:r w:rsidR="00A77D90">
        <w:t xml:space="preserve">Table </w:t>
      </w:r>
      <w:r w:rsidR="00A77D90">
        <w:rPr>
          <w:noProof/>
        </w:rPr>
        <w:t>23</w:t>
      </w:r>
      <w:r>
        <w:fldChar w:fldCharType="end"/>
      </w:r>
      <w:r w:rsidRPr="00D23D11">
        <w:t>.</w:t>
      </w:r>
      <w:r>
        <w:t xml:space="preserve"> </w:t>
      </w:r>
    </w:p>
    <w:p w14:paraId="307E6CD1" w14:textId="01FCCAD4" w:rsidR="00F2381C" w:rsidRPr="007D3057" w:rsidRDefault="00F2381C" w:rsidP="000E15B8">
      <w:pPr>
        <w:pStyle w:val="Caption"/>
        <w:pageBreakBefore/>
        <w:rPr>
          <w:szCs w:val="24"/>
        </w:rPr>
      </w:pPr>
      <w:bookmarkStart w:id="86" w:name="_Ref104804865"/>
      <w:r>
        <w:t xml:space="preserve">Table </w:t>
      </w:r>
      <w:r w:rsidR="00A77D90">
        <w:fldChar w:fldCharType="begin"/>
      </w:r>
      <w:r w:rsidR="00A77D90">
        <w:instrText xml:space="preserve"> SEQ Table \* ARABIC </w:instrText>
      </w:r>
      <w:r w:rsidR="00A77D90">
        <w:fldChar w:fldCharType="separate"/>
      </w:r>
      <w:r w:rsidR="00A77D90">
        <w:rPr>
          <w:noProof/>
        </w:rPr>
        <w:t>23</w:t>
      </w:r>
      <w:r w:rsidR="00A77D90">
        <w:rPr>
          <w:noProof/>
        </w:rPr>
        <w:fldChar w:fldCharType="end"/>
      </w:r>
      <w:bookmarkEnd w:id="86"/>
      <w:r>
        <w:t>:</w:t>
      </w:r>
      <w:r w:rsidRPr="00BB732D">
        <w:rPr>
          <w:rStyle w:val="CommentReference"/>
          <w:b/>
          <w:szCs w:val="24"/>
        </w:rPr>
        <w:t xml:space="preserve"> </w:t>
      </w:r>
      <w:r>
        <w:rPr>
          <w:rStyle w:val="CommentReference"/>
          <w:b/>
          <w:szCs w:val="24"/>
        </w:rPr>
        <w:t>Key s</w:t>
      </w:r>
      <w:r w:rsidRPr="00BB732D">
        <w:rPr>
          <w:rStyle w:val="CommentReference"/>
          <w:b/>
          <w:szCs w:val="24"/>
        </w:rPr>
        <w:t>ensitivity analyses</w:t>
      </w:r>
    </w:p>
    <w:tbl>
      <w:tblPr>
        <w:tblStyle w:val="TableGrid1"/>
        <w:tblW w:w="5000" w:type="pct"/>
        <w:shd w:val="clear" w:color="auto" w:fill="FFFFFF" w:themeFill="background1"/>
        <w:tblLook w:val="0620" w:firstRow="1" w:lastRow="0" w:firstColumn="0" w:lastColumn="0" w:noHBand="1" w:noVBand="1"/>
      </w:tblPr>
      <w:tblGrid>
        <w:gridCol w:w="550"/>
        <w:gridCol w:w="3327"/>
        <w:gridCol w:w="1338"/>
        <w:gridCol w:w="1338"/>
        <w:gridCol w:w="1057"/>
        <w:gridCol w:w="1407"/>
      </w:tblGrid>
      <w:tr w:rsidR="00F2381C" w:rsidRPr="006A0D0F" w14:paraId="5C736DB9" w14:textId="77777777" w:rsidTr="00463A79">
        <w:trPr>
          <w:tblHeader/>
        </w:trPr>
        <w:tc>
          <w:tcPr>
            <w:tcW w:w="305" w:type="pct"/>
            <w:shd w:val="clear" w:color="auto" w:fill="FFFFFF" w:themeFill="background1"/>
          </w:tcPr>
          <w:p w14:paraId="7D21649E" w14:textId="77777777" w:rsidR="00F2381C" w:rsidRPr="006A0D0F" w:rsidRDefault="00F2381C" w:rsidP="00465412">
            <w:pPr>
              <w:pStyle w:val="TableText0"/>
              <w:keepNext w:val="0"/>
              <w:rPr>
                <w:b/>
                <w:bCs w:val="0"/>
                <w:sz w:val="20"/>
                <w:szCs w:val="20"/>
                <w:lang w:val="en-GB"/>
              </w:rPr>
            </w:pPr>
            <w:r w:rsidRPr="006A0D0F">
              <w:rPr>
                <w:b/>
                <w:bCs w:val="0"/>
                <w:sz w:val="20"/>
                <w:szCs w:val="20"/>
                <w:lang w:val="en-GB"/>
              </w:rPr>
              <w:t>#</w:t>
            </w:r>
          </w:p>
        </w:tc>
        <w:tc>
          <w:tcPr>
            <w:tcW w:w="1845" w:type="pct"/>
            <w:shd w:val="clear" w:color="auto" w:fill="FFFFFF" w:themeFill="background1"/>
          </w:tcPr>
          <w:p w14:paraId="051DECD0" w14:textId="77777777" w:rsidR="00F2381C" w:rsidRPr="006A0D0F" w:rsidRDefault="00F2381C" w:rsidP="00465412">
            <w:pPr>
              <w:pStyle w:val="TableText0"/>
              <w:keepNext w:val="0"/>
              <w:rPr>
                <w:b/>
                <w:bCs w:val="0"/>
                <w:sz w:val="20"/>
                <w:szCs w:val="20"/>
                <w:lang w:val="en-GB"/>
              </w:rPr>
            </w:pPr>
            <w:r w:rsidRPr="006A0D0F">
              <w:rPr>
                <w:b/>
                <w:bCs w:val="0"/>
                <w:sz w:val="20"/>
                <w:szCs w:val="20"/>
                <w:lang w:val="en-GB"/>
              </w:rPr>
              <w:t>Variables altered in sensitivity analysis</w:t>
            </w:r>
          </w:p>
        </w:tc>
        <w:tc>
          <w:tcPr>
            <w:tcW w:w="742" w:type="pct"/>
            <w:shd w:val="clear" w:color="auto" w:fill="FFFFFF" w:themeFill="background1"/>
          </w:tcPr>
          <w:p w14:paraId="6812968A" w14:textId="77777777" w:rsidR="00F2381C" w:rsidRPr="006A0D0F" w:rsidRDefault="00F2381C" w:rsidP="00463A79">
            <w:pPr>
              <w:pStyle w:val="TableText0"/>
              <w:keepNext w:val="0"/>
              <w:jc w:val="center"/>
              <w:rPr>
                <w:b/>
                <w:bCs w:val="0"/>
                <w:sz w:val="20"/>
                <w:szCs w:val="20"/>
                <w:lang w:val="en-GB"/>
              </w:rPr>
            </w:pPr>
            <w:r w:rsidRPr="006A0D0F">
              <w:rPr>
                <w:b/>
                <w:bCs w:val="0"/>
                <w:sz w:val="20"/>
                <w:szCs w:val="20"/>
                <w:lang w:val="en-GB"/>
              </w:rPr>
              <w:t>Incremental costs</w:t>
            </w:r>
          </w:p>
        </w:tc>
        <w:tc>
          <w:tcPr>
            <w:tcW w:w="742" w:type="pct"/>
            <w:shd w:val="clear" w:color="auto" w:fill="FFFFFF" w:themeFill="background1"/>
          </w:tcPr>
          <w:p w14:paraId="2C262811" w14:textId="77777777" w:rsidR="00F2381C" w:rsidRPr="006A0D0F" w:rsidRDefault="00F2381C" w:rsidP="00463A79">
            <w:pPr>
              <w:pStyle w:val="TableText0"/>
              <w:keepNext w:val="0"/>
              <w:jc w:val="center"/>
              <w:rPr>
                <w:b/>
                <w:bCs w:val="0"/>
                <w:sz w:val="20"/>
                <w:szCs w:val="20"/>
                <w:lang w:val="en-GB"/>
              </w:rPr>
            </w:pPr>
            <w:r w:rsidRPr="006A0D0F">
              <w:rPr>
                <w:b/>
                <w:bCs w:val="0"/>
                <w:sz w:val="20"/>
                <w:szCs w:val="20"/>
                <w:lang w:val="en-GB"/>
              </w:rPr>
              <w:t>Incremental QALYs</w:t>
            </w:r>
          </w:p>
        </w:tc>
        <w:tc>
          <w:tcPr>
            <w:tcW w:w="586" w:type="pct"/>
            <w:shd w:val="clear" w:color="auto" w:fill="FFFFFF" w:themeFill="background1"/>
          </w:tcPr>
          <w:p w14:paraId="4EDBD849" w14:textId="77777777" w:rsidR="00F2381C" w:rsidRPr="006A0D0F" w:rsidRDefault="00F2381C" w:rsidP="00463A79">
            <w:pPr>
              <w:pStyle w:val="TableText0"/>
              <w:keepNext w:val="0"/>
              <w:jc w:val="center"/>
              <w:rPr>
                <w:b/>
                <w:bCs w:val="0"/>
                <w:sz w:val="20"/>
                <w:szCs w:val="20"/>
                <w:lang w:val="en-GB"/>
              </w:rPr>
            </w:pPr>
            <w:r w:rsidRPr="006A0D0F">
              <w:rPr>
                <w:b/>
                <w:bCs w:val="0"/>
                <w:sz w:val="20"/>
                <w:szCs w:val="20"/>
                <w:lang w:val="en-GB"/>
              </w:rPr>
              <w:t>ICER</w:t>
            </w:r>
          </w:p>
        </w:tc>
        <w:tc>
          <w:tcPr>
            <w:tcW w:w="780" w:type="pct"/>
            <w:shd w:val="clear" w:color="auto" w:fill="FFFFFF" w:themeFill="background1"/>
          </w:tcPr>
          <w:p w14:paraId="630546A1" w14:textId="77777777" w:rsidR="00F2381C" w:rsidRPr="006A0D0F" w:rsidRDefault="00F2381C" w:rsidP="00463A79">
            <w:pPr>
              <w:pStyle w:val="TableText0"/>
              <w:keepNext w:val="0"/>
              <w:jc w:val="center"/>
              <w:rPr>
                <w:b/>
                <w:bCs w:val="0"/>
                <w:sz w:val="20"/>
                <w:szCs w:val="20"/>
                <w:lang w:val="en-GB"/>
              </w:rPr>
            </w:pPr>
            <w:r w:rsidRPr="006A0D0F">
              <w:rPr>
                <w:b/>
                <w:bCs w:val="0"/>
                <w:sz w:val="20"/>
                <w:szCs w:val="20"/>
                <w:lang w:val="en-GB"/>
              </w:rPr>
              <w:t xml:space="preserve">% </w:t>
            </w:r>
            <w:proofErr w:type="gramStart"/>
            <w:r w:rsidRPr="006A0D0F">
              <w:rPr>
                <w:b/>
                <w:bCs w:val="0"/>
                <w:sz w:val="20"/>
                <w:szCs w:val="20"/>
                <w:lang w:val="en-GB"/>
              </w:rPr>
              <w:t>change</w:t>
            </w:r>
            <w:proofErr w:type="gramEnd"/>
            <w:r w:rsidRPr="006A0D0F">
              <w:rPr>
                <w:b/>
                <w:bCs w:val="0"/>
                <w:sz w:val="20"/>
                <w:szCs w:val="20"/>
                <w:lang w:val="en-GB"/>
              </w:rPr>
              <w:t xml:space="preserve"> from base case</w:t>
            </w:r>
          </w:p>
        </w:tc>
      </w:tr>
      <w:tr w:rsidR="00F2381C" w:rsidRPr="006A0D0F" w14:paraId="395683B8" w14:textId="77777777" w:rsidTr="004E2DB8">
        <w:tc>
          <w:tcPr>
            <w:tcW w:w="2150" w:type="pct"/>
            <w:gridSpan w:val="2"/>
            <w:shd w:val="clear" w:color="auto" w:fill="FFFFFF" w:themeFill="background1"/>
          </w:tcPr>
          <w:p w14:paraId="534526E0" w14:textId="77777777" w:rsidR="00F2381C" w:rsidRPr="006A0D0F" w:rsidRDefault="00F2381C" w:rsidP="00465412">
            <w:pPr>
              <w:pStyle w:val="TableText0"/>
              <w:keepNext w:val="0"/>
              <w:rPr>
                <w:b/>
                <w:bCs w:val="0"/>
                <w:sz w:val="20"/>
                <w:szCs w:val="20"/>
                <w:lang w:val="en-GB"/>
              </w:rPr>
            </w:pPr>
            <w:r w:rsidRPr="006A0D0F">
              <w:rPr>
                <w:b/>
                <w:bCs w:val="0"/>
                <w:sz w:val="20"/>
                <w:szCs w:val="20"/>
                <w:lang w:val="en-GB"/>
              </w:rPr>
              <w:t>Base case results</w:t>
            </w:r>
          </w:p>
        </w:tc>
        <w:tc>
          <w:tcPr>
            <w:tcW w:w="742" w:type="pct"/>
            <w:shd w:val="clear" w:color="auto" w:fill="FFFFFF" w:themeFill="background1"/>
          </w:tcPr>
          <w:p w14:paraId="1EF142F5" w14:textId="3D95C9CD" w:rsidR="00F2381C" w:rsidRPr="006A0D0F" w:rsidRDefault="00F2381C" w:rsidP="00465412">
            <w:pPr>
              <w:pStyle w:val="TableText0"/>
              <w:keepNext w:val="0"/>
              <w:jc w:val="center"/>
              <w:rPr>
                <w:sz w:val="20"/>
                <w:szCs w:val="20"/>
                <w:lang w:val="en-GB"/>
              </w:rPr>
            </w:pPr>
            <w:r w:rsidRPr="006A0D0F">
              <w:rPr>
                <w:sz w:val="20"/>
                <w:szCs w:val="20"/>
                <w:lang w:val="en-GB"/>
              </w:rPr>
              <w:t>$</w:t>
            </w:r>
            <w:r w:rsidR="001172C3" w:rsidRPr="001172C3">
              <w:rPr>
                <w:color w:val="000000"/>
                <w:spacing w:val="110"/>
                <w:sz w:val="20"/>
                <w:szCs w:val="20"/>
                <w:shd w:val="solid" w:color="000000" w:fill="000000"/>
                <w:fitText w:val="196" w:id="-1234435320"/>
                <w:lang w:val="en-GB"/>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320"/>
                <w:lang w:val="en-GB"/>
                <w14:textFill>
                  <w14:solidFill>
                    <w14:srgbClr w14:val="000000">
                      <w14:alpha w14:val="100000"/>
                    </w14:srgbClr>
                  </w14:solidFill>
                </w14:textFill>
              </w:rPr>
              <w:t>|</w:t>
            </w:r>
          </w:p>
        </w:tc>
        <w:tc>
          <w:tcPr>
            <w:tcW w:w="742" w:type="pct"/>
            <w:shd w:val="clear" w:color="auto" w:fill="FFFFFF" w:themeFill="background1"/>
          </w:tcPr>
          <w:p w14:paraId="28A273D7" w14:textId="77777777" w:rsidR="00F2381C" w:rsidRPr="006A0D0F" w:rsidRDefault="00F2381C" w:rsidP="00465412">
            <w:pPr>
              <w:pStyle w:val="TableText0"/>
              <w:keepNext w:val="0"/>
              <w:jc w:val="center"/>
              <w:rPr>
                <w:sz w:val="20"/>
                <w:szCs w:val="20"/>
                <w:lang w:val="en-GB"/>
              </w:rPr>
            </w:pPr>
            <w:r w:rsidRPr="006A0D0F">
              <w:rPr>
                <w:sz w:val="20"/>
                <w:szCs w:val="20"/>
                <w:lang w:val="en-GB"/>
              </w:rPr>
              <w:t>1.03</w:t>
            </w:r>
          </w:p>
        </w:tc>
        <w:tc>
          <w:tcPr>
            <w:tcW w:w="586" w:type="pct"/>
            <w:shd w:val="clear" w:color="auto" w:fill="FFFFFF" w:themeFill="background1"/>
          </w:tcPr>
          <w:p w14:paraId="7B42D9D7" w14:textId="7B424FF4" w:rsidR="00F2381C" w:rsidRPr="00C733FB" w:rsidRDefault="00F2381C" w:rsidP="00465412">
            <w:pPr>
              <w:pStyle w:val="TableText0"/>
              <w:keepNext w:val="0"/>
              <w:jc w:val="center"/>
              <w:rPr>
                <w:sz w:val="20"/>
                <w:szCs w:val="20"/>
                <w:vertAlign w:val="superscript"/>
                <w:lang w:val="en-GB"/>
              </w:rPr>
            </w:pPr>
            <w:r w:rsidRPr="006A0D0F">
              <w:rPr>
                <w:sz w:val="20"/>
                <w:szCs w:val="20"/>
                <w:lang w:val="en-GB"/>
              </w:rPr>
              <w:t>$</w:t>
            </w:r>
            <w:r w:rsidR="001172C3" w:rsidRPr="001172C3">
              <w:rPr>
                <w:color w:val="000000"/>
                <w:spacing w:val="65"/>
                <w:sz w:val="20"/>
                <w:szCs w:val="20"/>
                <w:shd w:val="solid" w:color="000000" w:fill="000000"/>
                <w:fitText w:val="368" w:id="-1234435319"/>
                <w:lang w:val="en-GB"/>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319"/>
                <w:lang w:val="en-GB"/>
                <w14:textFill>
                  <w14:solidFill>
                    <w14:srgbClr w14:val="000000">
                      <w14:alpha w14:val="100000"/>
                    </w14:srgbClr>
                  </w14:solidFill>
                </w14:textFill>
              </w:rPr>
              <w:t>|</w:t>
            </w:r>
            <w:r w:rsidR="00C733FB">
              <w:rPr>
                <w:sz w:val="20"/>
                <w:szCs w:val="20"/>
                <w:vertAlign w:val="superscript"/>
                <w:lang w:val="en-GB"/>
              </w:rPr>
              <w:t>1</w:t>
            </w:r>
          </w:p>
        </w:tc>
        <w:tc>
          <w:tcPr>
            <w:tcW w:w="780" w:type="pct"/>
            <w:shd w:val="clear" w:color="auto" w:fill="FFFFFF" w:themeFill="background1"/>
          </w:tcPr>
          <w:p w14:paraId="4EAC0C09" w14:textId="77777777" w:rsidR="00F2381C" w:rsidRPr="006A0D0F" w:rsidRDefault="00F2381C" w:rsidP="00465412">
            <w:pPr>
              <w:pStyle w:val="TableText0"/>
              <w:keepNext w:val="0"/>
              <w:jc w:val="center"/>
              <w:rPr>
                <w:sz w:val="20"/>
                <w:szCs w:val="20"/>
                <w:lang w:val="en-GB"/>
              </w:rPr>
            </w:pPr>
            <w:r w:rsidRPr="006A0D0F">
              <w:rPr>
                <w:sz w:val="20"/>
                <w:szCs w:val="20"/>
                <w:lang w:val="en-GB"/>
              </w:rPr>
              <w:t>-</w:t>
            </w:r>
          </w:p>
        </w:tc>
      </w:tr>
      <w:tr w:rsidR="00F2381C" w:rsidRPr="006A0D0F" w14:paraId="1A87B67B" w14:textId="77777777" w:rsidTr="00284191">
        <w:tc>
          <w:tcPr>
            <w:tcW w:w="5000" w:type="pct"/>
            <w:gridSpan w:val="6"/>
            <w:shd w:val="clear" w:color="auto" w:fill="FFFFFF" w:themeFill="background1"/>
          </w:tcPr>
          <w:p w14:paraId="47080A80" w14:textId="77777777" w:rsidR="00F2381C" w:rsidRPr="006A0D0F" w:rsidRDefault="00F2381C" w:rsidP="00465412">
            <w:pPr>
              <w:pStyle w:val="TableText0"/>
              <w:keepNext w:val="0"/>
              <w:rPr>
                <w:sz w:val="20"/>
                <w:szCs w:val="20"/>
                <w:lang w:val="en-GB"/>
              </w:rPr>
            </w:pPr>
            <w:r w:rsidRPr="006A0D0F">
              <w:rPr>
                <w:b/>
                <w:bCs w:val="0"/>
                <w:sz w:val="20"/>
                <w:szCs w:val="20"/>
                <w:lang w:val="en-GB"/>
              </w:rPr>
              <w:t>Discount rate (base case = 5%)</w:t>
            </w:r>
          </w:p>
        </w:tc>
      </w:tr>
      <w:tr w:rsidR="00F2381C" w:rsidRPr="006A0D0F" w14:paraId="7F0D6D15" w14:textId="77777777" w:rsidTr="004E2DB8">
        <w:tc>
          <w:tcPr>
            <w:tcW w:w="305" w:type="pct"/>
            <w:shd w:val="clear" w:color="auto" w:fill="FFFFFF" w:themeFill="background1"/>
          </w:tcPr>
          <w:p w14:paraId="63704853" w14:textId="77777777" w:rsidR="00F2381C" w:rsidRPr="006A0D0F" w:rsidRDefault="00F2381C" w:rsidP="00465412">
            <w:pPr>
              <w:pStyle w:val="TableText0"/>
              <w:keepNext w:val="0"/>
              <w:contextualSpacing/>
              <w:rPr>
                <w:sz w:val="20"/>
                <w:szCs w:val="20"/>
                <w:lang w:val="en-GB"/>
              </w:rPr>
            </w:pPr>
            <w:r w:rsidRPr="006A0D0F">
              <w:rPr>
                <w:sz w:val="20"/>
                <w:szCs w:val="20"/>
                <w:lang w:val="en-GB"/>
              </w:rPr>
              <w:t>1a</w:t>
            </w:r>
          </w:p>
        </w:tc>
        <w:tc>
          <w:tcPr>
            <w:tcW w:w="1845" w:type="pct"/>
            <w:shd w:val="clear" w:color="auto" w:fill="FFFFFF" w:themeFill="background1"/>
          </w:tcPr>
          <w:p w14:paraId="65938878" w14:textId="77777777" w:rsidR="00F2381C" w:rsidRPr="006A0D0F" w:rsidRDefault="00F2381C" w:rsidP="00465412">
            <w:pPr>
              <w:pStyle w:val="TableText0"/>
              <w:keepNext w:val="0"/>
              <w:contextualSpacing/>
              <w:rPr>
                <w:sz w:val="20"/>
                <w:szCs w:val="20"/>
                <w:lang w:val="en-GB"/>
              </w:rPr>
            </w:pPr>
            <w:r w:rsidRPr="006A0D0F">
              <w:rPr>
                <w:sz w:val="20"/>
                <w:szCs w:val="20"/>
                <w:lang w:val="en-GB"/>
              </w:rPr>
              <w:t>0%</w:t>
            </w:r>
          </w:p>
        </w:tc>
        <w:tc>
          <w:tcPr>
            <w:tcW w:w="742" w:type="pct"/>
            <w:shd w:val="clear" w:color="auto" w:fill="FFFFFF" w:themeFill="background1"/>
          </w:tcPr>
          <w:p w14:paraId="67E74825" w14:textId="3AFC6B31" w:rsidR="00F2381C" w:rsidRPr="006A0D0F" w:rsidRDefault="00F2381C" w:rsidP="00465412">
            <w:pPr>
              <w:pStyle w:val="TableText0"/>
              <w:keepNext w:val="0"/>
              <w:jc w:val="center"/>
              <w:rPr>
                <w:sz w:val="20"/>
                <w:szCs w:val="20"/>
                <w:lang w:val="en-GB"/>
              </w:rPr>
            </w:pPr>
            <w:r w:rsidRPr="006A0D0F">
              <w:rPr>
                <w:sz w:val="20"/>
                <w:szCs w:val="20"/>
                <w:lang w:val="en-GB"/>
              </w:rPr>
              <w:t>$</w:t>
            </w:r>
            <w:r w:rsidR="001172C3" w:rsidRPr="001172C3">
              <w:rPr>
                <w:color w:val="000000"/>
                <w:spacing w:val="110"/>
                <w:sz w:val="20"/>
                <w:szCs w:val="20"/>
                <w:shd w:val="solid" w:color="000000" w:fill="000000"/>
                <w:fitText w:val="196" w:id="-1234435318"/>
                <w:lang w:val="en-GB"/>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318"/>
                <w:lang w:val="en-GB"/>
                <w14:textFill>
                  <w14:solidFill>
                    <w14:srgbClr w14:val="000000">
                      <w14:alpha w14:val="100000"/>
                    </w14:srgbClr>
                  </w14:solidFill>
                </w14:textFill>
              </w:rPr>
              <w:t>|</w:t>
            </w:r>
          </w:p>
        </w:tc>
        <w:tc>
          <w:tcPr>
            <w:tcW w:w="742" w:type="pct"/>
            <w:shd w:val="clear" w:color="auto" w:fill="FFFFFF" w:themeFill="background1"/>
          </w:tcPr>
          <w:p w14:paraId="2EC7AA81" w14:textId="77777777" w:rsidR="00F2381C" w:rsidRPr="006A0D0F" w:rsidRDefault="00F2381C" w:rsidP="00465412">
            <w:pPr>
              <w:pStyle w:val="TableText0"/>
              <w:keepNext w:val="0"/>
              <w:jc w:val="center"/>
              <w:rPr>
                <w:sz w:val="20"/>
                <w:szCs w:val="20"/>
                <w:lang w:val="en-GB"/>
              </w:rPr>
            </w:pPr>
            <w:r w:rsidRPr="006A0D0F">
              <w:rPr>
                <w:sz w:val="20"/>
                <w:szCs w:val="20"/>
                <w:lang w:val="en-GB"/>
              </w:rPr>
              <w:t>1.74</w:t>
            </w:r>
          </w:p>
        </w:tc>
        <w:tc>
          <w:tcPr>
            <w:tcW w:w="586" w:type="pct"/>
            <w:shd w:val="clear" w:color="auto" w:fill="FFFFFF" w:themeFill="background1"/>
          </w:tcPr>
          <w:p w14:paraId="3CE4E264" w14:textId="18A4F5BF" w:rsidR="00F2381C" w:rsidRPr="00C733FB" w:rsidRDefault="00F2381C" w:rsidP="00465412">
            <w:pPr>
              <w:pStyle w:val="TableText0"/>
              <w:keepNext w:val="0"/>
              <w:jc w:val="center"/>
              <w:rPr>
                <w:sz w:val="20"/>
                <w:szCs w:val="20"/>
                <w:vertAlign w:val="superscript"/>
                <w:lang w:val="en-GB"/>
              </w:rPr>
            </w:pPr>
            <w:r w:rsidRPr="006A0D0F">
              <w:rPr>
                <w:sz w:val="20"/>
                <w:szCs w:val="20"/>
                <w:lang w:val="en-GB"/>
              </w:rPr>
              <w:t>$</w:t>
            </w:r>
            <w:r w:rsidR="001172C3" w:rsidRPr="001172C3">
              <w:rPr>
                <w:color w:val="000000"/>
                <w:spacing w:val="65"/>
                <w:sz w:val="20"/>
                <w:szCs w:val="20"/>
                <w:shd w:val="solid" w:color="000000" w:fill="000000"/>
                <w:fitText w:val="368" w:id="-1234435317"/>
                <w:lang w:val="en-GB"/>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317"/>
                <w:lang w:val="en-GB"/>
                <w14:textFill>
                  <w14:solidFill>
                    <w14:srgbClr w14:val="000000">
                      <w14:alpha w14:val="100000"/>
                    </w14:srgbClr>
                  </w14:solidFill>
                </w14:textFill>
              </w:rPr>
              <w:t>|</w:t>
            </w:r>
            <w:r w:rsidR="00C733FB">
              <w:rPr>
                <w:sz w:val="20"/>
                <w:szCs w:val="20"/>
                <w:vertAlign w:val="superscript"/>
                <w:lang w:val="en-GB"/>
              </w:rPr>
              <w:t>2</w:t>
            </w:r>
          </w:p>
        </w:tc>
        <w:tc>
          <w:tcPr>
            <w:tcW w:w="780" w:type="pct"/>
            <w:shd w:val="clear" w:color="auto" w:fill="FFFFFF" w:themeFill="background1"/>
          </w:tcPr>
          <w:p w14:paraId="33CDF3C4" w14:textId="77777777" w:rsidR="00F2381C" w:rsidRPr="006A0D0F" w:rsidRDefault="00F2381C" w:rsidP="00465412">
            <w:pPr>
              <w:pStyle w:val="TableText0"/>
              <w:keepNext w:val="0"/>
              <w:jc w:val="center"/>
              <w:rPr>
                <w:sz w:val="20"/>
                <w:szCs w:val="20"/>
                <w:lang w:val="en-GB"/>
              </w:rPr>
            </w:pPr>
            <w:r w:rsidRPr="006A0D0F">
              <w:rPr>
                <w:sz w:val="20"/>
                <w:szCs w:val="20"/>
                <w:lang w:val="en-GB"/>
              </w:rPr>
              <w:t>-30.20%</w:t>
            </w:r>
          </w:p>
        </w:tc>
      </w:tr>
      <w:tr w:rsidR="00F2381C" w:rsidRPr="006A0D0F" w14:paraId="52F770AB" w14:textId="77777777" w:rsidTr="004E2DB8">
        <w:tc>
          <w:tcPr>
            <w:tcW w:w="305" w:type="pct"/>
            <w:shd w:val="clear" w:color="auto" w:fill="FFFFFF" w:themeFill="background1"/>
          </w:tcPr>
          <w:p w14:paraId="411EB863" w14:textId="77777777" w:rsidR="00F2381C" w:rsidRPr="006A0D0F" w:rsidRDefault="00F2381C" w:rsidP="00465412">
            <w:pPr>
              <w:pStyle w:val="TableText0"/>
              <w:keepNext w:val="0"/>
              <w:contextualSpacing/>
              <w:rPr>
                <w:sz w:val="20"/>
                <w:szCs w:val="20"/>
                <w:lang w:val="en-GB"/>
              </w:rPr>
            </w:pPr>
            <w:r w:rsidRPr="006A0D0F">
              <w:rPr>
                <w:sz w:val="20"/>
                <w:szCs w:val="20"/>
                <w:lang w:val="en-GB"/>
              </w:rPr>
              <w:t>1b</w:t>
            </w:r>
          </w:p>
        </w:tc>
        <w:tc>
          <w:tcPr>
            <w:tcW w:w="1845" w:type="pct"/>
            <w:shd w:val="clear" w:color="auto" w:fill="FFFFFF" w:themeFill="background1"/>
          </w:tcPr>
          <w:p w14:paraId="52948E3F" w14:textId="77777777" w:rsidR="00F2381C" w:rsidRPr="006A0D0F" w:rsidRDefault="00F2381C" w:rsidP="00465412">
            <w:pPr>
              <w:pStyle w:val="TableText0"/>
              <w:keepNext w:val="0"/>
              <w:contextualSpacing/>
              <w:rPr>
                <w:sz w:val="20"/>
                <w:szCs w:val="20"/>
                <w:lang w:val="en-GB"/>
              </w:rPr>
            </w:pPr>
            <w:r w:rsidRPr="006A0D0F">
              <w:rPr>
                <w:sz w:val="20"/>
                <w:szCs w:val="20"/>
                <w:lang w:val="en-GB"/>
              </w:rPr>
              <w:t>3.5%</w:t>
            </w:r>
          </w:p>
        </w:tc>
        <w:tc>
          <w:tcPr>
            <w:tcW w:w="742" w:type="pct"/>
            <w:shd w:val="clear" w:color="auto" w:fill="FFFFFF" w:themeFill="background1"/>
          </w:tcPr>
          <w:p w14:paraId="2821F063" w14:textId="44B27AF0" w:rsidR="00F2381C" w:rsidRPr="006A0D0F" w:rsidRDefault="00F2381C" w:rsidP="00465412">
            <w:pPr>
              <w:pStyle w:val="TableText0"/>
              <w:keepNext w:val="0"/>
              <w:jc w:val="center"/>
              <w:rPr>
                <w:sz w:val="20"/>
                <w:szCs w:val="20"/>
                <w:lang w:val="en-GB"/>
              </w:rPr>
            </w:pPr>
            <w:r w:rsidRPr="006A0D0F">
              <w:rPr>
                <w:sz w:val="20"/>
                <w:szCs w:val="20"/>
                <w:lang w:val="en-GB"/>
              </w:rPr>
              <w:t>$</w:t>
            </w:r>
            <w:r w:rsidR="001172C3" w:rsidRPr="001172C3">
              <w:rPr>
                <w:color w:val="000000"/>
                <w:spacing w:val="110"/>
                <w:sz w:val="20"/>
                <w:szCs w:val="20"/>
                <w:shd w:val="solid" w:color="000000" w:fill="000000"/>
                <w:fitText w:val="196" w:id="-1234435316"/>
                <w:lang w:val="en-GB"/>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316"/>
                <w:lang w:val="en-GB"/>
                <w14:textFill>
                  <w14:solidFill>
                    <w14:srgbClr w14:val="000000">
                      <w14:alpha w14:val="100000"/>
                    </w14:srgbClr>
                  </w14:solidFill>
                </w14:textFill>
              </w:rPr>
              <w:t>|</w:t>
            </w:r>
          </w:p>
        </w:tc>
        <w:tc>
          <w:tcPr>
            <w:tcW w:w="742" w:type="pct"/>
            <w:shd w:val="clear" w:color="auto" w:fill="FFFFFF" w:themeFill="background1"/>
          </w:tcPr>
          <w:p w14:paraId="390FD637" w14:textId="77777777" w:rsidR="00F2381C" w:rsidRPr="006A0D0F" w:rsidRDefault="00F2381C" w:rsidP="00465412">
            <w:pPr>
              <w:pStyle w:val="TableText0"/>
              <w:keepNext w:val="0"/>
              <w:jc w:val="center"/>
              <w:rPr>
                <w:sz w:val="20"/>
                <w:szCs w:val="20"/>
                <w:lang w:val="en-GB"/>
              </w:rPr>
            </w:pPr>
            <w:r w:rsidRPr="006A0D0F">
              <w:rPr>
                <w:sz w:val="20"/>
                <w:szCs w:val="20"/>
                <w:lang w:val="en-GB"/>
              </w:rPr>
              <w:t>1.19</w:t>
            </w:r>
          </w:p>
        </w:tc>
        <w:tc>
          <w:tcPr>
            <w:tcW w:w="586" w:type="pct"/>
            <w:shd w:val="clear" w:color="auto" w:fill="FFFFFF" w:themeFill="background1"/>
          </w:tcPr>
          <w:p w14:paraId="2F99C410" w14:textId="3F40C1E0" w:rsidR="00F2381C" w:rsidRPr="006A0D0F" w:rsidRDefault="00F2381C" w:rsidP="00465412">
            <w:pPr>
              <w:pStyle w:val="TableText0"/>
              <w:keepNext w:val="0"/>
              <w:jc w:val="center"/>
              <w:rPr>
                <w:sz w:val="20"/>
                <w:szCs w:val="20"/>
                <w:lang w:val="en-GB"/>
              </w:rPr>
            </w:pPr>
            <w:r w:rsidRPr="006A0D0F">
              <w:rPr>
                <w:sz w:val="20"/>
                <w:szCs w:val="20"/>
                <w:lang w:val="en-GB"/>
              </w:rPr>
              <w:t>$</w:t>
            </w:r>
            <w:r w:rsidR="001172C3" w:rsidRPr="001172C3">
              <w:rPr>
                <w:color w:val="000000"/>
                <w:spacing w:val="65"/>
                <w:sz w:val="20"/>
                <w:szCs w:val="20"/>
                <w:shd w:val="solid" w:color="000000" w:fill="000000"/>
                <w:fitText w:val="368" w:id="-1234435315"/>
                <w:lang w:val="en-GB"/>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315"/>
                <w:lang w:val="en-GB"/>
                <w14:textFill>
                  <w14:solidFill>
                    <w14:srgbClr w14:val="000000">
                      <w14:alpha w14:val="100000"/>
                    </w14:srgbClr>
                  </w14:solidFill>
                </w14:textFill>
              </w:rPr>
              <w:t>|</w:t>
            </w:r>
            <w:r w:rsidR="00C733FB">
              <w:rPr>
                <w:sz w:val="20"/>
                <w:szCs w:val="20"/>
                <w:vertAlign w:val="superscript"/>
                <w:lang w:val="en-GB"/>
              </w:rPr>
              <w:t>1</w:t>
            </w:r>
          </w:p>
        </w:tc>
        <w:tc>
          <w:tcPr>
            <w:tcW w:w="780" w:type="pct"/>
            <w:shd w:val="clear" w:color="auto" w:fill="FFFFFF" w:themeFill="background1"/>
          </w:tcPr>
          <w:p w14:paraId="3903699D" w14:textId="77777777" w:rsidR="00F2381C" w:rsidRPr="006A0D0F" w:rsidRDefault="00F2381C" w:rsidP="00465412">
            <w:pPr>
              <w:pStyle w:val="TableText0"/>
              <w:keepNext w:val="0"/>
              <w:jc w:val="center"/>
              <w:rPr>
                <w:sz w:val="20"/>
                <w:szCs w:val="20"/>
                <w:lang w:val="en-GB"/>
              </w:rPr>
            </w:pPr>
            <w:r w:rsidRPr="006A0D0F">
              <w:rPr>
                <w:sz w:val="20"/>
                <w:szCs w:val="20"/>
                <w:lang w:val="en-GB"/>
              </w:rPr>
              <w:t>-10.14%</w:t>
            </w:r>
          </w:p>
        </w:tc>
      </w:tr>
      <w:tr w:rsidR="00F2381C" w:rsidRPr="006A0D0F" w14:paraId="124BFAB2" w14:textId="77777777" w:rsidTr="00284191">
        <w:tc>
          <w:tcPr>
            <w:tcW w:w="5000" w:type="pct"/>
            <w:gridSpan w:val="6"/>
            <w:shd w:val="clear" w:color="auto" w:fill="FFFFFF" w:themeFill="background1"/>
          </w:tcPr>
          <w:p w14:paraId="79AA38A5" w14:textId="77777777" w:rsidR="00F2381C" w:rsidRPr="006A0D0F" w:rsidRDefault="00F2381C" w:rsidP="00465412">
            <w:pPr>
              <w:pStyle w:val="TableText0"/>
              <w:keepNext w:val="0"/>
              <w:rPr>
                <w:sz w:val="20"/>
                <w:szCs w:val="20"/>
                <w:lang w:val="en-GB"/>
              </w:rPr>
            </w:pPr>
            <w:r w:rsidRPr="006A0D0F">
              <w:rPr>
                <w:b/>
                <w:bCs w:val="0"/>
                <w:sz w:val="20"/>
                <w:szCs w:val="20"/>
                <w:lang w:val="en-GB"/>
              </w:rPr>
              <w:t>Time horizon (base case = 25 years)</w:t>
            </w:r>
          </w:p>
        </w:tc>
      </w:tr>
      <w:tr w:rsidR="00F2381C" w:rsidRPr="006A0D0F" w14:paraId="034628F9" w14:textId="77777777" w:rsidTr="004E2DB8">
        <w:tc>
          <w:tcPr>
            <w:tcW w:w="305" w:type="pct"/>
            <w:shd w:val="clear" w:color="auto" w:fill="FFFFFF" w:themeFill="background1"/>
          </w:tcPr>
          <w:p w14:paraId="07DD2FBF" w14:textId="77777777" w:rsidR="00F2381C" w:rsidRPr="006A0D0F" w:rsidRDefault="00F2381C" w:rsidP="00465412">
            <w:pPr>
              <w:pStyle w:val="TableText0"/>
              <w:keepNext w:val="0"/>
              <w:contextualSpacing/>
              <w:rPr>
                <w:sz w:val="20"/>
                <w:szCs w:val="20"/>
                <w:lang w:val="en-GB"/>
              </w:rPr>
            </w:pPr>
            <w:r w:rsidRPr="006A0D0F">
              <w:rPr>
                <w:sz w:val="20"/>
                <w:szCs w:val="20"/>
                <w:lang w:val="en-GB"/>
              </w:rPr>
              <w:t>2</w:t>
            </w:r>
          </w:p>
        </w:tc>
        <w:tc>
          <w:tcPr>
            <w:tcW w:w="1845" w:type="pct"/>
            <w:shd w:val="clear" w:color="auto" w:fill="FFFFFF" w:themeFill="background1"/>
          </w:tcPr>
          <w:p w14:paraId="4B7D64E3" w14:textId="77777777" w:rsidR="00F2381C" w:rsidRPr="006A0D0F" w:rsidRDefault="00F2381C" w:rsidP="00465412">
            <w:pPr>
              <w:pStyle w:val="TableText0"/>
              <w:keepNext w:val="0"/>
              <w:contextualSpacing/>
              <w:rPr>
                <w:sz w:val="20"/>
                <w:szCs w:val="20"/>
                <w:lang w:val="en-GB"/>
              </w:rPr>
            </w:pPr>
            <w:r w:rsidRPr="006A0D0F">
              <w:rPr>
                <w:sz w:val="20"/>
                <w:szCs w:val="20"/>
                <w:lang w:val="en-GB"/>
              </w:rPr>
              <w:t>15 years</w:t>
            </w:r>
          </w:p>
        </w:tc>
        <w:tc>
          <w:tcPr>
            <w:tcW w:w="742" w:type="pct"/>
            <w:shd w:val="clear" w:color="auto" w:fill="FFFFFF" w:themeFill="background1"/>
          </w:tcPr>
          <w:p w14:paraId="249442A4" w14:textId="2BC00BFE" w:rsidR="00F2381C" w:rsidRPr="006A0D0F" w:rsidRDefault="00F2381C" w:rsidP="00465412">
            <w:pPr>
              <w:pStyle w:val="TableText0"/>
              <w:keepNext w:val="0"/>
              <w:jc w:val="center"/>
              <w:rPr>
                <w:sz w:val="20"/>
                <w:szCs w:val="20"/>
                <w:lang w:val="en-GB"/>
              </w:rPr>
            </w:pPr>
            <w:r w:rsidRPr="006A0D0F">
              <w:rPr>
                <w:sz w:val="20"/>
                <w:szCs w:val="20"/>
                <w:lang w:val="en-GB"/>
              </w:rPr>
              <w:t>$</w:t>
            </w:r>
            <w:r w:rsidR="001172C3" w:rsidRPr="001172C3">
              <w:rPr>
                <w:color w:val="000000"/>
                <w:spacing w:val="110"/>
                <w:sz w:val="20"/>
                <w:szCs w:val="20"/>
                <w:shd w:val="solid" w:color="000000" w:fill="000000"/>
                <w:fitText w:val="196" w:id="-1234435314"/>
                <w:lang w:val="en-GB"/>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314"/>
                <w:lang w:val="en-GB"/>
                <w14:textFill>
                  <w14:solidFill>
                    <w14:srgbClr w14:val="000000">
                      <w14:alpha w14:val="100000"/>
                    </w14:srgbClr>
                  </w14:solidFill>
                </w14:textFill>
              </w:rPr>
              <w:t>|</w:t>
            </w:r>
          </w:p>
        </w:tc>
        <w:tc>
          <w:tcPr>
            <w:tcW w:w="742" w:type="pct"/>
            <w:shd w:val="clear" w:color="auto" w:fill="FFFFFF" w:themeFill="background1"/>
          </w:tcPr>
          <w:p w14:paraId="66CD4FD0" w14:textId="77777777" w:rsidR="00F2381C" w:rsidRPr="006A0D0F" w:rsidRDefault="00F2381C" w:rsidP="00465412">
            <w:pPr>
              <w:pStyle w:val="TableText0"/>
              <w:keepNext w:val="0"/>
              <w:jc w:val="center"/>
              <w:rPr>
                <w:sz w:val="20"/>
                <w:szCs w:val="20"/>
                <w:lang w:val="en-GB"/>
              </w:rPr>
            </w:pPr>
            <w:r w:rsidRPr="006A0D0F">
              <w:rPr>
                <w:sz w:val="20"/>
                <w:szCs w:val="20"/>
                <w:lang w:val="en-GB"/>
              </w:rPr>
              <w:t>0.79</w:t>
            </w:r>
          </w:p>
        </w:tc>
        <w:tc>
          <w:tcPr>
            <w:tcW w:w="586" w:type="pct"/>
            <w:shd w:val="clear" w:color="auto" w:fill="FFFFFF" w:themeFill="background1"/>
          </w:tcPr>
          <w:p w14:paraId="6D7BCE47" w14:textId="0AD90644" w:rsidR="00F2381C" w:rsidRPr="00C733FB" w:rsidRDefault="00F2381C" w:rsidP="00465412">
            <w:pPr>
              <w:pStyle w:val="TableText0"/>
              <w:keepNext w:val="0"/>
              <w:jc w:val="center"/>
              <w:rPr>
                <w:sz w:val="20"/>
                <w:szCs w:val="20"/>
                <w:vertAlign w:val="superscript"/>
                <w:lang w:val="en-GB"/>
              </w:rPr>
            </w:pPr>
            <w:r w:rsidRPr="006A0D0F">
              <w:rPr>
                <w:sz w:val="20"/>
                <w:szCs w:val="20"/>
                <w:lang w:val="en-GB"/>
              </w:rPr>
              <w:t>$</w:t>
            </w:r>
            <w:r w:rsidR="001172C3" w:rsidRPr="001172C3">
              <w:rPr>
                <w:color w:val="000000"/>
                <w:spacing w:val="65"/>
                <w:sz w:val="20"/>
                <w:szCs w:val="20"/>
                <w:shd w:val="solid" w:color="000000" w:fill="000000"/>
                <w:fitText w:val="368" w:id="-1234435313"/>
                <w:lang w:val="en-GB"/>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313"/>
                <w:lang w:val="en-GB"/>
                <w14:textFill>
                  <w14:solidFill>
                    <w14:srgbClr w14:val="000000">
                      <w14:alpha w14:val="100000"/>
                    </w14:srgbClr>
                  </w14:solidFill>
                </w14:textFill>
              </w:rPr>
              <w:t>|</w:t>
            </w:r>
            <w:r w:rsidR="00C733FB">
              <w:rPr>
                <w:sz w:val="20"/>
                <w:szCs w:val="20"/>
                <w:vertAlign w:val="superscript"/>
                <w:lang w:val="en-GB"/>
              </w:rPr>
              <w:t>3</w:t>
            </w:r>
          </w:p>
        </w:tc>
        <w:tc>
          <w:tcPr>
            <w:tcW w:w="780" w:type="pct"/>
            <w:shd w:val="clear" w:color="auto" w:fill="FFFFFF" w:themeFill="background1"/>
          </w:tcPr>
          <w:p w14:paraId="41A57354" w14:textId="77777777" w:rsidR="00F2381C" w:rsidRPr="006A0D0F" w:rsidRDefault="00F2381C" w:rsidP="00465412">
            <w:pPr>
              <w:pStyle w:val="TableText0"/>
              <w:keepNext w:val="0"/>
              <w:jc w:val="center"/>
              <w:rPr>
                <w:sz w:val="20"/>
                <w:szCs w:val="20"/>
                <w:lang w:val="en-GB"/>
              </w:rPr>
            </w:pPr>
            <w:r w:rsidRPr="006A0D0F">
              <w:rPr>
                <w:sz w:val="20"/>
                <w:szCs w:val="20"/>
                <w:lang w:val="en-GB"/>
              </w:rPr>
              <w:t>21.31%</w:t>
            </w:r>
          </w:p>
        </w:tc>
      </w:tr>
      <w:tr w:rsidR="00F2381C" w:rsidRPr="006A0D0F" w14:paraId="1DE9C752" w14:textId="77777777" w:rsidTr="00284191">
        <w:tc>
          <w:tcPr>
            <w:tcW w:w="5000" w:type="pct"/>
            <w:gridSpan w:val="6"/>
            <w:shd w:val="clear" w:color="auto" w:fill="FFFFFF" w:themeFill="background1"/>
          </w:tcPr>
          <w:p w14:paraId="359E8890" w14:textId="382A1674" w:rsidR="00F2381C" w:rsidRPr="006A0D0F" w:rsidRDefault="00F2381C" w:rsidP="00465412">
            <w:pPr>
              <w:pStyle w:val="TableText0"/>
              <w:keepNext w:val="0"/>
              <w:rPr>
                <w:sz w:val="20"/>
                <w:szCs w:val="20"/>
                <w:lang w:val="en-GB"/>
              </w:rPr>
            </w:pPr>
            <w:r w:rsidRPr="006A0D0F">
              <w:rPr>
                <w:b/>
                <w:bCs w:val="0"/>
                <w:sz w:val="20"/>
                <w:szCs w:val="20"/>
                <w:lang w:val="en-GB"/>
              </w:rPr>
              <w:t xml:space="preserve">Cure assumption (base case = 5 years, 2 </w:t>
            </w:r>
            <w:r w:rsidRPr="00B14104">
              <w:rPr>
                <w:b/>
                <w:bCs w:val="0"/>
                <w:sz w:val="20"/>
                <w:szCs w:val="20"/>
                <w:lang w:val="en-GB"/>
              </w:rPr>
              <w:t xml:space="preserve">year </w:t>
            </w:r>
            <w:r w:rsidR="003A48E6" w:rsidRPr="00B14104">
              <w:rPr>
                <w:b/>
                <w:bCs w:val="0"/>
                <w:sz w:val="20"/>
                <w:szCs w:val="20"/>
                <w:lang w:val="en-GB"/>
              </w:rPr>
              <w:t>linear increase to</w:t>
            </w:r>
            <w:r w:rsidRPr="006A0D0F">
              <w:rPr>
                <w:b/>
                <w:bCs w:val="0"/>
                <w:sz w:val="20"/>
                <w:szCs w:val="20"/>
                <w:lang w:val="en-GB"/>
              </w:rPr>
              <w:t xml:space="preserve"> 95% cured, cured patients have general population mortality)</w:t>
            </w:r>
          </w:p>
        </w:tc>
      </w:tr>
      <w:tr w:rsidR="00F2381C" w:rsidRPr="006A0D0F" w14:paraId="557A581E" w14:textId="77777777" w:rsidTr="004E2DB8">
        <w:tc>
          <w:tcPr>
            <w:tcW w:w="305" w:type="pct"/>
            <w:shd w:val="clear" w:color="auto" w:fill="FFFFFF" w:themeFill="background1"/>
          </w:tcPr>
          <w:p w14:paraId="2C905873" w14:textId="77777777" w:rsidR="00F2381C" w:rsidRPr="006A0D0F" w:rsidRDefault="00F2381C" w:rsidP="00465412">
            <w:pPr>
              <w:pStyle w:val="TableText0"/>
              <w:keepNext w:val="0"/>
              <w:contextualSpacing/>
              <w:rPr>
                <w:sz w:val="20"/>
                <w:szCs w:val="20"/>
              </w:rPr>
            </w:pPr>
            <w:r w:rsidRPr="006A0D0F">
              <w:rPr>
                <w:sz w:val="20"/>
                <w:szCs w:val="20"/>
              </w:rPr>
              <w:t>3a</w:t>
            </w:r>
          </w:p>
        </w:tc>
        <w:tc>
          <w:tcPr>
            <w:tcW w:w="1845" w:type="pct"/>
            <w:shd w:val="clear" w:color="auto" w:fill="FFFFFF" w:themeFill="background1"/>
          </w:tcPr>
          <w:p w14:paraId="389E0E71" w14:textId="77777777" w:rsidR="00F2381C" w:rsidRPr="006A0D0F" w:rsidRDefault="00F2381C" w:rsidP="00465412">
            <w:pPr>
              <w:pStyle w:val="TableText0"/>
              <w:keepNext w:val="0"/>
              <w:tabs>
                <w:tab w:val="center" w:pos="1593"/>
              </w:tabs>
              <w:contextualSpacing/>
              <w:rPr>
                <w:sz w:val="20"/>
                <w:szCs w:val="20"/>
                <w:lang w:val="en-GB"/>
              </w:rPr>
            </w:pPr>
            <w:r w:rsidRPr="006A0D0F">
              <w:rPr>
                <w:sz w:val="20"/>
                <w:szCs w:val="20"/>
                <w:lang w:val="en-GB"/>
              </w:rPr>
              <w:t>No cure for both arms</w:t>
            </w:r>
          </w:p>
        </w:tc>
        <w:tc>
          <w:tcPr>
            <w:tcW w:w="742" w:type="pct"/>
            <w:shd w:val="clear" w:color="auto" w:fill="FFFFFF" w:themeFill="background1"/>
          </w:tcPr>
          <w:p w14:paraId="229CD6A6" w14:textId="2E11C606" w:rsidR="00F2381C" w:rsidRPr="006A0D0F" w:rsidRDefault="00F2381C" w:rsidP="00465412">
            <w:pPr>
              <w:pStyle w:val="TableText0"/>
              <w:keepNext w:val="0"/>
              <w:jc w:val="center"/>
              <w:rPr>
                <w:sz w:val="20"/>
                <w:szCs w:val="20"/>
                <w:lang w:val="en-GB"/>
              </w:rPr>
            </w:pPr>
            <w:r w:rsidRPr="006A0D0F">
              <w:rPr>
                <w:sz w:val="20"/>
                <w:szCs w:val="20"/>
                <w:lang w:val="en-GB"/>
              </w:rPr>
              <w:t>$</w:t>
            </w:r>
            <w:r w:rsidR="001172C3" w:rsidRPr="001172C3">
              <w:rPr>
                <w:color w:val="000000"/>
                <w:spacing w:val="110"/>
                <w:sz w:val="20"/>
                <w:szCs w:val="20"/>
                <w:shd w:val="solid" w:color="000000" w:fill="000000"/>
                <w:fitText w:val="196" w:id="-1234435312"/>
                <w:lang w:val="en-GB"/>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312"/>
                <w:lang w:val="en-GB"/>
                <w14:textFill>
                  <w14:solidFill>
                    <w14:srgbClr w14:val="000000">
                      <w14:alpha w14:val="100000"/>
                    </w14:srgbClr>
                  </w14:solidFill>
                </w14:textFill>
              </w:rPr>
              <w:t>|</w:t>
            </w:r>
          </w:p>
        </w:tc>
        <w:tc>
          <w:tcPr>
            <w:tcW w:w="742" w:type="pct"/>
            <w:shd w:val="clear" w:color="auto" w:fill="FFFFFF" w:themeFill="background1"/>
          </w:tcPr>
          <w:p w14:paraId="75E370B9" w14:textId="77777777" w:rsidR="00F2381C" w:rsidRPr="006A0D0F" w:rsidRDefault="00F2381C" w:rsidP="00465412">
            <w:pPr>
              <w:pStyle w:val="TableText0"/>
              <w:keepNext w:val="0"/>
              <w:jc w:val="center"/>
              <w:rPr>
                <w:sz w:val="20"/>
                <w:szCs w:val="20"/>
                <w:lang w:val="en-GB"/>
              </w:rPr>
            </w:pPr>
            <w:r w:rsidRPr="006A0D0F">
              <w:rPr>
                <w:sz w:val="20"/>
                <w:szCs w:val="20"/>
                <w:lang w:val="en-GB"/>
              </w:rPr>
              <w:t>0.81</w:t>
            </w:r>
          </w:p>
        </w:tc>
        <w:tc>
          <w:tcPr>
            <w:tcW w:w="586" w:type="pct"/>
            <w:shd w:val="clear" w:color="auto" w:fill="FFFFFF" w:themeFill="background1"/>
          </w:tcPr>
          <w:p w14:paraId="316861EB" w14:textId="1C68460D" w:rsidR="00F2381C" w:rsidRPr="00C733FB" w:rsidRDefault="00F2381C" w:rsidP="00465412">
            <w:pPr>
              <w:pStyle w:val="TableText0"/>
              <w:keepNext w:val="0"/>
              <w:jc w:val="center"/>
              <w:rPr>
                <w:sz w:val="20"/>
                <w:szCs w:val="20"/>
                <w:vertAlign w:val="superscript"/>
                <w:lang w:val="en-GB"/>
              </w:rPr>
            </w:pPr>
            <w:r w:rsidRPr="006A0D0F">
              <w:rPr>
                <w:sz w:val="20"/>
                <w:szCs w:val="20"/>
                <w:lang w:val="en-GB"/>
              </w:rPr>
              <w:t>$</w:t>
            </w:r>
            <w:r w:rsidR="001172C3" w:rsidRPr="001172C3">
              <w:rPr>
                <w:color w:val="000000"/>
                <w:spacing w:val="65"/>
                <w:sz w:val="20"/>
                <w:szCs w:val="20"/>
                <w:shd w:val="solid" w:color="000000" w:fill="000000"/>
                <w:fitText w:val="368" w:id="-1234435328"/>
                <w:lang w:val="en-GB"/>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328"/>
                <w:lang w:val="en-GB"/>
                <w14:textFill>
                  <w14:solidFill>
                    <w14:srgbClr w14:val="000000">
                      <w14:alpha w14:val="100000"/>
                    </w14:srgbClr>
                  </w14:solidFill>
                </w14:textFill>
              </w:rPr>
              <w:t>|</w:t>
            </w:r>
            <w:r w:rsidR="00C733FB">
              <w:rPr>
                <w:sz w:val="20"/>
                <w:szCs w:val="20"/>
                <w:vertAlign w:val="superscript"/>
                <w:lang w:val="en-GB"/>
              </w:rPr>
              <w:t>3</w:t>
            </w:r>
          </w:p>
        </w:tc>
        <w:tc>
          <w:tcPr>
            <w:tcW w:w="780" w:type="pct"/>
            <w:shd w:val="clear" w:color="auto" w:fill="FFFFFF" w:themeFill="background1"/>
          </w:tcPr>
          <w:p w14:paraId="0C813FD4" w14:textId="77777777" w:rsidR="00F2381C" w:rsidRPr="006A0D0F" w:rsidRDefault="00F2381C" w:rsidP="00465412">
            <w:pPr>
              <w:pStyle w:val="TableText0"/>
              <w:keepNext w:val="0"/>
              <w:jc w:val="center"/>
              <w:rPr>
                <w:sz w:val="20"/>
                <w:szCs w:val="20"/>
                <w:lang w:val="en-GB"/>
              </w:rPr>
            </w:pPr>
            <w:r w:rsidRPr="006A0D0F">
              <w:rPr>
                <w:sz w:val="20"/>
                <w:szCs w:val="20"/>
                <w:lang w:val="en-GB"/>
              </w:rPr>
              <w:t>26.31%</w:t>
            </w:r>
          </w:p>
        </w:tc>
      </w:tr>
      <w:tr w:rsidR="00F2381C" w:rsidRPr="006A0D0F" w14:paraId="5A770B12" w14:textId="77777777" w:rsidTr="004E2DB8">
        <w:tc>
          <w:tcPr>
            <w:tcW w:w="305" w:type="pct"/>
            <w:shd w:val="clear" w:color="auto" w:fill="FFFFFF" w:themeFill="background1"/>
          </w:tcPr>
          <w:p w14:paraId="51936844" w14:textId="77777777" w:rsidR="00F2381C" w:rsidRPr="006A0D0F" w:rsidRDefault="00F2381C" w:rsidP="00465412">
            <w:pPr>
              <w:pStyle w:val="TableText0"/>
              <w:keepNext w:val="0"/>
              <w:contextualSpacing/>
              <w:rPr>
                <w:sz w:val="20"/>
                <w:szCs w:val="20"/>
                <w:lang w:val="en-GB"/>
              </w:rPr>
            </w:pPr>
            <w:r w:rsidRPr="006A0D0F">
              <w:rPr>
                <w:sz w:val="20"/>
                <w:szCs w:val="20"/>
                <w:lang w:val="en-GB"/>
              </w:rPr>
              <w:t>3b</w:t>
            </w:r>
          </w:p>
        </w:tc>
        <w:tc>
          <w:tcPr>
            <w:tcW w:w="1845" w:type="pct"/>
            <w:shd w:val="clear" w:color="auto" w:fill="FFFFFF" w:themeFill="background1"/>
          </w:tcPr>
          <w:p w14:paraId="1F13CBBA" w14:textId="77777777" w:rsidR="00F2381C" w:rsidRPr="006A0D0F" w:rsidRDefault="00F2381C" w:rsidP="00465412">
            <w:pPr>
              <w:pStyle w:val="TableText0"/>
              <w:keepNext w:val="0"/>
              <w:contextualSpacing/>
              <w:rPr>
                <w:sz w:val="20"/>
                <w:szCs w:val="20"/>
                <w:lang w:val="en-GB"/>
              </w:rPr>
            </w:pPr>
            <w:r w:rsidRPr="006A0D0F">
              <w:rPr>
                <w:sz w:val="20"/>
                <w:szCs w:val="20"/>
                <w:lang w:val="en-GB"/>
              </w:rPr>
              <w:t>Onset of cure at 7 years, time from onset 2 years, 95% cured for both arms</w:t>
            </w:r>
          </w:p>
        </w:tc>
        <w:tc>
          <w:tcPr>
            <w:tcW w:w="742" w:type="pct"/>
            <w:shd w:val="clear" w:color="auto" w:fill="FFFFFF" w:themeFill="background1"/>
          </w:tcPr>
          <w:p w14:paraId="557B5BF0" w14:textId="5E558DDC" w:rsidR="00F2381C" w:rsidRPr="006A0D0F" w:rsidRDefault="00F2381C" w:rsidP="00465412">
            <w:pPr>
              <w:pStyle w:val="TableText0"/>
              <w:keepNext w:val="0"/>
              <w:jc w:val="center"/>
              <w:rPr>
                <w:sz w:val="20"/>
                <w:szCs w:val="20"/>
                <w:lang w:val="en-GB"/>
              </w:rPr>
            </w:pPr>
            <w:r w:rsidRPr="006A0D0F">
              <w:rPr>
                <w:sz w:val="20"/>
                <w:szCs w:val="20"/>
                <w:lang w:val="en-GB"/>
              </w:rPr>
              <w:t>$</w:t>
            </w:r>
            <w:r w:rsidR="001172C3" w:rsidRPr="001172C3">
              <w:rPr>
                <w:color w:val="000000"/>
                <w:spacing w:val="110"/>
                <w:sz w:val="20"/>
                <w:szCs w:val="20"/>
                <w:shd w:val="solid" w:color="000000" w:fill="000000"/>
                <w:fitText w:val="196" w:id="-1234435327"/>
                <w:lang w:val="en-GB"/>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327"/>
                <w:lang w:val="en-GB"/>
                <w14:textFill>
                  <w14:solidFill>
                    <w14:srgbClr w14:val="000000">
                      <w14:alpha w14:val="100000"/>
                    </w14:srgbClr>
                  </w14:solidFill>
                </w14:textFill>
              </w:rPr>
              <w:t>|</w:t>
            </w:r>
          </w:p>
        </w:tc>
        <w:tc>
          <w:tcPr>
            <w:tcW w:w="742" w:type="pct"/>
            <w:shd w:val="clear" w:color="auto" w:fill="FFFFFF" w:themeFill="background1"/>
          </w:tcPr>
          <w:p w14:paraId="7882D6F5" w14:textId="77777777" w:rsidR="00F2381C" w:rsidRPr="006A0D0F" w:rsidRDefault="00F2381C" w:rsidP="00465412">
            <w:pPr>
              <w:pStyle w:val="TableText0"/>
              <w:keepNext w:val="0"/>
              <w:jc w:val="center"/>
              <w:rPr>
                <w:sz w:val="20"/>
                <w:szCs w:val="20"/>
                <w:lang w:val="en-GB"/>
              </w:rPr>
            </w:pPr>
            <w:r w:rsidRPr="006A0D0F">
              <w:rPr>
                <w:sz w:val="20"/>
                <w:szCs w:val="20"/>
                <w:lang w:val="en-GB"/>
              </w:rPr>
              <w:t>0.94</w:t>
            </w:r>
          </w:p>
        </w:tc>
        <w:tc>
          <w:tcPr>
            <w:tcW w:w="586" w:type="pct"/>
            <w:shd w:val="clear" w:color="auto" w:fill="FFFFFF" w:themeFill="background1"/>
          </w:tcPr>
          <w:p w14:paraId="4E7D6DDD" w14:textId="06E10A59" w:rsidR="00F2381C" w:rsidRPr="006A0D0F" w:rsidRDefault="00F2381C" w:rsidP="00465412">
            <w:pPr>
              <w:pStyle w:val="TableText0"/>
              <w:keepNext w:val="0"/>
              <w:jc w:val="center"/>
              <w:rPr>
                <w:sz w:val="20"/>
                <w:szCs w:val="20"/>
                <w:lang w:val="en-GB"/>
              </w:rPr>
            </w:pPr>
            <w:r w:rsidRPr="006A0D0F">
              <w:rPr>
                <w:sz w:val="20"/>
                <w:szCs w:val="20"/>
                <w:lang w:val="en-GB"/>
              </w:rPr>
              <w:t>$</w:t>
            </w:r>
            <w:r w:rsidR="001172C3" w:rsidRPr="001172C3">
              <w:rPr>
                <w:color w:val="000000"/>
                <w:spacing w:val="65"/>
                <w:sz w:val="20"/>
                <w:szCs w:val="20"/>
                <w:shd w:val="solid" w:color="000000" w:fill="000000"/>
                <w:fitText w:val="368" w:id="-1234435326"/>
                <w:lang w:val="en-GB"/>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326"/>
                <w:lang w:val="en-GB"/>
                <w14:textFill>
                  <w14:solidFill>
                    <w14:srgbClr w14:val="000000">
                      <w14:alpha w14:val="100000"/>
                    </w14:srgbClr>
                  </w14:solidFill>
                </w14:textFill>
              </w:rPr>
              <w:t>|</w:t>
            </w:r>
            <w:r w:rsidR="00C733FB">
              <w:rPr>
                <w:sz w:val="20"/>
                <w:szCs w:val="20"/>
                <w:vertAlign w:val="superscript"/>
                <w:lang w:val="en-GB"/>
              </w:rPr>
              <w:t>3</w:t>
            </w:r>
          </w:p>
        </w:tc>
        <w:tc>
          <w:tcPr>
            <w:tcW w:w="780" w:type="pct"/>
            <w:shd w:val="clear" w:color="auto" w:fill="FFFFFF" w:themeFill="background1"/>
          </w:tcPr>
          <w:p w14:paraId="3CEC90AD" w14:textId="77777777" w:rsidR="00F2381C" w:rsidRPr="006A0D0F" w:rsidRDefault="00F2381C" w:rsidP="00465412">
            <w:pPr>
              <w:pStyle w:val="TableText0"/>
              <w:keepNext w:val="0"/>
              <w:jc w:val="center"/>
              <w:rPr>
                <w:sz w:val="20"/>
                <w:szCs w:val="20"/>
                <w:lang w:val="en-GB"/>
              </w:rPr>
            </w:pPr>
            <w:r w:rsidRPr="006A0D0F">
              <w:rPr>
                <w:sz w:val="20"/>
                <w:szCs w:val="20"/>
                <w:lang w:val="en-GB"/>
              </w:rPr>
              <w:t>8.87%</w:t>
            </w:r>
          </w:p>
        </w:tc>
      </w:tr>
      <w:tr w:rsidR="00F2381C" w:rsidRPr="006A0D0F" w14:paraId="1B37A6C4" w14:textId="77777777" w:rsidTr="004E2DB8">
        <w:tc>
          <w:tcPr>
            <w:tcW w:w="305" w:type="pct"/>
            <w:shd w:val="clear" w:color="auto" w:fill="FFFFFF" w:themeFill="background1"/>
          </w:tcPr>
          <w:p w14:paraId="23F0A3A8" w14:textId="77777777" w:rsidR="00F2381C" w:rsidRPr="006A0D0F" w:rsidRDefault="00F2381C" w:rsidP="00465412">
            <w:pPr>
              <w:pStyle w:val="TableText0"/>
              <w:keepNext w:val="0"/>
              <w:contextualSpacing/>
              <w:rPr>
                <w:sz w:val="20"/>
                <w:szCs w:val="20"/>
                <w:lang w:val="en-GB"/>
              </w:rPr>
            </w:pPr>
            <w:r w:rsidRPr="006A0D0F">
              <w:rPr>
                <w:sz w:val="20"/>
                <w:szCs w:val="20"/>
                <w:lang w:val="en-GB"/>
              </w:rPr>
              <w:t>3c</w:t>
            </w:r>
          </w:p>
        </w:tc>
        <w:tc>
          <w:tcPr>
            <w:tcW w:w="1845" w:type="pct"/>
            <w:shd w:val="clear" w:color="auto" w:fill="FFFFFF" w:themeFill="background1"/>
          </w:tcPr>
          <w:p w14:paraId="61C33002" w14:textId="77777777" w:rsidR="00F2381C" w:rsidRPr="006A0D0F" w:rsidRDefault="00F2381C" w:rsidP="00465412">
            <w:pPr>
              <w:pStyle w:val="TableText0"/>
              <w:keepNext w:val="0"/>
              <w:contextualSpacing/>
              <w:rPr>
                <w:sz w:val="20"/>
                <w:szCs w:val="20"/>
                <w:vertAlign w:val="superscript"/>
                <w:lang w:val="en-GB"/>
              </w:rPr>
            </w:pPr>
            <w:r w:rsidRPr="006A0D0F">
              <w:rPr>
                <w:sz w:val="20"/>
                <w:szCs w:val="20"/>
                <w:lang w:val="en-GB"/>
              </w:rPr>
              <w:t>Change the onset of cure to 6 years in the neoNIVO+neoChemo arm only</w:t>
            </w:r>
            <w:r w:rsidRPr="006A0D0F">
              <w:rPr>
                <w:sz w:val="20"/>
                <w:szCs w:val="20"/>
                <w:vertAlign w:val="superscript"/>
                <w:lang w:val="en-GB"/>
              </w:rPr>
              <w:t>a</w:t>
            </w:r>
          </w:p>
        </w:tc>
        <w:tc>
          <w:tcPr>
            <w:tcW w:w="742" w:type="pct"/>
            <w:shd w:val="clear" w:color="auto" w:fill="FFFFFF" w:themeFill="background1"/>
          </w:tcPr>
          <w:p w14:paraId="18159D9D" w14:textId="59607ACA" w:rsidR="00F2381C" w:rsidRPr="006A0D0F" w:rsidRDefault="00F2381C" w:rsidP="00465412">
            <w:pPr>
              <w:pStyle w:val="TableText0"/>
              <w:keepNext w:val="0"/>
              <w:jc w:val="center"/>
              <w:rPr>
                <w:sz w:val="20"/>
                <w:szCs w:val="20"/>
              </w:rPr>
            </w:pPr>
            <w:r w:rsidRPr="006A0D0F">
              <w:rPr>
                <w:sz w:val="20"/>
                <w:szCs w:val="20"/>
              </w:rPr>
              <w:t>$</w:t>
            </w:r>
            <w:r w:rsidR="001172C3" w:rsidRPr="001172C3">
              <w:rPr>
                <w:color w:val="000000"/>
                <w:spacing w:val="110"/>
                <w:sz w:val="20"/>
                <w:szCs w:val="20"/>
                <w:shd w:val="solid" w:color="000000" w:fill="000000"/>
                <w:fitText w:val="196" w:id="-1234435325"/>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325"/>
                <w14:textFill>
                  <w14:solidFill>
                    <w14:srgbClr w14:val="000000">
                      <w14:alpha w14:val="100000"/>
                    </w14:srgbClr>
                  </w14:solidFill>
                </w14:textFill>
              </w:rPr>
              <w:t>|</w:t>
            </w:r>
          </w:p>
        </w:tc>
        <w:tc>
          <w:tcPr>
            <w:tcW w:w="742" w:type="pct"/>
            <w:shd w:val="clear" w:color="auto" w:fill="FFFFFF" w:themeFill="background1"/>
          </w:tcPr>
          <w:p w14:paraId="104C3E32" w14:textId="77777777" w:rsidR="00F2381C" w:rsidRPr="006A0D0F" w:rsidRDefault="00F2381C" w:rsidP="00465412">
            <w:pPr>
              <w:pStyle w:val="TableText0"/>
              <w:keepNext w:val="0"/>
              <w:jc w:val="center"/>
              <w:rPr>
                <w:sz w:val="20"/>
                <w:szCs w:val="20"/>
              </w:rPr>
            </w:pPr>
            <w:r w:rsidRPr="006A0D0F">
              <w:rPr>
                <w:sz w:val="20"/>
                <w:szCs w:val="20"/>
              </w:rPr>
              <w:t>0.88</w:t>
            </w:r>
          </w:p>
        </w:tc>
        <w:tc>
          <w:tcPr>
            <w:tcW w:w="586" w:type="pct"/>
            <w:shd w:val="clear" w:color="auto" w:fill="FFFFFF" w:themeFill="background1"/>
          </w:tcPr>
          <w:p w14:paraId="57FAB371" w14:textId="2F4A142F" w:rsidR="00F2381C" w:rsidRPr="006A0D0F" w:rsidRDefault="00F2381C" w:rsidP="00465412">
            <w:pPr>
              <w:pStyle w:val="TableText0"/>
              <w:keepNext w:val="0"/>
              <w:jc w:val="center"/>
              <w:rPr>
                <w:sz w:val="20"/>
                <w:szCs w:val="20"/>
              </w:rPr>
            </w:pPr>
            <w:r w:rsidRPr="006A0D0F">
              <w:rPr>
                <w:sz w:val="20"/>
                <w:szCs w:val="20"/>
              </w:rPr>
              <w:t>$</w:t>
            </w:r>
            <w:r w:rsidR="001172C3" w:rsidRPr="001172C3">
              <w:rPr>
                <w:color w:val="000000"/>
                <w:spacing w:val="65"/>
                <w:sz w:val="20"/>
                <w:szCs w:val="20"/>
                <w:shd w:val="solid" w:color="000000" w:fill="000000"/>
                <w:fitText w:val="368" w:id="-1234435324"/>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324"/>
                <w14:textFill>
                  <w14:solidFill>
                    <w14:srgbClr w14:val="000000">
                      <w14:alpha w14:val="100000"/>
                    </w14:srgbClr>
                  </w14:solidFill>
                </w14:textFill>
              </w:rPr>
              <w:t>|</w:t>
            </w:r>
            <w:r w:rsidR="00C733FB">
              <w:rPr>
                <w:sz w:val="20"/>
                <w:szCs w:val="20"/>
                <w:vertAlign w:val="superscript"/>
                <w:lang w:val="en-GB"/>
              </w:rPr>
              <w:t>3</w:t>
            </w:r>
          </w:p>
        </w:tc>
        <w:tc>
          <w:tcPr>
            <w:tcW w:w="780" w:type="pct"/>
            <w:shd w:val="clear" w:color="auto" w:fill="FFFFFF" w:themeFill="background1"/>
          </w:tcPr>
          <w:p w14:paraId="47C2E77E" w14:textId="77777777" w:rsidR="00F2381C" w:rsidRPr="006A0D0F" w:rsidRDefault="00F2381C" w:rsidP="00465412">
            <w:pPr>
              <w:pStyle w:val="TableText0"/>
              <w:keepNext w:val="0"/>
              <w:jc w:val="center"/>
              <w:rPr>
                <w:sz w:val="20"/>
                <w:szCs w:val="20"/>
              </w:rPr>
            </w:pPr>
            <w:r w:rsidRPr="006A0D0F">
              <w:rPr>
                <w:sz w:val="20"/>
                <w:szCs w:val="20"/>
              </w:rPr>
              <w:t>16.80%</w:t>
            </w:r>
          </w:p>
        </w:tc>
      </w:tr>
      <w:tr w:rsidR="00F2381C" w:rsidRPr="006A0D0F" w14:paraId="4B8AA521" w14:textId="77777777" w:rsidTr="004E2DB8">
        <w:tc>
          <w:tcPr>
            <w:tcW w:w="305" w:type="pct"/>
            <w:shd w:val="clear" w:color="auto" w:fill="FFFFFF" w:themeFill="background1"/>
          </w:tcPr>
          <w:p w14:paraId="41056673" w14:textId="77777777" w:rsidR="00F2381C" w:rsidRPr="006A0D0F" w:rsidRDefault="00F2381C" w:rsidP="00465412">
            <w:pPr>
              <w:pStyle w:val="TableText0"/>
              <w:keepNext w:val="0"/>
              <w:contextualSpacing/>
              <w:rPr>
                <w:sz w:val="20"/>
                <w:szCs w:val="20"/>
                <w:lang w:val="en-GB"/>
              </w:rPr>
            </w:pPr>
            <w:r w:rsidRPr="006A0D0F">
              <w:rPr>
                <w:sz w:val="20"/>
                <w:szCs w:val="20"/>
                <w:lang w:val="en-GB"/>
              </w:rPr>
              <w:t>3d</w:t>
            </w:r>
          </w:p>
        </w:tc>
        <w:tc>
          <w:tcPr>
            <w:tcW w:w="1845" w:type="pct"/>
            <w:shd w:val="clear" w:color="auto" w:fill="FFFFFF" w:themeFill="background1"/>
          </w:tcPr>
          <w:p w14:paraId="07381AEE" w14:textId="77777777" w:rsidR="00F2381C" w:rsidRPr="006A0D0F" w:rsidRDefault="00F2381C" w:rsidP="00465412">
            <w:pPr>
              <w:pStyle w:val="TableText0"/>
              <w:keepNext w:val="0"/>
              <w:contextualSpacing/>
              <w:rPr>
                <w:sz w:val="20"/>
                <w:szCs w:val="20"/>
                <w:lang w:val="en-GB"/>
              </w:rPr>
            </w:pPr>
            <w:r w:rsidRPr="006A0D0F">
              <w:rPr>
                <w:sz w:val="20"/>
                <w:szCs w:val="20"/>
                <w:lang w:val="en-GB"/>
              </w:rPr>
              <w:t>Change the onset of cure to 7 years in the neoNIVO+neoChemo arm only</w:t>
            </w:r>
            <w:r w:rsidRPr="006A0D0F">
              <w:rPr>
                <w:sz w:val="20"/>
                <w:szCs w:val="20"/>
                <w:vertAlign w:val="superscript"/>
                <w:lang w:val="en-GB"/>
              </w:rPr>
              <w:t>a</w:t>
            </w:r>
          </w:p>
        </w:tc>
        <w:tc>
          <w:tcPr>
            <w:tcW w:w="742" w:type="pct"/>
            <w:shd w:val="clear" w:color="auto" w:fill="FFFFFF" w:themeFill="background1"/>
          </w:tcPr>
          <w:p w14:paraId="0E6DC513" w14:textId="019CC4E5" w:rsidR="00F2381C" w:rsidRPr="006A0D0F" w:rsidRDefault="00F2381C" w:rsidP="00465412">
            <w:pPr>
              <w:pStyle w:val="TableText0"/>
              <w:keepNext w:val="0"/>
              <w:jc w:val="center"/>
              <w:rPr>
                <w:sz w:val="20"/>
                <w:szCs w:val="20"/>
                <w:lang w:val="en-GB"/>
              </w:rPr>
            </w:pPr>
            <w:r w:rsidRPr="006A0D0F">
              <w:rPr>
                <w:sz w:val="20"/>
                <w:szCs w:val="20"/>
              </w:rPr>
              <w:t>$</w:t>
            </w:r>
            <w:r w:rsidR="001172C3" w:rsidRPr="001172C3">
              <w:rPr>
                <w:color w:val="000000"/>
                <w:spacing w:val="110"/>
                <w:sz w:val="20"/>
                <w:szCs w:val="20"/>
                <w:shd w:val="solid" w:color="000000" w:fill="000000"/>
                <w:fitText w:val="196" w:id="-1234435323"/>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323"/>
                <w14:textFill>
                  <w14:solidFill>
                    <w14:srgbClr w14:val="000000">
                      <w14:alpha w14:val="100000"/>
                    </w14:srgbClr>
                  </w14:solidFill>
                </w14:textFill>
              </w:rPr>
              <w:t>|</w:t>
            </w:r>
          </w:p>
        </w:tc>
        <w:tc>
          <w:tcPr>
            <w:tcW w:w="742" w:type="pct"/>
            <w:shd w:val="clear" w:color="auto" w:fill="FFFFFF" w:themeFill="background1"/>
          </w:tcPr>
          <w:p w14:paraId="242E2E9D" w14:textId="77777777" w:rsidR="00F2381C" w:rsidRPr="006A0D0F" w:rsidRDefault="00F2381C" w:rsidP="00465412">
            <w:pPr>
              <w:pStyle w:val="TableText0"/>
              <w:keepNext w:val="0"/>
              <w:jc w:val="center"/>
              <w:rPr>
                <w:sz w:val="20"/>
                <w:szCs w:val="20"/>
                <w:lang w:val="en-GB"/>
              </w:rPr>
            </w:pPr>
            <w:r w:rsidRPr="006A0D0F">
              <w:rPr>
                <w:sz w:val="20"/>
                <w:szCs w:val="20"/>
              </w:rPr>
              <w:t>0.78</w:t>
            </w:r>
          </w:p>
        </w:tc>
        <w:tc>
          <w:tcPr>
            <w:tcW w:w="586" w:type="pct"/>
            <w:shd w:val="clear" w:color="auto" w:fill="FFFFFF" w:themeFill="background1"/>
          </w:tcPr>
          <w:p w14:paraId="1ABF062B" w14:textId="56ED44EF" w:rsidR="00F2381C" w:rsidRPr="006A0D0F" w:rsidRDefault="00F2381C" w:rsidP="00465412">
            <w:pPr>
              <w:pStyle w:val="TableText0"/>
              <w:keepNext w:val="0"/>
              <w:jc w:val="center"/>
              <w:rPr>
                <w:sz w:val="20"/>
                <w:szCs w:val="20"/>
                <w:lang w:val="en-GB"/>
              </w:rPr>
            </w:pPr>
            <w:r w:rsidRPr="006A0D0F">
              <w:rPr>
                <w:sz w:val="20"/>
                <w:szCs w:val="20"/>
              </w:rPr>
              <w:t>$</w:t>
            </w:r>
            <w:r w:rsidR="001172C3" w:rsidRPr="001172C3">
              <w:rPr>
                <w:color w:val="000000"/>
                <w:spacing w:val="65"/>
                <w:sz w:val="20"/>
                <w:szCs w:val="20"/>
                <w:shd w:val="solid" w:color="000000" w:fill="000000"/>
                <w:fitText w:val="368" w:id="-1234435322"/>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322"/>
                <w14:textFill>
                  <w14:solidFill>
                    <w14:srgbClr w14:val="000000">
                      <w14:alpha w14:val="100000"/>
                    </w14:srgbClr>
                  </w14:solidFill>
                </w14:textFill>
              </w:rPr>
              <w:t>|</w:t>
            </w:r>
            <w:r w:rsidR="00C733FB">
              <w:rPr>
                <w:sz w:val="20"/>
                <w:szCs w:val="20"/>
                <w:vertAlign w:val="superscript"/>
                <w:lang w:val="en-GB"/>
              </w:rPr>
              <w:t>3</w:t>
            </w:r>
          </w:p>
        </w:tc>
        <w:tc>
          <w:tcPr>
            <w:tcW w:w="780" w:type="pct"/>
            <w:shd w:val="clear" w:color="auto" w:fill="FFFFFF" w:themeFill="background1"/>
          </w:tcPr>
          <w:p w14:paraId="2D5C5DE3" w14:textId="77777777" w:rsidR="00F2381C" w:rsidRPr="006A0D0F" w:rsidRDefault="00F2381C" w:rsidP="00465412">
            <w:pPr>
              <w:pStyle w:val="TableText0"/>
              <w:keepNext w:val="0"/>
              <w:jc w:val="center"/>
              <w:rPr>
                <w:sz w:val="20"/>
                <w:szCs w:val="20"/>
                <w:lang w:val="en-GB"/>
              </w:rPr>
            </w:pPr>
            <w:r w:rsidRPr="006A0D0F">
              <w:rPr>
                <w:sz w:val="20"/>
                <w:szCs w:val="20"/>
              </w:rPr>
              <w:t>32.81%</w:t>
            </w:r>
          </w:p>
        </w:tc>
      </w:tr>
      <w:tr w:rsidR="00F2381C" w:rsidRPr="006A0D0F" w14:paraId="5E6E8049" w14:textId="77777777" w:rsidTr="00284191">
        <w:tc>
          <w:tcPr>
            <w:tcW w:w="5000" w:type="pct"/>
            <w:gridSpan w:val="6"/>
            <w:shd w:val="clear" w:color="auto" w:fill="FFFFFF" w:themeFill="background1"/>
          </w:tcPr>
          <w:p w14:paraId="20EDD0C3" w14:textId="77777777" w:rsidR="00F2381C" w:rsidRPr="006A0D0F" w:rsidRDefault="00F2381C" w:rsidP="00465412">
            <w:pPr>
              <w:pStyle w:val="TableText0"/>
              <w:keepNext w:val="0"/>
              <w:rPr>
                <w:sz w:val="20"/>
                <w:szCs w:val="20"/>
                <w:lang w:val="en-GB"/>
              </w:rPr>
            </w:pPr>
            <w:r w:rsidRPr="006A0D0F">
              <w:rPr>
                <w:b/>
                <w:bCs w:val="0"/>
                <w:sz w:val="20"/>
                <w:szCs w:val="20"/>
                <w:lang w:val="en-GB"/>
              </w:rPr>
              <w:t>Source of data for time from LR to DM (base case = 20% as per clinical expert opinion)</w:t>
            </w:r>
          </w:p>
        </w:tc>
      </w:tr>
      <w:tr w:rsidR="00F2381C" w:rsidRPr="006A0D0F" w14:paraId="5D1C2C20" w14:textId="77777777" w:rsidTr="004E2DB8">
        <w:tc>
          <w:tcPr>
            <w:tcW w:w="305" w:type="pct"/>
            <w:shd w:val="clear" w:color="auto" w:fill="FFFFFF" w:themeFill="background1"/>
          </w:tcPr>
          <w:p w14:paraId="503C5A3E" w14:textId="77777777" w:rsidR="00F2381C" w:rsidRPr="006A0D0F" w:rsidRDefault="00F2381C" w:rsidP="00465412">
            <w:pPr>
              <w:pStyle w:val="TableText0"/>
              <w:keepNext w:val="0"/>
              <w:contextualSpacing/>
              <w:rPr>
                <w:sz w:val="20"/>
                <w:szCs w:val="20"/>
                <w:lang w:val="en-GB"/>
              </w:rPr>
            </w:pPr>
            <w:r w:rsidRPr="006A0D0F">
              <w:rPr>
                <w:sz w:val="20"/>
                <w:szCs w:val="20"/>
                <w:lang w:val="en-GB"/>
              </w:rPr>
              <w:t>4</w:t>
            </w:r>
          </w:p>
        </w:tc>
        <w:tc>
          <w:tcPr>
            <w:tcW w:w="1845" w:type="pct"/>
            <w:shd w:val="clear" w:color="auto" w:fill="FFFFFF" w:themeFill="background1"/>
          </w:tcPr>
          <w:p w14:paraId="365EE1AD" w14:textId="77777777" w:rsidR="00F2381C" w:rsidRPr="006A0D0F" w:rsidRDefault="00F2381C" w:rsidP="00465412">
            <w:pPr>
              <w:pStyle w:val="TableText0"/>
              <w:keepNext w:val="0"/>
              <w:contextualSpacing/>
              <w:rPr>
                <w:i/>
                <w:sz w:val="20"/>
                <w:szCs w:val="20"/>
                <w:vertAlign w:val="superscript"/>
                <w:lang w:val="en-GB"/>
              </w:rPr>
            </w:pPr>
            <w:r w:rsidRPr="006A0D0F">
              <w:rPr>
                <w:sz w:val="20"/>
                <w:szCs w:val="20"/>
                <w:lang w:val="en-GB"/>
              </w:rPr>
              <w:t>Chouaid 2018 estimate 7.7%</w:t>
            </w:r>
          </w:p>
        </w:tc>
        <w:tc>
          <w:tcPr>
            <w:tcW w:w="742" w:type="pct"/>
            <w:shd w:val="clear" w:color="auto" w:fill="FFFFFF" w:themeFill="background1"/>
          </w:tcPr>
          <w:p w14:paraId="71048BED" w14:textId="4B00471D" w:rsidR="00F2381C" w:rsidRPr="006A0D0F" w:rsidRDefault="00F2381C" w:rsidP="00465412">
            <w:pPr>
              <w:pStyle w:val="TableText0"/>
              <w:keepNext w:val="0"/>
              <w:jc w:val="center"/>
              <w:rPr>
                <w:i/>
                <w:sz w:val="20"/>
                <w:szCs w:val="20"/>
                <w:lang w:val="en-GB"/>
              </w:rPr>
            </w:pPr>
            <w:r w:rsidRPr="006A0D0F">
              <w:rPr>
                <w:sz w:val="20"/>
                <w:szCs w:val="20"/>
                <w:lang w:val="en-GB"/>
              </w:rPr>
              <w:t>$</w:t>
            </w:r>
            <w:r w:rsidR="001172C3" w:rsidRPr="001172C3">
              <w:rPr>
                <w:color w:val="000000"/>
                <w:spacing w:val="110"/>
                <w:sz w:val="20"/>
                <w:szCs w:val="20"/>
                <w:shd w:val="solid" w:color="000000" w:fill="000000"/>
                <w:fitText w:val="196" w:id="-1234435321"/>
                <w:lang w:val="en-GB"/>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321"/>
                <w:lang w:val="en-GB"/>
                <w14:textFill>
                  <w14:solidFill>
                    <w14:srgbClr w14:val="000000">
                      <w14:alpha w14:val="100000"/>
                    </w14:srgbClr>
                  </w14:solidFill>
                </w14:textFill>
              </w:rPr>
              <w:t>|</w:t>
            </w:r>
          </w:p>
        </w:tc>
        <w:tc>
          <w:tcPr>
            <w:tcW w:w="742" w:type="pct"/>
            <w:shd w:val="clear" w:color="auto" w:fill="FFFFFF" w:themeFill="background1"/>
          </w:tcPr>
          <w:p w14:paraId="5678FA62" w14:textId="77777777" w:rsidR="00F2381C" w:rsidRPr="006A0D0F" w:rsidRDefault="00F2381C" w:rsidP="00465412">
            <w:pPr>
              <w:pStyle w:val="TableText0"/>
              <w:keepNext w:val="0"/>
              <w:jc w:val="center"/>
              <w:rPr>
                <w:i/>
                <w:sz w:val="20"/>
                <w:szCs w:val="20"/>
                <w:lang w:val="en-GB"/>
              </w:rPr>
            </w:pPr>
            <w:r w:rsidRPr="006A0D0F">
              <w:rPr>
                <w:sz w:val="20"/>
                <w:szCs w:val="20"/>
                <w:lang w:val="en-GB"/>
              </w:rPr>
              <w:t>0.98</w:t>
            </w:r>
          </w:p>
        </w:tc>
        <w:tc>
          <w:tcPr>
            <w:tcW w:w="586" w:type="pct"/>
            <w:shd w:val="clear" w:color="auto" w:fill="FFFFFF" w:themeFill="background1"/>
          </w:tcPr>
          <w:p w14:paraId="7A2A6208" w14:textId="2BC56F48" w:rsidR="00F2381C" w:rsidRPr="006A0D0F" w:rsidRDefault="00F2381C" w:rsidP="00465412">
            <w:pPr>
              <w:pStyle w:val="TableText0"/>
              <w:keepNext w:val="0"/>
              <w:jc w:val="center"/>
              <w:rPr>
                <w:i/>
                <w:sz w:val="20"/>
                <w:szCs w:val="20"/>
                <w:lang w:val="en-GB"/>
              </w:rPr>
            </w:pPr>
            <w:r w:rsidRPr="006A0D0F">
              <w:rPr>
                <w:sz w:val="20"/>
                <w:szCs w:val="20"/>
                <w:lang w:val="en-GB"/>
              </w:rPr>
              <w:t>$</w:t>
            </w:r>
            <w:r w:rsidR="001172C3" w:rsidRPr="001172C3">
              <w:rPr>
                <w:color w:val="000000"/>
                <w:spacing w:val="65"/>
                <w:sz w:val="20"/>
                <w:szCs w:val="20"/>
                <w:shd w:val="solid" w:color="000000" w:fill="000000"/>
                <w:fitText w:val="368" w:id="-1234435320"/>
                <w:lang w:val="en-GB"/>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320"/>
                <w:lang w:val="en-GB"/>
                <w14:textFill>
                  <w14:solidFill>
                    <w14:srgbClr w14:val="000000">
                      <w14:alpha w14:val="100000"/>
                    </w14:srgbClr>
                  </w14:solidFill>
                </w14:textFill>
              </w:rPr>
              <w:t>|</w:t>
            </w:r>
            <w:r w:rsidR="00C733FB">
              <w:rPr>
                <w:sz w:val="20"/>
                <w:szCs w:val="20"/>
                <w:vertAlign w:val="superscript"/>
                <w:lang w:val="en-GB"/>
              </w:rPr>
              <w:t>1</w:t>
            </w:r>
          </w:p>
        </w:tc>
        <w:tc>
          <w:tcPr>
            <w:tcW w:w="780" w:type="pct"/>
            <w:shd w:val="clear" w:color="auto" w:fill="FFFFFF" w:themeFill="background1"/>
          </w:tcPr>
          <w:p w14:paraId="46FFC458" w14:textId="77777777" w:rsidR="00F2381C" w:rsidRPr="006A0D0F" w:rsidRDefault="00F2381C" w:rsidP="00465412">
            <w:pPr>
              <w:pStyle w:val="TableText0"/>
              <w:keepNext w:val="0"/>
              <w:jc w:val="center"/>
              <w:rPr>
                <w:i/>
                <w:sz w:val="20"/>
                <w:szCs w:val="20"/>
                <w:lang w:val="en-GB"/>
              </w:rPr>
            </w:pPr>
            <w:r w:rsidRPr="006A0D0F">
              <w:rPr>
                <w:sz w:val="20"/>
                <w:szCs w:val="20"/>
                <w:lang w:val="en-GB"/>
              </w:rPr>
              <w:t>4.03%</w:t>
            </w:r>
          </w:p>
        </w:tc>
      </w:tr>
      <w:tr w:rsidR="00F2381C" w:rsidRPr="006A0D0F" w14:paraId="4A2A4934" w14:textId="77777777" w:rsidTr="00284191">
        <w:tc>
          <w:tcPr>
            <w:tcW w:w="5000" w:type="pct"/>
            <w:gridSpan w:val="6"/>
            <w:shd w:val="clear" w:color="auto" w:fill="FFFFFF" w:themeFill="background1"/>
          </w:tcPr>
          <w:p w14:paraId="1CD59E65" w14:textId="77777777" w:rsidR="00F2381C" w:rsidRPr="006A0D0F" w:rsidRDefault="00F2381C" w:rsidP="00465412">
            <w:pPr>
              <w:pStyle w:val="TableText0"/>
              <w:keepNext w:val="0"/>
              <w:rPr>
                <w:sz w:val="20"/>
                <w:szCs w:val="20"/>
                <w:lang w:val="en-GB"/>
              </w:rPr>
            </w:pPr>
            <w:r w:rsidRPr="006A0D0F">
              <w:rPr>
                <w:b/>
                <w:bCs w:val="0"/>
                <w:sz w:val="20"/>
                <w:szCs w:val="20"/>
                <w:lang w:val="en-GB"/>
              </w:rPr>
              <w:t>Transition from LR to death (base case = derived from the post-LR survival data in the key trial)</w:t>
            </w:r>
          </w:p>
        </w:tc>
      </w:tr>
      <w:tr w:rsidR="00F2381C" w:rsidRPr="006A0D0F" w14:paraId="7BB88AF5" w14:textId="77777777" w:rsidTr="004E2DB8">
        <w:tc>
          <w:tcPr>
            <w:tcW w:w="305" w:type="pct"/>
            <w:shd w:val="clear" w:color="auto" w:fill="FFFFFF" w:themeFill="background1"/>
          </w:tcPr>
          <w:p w14:paraId="534738CA" w14:textId="77777777" w:rsidR="00F2381C" w:rsidRPr="006A0D0F" w:rsidRDefault="00F2381C" w:rsidP="00465412">
            <w:pPr>
              <w:pStyle w:val="TableText0"/>
              <w:keepNext w:val="0"/>
              <w:contextualSpacing/>
              <w:rPr>
                <w:sz w:val="20"/>
                <w:szCs w:val="20"/>
                <w:lang w:val="en-GB"/>
              </w:rPr>
            </w:pPr>
            <w:r w:rsidRPr="006A0D0F">
              <w:rPr>
                <w:sz w:val="20"/>
                <w:szCs w:val="20"/>
                <w:lang w:val="en-GB"/>
              </w:rPr>
              <w:t>5</w:t>
            </w:r>
          </w:p>
        </w:tc>
        <w:tc>
          <w:tcPr>
            <w:tcW w:w="1845" w:type="pct"/>
            <w:shd w:val="clear" w:color="auto" w:fill="FFFFFF" w:themeFill="background1"/>
          </w:tcPr>
          <w:p w14:paraId="6E5A829C" w14:textId="77777777" w:rsidR="00F2381C" w:rsidRPr="006A0D0F" w:rsidRDefault="00F2381C" w:rsidP="00465412">
            <w:pPr>
              <w:pStyle w:val="TableText0"/>
              <w:keepNext w:val="0"/>
              <w:contextualSpacing/>
              <w:rPr>
                <w:sz w:val="20"/>
                <w:szCs w:val="20"/>
                <w:vertAlign w:val="superscript"/>
                <w:lang w:val="en-GB"/>
              </w:rPr>
            </w:pPr>
            <w:r w:rsidRPr="006A0D0F">
              <w:rPr>
                <w:sz w:val="20"/>
                <w:szCs w:val="20"/>
                <w:lang w:val="en-GB"/>
              </w:rPr>
              <w:t>Nil transition from LR to death</w:t>
            </w:r>
            <w:r w:rsidRPr="006A0D0F">
              <w:rPr>
                <w:sz w:val="20"/>
                <w:szCs w:val="20"/>
                <w:vertAlign w:val="superscript"/>
                <w:lang w:val="en-GB"/>
              </w:rPr>
              <w:t>a</w:t>
            </w:r>
          </w:p>
        </w:tc>
        <w:tc>
          <w:tcPr>
            <w:tcW w:w="742" w:type="pct"/>
            <w:shd w:val="clear" w:color="auto" w:fill="FFFFFF" w:themeFill="background1"/>
          </w:tcPr>
          <w:p w14:paraId="215183B9" w14:textId="14B3B563" w:rsidR="00F2381C" w:rsidRPr="006A0D0F" w:rsidRDefault="00F2381C" w:rsidP="00465412">
            <w:pPr>
              <w:pStyle w:val="TableText0"/>
              <w:keepNext w:val="0"/>
              <w:jc w:val="center"/>
              <w:rPr>
                <w:sz w:val="20"/>
                <w:szCs w:val="20"/>
                <w:lang w:val="en-GB"/>
              </w:rPr>
            </w:pPr>
            <w:r w:rsidRPr="006A0D0F">
              <w:rPr>
                <w:sz w:val="20"/>
                <w:szCs w:val="20"/>
              </w:rPr>
              <w:t>$</w:t>
            </w:r>
            <w:r w:rsidR="001172C3" w:rsidRPr="001172C3">
              <w:rPr>
                <w:color w:val="000000"/>
                <w:spacing w:val="110"/>
                <w:sz w:val="20"/>
                <w:szCs w:val="20"/>
                <w:shd w:val="solid" w:color="000000" w:fill="000000"/>
                <w:fitText w:val="196" w:id="-1234435319"/>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319"/>
                <w14:textFill>
                  <w14:solidFill>
                    <w14:srgbClr w14:val="000000">
                      <w14:alpha w14:val="100000"/>
                    </w14:srgbClr>
                  </w14:solidFill>
                </w14:textFill>
              </w:rPr>
              <w:t>|</w:t>
            </w:r>
          </w:p>
        </w:tc>
        <w:tc>
          <w:tcPr>
            <w:tcW w:w="742" w:type="pct"/>
            <w:shd w:val="clear" w:color="auto" w:fill="FFFFFF" w:themeFill="background1"/>
          </w:tcPr>
          <w:p w14:paraId="4F371D28" w14:textId="77777777" w:rsidR="00F2381C" w:rsidRPr="006A0D0F" w:rsidRDefault="00F2381C" w:rsidP="00465412">
            <w:pPr>
              <w:pStyle w:val="TableText0"/>
              <w:keepNext w:val="0"/>
              <w:jc w:val="center"/>
              <w:rPr>
                <w:sz w:val="20"/>
                <w:szCs w:val="20"/>
                <w:lang w:val="en-GB"/>
              </w:rPr>
            </w:pPr>
            <w:r w:rsidRPr="006A0D0F">
              <w:rPr>
                <w:sz w:val="20"/>
                <w:szCs w:val="20"/>
              </w:rPr>
              <w:t>0.89</w:t>
            </w:r>
          </w:p>
        </w:tc>
        <w:tc>
          <w:tcPr>
            <w:tcW w:w="586" w:type="pct"/>
            <w:shd w:val="clear" w:color="auto" w:fill="FFFFFF" w:themeFill="background1"/>
          </w:tcPr>
          <w:p w14:paraId="10667647" w14:textId="6A2C3B9F" w:rsidR="00F2381C" w:rsidRPr="00CA49DA" w:rsidRDefault="00F2381C" w:rsidP="00465412">
            <w:pPr>
              <w:pStyle w:val="TableText0"/>
              <w:keepNext w:val="0"/>
              <w:jc w:val="center"/>
              <w:rPr>
                <w:sz w:val="20"/>
                <w:szCs w:val="20"/>
                <w:highlight w:val="darkGray"/>
                <w:lang w:val="en-GB"/>
              </w:rPr>
            </w:pPr>
            <w:r w:rsidRPr="00CA49DA">
              <w:rPr>
                <w:sz w:val="20"/>
                <w:szCs w:val="20"/>
              </w:rPr>
              <w:t>$</w:t>
            </w:r>
            <w:r w:rsidR="001172C3" w:rsidRPr="001172C3">
              <w:rPr>
                <w:color w:val="000000"/>
                <w:spacing w:val="65"/>
                <w:sz w:val="20"/>
                <w:szCs w:val="20"/>
                <w:shd w:val="solid" w:color="000000" w:fill="000000"/>
                <w:fitText w:val="368" w:id="-1234435318"/>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318"/>
                <w14:textFill>
                  <w14:solidFill>
                    <w14:srgbClr w14:val="000000">
                      <w14:alpha w14:val="100000"/>
                    </w14:srgbClr>
                  </w14:solidFill>
                </w14:textFill>
              </w:rPr>
              <w:t>|</w:t>
            </w:r>
            <w:r w:rsidR="00C733FB" w:rsidRPr="00CA49DA">
              <w:rPr>
                <w:sz w:val="20"/>
                <w:szCs w:val="20"/>
                <w:vertAlign w:val="superscript"/>
                <w:lang w:val="en-GB"/>
              </w:rPr>
              <w:t>1</w:t>
            </w:r>
          </w:p>
        </w:tc>
        <w:tc>
          <w:tcPr>
            <w:tcW w:w="780" w:type="pct"/>
            <w:shd w:val="clear" w:color="auto" w:fill="FFFFFF" w:themeFill="background1"/>
          </w:tcPr>
          <w:p w14:paraId="45D4471A" w14:textId="77777777" w:rsidR="00F2381C" w:rsidRPr="006A0D0F" w:rsidRDefault="00F2381C" w:rsidP="00465412">
            <w:pPr>
              <w:pStyle w:val="TableText0"/>
              <w:keepNext w:val="0"/>
              <w:jc w:val="center"/>
              <w:rPr>
                <w:sz w:val="20"/>
                <w:szCs w:val="20"/>
                <w:lang w:val="en-GB"/>
              </w:rPr>
            </w:pPr>
            <w:r w:rsidRPr="006A0D0F">
              <w:rPr>
                <w:sz w:val="20"/>
                <w:szCs w:val="20"/>
              </w:rPr>
              <w:t>5.68%</w:t>
            </w:r>
          </w:p>
        </w:tc>
      </w:tr>
      <w:tr w:rsidR="00F2381C" w:rsidRPr="006A0D0F" w14:paraId="31C1BE48" w14:textId="77777777" w:rsidTr="00284191">
        <w:tc>
          <w:tcPr>
            <w:tcW w:w="5000" w:type="pct"/>
            <w:gridSpan w:val="6"/>
            <w:shd w:val="clear" w:color="auto" w:fill="FFFFFF" w:themeFill="background1"/>
          </w:tcPr>
          <w:p w14:paraId="71B7C306" w14:textId="77777777" w:rsidR="00F2381C" w:rsidRPr="006A0D0F" w:rsidRDefault="00F2381C" w:rsidP="00465412">
            <w:pPr>
              <w:pStyle w:val="TableText0"/>
              <w:keepNext w:val="0"/>
              <w:rPr>
                <w:b/>
                <w:sz w:val="20"/>
                <w:szCs w:val="20"/>
                <w:lang w:val="en-GB"/>
              </w:rPr>
            </w:pPr>
            <w:r w:rsidRPr="006A0D0F">
              <w:rPr>
                <w:b/>
                <w:sz w:val="20"/>
                <w:szCs w:val="20"/>
                <w:lang w:val="en-GB"/>
              </w:rPr>
              <w:t>Health state utility (base case = 0.850 in EFS and 0.796 in LR)</w:t>
            </w:r>
          </w:p>
        </w:tc>
      </w:tr>
      <w:tr w:rsidR="00F2381C" w:rsidRPr="006A0D0F" w14:paraId="04E55233" w14:textId="77777777" w:rsidTr="004E2DB8">
        <w:tc>
          <w:tcPr>
            <w:tcW w:w="305" w:type="pct"/>
            <w:shd w:val="clear" w:color="auto" w:fill="FFFFFF" w:themeFill="background1"/>
          </w:tcPr>
          <w:p w14:paraId="70ADA8CB" w14:textId="77777777" w:rsidR="00F2381C" w:rsidRPr="006A0D0F" w:rsidRDefault="00F2381C" w:rsidP="00465412">
            <w:pPr>
              <w:pStyle w:val="TableText0"/>
              <w:keepNext w:val="0"/>
              <w:contextualSpacing/>
              <w:rPr>
                <w:sz w:val="20"/>
                <w:szCs w:val="20"/>
                <w:lang w:val="en-GB"/>
              </w:rPr>
            </w:pPr>
            <w:r w:rsidRPr="006A0D0F">
              <w:rPr>
                <w:sz w:val="20"/>
                <w:szCs w:val="20"/>
                <w:lang w:val="en-GB"/>
              </w:rPr>
              <w:t>6</w:t>
            </w:r>
          </w:p>
        </w:tc>
        <w:tc>
          <w:tcPr>
            <w:tcW w:w="1845" w:type="pct"/>
            <w:shd w:val="clear" w:color="auto" w:fill="FFFFFF" w:themeFill="background1"/>
          </w:tcPr>
          <w:p w14:paraId="51316F61" w14:textId="77777777" w:rsidR="00F2381C" w:rsidRPr="006A0D0F" w:rsidRDefault="00F2381C" w:rsidP="00465412">
            <w:pPr>
              <w:pStyle w:val="TableText0"/>
              <w:keepNext w:val="0"/>
              <w:contextualSpacing/>
              <w:rPr>
                <w:sz w:val="20"/>
                <w:szCs w:val="20"/>
                <w:lang w:val="en-GB"/>
              </w:rPr>
            </w:pPr>
            <w:r w:rsidRPr="006A0D0F">
              <w:rPr>
                <w:sz w:val="20"/>
                <w:szCs w:val="20"/>
                <w:lang w:val="en-GB"/>
              </w:rPr>
              <w:t>0.76 in EFS and 0.74 in LR, based on data from Grutters et al 2010</w:t>
            </w:r>
            <w:r w:rsidRPr="006A0D0F">
              <w:rPr>
                <w:sz w:val="20"/>
                <w:szCs w:val="20"/>
                <w:vertAlign w:val="superscript"/>
                <w:lang w:val="en-GB"/>
              </w:rPr>
              <w:t>a</w:t>
            </w:r>
          </w:p>
        </w:tc>
        <w:tc>
          <w:tcPr>
            <w:tcW w:w="742" w:type="pct"/>
            <w:shd w:val="clear" w:color="auto" w:fill="FFFFFF" w:themeFill="background1"/>
          </w:tcPr>
          <w:p w14:paraId="708AAAFC" w14:textId="2344A172" w:rsidR="00F2381C" w:rsidRPr="006A0D0F" w:rsidRDefault="00F2381C" w:rsidP="00465412">
            <w:pPr>
              <w:pStyle w:val="TableText0"/>
              <w:keepNext w:val="0"/>
              <w:jc w:val="center"/>
              <w:rPr>
                <w:sz w:val="20"/>
                <w:szCs w:val="20"/>
                <w:lang w:val="en-GB"/>
              </w:rPr>
            </w:pPr>
            <w:r w:rsidRPr="006A0D0F">
              <w:rPr>
                <w:sz w:val="20"/>
                <w:szCs w:val="20"/>
              </w:rPr>
              <w:t>$</w:t>
            </w:r>
            <w:r w:rsidR="001172C3" w:rsidRPr="001172C3">
              <w:rPr>
                <w:color w:val="000000"/>
                <w:spacing w:val="110"/>
                <w:sz w:val="20"/>
                <w:szCs w:val="20"/>
                <w:shd w:val="solid" w:color="000000" w:fill="000000"/>
                <w:fitText w:val="196" w:id="-1234435317"/>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317"/>
                <w14:textFill>
                  <w14:solidFill>
                    <w14:srgbClr w14:val="000000">
                      <w14:alpha w14:val="100000"/>
                    </w14:srgbClr>
                  </w14:solidFill>
                </w14:textFill>
              </w:rPr>
              <w:t>|</w:t>
            </w:r>
          </w:p>
        </w:tc>
        <w:tc>
          <w:tcPr>
            <w:tcW w:w="742" w:type="pct"/>
            <w:shd w:val="clear" w:color="auto" w:fill="FFFFFF" w:themeFill="background1"/>
          </w:tcPr>
          <w:p w14:paraId="12CE8215" w14:textId="77777777" w:rsidR="00F2381C" w:rsidRPr="006A0D0F" w:rsidRDefault="00F2381C" w:rsidP="00465412">
            <w:pPr>
              <w:pStyle w:val="TableText0"/>
              <w:keepNext w:val="0"/>
              <w:jc w:val="center"/>
              <w:rPr>
                <w:sz w:val="20"/>
                <w:szCs w:val="20"/>
                <w:lang w:val="en-GB"/>
              </w:rPr>
            </w:pPr>
            <w:r w:rsidRPr="006A0D0F">
              <w:rPr>
                <w:sz w:val="20"/>
                <w:szCs w:val="20"/>
              </w:rPr>
              <w:t>0.90</w:t>
            </w:r>
          </w:p>
        </w:tc>
        <w:tc>
          <w:tcPr>
            <w:tcW w:w="586" w:type="pct"/>
            <w:shd w:val="clear" w:color="auto" w:fill="FFFFFF" w:themeFill="background1"/>
          </w:tcPr>
          <w:p w14:paraId="17610EE9" w14:textId="0F259346" w:rsidR="00F2381C" w:rsidRPr="006A0D0F" w:rsidRDefault="00F2381C" w:rsidP="00465412">
            <w:pPr>
              <w:pStyle w:val="TableText0"/>
              <w:keepNext w:val="0"/>
              <w:jc w:val="center"/>
              <w:rPr>
                <w:sz w:val="20"/>
                <w:szCs w:val="20"/>
                <w:lang w:val="en-GB"/>
              </w:rPr>
            </w:pPr>
            <w:r w:rsidRPr="006A0D0F">
              <w:rPr>
                <w:sz w:val="20"/>
                <w:szCs w:val="20"/>
              </w:rPr>
              <w:t>$</w:t>
            </w:r>
            <w:r w:rsidR="001172C3" w:rsidRPr="001172C3">
              <w:rPr>
                <w:color w:val="000000"/>
                <w:spacing w:val="65"/>
                <w:sz w:val="20"/>
                <w:szCs w:val="20"/>
                <w:shd w:val="solid" w:color="000000" w:fill="000000"/>
                <w:fitText w:val="368" w:id="-1234435316"/>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316"/>
                <w14:textFill>
                  <w14:solidFill>
                    <w14:srgbClr w14:val="000000">
                      <w14:alpha w14:val="100000"/>
                    </w14:srgbClr>
                  </w14:solidFill>
                </w14:textFill>
              </w:rPr>
              <w:t>|</w:t>
            </w:r>
            <w:r w:rsidR="00C733FB">
              <w:rPr>
                <w:sz w:val="20"/>
                <w:szCs w:val="20"/>
                <w:vertAlign w:val="superscript"/>
                <w:lang w:val="en-GB"/>
              </w:rPr>
              <w:t>3</w:t>
            </w:r>
          </w:p>
        </w:tc>
        <w:tc>
          <w:tcPr>
            <w:tcW w:w="780" w:type="pct"/>
            <w:shd w:val="clear" w:color="auto" w:fill="FFFFFF" w:themeFill="background1"/>
          </w:tcPr>
          <w:p w14:paraId="0185CBBA" w14:textId="77777777" w:rsidR="00F2381C" w:rsidRPr="006A0D0F" w:rsidRDefault="00F2381C" w:rsidP="00465412">
            <w:pPr>
              <w:pStyle w:val="TableText0"/>
              <w:keepNext w:val="0"/>
              <w:jc w:val="center"/>
              <w:rPr>
                <w:sz w:val="20"/>
                <w:szCs w:val="20"/>
                <w:lang w:val="en-GB"/>
              </w:rPr>
            </w:pPr>
            <w:r w:rsidRPr="006A0D0F">
              <w:rPr>
                <w:sz w:val="20"/>
                <w:szCs w:val="20"/>
              </w:rPr>
              <w:t>14.35%</w:t>
            </w:r>
          </w:p>
        </w:tc>
      </w:tr>
      <w:tr w:rsidR="00F2381C" w:rsidRPr="006A0D0F" w14:paraId="4AF5B393" w14:textId="77777777" w:rsidTr="00284191">
        <w:tc>
          <w:tcPr>
            <w:tcW w:w="5000" w:type="pct"/>
            <w:gridSpan w:val="6"/>
            <w:shd w:val="clear" w:color="auto" w:fill="FFFFFF" w:themeFill="background1"/>
          </w:tcPr>
          <w:p w14:paraId="6C8F27C5" w14:textId="77777777" w:rsidR="00F2381C" w:rsidRPr="006A0D0F" w:rsidRDefault="00F2381C" w:rsidP="00465412">
            <w:pPr>
              <w:pStyle w:val="TableText0"/>
              <w:keepNext w:val="0"/>
              <w:rPr>
                <w:b/>
                <w:sz w:val="20"/>
                <w:szCs w:val="20"/>
                <w:lang w:val="en-GB"/>
              </w:rPr>
            </w:pPr>
            <w:r w:rsidRPr="006A0D0F">
              <w:rPr>
                <w:b/>
                <w:bCs w:val="0"/>
                <w:sz w:val="20"/>
                <w:szCs w:val="20"/>
                <w:lang w:val="en-GB"/>
              </w:rPr>
              <w:t>One-off weighted costs applied to DM (base case = $77,065)</w:t>
            </w:r>
          </w:p>
        </w:tc>
      </w:tr>
      <w:tr w:rsidR="00F2381C" w:rsidRPr="006A0D0F" w14:paraId="081C9E86" w14:textId="77777777" w:rsidTr="004E2DB8">
        <w:tc>
          <w:tcPr>
            <w:tcW w:w="305" w:type="pct"/>
            <w:shd w:val="clear" w:color="auto" w:fill="FFFFFF" w:themeFill="background1"/>
          </w:tcPr>
          <w:p w14:paraId="4EF6E47F" w14:textId="77777777" w:rsidR="00F2381C" w:rsidRPr="006A0D0F" w:rsidRDefault="00F2381C" w:rsidP="00465412">
            <w:pPr>
              <w:pStyle w:val="TableText0"/>
              <w:keepNext w:val="0"/>
              <w:contextualSpacing/>
              <w:rPr>
                <w:sz w:val="20"/>
                <w:szCs w:val="20"/>
                <w:lang w:val="en-GB"/>
              </w:rPr>
            </w:pPr>
            <w:r w:rsidRPr="006A0D0F">
              <w:rPr>
                <w:sz w:val="20"/>
                <w:szCs w:val="20"/>
                <w:lang w:val="en-GB"/>
              </w:rPr>
              <w:t>7a</w:t>
            </w:r>
          </w:p>
        </w:tc>
        <w:tc>
          <w:tcPr>
            <w:tcW w:w="1845" w:type="pct"/>
            <w:shd w:val="clear" w:color="auto" w:fill="FFFFFF" w:themeFill="background1"/>
          </w:tcPr>
          <w:p w14:paraId="70A8AAA9" w14:textId="77777777" w:rsidR="00F2381C" w:rsidRPr="006A0D0F" w:rsidRDefault="00F2381C" w:rsidP="00465412">
            <w:pPr>
              <w:pStyle w:val="TableText0"/>
              <w:keepNext w:val="0"/>
              <w:contextualSpacing/>
              <w:rPr>
                <w:sz w:val="20"/>
                <w:szCs w:val="20"/>
                <w:lang w:val="en-GB"/>
              </w:rPr>
            </w:pPr>
            <w:r w:rsidRPr="006A0D0F">
              <w:rPr>
                <w:sz w:val="20"/>
                <w:szCs w:val="20"/>
                <w:lang w:val="en-GB"/>
              </w:rPr>
              <w:t>$50,000</w:t>
            </w:r>
            <w:r w:rsidRPr="006A0D0F">
              <w:rPr>
                <w:sz w:val="20"/>
                <w:szCs w:val="20"/>
                <w:vertAlign w:val="superscript"/>
                <w:lang w:val="en-GB"/>
              </w:rPr>
              <w:t>a</w:t>
            </w:r>
          </w:p>
        </w:tc>
        <w:tc>
          <w:tcPr>
            <w:tcW w:w="742" w:type="pct"/>
            <w:shd w:val="clear" w:color="auto" w:fill="FFFFFF" w:themeFill="background1"/>
          </w:tcPr>
          <w:p w14:paraId="11A7FD06" w14:textId="721D8DAB" w:rsidR="00F2381C" w:rsidRPr="006A0D0F" w:rsidRDefault="00F2381C" w:rsidP="00465412">
            <w:pPr>
              <w:pStyle w:val="TableText0"/>
              <w:keepNext w:val="0"/>
              <w:jc w:val="center"/>
              <w:rPr>
                <w:sz w:val="20"/>
                <w:szCs w:val="20"/>
                <w:lang w:val="en-GB"/>
              </w:rPr>
            </w:pPr>
            <w:r w:rsidRPr="006A0D0F">
              <w:rPr>
                <w:sz w:val="20"/>
                <w:szCs w:val="20"/>
              </w:rPr>
              <w:t>$</w:t>
            </w:r>
            <w:r w:rsidR="001172C3" w:rsidRPr="001172C3">
              <w:rPr>
                <w:color w:val="000000"/>
                <w:spacing w:val="110"/>
                <w:sz w:val="20"/>
                <w:szCs w:val="20"/>
                <w:shd w:val="solid" w:color="000000" w:fill="000000"/>
                <w:fitText w:val="196" w:id="-1234435315"/>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315"/>
                <w14:textFill>
                  <w14:solidFill>
                    <w14:srgbClr w14:val="000000">
                      <w14:alpha w14:val="100000"/>
                    </w14:srgbClr>
                  </w14:solidFill>
                </w14:textFill>
              </w:rPr>
              <w:t>|</w:t>
            </w:r>
          </w:p>
        </w:tc>
        <w:tc>
          <w:tcPr>
            <w:tcW w:w="742" w:type="pct"/>
            <w:shd w:val="clear" w:color="auto" w:fill="FFFFFF" w:themeFill="background1"/>
          </w:tcPr>
          <w:p w14:paraId="74A28ABF" w14:textId="77777777" w:rsidR="00F2381C" w:rsidRPr="006A0D0F" w:rsidRDefault="00F2381C" w:rsidP="00465412">
            <w:pPr>
              <w:pStyle w:val="TableText0"/>
              <w:keepNext w:val="0"/>
              <w:jc w:val="center"/>
              <w:rPr>
                <w:sz w:val="20"/>
                <w:szCs w:val="20"/>
                <w:lang w:val="en-GB"/>
              </w:rPr>
            </w:pPr>
            <w:r w:rsidRPr="006A0D0F">
              <w:rPr>
                <w:sz w:val="20"/>
                <w:szCs w:val="20"/>
              </w:rPr>
              <w:t>1.03</w:t>
            </w:r>
          </w:p>
        </w:tc>
        <w:tc>
          <w:tcPr>
            <w:tcW w:w="586" w:type="pct"/>
            <w:shd w:val="clear" w:color="auto" w:fill="FFFFFF" w:themeFill="background1"/>
          </w:tcPr>
          <w:p w14:paraId="1AB1AABD" w14:textId="30973977" w:rsidR="00F2381C" w:rsidRPr="006A0D0F" w:rsidRDefault="00F2381C" w:rsidP="00465412">
            <w:pPr>
              <w:pStyle w:val="TableText0"/>
              <w:keepNext w:val="0"/>
              <w:jc w:val="center"/>
              <w:rPr>
                <w:sz w:val="20"/>
                <w:szCs w:val="20"/>
                <w:lang w:val="en-GB"/>
              </w:rPr>
            </w:pPr>
            <w:r w:rsidRPr="006A0D0F">
              <w:rPr>
                <w:sz w:val="20"/>
                <w:szCs w:val="20"/>
              </w:rPr>
              <w:t>$</w:t>
            </w:r>
            <w:r w:rsidR="001172C3" w:rsidRPr="001172C3">
              <w:rPr>
                <w:color w:val="000000"/>
                <w:spacing w:val="65"/>
                <w:sz w:val="20"/>
                <w:szCs w:val="20"/>
                <w:shd w:val="solid" w:color="000000" w:fill="000000"/>
                <w:fitText w:val="368" w:id="-1234435314"/>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314"/>
                <w14:textFill>
                  <w14:solidFill>
                    <w14:srgbClr w14:val="000000">
                      <w14:alpha w14:val="100000"/>
                    </w14:srgbClr>
                  </w14:solidFill>
                </w14:textFill>
              </w:rPr>
              <w:t>|</w:t>
            </w:r>
            <w:r w:rsidR="00C733FB">
              <w:rPr>
                <w:sz w:val="20"/>
                <w:szCs w:val="20"/>
                <w:vertAlign w:val="superscript"/>
                <w:lang w:val="en-GB"/>
              </w:rPr>
              <w:t>3</w:t>
            </w:r>
          </w:p>
        </w:tc>
        <w:tc>
          <w:tcPr>
            <w:tcW w:w="780" w:type="pct"/>
            <w:shd w:val="clear" w:color="auto" w:fill="FFFFFF" w:themeFill="background1"/>
          </w:tcPr>
          <w:p w14:paraId="2CEFD71F" w14:textId="77777777" w:rsidR="00F2381C" w:rsidRPr="006A0D0F" w:rsidRDefault="00F2381C" w:rsidP="00465412">
            <w:pPr>
              <w:pStyle w:val="TableText0"/>
              <w:keepNext w:val="0"/>
              <w:jc w:val="center"/>
              <w:rPr>
                <w:sz w:val="20"/>
                <w:szCs w:val="20"/>
                <w:lang w:val="en-GB"/>
              </w:rPr>
            </w:pPr>
            <w:r w:rsidRPr="006A0D0F">
              <w:rPr>
                <w:sz w:val="20"/>
                <w:szCs w:val="20"/>
              </w:rPr>
              <w:t>9.21%</w:t>
            </w:r>
          </w:p>
        </w:tc>
      </w:tr>
      <w:tr w:rsidR="00F2381C" w:rsidRPr="006A0D0F" w14:paraId="5B73B200" w14:textId="77777777" w:rsidTr="004E2DB8">
        <w:tc>
          <w:tcPr>
            <w:tcW w:w="305" w:type="pct"/>
            <w:shd w:val="clear" w:color="auto" w:fill="FFFFFF" w:themeFill="background1"/>
          </w:tcPr>
          <w:p w14:paraId="4CFA417D" w14:textId="77777777" w:rsidR="00F2381C" w:rsidRPr="006A0D0F" w:rsidRDefault="00F2381C" w:rsidP="00465412">
            <w:pPr>
              <w:pStyle w:val="TableText0"/>
              <w:keepNext w:val="0"/>
              <w:contextualSpacing/>
              <w:rPr>
                <w:sz w:val="20"/>
                <w:szCs w:val="20"/>
                <w:lang w:val="en-GB"/>
              </w:rPr>
            </w:pPr>
            <w:r w:rsidRPr="006A0D0F">
              <w:rPr>
                <w:sz w:val="20"/>
                <w:szCs w:val="20"/>
                <w:lang w:val="en-GB"/>
              </w:rPr>
              <w:t>7d</w:t>
            </w:r>
          </w:p>
        </w:tc>
        <w:tc>
          <w:tcPr>
            <w:tcW w:w="1845" w:type="pct"/>
            <w:shd w:val="clear" w:color="auto" w:fill="FFFFFF" w:themeFill="background1"/>
          </w:tcPr>
          <w:p w14:paraId="37AF24D6" w14:textId="77777777" w:rsidR="00F2381C" w:rsidRPr="006A0D0F" w:rsidRDefault="00F2381C" w:rsidP="00465412">
            <w:pPr>
              <w:pStyle w:val="TableText0"/>
              <w:keepNext w:val="0"/>
              <w:contextualSpacing/>
              <w:rPr>
                <w:sz w:val="20"/>
                <w:szCs w:val="20"/>
                <w:lang w:val="en-GB"/>
              </w:rPr>
            </w:pPr>
            <w:r w:rsidRPr="006A0D0F">
              <w:rPr>
                <w:sz w:val="20"/>
                <w:szCs w:val="20"/>
                <w:lang w:val="en-GB"/>
              </w:rPr>
              <w:t>$100,000</w:t>
            </w:r>
            <w:r w:rsidRPr="006A0D0F">
              <w:rPr>
                <w:sz w:val="20"/>
                <w:szCs w:val="20"/>
                <w:vertAlign w:val="superscript"/>
                <w:lang w:val="en-GB"/>
              </w:rPr>
              <w:t>a</w:t>
            </w:r>
          </w:p>
        </w:tc>
        <w:tc>
          <w:tcPr>
            <w:tcW w:w="742" w:type="pct"/>
            <w:shd w:val="clear" w:color="auto" w:fill="FFFFFF" w:themeFill="background1"/>
          </w:tcPr>
          <w:p w14:paraId="55250A12" w14:textId="2230D25F" w:rsidR="00F2381C" w:rsidRPr="006A0D0F" w:rsidRDefault="00F2381C" w:rsidP="00465412">
            <w:pPr>
              <w:pStyle w:val="TableText0"/>
              <w:keepNext w:val="0"/>
              <w:jc w:val="center"/>
              <w:rPr>
                <w:sz w:val="20"/>
                <w:szCs w:val="20"/>
                <w:lang w:val="en-GB"/>
              </w:rPr>
            </w:pPr>
            <w:r w:rsidRPr="006A0D0F">
              <w:rPr>
                <w:sz w:val="20"/>
                <w:szCs w:val="20"/>
              </w:rPr>
              <w:t>$</w:t>
            </w:r>
            <w:r w:rsidR="001172C3" w:rsidRPr="001172C3">
              <w:rPr>
                <w:color w:val="000000"/>
                <w:spacing w:val="110"/>
                <w:sz w:val="20"/>
                <w:szCs w:val="20"/>
                <w:shd w:val="solid" w:color="000000" w:fill="000000"/>
                <w:fitText w:val="196" w:id="-1234435313"/>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313"/>
                <w14:textFill>
                  <w14:solidFill>
                    <w14:srgbClr w14:val="000000">
                      <w14:alpha w14:val="100000"/>
                    </w14:srgbClr>
                  </w14:solidFill>
                </w14:textFill>
              </w:rPr>
              <w:t>|</w:t>
            </w:r>
          </w:p>
        </w:tc>
        <w:tc>
          <w:tcPr>
            <w:tcW w:w="742" w:type="pct"/>
            <w:shd w:val="clear" w:color="auto" w:fill="FFFFFF" w:themeFill="background1"/>
          </w:tcPr>
          <w:p w14:paraId="090036B3" w14:textId="77777777" w:rsidR="00F2381C" w:rsidRPr="006A0D0F" w:rsidRDefault="00F2381C" w:rsidP="00465412">
            <w:pPr>
              <w:pStyle w:val="TableText0"/>
              <w:keepNext w:val="0"/>
              <w:jc w:val="center"/>
              <w:rPr>
                <w:sz w:val="20"/>
                <w:szCs w:val="20"/>
                <w:lang w:val="en-GB"/>
              </w:rPr>
            </w:pPr>
            <w:r w:rsidRPr="006A0D0F">
              <w:rPr>
                <w:sz w:val="20"/>
                <w:szCs w:val="20"/>
              </w:rPr>
              <w:t>1.03</w:t>
            </w:r>
          </w:p>
        </w:tc>
        <w:tc>
          <w:tcPr>
            <w:tcW w:w="586" w:type="pct"/>
            <w:shd w:val="clear" w:color="auto" w:fill="FFFFFF" w:themeFill="background1"/>
          </w:tcPr>
          <w:p w14:paraId="683F228E" w14:textId="1FCFBB33" w:rsidR="00F2381C" w:rsidRPr="006A0D0F" w:rsidRDefault="00F2381C" w:rsidP="00465412">
            <w:pPr>
              <w:pStyle w:val="TableText0"/>
              <w:keepNext w:val="0"/>
              <w:jc w:val="center"/>
              <w:rPr>
                <w:sz w:val="20"/>
                <w:szCs w:val="20"/>
                <w:lang w:val="en-GB"/>
              </w:rPr>
            </w:pPr>
            <w:r w:rsidRPr="006A0D0F">
              <w:rPr>
                <w:sz w:val="20"/>
                <w:szCs w:val="20"/>
              </w:rPr>
              <w:t>$</w:t>
            </w:r>
            <w:r w:rsidR="001172C3" w:rsidRPr="001172C3">
              <w:rPr>
                <w:color w:val="000000"/>
                <w:spacing w:val="65"/>
                <w:sz w:val="20"/>
                <w:szCs w:val="20"/>
                <w:shd w:val="solid" w:color="000000" w:fill="000000"/>
                <w:fitText w:val="368" w:id="-1234435312"/>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312"/>
                <w14:textFill>
                  <w14:solidFill>
                    <w14:srgbClr w14:val="000000">
                      <w14:alpha w14:val="100000"/>
                    </w14:srgbClr>
                  </w14:solidFill>
                </w14:textFill>
              </w:rPr>
              <w:t>|</w:t>
            </w:r>
            <w:r w:rsidR="00C733FB">
              <w:rPr>
                <w:sz w:val="20"/>
                <w:szCs w:val="20"/>
                <w:vertAlign w:val="superscript"/>
                <w:lang w:val="en-GB"/>
              </w:rPr>
              <w:t>1</w:t>
            </w:r>
          </w:p>
        </w:tc>
        <w:tc>
          <w:tcPr>
            <w:tcW w:w="780" w:type="pct"/>
            <w:shd w:val="clear" w:color="auto" w:fill="FFFFFF" w:themeFill="background1"/>
          </w:tcPr>
          <w:p w14:paraId="591D7DE5" w14:textId="77777777" w:rsidR="00F2381C" w:rsidRPr="006A0D0F" w:rsidRDefault="00F2381C" w:rsidP="00465412">
            <w:pPr>
              <w:pStyle w:val="TableText0"/>
              <w:keepNext w:val="0"/>
              <w:jc w:val="center"/>
              <w:rPr>
                <w:sz w:val="20"/>
                <w:szCs w:val="20"/>
                <w:lang w:val="en-GB"/>
              </w:rPr>
            </w:pPr>
            <w:r w:rsidRPr="006A0D0F">
              <w:rPr>
                <w:sz w:val="20"/>
                <w:szCs w:val="20"/>
              </w:rPr>
              <w:t>-7.80%</w:t>
            </w:r>
          </w:p>
        </w:tc>
      </w:tr>
      <w:tr w:rsidR="00F2381C" w:rsidRPr="006A0D0F" w14:paraId="5FDB236B" w14:textId="77777777" w:rsidTr="00284191">
        <w:tc>
          <w:tcPr>
            <w:tcW w:w="5000" w:type="pct"/>
            <w:gridSpan w:val="6"/>
            <w:shd w:val="clear" w:color="auto" w:fill="FFFFFF" w:themeFill="background1"/>
          </w:tcPr>
          <w:p w14:paraId="008094DA" w14:textId="77777777" w:rsidR="00F2381C" w:rsidRPr="006A0D0F" w:rsidRDefault="00F2381C" w:rsidP="00465412">
            <w:pPr>
              <w:pStyle w:val="TableText0"/>
              <w:keepNext w:val="0"/>
              <w:rPr>
                <w:b/>
                <w:sz w:val="20"/>
                <w:szCs w:val="20"/>
                <w:lang w:val="en-GB"/>
              </w:rPr>
            </w:pPr>
            <w:r w:rsidRPr="006A0D0F">
              <w:rPr>
                <w:b/>
                <w:bCs w:val="0"/>
                <w:sz w:val="20"/>
                <w:szCs w:val="20"/>
                <w:lang w:val="en-GB"/>
              </w:rPr>
              <w:t>One-off weighted QALYs applied to DM (base case = 1.357)</w:t>
            </w:r>
          </w:p>
        </w:tc>
      </w:tr>
      <w:tr w:rsidR="00F2381C" w:rsidRPr="006A0D0F" w14:paraId="6C57EE6F" w14:textId="77777777" w:rsidTr="004E2DB8">
        <w:tc>
          <w:tcPr>
            <w:tcW w:w="305" w:type="pct"/>
            <w:shd w:val="clear" w:color="auto" w:fill="FFFFFF" w:themeFill="background1"/>
          </w:tcPr>
          <w:p w14:paraId="74EAB0DC" w14:textId="77777777" w:rsidR="00F2381C" w:rsidRPr="006A0D0F" w:rsidRDefault="00F2381C" w:rsidP="00465412">
            <w:pPr>
              <w:pStyle w:val="TableText0"/>
              <w:keepNext w:val="0"/>
              <w:contextualSpacing/>
              <w:rPr>
                <w:sz w:val="20"/>
                <w:szCs w:val="20"/>
                <w:lang w:val="en-GB"/>
              </w:rPr>
            </w:pPr>
            <w:r w:rsidRPr="006A0D0F">
              <w:rPr>
                <w:sz w:val="20"/>
                <w:szCs w:val="20"/>
                <w:lang w:val="en-GB"/>
              </w:rPr>
              <w:t>8a</w:t>
            </w:r>
          </w:p>
        </w:tc>
        <w:tc>
          <w:tcPr>
            <w:tcW w:w="1845" w:type="pct"/>
            <w:shd w:val="clear" w:color="auto" w:fill="FFFFFF" w:themeFill="background1"/>
          </w:tcPr>
          <w:p w14:paraId="6A8FF04A" w14:textId="77777777" w:rsidR="00F2381C" w:rsidRPr="006A0D0F" w:rsidRDefault="00F2381C" w:rsidP="00465412">
            <w:pPr>
              <w:pStyle w:val="TableText0"/>
              <w:keepNext w:val="0"/>
              <w:contextualSpacing/>
              <w:rPr>
                <w:sz w:val="20"/>
                <w:szCs w:val="20"/>
                <w:lang w:val="en-GB"/>
              </w:rPr>
            </w:pPr>
            <w:r w:rsidRPr="006A0D0F">
              <w:rPr>
                <w:sz w:val="20"/>
                <w:szCs w:val="20"/>
                <w:lang w:val="en-GB"/>
              </w:rPr>
              <w:t>1.00</w:t>
            </w:r>
            <w:r w:rsidRPr="006A0D0F">
              <w:rPr>
                <w:sz w:val="20"/>
                <w:szCs w:val="20"/>
                <w:vertAlign w:val="superscript"/>
                <w:lang w:val="en-GB"/>
              </w:rPr>
              <w:t>a</w:t>
            </w:r>
          </w:p>
        </w:tc>
        <w:tc>
          <w:tcPr>
            <w:tcW w:w="742" w:type="pct"/>
            <w:shd w:val="clear" w:color="auto" w:fill="FFFFFF" w:themeFill="background1"/>
          </w:tcPr>
          <w:p w14:paraId="2F023734" w14:textId="1A3EA43E" w:rsidR="00F2381C" w:rsidRPr="006A0D0F" w:rsidRDefault="00F2381C" w:rsidP="00465412">
            <w:pPr>
              <w:pStyle w:val="TableText0"/>
              <w:keepNext w:val="0"/>
              <w:jc w:val="center"/>
              <w:rPr>
                <w:sz w:val="20"/>
                <w:szCs w:val="20"/>
                <w:lang w:val="en-GB"/>
              </w:rPr>
            </w:pPr>
            <w:r w:rsidRPr="006A0D0F">
              <w:rPr>
                <w:sz w:val="20"/>
                <w:szCs w:val="20"/>
              </w:rPr>
              <w:t>$</w:t>
            </w:r>
            <w:r w:rsidR="001172C3" w:rsidRPr="001172C3">
              <w:rPr>
                <w:color w:val="000000"/>
                <w:spacing w:val="110"/>
                <w:sz w:val="20"/>
                <w:szCs w:val="20"/>
                <w:shd w:val="solid" w:color="000000" w:fill="000000"/>
                <w:fitText w:val="196" w:id="-1234435328"/>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328"/>
                <w14:textFill>
                  <w14:solidFill>
                    <w14:srgbClr w14:val="000000">
                      <w14:alpha w14:val="100000"/>
                    </w14:srgbClr>
                  </w14:solidFill>
                </w14:textFill>
              </w:rPr>
              <w:t>|</w:t>
            </w:r>
          </w:p>
        </w:tc>
        <w:tc>
          <w:tcPr>
            <w:tcW w:w="742" w:type="pct"/>
            <w:shd w:val="clear" w:color="auto" w:fill="FFFFFF" w:themeFill="background1"/>
          </w:tcPr>
          <w:p w14:paraId="030C8416" w14:textId="77777777" w:rsidR="00F2381C" w:rsidRPr="006A0D0F" w:rsidRDefault="00F2381C" w:rsidP="00465412">
            <w:pPr>
              <w:pStyle w:val="TableText0"/>
              <w:keepNext w:val="0"/>
              <w:jc w:val="center"/>
              <w:rPr>
                <w:sz w:val="20"/>
                <w:szCs w:val="20"/>
                <w:lang w:val="en-GB"/>
              </w:rPr>
            </w:pPr>
            <w:r w:rsidRPr="006A0D0F">
              <w:rPr>
                <w:sz w:val="20"/>
                <w:szCs w:val="20"/>
              </w:rPr>
              <w:t>1.07</w:t>
            </w:r>
          </w:p>
        </w:tc>
        <w:tc>
          <w:tcPr>
            <w:tcW w:w="586" w:type="pct"/>
            <w:shd w:val="clear" w:color="auto" w:fill="FFFFFF" w:themeFill="background1"/>
          </w:tcPr>
          <w:p w14:paraId="1233EA54" w14:textId="17EF3550" w:rsidR="00F2381C" w:rsidRPr="006A0D0F" w:rsidRDefault="00F2381C" w:rsidP="00465412">
            <w:pPr>
              <w:pStyle w:val="TableText0"/>
              <w:keepNext w:val="0"/>
              <w:jc w:val="center"/>
              <w:rPr>
                <w:sz w:val="20"/>
                <w:szCs w:val="20"/>
                <w:lang w:val="en-GB"/>
              </w:rPr>
            </w:pPr>
            <w:r w:rsidRPr="006A0D0F">
              <w:rPr>
                <w:sz w:val="20"/>
                <w:szCs w:val="20"/>
              </w:rPr>
              <w:t>$</w:t>
            </w:r>
            <w:r w:rsidR="001172C3" w:rsidRPr="001172C3">
              <w:rPr>
                <w:color w:val="000000"/>
                <w:spacing w:val="65"/>
                <w:sz w:val="20"/>
                <w:szCs w:val="20"/>
                <w:shd w:val="solid" w:color="000000" w:fill="000000"/>
                <w:fitText w:val="368" w:id="-1234435327"/>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327"/>
                <w14:textFill>
                  <w14:solidFill>
                    <w14:srgbClr w14:val="000000">
                      <w14:alpha w14:val="100000"/>
                    </w14:srgbClr>
                  </w14:solidFill>
                </w14:textFill>
              </w:rPr>
              <w:t>|</w:t>
            </w:r>
            <w:r w:rsidR="00C733FB">
              <w:rPr>
                <w:sz w:val="20"/>
                <w:szCs w:val="20"/>
                <w:vertAlign w:val="superscript"/>
                <w:lang w:val="en-GB"/>
              </w:rPr>
              <w:t>1</w:t>
            </w:r>
          </w:p>
        </w:tc>
        <w:tc>
          <w:tcPr>
            <w:tcW w:w="780" w:type="pct"/>
            <w:shd w:val="clear" w:color="auto" w:fill="FFFFFF" w:themeFill="background1"/>
          </w:tcPr>
          <w:p w14:paraId="6CB1640B" w14:textId="77777777" w:rsidR="00F2381C" w:rsidRPr="006A0D0F" w:rsidRDefault="00F2381C" w:rsidP="00465412">
            <w:pPr>
              <w:pStyle w:val="TableText0"/>
              <w:keepNext w:val="0"/>
              <w:jc w:val="center"/>
              <w:rPr>
                <w:sz w:val="20"/>
                <w:szCs w:val="20"/>
                <w:lang w:val="en-GB"/>
              </w:rPr>
            </w:pPr>
            <w:r w:rsidRPr="006A0D0F">
              <w:rPr>
                <w:sz w:val="20"/>
                <w:szCs w:val="20"/>
              </w:rPr>
              <w:t>-3.77%</w:t>
            </w:r>
          </w:p>
        </w:tc>
      </w:tr>
      <w:tr w:rsidR="00F2381C" w:rsidRPr="006A0D0F" w14:paraId="5DD026F3" w14:textId="77777777" w:rsidTr="004E2DB8">
        <w:tc>
          <w:tcPr>
            <w:tcW w:w="305" w:type="pct"/>
            <w:shd w:val="clear" w:color="auto" w:fill="FFFFFF" w:themeFill="background1"/>
          </w:tcPr>
          <w:p w14:paraId="0462FCA8" w14:textId="77777777" w:rsidR="00F2381C" w:rsidRPr="006A0D0F" w:rsidRDefault="00F2381C" w:rsidP="00465412">
            <w:pPr>
              <w:pStyle w:val="TableText0"/>
              <w:keepNext w:val="0"/>
              <w:contextualSpacing/>
              <w:rPr>
                <w:sz w:val="20"/>
                <w:szCs w:val="20"/>
                <w:lang w:val="en-GB"/>
              </w:rPr>
            </w:pPr>
            <w:r w:rsidRPr="006A0D0F">
              <w:rPr>
                <w:sz w:val="20"/>
                <w:szCs w:val="20"/>
                <w:lang w:val="en-GB"/>
              </w:rPr>
              <w:t>8c</w:t>
            </w:r>
          </w:p>
        </w:tc>
        <w:tc>
          <w:tcPr>
            <w:tcW w:w="1845" w:type="pct"/>
            <w:shd w:val="clear" w:color="auto" w:fill="FFFFFF" w:themeFill="background1"/>
          </w:tcPr>
          <w:p w14:paraId="648374E6" w14:textId="3BC98A08" w:rsidR="00F2381C" w:rsidRPr="006A0D0F" w:rsidRDefault="00F2381C" w:rsidP="00465412">
            <w:pPr>
              <w:pStyle w:val="TableText0"/>
              <w:keepNext w:val="0"/>
              <w:contextualSpacing/>
              <w:rPr>
                <w:sz w:val="20"/>
                <w:szCs w:val="20"/>
                <w:lang w:val="en-GB"/>
              </w:rPr>
            </w:pPr>
            <w:r w:rsidRPr="006A0D0F">
              <w:rPr>
                <w:sz w:val="20"/>
                <w:szCs w:val="20"/>
                <w:lang w:val="en-GB"/>
              </w:rPr>
              <w:t>1.80</w:t>
            </w:r>
            <w:r w:rsidR="00563002" w:rsidRPr="00563002">
              <w:rPr>
                <w:sz w:val="20"/>
                <w:szCs w:val="20"/>
                <w:vertAlign w:val="superscript"/>
                <w:lang w:val="en-GB"/>
              </w:rPr>
              <w:t>a</w:t>
            </w:r>
          </w:p>
        </w:tc>
        <w:tc>
          <w:tcPr>
            <w:tcW w:w="742" w:type="pct"/>
            <w:shd w:val="clear" w:color="auto" w:fill="FFFFFF" w:themeFill="background1"/>
          </w:tcPr>
          <w:p w14:paraId="22287A6B" w14:textId="269B3DC2" w:rsidR="00F2381C" w:rsidRPr="006A0D0F" w:rsidRDefault="00F2381C" w:rsidP="00465412">
            <w:pPr>
              <w:pStyle w:val="TableText0"/>
              <w:keepNext w:val="0"/>
              <w:jc w:val="center"/>
              <w:rPr>
                <w:sz w:val="20"/>
                <w:szCs w:val="20"/>
                <w:lang w:val="en-GB"/>
              </w:rPr>
            </w:pPr>
            <w:r w:rsidRPr="006A0D0F">
              <w:rPr>
                <w:sz w:val="20"/>
                <w:szCs w:val="20"/>
              </w:rPr>
              <w:t>$</w:t>
            </w:r>
            <w:r w:rsidR="001172C3" w:rsidRPr="001172C3">
              <w:rPr>
                <w:color w:val="000000"/>
                <w:spacing w:val="110"/>
                <w:sz w:val="20"/>
                <w:szCs w:val="20"/>
                <w:shd w:val="solid" w:color="000000" w:fill="000000"/>
                <w:fitText w:val="196" w:id="-1234435326"/>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326"/>
                <w14:textFill>
                  <w14:solidFill>
                    <w14:srgbClr w14:val="000000">
                      <w14:alpha w14:val="100000"/>
                    </w14:srgbClr>
                  </w14:solidFill>
                </w14:textFill>
              </w:rPr>
              <w:t>|</w:t>
            </w:r>
          </w:p>
        </w:tc>
        <w:tc>
          <w:tcPr>
            <w:tcW w:w="742" w:type="pct"/>
            <w:shd w:val="clear" w:color="auto" w:fill="FFFFFF" w:themeFill="background1"/>
          </w:tcPr>
          <w:p w14:paraId="05ED0CB4" w14:textId="77777777" w:rsidR="00F2381C" w:rsidRPr="006A0D0F" w:rsidRDefault="00F2381C" w:rsidP="00465412">
            <w:pPr>
              <w:pStyle w:val="TableText0"/>
              <w:keepNext w:val="0"/>
              <w:jc w:val="center"/>
              <w:rPr>
                <w:sz w:val="20"/>
                <w:szCs w:val="20"/>
                <w:lang w:val="en-GB"/>
              </w:rPr>
            </w:pPr>
            <w:r w:rsidRPr="006A0D0F">
              <w:rPr>
                <w:sz w:val="20"/>
                <w:szCs w:val="20"/>
              </w:rPr>
              <w:t>0.98</w:t>
            </w:r>
          </w:p>
        </w:tc>
        <w:tc>
          <w:tcPr>
            <w:tcW w:w="586" w:type="pct"/>
            <w:shd w:val="clear" w:color="auto" w:fill="FFFFFF" w:themeFill="background1"/>
          </w:tcPr>
          <w:p w14:paraId="720D00D9" w14:textId="56804165" w:rsidR="00F2381C" w:rsidRPr="006A0D0F" w:rsidRDefault="00F2381C" w:rsidP="00465412">
            <w:pPr>
              <w:pStyle w:val="TableText0"/>
              <w:keepNext w:val="0"/>
              <w:jc w:val="center"/>
              <w:rPr>
                <w:sz w:val="20"/>
                <w:szCs w:val="20"/>
                <w:lang w:val="en-GB"/>
              </w:rPr>
            </w:pPr>
            <w:r w:rsidRPr="006A0D0F">
              <w:rPr>
                <w:sz w:val="20"/>
                <w:szCs w:val="20"/>
              </w:rPr>
              <w:t>$</w:t>
            </w:r>
            <w:r w:rsidR="001172C3" w:rsidRPr="001172C3">
              <w:rPr>
                <w:color w:val="000000"/>
                <w:spacing w:val="65"/>
                <w:sz w:val="20"/>
                <w:szCs w:val="20"/>
                <w:shd w:val="solid" w:color="000000" w:fill="000000"/>
                <w:fitText w:val="368" w:id="-1234435325"/>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325"/>
                <w14:textFill>
                  <w14:solidFill>
                    <w14:srgbClr w14:val="000000">
                      <w14:alpha w14:val="100000"/>
                    </w14:srgbClr>
                  </w14:solidFill>
                </w14:textFill>
              </w:rPr>
              <w:t>|</w:t>
            </w:r>
            <w:r w:rsidR="00C733FB">
              <w:rPr>
                <w:sz w:val="20"/>
                <w:szCs w:val="20"/>
                <w:vertAlign w:val="superscript"/>
                <w:lang w:val="en-GB"/>
              </w:rPr>
              <w:t>1</w:t>
            </w:r>
          </w:p>
        </w:tc>
        <w:tc>
          <w:tcPr>
            <w:tcW w:w="780" w:type="pct"/>
            <w:shd w:val="clear" w:color="auto" w:fill="FFFFFF" w:themeFill="background1"/>
          </w:tcPr>
          <w:p w14:paraId="77E66C28" w14:textId="77777777" w:rsidR="00F2381C" w:rsidRPr="006A0D0F" w:rsidRDefault="00F2381C" w:rsidP="00465412">
            <w:pPr>
              <w:pStyle w:val="TableText0"/>
              <w:keepNext w:val="0"/>
              <w:jc w:val="center"/>
              <w:rPr>
                <w:sz w:val="20"/>
                <w:szCs w:val="20"/>
                <w:lang w:val="en-GB"/>
              </w:rPr>
            </w:pPr>
            <w:r w:rsidRPr="006A0D0F">
              <w:rPr>
                <w:sz w:val="20"/>
                <w:szCs w:val="20"/>
              </w:rPr>
              <w:t>5.10%</w:t>
            </w:r>
          </w:p>
        </w:tc>
      </w:tr>
      <w:tr w:rsidR="00F2381C" w:rsidRPr="006A0D0F" w14:paraId="7F592337" w14:textId="77777777" w:rsidTr="00284191">
        <w:tc>
          <w:tcPr>
            <w:tcW w:w="5000" w:type="pct"/>
            <w:gridSpan w:val="6"/>
            <w:shd w:val="clear" w:color="auto" w:fill="FFFFFF" w:themeFill="background1"/>
          </w:tcPr>
          <w:p w14:paraId="15733230" w14:textId="77777777" w:rsidR="00F2381C" w:rsidRPr="006A0D0F" w:rsidRDefault="00F2381C" w:rsidP="00465412">
            <w:pPr>
              <w:pStyle w:val="TableText0"/>
              <w:keepNext w:val="0"/>
              <w:rPr>
                <w:sz w:val="20"/>
                <w:szCs w:val="20"/>
                <w:lang w:val="en-GB"/>
              </w:rPr>
            </w:pPr>
            <w:r w:rsidRPr="006A0D0F">
              <w:rPr>
                <w:b/>
                <w:bCs w:val="0"/>
                <w:sz w:val="20"/>
                <w:szCs w:val="20"/>
                <w:lang w:val="en-GB"/>
              </w:rPr>
              <w:t>Criteria of retreatment with PD-(L)1 agent in the neoNIVO+neoChemo arm (base case = no restriction)</w:t>
            </w:r>
          </w:p>
        </w:tc>
      </w:tr>
      <w:tr w:rsidR="00F2381C" w:rsidRPr="006A0D0F" w14:paraId="3347EA1A" w14:textId="77777777" w:rsidTr="004E2DB8">
        <w:tc>
          <w:tcPr>
            <w:tcW w:w="305" w:type="pct"/>
            <w:shd w:val="clear" w:color="auto" w:fill="FFFFFF" w:themeFill="background1"/>
          </w:tcPr>
          <w:p w14:paraId="19A8F5A3" w14:textId="77777777" w:rsidR="00F2381C" w:rsidRPr="006A0D0F" w:rsidRDefault="00F2381C" w:rsidP="00465412">
            <w:pPr>
              <w:pStyle w:val="TableText0"/>
              <w:keepNext w:val="0"/>
              <w:contextualSpacing/>
              <w:rPr>
                <w:sz w:val="20"/>
                <w:szCs w:val="20"/>
                <w:lang w:val="en-GB"/>
              </w:rPr>
            </w:pPr>
            <w:r w:rsidRPr="006A0D0F">
              <w:rPr>
                <w:sz w:val="20"/>
                <w:szCs w:val="20"/>
                <w:lang w:val="en-GB"/>
              </w:rPr>
              <w:t>9</w:t>
            </w:r>
          </w:p>
        </w:tc>
        <w:tc>
          <w:tcPr>
            <w:tcW w:w="1845" w:type="pct"/>
            <w:shd w:val="clear" w:color="auto" w:fill="FFFFFF" w:themeFill="background1"/>
          </w:tcPr>
          <w:p w14:paraId="01E41D0D" w14:textId="71EC9C09" w:rsidR="00F2381C" w:rsidRPr="006A0D0F" w:rsidRDefault="00F2381C" w:rsidP="00465412">
            <w:pPr>
              <w:pStyle w:val="TableText0"/>
              <w:keepNext w:val="0"/>
              <w:contextualSpacing/>
              <w:rPr>
                <w:sz w:val="20"/>
                <w:szCs w:val="20"/>
                <w:lang w:val="en-GB"/>
              </w:rPr>
            </w:pPr>
            <w:r w:rsidRPr="006A0D0F">
              <w:rPr>
                <w:sz w:val="20"/>
                <w:szCs w:val="20"/>
                <w:lang w:val="en-GB"/>
              </w:rPr>
              <w:t>Retreatment not allowed</w:t>
            </w:r>
            <w:r w:rsidRPr="006A0D0F">
              <w:rPr>
                <w:sz w:val="20"/>
                <w:szCs w:val="20"/>
                <w:vertAlign w:val="superscript"/>
                <w:lang w:val="en-GB"/>
              </w:rPr>
              <w:t xml:space="preserve">a </w:t>
            </w:r>
            <w:r w:rsidR="00233768" w:rsidRPr="006A0D0F">
              <w:rPr>
                <w:sz w:val="20"/>
                <w:szCs w:val="20"/>
                <w:vertAlign w:val="superscript"/>
                <w:lang w:val="en-GB"/>
              </w:rPr>
              <w:t>,</w:t>
            </w:r>
            <w:r w:rsidRPr="006A0D0F">
              <w:rPr>
                <w:sz w:val="20"/>
                <w:szCs w:val="20"/>
                <w:vertAlign w:val="superscript"/>
                <w:lang w:val="en-GB"/>
              </w:rPr>
              <w:t>b</w:t>
            </w:r>
          </w:p>
        </w:tc>
        <w:tc>
          <w:tcPr>
            <w:tcW w:w="742" w:type="pct"/>
            <w:shd w:val="clear" w:color="auto" w:fill="FFFFFF" w:themeFill="background1"/>
          </w:tcPr>
          <w:p w14:paraId="273B1CFE" w14:textId="70C5574C" w:rsidR="00F2381C" w:rsidRPr="006A0D0F" w:rsidRDefault="00F2381C" w:rsidP="00465412">
            <w:pPr>
              <w:pStyle w:val="TableText0"/>
              <w:keepNext w:val="0"/>
              <w:jc w:val="center"/>
              <w:rPr>
                <w:sz w:val="20"/>
                <w:szCs w:val="20"/>
                <w:lang w:val="en-GB"/>
              </w:rPr>
            </w:pPr>
            <w:r w:rsidRPr="006A0D0F">
              <w:rPr>
                <w:sz w:val="20"/>
                <w:szCs w:val="20"/>
              </w:rPr>
              <w:t>$</w:t>
            </w:r>
            <w:r w:rsidR="001172C3" w:rsidRPr="001172C3">
              <w:rPr>
                <w:color w:val="000000"/>
                <w:spacing w:val="110"/>
                <w:sz w:val="20"/>
                <w:szCs w:val="20"/>
                <w:shd w:val="solid" w:color="000000" w:fill="000000"/>
                <w:fitText w:val="196" w:id="-1234435324"/>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324"/>
                <w14:textFill>
                  <w14:solidFill>
                    <w14:srgbClr w14:val="000000">
                      <w14:alpha w14:val="100000"/>
                    </w14:srgbClr>
                  </w14:solidFill>
                </w14:textFill>
              </w:rPr>
              <w:t>|</w:t>
            </w:r>
          </w:p>
        </w:tc>
        <w:tc>
          <w:tcPr>
            <w:tcW w:w="742" w:type="pct"/>
            <w:shd w:val="clear" w:color="auto" w:fill="FFFFFF" w:themeFill="background1"/>
          </w:tcPr>
          <w:p w14:paraId="21D408A1" w14:textId="77777777" w:rsidR="00F2381C" w:rsidRPr="006A0D0F" w:rsidRDefault="00F2381C" w:rsidP="00465412">
            <w:pPr>
              <w:pStyle w:val="TableText0"/>
              <w:keepNext w:val="0"/>
              <w:jc w:val="center"/>
              <w:rPr>
                <w:sz w:val="20"/>
                <w:szCs w:val="20"/>
                <w:lang w:val="en-GB"/>
              </w:rPr>
            </w:pPr>
            <w:r w:rsidRPr="006A0D0F">
              <w:rPr>
                <w:sz w:val="20"/>
                <w:szCs w:val="20"/>
              </w:rPr>
              <w:t>0.88</w:t>
            </w:r>
          </w:p>
        </w:tc>
        <w:tc>
          <w:tcPr>
            <w:tcW w:w="586" w:type="pct"/>
            <w:shd w:val="clear" w:color="auto" w:fill="FFFFFF" w:themeFill="background1"/>
          </w:tcPr>
          <w:p w14:paraId="5E5BD67D" w14:textId="4AB8BC4C" w:rsidR="00F2381C" w:rsidRPr="006A0D0F" w:rsidRDefault="00F2381C" w:rsidP="00465412">
            <w:pPr>
              <w:pStyle w:val="TableText0"/>
              <w:keepNext w:val="0"/>
              <w:jc w:val="center"/>
              <w:rPr>
                <w:sz w:val="20"/>
                <w:szCs w:val="20"/>
                <w:lang w:val="en-GB"/>
              </w:rPr>
            </w:pPr>
            <w:r w:rsidRPr="006A0D0F">
              <w:rPr>
                <w:sz w:val="20"/>
                <w:szCs w:val="20"/>
              </w:rPr>
              <w:t>$</w:t>
            </w:r>
            <w:r w:rsidR="001172C3" w:rsidRPr="001172C3">
              <w:rPr>
                <w:color w:val="000000"/>
                <w:spacing w:val="65"/>
                <w:sz w:val="20"/>
                <w:szCs w:val="20"/>
                <w:shd w:val="solid" w:color="000000" w:fill="000000"/>
                <w:fitText w:val="368" w:id="-1234435323"/>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323"/>
                <w14:textFill>
                  <w14:solidFill>
                    <w14:srgbClr w14:val="000000">
                      <w14:alpha w14:val="100000"/>
                    </w14:srgbClr>
                  </w14:solidFill>
                </w14:textFill>
              </w:rPr>
              <w:t>|</w:t>
            </w:r>
            <w:r w:rsidR="00C733FB">
              <w:rPr>
                <w:sz w:val="20"/>
                <w:szCs w:val="20"/>
                <w:vertAlign w:val="superscript"/>
                <w:lang w:val="en-GB"/>
              </w:rPr>
              <w:t>1</w:t>
            </w:r>
          </w:p>
        </w:tc>
        <w:tc>
          <w:tcPr>
            <w:tcW w:w="780" w:type="pct"/>
            <w:shd w:val="clear" w:color="auto" w:fill="FFFFFF" w:themeFill="background1"/>
          </w:tcPr>
          <w:p w14:paraId="044056A0" w14:textId="77777777" w:rsidR="00F2381C" w:rsidRPr="006A0D0F" w:rsidRDefault="00F2381C" w:rsidP="00465412">
            <w:pPr>
              <w:pStyle w:val="TableText0"/>
              <w:keepNext w:val="0"/>
              <w:jc w:val="center"/>
              <w:rPr>
                <w:sz w:val="20"/>
                <w:szCs w:val="20"/>
                <w:lang w:val="en-GB"/>
              </w:rPr>
            </w:pPr>
            <w:r w:rsidRPr="006A0D0F">
              <w:rPr>
                <w:sz w:val="20"/>
                <w:szCs w:val="20"/>
              </w:rPr>
              <w:t>-17.24%</w:t>
            </w:r>
          </w:p>
        </w:tc>
      </w:tr>
      <w:tr w:rsidR="004E2DB8" w:rsidRPr="006A0D0F" w14:paraId="1C186160" w14:textId="77777777" w:rsidTr="004E2DB8">
        <w:tc>
          <w:tcPr>
            <w:tcW w:w="5000" w:type="pct"/>
            <w:gridSpan w:val="6"/>
            <w:shd w:val="clear" w:color="auto" w:fill="FFFFFF" w:themeFill="background1"/>
          </w:tcPr>
          <w:p w14:paraId="1C30ED9D" w14:textId="12AD99C2" w:rsidR="004E2DB8" w:rsidRPr="00563002" w:rsidRDefault="004E2DB8" w:rsidP="00465412">
            <w:pPr>
              <w:pStyle w:val="TableText0"/>
              <w:keepNext w:val="0"/>
              <w:rPr>
                <w:b/>
                <w:bCs w:val="0"/>
                <w:iCs/>
                <w:sz w:val="20"/>
                <w:szCs w:val="20"/>
              </w:rPr>
            </w:pPr>
            <w:r w:rsidRPr="00563002">
              <w:rPr>
                <w:b/>
                <w:bCs w:val="0"/>
                <w:iCs/>
                <w:sz w:val="20"/>
                <w:szCs w:val="20"/>
              </w:rPr>
              <w:t>Dispensed price for maximum amount (base case = public hospital DPMA, $</w:t>
            </w:r>
            <w:r w:rsidR="001172C3" w:rsidRPr="001172C3">
              <w:rPr>
                <w:b/>
                <w:bCs w:val="0"/>
                <w:iCs/>
                <w:color w:val="000000"/>
                <w:spacing w:val="39"/>
                <w:sz w:val="20"/>
                <w:szCs w:val="20"/>
                <w:shd w:val="solid" w:color="000000" w:fill="000000"/>
                <w:fitText w:val="472" w:id="-1234435322"/>
                <w14:textFill>
                  <w14:solidFill>
                    <w14:srgbClr w14:val="000000">
                      <w14:alpha w14:val="100000"/>
                    </w14:srgbClr>
                  </w14:solidFill>
                </w14:textFill>
              </w:rPr>
              <w:t>|||||</w:t>
            </w:r>
            <w:r w:rsidR="001172C3" w:rsidRPr="001172C3">
              <w:rPr>
                <w:b/>
                <w:bCs w:val="0"/>
                <w:iCs/>
                <w:color w:val="000000"/>
                <w:spacing w:val="2"/>
                <w:sz w:val="20"/>
                <w:szCs w:val="20"/>
                <w:shd w:val="solid" w:color="000000" w:fill="000000"/>
                <w:fitText w:val="472" w:id="-1234435322"/>
                <w14:textFill>
                  <w14:solidFill>
                    <w14:srgbClr w14:val="000000">
                      <w14:alpha w14:val="100000"/>
                    </w14:srgbClr>
                  </w14:solidFill>
                </w14:textFill>
              </w:rPr>
              <w:t>|</w:t>
            </w:r>
            <w:r w:rsidRPr="00563002">
              <w:rPr>
                <w:b/>
                <w:bCs w:val="0"/>
                <w:iCs/>
                <w:sz w:val="20"/>
                <w:szCs w:val="20"/>
              </w:rPr>
              <w:t>; private hospital DPMA, $</w:t>
            </w:r>
            <w:r w:rsidR="001172C3" w:rsidRPr="001172C3">
              <w:rPr>
                <w:b/>
                <w:bCs w:val="0"/>
                <w:iCs/>
                <w:color w:val="000000"/>
                <w:spacing w:val="39"/>
                <w:sz w:val="20"/>
                <w:szCs w:val="20"/>
                <w:shd w:val="solid" w:color="000000" w:fill="000000"/>
                <w:fitText w:val="472" w:id="-1234435321"/>
                <w14:textFill>
                  <w14:solidFill>
                    <w14:srgbClr w14:val="000000">
                      <w14:alpha w14:val="100000"/>
                    </w14:srgbClr>
                  </w14:solidFill>
                </w14:textFill>
              </w:rPr>
              <w:t>|||||</w:t>
            </w:r>
            <w:r w:rsidR="001172C3" w:rsidRPr="001172C3">
              <w:rPr>
                <w:b/>
                <w:bCs w:val="0"/>
                <w:iCs/>
                <w:color w:val="000000"/>
                <w:spacing w:val="2"/>
                <w:sz w:val="20"/>
                <w:szCs w:val="20"/>
                <w:shd w:val="solid" w:color="000000" w:fill="000000"/>
                <w:fitText w:val="472" w:id="-1234435321"/>
                <w14:textFill>
                  <w14:solidFill>
                    <w14:srgbClr w14:val="000000">
                      <w14:alpha w14:val="100000"/>
                    </w14:srgbClr>
                  </w14:solidFill>
                </w14:textFill>
              </w:rPr>
              <w:t>|</w:t>
            </w:r>
            <w:r w:rsidRPr="00563002">
              <w:rPr>
                <w:b/>
                <w:bCs w:val="0"/>
                <w:iCs/>
                <w:sz w:val="20"/>
                <w:szCs w:val="20"/>
              </w:rPr>
              <w:t>)</w:t>
            </w:r>
          </w:p>
        </w:tc>
      </w:tr>
      <w:tr w:rsidR="002C7A16" w:rsidRPr="006A0D0F" w14:paraId="31CA19AA" w14:textId="77777777" w:rsidTr="002C7A16">
        <w:tc>
          <w:tcPr>
            <w:tcW w:w="305" w:type="pct"/>
            <w:shd w:val="clear" w:color="auto" w:fill="FFFFFF" w:themeFill="background1"/>
          </w:tcPr>
          <w:p w14:paraId="6E5C6255" w14:textId="4E830818" w:rsidR="002C7A16" w:rsidRPr="006A0D0F" w:rsidRDefault="002C7A16" w:rsidP="00465412">
            <w:pPr>
              <w:pStyle w:val="TableText0"/>
              <w:keepNext w:val="0"/>
              <w:contextualSpacing/>
              <w:rPr>
                <w:sz w:val="20"/>
                <w:szCs w:val="20"/>
                <w:lang w:val="en-GB"/>
              </w:rPr>
            </w:pPr>
            <w:r w:rsidRPr="006A0D0F">
              <w:rPr>
                <w:sz w:val="20"/>
                <w:szCs w:val="20"/>
                <w:lang w:val="en-GB"/>
              </w:rPr>
              <w:t>10</w:t>
            </w:r>
          </w:p>
        </w:tc>
        <w:tc>
          <w:tcPr>
            <w:tcW w:w="1845" w:type="pct"/>
            <w:shd w:val="clear" w:color="auto" w:fill="FFFFFF" w:themeFill="background1"/>
          </w:tcPr>
          <w:p w14:paraId="69355B80" w14:textId="739275E4" w:rsidR="002C7A16" w:rsidRPr="00563002" w:rsidRDefault="002C7A16" w:rsidP="00465412">
            <w:pPr>
              <w:pStyle w:val="TableText0"/>
              <w:keepNext w:val="0"/>
              <w:contextualSpacing/>
              <w:rPr>
                <w:iCs/>
                <w:sz w:val="20"/>
                <w:szCs w:val="20"/>
                <w:vertAlign w:val="superscript"/>
                <w:lang w:val="en-GB"/>
              </w:rPr>
            </w:pPr>
            <w:bookmarkStart w:id="87" w:name="_Hlk127433622"/>
            <w:r w:rsidRPr="00563002">
              <w:rPr>
                <w:iCs/>
                <w:sz w:val="20"/>
                <w:szCs w:val="20"/>
              </w:rPr>
              <w:t>Published public hospital DPMA = $7,189.57; published private hospital DPMA = $7,330.64</w:t>
            </w:r>
            <w:bookmarkEnd w:id="87"/>
            <w:r w:rsidRPr="00563002">
              <w:rPr>
                <w:iCs/>
                <w:sz w:val="20"/>
                <w:szCs w:val="20"/>
              </w:rPr>
              <w:t xml:space="preserve"> (weighted nivolumab cost of $7,283.59 per cycle)</w:t>
            </w:r>
            <w:r w:rsidR="00563002">
              <w:rPr>
                <w:iCs/>
                <w:sz w:val="20"/>
                <w:szCs w:val="20"/>
                <w:vertAlign w:val="superscript"/>
              </w:rPr>
              <w:t>c</w:t>
            </w:r>
          </w:p>
        </w:tc>
        <w:tc>
          <w:tcPr>
            <w:tcW w:w="742" w:type="pct"/>
            <w:shd w:val="clear" w:color="auto" w:fill="FFFFFF" w:themeFill="background1"/>
          </w:tcPr>
          <w:p w14:paraId="3F042AD2" w14:textId="473BDE37" w:rsidR="002C7A16" w:rsidRPr="00563002" w:rsidRDefault="002C7A16" w:rsidP="00465412">
            <w:pPr>
              <w:pStyle w:val="TableText0"/>
              <w:keepNext w:val="0"/>
              <w:jc w:val="center"/>
              <w:rPr>
                <w:sz w:val="20"/>
                <w:szCs w:val="20"/>
              </w:rPr>
            </w:pPr>
            <w:r w:rsidRPr="00563002">
              <w:rPr>
                <w:color w:val="000000"/>
                <w:sz w:val="20"/>
                <w:szCs w:val="20"/>
              </w:rPr>
              <w:t>$</w:t>
            </w:r>
            <w:r w:rsidR="001172C3" w:rsidRPr="001172C3">
              <w:rPr>
                <w:color w:val="000000"/>
                <w:spacing w:val="110"/>
                <w:sz w:val="20"/>
                <w:szCs w:val="20"/>
                <w:shd w:val="solid" w:color="000000" w:fill="000000"/>
                <w:fitText w:val="196" w:id="-1234435320"/>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320"/>
                <w14:textFill>
                  <w14:solidFill>
                    <w14:srgbClr w14:val="000000">
                      <w14:alpha w14:val="100000"/>
                    </w14:srgbClr>
                  </w14:solidFill>
                </w14:textFill>
              </w:rPr>
              <w:t>|</w:t>
            </w:r>
          </w:p>
        </w:tc>
        <w:tc>
          <w:tcPr>
            <w:tcW w:w="742" w:type="pct"/>
            <w:shd w:val="clear" w:color="auto" w:fill="FFFFFF" w:themeFill="background1"/>
          </w:tcPr>
          <w:p w14:paraId="1DEB94A8" w14:textId="5D74B175" w:rsidR="002C7A16" w:rsidRPr="00563002" w:rsidRDefault="002C7A16" w:rsidP="00465412">
            <w:pPr>
              <w:pStyle w:val="TableText0"/>
              <w:keepNext w:val="0"/>
              <w:jc w:val="center"/>
              <w:rPr>
                <w:sz w:val="20"/>
                <w:szCs w:val="20"/>
              </w:rPr>
            </w:pPr>
            <w:r w:rsidRPr="00563002">
              <w:rPr>
                <w:color w:val="000000"/>
                <w:sz w:val="20"/>
                <w:szCs w:val="20"/>
              </w:rPr>
              <w:t>1.03</w:t>
            </w:r>
          </w:p>
        </w:tc>
        <w:tc>
          <w:tcPr>
            <w:tcW w:w="586" w:type="pct"/>
            <w:shd w:val="clear" w:color="auto" w:fill="FFFFFF" w:themeFill="background1"/>
          </w:tcPr>
          <w:p w14:paraId="71B2A6C1" w14:textId="0B9F0DAE" w:rsidR="002C7A16" w:rsidRPr="00563002" w:rsidRDefault="002C7A16" w:rsidP="00465412">
            <w:pPr>
              <w:pStyle w:val="TableText0"/>
              <w:keepNext w:val="0"/>
              <w:jc w:val="center"/>
              <w:rPr>
                <w:sz w:val="20"/>
                <w:szCs w:val="20"/>
              </w:rPr>
            </w:pPr>
            <w:r w:rsidRPr="00563002">
              <w:rPr>
                <w:color w:val="000000"/>
                <w:sz w:val="20"/>
                <w:szCs w:val="20"/>
              </w:rPr>
              <w:t>$</w:t>
            </w:r>
            <w:r w:rsidR="001172C3" w:rsidRPr="001172C3">
              <w:rPr>
                <w:color w:val="000000"/>
                <w:spacing w:val="65"/>
                <w:sz w:val="20"/>
                <w:szCs w:val="20"/>
                <w:shd w:val="solid" w:color="000000" w:fill="000000"/>
                <w:fitText w:val="368" w:id="-1234435319"/>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319"/>
                <w14:textFill>
                  <w14:solidFill>
                    <w14:srgbClr w14:val="000000">
                      <w14:alpha w14:val="100000"/>
                    </w14:srgbClr>
                  </w14:solidFill>
                </w14:textFill>
              </w:rPr>
              <w:t>|</w:t>
            </w:r>
            <w:r w:rsidR="00C733FB">
              <w:rPr>
                <w:sz w:val="20"/>
                <w:szCs w:val="20"/>
                <w:vertAlign w:val="superscript"/>
                <w:lang w:val="en-GB"/>
              </w:rPr>
              <w:t>2</w:t>
            </w:r>
          </w:p>
        </w:tc>
        <w:tc>
          <w:tcPr>
            <w:tcW w:w="780" w:type="pct"/>
            <w:shd w:val="clear" w:color="auto" w:fill="FFFFFF" w:themeFill="background1"/>
          </w:tcPr>
          <w:p w14:paraId="6DB41D04" w14:textId="1287C044" w:rsidR="002C7A16" w:rsidRPr="00563002" w:rsidRDefault="002C7A16" w:rsidP="00465412">
            <w:pPr>
              <w:pStyle w:val="TableText0"/>
              <w:keepNext w:val="0"/>
              <w:jc w:val="center"/>
              <w:rPr>
                <w:sz w:val="20"/>
                <w:szCs w:val="20"/>
              </w:rPr>
            </w:pPr>
            <w:r w:rsidRPr="00563002">
              <w:rPr>
                <w:color w:val="000000"/>
                <w:sz w:val="20"/>
                <w:szCs w:val="20"/>
              </w:rPr>
              <w:t>-33.76%</w:t>
            </w:r>
          </w:p>
        </w:tc>
      </w:tr>
      <w:tr w:rsidR="00F2381C" w:rsidRPr="006A0D0F" w14:paraId="5EA2F4F9" w14:textId="77777777" w:rsidTr="00284191">
        <w:tc>
          <w:tcPr>
            <w:tcW w:w="5000" w:type="pct"/>
            <w:gridSpan w:val="6"/>
            <w:shd w:val="clear" w:color="auto" w:fill="FFFFFF" w:themeFill="background1"/>
          </w:tcPr>
          <w:p w14:paraId="68ECC734" w14:textId="77777777" w:rsidR="00F2381C" w:rsidRPr="006A0D0F" w:rsidRDefault="00F2381C" w:rsidP="00465412">
            <w:pPr>
              <w:pStyle w:val="TableText0"/>
              <w:keepNext w:val="0"/>
              <w:rPr>
                <w:b/>
                <w:bCs w:val="0"/>
                <w:sz w:val="20"/>
                <w:szCs w:val="20"/>
                <w:lang w:val="en-GB"/>
              </w:rPr>
            </w:pPr>
            <w:r w:rsidRPr="006A0D0F">
              <w:rPr>
                <w:b/>
                <w:bCs w:val="0"/>
                <w:sz w:val="20"/>
                <w:szCs w:val="20"/>
                <w:lang w:val="en-GB"/>
              </w:rPr>
              <w:t>Multivariate analyses</w:t>
            </w:r>
          </w:p>
        </w:tc>
      </w:tr>
      <w:tr w:rsidR="00D17147" w:rsidRPr="006A0D0F" w14:paraId="3BA412BB" w14:textId="77777777" w:rsidTr="004E2DB8">
        <w:trPr>
          <w:trHeight w:val="54"/>
        </w:trPr>
        <w:tc>
          <w:tcPr>
            <w:tcW w:w="2150" w:type="pct"/>
            <w:gridSpan w:val="2"/>
            <w:shd w:val="clear" w:color="auto" w:fill="FFFFFF" w:themeFill="background1"/>
          </w:tcPr>
          <w:p w14:paraId="4A707EB1" w14:textId="54C1B300" w:rsidR="00D17147" w:rsidRPr="00563002" w:rsidRDefault="00D17147" w:rsidP="00465412">
            <w:pPr>
              <w:pStyle w:val="TableText0"/>
              <w:keepNext w:val="0"/>
              <w:contextualSpacing/>
              <w:rPr>
                <w:sz w:val="20"/>
                <w:szCs w:val="20"/>
                <w:vertAlign w:val="superscript"/>
                <w:lang w:val="en-GB"/>
              </w:rPr>
            </w:pPr>
            <w:r w:rsidRPr="00563002">
              <w:rPr>
                <w:sz w:val="20"/>
                <w:szCs w:val="20"/>
                <w:lang w:val="en-GB"/>
              </w:rPr>
              <w:t>#2 + #10</w:t>
            </w:r>
            <w:r w:rsidR="00563002" w:rsidRPr="00563002">
              <w:rPr>
                <w:sz w:val="20"/>
                <w:szCs w:val="20"/>
                <w:vertAlign w:val="superscript"/>
                <w:lang w:val="en-GB"/>
              </w:rPr>
              <w:t>c</w:t>
            </w:r>
          </w:p>
        </w:tc>
        <w:tc>
          <w:tcPr>
            <w:tcW w:w="742" w:type="pct"/>
            <w:shd w:val="clear" w:color="auto" w:fill="FFFFFF" w:themeFill="background1"/>
          </w:tcPr>
          <w:p w14:paraId="58B9277D" w14:textId="30F018B0" w:rsidR="00D17147" w:rsidRPr="00C733FB" w:rsidRDefault="00D17147" w:rsidP="00465412">
            <w:pPr>
              <w:pStyle w:val="TableText0"/>
              <w:keepNext w:val="0"/>
              <w:jc w:val="center"/>
              <w:rPr>
                <w:sz w:val="20"/>
                <w:szCs w:val="20"/>
                <w:highlight w:val="darkGray"/>
              </w:rPr>
            </w:pPr>
            <w:r w:rsidRPr="00C733FB">
              <w:rPr>
                <w:color w:val="000000"/>
                <w:sz w:val="20"/>
                <w:szCs w:val="20"/>
              </w:rPr>
              <w:t>$</w:t>
            </w:r>
            <w:r w:rsidR="001172C3" w:rsidRPr="001172C3">
              <w:rPr>
                <w:color w:val="000000"/>
                <w:spacing w:val="110"/>
                <w:sz w:val="20"/>
                <w:szCs w:val="20"/>
                <w:shd w:val="solid" w:color="000000" w:fill="000000"/>
                <w:fitText w:val="196" w:id="-1234435318"/>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318"/>
                <w14:textFill>
                  <w14:solidFill>
                    <w14:srgbClr w14:val="000000">
                      <w14:alpha w14:val="100000"/>
                    </w14:srgbClr>
                  </w14:solidFill>
                </w14:textFill>
              </w:rPr>
              <w:t>|</w:t>
            </w:r>
          </w:p>
        </w:tc>
        <w:tc>
          <w:tcPr>
            <w:tcW w:w="742" w:type="pct"/>
            <w:shd w:val="clear" w:color="auto" w:fill="FFFFFF" w:themeFill="background1"/>
          </w:tcPr>
          <w:p w14:paraId="522CC26C" w14:textId="68B1819F" w:rsidR="00D17147" w:rsidRPr="00563002" w:rsidRDefault="00D17147" w:rsidP="00465412">
            <w:pPr>
              <w:pStyle w:val="TableText0"/>
              <w:keepNext w:val="0"/>
              <w:jc w:val="center"/>
              <w:rPr>
                <w:sz w:val="20"/>
                <w:szCs w:val="20"/>
              </w:rPr>
            </w:pPr>
            <w:r w:rsidRPr="00563002">
              <w:rPr>
                <w:color w:val="000000"/>
                <w:sz w:val="20"/>
                <w:szCs w:val="20"/>
              </w:rPr>
              <w:t>0.79</w:t>
            </w:r>
          </w:p>
        </w:tc>
        <w:tc>
          <w:tcPr>
            <w:tcW w:w="586" w:type="pct"/>
            <w:shd w:val="clear" w:color="auto" w:fill="FFFFFF" w:themeFill="background1"/>
          </w:tcPr>
          <w:p w14:paraId="1A2B852D" w14:textId="7E17CF23" w:rsidR="00D17147" w:rsidRPr="00563002" w:rsidRDefault="00D17147" w:rsidP="00465412">
            <w:pPr>
              <w:pStyle w:val="TableText0"/>
              <w:keepNext w:val="0"/>
              <w:jc w:val="center"/>
              <w:rPr>
                <w:sz w:val="20"/>
                <w:szCs w:val="20"/>
              </w:rPr>
            </w:pPr>
            <w:r w:rsidRPr="00563002">
              <w:rPr>
                <w:color w:val="000000"/>
                <w:sz w:val="20"/>
                <w:szCs w:val="20"/>
              </w:rPr>
              <w:t>$</w:t>
            </w:r>
            <w:r w:rsidR="001172C3" w:rsidRPr="001172C3">
              <w:rPr>
                <w:color w:val="000000"/>
                <w:spacing w:val="65"/>
                <w:sz w:val="20"/>
                <w:szCs w:val="20"/>
                <w:shd w:val="solid" w:color="000000" w:fill="000000"/>
                <w:fitText w:val="368" w:id="-1234435317"/>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317"/>
                <w14:textFill>
                  <w14:solidFill>
                    <w14:srgbClr w14:val="000000">
                      <w14:alpha w14:val="100000"/>
                    </w14:srgbClr>
                  </w14:solidFill>
                </w14:textFill>
              </w:rPr>
              <w:t>|</w:t>
            </w:r>
            <w:r w:rsidR="00C733FB">
              <w:rPr>
                <w:sz w:val="20"/>
                <w:szCs w:val="20"/>
                <w:vertAlign w:val="superscript"/>
                <w:lang w:val="en-GB"/>
              </w:rPr>
              <w:t>2</w:t>
            </w:r>
          </w:p>
        </w:tc>
        <w:tc>
          <w:tcPr>
            <w:tcW w:w="780" w:type="pct"/>
            <w:shd w:val="clear" w:color="auto" w:fill="FFFFFF" w:themeFill="background1"/>
          </w:tcPr>
          <w:p w14:paraId="12A0BDF5" w14:textId="6A63A03A" w:rsidR="00D17147" w:rsidRPr="00563002" w:rsidRDefault="00D17147" w:rsidP="00465412">
            <w:pPr>
              <w:pStyle w:val="TableText0"/>
              <w:keepNext w:val="0"/>
              <w:jc w:val="center"/>
              <w:rPr>
                <w:sz w:val="20"/>
                <w:szCs w:val="20"/>
              </w:rPr>
            </w:pPr>
            <w:r w:rsidRPr="00563002">
              <w:rPr>
                <w:color w:val="000000"/>
                <w:sz w:val="20"/>
                <w:szCs w:val="20"/>
              </w:rPr>
              <w:t>-22.58%</w:t>
            </w:r>
          </w:p>
        </w:tc>
      </w:tr>
      <w:tr w:rsidR="00F2381C" w:rsidRPr="006A0D0F" w14:paraId="0457EC53" w14:textId="77777777" w:rsidTr="004E2DB8">
        <w:trPr>
          <w:trHeight w:val="54"/>
        </w:trPr>
        <w:tc>
          <w:tcPr>
            <w:tcW w:w="2150" w:type="pct"/>
            <w:gridSpan w:val="2"/>
            <w:shd w:val="clear" w:color="auto" w:fill="FFFFFF" w:themeFill="background1"/>
          </w:tcPr>
          <w:p w14:paraId="2C9CE18E" w14:textId="77777777" w:rsidR="00F2381C" w:rsidRPr="006A0D0F" w:rsidRDefault="00F2381C" w:rsidP="00465412">
            <w:pPr>
              <w:pStyle w:val="TableText0"/>
              <w:keepNext w:val="0"/>
              <w:contextualSpacing/>
              <w:rPr>
                <w:sz w:val="20"/>
                <w:szCs w:val="20"/>
                <w:vertAlign w:val="superscript"/>
                <w:lang w:val="en-GB"/>
              </w:rPr>
            </w:pPr>
            <w:r w:rsidRPr="006A0D0F">
              <w:rPr>
                <w:sz w:val="20"/>
                <w:szCs w:val="20"/>
                <w:lang w:val="en-GB"/>
              </w:rPr>
              <w:t>#2 + #3c</w:t>
            </w:r>
          </w:p>
        </w:tc>
        <w:tc>
          <w:tcPr>
            <w:tcW w:w="742" w:type="pct"/>
            <w:shd w:val="clear" w:color="auto" w:fill="FFFFFF" w:themeFill="background1"/>
          </w:tcPr>
          <w:p w14:paraId="1985CA0C" w14:textId="308CF367" w:rsidR="00F2381C" w:rsidRPr="00C733FB" w:rsidRDefault="00F2381C" w:rsidP="00465412">
            <w:pPr>
              <w:pStyle w:val="TableText0"/>
              <w:keepNext w:val="0"/>
              <w:jc w:val="center"/>
              <w:rPr>
                <w:sz w:val="20"/>
                <w:szCs w:val="20"/>
                <w:highlight w:val="darkGray"/>
              </w:rPr>
            </w:pPr>
            <w:r w:rsidRPr="00C733FB">
              <w:rPr>
                <w:sz w:val="20"/>
                <w:szCs w:val="20"/>
              </w:rPr>
              <w:t>$</w:t>
            </w:r>
            <w:r w:rsidR="001172C3" w:rsidRPr="001172C3">
              <w:rPr>
                <w:color w:val="000000"/>
                <w:spacing w:val="110"/>
                <w:sz w:val="20"/>
                <w:szCs w:val="20"/>
                <w:shd w:val="solid" w:color="000000" w:fill="000000"/>
                <w:fitText w:val="196" w:id="-1234435316"/>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316"/>
                <w14:textFill>
                  <w14:solidFill>
                    <w14:srgbClr w14:val="000000">
                      <w14:alpha w14:val="100000"/>
                    </w14:srgbClr>
                  </w14:solidFill>
                </w14:textFill>
              </w:rPr>
              <w:t>|</w:t>
            </w:r>
          </w:p>
        </w:tc>
        <w:tc>
          <w:tcPr>
            <w:tcW w:w="742" w:type="pct"/>
            <w:shd w:val="clear" w:color="auto" w:fill="FFFFFF" w:themeFill="background1"/>
          </w:tcPr>
          <w:p w14:paraId="3CA4F072" w14:textId="77777777" w:rsidR="00F2381C" w:rsidRPr="006A0D0F" w:rsidRDefault="00F2381C" w:rsidP="00465412">
            <w:pPr>
              <w:pStyle w:val="TableText0"/>
              <w:keepNext w:val="0"/>
              <w:jc w:val="center"/>
              <w:rPr>
                <w:sz w:val="20"/>
                <w:szCs w:val="20"/>
              </w:rPr>
            </w:pPr>
            <w:r w:rsidRPr="006A0D0F">
              <w:rPr>
                <w:sz w:val="20"/>
                <w:szCs w:val="20"/>
              </w:rPr>
              <w:t>0.70</w:t>
            </w:r>
          </w:p>
        </w:tc>
        <w:tc>
          <w:tcPr>
            <w:tcW w:w="586" w:type="pct"/>
            <w:shd w:val="clear" w:color="auto" w:fill="FFFFFF" w:themeFill="background1"/>
          </w:tcPr>
          <w:p w14:paraId="1EA92733" w14:textId="2DD3174A" w:rsidR="00F2381C" w:rsidRPr="006A0D0F" w:rsidRDefault="00F2381C" w:rsidP="00465412">
            <w:pPr>
              <w:pStyle w:val="TableText0"/>
              <w:keepNext w:val="0"/>
              <w:jc w:val="center"/>
              <w:rPr>
                <w:sz w:val="20"/>
                <w:szCs w:val="20"/>
              </w:rPr>
            </w:pPr>
            <w:r w:rsidRPr="006A0D0F">
              <w:rPr>
                <w:sz w:val="20"/>
                <w:szCs w:val="20"/>
              </w:rPr>
              <w:t>$</w:t>
            </w:r>
            <w:r w:rsidR="001172C3" w:rsidRPr="001172C3">
              <w:rPr>
                <w:color w:val="000000"/>
                <w:spacing w:val="65"/>
                <w:sz w:val="20"/>
                <w:szCs w:val="20"/>
                <w:shd w:val="solid" w:color="000000" w:fill="000000"/>
                <w:fitText w:val="368" w:id="-1234435315"/>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315"/>
                <w14:textFill>
                  <w14:solidFill>
                    <w14:srgbClr w14:val="000000">
                      <w14:alpha w14:val="100000"/>
                    </w14:srgbClr>
                  </w14:solidFill>
                </w14:textFill>
              </w:rPr>
              <w:t>|</w:t>
            </w:r>
            <w:r w:rsidR="00C733FB">
              <w:rPr>
                <w:sz w:val="20"/>
                <w:szCs w:val="20"/>
                <w:vertAlign w:val="superscript"/>
                <w:lang w:val="en-GB"/>
              </w:rPr>
              <w:t>3</w:t>
            </w:r>
          </w:p>
        </w:tc>
        <w:tc>
          <w:tcPr>
            <w:tcW w:w="780" w:type="pct"/>
            <w:shd w:val="clear" w:color="auto" w:fill="FFFFFF" w:themeFill="background1"/>
          </w:tcPr>
          <w:p w14:paraId="5A518493" w14:textId="77777777" w:rsidR="00F2381C" w:rsidRPr="006A0D0F" w:rsidRDefault="00F2381C" w:rsidP="00465412">
            <w:pPr>
              <w:pStyle w:val="TableText0"/>
              <w:keepNext w:val="0"/>
              <w:jc w:val="center"/>
              <w:rPr>
                <w:sz w:val="20"/>
                <w:szCs w:val="20"/>
              </w:rPr>
            </w:pPr>
            <w:r w:rsidRPr="006A0D0F">
              <w:rPr>
                <w:sz w:val="20"/>
                <w:szCs w:val="20"/>
              </w:rPr>
              <w:t>38.70%</w:t>
            </w:r>
          </w:p>
        </w:tc>
      </w:tr>
      <w:tr w:rsidR="00F2381C" w:rsidRPr="006A0D0F" w14:paraId="3BD66AE0" w14:textId="77777777" w:rsidTr="004E2DB8">
        <w:trPr>
          <w:trHeight w:val="54"/>
        </w:trPr>
        <w:tc>
          <w:tcPr>
            <w:tcW w:w="2150" w:type="pct"/>
            <w:gridSpan w:val="2"/>
            <w:shd w:val="clear" w:color="auto" w:fill="FFFFFF" w:themeFill="background1"/>
          </w:tcPr>
          <w:p w14:paraId="3C11D55D" w14:textId="77777777" w:rsidR="00F2381C" w:rsidRPr="006A0D0F" w:rsidRDefault="00F2381C" w:rsidP="00465412">
            <w:pPr>
              <w:pStyle w:val="TableText0"/>
              <w:keepNext w:val="0"/>
              <w:contextualSpacing/>
              <w:rPr>
                <w:sz w:val="20"/>
                <w:szCs w:val="20"/>
                <w:lang w:val="en-GB"/>
              </w:rPr>
            </w:pPr>
            <w:r w:rsidRPr="006A0D0F">
              <w:rPr>
                <w:sz w:val="20"/>
                <w:szCs w:val="20"/>
                <w:lang w:val="en-GB"/>
              </w:rPr>
              <w:t>#2 + #3c + #6</w:t>
            </w:r>
          </w:p>
        </w:tc>
        <w:tc>
          <w:tcPr>
            <w:tcW w:w="742" w:type="pct"/>
            <w:shd w:val="clear" w:color="auto" w:fill="FFFFFF" w:themeFill="background1"/>
          </w:tcPr>
          <w:p w14:paraId="133326E1" w14:textId="7A278FFD" w:rsidR="00F2381C" w:rsidRPr="006A0D0F" w:rsidRDefault="00F2381C" w:rsidP="00465412">
            <w:pPr>
              <w:pStyle w:val="TableText0"/>
              <w:keepNext w:val="0"/>
              <w:jc w:val="center"/>
              <w:rPr>
                <w:sz w:val="20"/>
                <w:szCs w:val="20"/>
              </w:rPr>
            </w:pPr>
            <w:r w:rsidRPr="006A0D0F">
              <w:rPr>
                <w:sz w:val="20"/>
                <w:szCs w:val="20"/>
              </w:rPr>
              <w:t>$</w:t>
            </w:r>
            <w:r w:rsidR="001172C3" w:rsidRPr="001172C3">
              <w:rPr>
                <w:color w:val="000000"/>
                <w:spacing w:val="110"/>
                <w:sz w:val="20"/>
                <w:szCs w:val="20"/>
                <w:shd w:val="solid" w:color="000000" w:fill="000000"/>
                <w:fitText w:val="196" w:id="-1234435314"/>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314"/>
                <w14:textFill>
                  <w14:solidFill>
                    <w14:srgbClr w14:val="000000">
                      <w14:alpha w14:val="100000"/>
                    </w14:srgbClr>
                  </w14:solidFill>
                </w14:textFill>
              </w:rPr>
              <w:t>|</w:t>
            </w:r>
          </w:p>
        </w:tc>
        <w:tc>
          <w:tcPr>
            <w:tcW w:w="742" w:type="pct"/>
            <w:shd w:val="clear" w:color="auto" w:fill="FFFFFF" w:themeFill="background1"/>
          </w:tcPr>
          <w:p w14:paraId="2C675444" w14:textId="77777777" w:rsidR="00F2381C" w:rsidRPr="006A0D0F" w:rsidRDefault="00F2381C" w:rsidP="00465412">
            <w:pPr>
              <w:pStyle w:val="TableText0"/>
              <w:keepNext w:val="0"/>
              <w:jc w:val="center"/>
              <w:rPr>
                <w:sz w:val="20"/>
                <w:szCs w:val="20"/>
              </w:rPr>
            </w:pPr>
            <w:r w:rsidRPr="006A0D0F">
              <w:rPr>
                <w:sz w:val="20"/>
                <w:szCs w:val="20"/>
              </w:rPr>
              <w:t>0.61</w:t>
            </w:r>
          </w:p>
        </w:tc>
        <w:tc>
          <w:tcPr>
            <w:tcW w:w="586" w:type="pct"/>
            <w:shd w:val="clear" w:color="auto" w:fill="FFFFFF" w:themeFill="background1"/>
          </w:tcPr>
          <w:p w14:paraId="131875F8" w14:textId="09556EC1" w:rsidR="00F2381C" w:rsidRPr="00C733FB" w:rsidRDefault="00F2381C" w:rsidP="00465412">
            <w:pPr>
              <w:pStyle w:val="TableText0"/>
              <w:keepNext w:val="0"/>
              <w:jc w:val="center"/>
              <w:rPr>
                <w:sz w:val="20"/>
                <w:szCs w:val="20"/>
                <w:vertAlign w:val="superscript"/>
              </w:rPr>
            </w:pPr>
            <w:r w:rsidRPr="006A0D0F">
              <w:rPr>
                <w:sz w:val="20"/>
                <w:szCs w:val="20"/>
              </w:rPr>
              <w:t>$</w:t>
            </w:r>
            <w:r w:rsidR="001172C3" w:rsidRPr="001172C3">
              <w:rPr>
                <w:color w:val="000000"/>
                <w:spacing w:val="65"/>
                <w:sz w:val="20"/>
                <w:szCs w:val="20"/>
                <w:shd w:val="solid" w:color="000000" w:fill="000000"/>
                <w:fitText w:val="368" w:id="-1234435313"/>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313"/>
                <w14:textFill>
                  <w14:solidFill>
                    <w14:srgbClr w14:val="000000">
                      <w14:alpha w14:val="100000"/>
                    </w14:srgbClr>
                  </w14:solidFill>
                </w14:textFill>
              </w:rPr>
              <w:t>|</w:t>
            </w:r>
            <w:r w:rsidR="00C733FB">
              <w:rPr>
                <w:sz w:val="20"/>
                <w:szCs w:val="20"/>
                <w:vertAlign w:val="superscript"/>
              </w:rPr>
              <w:t>4</w:t>
            </w:r>
          </w:p>
        </w:tc>
        <w:tc>
          <w:tcPr>
            <w:tcW w:w="780" w:type="pct"/>
            <w:shd w:val="clear" w:color="auto" w:fill="FFFFFF" w:themeFill="background1"/>
          </w:tcPr>
          <w:p w14:paraId="2C726697" w14:textId="77777777" w:rsidR="00F2381C" w:rsidRPr="006A0D0F" w:rsidRDefault="00F2381C" w:rsidP="00465412">
            <w:pPr>
              <w:pStyle w:val="TableText0"/>
              <w:keepNext w:val="0"/>
              <w:jc w:val="center"/>
              <w:rPr>
                <w:sz w:val="20"/>
                <w:szCs w:val="20"/>
              </w:rPr>
            </w:pPr>
            <w:r w:rsidRPr="006A0D0F">
              <w:rPr>
                <w:sz w:val="20"/>
                <w:szCs w:val="20"/>
              </w:rPr>
              <w:t>59.60%</w:t>
            </w:r>
          </w:p>
        </w:tc>
      </w:tr>
      <w:tr w:rsidR="00F2381C" w:rsidRPr="006A0D0F" w14:paraId="55112406" w14:textId="77777777" w:rsidTr="004E2DB8">
        <w:trPr>
          <w:trHeight w:val="54"/>
        </w:trPr>
        <w:tc>
          <w:tcPr>
            <w:tcW w:w="2150" w:type="pct"/>
            <w:gridSpan w:val="2"/>
            <w:shd w:val="clear" w:color="auto" w:fill="FFFFFF" w:themeFill="background1"/>
          </w:tcPr>
          <w:p w14:paraId="2BCED9CF" w14:textId="77777777" w:rsidR="00F2381C" w:rsidRPr="006A0D0F" w:rsidRDefault="00F2381C" w:rsidP="00465412">
            <w:pPr>
              <w:pStyle w:val="TableText0"/>
              <w:keepNext w:val="0"/>
              <w:contextualSpacing/>
              <w:rPr>
                <w:sz w:val="20"/>
                <w:szCs w:val="20"/>
                <w:lang w:val="en-GB"/>
              </w:rPr>
            </w:pPr>
            <w:r w:rsidRPr="006A0D0F">
              <w:rPr>
                <w:sz w:val="20"/>
                <w:szCs w:val="20"/>
                <w:lang w:val="en-GB"/>
              </w:rPr>
              <w:t>#2 + #3c + #6 + #5</w:t>
            </w:r>
          </w:p>
        </w:tc>
        <w:tc>
          <w:tcPr>
            <w:tcW w:w="742" w:type="pct"/>
            <w:shd w:val="clear" w:color="auto" w:fill="FFFFFF" w:themeFill="background1"/>
          </w:tcPr>
          <w:p w14:paraId="3986AA26" w14:textId="7AEE7923" w:rsidR="00F2381C" w:rsidRPr="006A0D0F" w:rsidRDefault="00F2381C" w:rsidP="00465412">
            <w:pPr>
              <w:pStyle w:val="TableText0"/>
              <w:keepNext w:val="0"/>
              <w:jc w:val="center"/>
              <w:rPr>
                <w:sz w:val="20"/>
                <w:szCs w:val="20"/>
              </w:rPr>
            </w:pPr>
            <w:r w:rsidRPr="006A0D0F">
              <w:rPr>
                <w:sz w:val="20"/>
                <w:szCs w:val="20"/>
              </w:rPr>
              <w:t>$</w:t>
            </w:r>
            <w:r w:rsidR="001172C3" w:rsidRPr="001172C3">
              <w:rPr>
                <w:color w:val="000000"/>
                <w:spacing w:val="110"/>
                <w:sz w:val="20"/>
                <w:szCs w:val="20"/>
                <w:shd w:val="solid" w:color="000000" w:fill="000000"/>
                <w:fitText w:val="196" w:id="-1234435312"/>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312"/>
                <w14:textFill>
                  <w14:solidFill>
                    <w14:srgbClr w14:val="000000">
                      <w14:alpha w14:val="100000"/>
                    </w14:srgbClr>
                  </w14:solidFill>
                </w14:textFill>
              </w:rPr>
              <w:t>|</w:t>
            </w:r>
          </w:p>
        </w:tc>
        <w:tc>
          <w:tcPr>
            <w:tcW w:w="742" w:type="pct"/>
            <w:shd w:val="clear" w:color="auto" w:fill="FFFFFF" w:themeFill="background1"/>
          </w:tcPr>
          <w:p w14:paraId="7E3A465F" w14:textId="77777777" w:rsidR="00F2381C" w:rsidRPr="006A0D0F" w:rsidRDefault="00F2381C" w:rsidP="00465412">
            <w:pPr>
              <w:pStyle w:val="TableText0"/>
              <w:keepNext w:val="0"/>
              <w:jc w:val="center"/>
              <w:rPr>
                <w:sz w:val="20"/>
                <w:szCs w:val="20"/>
              </w:rPr>
            </w:pPr>
            <w:r w:rsidRPr="006A0D0F">
              <w:rPr>
                <w:sz w:val="20"/>
                <w:szCs w:val="20"/>
              </w:rPr>
              <w:t>0.50</w:t>
            </w:r>
          </w:p>
        </w:tc>
        <w:tc>
          <w:tcPr>
            <w:tcW w:w="586" w:type="pct"/>
            <w:shd w:val="clear" w:color="auto" w:fill="FFFFFF" w:themeFill="background1"/>
          </w:tcPr>
          <w:p w14:paraId="1CAAB129" w14:textId="60CF6ECF" w:rsidR="00F2381C" w:rsidRPr="00C733FB" w:rsidRDefault="00F2381C" w:rsidP="00465412">
            <w:pPr>
              <w:pStyle w:val="TableText0"/>
              <w:keepNext w:val="0"/>
              <w:jc w:val="center"/>
              <w:rPr>
                <w:sz w:val="20"/>
                <w:szCs w:val="20"/>
                <w:vertAlign w:val="superscript"/>
              </w:rPr>
            </w:pPr>
            <w:r w:rsidRPr="006A0D0F">
              <w:rPr>
                <w:sz w:val="20"/>
                <w:szCs w:val="20"/>
              </w:rPr>
              <w:t>$</w:t>
            </w:r>
            <w:r w:rsidR="001172C3" w:rsidRPr="001172C3">
              <w:rPr>
                <w:color w:val="000000"/>
                <w:spacing w:val="65"/>
                <w:sz w:val="20"/>
                <w:szCs w:val="20"/>
                <w:shd w:val="solid" w:color="000000" w:fill="000000"/>
                <w:fitText w:val="368" w:id="-1234435328"/>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328"/>
                <w14:textFill>
                  <w14:solidFill>
                    <w14:srgbClr w14:val="000000">
                      <w14:alpha w14:val="100000"/>
                    </w14:srgbClr>
                  </w14:solidFill>
                </w14:textFill>
              </w:rPr>
              <w:t>|</w:t>
            </w:r>
            <w:r w:rsidR="00C733FB">
              <w:rPr>
                <w:sz w:val="20"/>
                <w:szCs w:val="20"/>
                <w:vertAlign w:val="superscript"/>
              </w:rPr>
              <w:t>5</w:t>
            </w:r>
          </w:p>
        </w:tc>
        <w:tc>
          <w:tcPr>
            <w:tcW w:w="780" w:type="pct"/>
            <w:shd w:val="clear" w:color="auto" w:fill="FFFFFF" w:themeFill="background1"/>
          </w:tcPr>
          <w:p w14:paraId="5B5B351B" w14:textId="77777777" w:rsidR="00F2381C" w:rsidRPr="006A0D0F" w:rsidRDefault="00F2381C" w:rsidP="00465412">
            <w:pPr>
              <w:pStyle w:val="TableText0"/>
              <w:keepNext w:val="0"/>
              <w:jc w:val="center"/>
              <w:rPr>
                <w:sz w:val="20"/>
                <w:szCs w:val="20"/>
              </w:rPr>
            </w:pPr>
            <w:r w:rsidRPr="006A0D0F">
              <w:rPr>
                <w:sz w:val="20"/>
                <w:szCs w:val="20"/>
              </w:rPr>
              <w:t>79.89%</w:t>
            </w:r>
          </w:p>
        </w:tc>
      </w:tr>
      <w:tr w:rsidR="00F2381C" w:rsidRPr="006A0D0F" w14:paraId="724E690C" w14:textId="77777777" w:rsidTr="004E2DB8">
        <w:trPr>
          <w:trHeight w:val="54"/>
        </w:trPr>
        <w:tc>
          <w:tcPr>
            <w:tcW w:w="2150" w:type="pct"/>
            <w:gridSpan w:val="2"/>
            <w:shd w:val="clear" w:color="auto" w:fill="FFFFFF" w:themeFill="background1"/>
          </w:tcPr>
          <w:p w14:paraId="0D9FE482" w14:textId="77777777" w:rsidR="00F2381C" w:rsidRPr="006A0D0F" w:rsidRDefault="00F2381C" w:rsidP="00465412">
            <w:pPr>
              <w:pStyle w:val="TableText0"/>
              <w:keepNext w:val="0"/>
              <w:contextualSpacing/>
              <w:rPr>
                <w:sz w:val="20"/>
                <w:szCs w:val="20"/>
                <w:lang w:val="en-GB"/>
              </w:rPr>
            </w:pPr>
            <w:r w:rsidRPr="006A0D0F">
              <w:rPr>
                <w:sz w:val="20"/>
                <w:szCs w:val="20"/>
                <w:lang w:val="en-GB"/>
              </w:rPr>
              <w:t>#2 + #3d + #6 + #5</w:t>
            </w:r>
          </w:p>
        </w:tc>
        <w:tc>
          <w:tcPr>
            <w:tcW w:w="742" w:type="pct"/>
            <w:shd w:val="clear" w:color="auto" w:fill="FFFFFF" w:themeFill="background1"/>
          </w:tcPr>
          <w:p w14:paraId="4A0DF909" w14:textId="0FFAE446" w:rsidR="00F2381C" w:rsidRPr="006A0D0F" w:rsidRDefault="00F2381C" w:rsidP="00465412">
            <w:pPr>
              <w:pStyle w:val="TableText0"/>
              <w:keepNext w:val="0"/>
              <w:jc w:val="center"/>
              <w:rPr>
                <w:sz w:val="20"/>
                <w:szCs w:val="20"/>
              </w:rPr>
            </w:pPr>
            <w:r w:rsidRPr="006A0D0F">
              <w:rPr>
                <w:sz w:val="20"/>
                <w:szCs w:val="20"/>
              </w:rPr>
              <w:t>$</w:t>
            </w:r>
            <w:r w:rsidR="001172C3" w:rsidRPr="001172C3">
              <w:rPr>
                <w:color w:val="000000"/>
                <w:spacing w:val="110"/>
                <w:sz w:val="20"/>
                <w:szCs w:val="20"/>
                <w:shd w:val="solid" w:color="000000" w:fill="000000"/>
                <w:fitText w:val="196" w:id="-1234435072"/>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072"/>
                <w14:textFill>
                  <w14:solidFill>
                    <w14:srgbClr w14:val="000000">
                      <w14:alpha w14:val="100000"/>
                    </w14:srgbClr>
                  </w14:solidFill>
                </w14:textFill>
              </w:rPr>
              <w:t>|</w:t>
            </w:r>
          </w:p>
        </w:tc>
        <w:tc>
          <w:tcPr>
            <w:tcW w:w="742" w:type="pct"/>
            <w:shd w:val="clear" w:color="auto" w:fill="FFFFFF" w:themeFill="background1"/>
          </w:tcPr>
          <w:p w14:paraId="1517B5C0" w14:textId="77777777" w:rsidR="00F2381C" w:rsidRPr="006A0D0F" w:rsidRDefault="00F2381C" w:rsidP="00465412">
            <w:pPr>
              <w:pStyle w:val="TableText0"/>
              <w:keepNext w:val="0"/>
              <w:jc w:val="center"/>
              <w:rPr>
                <w:sz w:val="20"/>
                <w:szCs w:val="20"/>
              </w:rPr>
            </w:pPr>
            <w:r w:rsidRPr="006A0D0F">
              <w:rPr>
                <w:sz w:val="20"/>
                <w:szCs w:val="20"/>
              </w:rPr>
              <w:t>0.47</w:t>
            </w:r>
          </w:p>
        </w:tc>
        <w:tc>
          <w:tcPr>
            <w:tcW w:w="586" w:type="pct"/>
            <w:shd w:val="clear" w:color="auto" w:fill="FFFFFF" w:themeFill="background1"/>
          </w:tcPr>
          <w:p w14:paraId="49A4344E" w14:textId="3846A5C4" w:rsidR="00F2381C" w:rsidRPr="006A0D0F" w:rsidRDefault="00F2381C" w:rsidP="00465412">
            <w:pPr>
              <w:pStyle w:val="TableText0"/>
              <w:keepNext w:val="0"/>
              <w:jc w:val="center"/>
              <w:rPr>
                <w:sz w:val="20"/>
                <w:szCs w:val="20"/>
              </w:rPr>
            </w:pPr>
            <w:r w:rsidRPr="006A0D0F">
              <w:rPr>
                <w:sz w:val="20"/>
                <w:szCs w:val="20"/>
              </w:rPr>
              <w:t>$</w:t>
            </w:r>
            <w:r w:rsidR="001172C3" w:rsidRPr="001172C3">
              <w:rPr>
                <w:color w:val="000000"/>
                <w:spacing w:val="65"/>
                <w:sz w:val="20"/>
                <w:szCs w:val="20"/>
                <w:shd w:val="solid" w:color="000000" w:fill="000000"/>
                <w:fitText w:val="368" w:id="-1234435071"/>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071"/>
                <w14:textFill>
                  <w14:solidFill>
                    <w14:srgbClr w14:val="000000">
                      <w14:alpha w14:val="100000"/>
                    </w14:srgbClr>
                  </w14:solidFill>
                </w14:textFill>
              </w:rPr>
              <w:t>|</w:t>
            </w:r>
            <w:r w:rsidR="00C733FB">
              <w:rPr>
                <w:sz w:val="20"/>
                <w:szCs w:val="20"/>
                <w:vertAlign w:val="superscript"/>
              </w:rPr>
              <w:t>5</w:t>
            </w:r>
          </w:p>
        </w:tc>
        <w:tc>
          <w:tcPr>
            <w:tcW w:w="780" w:type="pct"/>
            <w:shd w:val="clear" w:color="auto" w:fill="FFFFFF" w:themeFill="background1"/>
          </w:tcPr>
          <w:p w14:paraId="3B777EF6" w14:textId="77777777" w:rsidR="00F2381C" w:rsidRPr="006A0D0F" w:rsidRDefault="00F2381C" w:rsidP="00465412">
            <w:pPr>
              <w:pStyle w:val="TableText0"/>
              <w:keepNext w:val="0"/>
              <w:jc w:val="center"/>
              <w:rPr>
                <w:sz w:val="20"/>
                <w:szCs w:val="20"/>
              </w:rPr>
            </w:pPr>
            <w:r w:rsidRPr="006A0D0F">
              <w:rPr>
                <w:sz w:val="20"/>
                <w:szCs w:val="20"/>
              </w:rPr>
              <w:t>98.21%</w:t>
            </w:r>
          </w:p>
        </w:tc>
      </w:tr>
      <w:tr w:rsidR="00F2381C" w:rsidRPr="006A0D0F" w14:paraId="5EF0834B" w14:textId="77777777" w:rsidTr="004E2DB8">
        <w:trPr>
          <w:trHeight w:val="54"/>
        </w:trPr>
        <w:tc>
          <w:tcPr>
            <w:tcW w:w="2150" w:type="pct"/>
            <w:gridSpan w:val="2"/>
            <w:shd w:val="clear" w:color="auto" w:fill="FFFFFF" w:themeFill="background1"/>
          </w:tcPr>
          <w:p w14:paraId="4520EEB7" w14:textId="712DAB11" w:rsidR="00F2381C" w:rsidRPr="006A0D0F" w:rsidRDefault="00F2381C" w:rsidP="00465412">
            <w:pPr>
              <w:pStyle w:val="TableText0"/>
              <w:keepNext w:val="0"/>
              <w:contextualSpacing/>
              <w:rPr>
                <w:sz w:val="20"/>
                <w:szCs w:val="20"/>
                <w:vertAlign w:val="superscript"/>
                <w:lang w:val="en-GB"/>
              </w:rPr>
            </w:pPr>
            <w:r w:rsidRPr="006A0D0F">
              <w:rPr>
                <w:sz w:val="20"/>
                <w:szCs w:val="20"/>
                <w:lang w:val="en-GB"/>
              </w:rPr>
              <w:t>Assuming different QALYs and costs between the two treatment arms (neoNIVO+neoChemo vs. neoChemo) in the DM setting</w:t>
            </w:r>
            <w:r w:rsidRPr="006A0D0F">
              <w:rPr>
                <w:sz w:val="20"/>
                <w:szCs w:val="20"/>
                <w:vertAlign w:val="superscript"/>
                <w:lang w:val="en-GB"/>
              </w:rPr>
              <w:t>a,</w:t>
            </w:r>
            <w:r w:rsidR="00563002">
              <w:rPr>
                <w:sz w:val="20"/>
                <w:szCs w:val="20"/>
                <w:vertAlign w:val="superscript"/>
                <w:lang w:val="en-GB"/>
              </w:rPr>
              <w:t>d</w:t>
            </w:r>
          </w:p>
          <w:p w14:paraId="1B72B7FA" w14:textId="77777777" w:rsidR="00F2381C" w:rsidRPr="006A0D0F" w:rsidRDefault="00F2381C" w:rsidP="00465412">
            <w:pPr>
              <w:pStyle w:val="TableText0"/>
              <w:keepNext w:val="0"/>
              <w:contextualSpacing/>
              <w:rPr>
                <w:sz w:val="20"/>
                <w:szCs w:val="20"/>
                <w:lang w:val="en-GB"/>
              </w:rPr>
            </w:pPr>
            <w:r w:rsidRPr="006A0D0F">
              <w:rPr>
                <w:sz w:val="20"/>
                <w:szCs w:val="20"/>
                <w:lang w:val="en-GB"/>
              </w:rPr>
              <w:t>QALYs: 0.90 vs. 1.81</w:t>
            </w:r>
          </w:p>
          <w:p w14:paraId="1B08AEF7" w14:textId="236E8FA4" w:rsidR="00F2381C" w:rsidRPr="006A0D0F" w:rsidRDefault="00F2381C" w:rsidP="00465412">
            <w:pPr>
              <w:pStyle w:val="TableText0"/>
              <w:keepNext w:val="0"/>
              <w:contextualSpacing/>
              <w:rPr>
                <w:sz w:val="20"/>
                <w:szCs w:val="20"/>
                <w:highlight w:val="magenta"/>
                <w:lang w:val="en-GB"/>
              </w:rPr>
            </w:pPr>
            <w:r w:rsidRPr="006A0D0F">
              <w:rPr>
                <w:sz w:val="20"/>
                <w:szCs w:val="20"/>
                <w:lang w:val="en-GB"/>
              </w:rPr>
              <w:t>Costs: $50,157 vs. $</w:t>
            </w:r>
            <w:r w:rsidR="001172C3" w:rsidRPr="001172C3">
              <w:rPr>
                <w:color w:val="000000"/>
                <w:spacing w:val="36"/>
                <w:sz w:val="20"/>
                <w:szCs w:val="20"/>
                <w:shd w:val="solid" w:color="000000" w:fill="000000"/>
                <w:fitText w:val="438" w:id="-1234435070"/>
                <w:lang w:val="en-GB"/>
                <w14:textFill>
                  <w14:solidFill>
                    <w14:srgbClr w14:val="000000">
                      <w14:alpha w14:val="100000"/>
                    </w14:srgbClr>
                  </w14:solidFill>
                </w14:textFill>
              </w:rPr>
              <w:t>|||||</w:t>
            </w:r>
            <w:r w:rsidR="001172C3" w:rsidRPr="001172C3">
              <w:rPr>
                <w:color w:val="000000"/>
                <w:spacing w:val="3"/>
                <w:sz w:val="20"/>
                <w:szCs w:val="20"/>
                <w:shd w:val="solid" w:color="000000" w:fill="000000"/>
                <w:fitText w:val="438" w:id="-1234435070"/>
                <w:lang w:val="en-GB"/>
                <w14:textFill>
                  <w14:solidFill>
                    <w14:srgbClr w14:val="000000">
                      <w14:alpha w14:val="100000"/>
                    </w14:srgbClr>
                  </w14:solidFill>
                </w14:textFill>
              </w:rPr>
              <w:t>|</w:t>
            </w:r>
          </w:p>
        </w:tc>
        <w:tc>
          <w:tcPr>
            <w:tcW w:w="742" w:type="pct"/>
            <w:shd w:val="clear" w:color="auto" w:fill="FFFFFF" w:themeFill="background1"/>
          </w:tcPr>
          <w:p w14:paraId="372CF599" w14:textId="117AF5CE" w:rsidR="00F2381C" w:rsidRPr="006A0D0F" w:rsidRDefault="00F2381C" w:rsidP="00465412">
            <w:pPr>
              <w:pStyle w:val="TableText0"/>
              <w:keepNext w:val="0"/>
              <w:jc w:val="center"/>
              <w:rPr>
                <w:sz w:val="20"/>
                <w:szCs w:val="20"/>
                <w:highlight w:val="magenta"/>
              </w:rPr>
            </w:pPr>
            <w:r w:rsidRPr="006A0D0F">
              <w:rPr>
                <w:sz w:val="20"/>
                <w:szCs w:val="20"/>
              </w:rPr>
              <w:t>$</w:t>
            </w:r>
            <w:r w:rsidR="001172C3" w:rsidRPr="001172C3">
              <w:rPr>
                <w:color w:val="000000"/>
                <w:spacing w:val="110"/>
                <w:sz w:val="20"/>
                <w:szCs w:val="20"/>
                <w:shd w:val="solid" w:color="000000" w:fill="000000"/>
                <w:fitText w:val="196" w:id="-1234435069"/>
                <w14:textFill>
                  <w14:solidFill>
                    <w14:srgbClr w14:val="000000">
                      <w14:alpha w14:val="100000"/>
                    </w14:srgbClr>
                  </w14:solidFill>
                </w14:textFill>
              </w:rPr>
              <w:t>|</w:t>
            </w:r>
            <w:r w:rsidR="001172C3" w:rsidRPr="001172C3">
              <w:rPr>
                <w:color w:val="000000"/>
                <w:spacing w:val="1"/>
                <w:sz w:val="20"/>
                <w:szCs w:val="20"/>
                <w:shd w:val="solid" w:color="000000" w:fill="000000"/>
                <w:fitText w:val="196" w:id="-1234435069"/>
                <w14:textFill>
                  <w14:solidFill>
                    <w14:srgbClr w14:val="000000">
                      <w14:alpha w14:val="100000"/>
                    </w14:srgbClr>
                  </w14:solidFill>
                </w14:textFill>
              </w:rPr>
              <w:t>|</w:t>
            </w:r>
          </w:p>
        </w:tc>
        <w:tc>
          <w:tcPr>
            <w:tcW w:w="742" w:type="pct"/>
            <w:shd w:val="clear" w:color="auto" w:fill="FFFFFF" w:themeFill="background1"/>
          </w:tcPr>
          <w:p w14:paraId="52D6CD71" w14:textId="77777777" w:rsidR="00F2381C" w:rsidRPr="006A0D0F" w:rsidRDefault="00F2381C" w:rsidP="00465412">
            <w:pPr>
              <w:pStyle w:val="TableText0"/>
              <w:keepNext w:val="0"/>
              <w:jc w:val="center"/>
              <w:rPr>
                <w:sz w:val="20"/>
                <w:szCs w:val="20"/>
                <w:highlight w:val="magenta"/>
              </w:rPr>
            </w:pPr>
            <w:r w:rsidRPr="006A0D0F">
              <w:rPr>
                <w:sz w:val="20"/>
                <w:szCs w:val="20"/>
              </w:rPr>
              <w:t>0.69</w:t>
            </w:r>
          </w:p>
        </w:tc>
        <w:tc>
          <w:tcPr>
            <w:tcW w:w="586" w:type="pct"/>
            <w:shd w:val="clear" w:color="auto" w:fill="FFFFFF" w:themeFill="background1"/>
          </w:tcPr>
          <w:p w14:paraId="1594403F" w14:textId="183E2C9F" w:rsidR="00F2381C" w:rsidRPr="006A0D0F" w:rsidRDefault="00F2381C" w:rsidP="00465412">
            <w:pPr>
              <w:pStyle w:val="TableText0"/>
              <w:keepNext w:val="0"/>
              <w:jc w:val="center"/>
              <w:rPr>
                <w:sz w:val="20"/>
                <w:szCs w:val="20"/>
                <w:highlight w:val="magenta"/>
              </w:rPr>
            </w:pPr>
            <w:r w:rsidRPr="006A0D0F">
              <w:rPr>
                <w:sz w:val="20"/>
                <w:szCs w:val="20"/>
              </w:rPr>
              <w:t>$</w:t>
            </w:r>
            <w:r w:rsidR="001172C3" w:rsidRPr="001172C3">
              <w:rPr>
                <w:color w:val="000000"/>
                <w:spacing w:val="65"/>
                <w:sz w:val="20"/>
                <w:szCs w:val="20"/>
                <w:shd w:val="solid" w:color="000000" w:fill="000000"/>
                <w:fitText w:val="368" w:id="-1234435068"/>
                <w14:textFill>
                  <w14:solidFill>
                    <w14:srgbClr w14:val="000000">
                      <w14:alpha w14:val="100000"/>
                    </w14:srgbClr>
                  </w14:solidFill>
                </w14:textFill>
              </w:rPr>
              <w:t>|||</w:t>
            </w:r>
            <w:r w:rsidR="001172C3" w:rsidRPr="001172C3">
              <w:rPr>
                <w:color w:val="000000"/>
                <w:spacing w:val="3"/>
                <w:sz w:val="20"/>
                <w:szCs w:val="20"/>
                <w:shd w:val="solid" w:color="000000" w:fill="000000"/>
                <w:fitText w:val="368" w:id="-1234435068"/>
                <w14:textFill>
                  <w14:solidFill>
                    <w14:srgbClr w14:val="000000">
                      <w14:alpha w14:val="100000"/>
                    </w14:srgbClr>
                  </w14:solidFill>
                </w14:textFill>
              </w:rPr>
              <w:t>|</w:t>
            </w:r>
            <w:r w:rsidR="00C733FB">
              <w:rPr>
                <w:sz w:val="20"/>
                <w:szCs w:val="20"/>
                <w:vertAlign w:val="superscript"/>
                <w:lang w:val="en-GB"/>
              </w:rPr>
              <w:t>3</w:t>
            </w:r>
          </w:p>
        </w:tc>
        <w:tc>
          <w:tcPr>
            <w:tcW w:w="780" w:type="pct"/>
            <w:shd w:val="clear" w:color="auto" w:fill="FFFFFF" w:themeFill="background1"/>
          </w:tcPr>
          <w:p w14:paraId="73715C58" w14:textId="77777777" w:rsidR="00F2381C" w:rsidRPr="006A0D0F" w:rsidRDefault="00F2381C" w:rsidP="00465412">
            <w:pPr>
              <w:pStyle w:val="TableText0"/>
              <w:keepNext w:val="0"/>
              <w:jc w:val="center"/>
              <w:rPr>
                <w:sz w:val="20"/>
                <w:szCs w:val="20"/>
                <w:highlight w:val="magenta"/>
              </w:rPr>
            </w:pPr>
            <w:r w:rsidRPr="006A0D0F">
              <w:rPr>
                <w:sz w:val="20"/>
                <w:szCs w:val="20"/>
              </w:rPr>
              <w:t>13.99%</w:t>
            </w:r>
          </w:p>
        </w:tc>
      </w:tr>
    </w:tbl>
    <w:p w14:paraId="4BE9C0AB" w14:textId="77777777" w:rsidR="00F2381C" w:rsidRPr="000A6E90" w:rsidRDefault="00F2381C" w:rsidP="00F2381C">
      <w:pPr>
        <w:pStyle w:val="TableFooter"/>
        <w:rPr>
          <w:rFonts w:eastAsiaTheme="minorEastAsia"/>
          <w:lang w:val="en-GB"/>
        </w:rPr>
      </w:pPr>
      <w:r>
        <w:rPr>
          <w:rFonts w:eastAsiaTheme="minorEastAsia"/>
          <w:lang w:val="en-GB"/>
        </w:rPr>
        <w:t xml:space="preserve">Source: Table 144, pp210-211 of the submission </w:t>
      </w:r>
      <w:r w:rsidRPr="000A6E90">
        <w:rPr>
          <w:rFonts w:eastAsiaTheme="minorEastAsia"/>
          <w:lang w:val="en-GB"/>
        </w:rPr>
        <w:t>and sensitivity analyses performed during the evaluation</w:t>
      </w:r>
    </w:p>
    <w:p w14:paraId="61913397" w14:textId="12F83EE7" w:rsidR="00F2381C" w:rsidRPr="00F63CEF" w:rsidRDefault="00C733FB" w:rsidP="00F2381C">
      <w:pPr>
        <w:pStyle w:val="TableFooter"/>
        <w:rPr>
          <w:rFonts w:eastAsiaTheme="minorEastAsia"/>
          <w:lang w:val="en-GB"/>
        </w:rPr>
      </w:pPr>
      <w:r>
        <w:t>DM = distant metastasis;</w:t>
      </w:r>
      <w:r w:rsidRPr="00F63CEF">
        <w:rPr>
          <w:rFonts w:eastAsiaTheme="minorEastAsia"/>
          <w:lang w:val="en-GB"/>
        </w:rPr>
        <w:t xml:space="preserve"> </w:t>
      </w:r>
      <w:r w:rsidR="00F2381C" w:rsidRPr="00F63CEF">
        <w:rPr>
          <w:rFonts w:eastAsiaTheme="minorEastAsia"/>
          <w:lang w:val="en-GB"/>
        </w:rPr>
        <w:t xml:space="preserve">EFS = event-free survival; ICER = incremental cost-effectiveness ratio; LR = locoregional recurrence; </w:t>
      </w:r>
      <w:r w:rsidR="00F2381C">
        <w:rPr>
          <w:rFonts w:eastAsiaTheme="minorEastAsia"/>
          <w:lang w:val="en-GB"/>
        </w:rPr>
        <w:t>neoChemo</w:t>
      </w:r>
      <w:r w:rsidR="00F2381C" w:rsidRPr="001D0BBA">
        <w:rPr>
          <w:rFonts w:eastAsiaTheme="minorEastAsia"/>
          <w:lang w:val="en-GB"/>
        </w:rPr>
        <w:t xml:space="preserve"> = neoadjuvant chemotherapy; </w:t>
      </w:r>
      <w:r w:rsidR="00F2381C">
        <w:rPr>
          <w:rFonts w:eastAsiaTheme="minorEastAsia"/>
          <w:lang w:val="en-GB"/>
        </w:rPr>
        <w:t>neoNIVO</w:t>
      </w:r>
      <w:r w:rsidR="00F2381C" w:rsidRPr="001D0BBA">
        <w:rPr>
          <w:rFonts w:eastAsiaTheme="minorEastAsia"/>
          <w:lang w:val="en-GB"/>
        </w:rPr>
        <w:t xml:space="preserve"> = neoadjuvant nivolumab</w:t>
      </w:r>
      <w:r w:rsidR="00F2381C">
        <w:rPr>
          <w:rFonts w:eastAsiaTheme="minorEastAsia"/>
          <w:lang w:val="en-GB"/>
        </w:rPr>
        <w:t xml:space="preserve">; PD-(L)1 = programmed cell death (ligand) 1; </w:t>
      </w:r>
      <w:r w:rsidR="00F2381C" w:rsidRPr="00F63CEF">
        <w:rPr>
          <w:rFonts w:eastAsiaTheme="minorEastAsia"/>
          <w:lang w:val="en-GB"/>
        </w:rPr>
        <w:t>QALY = quality-adjusted life year</w:t>
      </w:r>
    </w:p>
    <w:p w14:paraId="1A750F09" w14:textId="77777777" w:rsidR="00F2381C" w:rsidRPr="000A6E90" w:rsidRDefault="00F2381C" w:rsidP="00F2381C">
      <w:pPr>
        <w:pStyle w:val="FooterTableFigure"/>
      </w:pPr>
      <w:r w:rsidRPr="000A6E90">
        <w:rPr>
          <w:vertAlign w:val="superscript"/>
        </w:rPr>
        <w:t>a</w:t>
      </w:r>
      <w:r w:rsidRPr="000A6E90">
        <w:t xml:space="preserve"> Additional sensitivity analyses performed during the evaluation. </w:t>
      </w:r>
    </w:p>
    <w:p w14:paraId="17CE8452" w14:textId="4E58D568" w:rsidR="00F2381C" w:rsidRDefault="00F2381C" w:rsidP="00F2381C">
      <w:pPr>
        <w:pStyle w:val="FooterTableFigure"/>
      </w:pPr>
      <w:r w:rsidRPr="000A6E90">
        <w:rPr>
          <w:vertAlign w:val="superscript"/>
        </w:rPr>
        <w:t xml:space="preserve">b </w:t>
      </w:r>
      <w:r w:rsidRPr="000A6E90">
        <w:t>Assuming that nil patients in the neoNIVO</w:t>
      </w:r>
      <w:r w:rsidR="005A4C9E" w:rsidRPr="000A6E90">
        <w:t>+neoChemo</w:t>
      </w:r>
      <w:r w:rsidRPr="000A6E90">
        <w:t xml:space="preserve"> arm receive pembrolizumab therapy for metastatic disease and that the proportions of patients treated with other therapies (including chemotherapy and best supportive care) increase proportionally. This analysis was carried out by changing Cell F in the ‘DM State’ spreadsheet, “Attachment 7 - Nivolumab Neoadjuvant NSCLC Economic Evaluation” Excel workbook, i.e. proportion of ineligible for re-treatment of immunotherapy, into 100% (0.0% in the base case). </w:t>
      </w:r>
    </w:p>
    <w:p w14:paraId="40FFDA83" w14:textId="19D36462" w:rsidR="00563002" w:rsidRPr="00563002" w:rsidRDefault="00563002" w:rsidP="00F2381C">
      <w:pPr>
        <w:pStyle w:val="FooterTableFigure"/>
      </w:pPr>
      <w:r>
        <w:rPr>
          <w:vertAlign w:val="superscript"/>
        </w:rPr>
        <w:t>c</w:t>
      </w:r>
      <w:r>
        <w:t xml:space="preserve"> Additional sensitivity analysis performed during the development of the ESC Advice. </w:t>
      </w:r>
    </w:p>
    <w:p w14:paraId="68B6EC2B" w14:textId="6C8FFC05" w:rsidR="00F2381C" w:rsidRDefault="00563002" w:rsidP="00C733FB">
      <w:pPr>
        <w:pStyle w:val="FooterTableFigure"/>
        <w:spacing w:after="0"/>
      </w:pPr>
      <w:r>
        <w:rPr>
          <w:vertAlign w:val="superscript"/>
        </w:rPr>
        <w:t>d</w:t>
      </w:r>
      <w:r w:rsidR="00F2381C" w:rsidRPr="000A6E90">
        <w:rPr>
          <w:vertAlign w:val="superscript"/>
        </w:rPr>
        <w:t xml:space="preserve"> </w:t>
      </w:r>
      <w:r w:rsidR="00F2381C" w:rsidRPr="000A6E90">
        <w:t xml:space="preserve">Assuming that, in the DM </w:t>
      </w:r>
      <w:r w:rsidR="00B743AD" w:rsidRPr="000A6E90">
        <w:t>health state</w:t>
      </w:r>
      <w:r w:rsidR="00F2381C" w:rsidRPr="000A6E90">
        <w:t xml:space="preserve">, all patients in the neoNIVO+neoChemo arm receive chemotherapy and all patients in the neoChemo arm receive pembrolizumab. The QALYs and costs associated with chemotherapy for metastatic disease were the same as the submission’s estimates. The QALYs associated with pembrolizumab therapy were set to be the highest QALYs among pembrolizumab monotherapy, pembrolizumab combination therapy (non-squamous) and pembrolizumab combination therapy (squamous) and costs were set to be the lowest among </w:t>
      </w:r>
      <w:r w:rsidR="00D97F8D" w:rsidRPr="000A6E90">
        <w:t xml:space="preserve">the </w:t>
      </w:r>
      <w:r w:rsidR="00F2381C" w:rsidRPr="000A6E90">
        <w:t xml:space="preserve">three </w:t>
      </w:r>
      <w:r w:rsidR="00D97F8D" w:rsidRPr="000A6E90">
        <w:t xml:space="preserve">pembrolizumab-containing </w:t>
      </w:r>
      <w:r w:rsidR="00F2381C" w:rsidRPr="000A6E90">
        <w:t xml:space="preserve">therapies (refer to </w:t>
      </w:r>
      <w:r w:rsidR="00F2381C" w:rsidRPr="000A6E90">
        <w:fldChar w:fldCharType="begin"/>
      </w:r>
      <w:r w:rsidR="00F2381C" w:rsidRPr="000A6E90">
        <w:instrText xml:space="preserve"> REF _Ref124355072 \h  \* MERGEFORMAT </w:instrText>
      </w:r>
      <w:r w:rsidR="00F2381C" w:rsidRPr="000A6E90">
        <w:fldChar w:fldCharType="separate"/>
      </w:r>
      <w:r w:rsidR="00A77D90">
        <w:t xml:space="preserve">Table </w:t>
      </w:r>
      <w:r w:rsidR="00A77D90">
        <w:rPr>
          <w:noProof/>
        </w:rPr>
        <w:t>19</w:t>
      </w:r>
      <w:r w:rsidR="00F2381C" w:rsidRPr="000A6E90">
        <w:fldChar w:fldCharType="end"/>
      </w:r>
      <w:r w:rsidR="00F2381C" w:rsidRPr="000A6E90">
        <w:t>).</w:t>
      </w:r>
      <w:r w:rsidR="00CC7AE8">
        <w:t xml:space="preserve"> </w:t>
      </w:r>
    </w:p>
    <w:p w14:paraId="38A91948" w14:textId="77777777" w:rsidR="00C733FB" w:rsidRPr="009A6D58" w:rsidRDefault="00C733FB" w:rsidP="00C733FB">
      <w:pPr>
        <w:rPr>
          <w:rFonts w:ascii="Arial Narrow" w:hAnsi="Arial Narrow"/>
          <w:i/>
          <w:sz w:val="18"/>
          <w:szCs w:val="18"/>
        </w:rPr>
      </w:pPr>
      <w:bookmarkStart w:id="88" w:name="_Hlk135060298"/>
      <w:bookmarkStart w:id="89" w:name="_Hlk135050944"/>
      <w:bookmarkStart w:id="90" w:name="_Hlk135051699"/>
      <w:bookmarkStart w:id="91" w:name="_Hlk135053257"/>
      <w:r w:rsidRPr="009A6D58">
        <w:rPr>
          <w:rFonts w:ascii="Arial Narrow" w:hAnsi="Arial Narrow"/>
          <w:i/>
          <w:sz w:val="18"/>
          <w:szCs w:val="18"/>
        </w:rPr>
        <w:t xml:space="preserve">The redacted values correspond to the following ranges: </w:t>
      </w:r>
    </w:p>
    <w:p w14:paraId="4A3BAC55" w14:textId="3229ECEB" w:rsidR="00C733FB" w:rsidRPr="009A6D58" w:rsidRDefault="00C733FB" w:rsidP="00C733FB">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bookmarkStart w:id="92" w:name="_Hlk135060362"/>
      <w:r w:rsidR="00CA49DA" w:rsidRPr="00CA49DA">
        <w:rPr>
          <w:rFonts w:ascii="Arial Narrow" w:hAnsi="Arial Narrow"/>
          <w:i/>
          <w:sz w:val="18"/>
          <w:szCs w:val="18"/>
        </w:rPr>
        <w:t>$25,000 to &lt; $35,000</w:t>
      </w:r>
      <w:bookmarkEnd w:id="92"/>
    </w:p>
    <w:p w14:paraId="6E4F162A" w14:textId="5962682F" w:rsidR="00C733FB" w:rsidRPr="009A6D58" w:rsidRDefault="00C733FB" w:rsidP="00C733FB">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00CA49DA" w:rsidRPr="00CA49DA">
        <w:rPr>
          <w:rFonts w:ascii="Arial Narrow" w:hAnsi="Arial Narrow"/>
          <w:i/>
          <w:sz w:val="18"/>
          <w:szCs w:val="18"/>
        </w:rPr>
        <w:t>$15,000 to &lt; $25,000</w:t>
      </w:r>
    </w:p>
    <w:bookmarkEnd w:id="88"/>
    <w:p w14:paraId="6B122890" w14:textId="371DB807" w:rsidR="00C733FB" w:rsidRDefault="00C733FB" w:rsidP="00C733FB">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bookmarkStart w:id="93" w:name="_Hlk135060385"/>
      <w:r w:rsidR="00CA49DA" w:rsidRPr="00CA49DA">
        <w:rPr>
          <w:rFonts w:ascii="Arial Narrow" w:hAnsi="Arial Narrow"/>
          <w:i/>
          <w:sz w:val="18"/>
          <w:szCs w:val="18"/>
        </w:rPr>
        <w:t>$35,000 to &lt; $45,000</w:t>
      </w:r>
      <w:bookmarkEnd w:id="93"/>
    </w:p>
    <w:bookmarkEnd w:id="89"/>
    <w:p w14:paraId="32AB1E50" w14:textId="649400DC" w:rsidR="00C733FB" w:rsidRDefault="00C733FB" w:rsidP="00C733FB">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00CA49DA">
        <w:rPr>
          <w:rFonts w:ascii="Arial Narrow" w:hAnsi="Arial Narrow"/>
          <w:i/>
          <w:sz w:val="18"/>
          <w:szCs w:val="18"/>
        </w:rPr>
        <w:t>$</w:t>
      </w:r>
      <w:r w:rsidR="00CA49DA" w:rsidRPr="00CA49DA">
        <w:rPr>
          <w:rFonts w:ascii="Arial Narrow" w:hAnsi="Arial Narrow"/>
          <w:i/>
          <w:sz w:val="18"/>
          <w:szCs w:val="18"/>
        </w:rPr>
        <w:t>45,000 to &lt; $55,000</w:t>
      </w:r>
    </w:p>
    <w:bookmarkEnd w:id="90"/>
    <w:p w14:paraId="33526BBF" w14:textId="0215A162" w:rsidR="00C733FB" w:rsidRPr="00C733FB" w:rsidRDefault="00C733FB" w:rsidP="00C733FB">
      <w:pPr>
        <w:spacing w:after="120"/>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bookmarkStart w:id="94" w:name="_Hlk135040971"/>
      <w:bookmarkEnd w:id="91"/>
      <w:r w:rsidR="00CA49DA" w:rsidRPr="00CA49DA">
        <w:rPr>
          <w:rFonts w:ascii="Arial Narrow" w:hAnsi="Arial Narrow"/>
          <w:i/>
          <w:sz w:val="18"/>
          <w:szCs w:val="18"/>
        </w:rPr>
        <w:t>$55,000 to &lt; $75,000</w:t>
      </w:r>
      <w:bookmarkEnd w:id="94"/>
    </w:p>
    <w:p w14:paraId="289F0EB3" w14:textId="7722F463" w:rsidR="00F2381C" w:rsidRPr="000A6E90" w:rsidRDefault="00F2381C" w:rsidP="00F2381C">
      <w:pPr>
        <w:pStyle w:val="3-BodyText"/>
      </w:pPr>
      <w:r w:rsidRPr="000A6E90">
        <w:t>Results of sensitivity analyses presented in the submission and conducted during the evaluation showed that the model was most sensitive to</w:t>
      </w:r>
      <w:r w:rsidR="00041401">
        <w:t xml:space="preserve"> the</w:t>
      </w:r>
      <w:r w:rsidRPr="000A6E90">
        <w:t xml:space="preserve"> cure assumption, time horizon and discounting rate. Of these variables, </w:t>
      </w:r>
      <w:r w:rsidR="00041401">
        <w:t xml:space="preserve">the </w:t>
      </w:r>
      <w:r w:rsidRPr="000A6E90">
        <w:t>time horizon and cure assumptions were</w:t>
      </w:r>
      <w:r w:rsidR="00041401">
        <w:t xml:space="preserve"> considered by the evaluation to be the</w:t>
      </w:r>
      <w:r w:rsidRPr="000A6E90">
        <w:t xml:space="preserve"> two main economic concerns </w:t>
      </w:r>
      <w:r w:rsidR="00041401">
        <w:t>and</w:t>
      </w:r>
      <w:r w:rsidRPr="000A6E90">
        <w:t xml:space="preserve"> favoured neoNIVO. </w:t>
      </w:r>
    </w:p>
    <w:p w14:paraId="7903C423" w14:textId="52779A7A" w:rsidR="00F2381C" w:rsidRPr="00563002" w:rsidRDefault="00F2381C" w:rsidP="00F2381C">
      <w:pPr>
        <w:pStyle w:val="3-BodyText"/>
      </w:pPr>
      <w:bookmarkStart w:id="95" w:name="_Ref124414813"/>
      <w:r w:rsidRPr="000A6E90">
        <w:t>The submission assumed that the distribution of NSCLC treatments in the DM setting was the same for the two treatment arms. If this assumption holds, a change in the one-off weighted costs and QALYs would not have a large impact on the ICER (-</w:t>
      </w:r>
      <w:r w:rsidR="00CA49DA">
        <w:t> </w:t>
      </w:r>
      <w:r w:rsidRPr="000A6E90">
        <w:t>7.8%</w:t>
      </w:r>
      <w:r w:rsidR="00CA49DA">
        <w:t> t</w:t>
      </w:r>
      <w:r w:rsidRPr="000A6E90">
        <w:t>o</w:t>
      </w:r>
      <w:r w:rsidR="00CA49DA">
        <w:t> </w:t>
      </w:r>
      <w:r w:rsidRPr="000A6E90">
        <w:t xml:space="preserve">+9.2% change from base case ICER across analyses), as the payoffs only applied to the absolute difference in the proportion of patients entering the DM state between the two model arms for each cycle (cumulative difference over </w:t>
      </w:r>
      <w:r w:rsidR="00CA49DA" w:rsidRPr="000A6E90">
        <w:t>25</w:t>
      </w:r>
      <w:r w:rsidR="00CA49DA">
        <w:t> </w:t>
      </w:r>
      <w:r w:rsidRPr="000A6E90">
        <w:t>years: 11.4%). However, the submission’s assumption that most patients (70.4%) in the neoNIVO+neoChemo arm would be re-treated with a PD-(L)1 inhibitor for treatment of metastatic disease is not</w:t>
      </w:r>
      <w:r w:rsidR="00C86DF0">
        <w:t xml:space="preserve"> </w:t>
      </w:r>
      <w:r w:rsidRPr="000A6E90">
        <w:t xml:space="preserve">in line with current Australian clinical practice. </w:t>
      </w:r>
      <w:r w:rsidR="00C86DF0">
        <w:t>The evaluation noted that i</w:t>
      </w:r>
      <w:r w:rsidRPr="000A6E90">
        <w:t xml:space="preserve">f such use is not allowed in the neoNIVO arm of the model, the ICER would reduce by 17%. This was attributable to the inclusion of a non-cost-effective treatment, i.e. pembrolizumab + chemotherapy and pembrolizumab monotherapy, in the neoChemo arm but not in the neoNIVO+neoChemo arm. The economic model could be more sensitive to a change in QALYs and costs associated with DM therapies in a scenario where the relative use of NSCLC therapies is different following neoNIVO+neoChemo and following neoChemo. An additional sensitivity analysis was performed by assuming that, in the DM setting, all patients in the neoNIVO+neoChemo arm receive chemotherapy and all patients in the neoChemo arm receive pembrolizumab. The QALYs and costs associated with chemotherapy for metastatic disease were sourced from the submission’s estimates (i.e. 0.90 and $50,157, respectively, </w:t>
      </w:r>
      <w:r w:rsidRPr="000A6E90">
        <w:fldChar w:fldCharType="begin"/>
      </w:r>
      <w:r w:rsidRPr="000A6E90">
        <w:instrText xml:space="preserve"> REF _Ref124355072 \h  \* MERGEFORMAT </w:instrText>
      </w:r>
      <w:r w:rsidRPr="000A6E90">
        <w:fldChar w:fldCharType="separate"/>
      </w:r>
      <w:r w:rsidR="00A77D90">
        <w:t xml:space="preserve">Table </w:t>
      </w:r>
      <w:r w:rsidR="00A77D90">
        <w:rPr>
          <w:noProof/>
        </w:rPr>
        <w:t>19</w:t>
      </w:r>
      <w:r w:rsidRPr="000A6E90">
        <w:fldChar w:fldCharType="end"/>
      </w:r>
      <w:r w:rsidRPr="000A6E90">
        <w:t xml:space="preserve">). For </w:t>
      </w:r>
      <w:r w:rsidR="007A64EA" w:rsidRPr="000A6E90">
        <w:t xml:space="preserve">the </w:t>
      </w:r>
      <w:r w:rsidRPr="000A6E90">
        <w:t xml:space="preserve">purpose of the sensitivity analysis, the QALYs associated with pembrolizumab therapy in the DM health state were set to be the highest QALYs among pembrolizumab monotherapy, pembrolizumab combination therapy (non-squamous) and pembrolizumab combination therapy (squamous) (i.e. 1.81, as presented in </w:t>
      </w:r>
      <w:r w:rsidRPr="000A6E90">
        <w:fldChar w:fldCharType="begin"/>
      </w:r>
      <w:r w:rsidRPr="000A6E90">
        <w:instrText xml:space="preserve"> REF _Ref124355072 \h  \* MERGEFORMAT </w:instrText>
      </w:r>
      <w:r w:rsidRPr="000A6E90">
        <w:fldChar w:fldCharType="separate"/>
      </w:r>
      <w:r w:rsidR="00A77D90">
        <w:t xml:space="preserve">Table </w:t>
      </w:r>
      <w:r w:rsidR="00A77D90">
        <w:rPr>
          <w:noProof/>
        </w:rPr>
        <w:t>19</w:t>
      </w:r>
      <w:r w:rsidRPr="000A6E90">
        <w:fldChar w:fldCharType="end"/>
      </w:r>
      <w:r w:rsidRPr="000A6E90">
        <w:t>) and the costs for pembrolizumab therapy were set to be the lowest among the three pembrolizumab-containing therapies (i.e. $</w:t>
      </w:r>
      <w:r w:rsidR="001172C3" w:rsidRPr="00A77D90">
        <w:rPr>
          <w:color w:val="000000"/>
          <w:w w:val="15"/>
          <w:shd w:val="solid" w:color="000000" w:fill="000000"/>
          <w:fitText w:val="-20" w:id="-1234435067"/>
          <w14:textFill>
            <w14:solidFill>
              <w14:srgbClr w14:val="000000">
                <w14:alpha w14:val="100000"/>
              </w14:srgbClr>
            </w14:solidFill>
          </w14:textFill>
        </w:rPr>
        <w:t xml:space="preserve">|  </w:t>
      </w:r>
      <w:r w:rsidR="001172C3" w:rsidRPr="00A77D90">
        <w:rPr>
          <w:color w:val="000000"/>
          <w:spacing w:val="-69"/>
          <w:w w:val="15"/>
          <w:shd w:val="solid" w:color="000000" w:fill="000000"/>
          <w:fitText w:val="-20" w:id="-1234435067"/>
          <w14:textFill>
            <w14:solidFill>
              <w14:srgbClr w14:val="000000">
                <w14:alpha w14:val="100000"/>
              </w14:srgbClr>
            </w14:solidFill>
          </w14:textFill>
        </w:rPr>
        <w:t>|</w:t>
      </w:r>
      <w:r w:rsidRPr="000A6E90">
        <w:t xml:space="preserve">, as presented in </w:t>
      </w:r>
      <w:r w:rsidRPr="000A6E90">
        <w:fldChar w:fldCharType="begin"/>
      </w:r>
      <w:r w:rsidRPr="000A6E90">
        <w:instrText xml:space="preserve"> REF _Ref124355072 \h  \* MERGEFORMAT </w:instrText>
      </w:r>
      <w:r w:rsidRPr="000A6E90">
        <w:fldChar w:fldCharType="separate"/>
      </w:r>
      <w:r w:rsidR="00A77D90">
        <w:t xml:space="preserve">Table </w:t>
      </w:r>
      <w:r w:rsidR="00A77D90">
        <w:rPr>
          <w:noProof/>
        </w:rPr>
        <w:t>19</w:t>
      </w:r>
      <w:r w:rsidRPr="000A6E90">
        <w:fldChar w:fldCharType="end"/>
      </w:r>
      <w:r w:rsidRPr="000A6E90">
        <w:t xml:space="preserve">). Acknowledging the limitations of </w:t>
      </w:r>
      <w:r w:rsidR="005A4C9E" w:rsidRPr="000A6E90">
        <w:t>the assumptions</w:t>
      </w:r>
      <w:r w:rsidRPr="000A6E90">
        <w:rPr>
          <w:rFonts w:cstheme="minorHAnsi"/>
        </w:rPr>
        <w:t xml:space="preserve">, the evaluation </w:t>
      </w:r>
      <w:r w:rsidR="00D97F8D" w:rsidRPr="000A6E90">
        <w:rPr>
          <w:rFonts w:cstheme="minorHAnsi"/>
        </w:rPr>
        <w:t>performed</w:t>
      </w:r>
      <w:r w:rsidRPr="000A6E90">
        <w:rPr>
          <w:rFonts w:cstheme="minorHAnsi"/>
        </w:rPr>
        <w:t xml:space="preserve"> this </w:t>
      </w:r>
      <w:r w:rsidR="005A4C9E" w:rsidRPr="000A6E90">
        <w:rPr>
          <w:rFonts w:cstheme="minorHAnsi"/>
        </w:rPr>
        <w:t xml:space="preserve">sensitivity </w:t>
      </w:r>
      <w:r w:rsidRPr="000A6E90">
        <w:rPr>
          <w:rFonts w:cstheme="minorHAnsi"/>
        </w:rPr>
        <w:t xml:space="preserve">analysis to examine whether the economic model is sensitive to the change in </w:t>
      </w:r>
      <w:r w:rsidR="00D97F8D" w:rsidRPr="000A6E90">
        <w:rPr>
          <w:rFonts w:cstheme="minorHAnsi"/>
        </w:rPr>
        <w:t xml:space="preserve">the </w:t>
      </w:r>
      <w:r w:rsidRPr="000A6E90">
        <w:rPr>
          <w:rFonts w:cstheme="minorHAnsi"/>
        </w:rPr>
        <w:t xml:space="preserve">DM health state payoffs. </w:t>
      </w:r>
      <w:r w:rsidRPr="000A6E90">
        <w:t xml:space="preserve">The ICER for neoNIVO+neoChemo versus neoChemo would increase to </w:t>
      </w:r>
      <w:r w:rsidR="00CA49DA" w:rsidRPr="00CA49DA">
        <w:t>$35,000 to &lt; $45,000</w:t>
      </w:r>
      <w:r w:rsidR="00CA49DA">
        <w:t xml:space="preserve"> </w:t>
      </w:r>
      <w:r w:rsidRPr="000A6E90">
        <w:t>(14% higher than the base case result).</w:t>
      </w:r>
      <w:bookmarkEnd w:id="95"/>
      <w:r w:rsidRPr="000A6E90">
        <w:t xml:space="preserve"> </w:t>
      </w:r>
      <w:r w:rsidR="00B445E7" w:rsidRPr="00563002">
        <w:t xml:space="preserve">The ESC reiterated its concerns with the non-standard approach taken to modelling the DM health state (see paragraph </w:t>
      </w:r>
      <w:r w:rsidR="00B445E7" w:rsidRPr="00563002">
        <w:fldChar w:fldCharType="begin"/>
      </w:r>
      <w:r w:rsidR="00B445E7" w:rsidRPr="00563002">
        <w:instrText xml:space="preserve"> REF _Ref127117339 \r \h </w:instrText>
      </w:r>
      <w:r w:rsidR="00563002">
        <w:instrText xml:space="preserve"> \* MERGEFORMAT </w:instrText>
      </w:r>
      <w:r w:rsidR="00B445E7" w:rsidRPr="00563002">
        <w:fldChar w:fldCharType="separate"/>
      </w:r>
      <w:r w:rsidR="00A77D90">
        <w:t>6.77</w:t>
      </w:r>
      <w:r w:rsidR="00B445E7" w:rsidRPr="00563002">
        <w:fldChar w:fldCharType="end"/>
      </w:r>
      <w:r w:rsidR="00B445E7" w:rsidRPr="00563002">
        <w:t>)</w:t>
      </w:r>
      <w:r w:rsidR="000B411B" w:rsidRPr="00563002">
        <w:t>.</w:t>
      </w:r>
    </w:p>
    <w:p w14:paraId="20886E20" w14:textId="75AC6F5A" w:rsidR="00F2381C" w:rsidRPr="00563002" w:rsidRDefault="00F2381C" w:rsidP="00F2381C">
      <w:pPr>
        <w:pStyle w:val="3-BodyText"/>
        <w:rPr>
          <w:rFonts w:eastAsiaTheme="minorEastAsia"/>
          <w:lang w:val="en-GB"/>
        </w:rPr>
      </w:pPr>
      <w:r w:rsidRPr="00563002">
        <w:t>Results of sensitivity analyses showed that using a different jointly fitted extrapolation distribution for time to LR and for time to any progression did not affect the result greatly. However, sensitivity analyses using independent parametric functions for extrapolation could not be conducted during the evaluation, due to lack of relevant model parameters, and their impacts on the ICER are unknown.</w:t>
      </w:r>
      <w:r w:rsidR="002919FA" w:rsidRPr="00563002">
        <w:t xml:space="preserve"> The ESC note</w:t>
      </w:r>
      <w:r w:rsidR="00B445E7" w:rsidRPr="00563002">
        <w:t>d</w:t>
      </w:r>
      <w:r w:rsidR="002919FA" w:rsidRPr="00563002">
        <w:t xml:space="preserve"> the additional information in the PSCR</w:t>
      </w:r>
      <w:r w:rsidR="00DC3026" w:rsidRPr="00563002">
        <w:t xml:space="preserve"> </w:t>
      </w:r>
      <w:r w:rsidR="002919FA" w:rsidRPr="00563002">
        <w:t>on this point, which suggests the impact of allowing independent parametric functions to be modest.</w:t>
      </w:r>
    </w:p>
    <w:p w14:paraId="2CF57B65" w14:textId="406FAD28" w:rsidR="00F2381C" w:rsidRPr="000A6E90" w:rsidRDefault="00F2381C" w:rsidP="00F2381C">
      <w:pPr>
        <w:pStyle w:val="3-BodyText"/>
      </w:pPr>
      <w:r w:rsidRPr="000A6E90">
        <w:t>Other economic uncertainties, such as use of post-LR survival from the trial and transition rate from LR to DM had minimal impacts on the ICER.</w:t>
      </w:r>
      <w:r w:rsidR="0037051B">
        <w:t xml:space="preserve"> </w:t>
      </w:r>
    </w:p>
    <w:p w14:paraId="72750235" w14:textId="72191F27" w:rsidR="00C25D9C" w:rsidRDefault="00C25D9C" w:rsidP="00BB732D">
      <w:pPr>
        <w:pStyle w:val="4-SubsectionHeading"/>
      </w:pPr>
      <w:bookmarkStart w:id="96" w:name="_Toc124932960"/>
      <w:r w:rsidRPr="002C2775">
        <w:t>Drug cost/patient/course</w:t>
      </w:r>
      <w:bookmarkEnd w:id="63"/>
      <w:bookmarkEnd w:id="96"/>
    </w:p>
    <w:p w14:paraId="4CB00FA0" w14:textId="6CA48D27" w:rsidR="00494207" w:rsidRPr="00BB732D" w:rsidRDefault="00E16AD8" w:rsidP="00E16AD8">
      <w:pPr>
        <w:pStyle w:val="Caption"/>
        <w:rPr>
          <w:rStyle w:val="CommentReference"/>
          <w:b/>
          <w:szCs w:val="24"/>
        </w:rPr>
      </w:pPr>
      <w:bookmarkStart w:id="97" w:name="_Ref104805102"/>
      <w:r>
        <w:t xml:space="preserve">Table </w:t>
      </w:r>
      <w:r w:rsidR="00A77D90">
        <w:fldChar w:fldCharType="begin"/>
      </w:r>
      <w:r w:rsidR="00A77D90">
        <w:instrText xml:space="preserve"> SEQ Table \* ARABIC </w:instrText>
      </w:r>
      <w:r w:rsidR="00A77D90">
        <w:fldChar w:fldCharType="separate"/>
      </w:r>
      <w:r w:rsidR="00A77D90">
        <w:rPr>
          <w:noProof/>
        </w:rPr>
        <w:t>24</w:t>
      </w:r>
      <w:r w:rsidR="00A77D90">
        <w:rPr>
          <w:noProof/>
        </w:rPr>
        <w:fldChar w:fldCharType="end"/>
      </w:r>
      <w:bookmarkEnd w:id="97"/>
      <w:r>
        <w:t>:</w:t>
      </w:r>
      <w:r w:rsidR="00494207" w:rsidRPr="00BB732D">
        <w:rPr>
          <w:rStyle w:val="CommentReference"/>
          <w:b/>
          <w:szCs w:val="24"/>
        </w:rPr>
        <w:t xml:space="preserve"> Drug cost per patient for proposed and comparator drugs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1257"/>
        <w:gridCol w:w="1255"/>
        <w:gridCol w:w="1259"/>
        <w:gridCol w:w="1255"/>
        <w:gridCol w:w="1261"/>
        <w:gridCol w:w="1261"/>
      </w:tblGrid>
      <w:tr w:rsidR="00BE5172" w:rsidRPr="00E2771E" w14:paraId="0793F4EB" w14:textId="77777777" w:rsidTr="00161881">
        <w:trPr>
          <w:cantSplit/>
          <w:tblHeader/>
          <w:jc w:val="center"/>
        </w:trPr>
        <w:tc>
          <w:tcPr>
            <w:tcW w:w="815" w:type="pct"/>
            <w:shd w:val="clear" w:color="auto" w:fill="auto"/>
            <w:vAlign w:val="center"/>
          </w:tcPr>
          <w:p w14:paraId="2FF3629D" w14:textId="77777777" w:rsidR="00BE5172" w:rsidRPr="00E2771E" w:rsidRDefault="00BE5172" w:rsidP="00161881">
            <w:pPr>
              <w:pStyle w:val="In-tableHeading"/>
              <w:jc w:val="center"/>
            </w:pPr>
          </w:p>
        </w:tc>
        <w:tc>
          <w:tcPr>
            <w:tcW w:w="697" w:type="pct"/>
            <w:shd w:val="clear" w:color="auto" w:fill="auto"/>
            <w:vAlign w:val="center"/>
          </w:tcPr>
          <w:p w14:paraId="271AF3C2" w14:textId="77777777" w:rsidR="00BE5172" w:rsidRPr="00E2771E" w:rsidRDefault="00BE5172" w:rsidP="00161881">
            <w:pPr>
              <w:pStyle w:val="In-tableHeading"/>
              <w:jc w:val="center"/>
            </w:pPr>
            <w:r w:rsidRPr="00E2771E">
              <w:t>Proposed drug</w:t>
            </w:r>
          </w:p>
          <w:p w14:paraId="50062155" w14:textId="77777777" w:rsidR="00BE5172" w:rsidRPr="00F65EAA" w:rsidRDefault="00BE5172" w:rsidP="00161881">
            <w:pPr>
              <w:pStyle w:val="In-tableHeading"/>
              <w:jc w:val="center"/>
            </w:pPr>
            <w:r w:rsidRPr="00F65EAA">
              <w:t>Trial</w:t>
            </w:r>
            <w:r>
              <w:t xml:space="preserve"> </w:t>
            </w:r>
            <w:r w:rsidRPr="00F65EAA">
              <w:t>dos</w:t>
            </w:r>
            <w:r>
              <w:t>e</w:t>
            </w:r>
            <w:r w:rsidRPr="00F65EAA">
              <w:t xml:space="preserve"> and duration</w:t>
            </w:r>
          </w:p>
        </w:tc>
        <w:tc>
          <w:tcPr>
            <w:tcW w:w="696" w:type="pct"/>
            <w:shd w:val="clear" w:color="auto" w:fill="auto"/>
            <w:vAlign w:val="center"/>
          </w:tcPr>
          <w:p w14:paraId="16399B24" w14:textId="77777777" w:rsidR="00BE5172" w:rsidRDefault="00BE5172" w:rsidP="00161881">
            <w:pPr>
              <w:pStyle w:val="In-tableHeading"/>
              <w:jc w:val="center"/>
            </w:pPr>
            <w:r>
              <w:t>Proposed drug</w:t>
            </w:r>
          </w:p>
          <w:p w14:paraId="3B015EB7" w14:textId="77777777" w:rsidR="00BE5172" w:rsidRPr="00E2771E" w:rsidRDefault="00BE5172" w:rsidP="00161881">
            <w:pPr>
              <w:pStyle w:val="In-tableHeading"/>
              <w:jc w:val="center"/>
            </w:pPr>
            <w:r>
              <w:t>Model</w:t>
            </w:r>
          </w:p>
        </w:tc>
        <w:tc>
          <w:tcPr>
            <w:tcW w:w="698" w:type="pct"/>
            <w:shd w:val="clear" w:color="auto" w:fill="auto"/>
            <w:vAlign w:val="center"/>
          </w:tcPr>
          <w:p w14:paraId="3E9B5385" w14:textId="77777777" w:rsidR="00BE5172" w:rsidRDefault="00BE5172" w:rsidP="00161881">
            <w:pPr>
              <w:pStyle w:val="In-tableHeading"/>
              <w:jc w:val="center"/>
            </w:pPr>
            <w:r>
              <w:t>Proposed drug</w:t>
            </w:r>
          </w:p>
          <w:p w14:paraId="67DFE244" w14:textId="77777777" w:rsidR="00BE5172" w:rsidRPr="00E2771E" w:rsidRDefault="00BE5172" w:rsidP="00161881">
            <w:pPr>
              <w:pStyle w:val="In-tableHeading"/>
              <w:jc w:val="center"/>
            </w:pPr>
            <w:r>
              <w:t>Financial estimates</w:t>
            </w:r>
          </w:p>
        </w:tc>
        <w:tc>
          <w:tcPr>
            <w:tcW w:w="696" w:type="pct"/>
            <w:shd w:val="clear" w:color="auto" w:fill="auto"/>
            <w:vAlign w:val="center"/>
          </w:tcPr>
          <w:p w14:paraId="12F83973" w14:textId="77777777" w:rsidR="00BE5172" w:rsidRDefault="00BE5172" w:rsidP="00161881">
            <w:pPr>
              <w:pStyle w:val="In-tableHeading"/>
              <w:jc w:val="center"/>
            </w:pPr>
            <w:r>
              <w:t>Comparator</w:t>
            </w:r>
          </w:p>
          <w:p w14:paraId="57C0B616" w14:textId="77777777" w:rsidR="00BE5172" w:rsidRPr="00E2771E" w:rsidRDefault="00BE5172" w:rsidP="00161881">
            <w:pPr>
              <w:pStyle w:val="In-tableHeading"/>
              <w:jc w:val="center"/>
            </w:pPr>
            <w:r>
              <w:t>Trial dose and duration</w:t>
            </w:r>
          </w:p>
        </w:tc>
        <w:tc>
          <w:tcPr>
            <w:tcW w:w="699" w:type="pct"/>
            <w:shd w:val="clear" w:color="auto" w:fill="auto"/>
            <w:vAlign w:val="center"/>
          </w:tcPr>
          <w:p w14:paraId="17164482" w14:textId="77777777" w:rsidR="00BE5172" w:rsidRDefault="00BE5172" w:rsidP="00161881">
            <w:pPr>
              <w:pStyle w:val="In-tableHeading"/>
              <w:jc w:val="center"/>
            </w:pPr>
            <w:r>
              <w:t>Comparator</w:t>
            </w:r>
          </w:p>
          <w:p w14:paraId="4C4EF2E3" w14:textId="77777777" w:rsidR="00BE5172" w:rsidRPr="00E2771E" w:rsidRDefault="00BE5172" w:rsidP="00161881">
            <w:pPr>
              <w:pStyle w:val="In-tableHeading"/>
              <w:jc w:val="center"/>
            </w:pPr>
            <w:r>
              <w:t>Model</w:t>
            </w:r>
          </w:p>
        </w:tc>
        <w:tc>
          <w:tcPr>
            <w:tcW w:w="699" w:type="pct"/>
          </w:tcPr>
          <w:p w14:paraId="0BC8C922" w14:textId="77777777" w:rsidR="00BE5172" w:rsidRDefault="00BE5172" w:rsidP="00161881">
            <w:pPr>
              <w:pStyle w:val="In-tableHeading"/>
              <w:jc w:val="center"/>
            </w:pPr>
            <w:r>
              <w:t>Comparator</w:t>
            </w:r>
          </w:p>
          <w:p w14:paraId="30D8C896" w14:textId="77777777" w:rsidR="00BE5172" w:rsidRDefault="00BE5172" w:rsidP="00161881">
            <w:pPr>
              <w:pStyle w:val="In-tableHeading"/>
              <w:jc w:val="center"/>
            </w:pPr>
            <w:r>
              <w:t>Financial estimates</w:t>
            </w:r>
          </w:p>
        </w:tc>
      </w:tr>
      <w:tr w:rsidR="007965B5" w:rsidRPr="00E2771E" w14:paraId="15EAB9CA" w14:textId="77777777" w:rsidTr="007965B5">
        <w:trPr>
          <w:cantSplit/>
          <w:jc w:val="center"/>
        </w:trPr>
        <w:tc>
          <w:tcPr>
            <w:tcW w:w="815" w:type="pct"/>
            <w:shd w:val="clear" w:color="auto" w:fill="auto"/>
            <w:vAlign w:val="center"/>
          </w:tcPr>
          <w:p w14:paraId="5227875A" w14:textId="77777777" w:rsidR="007965B5" w:rsidRPr="001F5BDA" w:rsidRDefault="007965B5" w:rsidP="007965B5">
            <w:pPr>
              <w:pStyle w:val="TableText0"/>
              <w:rPr>
                <w:lang w:val="en-US"/>
              </w:rPr>
            </w:pPr>
            <w:r w:rsidRPr="001F5BDA">
              <w:rPr>
                <w:lang w:val="en-US"/>
              </w:rPr>
              <w:t>Mean dose</w:t>
            </w:r>
          </w:p>
        </w:tc>
        <w:tc>
          <w:tcPr>
            <w:tcW w:w="697" w:type="pct"/>
            <w:shd w:val="clear" w:color="auto" w:fill="auto"/>
            <w:vAlign w:val="center"/>
          </w:tcPr>
          <w:p w14:paraId="51807970" w14:textId="77777777" w:rsidR="007965B5" w:rsidRPr="00E2771E" w:rsidRDefault="007965B5" w:rsidP="007965B5">
            <w:pPr>
              <w:pStyle w:val="TableText0"/>
              <w:jc w:val="center"/>
              <w:rPr>
                <w:b/>
                <w:lang w:val="en-US"/>
              </w:rPr>
            </w:pPr>
            <w:r w:rsidRPr="00F475D4">
              <w:rPr>
                <w:lang w:val="en-US"/>
              </w:rPr>
              <w:t>NIVO 360 mg Q3W + chemo Q3W</w:t>
            </w:r>
            <w:r w:rsidRPr="00F475D4">
              <w:rPr>
                <w:vertAlign w:val="superscript"/>
                <w:lang w:val="en-US"/>
              </w:rPr>
              <w:t>a</w:t>
            </w:r>
          </w:p>
        </w:tc>
        <w:tc>
          <w:tcPr>
            <w:tcW w:w="696" w:type="pct"/>
            <w:shd w:val="clear" w:color="auto" w:fill="auto"/>
            <w:vAlign w:val="center"/>
          </w:tcPr>
          <w:p w14:paraId="48BF8D30" w14:textId="77777777" w:rsidR="007965B5" w:rsidRPr="00F475D4" w:rsidRDefault="007965B5" w:rsidP="007965B5">
            <w:pPr>
              <w:pStyle w:val="TableText0"/>
              <w:jc w:val="center"/>
              <w:rPr>
                <w:vertAlign w:val="superscript"/>
                <w:lang w:val="en-US"/>
              </w:rPr>
            </w:pPr>
            <w:r w:rsidRPr="00F475D4">
              <w:rPr>
                <w:lang w:val="en-US"/>
              </w:rPr>
              <w:t>NIVO 360 mg Q3W + chemo Q3W</w:t>
            </w:r>
            <w:r w:rsidRPr="00F475D4">
              <w:rPr>
                <w:vertAlign w:val="superscript"/>
                <w:lang w:val="en-US"/>
              </w:rPr>
              <w:t>a</w:t>
            </w:r>
          </w:p>
        </w:tc>
        <w:tc>
          <w:tcPr>
            <w:tcW w:w="698" w:type="pct"/>
            <w:shd w:val="clear" w:color="auto" w:fill="auto"/>
            <w:vAlign w:val="center"/>
          </w:tcPr>
          <w:p w14:paraId="7798398F" w14:textId="02E07CB2" w:rsidR="007965B5" w:rsidRDefault="007965B5" w:rsidP="007965B5">
            <w:pPr>
              <w:pStyle w:val="TableText0"/>
              <w:jc w:val="center"/>
              <w:rPr>
                <w:b/>
                <w:lang w:val="en-US"/>
              </w:rPr>
            </w:pPr>
            <w:r w:rsidRPr="00F475D4">
              <w:rPr>
                <w:lang w:val="en-US"/>
              </w:rPr>
              <w:t>NIVO 360 mg Q3W + chemo Q3W</w:t>
            </w:r>
            <w:r w:rsidRPr="00F475D4">
              <w:rPr>
                <w:vertAlign w:val="superscript"/>
                <w:lang w:val="en-US"/>
              </w:rPr>
              <w:t>a</w:t>
            </w:r>
          </w:p>
        </w:tc>
        <w:tc>
          <w:tcPr>
            <w:tcW w:w="696" w:type="pct"/>
            <w:shd w:val="clear" w:color="auto" w:fill="auto"/>
            <w:vAlign w:val="center"/>
          </w:tcPr>
          <w:p w14:paraId="25E51BF6" w14:textId="7372171B" w:rsidR="007965B5" w:rsidRDefault="007965B5" w:rsidP="007965B5">
            <w:pPr>
              <w:pStyle w:val="TableText0"/>
              <w:jc w:val="center"/>
              <w:rPr>
                <w:b/>
                <w:lang w:val="en-US"/>
              </w:rPr>
            </w:pPr>
            <w:r w:rsidRPr="00F475D4">
              <w:rPr>
                <w:lang w:val="en-US"/>
              </w:rPr>
              <w:t>chemo Q3W</w:t>
            </w:r>
            <w:r w:rsidRPr="00F475D4">
              <w:rPr>
                <w:vertAlign w:val="superscript"/>
                <w:lang w:val="en-US"/>
              </w:rPr>
              <w:t>a</w:t>
            </w:r>
          </w:p>
        </w:tc>
        <w:tc>
          <w:tcPr>
            <w:tcW w:w="699" w:type="pct"/>
            <w:shd w:val="clear" w:color="auto" w:fill="auto"/>
            <w:vAlign w:val="center"/>
          </w:tcPr>
          <w:p w14:paraId="616E6D54" w14:textId="77777777" w:rsidR="007965B5" w:rsidRPr="00F475D4" w:rsidRDefault="007965B5" w:rsidP="007965B5">
            <w:pPr>
              <w:pStyle w:val="TableText0"/>
              <w:jc w:val="center"/>
              <w:rPr>
                <w:vertAlign w:val="superscript"/>
                <w:lang w:val="en-US"/>
              </w:rPr>
            </w:pPr>
            <w:r w:rsidRPr="00F475D4">
              <w:rPr>
                <w:lang w:val="en-US"/>
              </w:rPr>
              <w:t>chemo Q3W</w:t>
            </w:r>
            <w:r w:rsidRPr="00F475D4">
              <w:rPr>
                <w:vertAlign w:val="superscript"/>
                <w:lang w:val="en-US"/>
              </w:rPr>
              <w:t>a</w:t>
            </w:r>
          </w:p>
        </w:tc>
        <w:tc>
          <w:tcPr>
            <w:tcW w:w="699" w:type="pct"/>
            <w:vAlign w:val="center"/>
          </w:tcPr>
          <w:p w14:paraId="64651BDC" w14:textId="63E2129F" w:rsidR="007965B5" w:rsidRDefault="007965B5" w:rsidP="007965B5">
            <w:pPr>
              <w:pStyle w:val="TableText0"/>
              <w:jc w:val="center"/>
              <w:rPr>
                <w:b/>
                <w:lang w:val="en-US"/>
              </w:rPr>
            </w:pPr>
            <w:r w:rsidRPr="00F475D4">
              <w:rPr>
                <w:lang w:val="en-US"/>
              </w:rPr>
              <w:t>chemo Q3W</w:t>
            </w:r>
            <w:r w:rsidRPr="00F475D4">
              <w:rPr>
                <w:vertAlign w:val="superscript"/>
                <w:lang w:val="en-US"/>
              </w:rPr>
              <w:t>a</w:t>
            </w:r>
          </w:p>
        </w:tc>
      </w:tr>
      <w:tr w:rsidR="007965B5" w:rsidRPr="00E2771E" w14:paraId="783D37AF" w14:textId="77777777" w:rsidTr="007965B5">
        <w:trPr>
          <w:cantSplit/>
          <w:jc w:val="center"/>
        </w:trPr>
        <w:tc>
          <w:tcPr>
            <w:tcW w:w="815" w:type="pct"/>
            <w:shd w:val="clear" w:color="auto" w:fill="auto"/>
            <w:vAlign w:val="center"/>
          </w:tcPr>
          <w:p w14:paraId="68E63F51" w14:textId="77777777" w:rsidR="007965B5" w:rsidRPr="001F5BDA" w:rsidRDefault="007965B5" w:rsidP="007965B5">
            <w:pPr>
              <w:pStyle w:val="TableText0"/>
              <w:rPr>
                <w:lang w:val="en-US"/>
              </w:rPr>
            </w:pPr>
            <w:r w:rsidRPr="001F5BDA">
              <w:rPr>
                <w:lang w:val="en-US"/>
              </w:rPr>
              <w:t>Mean</w:t>
            </w:r>
            <w:r>
              <w:rPr>
                <w:lang w:val="en-US"/>
              </w:rPr>
              <w:t xml:space="preserve"> number of 3-week cycles</w:t>
            </w:r>
          </w:p>
        </w:tc>
        <w:tc>
          <w:tcPr>
            <w:tcW w:w="697" w:type="pct"/>
            <w:shd w:val="clear" w:color="auto" w:fill="auto"/>
            <w:vAlign w:val="center"/>
          </w:tcPr>
          <w:p w14:paraId="6417E475" w14:textId="77777777" w:rsidR="007965B5" w:rsidRPr="00FA6D7E" w:rsidRDefault="007965B5" w:rsidP="007965B5">
            <w:pPr>
              <w:pStyle w:val="TableText0"/>
              <w:jc w:val="center"/>
              <w:rPr>
                <w:b/>
                <w:vertAlign w:val="superscript"/>
                <w:lang w:val="en-US"/>
              </w:rPr>
            </w:pPr>
            <w:r w:rsidRPr="00FA6D7E">
              <w:rPr>
                <w:lang w:val="en-US"/>
              </w:rPr>
              <w:t>2.91</w:t>
            </w:r>
            <w:r w:rsidRPr="00DB5F4B">
              <w:rPr>
                <w:vertAlign w:val="superscript"/>
                <w:lang w:val="en-US"/>
              </w:rPr>
              <w:t>b</w:t>
            </w:r>
          </w:p>
        </w:tc>
        <w:tc>
          <w:tcPr>
            <w:tcW w:w="696" w:type="pct"/>
            <w:shd w:val="clear" w:color="auto" w:fill="auto"/>
            <w:vAlign w:val="center"/>
          </w:tcPr>
          <w:p w14:paraId="03A45B23" w14:textId="77777777" w:rsidR="007965B5" w:rsidRPr="00462FE8" w:rsidRDefault="007965B5" w:rsidP="007965B5">
            <w:pPr>
              <w:pStyle w:val="TableText0"/>
              <w:jc w:val="center"/>
              <w:rPr>
                <w:lang w:val="en-US"/>
              </w:rPr>
            </w:pPr>
            <w:r w:rsidRPr="00462FE8">
              <w:rPr>
                <w:lang w:val="en-US"/>
              </w:rPr>
              <w:t>2.99</w:t>
            </w:r>
          </w:p>
        </w:tc>
        <w:tc>
          <w:tcPr>
            <w:tcW w:w="698" w:type="pct"/>
            <w:shd w:val="clear" w:color="auto" w:fill="auto"/>
            <w:vAlign w:val="center"/>
          </w:tcPr>
          <w:p w14:paraId="0256BAA4" w14:textId="77777777" w:rsidR="00BF14E8" w:rsidRDefault="00BF14E8" w:rsidP="00BF14E8">
            <w:pPr>
              <w:pStyle w:val="TableText0"/>
              <w:jc w:val="center"/>
              <w:rPr>
                <w:lang w:val="en-US"/>
              </w:rPr>
            </w:pPr>
            <w:r>
              <w:rPr>
                <w:lang w:val="en-US"/>
              </w:rPr>
              <w:t xml:space="preserve">NIVO: </w:t>
            </w:r>
            <w:r w:rsidRPr="000A27D0">
              <w:rPr>
                <w:lang w:val="en-US"/>
              </w:rPr>
              <w:t>2.91</w:t>
            </w:r>
          </w:p>
          <w:p w14:paraId="53490024" w14:textId="5442E243" w:rsidR="007965B5" w:rsidRDefault="00BF14E8" w:rsidP="00BF14E8">
            <w:pPr>
              <w:pStyle w:val="TableText0"/>
              <w:jc w:val="center"/>
              <w:rPr>
                <w:b/>
                <w:lang w:val="en-US"/>
              </w:rPr>
            </w:pPr>
            <w:r>
              <w:rPr>
                <w:lang w:val="en-US"/>
              </w:rPr>
              <w:t>Chemo: 2.63-2.93</w:t>
            </w:r>
          </w:p>
        </w:tc>
        <w:tc>
          <w:tcPr>
            <w:tcW w:w="696" w:type="pct"/>
            <w:shd w:val="clear" w:color="auto" w:fill="auto"/>
            <w:vAlign w:val="center"/>
          </w:tcPr>
          <w:p w14:paraId="32974849" w14:textId="77777777" w:rsidR="007965B5" w:rsidRDefault="007965B5" w:rsidP="007965B5">
            <w:pPr>
              <w:pStyle w:val="TableText0"/>
              <w:jc w:val="center"/>
              <w:rPr>
                <w:b/>
                <w:lang w:val="en-US"/>
              </w:rPr>
            </w:pPr>
            <w:r w:rsidRPr="000002B6">
              <w:rPr>
                <w:lang w:val="en-US"/>
              </w:rPr>
              <w:t>2.71</w:t>
            </w:r>
            <w:r>
              <w:rPr>
                <w:vertAlign w:val="superscript"/>
                <w:lang w:val="en-US"/>
              </w:rPr>
              <w:t>c</w:t>
            </w:r>
          </w:p>
        </w:tc>
        <w:tc>
          <w:tcPr>
            <w:tcW w:w="699" w:type="pct"/>
            <w:shd w:val="clear" w:color="auto" w:fill="auto"/>
            <w:vAlign w:val="center"/>
          </w:tcPr>
          <w:p w14:paraId="70BCDEE0" w14:textId="77777777" w:rsidR="007965B5" w:rsidRPr="00871FD9" w:rsidRDefault="007965B5" w:rsidP="007965B5">
            <w:pPr>
              <w:pStyle w:val="TableText0"/>
              <w:jc w:val="center"/>
              <w:rPr>
                <w:vertAlign w:val="superscript"/>
                <w:lang w:val="en-US"/>
              </w:rPr>
            </w:pPr>
            <w:r w:rsidRPr="00F475D4">
              <w:rPr>
                <w:lang w:val="en-US"/>
              </w:rPr>
              <w:t>2.99</w:t>
            </w:r>
          </w:p>
        </w:tc>
        <w:tc>
          <w:tcPr>
            <w:tcW w:w="699" w:type="pct"/>
            <w:vAlign w:val="center"/>
          </w:tcPr>
          <w:p w14:paraId="18BF26B9" w14:textId="38929101" w:rsidR="007965B5" w:rsidRDefault="00BF14E8" w:rsidP="007965B5">
            <w:pPr>
              <w:pStyle w:val="TableText0"/>
              <w:jc w:val="center"/>
              <w:rPr>
                <w:b/>
                <w:lang w:val="en-US"/>
              </w:rPr>
            </w:pPr>
            <w:r w:rsidRPr="000A27D0">
              <w:rPr>
                <w:lang w:val="en-US"/>
              </w:rPr>
              <w:t>2.</w:t>
            </w:r>
            <w:r>
              <w:rPr>
                <w:lang w:val="en-US"/>
              </w:rPr>
              <w:t>48 - 2.86</w:t>
            </w:r>
          </w:p>
        </w:tc>
      </w:tr>
      <w:tr w:rsidR="007965B5" w:rsidRPr="00E2771E" w14:paraId="02CE9B9F" w14:textId="77777777" w:rsidTr="00161881">
        <w:trPr>
          <w:cantSplit/>
          <w:jc w:val="center"/>
        </w:trPr>
        <w:tc>
          <w:tcPr>
            <w:tcW w:w="815" w:type="pct"/>
            <w:shd w:val="clear" w:color="auto" w:fill="auto"/>
            <w:vAlign w:val="center"/>
          </w:tcPr>
          <w:p w14:paraId="5F8E226B" w14:textId="001FCEBD" w:rsidR="007965B5" w:rsidRPr="00DB5F4B" w:rsidRDefault="007965B5" w:rsidP="007965B5">
            <w:pPr>
              <w:pStyle w:val="TableText0"/>
              <w:rPr>
                <w:vertAlign w:val="superscript"/>
                <w:lang w:val="en-US"/>
              </w:rPr>
            </w:pPr>
            <w:r>
              <w:rPr>
                <w:lang w:val="en-US"/>
              </w:rPr>
              <w:t>Cost/cycle</w:t>
            </w:r>
            <w:r w:rsidRPr="00DB5F4B">
              <w:rPr>
                <w:vertAlign w:val="superscript"/>
                <w:lang w:val="en-US"/>
              </w:rPr>
              <w:t>d</w:t>
            </w:r>
          </w:p>
        </w:tc>
        <w:tc>
          <w:tcPr>
            <w:tcW w:w="697" w:type="pct"/>
            <w:shd w:val="clear" w:color="auto" w:fill="auto"/>
            <w:vAlign w:val="center"/>
          </w:tcPr>
          <w:p w14:paraId="6ACB47CC" w14:textId="6FA13C14" w:rsidR="007965B5" w:rsidRPr="00E2771E" w:rsidRDefault="007965B5" w:rsidP="007965B5">
            <w:pPr>
              <w:pStyle w:val="TableText0"/>
              <w:jc w:val="center"/>
              <w:rPr>
                <w:lang w:val="en-US"/>
              </w:rPr>
            </w:pPr>
            <w:r>
              <w:rPr>
                <w:lang w:val="en-US"/>
              </w:rPr>
              <w:t>$</w:t>
            </w:r>
            <w:r w:rsidR="001172C3" w:rsidRPr="00EC5EF5">
              <w:rPr>
                <w:color w:val="000000"/>
                <w:spacing w:val="76"/>
                <w:shd w:val="solid" w:color="000000" w:fill="000000"/>
                <w:fitText w:val="162" w:id="-1234435066"/>
                <w:lang w:val="en-US"/>
                <w14:textFill>
                  <w14:solidFill>
                    <w14:srgbClr w14:val="000000">
                      <w14:alpha w14:val="100000"/>
                    </w14:srgbClr>
                  </w14:solidFill>
                </w14:textFill>
              </w:rPr>
              <w:t>|</w:t>
            </w:r>
            <w:r w:rsidR="001172C3" w:rsidRPr="00EC5EF5">
              <w:rPr>
                <w:color w:val="000000"/>
                <w:shd w:val="solid" w:color="000000" w:fill="000000"/>
                <w:fitText w:val="162" w:id="-1234435066"/>
                <w:lang w:val="en-US"/>
                <w14:textFill>
                  <w14:solidFill>
                    <w14:srgbClr w14:val="000000">
                      <w14:alpha w14:val="100000"/>
                    </w14:srgbClr>
                  </w14:solidFill>
                </w14:textFill>
              </w:rPr>
              <w:t>|</w:t>
            </w:r>
          </w:p>
        </w:tc>
        <w:tc>
          <w:tcPr>
            <w:tcW w:w="696" w:type="pct"/>
            <w:shd w:val="clear" w:color="auto" w:fill="auto"/>
            <w:vAlign w:val="center"/>
          </w:tcPr>
          <w:p w14:paraId="138E50A7" w14:textId="586EF8DA" w:rsidR="007965B5" w:rsidRPr="00E2771E" w:rsidRDefault="007965B5" w:rsidP="007965B5">
            <w:pPr>
              <w:pStyle w:val="TableText0"/>
              <w:jc w:val="center"/>
              <w:rPr>
                <w:lang w:val="en-US"/>
              </w:rPr>
            </w:pPr>
            <w:r>
              <w:rPr>
                <w:lang w:val="en-US"/>
              </w:rPr>
              <w:t>$</w:t>
            </w:r>
            <w:r w:rsidR="001172C3" w:rsidRPr="00EC5EF5">
              <w:rPr>
                <w:color w:val="000000"/>
                <w:spacing w:val="75"/>
                <w:shd w:val="solid" w:color="000000" w:fill="000000"/>
                <w:fitText w:val="161" w:id="-1234435065"/>
                <w:lang w:val="en-US"/>
                <w14:textFill>
                  <w14:solidFill>
                    <w14:srgbClr w14:val="000000">
                      <w14:alpha w14:val="100000"/>
                    </w14:srgbClr>
                  </w14:solidFill>
                </w14:textFill>
              </w:rPr>
              <w:t>|</w:t>
            </w:r>
            <w:r w:rsidR="001172C3" w:rsidRPr="00EC5EF5">
              <w:rPr>
                <w:color w:val="000000"/>
                <w:shd w:val="solid" w:color="000000" w:fill="000000"/>
                <w:fitText w:val="161" w:id="-1234435065"/>
                <w:lang w:val="en-US"/>
                <w14:textFill>
                  <w14:solidFill>
                    <w14:srgbClr w14:val="000000">
                      <w14:alpha w14:val="100000"/>
                    </w14:srgbClr>
                  </w14:solidFill>
                </w14:textFill>
              </w:rPr>
              <w:t>|</w:t>
            </w:r>
          </w:p>
        </w:tc>
        <w:tc>
          <w:tcPr>
            <w:tcW w:w="698" w:type="pct"/>
            <w:shd w:val="clear" w:color="auto" w:fill="auto"/>
            <w:vAlign w:val="center"/>
          </w:tcPr>
          <w:p w14:paraId="55B8CDBD" w14:textId="3608FF88" w:rsidR="007965B5" w:rsidRPr="00E2771E" w:rsidRDefault="00BF14E8" w:rsidP="007965B5">
            <w:pPr>
              <w:pStyle w:val="TableText0"/>
              <w:jc w:val="center"/>
              <w:rPr>
                <w:lang w:val="en-US"/>
              </w:rPr>
            </w:pPr>
            <w:r>
              <w:rPr>
                <w:lang w:val="en-US"/>
              </w:rPr>
              <w:t>Not reported</w:t>
            </w:r>
          </w:p>
        </w:tc>
        <w:tc>
          <w:tcPr>
            <w:tcW w:w="696" w:type="pct"/>
            <w:shd w:val="clear" w:color="auto" w:fill="auto"/>
            <w:vAlign w:val="center"/>
          </w:tcPr>
          <w:p w14:paraId="2DB9B8E8" w14:textId="44E978C4" w:rsidR="007965B5" w:rsidRPr="00E2771E" w:rsidRDefault="007965B5" w:rsidP="007965B5">
            <w:pPr>
              <w:pStyle w:val="TableText0"/>
              <w:jc w:val="center"/>
              <w:rPr>
                <w:lang w:val="en-US"/>
              </w:rPr>
            </w:pPr>
            <w:r>
              <w:rPr>
                <w:lang w:val="en-US"/>
              </w:rPr>
              <w:t>$418</w:t>
            </w:r>
          </w:p>
        </w:tc>
        <w:tc>
          <w:tcPr>
            <w:tcW w:w="699" w:type="pct"/>
            <w:shd w:val="clear" w:color="auto" w:fill="auto"/>
            <w:vAlign w:val="center"/>
          </w:tcPr>
          <w:p w14:paraId="48F76FAD" w14:textId="77777777" w:rsidR="007965B5" w:rsidRPr="00E2771E" w:rsidRDefault="007965B5" w:rsidP="007965B5">
            <w:pPr>
              <w:pStyle w:val="TableText0"/>
              <w:jc w:val="center"/>
              <w:rPr>
                <w:lang w:val="en-US"/>
              </w:rPr>
            </w:pPr>
            <w:r>
              <w:rPr>
                <w:lang w:val="en-US"/>
              </w:rPr>
              <w:t>$418</w:t>
            </w:r>
          </w:p>
        </w:tc>
        <w:tc>
          <w:tcPr>
            <w:tcW w:w="699" w:type="pct"/>
          </w:tcPr>
          <w:p w14:paraId="5784200E" w14:textId="19F744DA" w:rsidR="007965B5" w:rsidRPr="00E2771E" w:rsidRDefault="00BF14E8" w:rsidP="007965B5">
            <w:pPr>
              <w:pStyle w:val="TableText0"/>
              <w:jc w:val="center"/>
              <w:rPr>
                <w:lang w:val="en-US"/>
              </w:rPr>
            </w:pPr>
            <w:r>
              <w:rPr>
                <w:lang w:val="en-US"/>
              </w:rPr>
              <w:t>Not reported</w:t>
            </w:r>
          </w:p>
        </w:tc>
      </w:tr>
      <w:tr w:rsidR="007965B5" w:rsidRPr="00E2771E" w14:paraId="28A520B5" w14:textId="77777777" w:rsidTr="007965B5">
        <w:trPr>
          <w:cantSplit/>
          <w:jc w:val="center"/>
        </w:trPr>
        <w:tc>
          <w:tcPr>
            <w:tcW w:w="815" w:type="pct"/>
            <w:shd w:val="clear" w:color="auto" w:fill="auto"/>
            <w:vAlign w:val="center"/>
          </w:tcPr>
          <w:p w14:paraId="4B34D0C4" w14:textId="77777777" w:rsidR="007965B5" w:rsidRPr="000002B6" w:rsidRDefault="007965B5" w:rsidP="007965B5">
            <w:pPr>
              <w:pStyle w:val="TableText0"/>
              <w:rPr>
                <w:vertAlign w:val="superscript"/>
                <w:lang w:val="en-US"/>
              </w:rPr>
            </w:pPr>
            <w:r>
              <w:rPr>
                <w:lang w:val="en-US"/>
              </w:rPr>
              <w:t>Cost/patient/</w:t>
            </w:r>
            <w:r>
              <w:rPr>
                <w:lang w:val="en-US"/>
              </w:rPr>
              <w:br/>
              <w:t>course</w:t>
            </w:r>
            <w:r>
              <w:rPr>
                <w:vertAlign w:val="superscript"/>
                <w:lang w:val="en-US"/>
              </w:rPr>
              <w:t>d</w:t>
            </w:r>
          </w:p>
        </w:tc>
        <w:tc>
          <w:tcPr>
            <w:tcW w:w="697" w:type="pct"/>
            <w:shd w:val="clear" w:color="auto" w:fill="auto"/>
            <w:vAlign w:val="center"/>
          </w:tcPr>
          <w:p w14:paraId="4439DD46" w14:textId="3B7E0BBD" w:rsidR="007965B5" w:rsidRPr="00E2771E" w:rsidRDefault="007965B5" w:rsidP="007965B5">
            <w:pPr>
              <w:pStyle w:val="TableText0"/>
              <w:jc w:val="center"/>
              <w:rPr>
                <w:lang w:val="en-US"/>
              </w:rPr>
            </w:pPr>
            <w:r>
              <w:rPr>
                <w:lang w:val="en-US"/>
              </w:rPr>
              <w:t>$</w:t>
            </w:r>
            <w:r w:rsidR="001172C3" w:rsidRPr="00EC5EF5">
              <w:rPr>
                <w:color w:val="000000"/>
                <w:spacing w:val="76"/>
                <w:shd w:val="solid" w:color="000000" w:fill="000000"/>
                <w:fitText w:val="162" w:id="-1234435064"/>
                <w:lang w:val="en-US"/>
                <w14:textFill>
                  <w14:solidFill>
                    <w14:srgbClr w14:val="000000">
                      <w14:alpha w14:val="100000"/>
                    </w14:srgbClr>
                  </w14:solidFill>
                </w14:textFill>
              </w:rPr>
              <w:t>|</w:t>
            </w:r>
            <w:r w:rsidR="001172C3" w:rsidRPr="00EC5EF5">
              <w:rPr>
                <w:color w:val="000000"/>
                <w:shd w:val="solid" w:color="000000" w:fill="000000"/>
                <w:fitText w:val="162" w:id="-1234435064"/>
                <w:lang w:val="en-US"/>
                <w14:textFill>
                  <w14:solidFill>
                    <w14:srgbClr w14:val="000000">
                      <w14:alpha w14:val="100000"/>
                    </w14:srgbClr>
                  </w14:solidFill>
                </w14:textFill>
              </w:rPr>
              <w:t>|</w:t>
            </w:r>
          </w:p>
        </w:tc>
        <w:tc>
          <w:tcPr>
            <w:tcW w:w="696" w:type="pct"/>
            <w:shd w:val="clear" w:color="auto" w:fill="auto"/>
            <w:vAlign w:val="center"/>
          </w:tcPr>
          <w:p w14:paraId="7AEAB0C0" w14:textId="446A6573" w:rsidR="007965B5" w:rsidRPr="00E2771E" w:rsidRDefault="007965B5" w:rsidP="007965B5">
            <w:pPr>
              <w:pStyle w:val="TableText0"/>
              <w:jc w:val="center"/>
              <w:rPr>
                <w:lang w:val="en-US"/>
              </w:rPr>
            </w:pPr>
            <w:r w:rsidRPr="00F475D4">
              <w:rPr>
                <w:lang w:val="en-US"/>
              </w:rPr>
              <w:t>$</w:t>
            </w:r>
            <w:r w:rsidR="001172C3" w:rsidRPr="00EC5EF5">
              <w:rPr>
                <w:color w:val="000000"/>
                <w:spacing w:val="75"/>
                <w:shd w:val="solid" w:color="000000" w:fill="000000"/>
                <w:fitText w:val="161" w:id="-1234435063"/>
                <w:lang w:val="en-US"/>
                <w14:textFill>
                  <w14:solidFill>
                    <w14:srgbClr w14:val="000000">
                      <w14:alpha w14:val="100000"/>
                    </w14:srgbClr>
                  </w14:solidFill>
                </w14:textFill>
              </w:rPr>
              <w:t>|</w:t>
            </w:r>
            <w:r w:rsidR="001172C3" w:rsidRPr="00EC5EF5">
              <w:rPr>
                <w:color w:val="000000"/>
                <w:shd w:val="solid" w:color="000000" w:fill="000000"/>
                <w:fitText w:val="161" w:id="-1234435063"/>
                <w:lang w:val="en-US"/>
                <w14:textFill>
                  <w14:solidFill>
                    <w14:srgbClr w14:val="000000">
                      <w14:alpha w14:val="100000"/>
                    </w14:srgbClr>
                  </w14:solidFill>
                </w14:textFill>
              </w:rPr>
              <w:t>|</w:t>
            </w:r>
          </w:p>
        </w:tc>
        <w:tc>
          <w:tcPr>
            <w:tcW w:w="698" w:type="pct"/>
            <w:shd w:val="clear" w:color="auto" w:fill="auto"/>
            <w:vAlign w:val="center"/>
          </w:tcPr>
          <w:p w14:paraId="188BAC4A" w14:textId="25DEB0B7" w:rsidR="007965B5" w:rsidRPr="00E2771E" w:rsidRDefault="007965B5" w:rsidP="007965B5">
            <w:pPr>
              <w:pStyle w:val="TableText0"/>
              <w:jc w:val="center"/>
              <w:rPr>
                <w:lang w:val="en-US"/>
              </w:rPr>
            </w:pPr>
            <w:r w:rsidRPr="007E052F">
              <w:rPr>
                <w:lang w:val="en-US"/>
              </w:rPr>
              <w:t>$</w:t>
            </w:r>
            <w:r w:rsidR="001172C3" w:rsidRPr="00EC5EF5">
              <w:rPr>
                <w:rFonts w:hint="eastAsia"/>
                <w:color w:val="000000"/>
                <w:w w:val="33"/>
                <w:shd w:val="solid" w:color="000000" w:fill="000000"/>
                <w:fitText w:val="150" w:id="-1234435062"/>
                <w:lang w:val="en-US"/>
                <w14:textFill>
                  <w14:solidFill>
                    <w14:srgbClr w14:val="000000">
                      <w14:alpha w14:val="100000"/>
                    </w14:srgbClr>
                  </w14:solidFill>
                </w14:textFill>
              </w:rPr>
              <w:t xml:space="preserve">　</w:t>
            </w:r>
            <w:r w:rsidR="001172C3" w:rsidRPr="00EC5EF5">
              <w:rPr>
                <w:color w:val="000000"/>
                <w:w w:val="33"/>
                <w:shd w:val="solid" w:color="000000" w:fill="000000"/>
                <w:fitText w:val="150" w:id="-1234435062"/>
                <w:lang w:val="en-US"/>
                <w14:textFill>
                  <w14:solidFill>
                    <w14:srgbClr w14:val="000000">
                      <w14:alpha w14:val="100000"/>
                    </w14:srgbClr>
                  </w14:solidFill>
                </w14:textFill>
              </w:rPr>
              <w:t>|</w:t>
            </w:r>
            <w:r w:rsidR="001172C3" w:rsidRPr="00EC5EF5">
              <w:rPr>
                <w:rFonts w:hint="eastAsia"/>
                <w:color w:val="000000"/>
                <w:w w:val="33"/>
                <w:shd w:val="solid" w:color="000000" w:fill="000000"/>
                <w:fitText w:val="150" w:id="-1234435062"/>
                <w:lang w:val="en-US"/>
                <w14:textFill>
                  <w14:solidFill>
                    <w14:srgbClr w14:val="000000">
                      <w14:alpha w14:val="100000"/>
                    </w14:srgbClr>
                  </w14:solidFill>
                </w14:textFill>
              </w:rPr>
              <w:t xml:space="preserve">　</w:t>
            </w:r>
          </w:p>
        </w:tc>
        <w:tc>
          <w:tcPr>
            <w:tcW w:w="696" w:type="pct"/>
            <w:shd w:val="clear" w:color="auto" w:fill="auto"/>
            <w:vAlign w:val="center"/>
          </w:tcPr>
          <w:p w14:paraId="415D5425" w14:textId="77777777" w:rsidR="007965B5" w:rsidRPr="00E2771E" w:rsidRDefault="007965B5" w:rsidP="007965B5">
            <w:pPr>
              <w:pStyle w:val="TableText0"/>
              <w:jc w:val="center"/>
              <w:rPr>
                <w:lang w:val="en-US"/>
              </w:rPr>
            </w:pPr>
            <w:r>
              <w:rPr>
                <w:lang w:val="en-US"/>
              </w:rPr>
              <w:t>$1,133</w:t>
            </w:r>
          </w:p>
        </w:tc>
        <w:tc>
          <w:tcPr>
            <w:tcW w:w="699" w:type="pct"/>
            <w:shd w:val="clear" w:color="auto" w:fill="auto"/>
            <w:vAlign w:val="center"/>
          </w:tcPr>
          <w:p w14:paraId="3471F14C" w14:textId="77777777" w:rsidR="007965B5" w:rsidRPr="00E2771E" w:rsidRDefault="007965B5" w:rsidP="007965B5">
            <w:pPr>
              <w:pStyle w:val="TableText0"/>
              <w:jc w:val="center"/>
              <w:rPr>
                <w:lang w:val="en-US"/>
              </w:rPr>
            </w:pPr>
            <w:r>
              <w:rPr>
                <w:lang w:val="en-US"/>
              </w:rPr>
              <w:t>$1,239</w:t>
            </w:r>
          </w:p>
        </w:tc>
        <w:tc>
          <w:tcPr>
            <w:tcW w:w="699" w:type="pct"/>
            <w:vAlign w:val="center"/>
          </w:tcPr>
          <w:p w14:paraId="1242D2FE" w14:textId="7001C495" w:rsidR="007965B5" w:rsidRPr="00E2771E" w:rsidRDefault="007965B5" w:rsidP="007965B5">
            <w:pPr>
              <w:pStyle w:val="TableText0"/>
              <w:jc w:val="center"/>
              <w:rPr>
                <w:lang w:val="en-US"/>
              </w:rPr>
            </w:pPr>
            <w:r w:rsidRPr="007E052F">
              <w:rPr>
                <w:lang w:val="en-US"/>
              </w:rPr>
              <w:t>$1</w:t>
            </w:r>
            <w:r w:rsidR="00BF14E8">
              <w:rPr>
                <w:lang w:val="en-US"/>
              </w:rPr>
              <w:t>92</w:t>
            </w:r>
            <w:r w:rsidR="00BF14E8" w:rsidRPr="00BF14E8">
              <w:rPr>
                <w:vertAlign w:val="superscript"/>
                <w:lang w:val="en-US"/>
              </w:rPr>
              <w:t>e</w:t>
            </w:r>
          </w:p>
        </w:tc>
      </w:tr>
    </w:tbl>
    <w:p w14:paraId="61E48FB3" w14:textId="3153CBFD" w:rsidR="00BE5172" w:rsidRDefault="00BE5172" w:rsidP="00BE5172">
      <w:pPr>
        <w:pStyle w:val="FooterTableFigure"/>
      </w:pPr>
      <w:r w:rsidRPr="007F1017">
        <w:t xml:space="preserve">Source: </w:t>
      </w:r>
      <w:r w:rsidRPr="000A6E90">
        <w:t xml:space="preserve">Table constructed during the evaluation, </w:t>
      </w:r>
      <w:r>
        <w:t xml:space="preserve">based on </w:t>
      </w:r>
      <w:r w:rsidR="007062BF">
        <w:t xml:space="preserve">Table 6.1-1, p91 of the CM816 clinical study report, Table S.4.1.1, p111 of </w:t>
      </w:r>
      <w:r w:rsidR="00176BD3">
        <w:t>‘</w:t>
      </w:r>
      <w:r w:rsidR="007062BF">
        <w:t>CheckMate 816 Supplement tables</w:t>
      </w:r>
      <w:r w:rsidR="00176BD3">
        <w:t>’</w:t>
      </w:r>
      <w:r w:rsidR="007062BF">
        <w:t xml:space="preserve">, and </w:t>
      </w:r>
      <w:r w:rsidR="00176BD3">
        <w:t>‘</w:t>
      </w:r>
      <w:r w:rsidR="007062BF" w:rsidRPr="007062BF">
        <w:t>Attachment 7 - Nivolumab neoadjuvant NSCLC Economic Evaluation</w:t>
      </w:r>
      <w:r w:rsidR="00176BD3">
        <w:t>’</w:t>
      </w:r>
      <w:r w:rsidR="007062BF" w:rsidRPr="007062BF">
        <w:t xml:space="preserve"> Excel workbook</w:t>
      </w:r>
      <w:r w:rsidR="007062BF">
        <w:t>.</w:t>
      </w:r>
    </w:p>
    <w:p w14:paraId="317D460F" w14:textId="59A0B42A" w:rsidR="00BD643B" w:rsidRDefault="00BD643B" w:rsidP="00BE5172">
      <w:pPr>
        <w:pStyle w:val="FooterTableFigure"/>
      </w:pPr>
      <w:r>
        <w:t xml:space="preserve">chemo = chemotherapy; NIVO = nivolumab; Q3W = every 3 weeks </w:t>
      </w:r>
    </w:p>
    <w:p w14:paraId="1869BEF7" w14:textId="0A847BA8" w:rsidR="00BE5172" w:rsidRDefault="00BE5172" w:rsidP="00BE5172">
      <w:pPr>
        <w:pStyle w:val="FooterTableFigure"/>
      </w:pPr>
      <w:r>
        <w:rPr>
          <w:vertAlign w:val="superscript"/>
        </w:rPr>
        <w:t>a</w:t>
      </w:r>
      <w:r>
        <w:t xml:space="preserve">The dosing of chemotherapies vary across agents. The dose regimens for chemotherapies used in the economic model were sourced from the key Trial CM816 and were generally consistent with the Australian treatment guidelines and product information documents. </w:t>
      </w:r>
    </w:p>
    <w:p w14:paraId="2BCFC3A7" w14:textId="76DB1402" w:rsidR="00BE5172" w:rsidRDefault="00BE5172" w:rsidP="00BE5172">
      <w:pPr>
        <w:pStyle w:val="FooterTableFigure"/>
      </w:pPr>
      <w:r>
        <w:rPr>
          <w:vertAlign w:val="superscript"/>
        </w:rPr>
        <w:t xml:space="preserve">b </w:t>
      </w:r>
      <w:r>
        <w:t xml:space="preserve">Mean number of treatment cycles for nivolumab calculated based on data provided in Table 6.1-1, p91 of the clinical study report of Trial CM816. The number of treatment cycles for chemotherapy agents were slightly different from that for nivolumab. </w:t>
      </w:r>
    </w:p>
    <w:p w14:paraId="5C91A0CD" w14:textId="77777777" w:rsidR="00BE5172" w:rsidRDefault="00BE5172" w:rsidP="00BE5172">
      <w:pPr>
        <w:pStyle w:val="FooterTableFigure"/>
      </w:pPr>
      <w:r>
        <w:rPr>
          <w:vertAlign w:val="superscript"/>
        </w:rPr>
        <w:t xml:space="preserve">c </w:t>
      </w:r>
      <w:r>
        <w:t xml:space="preserve">Mean number of cycles for cisplatin calculated based on data provided in Table S.4.1.1, p111 of “CheckMate 816 Supplement tables”. The number of treatment cycles for other chemotherapy agents were slightly different from that for cisplatin. </w:t>
      </w:r>
    </w:p>
    <w:p w14:paraId="59D2CF15" w14:textId="1D280CA2" w:rsidR="00BE5172" w:rsidRPr="000A6E90" w:rsidRDefault="00BE5172" w:rsidP="00BE5172">
      <w:pPr>
        <w:pStyle w:val="FooterTableFigure"/>
      </w:pPr>
      <w:r>
        <w:rPr>
          <w:vertAlign w:val="superscript"/>
        </w:rPr>
        <w:t xml:space="preserve">d </w:t>
      </w:r>
      <w:r w:rsidRPr="000A6E90">
        <w:t>The submission has slightly overestimated the dispensed cost in the public hospital setting by incorrectly including dispensing fee ($7.82). In addition, the drug prices for cisplatin, paclitaxel, and gemcitabine were not based on the most efficient vial combination. After correcting these errors, the revised cost/patient/course in the economic model would be $</w:t>
      </w:r>
      <w:r w:rsidR="001172C3" w:rsidRPr="001172C3">
        <w:rPr>
          <w:color w:val="000000"/>
          <w:spacing w:val="27"/>
          <w:shd w:val="solid" w:color="000000" w:fill="000000"/>
          <w:fitText w:val="371" w:id="-1234435061"/>
          <w14:textFill>
            <w14:solidFill>
              <w14:srgbClr w14:val="000000">
                <w14:alpha w14:val="100000"/>
              </w14:srgbClr>
            </w14:solidFill>
          </w14:textFill>
        </w:rPr>
        <w:t>||  |</w:t>
      </w:r>
      <w:r w:rsidR="001172C3" w:rsidRPr="001172C3">
        <w:rPr>
          <w:color w:val="000000"/>
          <w:spacing w:val="1"/>
          <w:shd w:val="solid" w:color="000000" w:fill="000000"/>
          <w:fitText w:val="371" w:id="-1234435061"/>
          <w14:textFill>
            <w14:solidFill>
              <w14:srgbClr w14:val="000000">
                <w14:alpha w14:val="100000"/>
              </w14:srgbClr>
            </w14:solidFill>
          </w14:textFill>
        </w:rPr>
        <w:t>|</w:t>
      </w:r>
      <w:r w:rsidRPr="000A6E90">
        <w:t xml:space="preserve"> for </w:t>
      </w:r>
      <w:r w:rsidR="007062BF" w:rsidRPr="000A6E90">
        <w:t>n</w:t>
      </w:r>
      <w:r w:rsidRPr="000A6E90">
        <w:t>eoNIVO+</w:t>
      </w:r>
      <w:r w:rsidR="007062BF" w:rsidRPr="000A6E90">
        <w:t>n</w:t>
      </w:r>
      <w:r w:rsidRPr="000A6E90">
        <w:t>eo</w:t>
      </w:r>
      <w:r w:rsidR="007062BF" w:rsidRPr="000A6E90">
        <w:t>C</w:t>
      </w:r>
      <w:r w:rsidRPr="000A6E90">
        <w:t xml:space="preserve">hemo and $1,163 for </w:t>
      </w:r>
      <w:r w:rsidR="007062BF" w:rsidRPr="000A6E90">
        <w:t>n</w:t>
      </w:r>
      <w:r w:rsidRPr="000A6E90">
        <w:t>eo</w:t>
      </w:r>
      <w:r w:rsidR="007062BF" w:rsidRPr="000A6E90">
        <w:t>C</w:t>
      </w:r>
      <w:r w:rsidRPr="000A6E90">
        <w:t>hemo.</w:t>
      </w:r>
    </w:p>
    <w:p w14:paraId="70BCE7C6" w14:textId="773F4E16" w:rsidR="00BF14E8" w:rsidRPr="000A6E90" w:rsidRDefault="00BF14E8" w:rsidP="00BE5172">
      <w:pPr>
        <w:pStyle w:val="FooterTableFigure"/>
      </w:pPr>
      <w:r w:rsidRPr="000A6E90">
        <w:rPr>
          <w:vertAlign w:val="superscript"/>
        </w:rPr>
        <w:t>e</w:t>
      </w:r>
      <w:r w:rsidRPr="000A6E90">
        <w:t>The financial analysis assumed that, without the availability of neoadjuvant nivolumab</w:t>
      </w:r>
      <w:r w:rsidR="00BD643B" w:rsidRPr="000A6E90">
        <w:t>,</w:t>
      </w:r>
      <w:r w:rsidRPr="000A6E90">
        <w:t xml:space="preserve"> only 12.3% of patients receive </w:t>
      </w:r>
      <w:r w:rsidR="008716AF">
        <w:t xml:space="preserve">neoadjuvant </w:t>
      </w:r>
      <w:r w:rsidRPr="000A6E90">
        <w:t>chemotherapy, with the remaining 87.7% receiving adjuvant chemotherapy instead.</w:t>
      </w:r>
      <w:r w:rsidR="00CC7AE8">
        <w:t xml:space="preserve"> </w:t>
      </w:r>
    </w:p>
    <w:p w14:paraId="498F3015" w14:textId="77777777" w:rsidR="00B60939" w:rsidRPr="00C9624D" w:rsidRDefault="00B60939" w:rsidP="002B05A1">
      <w:pPr>
        <w:pStyle w:val="4-SubsectionHeading"/>
      </w:pPr>
      <w:bookmarkStart w:id="98" w:name="_Toc22897647"/>
      <w:bookmarkStart w:id="99" w:name="_Toc124932961"/>
      <w:r w:rsidRPr="00C9624D">
        <w:t>Estimated PBS usage &amp; financial implications</w:t>
      </w:r>
      <w:bookmarkEnd w:id="98"/>
      <w:bookmarkEnd w:id="99"/>
    </w:p>
    <w:p w14:paraId="02C39FD1" w14:textId="52676864" w:rsidR="00223F18" w:rsidRPr="002452A2" w:rsidRDefault="00223F18" w:rsidP="00223F18">
      <w:pPr>
        <w:pStyle w:val="3-BodyText"/>
      </w:pPr>
      <w:bookmarkStart w:id="100" w:name="_Toc22897650"/>
      <w:r>
        <w:t xml:space="preserve">This submission </w:t>
      </w:r>
      <w:r w:rsidR="004D3B38">
        <w:t>was not</w:t>
      </w:r>
      <w:r>
        <w:t xml:space="preserve"> considered by </w:t>
      </w:r>
      <w:r w:rsidRPr="002452A2">
        <w:t xml:space="preserve">DUSC. The </w:t>
      </w:r>
      <w:r>
        <w:t>financial analysis</w:t>
      </w:r>
      <w:r w:rsidRPr="002452A2">
        <w:t xml:space="preserve"> took an epidemiological approach </w:t>
      </w:r>
      <w:r>
        <w:t xml:space="preserve">to </w:t>
      </w:r>
      <w:r w:rsidRPr="002452A2">
        <w:t xml:space="preserve">estimate the financial impacts of the proposed listing of </w:t>
      </w:r>
      <w:r>
        <w:t>nivolumab plus chemotherapy for the neoadjuvant treatment of patients with resectable NSCLC</w:t>
      </w:r>
      <w:r w:rsidRPr="002452A2">
        <w:t>. The key inputs in the financial analysis are summarised</w:t>
      </w:r>
      <w:r>
        <w:t xml:space="preserve"> </w:t>
      </w:r>
      <w:r>
        <w:fldChar w:fldCharType="begin"/>
      </w:r>
      <w:r>
        <w:instrText xml:space="preserve"> REF _Ref104805262 \h </w:instrText>
      </w:r>
      <w:r>
        <w:fldChar w:fldCharType="separate"/>
      </w:r>
      <w:r w:rsidR="00A77D90">
        <w:t xml:space="preserve">Table </w:t>
      </w:r>
      <w:r w:rsidR="00A77D90">
        <w:rPr>
          <w:noProof/>
        </w:rPr>
        <w:t>25</w:t>
      </w:r>
      <w:r>
        <w:fldChar w:fldCharType="end"/>
      </w:r>
      <w:r>
        <w:t xml:space="preserve">. </w:t>
      </w:r>
    </w:p>
    <w:p w14:paraId="25D6BE10" w14:textId="2CA424C2" w:rsidR="00223F18" w:rsidRPr="007925DF" w:rsidRDefault="00223F18" w:rsidP="00223F18">
      <w:pPr>
        <w:pStyle w:val="Caption"/>
        <w:rPr>
          <w:rStyle w:val="CommentReference"/>
          <w:b/>
          <w:szCs w:val="24"/>
        </w:rPr>
      </w:pPr>
      <w:bookmarkStart w:id="101" w:name="_Ref104805262"/>
      <w:r>
        <w:t xml:space="preserve">Table </w:t>
      </w:r>
      <w:r w:rsidR="00A77D90">
        <w:fldChar w:fldCharType="begin"/>
      </w:r>
      <w:r w:rsidR="00A77D90">
        <w:instrText xml:space="preserve"> SEQ Table \* ARABIC </w:instrText>
      </w:r>
      <w:r w:rsidR="00A77D90">
        <w:fldChar w:fldCharType="separate"/>
      </w:r>
      <w:r w:rsidR="00A77D90">
        <w:rPr>
          <w:noProof/>
        </w:rPr>
        <w:t>25</w:t>
      </w:r>
      <w:r w:rsidR="00A77D90">
        <w:rPr>
          <w:noProof/>
        </w:rPr>
        <w:fldChar w:fldCharType="end"/>
      </w:r>
      <w:bookmarkEnd w:id="101"/>
      <w:r>
        <w:t>:</w:t>
      </w:r>
      <w:r w:rsidRPr="007925DF">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55"/>
        <w:gridCol w:w="4252"/>
        <w:gridCol w:w="3210"/>
      </w:tblGrid>
      <w:tr w:rsidR="00223F18" w:rsidRPr="003D1DE4" w14:paraId="036C3F4E" w14:textId="77777777" w:rsidTr="00970F85">
        <w:trPr>
          <w:tblHeader/>
        </w:trPr>
        <w:tc>
          <w:tcPr>
            <w:tcW w:w="862" w:type="pct"/>
            <w:shd w:val="clear" w:color="auto" w:fill="auto"/>
            <w:vAlign w:val="center"/>
          </w:tcPr>
          <w:p w14:paraId="3A463AF1" w14:textId="77777777" w:rsidR="00223F18" w:rsidRPr="003D1DE4" w:rsidRDefault="00223F18" w:rsidP="00970F85">
            <w:pPr>
              <w:pStyle w:val="In-tableHeading"/>
            </w:pPr>
            <w:r>
              <w:t>Parameter</w:t>
            </w:r>
          </w:p>
        </w:tc>
        <w:tc>
          <w:tcPr>
            <w:tcW w:w="2358" w:type="pct"/>
            <w:shd w:val="clear" w:color="auto" w:fill="auto"/>
            <w:vAlign w:val="center"/>
          </w:tcPr>
          <w:p w14:paraId="334FF2D6" w14:textId="77777777" w:rsidR="00223F18" w:rsidRPr="003D1DE4" w:rsidRDefault="00223F18" w:rsidP="00970F85">
            <w:pPr>
              <w:pStyle w:val="In-tableHeading"/>
            </w:pPr>
            <w:r>
              <w:t>Value applied and source</w:t>
            </w:r>
          </w:p>
        </w:tc>
        <w:tc>
          <w:tcPr>
            <w:tcW w:w="1780" w:type="pct"/>
            <w:shd w:val="clear" w:color="auto" w:fill="auto"/>
            <w:vAlign w:val="center"/>
          </w:tcPr>
          <w:p w14:paraId="1D23D9EE" w14:textId="77777777" w:rsidR="00223F18" w:rsidRPr="003D1DE4" w:rsidRDefault="00223F18" w:rsidP="00970F85">
            <w:pPr>
              <w:pStyle w:val="In-tableHeading"/>
            </w:pPr>
            <w:r>
              <w:t>Comment</w:t>
            </w:r>
          </w:p>
        </w:tc>
      </w:tr>
      <w:tr w:rsidR="00223F18" w:rsidRPr="00E2771E" w14:paraId="0FD90444" w14:textId="77777777" w:rsidTr="00970F85">
        <w:tc>
          <w:tcPr>
            <w:tcW w:w="862" w:type="pct"/>
            <w:shd w:val="clear" w:color="auto" w:fill="auto"/>
            <w:vAlign w:val="center"/>
          </w:tcPr>
          <w:p w14:paraId="6AC53D85" w14:textId="77777777" w:rsidR="00223F18" w:rsidRPr="00E2771E" w:rsidRDefault="00223F18" w:rsidP="00970F85">
            <w:pPr>
              <w:pStyle w:val="TableText0"/>
              <w:rPr>
                <w:lang w:val="en-US"/>
              </w:rPr>
            </w:pPr>
            <w:r>
              <w:t>Incidence of lung cancer</w:t>
            </w:r>
          </w:p>
        </w:tc>
        <w:tc>
          <w:tcPr>
            <w:tcW w:w="2358" w:type="pct"/>
            <w:shd w:val="clear" w:color="auto" w:fill="auto"/>
            <w:vAlign w:val="center"/>
          </w:tcPr>
          <w:p w14:paraId="2BD5FB46" w14:textId="1DB342EA" w:rsidR="00223F18" w:rsidRPr="00E2771E" w:rsidRDefault="00223F18" w:rsidP="00970F85">
            <w:pPr>
              <w:pStyle w:val="TableText0"/>
              <w:rPr>
                <w:lang w:val="en-US"/>
              </w:rPr>
            </w:pPr>
            <w:r>
              <w:rPr>
                <w:lang w:val="en-US"/>
              </w:rPr>
              <w:t>56.0 per 100,000 based on age-specific rate in</w:t>
            </w:r>
            <w:r>
              <w:t xml:space="preserve"> </w:t>
            </w:r>
            <w:r w:rsidR="00697507">
              <w:t>‘</w:t>
            </w:r>
            <w:r w:rsidRPr="00517BB9">
              <w:rPr>
                <w:lang w:val="en-US"/>
              </w:rPr>
              <w:t>Cancer in Australia 2021’ (AIHW).</w:t>
            </w:r>
            <w:r>
              <w:rPr>
                <w:lang w:val="en-US"/>
              </w:rPr>
              <w:t xml:space="preserve"> </w:t>
            </w:r>
          </w:p>
        </w:tc>
        <w:tc>
          <w:tcPr>
            <w:tcW w:w="1780" w:type="pct"/>
            <w:shd w:val="clear" w:color="auto" w:fill="auto"/>
            <w:vAlign w:val="center"/>
          </w:tcPr>
          <w:p w14:paraId="4B156BE5" w14:textId="4F52535A" w:rsidR="00223F18" w:rsidRPr="00E2771E" w:rsidRDefault="007B6FD8" w:rsidP="00970F85">
            <w:pPr>
              <w:pStyle w:val="TableText0"/>
              <w:rPr>
                <w:lang w:val="en-US"/>
              </w:rPr>
            </w:pPr>
            <w:r w:rsidRPr="000A6E90">
              <w:t>This approach is reasonable although changes in age distribution and methods of screening and/or diagnosis add uncertainty to the applicability of this estimate in the medium term.</w:t>
            </w:r>
            <w:r w:rsidR="00283043">
              <w:t xml:space="preserve"> Incidence of earlier stage disease is likely to increase (see paragraphs </w:t>
            </w:r>
            <w:r w:rsidR="00E341A8">
              <w:fldChar w:fldCharType="begin"/>
            </w:r>
            <w:r w:rsidR="00E341A8">
              <w:instrText xml:space="preserve"> REF _Ref127119410 \r \h </w:instrText>
            </w:r>
            <w:r w:rsidR="00E341A8">
              <w:fldChar w:fldCharType="separate"/>
            </w:r>
            <w:r w:rsidR="00A77D90">
              <w:t>4.5</w:t>
            </w:r>
            <w:r w:rsidR="00E341A8">
              <w:fldChar w:fldCharType="end"/>
            </w:r>
            <w:r w:rsidR="00E341A8">
              <w:t xml:space="preserve"> and </w:t>
            </w:r>
            <w:r w:rsidR="00E341A8">
              <w:fldChar w:fldCharType="begin"/>
            </w:r>
            <w:r w:rsidR="00E341A8">
              <w:instrText xml:space="preserve"> REF _Ref127880538 \r \h </w:instrText>
            </w:r>
            <w:r w:rsidR="00E341A8">
              <w:fldChar w:fldCharType="separate"/>
            </w:r>
            <w:r w:rsidR="00A77D90">
              <w:t>6.91</w:t>
            </w:r>
            <w:r w:rsidR="00E341A8">
              <w:fldChar w:fldCharType="end"/>
            </w:r>
            <w:r w:rsidR="00283043">
              <w:t>).</w:t>
            </w:r>
          </w:p>
        </w:tc>
      </w:tr>
      <w:tr w:rsidR="00223F18" w:rsidRPr="000A6E90" w14:paraId="6A2DEFE4" w14:textId="77777777" w:rsidTr="00970F85">
        <w:tc>
          <w:tcPr>
            <w:tcW w:w="862" w:type="pct"/>
            <w:vMerge w:val="restart"/>
            <w:shd w:val="clear" w:color="auto" w:fill="auto"/>
            <w:vAlign w:val="center"/>
          </w:tcPr>
          <w:p w14:paraId="1385508A" w14:textId="77777777" w:rsidR="00223F18" w:rsidRPr="000A6E90" w:rsidRDefault="00223F18" w:rsidP="00970F85">
            <w:pPr>
              <w:pStyle w:val="TableText0"/>
            </w:pPr>
            <w:r w:rsidRPr="000A6E90">
              <w:t>% meeting other PBS criteria</w:t>
            </w:r>
          </w:p>
        </w:tc>
        <w:tc>
          <w:tcPr>
            <w:tcW w:w="2358" w:type="pct"/>
            <w:shd w:val="clear" w:color="auto" w:fill="auto"/>
            <w:vAlign w:val="center"/>
          </w:tcPr>
          <w:p w14:paraId="7C6F7B92" w14:textId="77777777" w:rsidR="00223F18" w:rsidRPr="000A6E90" w:rsidRDefault="00223F18" w:rsidP="00970F85">
            <w:pPr>
              <w:pStyle w:val="TableText0"/>
              <w:keepNext w:val="0"/>
            </w:pPr>
            <w:r w:rsidRPr="000A6E90">
              <w:t>86.6% of lung cancer is NSCLC (AIHW 2011)</w:t>
            </w:r>
          </w:p>
        </w:tc>
        <w:tc>
          <w:tcPr>
            <w:tcW w:w="1780" w:type="pct"/>
            <w:shd w:val="clear" w:color="auto" w:fill="auto"/>
            <w:vAlign w:val="center"/>
          </w:tcPr>
          <w:p w14:paraId="5BE48E24" w14:textId="6824C3A3" w:rsidR="00223F18" w:rsidRPr="000A6E90" w:rsidRDefault="00223F18" w:rsidP="00970F85">
            <w:pPr>
              <w:pStyle w:val="TableText0"/>
              <w:rPr>
                <w:lang w:val="en-US"/>
              </w:rPr>
            </w:pPr>
            <w:r w:rsidRPr="000A6E90">
              <w:rPr>
                <w:lang w:val="en-US"/>
              </w:rPr>
              <w:t>Reasonable, and comparable with the estimate of 85.5% recently considered as appropriate by PBAC (</w:t>
            </w:r>
            <w:r w:rsidR="00176BD3">
              <w:rPr>
                <w:lang w:val="en-US"/>
              </w:rPr>
              <w:t>Table 20</w:t>
            </w:r>
            <w:r w:rsidRPr="000A6E90">
              <w:rPr>
                <w:lang w:val="en-US"/>
              </w:rPr>
              <w:t xml:space="preserve">, </w:t>
            </w:r>
            <w:r w:rsidR="00176BD3">
              <w:rPr>
                <w:lang w:val="en-US"/>
              </w:rPr>
              <w:t>A</w:t>
            </w:r>
            <w:r w:rsidRPr="000A6E90">
              <w:rPr>
                <w:lang w:val="en-US"/>
              </w:rPr>
              <w:t>tezolizumab PSD, July 2022)</w:t>
            </w:r>
          </w:p>
        </w:tc>
      </w:tr>
      <w:tr w:rsidR="00223F18" w:rsidRPr="000A6E90" w14:paraId="2D7B6C44" w14:textId="77777777" w:rsidTr="00970F85">
        <w:tc>
          <w:tcPr>
            <w:tcW w:w="862" w:type="pct"/>
            <w:vMerge/>
            <w:shd w:val="clear" w:color="auto" w:fill="auto"/>
            <w:vAlign w:val="center"/>
          </w:tcPr>
          <w:p w14:paraId="7F58DE7B" w14:textId="77777777" w:rsidR="00223F18" w:rsidRPr="000A6E90" w:rsidRDefault="00223F18" w:rsidP="00970F85">
            <w:pPr>
              <w:pStyle w:val="TableText0"/>
            </w:pPr>
          </w:p>
        </w:tc>
        <w:tc>
          <w:tcPr>
            <w:tcW w:w="2358" w:type="pct"/>
            <w:shd w:val="clear" w:color="auto" w:fill="auto"/>
            <w:vAlign w:val="center"/>
          </w:tcPr>
          <w:p w14:paraId="0F5C2107" w14:textId="77777777" w:rsidR="00223F18" w:rsidRPr="000A6E90" w:rsidRDefault="00223F18" w:rsidP="00970F85">
            <w:pPr>
              <w:pStyle w:val="TableText0"/>
              <w:keepNext w:val="0"/>
            </w:pPr>
            <w:r w:rsidRPr="000A6E90">
              <w:t xml:space="preserve">77.6% non-squamous, 22.4% squamous (PIvOTAL study) </w:t>
            </w:r>
          </w:p>
        </w:tc>
        <w:tc>
          <w:tcPr>
            <w:tcW w:w="1780" w:type="pct"/>
            <w:shd w:val="clear" w:color="auto" w:fill="auto"/>
            <w:vAlign w:val="center"/>
          </w:tcPr>
          <w:p w14:paraId="5C6BC542" w14:textId="77777777" w:rsidR="00223F18" w:rsidRPr="000A6E90" w:rsidRDefault="00223F18" w:rsidP="00970F85">
            <w:pPr>
              <w:pStyle w:val="TableText0"/>
              <w:rPr>
                <w:lang w:val="en-US"/>
              </w:rPr>
            </w:pPr>
            <w:r w:rsidRPr="000A6E90">
              <w:rPr>
                <w:lang w:val="en-US"/>
              </w:rPr>
              <w:t xml:space="preserve">This was reasonable. </w:t>
            </w:r>
          </w:p>
        </w:tc>
      </w:tr>
      <w:tr w:rsidR="007B6FD8" w:rsidRPr="000A6E90" w14:paraId="66461E15" w14:textId="77777777" w:rsidTr="007B6FD8">
        <w:tc>
          <w:tcPr>
            <w:tcW w:w="862" w:type="pct"/>
            <w:vMerge/>
            <w:shd w:val="clear" w:color="auto" w:fill="auto"/>
            <w:vAlign w:val="center"/>
          </w:tcPr>
          <w:p w14:paraId="72F526C5" w14:textId="77777777" w:rsidR="007B6FD8" w:rsidRPr="000A6E90" w:rsidRDefault="007B6FD8" w:rsidP="007B6FD8">
            <w:pPr>
              <w:pStyle w:val="TableText0"/>
            </w:pPr>
          </w:p>
        </w:tc>
        <w:tc>
          <w:tcPr>
            <w:tcW w:w="2358" w:type="pct"/>
            <w:shd w:val="clear" w:color="auto" w:fill="auto"/>
            <w:vAlign w:val="center"/>
          </w:tcPr>
          <w:p w14:paraId="41DD4B01" w14:textId="65724191" w:rsidR="007B6FD8" w:rsidRPr="000A6E90" w:rsidRDefault="007B6FD8" w:rsidP="007B6FD8">
            <w:pPr>
              <w:pStyle w:val="TableText0"/>
            </w:pPr>
            <w:r w:rsidRPr="000A6E90">
              <w:t xml:space="preserve">83.50% Proportion of non-squamous NSCLC patients with no known </w:t>
            </w:r>
            <w:r w:rsidR="00C96433" w:rsidRPr="000A6E90">
              <w:t>EGFR</w:t>
            </w:r>
            <w:r w:rsidRPr="000A6E90">
              <w:t>/</w:t>
            </w:r>
            <w:r w:rsidR="00C96433" w:rsidRPr="000A6E90">
              <w:t>ALK</w:t>
            </w:r>
            <w:r w:rsidRPr="000A6E90">
              <w:t xml:space="preserve"> </w:t>
            </w:r>
            <w:r w:rsidR="003227F6" w:rsidRPr="000A6E90">
              <w:t>(</w:t>
            </w:r>
            <w:r w:rsidRPr="000A6E90">
              <w:t>PIvOTAL study)</w:t>
            </w:r>
          </w:p>
        </w:tc>
        <w:tc>
          <w:tcPr>
            <w:tcW w:w="1780" w:type="pct"/>
            <w:shd w:val="clear" w:color="auto" w:fill="auto"/>
          </w:tcPr>
          <w:p w14:paraId="61932D84" w14:textId="1278FCD3" w:rsidR="007B6FD8" w:rsidRPr="000A6E90" w:rsidRDefault="007B6FD8" w:rsidP="007B6FD8">
            <w:pPr>
              <w:pStyle w:val="TableText0"/>
              <w:rPr>
                <w:lang w:val="en-US"/>
              </w:rPr>
            </w:pPr>
            <w:r w:rsidRPr="000A6E90">
              <w:t>Appeared reasonable estimate.</w:t>
            </w:r>
          </w:p>
        </w:tc>
      </w:tr>
      <w:tr w:rsidR="007B6FD8" w:rsidRPr="000A6E90" w14:paraId="369085B7" w14:textId="77777777" w:rsidTr="00970F85">
        <w:tc>
          <w:tcPr>
            <w:tcW w:w="862" w:type="pct"/>
            <w:vMerge/>
            <w:shd w:val="clear" w:color="auto" w:fill="auto"/>
            <w:vAlign w:val="center"/>
          </w:tcPr>
          <w:p w14:paraId="2AFCF282" w14:textId="77777777" w:rsidR="007B6FD8" w:rsidRPr="000A6E90" w:rsidRDefault="007B6FD8" w:rsidP="007B6FD8">
            <w:pPr>
              <w:pStyle w:val="TableText0"/>
            </w:pPr>
          </w:p>
        </w:tc>
        <w:tc>
          <w:tcPr>
            <w:tcW w:w="2358" w:type="pct"/>
            <w:shd w:val="clear" w:color="auto" w:fill="auto"/>
            <w:vAlign w:val="center"/>
          </w:tcPr>
          <w:p w14:paraId="44F027C3" w14:textId="77777777" w:rsidR="007B6FD8" w:rsidRPr="000A6E90" w:rsidRDefault="007B6FD8" w:rsidP="007B6FD8">
            <w:pPr>
              <w:pStyle w:val="TableText0"/>
              <w:rPr>
                <w:lang w:val="en-US"/>
              </w:rPr>
            </w:pPr>
            <w:r w:rsidRPr="000A6E90">
              <w:rPr>
                <w:lang w:val="en-US"/>
              </w:rPr>
              <w:t>Stage I: 16.32%</w:t>
            </w:r>
          </w:p>
          <w:p w14:paraId="4C324911" w14:textId="77777777" w:rsidR="007B6FD8" w:rsidRPr="000A6E90" w:rsidRDefault="007B6FD8" w:rsidP="007B6FD8">
            <w:pPr>
              <w:pStyle w:val="TableText0"/>
              <w:rPr>
                <w:lang w:val="en-US"/>
              </w:rPr>
            </w:pPr>
            <w:r w:rsidRPr="000A6E90">
              <w:rPr>
                <w:lang w:val="en-US"/>
              </w:rPr>
              <w:t>- Stage IB: 52.57%</w:t>
            </w:r>
          </w:p>
          <w:p w14:paraId="4029FA3A" w14:textId="77777777" w:rsidR="007B6FD8" w:rsidRPr="000A6E90" w:rsidRDefault="007B6FD8" w:rsidP="007B6FD8">
            <w:pPr>
              <w:pStyle w:val="TableText0"/>
              <w:rPr>
                <w:lang w:val="en-US"/>
              </w:rPr>
            </w:pPr>
            <w:r w:rsidRPr="000A6E90">
              <w:rPr>
                <w:lang w:val="en-US"/>
              </w:rPr>
              <w:t>- Stage IB with tumour size &gt;=4cm: 16.78%</w:t>
            </w:r>
          </w:p>
          <w:p w14:paraId="25714FE0" w14:textId="77777777" w:rsidR="007B6FD8" w:rsidRPr="000A6E90" w:rsidRDefault="007B6FD8" w:rsidP="007B6FD8">
            <w:pPr>
              <w:pStyle w:val="TableText0"/>
              <w:rPr>
                <w:lang w:val="en-US"/>
              </w:rPr>
            </w:pPr>
            <w:r w:rsidRPr="000A6E90">
              <w:rPr>
                <w:lang w:val="en-US"/>
              </w:rPr>
              <w:t xml:space="preserve">Stage II: 9.13% </w:t>
            </w:r>
          </w:p>
          <w:p w14:paraId="0711FED3" w14:textId="77777777" w:rsidR="007B6FD8" w:rsidRPr="000A6E90" w:rsidRDefault="007B6FD8" w:rsidP="007B6FD8">
            <w:pPr>
              <w:pStyle w:val="TableText0"/>
              <w:rPr>
                <w:lang w:val="en-US"/>
              </w:rPr>
            </w:pPr>
            <w:r w:rsidRPr="000A6E90">
              <w:rPr>
                <w:lang w:val="en-US"/>
              </w:rPr>
              <w:t xml:space="preserve">Stage III: 15.60% </w:t>
            </w:r>
          </w:p>
          <w:p w14:paraId="6A6C9A9C" w14:textId="77777777" w:rsidR="007B6FD8" w:rsidRPr="000A6E90" w:rsidRDefault="007B6FD8" w:rsidP="007B6FD8">
            <w:pPr>
              <w:pStyle w:val="TableText0"/>
              <w:rPr>
                <w:lang w:val="en-US"/>
              </w:rPr>
            </w:pPr>
            <w:r w:rsidRPr="000A6E90">
              <w:rPr>
                <w:lang w:val="en-US"/>
              </w:rPr>
              <w:t>-Stage IIIA: 55.55%</w:t>
            </w:r>
          </w:p>
          <w:p w14:paraId="58698BD7" w14:textId="53DE753E" w:rsidR="007B6FD8" w:rsidRPr="000A6E90" w:rsidRDefault="003227F6" w:rsidP="007B6FD8">
            <w:pPr>
              <w:pStyle w:val="TableText0"/>
              <w:rPr>
                <w:lang w:val="en-US"/>
              </w:rPr>
            </w:pPr>
            <w:r w:rsidRPr="000A6E90">
              <w:rPr>
                <w:lang w:val="en-US"/>
              </w:rPr>
              <w:t>(AIHW CDiA 2022, Provencio et al., 2019, Wright 2022</w:t>
            </w:r>
            <w:r w:rsidR="007B6FD8" w:rsidRPr="000A6E90">
              <w:rPr>
                <w:lang w:val="en-US"/>
              </w:rPr>
              <w:t>)</w:t>
            </w:r>
          </w:p>
        </w:tc>
        <w:tc>
          <w:tcPr>
            <w:tcW w:w="1780" w:type="pct"/>
            <w:shd w:val="clear" w:color="auto" w:fill="auto"/>
            <w:vAlign w:val="center"/>
          </w:tcPr>
          <w:p w14:paraId="642690DE" w14:textId="47E33D98" w:rsidR="007B6FD8" w:rsidRPr="000A6E90" w:rsidRDefault="007B6FD8" w:rsidP="007B6FD8">
            <w:pPr>
              <w:pStyle w:val="TableText0"/>
              <w:rPr>
                <w:lang w:val="en-US"/>
              </w:rPr>
            </w:pPr>
            <w:r w:rsidRPr="000A6E90">
              <w:t>There are uncertainties associated with the estimates of patients with ECOG PS (0-1) in Stages IB-IIIA.</w:t>
            </w:r>
          </w:p>
        </w:tc>
      </w:tr>
      <w:tr w:rsidR="007B6FD8" w:rsidRPr="000A6E90" w14:paraId="15979A24" w14:textId="77777777" w:rsidTr="00970F85">
        <w:tc>
          <w:tcPr>
            <w:tcW w:w="862" w:type="pct"/>
            <w:vMerge/>
            <w:shd w:val="clear" w:color="auto" w:fill="auto"/>
            <w:vAlign w:val="center"/>
          </w:tcPr>
          <w:p w14:paraId="61669AFD" w14:textId="77777777" w:rsidR="007B6FD8" w:rsidRPr="000A6E90" w:rsidRDefault="007B6FD8" w:rsidP="007B6FD8">
            <w:pPr>
              <w:pStyle w:val="TableText0"/>
            </w:pPr>
          </w:p>
        </w:tc>
        <w:tc>
          <w:tcPr>
            <w:tcW w:w="2358" w:type="pct"/>
            <w:shd w:val="clear" w:color="auto" w:fill="auto"/>
            <w:vAlign w:val="center"/>
          </w:tcPr>
          <w:p w14:paraId="3854D020" w14:textId="6B4A5374" w:rsidR="007B6FD8" w:rsidRPr="000A6E90" w:rsidRDefault="007B6FD8" w:rsidP="007B6FD8">
            <w:pPr>
              <w:pStyle w:val="TableText0"/>
            </w:pPr>
            <w:r w:rsidRPr="000A6E90">
              <w:t>80% of patients with resectable tumours</w:t>
            </w:r>
            <w:r w:rsidR="003227F6" w:rsidRPr="000A6E90">
              <w:t xml:space="preserve"> (assumption)</w:t>
            </w:r>
          </w:p>
        </w:tc>
        <w:tc>
          <w:tcPr>
            <w:tcW w:w="1780" w:type="pct"/>
            <w:shd w:val="clear" w:color="auto" w:fill="auto"/>
            <w:vAlign w:val="center"/>
          </w:tcPr>
          <w:p w14:paraId="28C12AE7" w14:textId="2A2D0093" w:rsidR="007B6FD8" w:rsidRPr="000A6E90" w:rsidRDefault="007B6FD8" w:rsidP="007B6FD8">
            <w:pPr>
              <w:pStyle w:val="TableText0"/>
              <w:rPr>
                <w:lang w:val="en-US"/>
              </w:rPr>
            </w:pPr>
            <w:r w:rsidRPr="000A6E90">
              <w:rPr>
                <w:lang w:val="en-US"/>
              </w:rPr>
              <w:t xml:space="preserve">This </w:t>
            </w:r>
            <w:r w:rsidR="003227F6" w:rsidRPr="000A6E90">
              <w:rPr>
                <w:lang w:val="en-US"/>
              </w:rPr>
              <w:t xml:space="preserve">appeared </w:t>
            </w:r>
            <w:r w:rsidRPr="000A6E90">
              <w:rPr>
                <w:lang w:val="en-US"/>
              </w:rPr>
              <w:t>reasonable.</w:t>
            </w:r>
          </w:p>
        </w:tc>
      </w:tr>
      <w:tr w:rsidR="007B6FD8" w:rsidRPr="000A6E90" w14:paraId="47735B36" w14:textId="77777777" w:rsidTr="00970F85">
        <w:tc>
          <w:tcPr>
            <w:tcW w:w="862" w:type="pct"/>
            <w:vMerge/>
            <w:shd w:val="clear" w:color="auto" w:fill="auto"/>
            <w:vAlign w:val="center"/>
          </w:tcPr>
          <w:p w14:paraId="74010FB9" w14:textId="77777777" w:rsidR="007B6FD8" w:rsidRPr="000A6E90" w:rsidRDefault="007B6FD8" w:rsidP="007B6FD8">
            <w:pPr>
              <w:pStyle w:val="TableText0"/>
              <w:rPr>
                <w:lang w:val="en-US"/>
              </w:rPr>
            </w:pPr>
          </w:p>
        </w:tc>
        <w:tc>
          <w:tcPr>
            <w:tcW w:w="2358" w:type="pct"/>
            <w:shd w:val="clear" w:color="auto" w:fill="auto"/>
            <w:vAlign w:val="center"/>
          </w:tcPr>
          <w:p w14:paraId="67C51255" w14:textId="77777777" w:rsidR="007B6FD8" w:rsidRPr="000A6E90" w:rsidRDefault="007B6FD8" w:rsidP="007B6FD8">
            <w:pPr>
              <w:pStyle w:val="TableText0"/>
            </w:pPr>
          </w:p>
          <w:p w14:paraId="0E5D36E6" w14:textId="77777777" w:rsidR="007B6FD8" w:rsidRPr="000A6E90" w:rsidRDefault="007B6FD8" w:rsidP="007B6FD8">
            <w:pPr>
              <w:pStyle w:val="TableText0"/>
            </w:pPr>
            <w:r w:rsidRPr="000A6E90">
              <w:t xml:space="preserve">85.17% ECOG PS 0-1 </w:t>
            </w:r>
          </w:p>
          <w:p w14:paraId="290FDE3D" w14:textId="57C3AA87" w:rsidR="007B6FD8" w:rsidRPr="000A6E90" w:rsidRDefault="003227F6" w:rsidP="007B6FD8">
            <w:pPr>
              <w:pStyle w:val="TableText0"/>
              <w:rPr>
                <w:lang w:val="en-US"/>
              </w:rPr>
            </w:pPr>
            <w:r w:rsidRPr="000A6E90">
              <w:t>(</w:t>
            </w:r>
            <w:r w:rsidR="007B6FD8" w:rsidRPr="000A6E90">
              <w:t xml:space="preserve">Weighted distribution calculated by PS on WHO scale </w:t>
            </w:r>
            <w:r w:rsidRPr="000A6E90">
              <w:t>Kawaguchi et al., 2010</w:t>
            </w:r>
            <w:r w:rsidR="00462D3A">
              <w:t xml:space="preserve"> </w:t>
            </w:r>
            <w:r w:rsidR="007B6FD8" w:rsidRPr="000A6E90">
              <w:t>and stage distribution</w:t>
            </w:r>
            <w:r w:rsidRPr="000A6E90">
              <w:t xml:space="preserve"> from AIHW CDiA 2022)</w:t>
            </w:r>
          </w:p>
        </w:tc>
        <w:tc>
          <w:tcPr>
            <w:tcW w:w="1780" w:type="pct"/>
            <w:shd w:val="clear" w:color="auto" w:fill="auto"/>
            <w:vAlign w:val="center"/>
          </w:tcPr>
          <w:p w14:paraId="60CD84FA" w14:textId="3B4C2720" w:rsidR="007B6FD8" w:rsidRPr="00A2672C" w:rsidRDefault="007B6FD8" w:rsidP="007B6FD8">
            <w:pPr>
              <w:pStyle w:val="TableText0"/>
              <w:rPr>
                <w:i/>
                <w:iCs/>
                <w:lang w:val="en-US"/>
              </w:rPr>
            </w:pPr>
            <w:r w:rsidRPr="000A6E90">
              <w:rPr>
                <w:lang w:val="en-US"/>
              </w:rPr>
              <w:t>The proportion of NSCLC patients with ECOG performance status of 0-1 varied across studies (78.4% as reported in the VLCR to 95.6% from Adelphi Disease Specific Panel research). Thus, this financial input remains an area of uncertainty</w:t>
            </w:r>
            <w:r w:rsidR="003227F6" w:rsidRPr="000A6E90">
              <w:rPr>
                <w:lang w:val="en-US"/>
              </w:rPr>
              <w:t>.</w:t>
            </w:r>
            <w:r w:rsidR="00A2672C">
              <w:rPr>
                <w:lang w:val="en-US"/>
              </w:rPr>
              <w:t xml:space="preserve"> </w:t>
            </w:r>
          </w:p>
        </w:tc>
      </w:tr>
      <w:tr w:rsidR="007B6FD8" w:rsidRPr="000A6E90" w14:paraId="62CC95BD" w14:textId="77777777" w:rsidTr="00970F85">
        <w:tc>
          <w:tcPr>
            <w:tcW w:w="862" w:type="pct"/>
            <w:shd w:val="clear" w:color="auto" w:fill="auto"/>
            <w:vAlign w:val="center"/>
          </w:tcPr>
          <w:p w14:paraId="2F7F1224" w14:textId="77777777" w:rsidR="007B6FD8" w:rsidRPr="000A6E90" w:rsidRDefault="007B6FD8" w:rsidP="007B6FD8">
            <w:pPr>
              <w:pStyle w:val="TableText0"/>
              <w:rPr>
                <w:lang w:val="en-US"/>
              </w:rPr>
            </w:pPr>
            <w:r w:rsidRPr="000A6E90">
              <w:rPr>
                <w:lang w:val="en-US"/>
              </w:rPr>
              <w:t>Uptake rate</w:t>
            </w:r>
          </w:p>
        </w:tc>
        <w:tc>
          <w:tcPr>
            <w:tcW w:w="2358" w:type="pct"/>
            <w:shd w:val="clear" w:color="auto" w:fill="auto"/>
            <w:vAlign w:val="center"/>
          </w:tcPr>
          <w:p w14:paraId="38E7BBA8" w14:textId="4CFD7F4B" w:rsidR="007B6FD8" w:rsidRPr="000A6E90" w:rsidRDefault="001172C3" w:rsidP="007B6FD8">
            <w:pPr>
              <w:pStyle w:val="TableText0"/>
              <w:rPr>
                <w:lang w:val="en-US"/>
              </w:rPr>
            </w:pPr>
            <w:r w:rsidRPr="001172C3">
              <w:rPr>
                <w:color w:val="000000"/>
                <w:spacing w:val="36"/>
                <w:shd w:val="solid" w:color="000000" w:fill="000000"/>
                <w:fitText w:val="438" w:id="-1234435060"/>
                <w:lang w:val="en-US"/>
                <w14:textFill>
                  <w14:solidFill>
                    <w14:srgbClr w14:val="000000">
                      <w14:alpha w14:val="100000"/>
                    </w14:srgbClr>
                  </w14:solidFill>
                </w14:textFill>
              </w:rPr>
              <w:t>|||||</w:t>
            </w:r>
            <w:r w:rsidRPr="001172C3">
              <w:rPr>
                <w:color w:val="000000"/>
                <w:spacing w:val="3"/>
                <w:shd w:val="solid" w:color="000000" w:fill="000000"/>
                <w:fitText w:val="438" w:id="-1234435060"/>
                <w:lang w:val="en-US"/>
                <w14:textFill>
                  <w14:solidFill>
                    <w14:srgbClr w14:val="000000">
                      <w14:alpha w14:val="100000"/>
                    </w14:srgbClr>
                  </w14:solidFill>
                </w14:textFill>
              </w:rPr>
              <w:t>|</w:t>
            </w:r>
            <w:r w:rsidR="007B6FD8" w:rsidRPr="000A6E90">
              <w:rPr>
                <w:lang w:val="en-US"/>
              </w:rPr>
              <w:t xml:space="preserve">% in Year 1 </w:t>
            </w:r>
            <w:r w:rsidR="00176BD3">
              <w:rPr>
                <w:lang w:val="en-US"/>
              </w:rPr>
              <w:t>–</w:t>
            </w:r>
            <w:r w:rsidR="007B6FD8" w:rsidRPr="000A6E90">
              <w:rPr>
                <w:lang w:val="en-US"/>
              </w:rPr>
              <w:t xml:space="preserve"> 6</w:t>
            </w:r>
            <w:r w:rsidR="00176BD3">
              <w:rPr>
                <w:lang w:val="en-US"/>
              </w:rPr>
              <w:t>.</w:t>
            </w:r>
            <w:r w:rsidR="007B6FD8" w:rsidRPr="000A6E90">
              <w:rPr>
                <w:lang w:val="en-US"/>
              </w:rPr>
              <w:t xml:space="preserve"> Based on advisory board feedback (excluding surgery alone)</w:t>
            </w:r>
            <w:r w:rsidR="00176BD3">
              <w:rPr>
                <w:lang w:val="en-US"/>
              </w:rPr>
              <w:t>.</w:t>
            </w:r>
            <w:r w:rsidR="007B6FD8" w:rsidRPr="000A6E90">
              <w:rPr>
                <w:lang w:val="en-US"/>
              </w:rPr>
              <w:t xml:space="preserve"> The response rate was 50% for the uptake of neoadjuvant nivolumab plus chemotherapy.</w:t>
            </w:r>
          </w:p>
        </w:tc>
        <w:tc>
          <w:tcPr>
            <w:tcW w:w="1780" w:type="pct"/>
            <w:shd w:val="clear" w:color="auto" w:fill="auto"/>
            <w:vAlign w:val="center"/>
          </w:tcPr>
          <w:p w14:paraId="2D16E7EF" w14:textId="1EDFAF13" w:rsidR="007B6FD8" w:rsidRPr="000A6E90" w:rsidRDefault="007B6FD8" w:rsidP="007B6FD8">
            <w:pPr>
              <w:pStyle w:val="TableText0"/>
              <w:rPr>
                <w:lang w:val="en-US"/>
              </w:rPr>
            </w:pPr>
            <w:r w:rsidRPr="000A6E90">
              <w:rPr>
                <w:lang w:val="en-US"/>
              </w:rPr>
              <w:t>High uncertainty due to clinical algorithm change, and unknown growth rate of perioperative nivolumab plus chemotherapy treatment</w:t>
            </w:r>
            <w:r w:rsidR="00A2672C">
              <w:rPr>
                <w:lang w:val="en-US"/>
              </w:rPr>
              <w:t xml:space="preserve">. </w:t>
            </w:r>
            <w:r w:rsidR="00A2672C" w:rsidRPr="00563002">
              <w:rPr>
                <w:lang w:val="en-US"/>
              </w:rPr>
              <w:t>The ESC considered that the estimated uptake rate was likely to be reasonable.</w:t>
            </w:r>
            <w:r w:rsidR="00CC7AE8">
              <w:rPr>
                <w:i/>
                <w:iCs/>
                <w:lang w:val="en-US"/>
              </w:rPr>
              <w:t xml:space="preserve"> </w:t>
            </w:r>
          </w:p>
        </w:tc>
      </w:tr>
    </w:tbl>
    <w:p w14:paraId="5D994C4D" w14:textId="77777777" w:rsidR="00223F18" w:rsidRDefault="00223F18" w:rsidP="00223F18">
      <w:pPr>
        <w:pStyle w:val="FooterTableFigure"/>
      </w:pPr>
      <w:r w:rsidRPr="007925DF">
        <w:t>Source: Table</w:t>
      </w:r>
      <w:r>
        <w:t xml:space="preserve"> 148</w:t>
      </w:r>
      <w:r w:rsidRPr="007925DF">
        <w:t xml:space="preserve">, </w:t>
      </w:r>
      <w:r>
        <w:t xml:space="preserve">p217 </w:t>
      </w:r>
      <w:r w:rsidRPr="007925DF">
        <w:t>of the submission</w:t>
      </w:r>
    </w:p>
    <w:p w14:paraId="5D10FB3D" w14:textId="600CD696" w:rsidR="00223F18" w:rsidRPr="007925DF" w:rsidRDefault="00223F18" w:rsidP="00223F18">
      <w:pPr>
        <w:pStyle w:val="FooterTableFigure"/>
      </w:pPr>
      <w:r w:rsidRPr="00E0643C">
        <w:t xml:space="preserve">AIHW = Australian Institute of Health and Welfare; </w:t>
      </w:r>
      <w:r w:rsidR="00C96433" w:rsidRPr="00C96433">
        <w:t>ALK</w:t>
      </w:r>
      <w:r w:rsidRPr="00E0643C">
        <w:t xml:space="preserve"> = anaplastic lymphoma kinase; </w:t>
      </w:r>
      <w:r w:rsidR="007965B5">
        <w:t xml:space="preserve">CDiA = Cancer Data in Australia; </w:t>
      </w:r>
      <w:r w:rsidRPr="00E0643C">
        <w:t xml:space="preserve">ECOG = Eastern Cooperative Oncology Group </w:t>
      </w:r>
      <w:r w:rsidR="00C96433" w:rsidRPr="00C96433">
        <w:t>EGFR</w:t>
      </w:r>
      <w:r w:rsidRPr="00E0643C">
        <w:t xml:space="preserve"> = epidermal growth factor receptor; NSCLC = non-small cell lung cancer;</w:t>
      </w:r>
      <w:r w:rsidR="007965B5">
        <w:t xml:space="preserve"> PBAC = Pharmaceutical Benefits Advisory Committee;</w:t>
      </w:r>
      <w:r w:rsidRPr="00E0643C">
        <w:t xml:space="preserve"> PBS = Pharmaceutical Benefits Scheme; PS = performance status; RPBS = Repatriation Pharmaceutical Benefits Scheme; </w:t>
      </w:r>
      <w:r w:rsidR="007965B5">
        <w:t xml:space="preserve">VLCR = Victorian Lung Cancer Registry; </w:t>
      </w:r>
      <w:r w:rsidRPr="00E0643C">
        <w:t>WHO = World Health Organization</w:t>
      </w:r>
    </w:p>
    <w:p w14:paraId="1A72BBDC" w14:textId="533E3906" w:rsidR="00223F18" w:rsidRDefault="00223F18" w:rsidP="00223F18">
      <w:pPr>
        <w:pStyle w:val="3-BodyText"/>
      </w:pPr>
      <w:r w:rsidRPr="00E0643C">
        <w:t xml:space="preserve">The predicted use and financial implications associated with the proposed </w:t>
      </w:r>
      <w:r w:rsidR="00176BD3">
        <w:t>l</w:t>
      </w:r>
      <w:r w:rsidRPr="00E0643C">
        <w:t>isting</w:t>
      </w:r>
      <w:r w:rsidR="003227F6">
        <w:t xml:space="preserve"> </w:t>
      </w:r>
      <w:r w:rsidR="007E6DF9">
        <w:t xml:space="preserve">of Scenario 1 and </w:t>
      </w:r>
      <w:r w:rsidR="003227F6">
        <w:t>Scenario 2</w:t>
      </w:r>
      <w:r w:rsidRPr="00E0643C">
        <w:t xml:space="preserve"> </w:t>
      </w:r>
      <w:r w:rsidR="007E6DF9">
        <w:t>are</w:t>
      </w:r>
      <w:r w:rsidRPr="00E0643C">
        <w:t xml:space="preserve"> summarised in</w:t>
      </w:r>
      <w:r w:rsidR="007E6DF9">
        <w:t xml:space="preserve"> </w:t>
      </w:r>
      <w:r w:rsidR="007E6DF9">
        <w:fldChar w:fldCharType="begin"/>
      </w:r>
      <w:r w:rsidR="007E6DF9">
        <w:instrText xml:space="preserve"> REF _Ref131574332 \h </w:instrText>
      </w:r>
      <w:r w:rsidR="007E6DF9">
        <w:fldChar w:fldCharType="separate"/>
      </w:r>
      <w:r w:rsidR="00A77D90" w:rsidRPr="0091315D">
        <w:t xml:space="preserve">Table </w:t>
      </w:r>
      <w:r w:rsidR="00A77D90">
        <w:rPr>
          <w:noProof/>
        </w:rPr>
        <w:t>26</w:t>
      </w:r>
      <w:r w:rsidR="007E6DF9">
        <w:fldChar w:fldCharType="end"/>
      </w:r>
      <w:r w:rsidRPr="00E0643C">
        <w:t xml:space="preserve"> </w:t>
      </w:r>
      <w:r w:rsidR="007E6DF9">
        <w:t xml:space="preserve">and </w:t>
      </w:r>
      <w:r w:rsidRPr="00E0643C">
        <w:fldChar w:fldCharType="begin"/>
      </w:r>
      <w:r w:rsidRPr="00E0643C">
        <w:instrText xml:space="preserve"> REF _Ref104805295 \h </w:instrText>
      </w:r>
      <w:r>
        <w:instrText xml:space="preserve"> \* MERGEFORMAT </w:instrText>
      </w:r>
      <w:r w:rsidRPr="00E0643C">
        <w:fldChar w:fldCharType="separate"/>
      </w:r>
      <w:r w:rsidR="00A77D90">
        <w:t xml:space="preserve">Table </w:t>
      </w:r>
      <w:r w:rsidR="00A77D90">
        <w:rPr>
          <w:noProof/>
        </w:rPr>
        <w:t>27</w:t>
      </w:r>
      <w:r w:rsidRPr="00E0643C">
        <w:fldChar w:fldCharType="end"/>
      </w:r>
      <w:r w:rsidR="007E6DF9">
        <w:t>, respectively</w:t>
      </w:r>
      <w:r w:rsidRPr="00E0643C">
        <w:t xml:space="preserve">. </w:t>
      </w:r>
    </w:p>
    <w:p w14:paraId="0487F286" w14:textId="2FB03A8F" w:rsidR="003227F6" w:rsidRPr="0091315D" w:rsidRDefault="003227F6" w:rsidP="0091315D">
      <w:pPr>
        <w:pStyle w:val="Caption"/>
      </w:pPr>
      <w:bookmarkStart w:id="102" w:name="_Ref131574332"/>
      <w:r w:rsidRPr="0091315D">
        <w:t xml:space="preserve">Table </w:t>
      </w:r>
      <w:r w:rsidR="00A77D90">
        <w:fldChar w:fldCharType="begin"/>
      </w:r>
      <w:r w:rsidR="00A77D90">
        <w:instrText xml:space="preserve"> SEQ Table \* ARABIC </w:instrText>
      </w:r>
      <w:r w:rsidR="00A77D90">
        <w:fldChar w:fldCharType="separate"/>
      </w:r>
      <w:r w:rsidR="00A77D90">
        <w:rPr>
          <w:noProof/>
        </w:rPr>
        <w:t>26</w:t>
      </w:r>
      <w:r w:rsidR="00A77D90">
        <w:rPr>
          <w:noProof/>
        </w:rPr>
        <w:fldChar w:fldCharType="end"/>
      </w:r>
      <w:bookmarkEnd w:id="102"/>
      <w:r w:rsidRPr="0091315D">
        <w:t>: Estimated use and financial implications (Listing Scenario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0"/>
        <w:gridCol w:w="1135"/>
        <w:gridCol w:w="992"/>
        <w:gridCol w:w="1134"/>
        <w:gridCol w:w="1134"/>
        <w:gridCol w:w="14"/>
        <w:gridCol w:w="1102"/>
        <w:gridCol w:w="18"/>
        <w:gridCol w:w="1078"/>
      </w:tblGrid>
      <w:tr w:rsidR="003227F6" w:rsidRPr="00D1078F" w14:paraId="58437527" w14:textId="77777777" w:rsidTr="009B5291">
        <w:trPr>
          <w:tblHeader/>
        </w:trPr>
        <w:tc>
          <w:tcPr>
            <w:tcW w:w="1336" w:type="pct"/>
            <w:shd w:val="clear" w:color="auto" w:fill="auto"/>
            <w:vAlign w:val="center"/>
          </w:tcPr>
          <w:p w14:paraId="6E6FBD64" w14:textId="77777777" w:rsidR="003227F6" w:rsidRPr="003639A6" w:rsidRDefault="003227F6" w:rsidP="00C96433">
            <w:pPr>
              <w:pStyle w:val="In-tableHeading"/>
              <w:jc w:val="center"/>
            </w:pPr>
          </w:p>
        </w:tc>
        <w:tc>
          <w:tcPr>
            <w:tcW w:w="629" w:type="pct"/>
            <w:shd w:val="clear" w:color="auto" w:fill="auto"/>
            <w:vAlign w:val="center"/>
          </w:tcPr>
          <w:p w14:paraId="4FC1A6CE" w14:textId="77777777" w:rsidR="003227F6" w:rsidRPr="00D1078F" w:rsidRDefault="003227F6" w:rsidP="00C96433">
            <w:pPr>
              <w:pStyle w:val="In-tableHeading"/>
              <w:jc w:val="center"/>
            </w:pPr>
            <w:r w:rsidRPr="00D1078F">
              <w:t>Year 1</w:t>
            </w:r>
          </w:p>
        </w:tc>
        <w:tc>
          <w:tcPr>
            <w:tcW w:w="550" w:type="pct"/>
            <w:shd w:val="clear" w:color="auto" w:fill="auto"/>
            <w:vAlign w:val="center"/>
          </w:tcPr>
          <w:p w14:paraId="532901E1" w14:textId="77777777" w:rsidR="003227F6" w:rsidRPr="00D1078F" w:rsidRDefault="003227F6" w:rsidP="00C96433">
            <w:pPr>
              <w:pStyle w:val="In-tableHeading"/>
              <w:jc w:val="center"/>
            </w:pPr>
            <w:r w:rsidRPr="00D1078F">
              <w:t>Year 2</w:t>
            </w:r>
          </w:p>
        </w:tc>
        <w:tc>
          <w:tcPr>
            <w:tcW w:w="629" w:type="pct"/>
            <w:shd w:val="clear" w:color="auto" w:fill="auto"/>
            <w:vAlign w:val="center"/>
          </w:tcPr>
          <w:p w14:paraId="6739F4CB" w14:textId="77777777" w:rsidR="003227F6" w:rsidRPr="00D1078F" w:rsidRDefault="003227F6" w:rsidP="00C96433">
            <w:pPr>
              <w:pStyle w:val="In-tableHeading"/>
              <w:jc w:val="center"/>
            </w:pPr>
            <w:r w:rsidRPr="00D1078F">
              <w:t>Year 3</w:t>
            </w:r>
          </w:p>
        </w:tc>
        <w:tc>
          <w:tcPr>
            <w:tcW w:w="637" w:type="pct"/>
            <w:gridSpan w:val="2"/>
            <w:shd w:val="clear" w:color="auto" w:fill="auto"/>
            <w:vAlign w:val="center"/>
          </w:tcPr>
          <w:p w14:paraId="35710AB4" w14:textId="77777777" w:rsidR="003227F6" w:rsidRPr="00D1078F" w:rsidRDefault="003227F6" w:rsidP="00C96433">
            <w:pPr>
              <w:pStyle w:val="In-tableHeading"/>
              <w:jc w:val="center"/>
            </w:pPr>
            <w:r w:rsidRPr="00D1078F">
              <w:t>Year 4</w:t>
            </w:r>
          </w:p>
        </w:tc>
        <w:tc>
          <w:tcPr>
            <w:tcW w:w="611" w:type="pct"/>
            <w:shd w:val="clear" w:color="auto" w:fill="auto"/>
            <w:vAlign w:val="center"/>
          </w:tcPr>
          <w:p w14:paraId="4CB47800" w14:textId="77777777" w:rsidR="003227F6" w:rsidRPr="00D1078F" w:rsidRDefault="003227F6" w:rsidP="00C96433">
            <w:pPr>
              <w:pStyle w:val="In-tableHeading"/>
              <w:jc w:val="center"/>
            </w:pPr>
            <w:r w:rsidRPr="00D1078F">
              <w:t>Year 5</w:t>
            </w:r>
          </w:p>
        </w:tc>
        <w:tc>
          <w:tcPr>
            <w:tcW w:w="608" w:type="pct"/>
            <w:gridSpan w:val="2"/>
          </w:tcPr>
          <w:p w14:paraId="426C8552" w14:textId="77777777" w:rsidR="003227F6" w:rsidRPr="00D1078F" w:rsidRDefault="003227F6" w:rsidP="00C96433">
            <w:pPr>
              <w:pStyle w:val="In-tableHeading"/>
              <w:jc w:val="center"/>
            </w:pPr>
            <w:r w:rsidRPr="00D1078F">
              <w:t>Year 6</w:t>
            </w:r>
          </w:p>
        </w:tc>
      </w:tr>
      <w:tr w:rsidR="006A5630" w:rsidRPr="00D1078F" w14:paraId="6B5FEC6B" w14:textId="77777777" w:rsidTr="00C96433">
        <w:tc>
          <w:tcPr>
            <w:tcW w:w="5000" w:type="pct"/>
            <w:gridSpan w:val="9"/>
            <w:shd w:val="clear" w:color="auto" w:fill="auto"/>
            <w:vAlign w:val="center"/>
          </w:tcPr>
          <w:p w14:paraId="2E075BF7" w14:textId="09D17E7B" w:rsidR="006A5630" w:rsidRPr="00D1078F" w:rsidRDefault="006A5630" w:rsidP="00C96433">
            <w:pPr>
              <w:pStyle w:val="In-tableHeading"/>
            </w:pPr>
            <w:r>
              <w:t>Estimated extent of use</w:t>
            </w:r>
          </w:p>
        </w:tc>
      </w:tr>
      <w:tr w:rsidR="009B5291" w:rsidRPr="00D1078F" w14:paraId="742E41B9" w14:textId="77777777" w:rsidTr="009B5291">
        <w:tc>
          <w:tcPr>
            <w:tcW w:w="1336" w:type="pct"/>
            <w:shd w:val="clear" w:color="auto" w:fill="auto"/>
            <w:vAlign w:val="center"/>
          </w:tcPr>
          <w:p w14:paraId="2E439F63" w14:textId="42A27532" w:rsidR="009B5291" w:rsidRPr="008F3285" w:rsidRDefault="009B5291" w:rsidP="009B5291">
            <w:pPr>
              <w:pStyle w:val="In-tableHeading"/>
              <w:rPr>
                <w:b w:val="0"/>
                <w:bCs/>
              </w:rPr>
            </w:pPr>
            <w:r w:rsidRPr="008F3285">
              <w:rPr>
                <w:b w:val="0"/>
                <w:bCs/>
              </w:rPr>
              <w:t>Number of patients treated</w:t>
            </w:r>
          </w:p>
        </w:tc>
        <w:tc>
          <w:tcPr>
            <w:tcW w:w="629" w:type="pct"/>
            <w:shd w:val="clear" w:color="auto" w:fill="auto"/>
            <w:vAlign w:val="center"/>
          </w:tcPr>
          <w:p w14:paraId="734674D3" w14:textId="5E66FB17" w:rsidR="009B5291" w:rsidRPr="00CA49DA" w:rsidRDefault="001172C3" w:rsidP="00D54B51">
            <w:pPr>
              <w:pStyle w:val="In-tableHeading"/>
              <w:jc w:val="center"/>
              <w:rPr>
                <w:b w:val="0"/>
                <w:bCs/>
                <w:vertAlign w:val="superscript"/>
              </w:rPr>
            </w:pPr>
            <w:r w:rsidRPr="001172C3">
              <w:rPr>
                <w:b w:val="0"/>
                <w:bCs/>
                <w:color w:val="000000"/>
                <w:spacing w:val="45"/>
                <w:shd w:val="solid" w:color="000000" w:fill="000000"/>
                <w:fitText w:val="219" w:id="-1234435059"/>
                <w14:textFill>
                  <w14:solidFill>
                    <w14:srgbClr w14:val="000000">
                      <w14:alpha w14:val="100000"/>
                    </w14:srgbClr>
                  </w14:solidFill>
                </w14:textFill>
              </w:rPr>
              <w:t>||</w:t>
            </w:r>
            <w:r w:rsidRPr="001172C3">
              <w:rPr>
                <w:b w:val="0"/>
                <w:bCs/>
                <w:color w:val="000000"/>
                <w:spacing w:val="2"/>
                <w:shd w:val="solid" w:color="000000" w:fill="000000"/>
                <w:fitText w:val="219" w:id="-1234435059"/>
                <w14:textFill>
                  <w14:solidFill>
                    <w14:srgbClr w14:val="000000">
                      <w14:alpha w14:val="100000"/>
                    </w14:srgbClr>
                  </w14:solidFill>
                </w14:textFill>
              </w:rPr>
              <w:t>|</w:t>
            </w:r>
            <w:r w:rsidR="00CA49DA">
              <w:rPr>
                <w:b w:val="0"/>
                <w:bCs/>
              </w:rPr>
              <w:t xml:space="preserve"> </w:t>
            </w:r>
            <w:r w:rsidR="00CA49DA">
              <w:rPr>
                <w:b w:val="0"/>
                <w:bCs/>
                <w:vertAlign w:val="superscript"/>
              </w:rPr>
              <w:t>1</w:t>
            </w:r>
          </w:p>
        </w:tc>
        <w:tc>
          <w:tcPr>
            <w:tcW w:w="550" w:type="pct"/>
            <w:shd w:val="clear" w:color="auto" w:fill="auto"/>
            <w:vAlign w:val="center"/>
          </w:tcPr>
          <w:p w14:paraId="70FCB703" w14:textId="56631D4E" w:rsidR="009B5291" w:rsidRPr="008F3285" w:rsidRDefault="001172C3" w:rsidP="00D54B51">
            <w:pPr>
              <w:pStyle w:val="In-tableHeading"/>
              <w:jc w:val="center"/>
              <w:rPr>
                <w:b w:val="0"/>
                <w:bCs/>
              </w:rPr>
            </w:pPr>
            <w:r w:rsidRPr="001172C3">
              <w:rPr>
                <w:b w:val="0"/>
                <w:bCs/>
                <w:color w:val="000000"/>
                <w:spacing w:val="214"/>
                <w:shd w:val="solid" w:color="000000" w:fill="000000"/>
                <w:fitText w:val="300" w:id="-1234435058"/>
                <w14:textFill>
                  <w14:solidFill>
                    <w14:srgbClr w14:val="000000">
                      <w14:alpha w14:val="100000"/>
                    </w14:srgbClr>
                  </w14:solidFill>
                </w14:textFill>
              </w:rPr>
              <w:t>|</w:t>
            </w:r>
            <w:r w:rsidRPr="001172C3">
              <w:rPr>
                <w:b w:val="0"/>
                <w:bCs/>
                <w:color w:val="000000"/>
                <w:spacing w:val="1"/>
                <w:shd w:val="solid" w:color="000000" w:fill="000000"/>
                <w:fitText w:val="300" w:id="-1234435058"/>
                <w14:textFill>
                  <w14:solidFill>
                    <w14:srgbClr w14:val="000000">
                      <w14:alpha w14:val="100000"/>
                    </w14:srgbClr>
                  </w14:solidFill>
                </w14:textFill>
              </w:rPr>
              <w:t>|</w:t>
            </w:r>
            <w:r w:rsidR="00CA49DA">
              <w:rPr>
                <w:b w:val="0"/>
                <w:bCs/>
              </w:rPr>
              <w:t xml:space="preserve"> </w:t>
            </w:r>
            <w:r w:rsidR="00CA49DA">
              <w:rPr>
                <w:b w:val="0"/>
                <w:bCs/>
                <w:vertAlign w:val="superscript"/>
              </w:rPr>
              <w:t>1</w:t>
            </w:r>
          </w:p>
        </w:tc>
        <w:tc>
          <w:tcPr>
            <w:tcW w:w="629" w:type="pct"/>
            <w:shd w:val="clear" w:color="auto" w:fill="auto"/>
            <w:vAlign w:val="center"/>
          </w:tcPr>
          <w:p w14:paraId="2A05F1BE" w14:textId="4F9CA478" w:rsidR="009B5291" w:rsidRPr="008F3285" w:rsidRDefault="001172C3" w:rsidP="00D54B51">
            <w:pPr>
              <w:pStyle w:val="In-tableHeading"/>
              <w:jc w:val="center"/>
              <w:rPr>
                <w:b w:val="0"/>
                <w:bCs/>
              </w:rPr>
            </w:pPr>
            <w:r w:rsidRPr="001172C3">
              <w:rPr>
                <w:b w:val="0"/>
                <w:bCs/>
                <w:color w:val="000000"/>
                <w:spacing w:val="51"/>
                <w:shd w:val="solid" w:color="000000" w:fill="000000"/>
                <w:fitText w:val="230" w:id="-1234435057"/>
                <w14:textFill>
                  <w14:solidFill>
                    <w14:srgbClr w14:val="000000">
                      <w14:alpha w14:val="100000"/>
                    </w14:srgbClr>
                  </w14:solidFill>
                </w14:textFill>
              </w:rPr>
              <w:t>||</w:t>
            </w:r>
            <w:r w:rsidRPr="001172C3">
              <w:rPr>
                <w:b w:val="0"/>
                <w:bCs/>
                <w:color w:val="000000"/>
                <w:spacing w:val="1"/>
                <w:shd w:val="solid" w:color="000000" w:fill="000000"/>
                <w:fitText w:val="230" w:id="-1234435057"/>
                <w14:textFill>
                  <w14:solidFill>
                    <w14:srgbClr w14:val="000000">
                      <w14:alpha w14:val="100000"/>
                    </w14:srgbClr>
                  </w14:solidFill>
                </w14:textFill>
              </w:rPr>
              <w:t>|</w:t>
            </w:r>
            <w:r w:rsidR="00CA49DA">
              <w:rPr>
                <w:b w:val="0"/>
                <w:bCs/>
              </w:rPr>
              <w:t xml:space="preserve"> </w:t>
            </w:r>
            <w:r w:rsidR="00CA49DA">
              <w:rPr>
                <w:b w:val="0"/>
                <w:bCs/>
                <w:vertAlign w:val="superscript"/>
              </w:rPr>
              <w:t>1</w:t>
            </w:r>
          </w:p>
        </w:tc>
        <w:tc>
          <w:tcPr>
            <w:tcW w:w="629" w:type="pct"/>
            <w:shd w:val="clear" w:color="auto" w:fill="auto"/>
            <w:vAlign w:val="center"/>
          </w:tcPr>
          <w:p w14:paraId="4117BF0B" w14:textId="05425D9B" w:rsidR="009B5291" w:rsidRPr="008F3285" w:rsidRDefault="001172C3" w:rsidP="00D54B51">
            <w:pPr>
              <w:pStyle w:val="In-tableHeading"/>
              <w:jc w:val="center"/>
              <w:rPr>
                <w:b w:val="0"/>
                <w:bCs/>
              </w:rPr>
            </w:pPr>
            <w:r w:rsidRPr="001172C3">
              <w:rPr>
                <w:b w:val="0"/>
                <w:bCs/>
                <w:color w:val="000000"/>
                <w:spacing w:val="51"/>
                <w:shd w:val="solid" w:color="000000" w:fill="000000"/>
                <w:fitText w:val="230" w:id="-1234435056"/>
                <w14:textFill>
                  <w14:solidFill>
                    <w14:srgbClr w14:val="000000">
                      <w14:alpha w14:val="100000"/>
                    </w14:srgbClr>
                  </w14:solidFill>
                </w14:textFill>
              </w:rPr>
              <w:t>||</w:t>
            </w:r>
            <w:r w:rsidRPr="001172C3">
              <w:rPr>
                <w:b w:val="0"/>
                <w:bCs/>
                <w:color w:val="000000"/>
                <w:spacing w:val="1"/>
                <w:shd w:val="solid" w:color="000000" w:fill="000000"/>
                <w:fitText w:val="230" w:id="-1234435056"/>
                <w14:textFill>
                  <w14:solidFill>
                    <w14:srgbClr w14:val="000000">
                      <w14:alpha w14:val="100000"/>
                    </w14:srgbClr>
                  </w14:solidFill>
                </w14:textFill>
              </w:rPr>
              <w:t>|</w:t>
            </w:r>
            <w:r w:rsidR="00CA49DA">
              <w:rPr>
                <w:b w:val="0"/>
                <w:bCs/>
              </w:rPr>
              <w:t xml:space="preserve"> </w:t>
            </w:r>
            <w:r w:rsidR="00CA49DA">
              <w:rPr>
                <w:b w:val="0"/>
                <w:bCs/>
                <w:vertAlign w:val="superscript"/>
              </w:rPr>
              <w:t>1</w:t>
            </w:r>
          </w:p>
        </w:tc>
        <w:tc>
          <w:tcPr>
            <w:tcW w:w="629" w:type="pct"/>
            <w:gridSpan w:val="3"/>
            <w:shd w:val="clear" w:color="auto" w:fill="auto"/>
            <w:vAlign w:val="center"/>
          </w:tcPr>
          <w:p w14:paraId="4708EB9A" w14:textId="150E1763" w:rsidR="009B5291" w:rsidRPr="008F3285" w:rsidRDefault="001172C3" w:rsidP="00D54B51">
            <w:pPr>
              <w:pStyle w:val="In-tableHeading"/>
              <w:jc w:val="center"/>
              <w:rPr>
                <w:b w:val="0"/>
                <w:bCs/>
              </w:rPr>
            </w:pPr>
            <w:r w:rsidRPr="001172C3">
              <w:rPr>
                <w:b w:val="0"/>
                <w:bCs/>
                <w:color w:val="000000"/>
                <w:spacing w:val="51"/>
                <w:shd w:val="solid" w:color="000000" w:fill="000000"/>
                <w:fitText w:val="231" w:id="-1234435072"/>
                <w14:textFill>
                  <w14:solidFill>
                    <w14:srgbClr w14:val="000000">
                      <w14:alpha w14:val="100000"/>
                    </w14:srgbClr>
                  </w14:solidFill>
                </w14:textFill>
              </w:rPr>
              <w:t>||</w:t>
            </w:r>
            <w:r w:rsidRPr="001172C3">
              <w:rPr>
                <w:b w:val="0"/>
                <w:bCs/>
                <w:color w:val="000000"/>
                <w:spacing w:val="2"/>
                <w:shd w:val="solid" w:color="000000" w:fill="000000"/>
                <w:fitText w:val="231" w:id="-1234435072"/>
                <w14:textFill>
                  <w14:solidFill>
                    <w14:srgbClr w14:val="000000">
                      <w14:alpha w14:val="100000"/>
                    </w14:srgbClr>
                  </w14:solidFill>
                </w14:textFill>
              </w:rPr>
              <w:t>|</w:t>
            </w:r>
            <w:r w:rsidR="00CA49DA">
              <w:rPr>
                <w:b w:val="0"/>
                <w:bCs/>
              </w:rPr>
              <w:t xml:space="preserve"> </w:t>
            </w:r>
            <w:r w:rsidR="00CA49DA">
              <w:rPr>
                <w:b w:val="0"/>
                <w:bCs/>
                <w:vertAlign w:val="superscript"/>
              </w:rPr>
              <w:t>1</w:t>
            </w:r>
          </w:p>
        </w:tc>
        <w:tc>
          <w:tcPr>
            <w:tcW w:w="598" w:type="pct"/>
            <w:shd w:val="clear" w:color="auto" w:fill="auto"/>
            <w:vAlign w:val="center"/>
          </w:tcPr>
          <w:p w14:paraId="59FDAEF8" w14:textId="7340A6E3" w:rsidR="009B5291" w:rsidRPr="008F3285" w:rsidRDefault="001172C3" w:rsidP="00D54B51">
            <w:pPr>
              <w:pStyle w:val="In-tableHeading"/>
              <w:jc w:val="center"/>
              <w:rPr>
                <w:b w:val="0"/>
                <w:bCs/>
              </w:rPr>
            </w:pPr>
            <w:r w:rsidRPr="001172C3">
              <w:rPr>
                <w:b w:val="0"/>
                <w:bCs/>
                <w:color w:val="000000"/>
                <w:spacing w:val="168"/>
                <w:shd w:val="solid" w:color="000000" w:fill="000000"/>
                <w:fitText w:val="254" w:id="-1234435071"/>
                <w14:textFill>
                  <w14:solidFill>
                    <w14:srgbClr w14:val="000000">
                      <w14:alpha w14:val="100000"/>
                    </w14:srgbClr>
                  </w14:solidFill>
                </w14:textFill>
              </w:rPr>
              <w:t>|</w:t>
            </w:r>
            <w:r w:rsidRPr="001172C3">
              <w:rPr>
                <w:b w:val="0"/>
                <w:bCs/>
                <w:color w:val="000000"/>
                <w:spacing w:val="1"/>
                <w:shd w:val="solid" w:color="000000" w:fill="000000"/>
                <w:fitText w:val="254" w:id="-1234435071"/>
                <w14:textFill>
                  <w14:solidFill>
                    <w14:srgbClr w14:val="000000">
                      <w14:alpha w14:val="100000"/>
                    </w14:srgbClr>
                  </w14:solidFill>
                </w14:textFill>
              </w:rPr>
              <w:t>|</w:t>
            </w:r>
            <w:r w:rsidR="00CA49DA">
              <w:rPr>
                <w:b w:val="0"/>
                <w:bCs/>
              </w:rPr>
              <w:t xml:space="preserve"> </w:t>
            </w:r>
            <w:r w:rsidR="00CA49DA">
              <w:rPr>
                <w:b w:val="0"/>
                <w:bCs/>
                <w:vertAlign w:val="superscript"/>
              </w:rPr>
              <w:t>1</w:t>
            </w:r>
          </w:p>
        </w:tc>
      </w:tr>
      <w:tr w:rsidR="009B5291" w:rsidRPr="00D1078F" w14:paraId="00EAA2F3" w14:textId="77777777" w:rsidTr="009B5291">
        <w:tc>
          <w:tcPr>
            <w:tcW w:w="1336" w:type="pct"/>
            <w:shd w:val="clear" w:color="auto" w:fill="auto"/>
            <w:vAlign w:val="center"/>
          </w:tcPr>
          <w:p w14:paraId="6A44C1B3" w14:textId="0489805D" w:rsidR="009B5291" w:rsidRPr="008F3285" w:rsidRDefault="009B5291" w:rsidP="009B5291">
            <w:pPr>
              <w:pStyle w:val="In-tableHeading"/>
              <w:rPr>
                <w:b w:val="0"/>
                <w:bCs/>
              </w:rPr>
            </w:pPr>
            <w:r w:rsidRPr="008F3285">
              <w:rPr>
                <w:b w:val="0"/>
                <w:bCs/>
              </w:rPr>
              <w:t>Number of scripts dispensed</w:t>
            </w:r>
          </w:p>
        </w:tc>
        <w:tc>
          <w:tcPr>
            <w:tcW w:w="629" w:type="pct"/>
            <w:shd w:val="clear" w:color="auto" w:fill="auto"/>
            <w:vAlign w:val="center"/>
          </w:tcPr>
          <w:p w14:paraId="6AC7D5ED" w14:textId="537D2F23" w:rsidR="009B5291" w:rsidRPr="008F3285" w:rsidRDefault="001172C3" w:rsidP="00D54B51">
            <w:pPr>
              <w:pStyle w:val="In-tableHeading"/>
              <w:jc w:val="center"/>
            </w:pPr>
            <w:r w:rsidRPr="001172C3">
              <w:rPr>
                <w:rFonts w:cs="Calibri"/>
                <w:b w:val="0"/>
                <w:color w:val="000000"/>
                <w:spacing w:val="45"/>
                <w:szCs w:val="20"/>
                <w:shd w:val="solid" w:color="000000" w:fill="000000"/>
                <w:fitText w:val="219" w:id="-1234435070"/>
                <w14:textFill>
                  <w14:solidFill>
                    <w14:srgbClr w14:val="000000">
                      <w14:alpha w14:val="100000"/>
                    </w14:srgbClr>
                  </w14:solidFill>
                </w14:textFill>
              </w:rPr>
              <w:t>||</w:t>
            </w:r>
            <w:r w:rsidRPr="001172C3">
              <w:rPr>
                <w:rFonts w:cs="Calibri"/>
                <w:b w:val="0"/>
                <w:color w:val="000000"/>
                <w:spacing w:val="2"/>
                <w:szCs w:val="20"/>
                <w:shd w:val="solid" w:color="000000" w:fill="000000"/>
                <w:fitText w:val="219" w:id="-1234435070"/>
                <w14:textFill>
                  <w14:solidFill>
                    <w14:srgbClr w14:val="000000">
                      <w14:alpha w14:val="100000"/>
                    </w14:srgbClr>
                  </w14:solidFill>
                </w14:textFill>
              </w:rPr>
              <w:t>|</w:t>
            </w:r>
            <w:r w:rsidR="00CA49DA">
              <w:rPr>
                <w:b w:val="0"/>
                <w:bCs/>
              </w:rPr>
              <w:t xml:space="preserve"> </w:t>
            </w:r>
            <w:r w:rsidR="00CA49DA">
              <w:rPr>
                <w:b w:val="0"/>
                <w:bCs/>
                <w:vertAlign w:val="superscript"/>
              </w:rPr>
              <w:t>1</w:t>
            </w:r>
          </w:p>
        </w:tc>
        <w:tc>
          <w:tcPr>
            <w:tcW w:w="550" w:type="pct"/>
            <w:shd w:val="clear" w:color="auto" w:fill="auto"/>
            <w:vAlign w:val="center"/>
          </w:tcPr>
          <w:p w14:paraId="0F66E681" w14:textId="0FB126D6" w:rsidR="009B5291" w:rsidRPr="008F3285" w:rsidRDefault="001172C3" w:rsidP="00D54B51">
            <w:pPr>
              <w:pStyle w:val="In-tableHeading"/>
              <w:jc w:val="center"/>
            </w:pPr>
            <w:r w:rsidRPr="001172C3">
              <w:rPr>
                <w:rFonts w:cs="Calibri"/>
                <w:b w:val="0"/>
                <w:color w:val="000000"/>
                <w:spacing w:val="214"/>
                <w:szCs w:val="20"/>
                <w:shd w:val="solid" w:color="000000" w:fill="000000"/>
                <w:fitText w:val="300" w:id="-1234435069"/>
                <w14:textFill>
                  <w14:solidFill>
                    <w14:srgbClr w14:val="000000">
                      <w14:alpha w14:val="100000"/>
                    </w14:srgbClr>
                  </w14:solidFill>
                </w14:textFill>
              </w:rPr>
              <w:t>|</w:t>
            </w:r>
            <w:r w:rsidRPr="001172C3">
              <w:rPr>
                <w:rFonts w:cs="Calibri"/>
                <w:b w:val="0"/>
                <w:color w:val="000000"/>
                <w:spacing w:val="1"/>
                <w:szCs w:val="20"/>
                <w:shd w:val="solid" w:color="000000" w:fill="000000"/>
                <w:fitText w:val="300" w:id="-1234435069"/>
                <w14:textFill>
                  <w14:solidFill>
                    <w14:srgbClr w14:val="000000">
                      <w14:alpha w14:val="100000"/>
                    </w14:srgbClr>
                  </w14:solidFill>
                </w14:textFill>
              </w:rPr>
              <w:t>|</w:t>
            </w:r>
            <w:r w:rsidR="00CA49DA">
              <w:rPr>
                <w:b w:val="0"/>
                <w:bCs/>
              </w:rPr>
              <w:t xml:space="preserve"> </w:t>
            </w:r>
            <w:r w:rsidR="00CA49DA">
              <w:rPr>
                <w:b w:val="0"/>
                <w:bCs/>
                <w:vertAlign w:val="superscript"/>
              </w:rPr>
              <w:t>1</w:t>
            </w:r>
          </w:p>
        </w:tc>
        <w:tc>
          <w:tcPr>
            <w:tcW w:w="629" w:type="pct"/>
            <w:shd w:val="clear" w:color="auto" w:fill="auto"/>
            <w:vAlign w:val="center"/>
          </w:tcPr>
          <w:p w14:paraId="79A58AA6" w14:textId="06F55975" w:rsidR="009B5291" w:rsidRPr="008F3285" w:rsidRDefault="001172C3" w:rsidP="00D54B51">
            <w:pPr>
              <w:pStyle w:val="In-tableHeading"/>
              <w:jc w:val="center"/>
            </w:pPr>
            <w:r w:rsidRPr="001172C3">
              <w:rPr>
                <w:rFonts w:cs="Calibri"/>
                <w:b w:val="0"/>
                <w:color w:val="000000"/>
                <w:spacing w:val="51"/>
                <w:szCs w:val="20"/>
                <w:shd w:val="solid" w:color="000000" w:fill="000000"/>
                <w:fitText w:val="230" w:id="-1234435068"/>
                <w14:textFill>
                  <w14:solidFill>
                    <w14:srgbClr w14:val="000000">
                      <w14:alpha w14:val="100000"/>
                    </w14:srgbClr>
                  </w14:solidFill>
                </w14:textFill>
              </w:rPr>
              <w:t>||</w:t>
            </w:r>
            <w:r w:rsidRPr="001172C3">
              <w:rPr>
                <w:rFonts w:cs="Calibri"/>
                <w:b w:val="0"/>
                <w:color w:val="000000"/>
                <w:spacing w:val="1"/>
                <w:szCs w:val="20"/>
                <w:shd w:val="solid" w:color="000000" w:fill="000000"/>
                <w:fitText w:val="230" w:id="-1234435068"/>
                <w14:textFill>
                  <w14:solidFill>
                    <w14:srgbClr w14:val="000000">
                      <w14:alpha w14:val="100000"/>
                    </w14:srgbClr>
                  </w14:solidFill>
                </w14:textFill>
              </w:rPr>
              <w:t>|</w:t>
            </w:r>
            <w:r w:rsidR="00CA49DA">
              <w:rPr>
                <w:b w:val="0"/>
                <w:bCs/>
              </w:rPr>
              <w:t xml:space="preserve"> </w:t>
            </w:r>
            <w:r w:rsidR="00CA49DA">
              <w:rPr>
                <w:b w:val="0"/>
                <w:bCs/>
                <w:vertAlign w:val="superscript"/>
              </w:rPr>
              <w:t>1</w:t>
            </w:r>
          </w:p>
        </w:tc>
        <w:tc>
          <w:tcPr>
            <w:tcW w:w="629" w:type="pct"/>
            <w:shd w:val="clear" w:color="auto" w:fill="auto"/>
            <w:vAlign w:val="center"/>
          </w:tcPr>
          <w:p w14:paraId="5EC4ED73" w14:textId="7A64EB7F" w:rsidR="009B5291" w:rsidRPr="008F3285" w:rsidRDefault="001172C3" w:rsidP="00D54B51">
            <w:pPr>
              <w:pStyle w:val="In-tableHeading"/>
              <w:jc w:val="center"/>
            </w:pPr>
            <w:r w:rsidRPr="001172C3">
              <w:rPr>
                <w:rFonts w:cs="Calibri"/>
                <w:b w:val="0"/>
                <w:color w:val="000000"/>
                <w:spacing w:val="51"/>
                <w:szCs w:val="20"/>
                <w:shd w:val="solid" w:color="000000" w:fill="000000"/>
                <w:fitText w:val="230" w:id="-1234435067"/>
                <w14:textFill>
                  <w14:solidFill>
                    <w14:srgbClr w14:val="000000">
                      <w14:alpha w14:val="100000"/>
                    </w14:srgbClr>
                  </w14:solidFill>
                </w14:textFill>
              </w:rPr>
              <w:t>||</w:t>
            </w:r>
            <w:r w:rsidRPr="001172C3">
              <w:rPr>
                <w:rFonts w:cs="Calibri"/>
                <w:b w:val="0"/>
                <w:color w:val="000000"/>
                <w:spacing w:val="1"/>
                <w:szCs w:val="20"/>
                <w:shd w:val="solid" w:color="000000" w:fill="000000"/>
                <w:fitText w:val="230" w:id="-1234435067"/>
                <w14:textFill>
                  <w14:solidFill>
                    <w14:srgbClr w14:val="000000">
                      <w14:alpha w14:val="100000"/>
                    </w14:srgbClr>
                  </w14:solidFill>
                </w14:textFill>
              </w:rPr>
              <w:t>|</w:t>
            </w:r>
            <w:r w:rsidR="00CA49DA">
              <w:rPr>
                <w:b w:val="0"/>
                <w:bCs/>
              </w:rPr>
              <w:t xml:space="preserve"> </w:t>
            </w:r>
            <w:r w:rsidR="00CA49DA">
              <w:rPr>
                <w:b w:val="0"/>
                <w:bCs/>
                <w:vertAlign w:val="superscript"/>
              </w:rPr>
              <w:t>1</w:t>
            </w:r>
          </w:p>
        </w:tc>
        <w:tc>
          <w:tcPr>
            <w:tcW w:w="629" w:type="pct"/>
            <w:gridSpan w:val="3"/>
            <w:shd w:val="clear" w:color="auto" w:fill="auto"/>
            <w:vAlign w:val="center"/>
          </w:tcPr>
          <w:p w14:paraId="43D64B64" w14:textId="5C26593E" w:rsidR="009B5291" w:rsidRPr="008F3285" w:rsidRDefault="001172C3" w:rsidP="00D54B51">
            <w:pPr>
              <w:pStyle w:val="In-tableHeading"/>
              <w:jc w:val="center"/>
            </w:pPr>
            <w:r w:rsidRPr="001172C3">
              <w:rPr>
                <w:rFonts w:cs="Calibri"/>
                <w:b w:val="0"/>
                <w:color w:val="000000"/>
                <w:spacing w:val="51"/>
                <w:szCs w:val="20"/>
                <w:shd w:val="solid" w:color="000000" w:fill="000000"/>
                <w:fitText w:val="231" w:id="-1234435066"/>
                <w14:textFill>
                  <w14:solidFill>
                    <w14:srgbClr w14:val="000000">
                      <w14:alpha w14:val="100000"/>
                    </w14:srgbClr>
                  </w14:solidFill>
                </w14:textFill>
              </w:rPr>
              <w:t>||</w:t>
            </w:r>
            <w:r w:rsidRPr="001172C3">
              <w:rPr>
                <w:rFonts w:cs="Calibri"/>
                <w:b w:val="0"/>
                <w:color w:val="000000"/>
                <w:spacing w:val="2"/>
                <w:szCs w:val="20"/>
                <w:shd w:val="solid" w:color="000000" w:fill="000000"/>
                <w:fitText w:val="231" w:id="-1234435066"/>
                <w14:textFill>
                  <w14:solidFill>
                    <w14:srgbClr w14:val="000000">
                      <w14:alpha w14:val="100000"/>
                    </w14:srgbClr>
                  </w14:solidFill>
                </w14:textFill>
              </w:rPr>
              <w:t>|</w:t>
            </w:r>
            <w:r w:rsidR="00CA49DA">
              <w:rPr>
                <w:b w:val="0"/>
                <w:bCs/>
              </w:rPr>
              <w:t xml:space="preserve"> </w:t>
            </w:r>
            <w:r w:rsidR="00CA49DA">
              <w:rPr>
                <w:b w:val="0"/>
                <w:bCs/>
                <w:vertAlign w:val="superscript"/>
              </w:rPr>
              <w:t>1</w:t>
            </w:r>
          </w:p>
        </w:tc>
        <w:tc>
          <w:tcPr>
            <w:tcW w:w="598" w:type="pct"/>
            <w:shd w:val="clear" w:color="auto" w:fill="auto"/>
            <w:vAlign w:val="center"/>
          </w:tcPr>
          <w:p w14:paraId="0F17036A" w14:textId="6F7C641F" w:rsidR="009B5291" w:rsidRPr="008F3285" w:rsidRDefault="001172C3" w:rsidP="00D54B51">
            <w:pPr>
              <w:pStyle w:val="In-tableHeading"/>
              <w:jc w:val="center"/>
            </w:pPr>
            <w:r w:rsidRPr="001172C3">
              <w:rPr>
                <w:rFonts w:cs="Calibri"/>
                <w:b w:val="0"/>
                <w:color w:val="000000"/>
                <w:spacing w:val="168"/>
                <w:szCs w:val="20"/>
                <w:shd w:val="solid" w:color="000000" w:fill="000000"/>
                <w:fitText w:val="254" w:id="-1234435065"/>
                <w14:textFill>
                  <w14:solidFill>
                    <w14:srgbClr w14:val="000000">
                      <w14:alpha w14:val="100000"/>
                    </w14:srgbClr>
                  </w14:solidFill>
                </w14:textFill>
              </w:rPr>
              <w:t>|</w:t>
            </w:r>
            <w:r w:rsidRPr="001172C3">
              <w:rPr>
                <w:rFonts w:cs="Calibri"/>
                <w:b w:val="0"/>
                <w:color w:val="000000"/>
                <w:spacing w:val="1"/>
                <w:szCs w:val="20"/>
                <w:shd w:val="solid" w:color="000000" w:fill="000000"/>
                <w:fitText w:val="254" w:id="-1234435065"/>
                <w14:textFill>
                  <w14:solidFill>
                    <w14:srgbClr w14:val="000000">
                      <w14:alpha w14:val="100000"/>
                    </w14:srgbClr>
                  </w14:solidFill>
                </w14:textFill>
              </w:rPr>
              <w:t>|</w:t>
            </w:r>
            <w:r w:rsidR="00CA49DA">
              <w:rPr>
                <w:b w:val="0"/>
                <w:bCs/>
              </w:rPr>
              <w:t xml:space="preserve"> </w:t>
            </w:r>
            <w:r w:rsidR="00CA49DA">
              <w:rPr>
                <w:b w:val="0"/>
                <w:bCs/>
                <w:vertAlign w:val="superscript"/>
              </w:rPr>
              <w:t>1</w:t>
            </w:r>
          </w:p>
        </w:tc>
      </w:tr>
      <w:tr w:rsidR="003227F6" w:rsidRPr="00D1078F" w14:paraId="1CF1E185" w14:textId="77777777" w:rsidTr="00C96433">
        <w:tc>
          <w:tcPr>
            <w:tcW w:w="5000" w:type="pct"/>
            <w:gridSpan w:val="9"/>
            <w:shd w:val="clear" w:color="auto" w:fill="auto"/>
            <w:vAlign w:val="center"/>
          </w:tcPr>
          <w:p w14:paraId="2EF23542" w14:textId="77777777" w:rsidR="003227F6" w:rsidRPr="00D1078F" w:rsidRDefault="003227F6" w:rsidP="00C96433">
            <w:pPr>
              <w:pStyle w:val="In-tableHeading"/>
            </w:pPr>
            <w:r w:rsidRPr="00D1078F">
              <w:t xml:space="preserve">Estimated </w:t>
            </w:r>
            <w:r>
              <w:t xml:space="preserve">financial implications of nivolumab </w:t>
            </w:r>
          </w:p>
        </w:tc>
      </w:tr>
      <w:tr w:rsidR="003227F6" w:rsidRPr="003639A6" w14:paraId="07A33A70" w14:textId="77777777" w:rsidTr="009B5291">
        <w:tc>
          <w:tcPr>
            <w:tcW w:w="1336" w:type="pct"/>
            <w:shd w:val="clear" w:color="auto" w:fill="auto"/>
          </w:tcPr>
          <w:p w14:paraId="06657C2B" w14:textId="77777777" w:rsidR="003227F6" w:rsidRDefault="003227F6" w:rsidP="003227F6">
            <w:pPr>
              <w:pStyle w:val="TableText0"/>
              <w:rPr>
                <w:sz w:val="19"/>
                <w:szCs w:val="19"/>
              </w:rPr>
            </w:pPr>
            <w:r w:rsidRPr="00621335">
              <w:t>Total cost to the PBS/RPBS, excluding patient copayments</w:t>
            </w:r>
          </w:p>
        </w:tc>
        <w:tc>
          <w:tcPr>
            <w:tcW w:w="629" w:type="pct"/>
            <w:shd w:val="clear" w:color="auto" w:fill="auto"/>
          </w:tcPr>
          <w:p w14:paraId="7E5930B8" w14:textId="70221EED" w:rsidR="003227F6" w:rsidRPr="003639A6" w:rsidRDefault="003227F6" w:rsidP="003227F6">
            <w:pPr>
              <w:pStyle w:val="TableText0"/>
              <w:jc w:val="center"/>
            </w:pPr>
            <w:r w:rsidRPr="000A6E90">
              <w:rPr>
                <w:rFonts w:cs="Times New Roman"/>
                <w:bCs w:val="0"/>
                <w:lang w:val="en-US"/>
              </w:rPr>
              <w:t>$</w:t>
            </w:r>
            <w:r w:rsidR="001172C3" w:rsidRPr="001172C3">
              <w:rPr>
                <w:rFonts w:cs="Times New Roman"/>
                <w:bCs w:val="0"/>
                <w:color w:val="000000"/>
                <w:spacing w:val="179"/>
                <w:shd w:val="solid" w:color="000000" w:fill="000000"/>
                <w:fitText w:val="265" w:id="-1234435064"/>
                <w:lang w:val="en-US"/>
                <w14:textFill>
                  <w14:solidFill>
                    <w14:srgbClr w14:val="000000">
                      <w14:alpha w14:val="100000"/>
                    </w14:srgbClr>
                  </w14:solidFill>
                </w14:textFill>
              </w:rPr>
              <w:t>|</w:t>
            </w:r>
            <w:r w:rsidR="001172C3" w:rsidRPr="001172C3">
              <w:rPr>
                <w:rFonts w:cs="Times New Roman"/>
                <w:bCs w:val="0"/>
                <w:color w:val="000000"/>
                <w:spacing w:val="1"/>
                <w:shd w:val="solid" w:color="000000" w:fill="000000"/>
                <w:fitText w:val="265" w:id="-1234435064"/>
                <w:lang w:val="en-US"/>
                <w14:textFill>
                  <w14:solidFill>
                    <w14:srgbClr w14:val="000000">
                      <w14:alpha w14:val="100000"/>
                    </w14:srgbClr>
                  </w14:solidFill>
                </w14:textFill>
              </w:rPr>
              <w:t>|</w:t>
            </w:r>
            <w:r w:rsidR="00CA49DA">
              <w:rPr>
                <w:b/>
                <w:bCs w:val="0"/>
              </w:rPr>
              <w:t xml:space="preserve"> </w:t>
            </w:r>
            <w:r w:rsidR="00CA49DA">
              <w:rPr>
                <w:b/>
                <w:bCs w:val="0"/>
                <w:vertAlign w:val="superscript"/>
              </w:rPr>
              <w:t>2</w:t>
            </w:r>
          </w:p>
        </w:tc>
        <w:tc>
          <w:tcPr>
            <w:tcW w:w="550" w:type="pct"/>
            <w:shd w:val="clear" w:color="auto" w:fill="auto"/>
          </w:tcPr>
          <w:p w14:paraId="3EAEFE67" w14:textId="140CE255" w:rsidR="003227F6" w:rsidRPr="003639A6" w:rsidRDefault="003227F6" w:rsidP="003227F6">
            <w:pPr>
              <w:pStyle w:val="TableText0"/>
              <w:jc w:val="center"/>
            </w:pPr>
            <w:r w:rsidRPr="000A6E90">
              <w:rPr>
                <w:rFonts w:cs="Times New Roman"/>
                <w:bCs w:val="0"/>
                <w:lang w:val="en-US"/>
              </w:rPr>
              <w:t>$</w:t>
            </w:r>
            <w:r w:rsidR="001172C3" w:rsidRPr="001172C3">
              <w:rPr>
                <w:rFonts w:cs="Times New Roman"/>
                <w:bCs w:val="0"/>
                <w:color w:val="000000"/>
                <w:spacing w:val="58"/>
                <w:shd w:val="solid" w:color="000000" w:fill="000000"/>
                <w:fitText w:val="346" w:id="-1234435063"/>
                <w:lang w:val="en-US"/>
                <w14:textFill>
                  <w14:solidFill>
                    <w14:srgbClr w14:val="000000">
                      <w14:alpha w14:val="100000"/>
                    </w14:srgbClr>
                  </w14:solidFill>
                </w14:textFill>
              </w:rPr>
              <w:t>|||</w:t>
            </w:r>
            <w:r w:rsidR="001172C3" w:rsidRPr="001172C3">
              <w:rPr>
                <w:rFonts w:cs="Times New Roman"/>
                <w:bCs w:val="0"/>
                <w:color w:val="000000"/>
                <w:spacing w:val="2"/>
                <w:shd w:val="solid" w:color="000000" w:fill="000000"/>
                <w:fitText w:val="346" w:id="-1234435063"/>
                <w:lang w:val="en-US"/>
                <w14:textFill>
                  <w14:solidFill>
                    <w14:srgbClr w14:val="000000">
                      <w14:alpha w14:val="100000"/>
                    </w14:srgbClr>
                  </w14:solidFill>
                </w14:textFill>
              </w:rPr>
              <w:t>|</w:t>
            </w:r>
            <w:r w:rsidR="00CA49DA">
              <w:rPr>
                <w:b/>
                <w:bCs w:val="0"/>
              </w:rPr>
              <w:t xml:space="preserve"> </w:t>
            </w:r>
            <w:r w:rsidR="00CA49DA">
              <w:rPr>
                <w:b/>
                <w:bCs w:val="0"/>
                <w:vertAlign w:val="superscript"/>
              </w:rPr>
              <w:t>3</w:t>
            </w:r>
          </w:p>
        </w:tc>
        <w:tc>
          <w:tcPr>
            <w:tcW w:w="629" w:type="pct"/>
            <w:shd w:val="clear" w:color="auto" w:fill="auto"/>
          </w:tcPr>
          <w:p w14:paraId="5A627D20" w14:textId="53369BA5" w:rsidR="003227F6" w:rsidRPr="003639A6" w:rsidRDefault="003227F6" w:rsidP="003227F6">
            <w:pPr>
              <w:pStyle w:val="TableText0"/>
              <w:jc w:val="center"/>
            </w:pPr>
            <w:r w:rsidRPr="000A6E90">
              <w:rPr>
                <w:rFonts w:cs="Times New Roman"/>
                <w:bCs w:val="0"/>
                <w:lang w:val="en-US"/>
              </w:rPr>
              <w:t>$</w:t>
            </w:r>
            <w:r w:rsidR="001172C3" w:rsidRPr="001172C3">
              <w:rPr>
                <w:rFonts w:cs="Times New Roman"/>
                <w:bCs w:val="0"/>
                <w:color w:val="000000"/>
                <w:spacing w:val="179"/>
                <w:shd w:val="solid" w:color="000000" w:fill="000000"/>
                <w:fitText w:val="265" w:id="-1234435062"/>
                <w:lang w:val="en-US"/>
                <w14:textFill>
                  <w14:solidFill>
                    <w14:srgbClr w14:val="000000">
                      <w14:alpha w14:val="100000"/>
                    </w14:srgbClr>
                  </w14:solidFill>
                </w14:textFill>
              </w:rPr>
              <w:t>|</w:t>
            </w:r>
            <w:r w:rsidR="001172C3" w:rsidRPr="001172C3">
              <w:rPr>
                <w:rFonts w:cs="Times New Roman"/>
                <w:bCs w:val="0"/>
                <w:color w:val="000000"/>
                <w:spacing w:val="1"/>
                <w:shd w:val="solid" w:color="000000" w:fill="000000"/>
                <w:fitText w:val="265" w:id="-1234435062"/>
                <w:lang w:val="en-US"/>
                <w14:textFill>
                  <w14:solidFill>
                    <w14:srgbClr w14:val="000000">
                      <w14:alpha w14:val="100000"/>
                    </w14:srgbClr>
                  </w14:solidFill>
                </w14:textFill>
              </w:rPr>
              <w:t>|</w:t>
            </w:r>
            <w:r w:rsidR="00CA49DA">
              <w:rPr>
                <w:b/>
                <w:bCs w:val="0"/>
              </w:rPr>
              <w:t xml:space="preserve"> </w:t>
            </w:r>
            <w:r w:rsidR="00CA49DA">
              <w:rPr>
                <w:b/>
                <w:bCs w:val="0"/>
                <w:vertAlign w:val="superscript"/>
              </w:rPr>
              <w:t>3</w:t>
            </w:r>
          </w:p>
        </w:tc>
        <w:tc>
          <w:tcPr>
            <w:tcW w:w="637" w:type="pct"/>
            <w:gridSpan w:val="2"/>
            <w:shd w:val="clear" w:color="auto" w:fill="auto"/>
          </w:tcPr>
          <w:p w14:paraId="0F6707F3" w14:textId="075F7E27" w:rsidR="003227F6" w:rsidRPr="003639A6" w:rsidRDefault="003227F6" w:rsidP="003227F6">
            <w:pPr>
              <w:pStyle w:val="TableText0"/>
              <w:jc w:val="center"/>
            </w:pPr>
            <w:r w:rsidRPr="000A6E90">
              <w:rPr>
                <w:rFonts w:cs="Times New Roman"/>
                <w:bCs w:val="0"/>
                <w:lang w:val="en-US"/>
              </w:rPr>
              <w:t>$</w:t>
            </w:r>
            <w:r w:rsidR="001172C3" w:rsidRPr="001172C3">
              <w:rPr>
                <w:rFonts w:cs="Times New Roman"/>
                <w:bCs w:val="0"/>
                <w:color w:val="000000"/>
                <w:spacing w:val="179"/>
                <w:shd w:val="solid" w:color="000000" w:fill="000000"/>
                <w:fitText w:val="265" w:id="-1234435061"/>
                <w:lang w:val="en-US"/>
                <w14:textFill>
                  <w14:solidFill>
                    <w14:srgbClr w14:val="000000">
                      <w14:alpha w14:val="100000"/>
                    </w14:srgbClr>
                  </w14:solidFill>
                </w14:textFill>
              </w:rPr>
              <w:t>|</w:t>
            </w:r>
            <w:r w:rsidR="001172C3" w:rsidRPr="001172C3">
              <w:rPr>
                <w:rFonts w:cs="Times New Roman"/>
                <w:bCs w:val="0"/>
                <w:color w:val="000000"/>
                <w:spacing w:val="1"/>
                <w:shd w:val="solid" w:color="000000" w:fill="000000"/>
                <w:fitText w:val="265" w:id="-1234435061"/>
                <w:lang w:val="en-US"/>
                <w14:textFill>
                  <w14:solidFill>
                    <w14:srgbClr w14:val="000000">
                      <w14:alpha w14:val="100000"/>
                    </w14:srgbClr>
                  </w14:solidFill>
                </w14:textFill>
              </w:rPr>
              <w:t>|</w:t>
            </w:r>
            <w:r w:rsidR="00CA49DA">
              <w:rPr>
                <w:b/>
                <w:bCs w:val="0"/>
              </w:rPr>
              <w:t xml:space="preserve"> </w:t>
            </w:r>
            <w:r w:rsidR="00CA49DA">
              <w:rPr>
                <w:b/>
                <w:bCs w:val="0"/>
                <w:vertAlign w:val="superscript"/>
              </w:rPr>
              <w:t>3</w:t>
            </w:r>
          </w:p>
        </w:tc>
        <w:tc>
          <w:tcPr>
            <w:tcW w:w="611" w:type="pct"/>
            <w:shd w:val="clear" w:color="auto" w:fill="auto"/>
          </w:tcPr>
          <w:p w14:paraId="7EA8A826" w14:textId="7CE30A05" w:rsidR="003227F6" w:rsidRPr="003639A6" w:rsidRDefault="003227F6" w:rsidP="003227F6">
            <w:pPr>
              <w:pStyle w:val="TableText0"/>
              <w:jc w:val="center"/>
            </w:pPr>
            <w:r w:rsidRPr="000A6E90">
              <w:rPr>
                <w:rFonts w:cs="Times New Roman"/>
                <w:bCs w:val="0"/>
                <w:lang w:val="en-US"/>
              </w:rPr>
              <w:t>$</w:t>
            </w:r>
            <w:r w:rsidR="001172C3" w:rsidRPr="001172C3">
              <w:rPr>
                <w:rFonts w:cs="Times New Roman"/>
                <w:bCs w:val="0"/>
                <w:color w:val="000000"/>
                <w:spacing w:val="202"/>
                <w:shd w:val="solid" w:color="000000" w:fill="000000"/>
                <w:fitText w:val="288" w:id="-1234435060"/>
                <w:lang w:val="en-US"/>
                <w14:textFill>
                  <w14:solidFill>
                    <w14:srgbClr w14:val="000000">
                      <w14:alpha w14:val="100000"/>
                    </w14:srgbClr>
                  </w14:solidFill>
                </w14:textFill>
              </w:rPr>
              <w:t>|</w:t>
            </w:r>
            <w:r w:rsidR="001172C3" w:rsidRPr="001172C3">
              <w:rPr>
                <w:rFonts w:cs="Times New Roman"/>
                <w:bCs w:val="0"/>
                <w:color w:val="000000"/>
                <w:spacing w:val="1"/>
                <w:shd w:val="solid" w:color="000000" w:fill="000000"/>
                <w:fitText w:val="288" w:id="-1234435060"/>
                <w:lang w:val="en-US"/>
                <w14:textFill>
                  <w14:solidFill>
                    <w14:srgbClr w14:val="000000">
                      <w14:alpha w14:val="100000"/>
                    </w14:srgbClr>
                  </w14:solidFill>
                </w14:textFill>
              </w:rPr>
              <w:t>|</w:t>
            </w:r>
            <w:r w:rsidR="00CA49DA">
              <w:rPr>
                <w:b/>
                <w:bCs w:val="0"/>
              </w:rPr>
              <w:t xml:space="preserve"> </w:t>
            </w:r>
            <w:r w:rsidR="00CA49DA">
              <w:rPr>
                <w:b/>
                <w:bCs w:val="0"/>
                <w:vertAlign w:val="superscript"/>
              </w:rPr>
              <w:t>3</w:t>
            </w:r>
          </w:p>
        </w:tc>
        <w:tc>
          <w:tcPr>
            <w:tcW w:w="608" w:type="pct"/>
            <w:gridSpan w:val="2"/>
          </w:tcPr>
          <w:p w14:paraId="2747C6D2" w14:textId="4B0219D2" w:rsidR="003227F6" w:rsidRPr="003639A6" w:rsidRDefault="003227F6" w:rsidP="003227F6">
            <w:pPr>
              <w:pStyle w:val="TableText0"/>
              <w:jc w:val="center"/>
            </w:pPr>
            <w:r w:rsidRPr="000A6E90">
              <w:rPr>
                <w:rFonts w:cs="Times New Roman"/>
                <w:bCs w:val="0"/>
                <w:lang w:val="en-US"/>
              </w:rPr>
              <w:t>$</w:t>
            </w:r>
            <w:r w:rsidR="001172C3" w:rsidRPr="001172C3">
              <w:rPr>
                <w:rFonts w:cs="Times New Roman"/>
                <w:bCs w:val="0"/>
                <w:color w:val="000000"/>
                <w:spacing w:val="202"/>
                <w:shd w:val="solid" w:color="000000" w:fill="000000"/>
                <w:fitText w:val="288" w:id="-1234435059"/>
                <w:lang w:val="en-US"/>
                <w14:textFill>
                  <w14:solidFill>
                    <w14:srgbClr w14:val="000000">
                      <w14:alpha w14:val="100000"/>
                    </w14:srgbClr>
                  </w14:solidFill>
                </w14:textFill>
              </w:rPr>
              <w:t>|</w:t>
            </w:r>
            <w:r w:rsidR="001172C3" w:rsidRPr="001172C3">
              <w:rPr>
                <w:rFonts w:cs="Times New Roman"/>
                <w:bCs w:val="0"/>
                <w:color w:val="000000"/>
                <w:spacing w:val="1"/>
                <w:shd w:val="solid" w:color="000000" w:fill="000000"/>
                <w:fitText w:val="288" w:id="-1234435059"/>
                <w:lang w:val="en-US"/>
                <w14:textFill>
                  <w14:solidFill>
                    <w14:srgbClr w14:val="000000">
                      <w14:alpha w14:val="100000"/>
                    </w14:srgbClr>
                  </w14:solidFill>
                </w14:textFill>
              </w:rPr>
              <w:t>|</w:t>
            </w:r>
            <w:r w:rsidR="00CA49DA">
              <w:rPr>
                <w:b/>
                <w:bCs w:val="0"/>
              </w:rPr>
              <w:t xml:space="preserve"> </w:t>
            </w:r>
            <w:r w:rsidR="00CA49DA">
              <w:rPr>
                <w:b/>
                <w:bCs w:val="0"/>
                <w:vertAlign w:val="superscript"/>
              </w:rPr>
              <w:t>3</w:t>
            </w:r>
          </w:p>
        </w:tc>
      </w:tr>
      <w:tr w:rsidR="003227F6" w:rsidRPr="003639A6" w14:paraId="1C11D419" w14:textId="77777777" w:rsidTr="00C96433">
        <w:tc>
          <w:tcPr>
            <w:tcW w:w="5000" w:type="pct"/>
            <w:gridSpan w:val="9"/>
            <w:shd w:val="clear" w:color="auto" w:fill="auto"/>
            <w:vAlign w:val="center"/>
          </w:tcPr>
          <w:p w14:paraId="1C058D7E" w14:textId="77777777" w:rsidR="003227F6" w:rsidRPr="00C23AA7" w:rsidRDefault="003227F6" w:rsidP="003227F6">
            <w:pPr>
              <w:pStyle w:val="TableText0"/>
              <w:rPr>
                <w:b/>
              </w:rPr>
            </w:pPr>
            <w:r w:rsidRPr="00C23AA7">
              <w:rPr>
                <w:b/>
              </w:rPr>
              <w:t>Estimated financial implications for other medicines</w:t>
            </w:r>
          </w:p>
        </w:tc>
      </w:tr>
      <w:tr w:rsidR="00ED650E" w:rsidRPr="003639A6" w14:paraId="4437C1D0" w14:textId="77777777" w:rsidTr="009B5291">
        <w:tc>
          <w:tcPr>
            <w:tcW w:w="1336" w:type="pct"/>
            <w:shd w:val="clear" w:color="auto" w:fill="auto"/>
          </w:tcPr>
          <w:p w14:paraId="730274D5" w14:textId="77777777" w:rsidR="00ED650E" w:rsidRDefault="00ED650E" w:rsidP="00ED650E">
            <w:pPr>
              <w:pStyle w:val="TableText0"/>
              <w:rPr>
                <w:sz w:val="19"/>
                <w:szCs w:val="19"/>
              </w:rPr>
            </w:pPr>
            <w:r w:rsidRPr="000C2F16">
              <w:t>Reduction in cost to the PBS/RPBS, excluding patient copayments</w:t>
            </w:r>
          </w:p>
        </w:tc>
        <w:tc>
          <w:tcPr>
            <w:tcW w:w="629" w:type="pct"/>
            <w:shd w:val="clear" w:color="auto" w:fill="auto"/>
            <w:vAlign w:val="bottom"/>
          </w:tcPr>
          <w:p w14:paraId="40490099" w14:textId="305DB2DE" w:rsidR="00ED650E" w:rsidRPr="003639A6" w:rsidRDefault="00ED650E" w:rsidP="00ED650E">
            <w:pPr>
              <w:pStyle w:val="TableText0"/>
              <w:jc w:val="center"/>
            </w:pPr>
            <w:r w:rsidRPr="00ED650E">
              <w:rPr>
                <w:szCs w:val="20"/>
              </w:rPr>
              <w:t>-$</w:t>
            </w:r>
            <w:r w:rsidR="001172C3" w:rsidRPr="001172C3">
              <w:rPr>
                <w:color w:val="000000"/>
                <w:spacing w:val="213"/>
                <w:szCs w:val="20"/>
                <w:shd w:val="solid" w:color="000000" w:fill="000000"/>
                <w:fitText w:val="299" w:id="-1234435058"/>
                <w14:textFill>
                  <w14:solidFill>
                    <w14:srgbClr w14:val="000000">
                      <w14:alpha w14:val="100000"/>
                    </w14:srgbClr>
                  </w14:solidFill>
                </w14:textFill>
              </w:rPr>
              <w:t>|</w:t>
            </w:r>
            <w:r w:rsidR="001172C3" w:rsidRPr="001172C3">
              <w:rPr>
                <w:color w:val="000000"/>
                <w:spacing w:val="1"/>
                <w:szCs w:val="20"/>
                <w:shd w:val="solid" w:color="000000" w:fill="000000"/>
                <w:fitText w:val="299" w:id="-1234435058"/>
                <w14:textFill>
                  <w14:solidFill>
                    <w14:srgbClr w14:val="000000">
                      <w14:alpha w14:val="100000"/>
                    </w14:srgbClr>
                  </w14:solidFill>
                </w14:textFill>
              </w:rPr>
              <w:t>|</w:t>
            </w:r>
            <w:r w:rsidR="00CA49DA">
              <w:rPr>
                <w:b/>
                <w:bCs w:val="0"/>
              </w:rPr>
              <w:t xml:space="preserve"> </w:t>
            </w:r>
            <w:r w:rsidR="00E3749D">
              <w:rPr>
                <w:b/>
                <w:bCs w:val="0"/>
                <w:vertAlign w:val="superscript"/>
              </w:rPr>
              <w:t>4</w:t>
            </w:r>
          </w:p>
        </w:tc>
        <w:tc>
          <w:tcPr>
            <w:tcW w:w="550" w:type="pct"/>
            <w:shd w:val="clear" w:color="auto" w:fill="auto"/>
            <w:vAlign w:val="bottom"/>
          </w:tcPr>
          <w:p w14:paraId="4BA8B2BE" w14:textId="686C3CEE" w:rsidR="00ED650E" w:rsidRPr="003639A6" w:rsidRDefault="00ED650E" w:rsidP="00ED650E">
            <w:pPr>
              <w:pStyle w:val="TableText0"/>
              <w:jc w:val="center"/>
            </w:pPr>
            <w:r w:rsidRPr="00ED650E">
              <w:rPr>
                <w:szCs w:val="20"/>
              </w:rPr>
              <w:t>-$</w:t>
            </w:r>
            <w:r w:rsidR="001172C3" w:rsidRPr="001172C3">
              <w:rPr>
                <w:color w:val="000000"/>
                <w:spacing w:val="66"/>
                <w:szCs w:val="20"/>
                <w:shd w:val="solid" w:color="000000" w:fill="000000"/>
                <w:fitText w:val="369" w:id="-1234435057"/>
                <w14:textFill>
                  <w14:solidFill>
                    <w14:srgbClr w14:val="000000">
                      <w14:alpha w14:val="100000"/>
                    </w14:srgbClr>
                  </w14:solidFill>
                </w14:textFill>
              </w:rPr>
              <w:t>|||</w:t>
            </w:r>
            <w:r w:rsidR="001172C3" w:rsidRPr="001172C3">
              <w:rPr>
                <w:color w:val="000000"/>
                <w:spacing w:val="1"/>
                <w:szCs w:val="20"/>
                <w:shd w:val="solid" w:color="000000" w:fill="000000"/>
                <w:fitText w:val="369" w:id="-1234435057"/>
                <w14:textFill>
                  <w14:solidFill>
                    <w14:srgbClr w14:val="000000">
                      <w14:alpha w14:val="100000"/>
                    </w14:srgbClr>
                  </w14:solidFill>
                </w14:textFill>
              </w:rPr>
              <w:t>|</w:t>
            </w:r>
            <w:r w:rsidR="00E3749D">
              <w:rPr>
                <w:b/>
                <w:bCs w:val="0"/>
              </w:rPr>
              <w:t xml:space="preserve"> </w:t>
            </w:r>
            <w:r w:rsidR="00E3749D">
              <w:rPr>
                <w:b/>
                <w:bCs w:val="0"/>
                <w:vertAlign w:val="superscript"/>
              </w:rPr>
              <w:t>4</w:t>
            </w:r>
          </w:p>
        </w:tc>
        <w:tc>
          <w:tcPr>
            <w:tcW w:w="629" w:type="pct"/>
            <w:shd w:val="clear" w:color="auto" w:fill="auto"/>
            <w:vAlign w:val="bottom"/>
          </w:tcPr>
          <w:p w14:paraId="21DDEF9A" w14:textId="51C58EFD" w:rsidR="00ED650E" w:rsidRPr="003639A6" w:rsidRDefault="00ED650E" w:rsidP="00ED650E">
            <w:pPr>
              <w:pStyle w:val="TableText0"/>
              <w:jc w:val="center"/>
            </w:pPr>
            <w:r w:rsidRPr="00ED650E">
              <w:rPr>
                <w:szCs w:val="20"/>
              </w:rPr>
              <w:t>-$</w:t>
            </w:r>
            <w:r w:rsidR="001172C3" w:rsidRPr="001172C3">
              <w:rPr>
                <w:color w:val="000000"/>
                <w:spacing w:val="214"/>
                <w:szCs w:val="20"/>
                <w:shd w:val="solid" w:color="000000" w:fill="000000"/>
                <w:fitText w:val="300" w:id="-1234435056"/>
                <w14:textFill>
                  <w14:solidFill>
                    <w14:srgbClr w14:val="000000">
                      <w14:alpha w14:val="100000"/>
                    </w14:srgbClr>
                  </w14:solidFill>
                </w14:textFill>
              </w:rPr>
              <w:t>|</w:t>
            </w:r>
            <w:r w:rsidR="001172C3" w:rsidRPr="001172C3">
              <w:rPr>
                <w:color w:val="000000"/>
                <w:spacing w:val="1"/>
                <w:szCs w:val="20"/>
                <w:shd w:val="solid" w:color="000000" w:fill="000000"/>
                <w:fitText w:val="300" w:id="-1234435056"/>
                <w14:textFill>
                  <w14:solidFill>
                    <w14:srgbClr w14:val="000000">
                      <w14:alpha w14:val="100000"/>
                    </w14:srgbClr>
                  </w14:solidFill>
                </w14:textFill>
              </w:rPr>
              <w:t>|</w:t>
            </w:r>
            <w:r w:rsidR="00E3749D">
              <w:rPr>
                <w:b/>
                <w:bCs w:val="0"/>
              </w:rPr>
              <w:t xml:space="preserve"> </w:t>
            </w:r>
            <w:r w:rsidR="00E3749D">
              <w:rPr>
                <w:b/>
                <w:bCs w:val="0"/>
                <w:vertAlign w:val="superscript"/>
              </w:rPr>
              <w:t>4</w:t>
            </w:r>
          </w:p>
        </w:tc>
        <w:tc>
          <w:tcPr>
            <w:tcW w:w="637" w:type="pct"/>
            <w:gridSpan w:val="2"/>
            <w:shd w:val="clear" w:color="auto" w:fill="auto"/>
            <w:vAlign w:val="bottom"/>
          </w:tcPr>
          <w:p w14:paraId="5A3DB2D9" w14:textId="70238353" w:rsidR="00ED650E" w:rsidRPr="003639A6" w:rsidRDefault="00ED650E" w:rsidP="00ED650E">
            <w:pPr>
              <w:pStyle w:val="TableText0"/>
              <w:jc w:val="center"/>
            </w:pPr>
            <w:r w:rsidRPr="00ED650E">
              <w:rPr>
                <w:szCs w:val="20"/>
              </w:rPr>
              <w:t>-$</w:t>
            </w:r>
            <w:r w:rsidR="001172C3" w:rsidRPr="001172C3">
              <w:rPr>
                <w:color w:val="000000"/>
                <w:spacing w:val="202"/>
                <w:szCs w:val="20"/>
                <w:shd w:val="solid" w:color="000000" w:fill="000000"/>
                <w:fitText w:val="288" w:id="-1234435072"/>
                <w14:textFill>
                  <w14:solidFill>
                    <w14:srgbClr w14:val="000000">
                      <w14:alpha w14:val="100000"/>
                    </w14:srgbClr>
                  </w14:solidFill>
                </w14:textFill>
              </w:rPr>
              <w:t>|</w:t>
            </w:r>
            <w:r w:rsidR="001172C3" w:rsidRPr="001172C3">
              <w:rPr>
                <w:color w:val="000000"/>
                <w:spacing w:val="1"/>
                <w:szCs w:val="20"/>
                <w:shd w:val="solid" w:color="000000" w:fill="000000"/>
                <w:fitText w:val="288" w:id="-1234435072"/>
                <w14:textFill>
                  <w14:solidFill>
                    <w14:srgbClr w14:val="000000">
                      <w14:alpha w14:val="100000"/>
                    </w14:srgbClr>
                  </w14:solidFill>
                </w14:textFill>
              </w:rPr>
              <w:t>|</w:t>
            </w:r>
            <w:r w:rsidR="00E3749D">
              <w:rPr>
                <w:b/>
                <w:bCs w:val="0"/>
              </w:rPr>
              <w:t xml:space="preserve"> </w:t>
            </w:r>
            <w:r w:rsidR="00E3749D">
              <w:rPr>
                <w:b/>
                <w:bCs w:val="0"/>
                <w:vertAlign w:val="superscript"/>
              </w:rPr>
              <w:t>4</w:t>
            </w:r>
          </w:p>
        </w:tc>
        <w:tc>
          <w:tcPr>
            <w:tcW w:w="611" w:type="pct"/>
            <w:shd w:val="clear" w:color="auto" w:fill="auto"/>
            <w:vAlign w:val="bottom"/>
          </w:tcPr>
          <w:p w14:paraId="0C0308C0" w14:textId="6AE60186" w:rsidR="00ED650E" w:rsidRPr="003639A6" w:rsidRDefault="00ED650E" w:rsidP="00ED650E">
            <w:pPr>
              <w:pStyle w:val="TableText0"/>
              <w:jc w:val="center"/>
            </w:pPr>
            <w:r w:rsidRPr="00ED650E">
              <w:rPr>
                <w:szCs w:val="20"/>
              </w:rPr>
              <w:t>-$</w:t>
            </w:r>
            <w:r w:rsidR="001172C3" w:rsidRPr="001172C3">
              <w:rPr>
                <w:color w:val="000000"/>
                <w:spacing w:val="46"/>
                <w:szCs w:val="20"/>
                <w:shd w:val="solid" w:color="000000" w:fill="000000"/>
                <w:fitText w:val="311" w:id="-1234435071"/>
                <w14:textFill>
                  <w14:solidFill>
                    <w14:srgbClr w14:val="000000">
                      <w14:alpha w14:val="100000"/>
                    </w14:srgbClr>
                  </w14:solidFill>
                </w14:textFill>
              </w:rPr>
              <w:t>|||</w:t>
            </w:r>
            <w:r w:rsidR="001172C3" w:rsidRPr="001172C3">
              <w:rPr>
                <w:color w:val="000000"/>
                <w:spacing w:val="3"/>
                <w:szCs w:val="20"/>
                <w:shd w:val="solid" w:color="000000" w:fill="000000"/>
                <w:fitText w:val="311" w:id="-1234435071"/>
                <w14:textFill>
                  <w14:solidFill>
                    <w14:srgbClr w14:val="000000">
                      <w14:alpha w14:val="100000"/>
                    </w14:srgbClr>
                  </w14:solidFill>
                </w14:textFill>
              </w:rPr>
              <w:t>|</w:t>
            </w:r>
            <w:r w:rsidR="00E3749D">
              <w:rPr>
                <w:b/>
                <w:bCs w:val="0"/>
              </w:rPr>
              <w:t xml:space="preserve"> </w:t>
            </w:r>
            <w:r w:rsidR="00E3749D">
              <w:rPr>
                <w:b/>
                <w:bCs w:val="0"/>
                <w:vertAlign w:val="superscript"/>
              </w:rPr>
              <w:t>4</w:t>
            </w:r>
          </w:p>
        </w:tc>
        <w:tc>
          <w:tcPr>
            <w:tcW w:w="608" w:type="pct"/>
            <w:gridSpan w:val="2"/>
            <w:vAlign w:val="bottom"/>
          </w:tcPr>
          <w:p w14:paraId="6B736006" w14:textId="7262CD92" w:rsidR="00ED650E" w:rsidRPr="003639A6" w:rsidRDefault="00ED650E" w:rsidP="00ED650E">
            <w:pPr>
              <w:pStyle w:val="TableText0"/>
              <w:jc w:val="center"/>
            </w:pPr>
            <w:r w:rsidRPr="00ED650E">
              <w:rPr>
                <w:szCs w:val="20"/>
              </w:rPr>
              <w:t>-$</w:t>
            </w:r>
            <w:r w:rsidR="001172C3" w:rsidRPr="001172C3">
              <w:rPr>
                <w:color w:val="000000"/>
                <w:spacing w:val="46"/>
                <w:szCs w:val="20"/>
                <w:shd w:val="solid" w:color="000000" w:fill="000000"/>
                <w:fitText w:val="311" w:id="-1234435070"/>
                <w14:textFill>
                  <w14:solidFill>
                    <w14:srgbClr w14:val="000000">
                      <w14:alpha w14:val="100000"/>
                    </w14:srgbClr>
                  </w14:solidFill>
                </w14:textFill>
              </w:rPr>
              <w:t>|||</w:t>
            </w:r>
            <w:r w:rsidR="001172C3" w:rsidRPr="001172C3">
              <w:rPr>
                <w:color w:val="000000"/>
                <w:spacing w:val="3"/>
                <w:szCs w:val="20"/>
                <w:shd w:val="solid" w:color="000000" w:fill="000000"/>
                <w:fitText w:val="311" w:id="-1234435070"/>
                <w14:textFill>
                  <w14:solidFill>
                    <w14:srgbClr w14:val="000000">
                      <w14:alpha w14:val="100000"/>
                    </w14:srgbClr>
                  </w14:solidFill>
                </w14:textFill>
              </w:rPr>
              <w:t>|</w:t>
            </w:r>
            <w:r w:rsidR="00E3749D">
              <w:rPr>
                <w:b/>
                <w:bCs w:val="0"/>
              </w:rPr>
              <w:t xml:space="preserve"> </w:t>
            </w:r>
            <w:r w:rsidR="00E3749D">
              <w:rPr>
                <w:b/>
                <w:bCs w:val="0"/>
                <w:vertAlign w:val="superscript"/>
              </w:rPr>
              <w:t>4</w:t>
            </w:r>
          </w:p>
        </w:tc>
      </w:tr>
      <w:tr w:rsidR="00ED650E" w:rsidRPr="00FC22AB" w14:paraId="39722E3B" w14:textId="77777777" w:rsidTr="00C96433">
        <w:tc>
          <w:tcPr>
            <w:tcW w:w="5000" w:type="pct"/>
            <w:gridSpan w:val="9"/>
            <w:shd w:val="clear" w:color="auto" w:fill="auto"/>
            <w:vAlign w:val="center"/>
          </w:tcPr>
          <w:p w14:paraId="2A131750" w14:textId="77777777" w:rsidR="00ED650E" w:rsidRPr="00FC22AB" w:rsidRDefault="00ED650E" w:rsidP="00ED650E">
            <w:pPr>
              <w:pStyle w:val="In-tableHeading"/>
            </w:pPr>
            <w:r w:rsidRPr="00FC22AB">
              <w:t>Net financial implications</w:t>
            </w:r>
            <w:r w:rsidRPr="00FC22AB">
              <w:rPr>
                <w:color w:val="4BACC6" w:themeColor="accent5"/>
              </w:rPr>
              <w:t xml:space="preserve"> </w:t>
            </w:r>
          </w:p>
        </w:tc>
      </w:tr>
      <w:tr w:rsidR="00ED650E" w:rsidRPr="003639A6" w14:paraId="38850C5E" w14:textId="77777777" w:rsidTr="009B5291">
        <w:tc>
          <w:tcPr>
            <w:tcW w:w="1336" w:type="pct"/>
            <w:shd w:val="clear" w:color="auto" w:fill="auto"/>
            <w:vAlign w:val="center"/>
          </w:tcPr>
          <w:p w14:paraId="6C6462ED" w14:textId="77777777" w:rsidR="00ED650E" w:rsidRDefault="00ED650E" w:rsidP="00ED650E">
            <w:pPr>
              <w:pStyle w:val="TableText0"/>
              <w:rPr>
                <w:sz w:val="19"/>
                <w:szCs w:val="19"/>
              </w:rPr>
            </w:pPr>
            <w:r>
              <w:rPr>
                <w:sz w:val="19"/>
                <w:szCs w:val="19"/>
              </w:rPr>
              <w:t>Net cost to PBS/RPBS</w:t>
            </w:r>
          </w:p>
        </w:tc>
        <w:tc>
          <w:tcPr>
            <w:tcW w:w="629" w:type="pct"/>
            <w:shd w:val="clear" w:color="auto" w:fill="auto"/>
            <w:vAlign w:val="center"/>
          </w:tcPr>
          <w:p w14:paraId="6234019A" w14:textId="451E7478" w:rsidR="00ED650E" w:rsidRPr="00F00684" w:rsidRDefault="00ED650E" w:rsidP="00ED650E">
            <w:pPr>
              <w:pStyle w:val="TableText0"/>
              <w:jc w:val="center"/>
            </w:pPr>
            <w:r w:rsidRPr="000A6E90">
              <w:rPr>
                <w:rFonts w:cs="Calibri"/>
                <w:bCs w:val="0"/>
                <w:iCs/>
                <w:color w:val="000000"/>
                <w:szCs w:val="20"/>
              </w:rPr>
              <w:t>$</w:t>
            </w:r>
            <w:r w:rsidR="001172C3" w:rsidRPr="001172C3">
              <w:rPr>
                <w:rFonts w:cs="Calibri"/>
                <w:bCs w:val="0"/>
                <w:iCs/>
                <w:color w:val="000000"/>
                <w:spacing w:val="179"/>
                <w:szCs w:val="20"/>
                <w:shd w:val="solid" w:color="000000" w:fill="000000"/>
                <w:fitText w:val="265" w:id="-1234435069"/>
                <w14:textFill>
                  <w14:solidFill>
                    <w14:srgbClr w14:val="000000">
                      <w14:alpha w14:val="100000"/>
                    </w14:srgbClr>
                  </w14:solidFill>
                </w14:textFill>
              </w:rPr>
              <w:t>|</w:t>
            </w:r>
            <w:r w:rsidR="001172C3" w:rsidRPr="001172C3">
              <w:rPr>
                <w:rFonts w:cs="Calibri"/>
                <w:bCs w:val="0"/>
                <w:iCs/>
                <w:color w:val="000000"/>
                <w:spacing w:val="1"/>
                <w:szCs w:val="20"/>
                <w:shd w:val="solid" w:color="000000" w:fill="000000"/>
                <w:fitText w:val="265" w:id="-1234435069"/>
                <w14:textFill>
                  <w14:solidFill>
                    <w14:srgbClr w14:val="000000">
                      <w14:alpha w14:val="100000"/>
                    </w14:srgbClr>
                  </w14:solidFill>
                </w14:textFill>
              </w:rPr>
              <w:t>|</w:t>
            </w:r>
            <w:r w:rsidR="00CA49DA">
              <w:rPr>
                <w:b/>
                <w:bCs w:val="0"/>
              </w:rPr>
              <w:t xml:space="preserve"> </w:t>
            </w:r>
            <w:r w:rsidR="00CA49DA">
              <w:rPr>
                <w:b/>
                <w:bCs w:val="0"/>
                <w:vertAlign w:val="superscript"/>
              </w:rPr>
              <w:t>2</w:t>
            </w:r>
          </w:p>
        </w:tc>
        <w:tc>
          <w:tcPr>
            <w:tcW w:w="550" w:type="pct"/>
            <w:shd w:val="clear" w:color="auto" w:fill="auto"/>
            <w:vAlign w:val="center"/>
          </w:tcPr>
          <w:p w14:paraId="002E532E" w14:textId="67FDA4F5" w:rsidR="00ED650E" w:rsidRPr="00E3749D" w:rsidRDefault="00ED650E" w:rsidP="00ED650E">
            <w:pPr>
              <w:pStyle w:val="TableText0"/>
              <w:jc w:val="center"/>
              <w:rPr>
                <w:highlight w:val="darkGray"/>
              </w:rPr>
            </w:pPr>
            <w:r w:rsidRPr="00E3749D">
              <w:rPr>
                <w:rFonts w:cs="Calibri"/>
                <w:bCs w:val="0"/>
                <w:iCs/>
                <w:color w:val="000000"/>
                <w:szCs w:val="20"/>
              </w:rPr>
              <w:t>$</w:t>
            </w:r>
            <w:r w:rsidR="001172C3" w:rsidRPr="001172C3">
              <w:rPr>
                <w:rFonts w:cs="Calibri"/>
                <w:bCs w:val="0"/>
                <w:iCs/>
                <w:color w:val="000000"/>
                <w:spacing w:val="50"/>
                <w:szCs w:val="20"/>
                <w:shd w:val="solid" w:color="000000" w:fill="000000"/>
                <w:fitText w:val="323" w:id="-1234435068"/>
                <w14:textFill>
                  <w14:solidFill>
                    <w14:srgbClr w14:val="000000">
                      <w14:alpha w14:val="100000"/>
                    </w14:srgbClr>
                  </w14:solidFill>
                </w14:textFill>
              </w:rPr>
              <w:t>|||</w:t>
            </w:r>
            <w:r w:rsidR="001172C3" w:rsidRPr="001172C3">
              <w:rPr>
                <w:rFonts w:cs="Calibri"/>
                <w:bCs w:val="0"/>
                <w:iCs/>
                <w:color w:val="000000"/>
                <w:spacing w:val="3"/>
                <w:szCs w:val="20"/>
                <w:shd w:val="solid" w:color="000000" w:fill="000000"/>
                <w:fitText w:val="323" w:id="-1234435068"/>
                <w14:textFill>
                  <w14:solidFill>
                    <w14:srgbClr w14:val="000000">
                      <w14:alpha w14:val="100000"/>
                    </w14:srgbClr>
                  </w14:solidFill>
                </w14:textFill>
              </w:rPr>
              <w:t>|</w:t>
            </w:r>
            <w:r w:rsidR="00CA49DA" w:rsidRPr="00E3749D">
              <w:rPr>
                <w:b/>
                <w:bCs w:val="0"/>
                <w:vertAlign w:val="superscript"/>
              </w:rPr>
              <w:t>3</w:t>
            </w:r>
          </w:p>
        </w:tc>
        <w:tc>
          <w:tcPr>
            <w:tcW w:w="629" w:type="pct"/>
            <w:shd w:val="clear" w:color="auto" w:fill="auto"/>
            <w:vAlign w:val="center"/>
          </w:tcPr>
          <w:p w14:paraId="0C39C436" w14:textId="7ED2EAAA" w:rsidR="00ED650E" w:rsidRPr="00F00684" w:rsidRDefault="00ED650E" w:rsidP="00ED650E">
            <w:pPr>
              <w:pStyle w:val="TableText0"/>
              <w:jc w:val="center"/>
            </w:pPr>
            <w:r w:rsidRPr="000A6E90">
              <w:rPr>
                <w:rFonts w:cs="Calibri"/>
                <w:bCs w:val="0"/>
                <w:iCs/>
                <w:color w:val="000000"/>
                <w:szCs w:val="20"/>
              </w:rPr>
              <w:t>$</w:t>
            </w:r>
            <w:r w:rsidR="001172C3" w:rsidRPr="001172C3">
              <w:rPr>
                <w:rFonts w:cs="Calibri"/>
                <w:bCs w:val="0"/>
                <w:iCs/>
                <w:color w:val="000000"/>
                <w:spacing w:val="179"/>
                <w:szCs w:val="20"/>
                <w:shd w:val="solid" w:color="000000" w:fill="000000"/>
                <w:fitText w:val="265" w:id="-1234435067"/>
                <w14:textFill>
                  <w14:solidFill>
                    <w14:srgbClr w14:val="000000">
                      <w14:alpha w14:val="100000"/>
                    </w14:srgbClr>
                  </w14:solidFill>
                </w14:textFill>
              </w:rPr>
              <w:t>|</w:t>
            </w:r>
            <w:r w:rsidR="001172C3" w:rsidRPr="001172C3">
              <w:rPr>
                <w:rFonts w:cs="Calibri"/>
                <w:bCs w:val="0"/>
                <w:iCs/>
                <w:color w:val="000000"/>
                <w:spacing w:val="1"/>
                <w:szCs w:val="20"/>
                <w:shd w:val="solid" w:color="000000" w:fill="000000"/>
                <w:fitText w:val="265" w:id="-1234435067"/>
                <w14:textFill>
                  <w14:solidFill>
                    <w14:srgbClr w14:val="000000">
                      <w14:alpha w14:val="100000"/>
                    </w14:srgbClr>
                  </w14:solidFill>
                </w14:textFill>
              </w:rPr>
              <w:t>|</w:t>
            </w:r>
            <w:r w:rsidR="00CA49DA">
              <w:rPr>
                <w:b/>
                <w:bCs w:val="0"/>
              </w:rPr>
              <w:t xml:space="preserve"> </w:t>
            </w:r>
            <w:r w:rsidR="00CA49DA">
              <w:rPr>
                <w:b/>
                <w:bCs w:val="0"/>
                <w:vertAlign w:val="superscript"/>
              </w:rPr>
              <w:t>3</w:t>
            </w:r>
          </w:p>
        </w:tc>
        <w:tc>
          <w:tcPr>
            <w:tcW w:w="637" w:type="pct"/>
            <w:gridSpan w:val="2"/>
            <w:shd w:val="clear" w:color="auto" w:fill="auto"/>
            <w:vAlign w:val="center"/>
          </w:tcPr>
          <w:p w14:paraId="1F28FD73" w14:textId="4BC00146" w:rsidR="00ED650E" w:rsidRPr="00F00684" w:rsidRDefault="00ED650E" w:rsidP="00ED650E">
            <w:pPr>
              <w:pStyle w:val="TableText0"/>
              <w:jc w:val="center"/>
            </w:pPr>
            <w:r w:rsidRPr="000A6E90">
              <w:rPr>
                <w:rFonts w:cs="Calibri"/>
                <w:bCs w:val="0"/>
                <w:iCs/>
                <w:color w:val="000000"/>
                <w:szCs w:val="20"/>
              </w:rPr>
              <w:t>$</w:t>
            </w:r>
            <w:r w:rsidR="001172C3" w:rsidRPr="001172C3">
              <w:rPr>
                <w:rFonts w:cs="Calibri"/>
                <w:bCs w:val="0"/>
                <w:iCs/>
                <w:color w:val="000000"/>
                <w:spacing w:val="179"/>
                <w:szCs w:val="20"/>
                <w:shd w:val="solid" w:color="000000" w:fill="000000"/>
                <w:fitText w:val="265" w:id="-1234435066"/>
                <w14:textFill>
                  <w14:solidFill>
                    <w14:srgbClr w14:val="000000">
                      <w14:alpha w14:val="100000"/>
                    </w14:srgbClr>
                  </w14:solidFill>
                </w14:textFill>
              </w:rPr>
              <w:t>|</w:t>
            </w:r>
            <w:r w:rsidR="001172C3" w:rsidRPr="001172C3">
              <w:rPr>
                <w:rFonts w:cs="Calibri"/>
                <w:bCs w:val="0"/>
                <w:iCs/>
                <w:color w:val="000000"/>
                <w:spacing w:val="1"/>
                <w:szCs w:val="20"/>
                <w:shd w:val="solid" w:color="000000" w:fill="000000"/>
                <w:fitText w:val="265" w:id="-1234435066"/>
                <w14:textFill>
                  <w14:solidFill>
                    <w14:srgbClr w14:val="000000">
                      <w14:alpha w14:val="100000"/>
                    </w14:srgbClr>
                  </w14:solidFill>
                </w14:textFill>
              </w:rPr>
              <w:t>|</w:t>
            </w:r>
            <w:r w:rsidR="00CA49DA">
              <w:rPr>
                <w:b/>
                <w:bCs w:val="0"/>
              </w:rPr>
              <w:t xml:space="preserve"> </w:t>
            </w:r>
            <w:r w:rsidR="00CA49DA">
              <w:rPr>
                <w:b/>
                <w:bCs w:val="0"/>
                <w:vertAlign w:val="superscript"/>
              </w:rPr>
              <w:t>3</w:t>
            </w:r>
          </w:p>
        </w:tc>
        <w:tc>
          <w:tcPr>
            <w:tcW w:w="611" w:type="pct"/>
            <w:shd w:val="clear" w:color="auto" w:fill="auto"/>
            <w:vAlign w:val="center"/>
          </w:tcPr>
          <w:p w14:paraId="028FDE9E" w14:textId="352F96AC" w:rsidR="00ED650E" w:rsidRPr="00F00684" w:rsidRDefault="00ED650E" w:rsidP="00ED650E">
            <w:pPr>
              <w:pStyle w:val="TableText0"/>
              <w:jc w:val="center"/>
            </w:pPr>
            <w:r w:rsidRPr="000A6E90">
              <w:rPr>
                <w:rFonts w:cs="Calibri"/>
                <w:bCs w:val="0"/>
                <w:iCs/>
                <w:color w:val="000000"/>
                <w:szCs w:val="20"/>
              </w:rPr>
              <w:t>$</w:t>
            </w:r>
            <w:r w:rsidR="001172C3" w:rsidRPr="001172C3">
              <w:rPr>
                <w:rFonts w:cs="Calibri"/>
                <w:bCs w:val="0"/>
                <w:iCs/>
                <w:color w:val="000000"/>
                <w:spacing w:val="202"/>
                <w:szCs w:val="20"/>
                <w:shd w:val="solid" w:color="000000" w:fill="000000"/>
                <w:fitText w:val="288" w:id="-1234435065"/>
                <w14:textFill>
                  <w14:solidFill>
                    <w14:srgbClr w14:val="000000">
                      <w14:alpha w14:val="100000"/>
                    </w14:srgbClr>
                  </w14:solidFill>
                </w14:textFill>
              </w:rPr>
              <w:t>|</w:t>
            </w:r>
            <w:r w:rsidR="001172C3" w:rsidRPr="001172C3">
              <w:rPr>
                <w:rFonts w:cs="Calibri"/>
                <w:bCs w:val="0"/>
                <w:iCs/>
                <w:color w:val="000000"/>
                <w:spacing w:val="1"/>
                <w:szCs w:val="20"/>
                <w:shd w:val="solid" w:color="000000" w:fill="000000"/>
                <w:fitText w:val="288" w:id="-1234435065"/>
                <w14:textFill>
                  <w14:solidFill>
                    <w14:srgbClr w14:val="000000">
                      <w14:alpha w14:val="100000"/>
                    </w14:srgbClr>
                  </w14:solidFill>
                </w14:textFill>
              </w:rPr>
              <w:t>|</w:t>
            </w:r>
            <w:r w:rsidR="00CA49DA">
              <w:rPr>
                <w:b/>
                <w:bCs w:val="0"/>
              </w:rPr>
              <w:t xml:space="preserve"> </w:t>
            </w:r>
            <w:r w:rsidR="00CA49DA">
              <w:rPr>
                <w:b/>
                <w:bCs w:val="0"/>
                <w:vertAlign w:val="superscript"/>
              </w:rPr>
              <w:t>3</w:t>
            </w:r>
          </w:p>
        </w:tc>
        <w:tc>
          <w:tcPr>
            <w:tcW w:w="608" w:type="pct"/>
            <w:gridSpan w:val="2"/>
            <w:vAlign w:val="center"/>
          </w:tcPr>
          <w:p w14:paraId="645C0051" w14:textId="433A430D" w:rsidR="00ED650E" w:rsidRPr="00F00684" w:rsidRDefault="00ED650E" w:rsidP="00ED650E">
            <w:pPr>
              <w:pStyle w:val="TableText0"/>
              <w:jc w:val="center"/>
            </w:pPr>
            <w:r w:rsidRPr="000A6E90">
              <w:rPr>
                <w:rFonts w:cs="Calibri"/>
                <w:bCs w:val="0"/>
                <w:iCs/>
                <w:color w:val="000000"/>
                <w:szCs w:val="20"/>
              </w:rPr>
              <w:t>$</w:t>
            </w:r>
            <w:r w:rsidR="001172C3" w:rsidRPr="001172C3">
              <w:rPr>
                <w:rFonts w:cs="Calibri"/>
                <w:bCs w:val="0"/>
                <w:iCs/>
                <w:color w:val="000000"/>
                <w:spacing w:val="202"/>
                <w:szCs w:val="20"/>
                <w:shd w:val="solid" w:color="000000" w:fill="000000"/>
                <w:fitText w:val="288" w:id="-1234435064"/>
                <w14:textFill>
                  <w14:solidFill>
                    <w14:srgbClr w14:val="000000">
                      <w14:alpha w14:val="100000"/>
                    </w14:srgbClr>
                  </w14:solidFill>
                </w14:textFill>
              </w:rPr>
              <w:t>|</w:t>
            </w:r>
            <w:r w:rsidR="001172C3" w:rsidRPr="001172C3">
              <w:rPr>
                <w:rFonts w:cs="Calibri"/>
                <w:bCs w:val="0"/>
                <w:iCs/>
                <w:color w:val="000000"/>
                <w:spacing w:val="1"/>
                <w:szCs w:val="20"/>
                <w:shd w:val="solid" w:color="000000" w:fill="000000"/>
                <w:fitText w:val="288" w:id="-1234435064"/>
                <w14:textFill>
                  <w14:solidFill>
                    <w14:srgbClr w14:val="000000">
                      <w14:alpha w14:val="100000"/>
                    </w14:srgbClr>
                  </w14:solidFill>
                </w14:textFill>
              </w:rPr>
              <w:t>|</w:t>
            </w:r>
            <w:r w:rsidR="00CA49DA">
              <w:rPr>
                <w:b/>
                <w:bCs w:val="0"/>
              </w:rPr>
              <w:t xml:space="preserve"> </w:t>
            </w:r>
            <w:r w:rsidR="00CA49DA">
              <w:rPr>
                <w:b/>
                <w:bCs w:val="0"/>
                <w:vertAlign w:val="superscript"/>
              </w:rPr>
              <w:t>3</w:t>
            </w:r>
          </w:p>
        </w:tc>
      </w:tr>
      <w:tr w:rsidR="00F00684" w:rsidRPr="003639A6" w14:paraId="50A8841F" w14:textId="77777777" w:rsidTr="009B5291">
        <w:tc>
          <w:tcPr>
            <w:tcW w:w="1336" w:type="pct"/>
            <w:shd w:val="clear" w:color="auto" w:fill="auto"/>
            <w:vAlign w:val="center"/>
          </w:tcPr>
          <w:p w14:paraId="63383848" w14:textId="77777777" w:rsidR="00F00684" w:rsidRPr="003639A6" w:rsidRDefault="00F00684" w:rsidP="00F00684">
            <w:pPr>
              <w:pStyle w:val="TableText0"/>
              <w:rPr>
                <w:rFonts w:ascii="Times" w:hAnsi="Times"/>
              </w:rPr>
            </w:pPr>
            <w:r>
              <w:rPr>
                <w:sz w:val="19"/>
                <w:szCs w:val="19"/>
              </w:rPr>
              <w:t>Net cost to</w:t>
            </w:r>
            <w:r w:rsidRPr="003639A6">
              <w:rPr>
                <w:sz w:val="19"/>
                <w:szCs w:val="19"/>
              </w:rPr>
              <w:t xml:space="preserve"> MBS</w:t>
            </w:r>
          </w:p>
        </w:tc>
        <w:tc>
          <w:tcPr>
            <w:tcW w:w="629" w:type="pct"/>
            <w:shd w:val="clear" w:color="auto" w:fill="auto"/>
            <w:vAlign w:val="bottom"/>
          </w:tcPr>
          <w:p w14:paraId="7ED3FC97" w14:textId="07F41BA4" w:rsidR="00F00684" w:rsidRPr="003639A6" w:rsidRDefault="00F00684" w:rsidP="00F00684">
            <w:pPr>
              <w:pStyle w:val="TableText0"/>
              <w:jc w:val="center"/>
            </w:pPr>
            <w:r w:rsidRPr="000A6E90">
              <w:t>-$</w:t>
            </w:r>
            <w:r w:rsidR="001172C3" w:rsidRPr="001172C3">
              <w:rPr>
                <w:color w:val="000000"/>
                <w:spacing w:val="213"/>
                <w:shd w:val="solid" w:color="000000" w:fill="000000"/>
                <w:fitText w:val="299" w:id="-1234435063"/>
                <w14:textFill>
                  <w14:solidFill>
                    <w14:srgbClr w14:val="000000">
                      <w14:alpha w14:val="100000"/>
                    </w14:srgbClr>
                  </w14:solidFill>
                </w14:textFill>
              </w:rPr>
              <w:t>|</w:t>
            </w:r>
            <w:r w:rsidR="001172C3" w:rsidRPr="001172C3">
              <w:rPr>
                <w:color w:val="000000"/>
                <w:spacing w:val="1"/>
                <w:shd w:val="solid" w:color="000000" w:fill="000000"/>
                <w:fitText w:val="299" w:id="-1234435063"/>
                <w14:textFill>
                  <w14:solidFill>
                    <w14:srgbClr w14:val="000000">
                      <w14:alpha w14:val="100000"/>
                    </w14:srgbClr>
                  </w14:solidFill>
                </w14:textFill>
              </w:rPr>
              <w:t>|</w:t>
            </w:r>
            <w:r w:rsidR="00E3749D">
              <w:rPr>
                <w:b/>
                <w:bCs w:val="0"/>
              </w:rPr>
              <w:t xml:space="preserve"> </w:t>
            </w:r>
            <w:r w:rsidR="00E3749D">
              <w:rPr>
                <w:b/>
                <w:bCs w:val="0"/>
                <w:vertAlign w:val="superscript"/>
              </w:rPr>
              <w:t>4</w:t>
            </w:r>
          </w:p>
        </w:tc>
        <w:tc>
          <w:tcPr>
            <w:tcW w:w="550" w:type="pct"/>
            <w:shd w:val="clear" w:color="auto" w:fill="auto"/>
            <w:vAlign w:val="bottom"/>
          </w:tcPr>
          <w:p w14:paraId="258E3647" w14:textId="5AB384DB" w:rsidR="00F00684" w:rsidRPr="003639A6" w:rsidRDefault="00F00684" w:rsidP="00F00684">
            <w:pPr>
              <w:pStyle w:val="TableText0"/>
              <w:jc w:val="center"/>
            </w:pPr>
            <w:r w:rsidRPr="000A6E90">
              <w:t>-$</w:t>
            </w:r>
            <w:r w:rsidR="001172C3" w:rsidRPr="001172C3">
              <w:rPr>
                <w:color w:val="000000"/>
                <w:spacing w:val="66"/>
                <w:shd w:val="solid" w:color="000000" w:fill="000000"/>
                <w:fitText w:val="369" w:id="-1234435062"/>
                <w14:textFill>
                  <w14:solidFill>
                    <w14:srgbClr w14:val="000000">
                      <w14:alpha w14:val="100000"/>
                    </w14:srgbClr>
                  </w14:solidFill>
                </w14:textFill>
              </w:rPr>
              <w:t>|||</w:t>
            </w:r>
            <w:r w:rsidR="001172C3" w:rsidRPr="001172C3">
              <w:rPr>
                <w:color w:val="000000"/>
                <w:spacing w:val="1"/>
                <w:shd w:val="solid" w:color="000000" w:fill="000000"/>
                <w:fitText w:val="369" w:id="-1234435062"/>
                <w14:textFill>
                  <w14:solidFill>
                    <w14:srgbClr w14:val="000000">
                      <w14:alpha w14:val="100000"/>
                    </w14:srgbClr>
                  </w14:solidFill>
                </w14:textFill>
              </w:rPr>
              <w:t>|</w:t>
            </w:r>
            <w:r w:rsidR="00E3749D">
              <w:rPr>
                <w:b/>
                <w:bCs w:val="0"/>
              </w:rPr>
              <w:t xml:space="preserve"> </w:t>
            </w:r>
            <w:r w:rsidR="00E3749D">
              <w:rPr>
                <w:b/>
                <w:bCs w:val="0"/>
                <w:vertAlign w:val="superscript"/>
              </w:rPr>
              <w:t>4</w:t>
            </w:r>
          </w:p>
        </w:tc>
        <w:tc>
          <w:tcPr>
            <w:tcW w:w="629" w:type="pct"/>
            <w:shd w:val="clear" w:color="auto" w:fill="auto"/>
            <w:vAlign w:val="bottom"/>
          </w:tcPr>
          <w:p w14:paraId="5BC4FA5D" w14:textId="7A1F4130" w:rsidR="00F00684" w:rsidRPr="003639A6" w:rsidRDefault="00F00684" w:rsidP="00F00684">
            <w:pPr>
              <w:pStyle w:val="TableText0"/>
              <w:jc w:val="center"/>
            </w:pPr>
            <w:r w:rsidRPr="000A6E90">
              <w:t>-$</w:t>
            </w:r>
            <w:r w:rsidR="001172C3" w:rsidRPr="001172C3">
              <w:rPr>
                <w:color w:val="000000"/>
                <w:spacing w:val="214"/>
                <w:shd w:val="solid" w:color="000000" w:fill="000000"/>
                <w:fitText w:val="300" w:id="-1234435061"/>
                <w14:textFill>
                  <w14:solidFill>
                    <w14:srgbClr w14:val="000000">
                      <w14:alpha w14:val="100000"/>
                    </w14:srgbClr>
                  </w14:solidFill>
                </w14:textFill>
              </w:rPr>
              <w:t>|</w:t>
            </w:r>
            <w:r w:rsidR="001172C3" w:rsidRPr="001172C3">
              <w:rPr>
                <w:color w:val="000000"/>
                <w:spacing w:val="1"/>
                <w:shd w:val="solid" w:color="000000" w:fill="000000"/>
                <w:fitText w:val="300" w:id="-1234435061"/>
                <w14:textFill>
                  <w14:solidFill>
                    <w14:srgbClr w14:val="000000">
                      <w14:alpha w14:val="100000"/>
                    </w14:srgbClr>
                  </w14:solidFill>
                </w14:textFill>
              </w:rPr>
              <w:t>|</w:t>
            </w:r>
            <w:r w:rsidR="00E3749D">
              <w:rPr>
                <w:b/>
                <w:bCs w:val="0"/>
              </w:rPr>
              <w:t xml:space="preserve"> </w:t>
            </w:r>
            <w:r w:rsidR="00E3749D">
              <w:rPr>
                <w:b/>
                <w:bCs w:val="0"/>
                <w:vertAlign w:val="superscript"/>
              </w:rPr>
              <w:t>4</w:t>
            </w:r>
          </w:p>
        </w:tc>
        <w:tc>
          <w:tcPr>
            <w:tcW w:w="637" w:type="pct"/>
            <w:gridSpan w:val="2"/>
            <w:shd w:val="clear" w:color="auto" w:fill="auto"/>
            <w:vAlign w:val="bottom"/>
          </w:tcPr>
          <w:p w14:paraId="2EC5A0F2" w14:textId="3A651F22" w:rsidR="00F00684" w:rsidRPr="003639A6" w:rsidRDefault="00F00684" w:rsidP="00F00684">
            <w:pPr>
              <w:pStyle w:val="TableText0"/>
              <w:jc w:val="center"/>
            </w:pPr>
            <w:r w:rsidRPr="000A6E90">
              <w:t>-$</w:t>
            </w:r>
            <w:r w:rsidR="001172C3" w:rsidRPr="001172C3">
              <w:rPr>
                <w:color w:val="000000"/>
                <w:spacing w:val="202"/>
                <w:shd w:val="solid" w:color="000000" w:fill="000000"/>
                <w:fitText w:val="288" w:id="-1234435060"/>
                <w14:textFill>
                  <w14:solidFill>
                    <w14:srgbClr w14:val="000000">
                      <w14:alpha w14:val="100000"/>
                    </w14:srgbClr>
                  </w14:solidFill>
                </w14:textFill>
              </w:rPr>
              <w:t>|</w:t>
            </w:r>
            <w:r w:rsidR="001172C3" w:rsidRPr="001172C3">
              <w:rPr>
                <w:color w:val="000000"/>
                <w:spacing w:val="1"/>
                <w:shd w:val="solid" w:color="000000" w:fill="000000"/>
                <w:fitText w:val="288" w:id="-1234435060"/>
                <w14:textFill>
                  <w14:solidFill>
                    <w14:srgbClr w14:val="000000">
                      <w14:alpha w14:val="100000"/>
                    </w14:srgbClr>
                  </w14:solidFill>
                </w14:textFill>
              </w:rPr>
              <w:t>|</w:t>
            </w:r>
            <w:r w:rsidR="00E3749D">
              <w:rPr>
                <w:b/>
                <w:bCs w:val="0"/>
              </w:rPr>
              <w:t xml:space="preserve"> </w:t>
            </w:r>
            <w:r w:rsidR="00E3749D">
              <w:rPr>
                <w:b/>
                <w:bCs w:val="0"/>
                <w:vertAlign w:val="superscript"/>
              </w:rPr>
              <w:t>4</w:t>
            </w:r>
          </w:p>
        </w:tc>
        <w:tc>
          <w:tcPr>
            <w:tcW w:w="611" w:type="pct"/>
            <w:shd w:val="clear" w:color="auto" w:fill="auto"/>
            <w:vAlign w:val="bottom"/>
          </w:tcPr>
          <w:p w14:paraId="6EBC319D" w14:textId="6C25D5E8" w:rsidR="00F00684" w:rsidRPr="003639A6" w:rsidRDefault="00F00684" w:rsidP="00F00684">
            <w:pPr>
              <w:pStyle w:val="TableText0"/>
              <w:jc w:val="center"/>
            </w:pPr>
            <w:r w:rsidRPr="000A6E90">
              <w:t>-$</w:t>
            </w:r>
            <w:r w:rsidR="001172C3" w:rsidRPr="001172C3">
              <w:rPr>
                <w:color w:val="000000"/>
                <w:spacing w:val="46"/>
                <w:shd w:val="solid" w:color="000000" w:fill="000000"/>
                <w:fitText w:val="311" w:id="-1234435059"/>
                <w14:textFill>
                  <w14:solidFill>
                    <w14:srgbClr w14:val="000000">
                      <w14:alpha w14:val="100000"/>
                    </w14:srgbClr>
                  </w14:solidFill>
                </w14:textFill>
              </w:rPr>
              <w:t>|||</w:t>
            </w:r>
            <w:r w:rsidR="001172C3" w:rsidRPr="001172C3">
              <w:rPr>
                <w:color w:val="000000"/>
                <w:spacing w:val="3"/>
                <w:shd w:val="solid" w:color="000000" w:fill="000000"/>
                <w:fitText w:val="311" w:id="-1234435059"/>
                <w14:textFill>
                  <w14:solidFill>
                    <w14:srgbClr w14:val="000000">
                      <w14:alpha w14:val="100000"/>
                    </w14:srgbClr>
                  </w14:solidFill>
                </w14:textFill>
              </w:rPr>
              <w:t>|</w:t>
            </w:r>
            <w:r w:rsidR="00E3749D">
              <w:rPr>
                <w:b/>
                <w:bCs w:val="0"/>
              </w:rPr>
              <w:t xml:space="preserve"> </w:t>
            </w:r>
            <w:r w:rsidR="00E3749D">
              <w:rPr>
                <w:b/>
                <w:bCs w:val="0"/>
                <w:vertAlign w:val="superscript"/>
              </w:rPr>
              <w:t>4</w:t>
            </w:r>
          </w:p>
        </w:tc>
        <w:tc>
          <w:tcPr>
            <w:tcW w:w="608" w:type="pct"/>
            <w:gridSpan w:val="2"/>
            <w:vAlign w:val="bottom"/>
          </w:tcPr>
          <w:p w14:paraId="44C83BBC" w14:textId="23651B41" w:rsidR="00F00684" w:rsidRPr="00E3749D" w:rsidRDefault="00F00684" w:rsidP="00F00684">
            <w:pPr>
              <w:pStyle w:val="TableText0"/>
              <w:jc w:val="center"/>
              <w:rPr>
                <w:vertAlign w:val="superscript"/>
              </w:rPr>
            </w:pPr>
            <w:r w:rsidRPr="000A6E90">
              <w:t>-$</w:t>
            </w:r>
            <w:r w:rsidR="001172C3" w:rsidRPr="001172C3">
              <w:rPr>
                <w:color w:val="000000"/>
                <w:spacing w:val="46"/>
                <w:shd w:val="solid" w:color="000000" w:fill="000000"/>
                <w:fitText w:val="311" w:id="-1234435058"/>
                <w14:textFill>
                  <w14:solidFill>
                    <w14:srgbClr w14:val="000000">
                      <w14:alpha w14:val="100000"/>
                    </w14:srgbClr>
                  </w14:solidFill>
                </w14:textFill>
              </w:rPr>
              <w:t>|||</w:t>
            </w:r>
            <w:r w:rsidR="001172C3" w:rsidRPr="001172C3">
              <w:rPr>
                <w:color w:val="000000"/>
                <w:spacing w:val="3"/>
                <w:shd w:val="solid" w:color="000000" w:fill="000000"/>
                <w:fitText w:val="311" w:id="-1234435058"/>
                <w14:textFill>
                  <w14:solidFill>
                    <w14:srgbClr w14:val="000000">
                      <w14:alpha w14:val="100000"/>
                    </w14:srgbClr>
                  </w14:solidFill>
                </w14:textFill>
              </w:rPr>
              <w:t>|</w:t>
            </w:r>
            <w:r w:rsidR="00E3749D">
              <w:t xml:space="preserve"> </w:t>
            </w:r>
            <w:r w:rsidR="00E3749D">
              <w:rPr>
                <w:vertAlign w:val="superscript"/>
              </w:rPr>
              <w:t>4</w:t>
            </w:r>
          </w:p>
        </w:tc>
      </w:tr>
      <w:tr w:rsidR="00F00684" w:rsidRPr="000A6E90" w14:paraId="003D2BCE" w14:textId="77777777" w:rsidTr="009B5291">
        <w:tc>
          <w:tcPr>
            <w:tcW w:w="1336" w:type="pct"/>
            <w:shd w:val="clear" w:color="auto" w:fill="auto"/>
            <w:vAlign w:val="center"/>
          </w:tcPr>
          <w:p w14:paraId="6BE17785" w14:textId="77777777" w:rsidR="00F00684" w:rsidRPr="000A6E90" w:rsidRDefault="00F00684" w:rsidP="00F00684">
            <w:pPr>
              <w:pStyle w:val="TableText0"/>
              <w:rPr>
                <w:sz w:val="19"/>
                <w:szCs w:val="19"/>
              </w:rPr>
            </w:pPr>
            <w:r w:rsidRPr="000A6E90">
              <w:rPr>
                <w:sz w:val="19"/>
                <w:szCs w:val="19"/>
              </w:rPr>
              <w:t>Net cost to PBS/RPBS/MBS</w:t>
            </w:r>
          </w:p>
        </w:tc>
        <w:tc>
          <w:tcPr>
            <w:tcW w:w="629" w:type="pct"/>
            <w:shd w:val="clear" w:color="auto" w:fill="auto"/>
          </w:tcPr>
          <w:p w14:paraId="43B3167D" w14:textId="7CE2B368" w:rsidR="00F00684" w:rsidRPr="000A6E90" w:rsidRDefault="00F00684" w:rsidP="00F00684">
            <w:pPr>
              <w:pStyle w:val="TableText0"/>
              <w:jc w:val="center"/>
            </w:pPr>
            <w:r w:rsidRPr="000A6E90">
              <w:t>$</w:t>
            </w:r>
            <w:r w:rsidR="001172C3" w:rsidRPr="001172C3">
              <w:rPr>
                <w:color w:val="000000"/>
                <w:spacing w:val="179"/>
                <w:shd w:val="solid" w:color="000000" w:fill="000000"/>
                <w:fitText w:val="265" w:id="-1234435057"/>
                <w14:textFill>
                  <w14:solidFill>
                    <w14:srgbClr w14:val="000000">
                      <w14:alpha w14:val="100000"/>
                    </w14:srgbClr>
                  </w14:solidFill>
                </w14:textFill>
              </w:rPr>
              <w:t>|</w:t>
            </w:r>
            <w:r w:rsidR="001172C3" w:rsidRPr="001172C3">
              <w:rPr>
                <w:color w:val="000000"/>
                <w:spacing w:val="1"/>
                <w:shd w:val="solid" w:color="000000" w:fill="000000"/>
                <w:fitText w:val="265" w:id="-1234435057"/>
                <w14:textFill>
                  <w14:solidFill>
                    <w14:srgbClr w14:val="000000">
                      <w14:alpha w14:val="100000"/>
                    </w14:srgbClr>
                  </w14:solidFill>
                </w14:textFill>
              </w:rPr>
              <w:t>|</w:t>
            </w:r>
            <w:r w:rsidR="00CA49DA">
              <w:rPr>
                <w:b/>
                <w:bCs w:val="0"/>
              </w:rPr>
              <w:t xml:space="preserve"> </w:t>
            </w:r>
            <w:r w:rsidR="00CA49DA">
              <w:rPr>
                <w:b/>
                <w:bCs w:val="0"/>
                <w:vertAlign w:val="superscript"/>
              </w:rPr>
              <w:t>2</w:t>
            </w:r>
          </w:p>
        </w:tc>
        <w:tc>
          <w:tcPr>
            <w:tcW w:w="550" w:type="pct"/>
            <w:shd w:val="clear" w:color="auto" w:fill="auto"/>
          </w:tcPr>
          <w:p w14:paraId="487285E9" w14:textId="2E9B3170" w:rsidR="00F00684" w:rsidRPr="000A6E90" w:rsidRDefault="00F00684" w:rsidP="00F00684">
            <w:pPr>
              <w:pStyle w:val="TableText0"/>
              <w:jc w:val="center"/>
            </w:pPr>
            <w:r w:rsidRPr="000A6E90">
              <w:t>$</w:t>
            </w:r>
            <w:r w:rsidR="001172C3" w:rsidRPr="001172C3">
              <w:rPr>
                <w:color w:val="000000"/>
                <w:spacing w:val="58"/>
                <w:shd w:val="solid" w:color="000000" w:fill="000000"/>
                <w:fitText w:val="346" w:id="-1234435056"/>
                <w14:textFill>
                  <w14:solidFill>
                    <w14:srgbClr w14:val="000000">
                      <w14:alpha w14:val="100000"/>
                    </w14:srgbClr>
                  </w14:solidFill>
                </w14:textFill>
              </w:rPr>
              <w:t>|||</w:t>
            </w:r>
            <w:r w:rsidR="001172C3" w:rsidRPr="001172C3">
              <w:rPr>
                <w:color w:val="000000"/>
                <w:spacing w:val="2"/>
                <w:shd w:val="solid" w:color="000000" w:fill="000000"/>
                <w:fitText w:val="346" w:id="-1234435056"/>
                <w14:textFill>
                  <w14:solidFill>
                    <w14:srgbClr w14:val="000000">
                      <w14:alpha w14:val="100000"/>
                    </w14:srgbClr>
                  </w14:solidFill>
                </w14:textFill>
              </w:rPr>
              <w:t>|</w:t>
            </w:r>
            <w:r w:rsidR="00CA49DA">
              <w:rPr>
                <w:b/>
                <w:bCs w:val="0"/>
              </w:rPr>
              <w:t xml:space="preserve"> </w:t>
            </w:r>
            <w:r w:rsidR="00CA49DA">
              <w:rPr>
                <w:b/>
                <w:bCs w:val="0"/>
                <w:vertAlign w:val="superscript"/>
              </w:rPr>
              <w:t>3</w:t>
            </w:r>
          </w:p>
        </w:tc>
        <w:tc>
          <w:tcPr>
            <w:tcW w:w="629" w:type="pct"/>
            <w:shd w:val="clear" w:color="auto" w:fill="auto"/>
          </w:tcPr>
          <w:p w14:paraId="6C8826F0" w14:textId="604DA491" w:rsidR="00F00684" w:rsidRPr="000A6E90" w:rsidRDefault="00F00684" w:rsidP="00F00684">
            <w:pPr>
              <w:pStyle w:val="TableText0"/>
              <w:jc w:val="center"/>
            </w:pPr>
            <w:r w:rsidRPr="000A6E90">
              <w:t>$</w:t>
            </w:r>
            <w:r w:rsidR="001172C3" w:rsidRPr="001172C3">
              <w:rPr>
                <w:color w:val="000000"/>
                <w:spacing w:val="179"/>
                <w:shd w:val="solid" w:color="000000" w:fill="000000"/>
                <w:fitText w:val="265" w:id="-1234435072"/>
                <w14:textFill>
                  <w14:solidFill>
                    <w14:srgbClr w14:val="000000">
                      <w14:alpha w14:val="100000"/>
                    </w14:srgbClr>
                  </w14:solidFill>
                </w14:textFill>
              </w:rPr>
              <w:t>|</w:t>
            </w:r>
            <w:r w:rsidR="001172C3" w:rsidRPr="001172C3">
              <w:rPr>
                <w:color w:val="000000"/>
                <w:spacing w:val="1"/>
                <w:shd w:val="solid" w:color="000000" w:fill="000000"/>
                <w:fitText w:val="265" w:id="-1234435072"/>
                <w14:textFill>
                  <w14:solidFill>
                    <w14:srgbClr w14:val="000000">
                      <w14:alpha w14:val="100000"/>
                    </w14:srgbClr>
                  </w14:solidFill>
                </w14:textFill>
              </w:rPr>
              <w:t>|</w:t>
            </w:r>
            <w:r w:rsidR="00CA49DA">
              <w:rPr>
                <w:b/>
                <w:bCs w:val="0"/>
              </w:rPr>
              <w:t xml:space="preserve"> </w:t>
            </w:r>
            <w:r w:rsidR="00CA49DA">
              <w:rPr>
                <w:b/>
                <w:bCs w:val="0"/>
                <w:vertAlign w:val="superscript"/>
              </w:rPr>
              <w:t>3</w:t>
            </w:r>
          </w:p>
        </w:tc>
        <w:tc>
          <w:tcPr>
            <w:tcW w:w="637" w:type="pct"/>
            <w:gridSpan w:val="2"/>
            <w:shd w:val="clear" w:color="auto" w:fill="auto"/>
          </w:tcPr>
          <w:p w14:paraId="3E4AC996" w14:textId="1F01BD96" w:rsidR="00F00684" w:rsidRPr="000A6E90" w:rsidRDefault="00F00684" w:rsidP="00F00684">
            <w:pPr>
              <w:pStyle w:val="TableText0"/>
              <w:jc w:val="center"/>
            </w:pPr>
            <w:r w:rsidRPr="000A6E90">
              <w:t>$</w:t>
            </w:r>
            <w:r w:rsidR="001172C3" w:rsidRPr="001172C3">
              <w:rPr>
                <w:color w:val="000000"/>
                <w:spacing w:val="179"/>
                <w:shd w:val="solid" w:color="000000" w:fill="000000"/>
                <w:fitText w:val="265" w:id="-1234435071"/>
                <w14:textFill>
                  <w14:solidFill>
                    <w14:srgbClr w14:val="000000">
                      <w14:alpha w14:val="100000"/>
                    </w14:srgbClr>
                  </w14:solidFill>
                </w14:textFill>
              </w:rPr>
              <w:t>|</w:t>
            </w:r>
            <w:r w:rsidR="001172C3" w:rsidRPr="001172C3">
              <w:rPr>
                <w:color w:val="000000"/>
                <w:spacing w:val="1"/>
                <w:shd w:val="solid" w:color="000000" w:fill="000000"/>
                <w:fitText w:val="265" w:id="-1234435071"/>
                <w14:textFill>
                  <w14:solidFill>
                    <w14:srgbClr w14:val="000000">
                      <w14:alpha w14:val="100000"/>
                    </w14:srgbClr>
                  </w14:solidFill>
                </w14:textFill>
              </w:rPr>
              <w:t>|</w:t>
            </w:r>
            <w:r w:rsidR="00CA49DA">
              <w:rPr>
                <w:b/>
                <w:bCs w:val="0"/>
              </w:rPr>
              <w:t xml:space="preserve"> </w:t>
            </w:r>
            <w:r w:rsidR="00CA49DA">
              <w:rPr>
                <w:b/>
                <w:bCs w:val="0"/>
                <w:vertAlign w:val="superscript"/>
              </w:rPr>
              <w:t>3</w:t>
            </w:r>
          </w:p>
        </w:tc>
        <w:tc>
          <w:tcPr>
            <w:tcW w:w="611" w:type="pct"/>
            <w:shd w:val="clear" w:color="auto" w:fill="auto"/>
          </w:tcPr>
          <w:p w14:paraId="562457D5" w14:textId="379717AB" w:rsidR="00F00684" w:rsidRPr="000A6E90" w:rsidRDefault="00F00684" w:rsidP="00F00684">
            <w:pPr>
              <w:pStyle w:val="TableText0"/>
              <w:jc w:val="center"/>
            </w:pPr>
            <w:r w:rsidRPr="000A6E90">
              <w:t>$</w:t>
            </w:r>
            <w:r w:rsidR="001172C3" w:rsidRPr="001172C3">
              <w:rPr>
                <w:color w:val="000000"/>
                <w:spacing w:val="202"/>
                <w:shd w:val="solid" w:color="000000" w:fill="000000"/>
                <w:fitText w:val="288" w:id="-1234435070"/>
                <w14:textFill>
                  <w14:solidFill>
                    <w14:srgbClr w14:val="000000">
                      <w14:alpha w14:val="100000"/>
                    </w14:srgbClr>
                  </w14:solidFill>
                </w14:textFill>
              </w:rPr>
              <w:t>|</w:t>
            </w:r>
            <w:r w:rsidR="001172C3" w:rsidRPr="001172C3">
              <w:rPr>
                <w:color w:val="000000"/>
                <w:spacing w:val="1"/>
                <w:shd w:val="solid" w:color="000000" w:fill="000000"/>
                <w:fitText w:val="288" w:id="-1234435070"/>
                <w14:textFill>
                  <w14:solidFill>
                    <w14:srgbClr w14:val="000000">
                      <w14:alpha w14:val="100000"/>
                    </w14:srgbClr>
                  </w14:solidFill>
                </w14:textFill>
              </w:rPr>
              <w:t>|</w:t>
            </w:r>
            <w:r w:rsidR="00CA49DA">
              <w:rPr>
                <w:b/>
                <w:bCs w:val="0"/>
              </w:rPr>
              <w:t xml:space="preserve"> </w:t>
            </w:r>
            <w:r w:rsidR="00CA49DA">
              <w:rPr>
                <w:b/>
                <w:bCs w:val="0"/>
                <w:vertAlign w:val="superscript"/>
              </w:rPr>
              <w:t>3</w:t>
            </w:r>
          </w:p>
        </w:tc>
        <w:tc>
          <w:tcPr>
            <w:tcW w:w="608" w:type="pct"/>
            <w:gridSpan w:val="2"/>
          </w:tcPr>
          <w:p w14:paraId="4B4A6623" w14:textId="405D22B0" w:rsidR="00F00684" w:rsidRPr="000A6E90" w:rsidRDefault="00F00684" w:rsidP="00F00684">
            <w:pPr>
              <w:pStyle w:val="TableText0"/>
              <w:jc w:val="center"/>
            </w:pPr>
            <w:r w:rsidRPr="000A6E90">
              <w:t>$</w:t>
            </w:r>
            <w:r w:rsidR="001172C3" w:rsidRPr="001172C3">
              <w:rPr>
                <w:color w:val="000000"/>
                <w:spacing w:val="202"/>
                <w:shd w:val="solid" w:color="000000" w:fill="000000"/>
                <w:fitText w:val="288" w:id="-1234435069"/>
                <w14:textFill>
                  <w14:solidFill>
                    <w14:srgbClr w14:val="000000">
                      <w14:alpha w14:val="100000"/>
                    </w14:srgbClr>
                  </w14:solidFill>
                </w14:textFill>
              </w:rPr>
              <w:t>|</w:t>
            </w:r>
            <w:r w:rsidR="001172C3" w:rsidRPr="001172C3">
              <w:rPr>
                <w:color w:val="000000"/>
                <w:spacing w:val="1"/>
                <w:shd w:val="solid" w:color="000000" w:fill="000000"/>
                <w:fitText w:val="288" w:id="-1234435069"/>
                <w14:textFill>
                  <w14:solidFill>
                    <w14:srgbClr w14:val="000000">
                      <w14:alpha w14:val="100000"/>
                    </w14:srgbClr>
                  </w14:solidFill>
                </w14:textFill>
              </w:rPr>
              <w:t>|</w:t>
            </w:r>
            <w:r w:rsidR="00CA49DA">
              <w:rPr>
                <w:b/>
                <w:bCs w:val="0"/>
              </w:rPr>
              <w:t xml:space="preserve"> </w:t>
            </w:r>
            <w:r w:rsidR="00CA49DA">
              <w:rPr>
                <w:b/>
                <w:bCs w:val="0"/>
                <w:vertAlign w:val="superscript"/>
              </w:rPr>
              <w:t>3</w:t>
            </w:r>
          </w:p>
        </w:tc>
      </w:tr>
    </w:tbl>
    <w:p w14:paraId="45C61E34" w14:textId="7155F3C5" w:rsidR="003227F6" w:rsidRDefault="003227F6" w:rsidP="00E3749D">
      <w:pPr>
        <w:pStyle w:val="FooterTableFigure"/>
        <w:spacing w:after="0"/>
      </w:pPr>
      <w:r>
        <w:t xml:space="preserve">Source: </w:t>
      </w:r>
      <w:r w:rsidR="00ED650E" w:rsidRPr="000A6E90">
        <w:t>Calculated during the evaluation, using Excel workbook ‘Attachment 8 - Nivolumab Neoadjuvant NSCLC Utilisation and Cost Model’.</w:t>
      </w:r>
    </w:p>
    <w:p w14:paraId="5C048EE7" w14:textId="77777777" w:rsidR="00E3749D" w:rsidRPr="009A6D58" w:rsidRDefault="00E3749D" w:rsidP="00E3749D">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5EB2642" w14:textId="484CADE2" w:rsidR="00E3749D" w:rsidRPr="009A6D58" w:rsidRDefault="00E3749D" w:rsidP="00E3749D">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bookmarkStart w:id="103" w:name="_Hlk135042307"/>
      <w:r w:rsidRPr="00E3749D">
        <w:rPr>
          <w:rFonts w:ascii="Arial Narrow" w:hAnsi="Arial Narrow"/>
          <w:i/>
          <w:sz w:val="18"/>
          <w:szCs w:val="18"/>
        </w:rPr>
        <w:t>500 to &lt; 5,000</w:t>
      </w:r>
      <w:bookmarkEnd w:id="103"/>
    </w:p>
    <w:p w14:paraId="09471D9E" w14:textId="77777777" w:rsidR="00E3749D" w:rsidRDefault="00E3749D" w:rsidP="00E3749D">
      <w:pPr>
        <w:rPr>
          <w:rFonts w:ascii="Arial Narrow" w:hAnsi="Arial Narrow"/>
          <w:i/>
          <w:sz w:val="18"/>
          <w:szCs w:val="18"/>
          <w:vertAlign w:val="superscript"/>
        </w:rPr>
      </w:pPr>
      <w:r w:rsidRPr="009A6D58">
        <w:rPr>
          <w:rFonts w:ascii="Arial Narrow" w:hAnsi="Arial Narrow"/>
          <w:i/>
          <w:sz w:val="18"/>
          <w:szCs w:val="18"/>
          <w:vertAlign w:val="superscript"/>
        </w:rPr>
        <w:t>2</w:t>
      </w:r>
      <w:r>
        <w:rPr>
          <w:rFonts w:ascii="Arial Narrow" w:hAnsi="Arial Narrow"/>
          <w:i/>
          <w:sz w:val="18"/>
          <w:szCs w:val="18"/>
        </w:rPr>
        <w:t xml:space="preserve"> </w:t>
      </w:r>
      <w:bookmarkStart w:id="104" w:name="_Hlk135053345"/>
      <w:r w:rsidRPr="00E3749D">
        <w:rPr>
          <w:rFonts w:ascii="Arial Narrow" w:hAnsi="Arial Narrow"/>
          <w:i/>
          <w:sz w:val="18"/>
          <w:szCs w:val="18"/>
        </w:rPr>
        <w:t>$30 million to &lt; $40 million</w:t>
      </w:r>
      <w:bookmarkEnd w:id="104"/>
      <w:r w:rsidRPr="00E3749D">
        <w:rPr>
          <w:rFonts w:ascii="Arial Narrow" w:hAnsi="Arial Narrow"/>
          <w:i/>
          <w:sz w:val="18"/>
          <w:szCs w:val="18"/>
          <w:vertAlign w:val="superscript"/>
        </w:rPr>
        <w:t xml:space="preserve"> </w:t>
      </w:r>
    </w:p>
    <w:p w14:paraId="1E39D672" w14:textId="11ABFEAA" w:rsidR="00E3749D" w:rsidRDefault="00E3749D" w:rsidP="00E3749D">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bookmarkStart w:id="105" w:name="_Hlk135053363"/>
      <w:r w:rsidRPr="00E3749D">
        <w:rPr>
          <w:rFonts w:ascii="Arial Narrow" w:hAnsi="Arial Narrow"/>
          <w:i/>
          <w:sz w:val="18"/>
          <w:szCs w:val="18"/>
        </w:rPr>
        <w:t>$40 million to &lt; $50 million</w:t>
      </w:r>
      <w:bookmarkEnd w:id="105"/>
    </w:p>
    <w:p w14:paraId="2BE482B2" w14:textId="2FC95286" w:rsidR="00E3749D" w:rsidRDefault="00E3749D" w:rsidP="00E3749D">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Net cost saving</w:t>
      </w:r>
    </w:p>
    <w:p w14:paraId="3E9D9E4B" w14:textId="1A0C99E3" w:rsidR="00223F18" w:rsidRPr="00606FBA" w:rsidRDefault="00223F18" w:rsidP="00223F18">
      <w:pPr>
        <w:pStyle w:val="Caption"/>
      </w:pPr>
      <w:bookmarkStart w:id="106" w:name="_Ref104805295"/>
      <w:r>
        <w:t xml:space="preserve">Table </w:t>
      </w:r>
      <w:r w:rsidR="00A77D90">
        <w:fldChar w:fldCharType="begin"/>
      </w:r>
      <w:r w:rsidR="00A77D90">
        <w:instrText xml:space="preserve"> SEQ Table \* ARABIC </w:instrText>
      </w:r>
      <w:r w:rsidR="00A77D90">
        <w:fldChar w:fldCharType="separate"/>
      </w:r>
      <w:r w:rsidR="00A77D90">
        <w:rPr>
          <w:noProof/>
        </w:rPr>
        <w:t>27</w:t>
      </w:r>
      <w:r w:rsidR="00A77D90">
        <w:rPr>
          <w:noProof/>
        </w:rPr>
        <w:fldChar w:fldCharType="end"/>
      </w:r>
      <w:bookmarkEnd w:id="106"/>
      <w:r>
        <w:t>:</w:t>
      </w:r>
      <w:r w:rsidRPr="0091315D">
        <w:t xml:space="preserve"> Estimated use and financial implications</w:t>
      </w:r>
      <w:r w:rsidR="003227F6" w:rsidRPr="0091315D">
        <w:t xml:space="preserve"> </w:t>
      </w:r>
      <w:r w:rsidR="00F00684" w:rsidRPr="0091315D">
        <w:t xml:space="preserve">(Listing Scenario </w:t>
      </w:r>
      <w:r w:rsidR="007965B5">
        <w:t>2</w:t>
      </w:r>
      <w:r w:rsidR="00F00684" w:rsidRPr="0091315D">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0"/>
        <w:gridCol w:w="1135"/>
        <w:gridCol w:w="992"/>
        <w:gridCol w:w="1134"/>
        <w:gridCol w:w="1134"/>
        <w:gridCol w:w="14"/>
        <w:gridCol w:w="1102"/>
        <w:gridCol w:w="18"/>
        <w:gridCol w:w="1078"/>
      </w:tblGrid>
      <w:tr w:rsidR="00223F18" w:rsidRPr="00D1078F" w14:paraId="43C39C0F" w14:textId="77777777" w:rsidTr="009B5291">
        <w:trPr>
          <w:tblHeader/>
        </w:trPr>
        <w:tc>
          <w:tcPr>
            <w:tcW w:w="1336" w:type="pct"/>
            <w:shd w:val="clear" w:color="auto" w:fill="auto"/>
            <w:vAlign w:val="center"/>
          </w:tcPr>
          <w:p w14:paraId="3FCE8600" w14:textId="77777777" w:rsidR="00223F18" w:rsidRPr="003639A6" w:rsidRDefault="00223F18" w:rsidP="00970F85">
            <w:pPr>
              <w:pStyle w:val="In-tableHeading"/>
              <w:jc w:val="center"/>
            </w:pPr>
          </w:p>
        </w:tc>
        <w:tc>
          <w:tcPr>
            <w:tcW w:w="629" w:type="pct"/>
            <w:shd w:val="clear" w:color="auto" w:fill="auto"/>
            <w:vAlign w:val="center"/>
          </w:tcPr>
          <w:p w14:paraId="70F79746" w14:textId="77777777" w:rsidR="00223F18" w:rsidRPr="00D1078F" w:rsidRDefault="00223F18" w:rsidP="00970F85">
            <w:pPr>
              <w:pStyle w:val="In-tableHeading"/>
              <w:jc w:val="center"/>
            </w:pPr>
            <w:r w:rsidRPr="00D1078F">
              <w:t>Year 1</w:t>
            </w:r>
          </w:p>
        </w:tc>
        <w:tc>
          <w:tcPr>
            <w:tcW w:w="550" w:type="pct"/>
            <w:shd w:val="clear" w:color="auto" w:fill="auto"/>
            <w:vAlign w:val="center"/>
          </w:tcPr>
          <w:p w14:paraId="65733A22" w14:textId="77777777" w:rsidR="00223F18" w:rsidRPr="00D1078F" w:rsidRDefault="00223F18" w:rsidP="00970F85">
            <w:pPr>
              <w:pStyle w:val="In-tableHeading"/>
              <w:jc w:val="center"/>
            </w:pPr>
            <w:r w:rsidRPr="00D1078F">
              <w:t>Year 2</w:t>
            </w:r>
          </w:p>
        </w:tc>
        <w:tc>
          <w:tcPr>
            <w:tcW w:w="629" w:type="pct"/>
            <w:shd w:val="clear" w:color="auto" w:fill="auto"/>
            <w:vAlign w:val="center"/>
          </w:tcPr>
          <w:p w14:paraId="108A252A" w14:textId="77777777" w:rsidR="00223F18" w:rsidRPr="00D1078F" w:rsidRDefault="00223F18" w:rsidP="00970F85">
            <w:pPr>
              <w:pStyle w:val="In-tableHeading"/>
              <w:jc w:val="center"/>
            </w:pPr>
            <w:r w:rsidRPr="00D1078F">
              <w:t>Year 3</w:t>
            </w:r>
          </w:p>
        </w:tc>
        <w:tc>
          <w:tcPr>
            <w:tcW w:w="637" w:type="pct"/>
            <w:gridSpan w:val="2"/>
            <w:shd w:val="clear" w:color="auto" w:fill="auto"/>
            <w:vAlign w:val="center"/>
          </w:tcPr>
          <w:p w14:paraId="1EC06492" w14:textId="77777777" w:rsidR="00223F18" w:rsidRPr="00D1078F" w:rsidRDefault="00223F18" w:rsidP="00970F85">
            <w:pPr>
              <w:pStyle w:val="In-tableHeading"/>
              <w:jc w:val="center"/>
            </w:pPr>
            <w:r w:rsidRPr="00D1078F">
              <w:t>Year 4</w:t>
            </w:r>
          </w:p>
        </w:tc>
        <w:tc>
          <w:tcPr>
            <w:tcW w:w="611" w:type="pct"/>
            <w:shd w:val="clear" w:color="auto" w:fill="auto"/>
            <w:vAlign w:val="center"/>
          </w:tcPr>
          <w:p w14:paraId="55DF043D" w14:textId="77777777" w:rsidR="00223F18" w:rsidRPr="00D1078F" w:rsidRDefault="00223F18" w:rsidP="00970F85">
            <w:pPr>
              <w:pStyle w:val="In-tableHeading"/>
              <w:jc w:val="center"/>
            </w:pPr>
            <w:r w:rsidRPr="00D1078F">
              <w:t>Year 5</w:t>
            </w:r>
          </w:p>
        </w:tc>
        <w:tc>
          <w:tcPr>
            <w:tcW w:w="608" w:type="pct"/>
            <w:gridSpan w:val="2"/>
          </w:tcPr>
          <w:p w14:paraId="67B271C6" w14:textId="77777777" w:rsidR="00223F18" w:rsidRPr="00D1078F" w:rsidRDefault="00223F18" w:rsidP="00970F85">
            <w:pPr>
              <w:pStyle w:val="In-tableHeading"/>
              <w:jc w:val="center"/>
            </w:pPr>
            <w:r w:rsidRPr="00D1078F">
              <w:t>Year 6</w:t>
            </w:r>
          </w:p>
        </w:tc>
      </w:tr>
      <w:tr w:rsidR="006A5630" w:rsidRPr="00D1078F" w14:paraId="5CD3B4BE" w14:textId="77777777" w:rsidTr="00970F85">
        <w:tc>
          <w:tcPr>
            <w:tcW w:w="5000" w:type="pct"/>
            <w:gridSpan w:val="9"/>
            <w:shd w:val="clear" w:color="auto" w:fill="auto"/>
            <w:vAlign w:val="center"/>
          </w:tcPr>
          <w:p w14:paraId="1C329D92" w14:textId="08F6D497" w:rsidR="006A5630" w:rsidRPr="00D1078F" w:rsidRDefault="006A5630" w:rsidP="006A5630">
            <w:pPr>
              <w:pStyle w:val="In-tableHeading"/>
            </w:pPr>
            <w:r>
              <w:t>Estimated extent of use</w:t>
            </w:r>
          </w:p>
        </w:tc>
      </w:tr>
      <w:tr w:rsidR="009B5291" w:rsidRPr="00D1078F" w14:paraId="1605E79F" w14:textId="77777777" w:rsidTr="009B5291">
        <w:tc>
          <w:tcPr>
            <w:tcW w:w="1336" w:type="pct"/>
            <w:shd w:val="clear" w:color="auto" w:fill="auto"/>
            <w:vAlign w:val="center"/>
          </w:tcPr>
          <w:p w14:paraId="1EB6C9F9" w14:textId="00464BBF" w:rsidR="009B5291" w:rsidRPr="008F3285" w:rsidRDefault="009B5291" w:rsidP="009B5291">
            <w:pPr>
              <w:pStyle w:val="In-tableHeading"/>
              <w:rPr>
                <w:b w:val="0"/>
                <w:bCs/>
              </w:rPr>
            </w:pPr>
            <w:r w:rsidRPr="008F3285">
              <w:rPr>
                <w:b w:val="0"/>
                <w:bCs/>
              </w:rPr>
              <w:t>Number of patients treated</w:t>
            </w:r>
          </w:p>
        </w:tc>
        <w:tc>
          <w:tcPr>
            <w:tcW w:w="629" w:type="pct"/>
            <w:shd w:val="clear" w:color="auto" w:fill="auto"/>
          </w:tcPr>
          <w:p w14:paraId="656F1106" w14:textId="3E144145" w:rsidR="009B5291" w:rsidRPr="00E3749D" w:rsidRDefault="001172C3" w:rsidP="00D54B51">
            <w:pPr>
              <w:pStyle w:val="In-tableHeading"/>
              <w:jc w:val="center"/>
              <w:rPr>
                <w:b w:val="0"/>
                <w:bCs/>
                <w:vertAlign w:val="superscript"/>
              </w:rPr>
            </w:pPr>
            <w:r w:rsidRPr="001172C3">
              <w:rPr>
                <w:b w:val="0"/>
                <w:bCs/>
                <w:color w:val="000000"/>
                <w:spacing w:val="45"/>
                <w:shd w:val="solid" w:color="000000" w:fill="000000"/>
                <w:fitText w:val="219" w:id="-1234435068"/>
                <w14:textFill>
                  <w14:solidFill>
                    <w14:srgbClr w14:val="000000">
                      <w14:alpha w14:val="100000"/>
                    </w14:srgbClr>
                  </w14:solidFill>
                </w14:textFill>
              </w:rPr>
              <w:t>||</w:t>
            </w:r>
            <w:r w:rsidRPr="001172C3">
              <w:rPr>
                <w:b w:val="0"/>
                <w:bCs/>
                <w:color w:val="000000"/>
                <w:spacing w:val="2"/>
                <w:shd w:val="solid" w:color="000000" w:fill="000000"/>
                <w:fitText w:val="219" w:id="-1234435068"/>
                <w14:textFill>
                  <w14:solidFill>
                    <w14:srgbClr w14:val="000000">
                      <w14:alpha w14:val="100000"/>
                    </w14:srgbClr>
                  </w14:solidFill>
                </w14:textFill>
              </w:rPr>
              <w:t>|</w:t>
            </w:r>
            <w:r w:rsidR="00E3749D">
              <w:rPr>
                <w:b w:val="0"/>
                <w:bCs/>
              </w:rPr>
              <w:t xml:space="preserve"> </w:t>
            </w:r>
            <w:r w:rsidR="00E3749D">
              <w:rPr>
                <w:b w:val="0"/>
                <w:bCs/>
                <w:vertAlign w:val="superscript"/>
              </w:rPr>
              <w:t>1</w:t>
            </w:r>
          </w:p>
        </w:tc>
        <w:tc>
          <w:tcPr>
            <w:tcW w:w="550" w:type="pct"/>
            <w:shd w:val="clear" w:color="auto" w:fill="auto"/>
          </w:tcPr>
          <w:p w14:paraId="70ECFC87" w14:textId="51942035" w:rsidR="009B5291" w:rsidRPr="008F3285" w:rsidRDefault="001172C3" w:rsidP="00D54B51">
            <w:pPr>
              <w:pStyle w:val="In-tableHeading"/>
              <w:jc w:val="center"/>
              <w:rPr>
                <w:b w:val="0"/>
                <w:bCs/>
              </w:rPr>
            </w:pPr>
            <w:r w:rsidRPr="001172C3">
              <w:rPr>
                <w:b w:val="0"/>
                <w:bCs/>
                <w:color w:val="000000"/>
                <w:spacing w:val="214"/>
                <w:shd w:val="solid" w:color="000000" w:fill="000000"/>
                <w:fitText w:val="300" w:id="-1234435067"/>
                <w14:textFill>
                  <w14:solidFill>
                    <w14:srgbClr w14:val="000000">
                      <w14:alpha w14:val="100000"/>
                    </w14:srgbClr>
                  </w14:solidFill>
                </w14:textFill>
              </w:rPr>
              <w:t>|</w:t>
            </w:r>
            <w:r w:rsidRPr="001172C3">
              <w:rPr>
                <w:b w:val="0"/>
                <w:bCs/>
                <w:color w:val="000000"/>
                <w:spacing w:val="1"/>
                <w:shd w:val="solid" w:color="000000" w:fill="000000"/>
                <w:fitText w:val="300" w:id="-1234435067"/>
                <w14:textFill>
                  <w14:solidFill>
                    <w14:srgbClr w14:val="000000">
                      <w14:alpha w14:val="100000"/>
                    </w14:srgbClr>
                  </w14:solidFill>
                </w14:textFill>
              </w:rPr>
              <w:t>|</w:t>
            </w:r>
            <w:r w:rsidR="00E3749D">
              <w:rPr>
                <w:b w:val="0"/>
                <w:bCs/>
              </w:rPr>
              <w:t xml:space="preserve"> </w:t>
            </w:r>
            <w:r w:rsidR="00E3749D">
              <w:rPr>
                <w:b w:val="0"/>
                <w:bCs/>
                <w:vertAlign w:val="superscript"/>
              </w:rPr>
              <w:t>1</w:t>
            </w:r>
          </w:p>
        </w:tc>
        <w:tc>
          <w:tcPr>
            <w:tcW w:w="629" w:type="pct"/>
            <w:shd w:val="clear" w:color="auto" w:fill="auto"/>
          </w:tcPr>
          <w:p w14:paraId="4EA0AFB8" w14:textId="4FC78EF0" w:rsidR="009B5291" w:rsidRPr="008F3285" w:rsidRDefault="001172C3" w:rsidP="00D54B51">
            <w:pPr>
              <w:pStyle w:val="In-tableHeading"/>
              <w:jc w:val="center"/>
              <w:rPr>
                <w:b w:val="0"/>
                <w:bCs/>
              </w:rPr>
            </w:pPr>
            <w:r w:rsidRPr="001172C3">
              <w:rPr>
                <w:b w:val="0"/>
                <w:bCs/>
                <w:color w:val="000000"/>
                <w:spacing w:val="51"/>
                <w:shd w:val="solid" w:color="000000" w:fill="000000"/>
                <w:fitText w:val="230" w:id="-1234435066"/>
                <w14:textFill>
                  <w14:solidFill>
                    <w14:srgbClr w14:val="000000">
                      <w14:alpha w14:val="100000"/>
                    </w14:srgbClr>
                  </w14:solidFill>
                </w14:textFill>
              </w:rPr>
              <w:t>||</w:t>
            </w:r>
            <w:r w:rsidRPr="001172C3">
              <w:rPr>
                <w:b w:val="0"/>
                <w:bCs/>
                <w:color w:val="000000"/>
                <w:spacing w:val="1"/>
                <w:shd w:val="solid" w:color="000000" w:fill="000000"/>
                <w:fitText w:val="230" w:id="-1234435066"/>
                <w14:textFill>
                  <w14:solidFill>
                    <w14:srgbClr w14:val="000000">
                      <w14:alpha w14:val="100000"/>
                    </w14:srgbClr>
                  </w14:solidFill>
                </w14:textFill>
              </w:rPr>
              <w:t>|</w:t>
            </w:r>
            <w:r w:rsidR="00E3749D">
              <w:rPr>
                <w:b w:val="0"/>
                <w:bCs/>
              </w:rPr>
              <w:t xml:space="preserve"> </w:t>
            </w:r>
            <w:r w:rsidR="00E3749D">
              <w:rPr>
                <w:b w:val="0"/>
                <w:bCs/>
                <w:vertAlign w:val="superscript"/>
              </w:rPr>
              <w:t>1</w:t>
            </w:r>
          </w:p>
        </w:tc>
        <w:tc>
          <w:tcPr>
            <w:tcW w:w="629" w:type="pct"/>
            <w:shd w:val="clear" w:color="auto" w:fill="auto"/>
          </w:tcPr>
          <w:p w14:paraId="0581F63F" w14:textId="2C4E4042" w:rsidR="009B5291" w:rsidRPr="008F3285" w:rsidRDefault="001172C3" w:rsidP="00D54B51">
            <w:pPr>
              <w:pStyle w:val="In-tableHeading"/>
              <w:jc w:val="center"/>
              <w:rPr>
                <w:b w:val="0"/>
                <w:bCs/>
              </w:rPr>
            </w:pPr>
            <w:r w:rsidRPr="001172C3">
              <w:rPr>
                <w:b w:val="0"/>
                <w:bCs/>
                <w:color w:val="000000"/>
                <w:spacing w:val="51"/>
                <w:shd w:val="solid" w:color="000000" w:fill="000000"/>
                <w:fitText w:val="230" w:id="-1234435065"/>
                <w14:textFill>
                  <w14:solidFill>
                    <w14:srgbClr w14:val="000000">
                      <w14:alpha w14:val="100000"/>
                    </w14:srgbClr>
                  </w14:solidFill>
                </w14:textFill>
              </w:rPr>
              <w:t>||</w:t>
            </w:r>
            <w:r w:rsidRPr="001172C3">
              <w:rPr>
                <w:b w:val="0"/>
                <w:bCs/>
                <w:color w:val="000000"/>
                <w:spacing w:val="1"/>
                <w:shd w:val="solid" w:color="000000" w:fill="000000"/>
                <w:fitText w:val="230" w:id="-1234435065"/>
                <w14:textFill>
                  <w14:solidFill>
                    <w14:srgbClr w14:val="000000">
                      <w14:alpha w14:val="100000"/>
                    </w14:srgbClr>
                  </w14:solidFill>
                </w14:textFill>
              </w:rPr>
              <w:t>|</w:t>
            </w:r>
            <w:r w:rsidR="00E3749D">
              <w:rPr>
                <w:b w:val="0"/>
                <w:bCs/>
              </w:rPr>
              <w:t xml:space="preserve"> </w:t>
            </w:r>
            <w:r w:rsidR="00E3749D">
              <w:rPr>
                <w:b w:val="0"/>
                <w:bCs/>
                <w:vertAlign w:val="superscript"/>
              </w:rPr>
              <w:t>1</w:t>
            </w:r>
          </w:p>
        </w:tc>
        <w:tc>
          <w:tcPr>
            <w:tcW w:w="629" w:type="pct"/>
            <w:gridSpan w:val="3"/>
            <w:shd w:val="clear" w:color="auto" w:fill="auto"/>
          </w:tcPr>
          <w:p w14:paraId="65D07E8A" w14:textId="0806E074" w:rsidR="009B5291" w:rsidRPr="008F3285" w:rsidRDefault="001172C3" w:rsidP="00D54B51">
            <w:pPr>
              <w:pStyle w:val="In-tableHeading"/>
              <w:jc w:val="center"/>
              <w:rPr>
                <w:b w:val="0"/>
                <w:bCs/>
              </w:rPr>
            </w:pPr>
            <w:r w:rsidRPr="001172C3">
              <w:rPr>
                <w:b w:val="0"/>
                <w:bCs/>
                <w:color w:val="000000"/>
                <w:spacing w:val="51"/>
                <w:shd w:val="solid" w:color="000000" w:fill="000000"/>
                <w:fitText w:val="231" w:id="-1234435064"/>
                <w14:textFill>
                  <w14:solidFill>
                    <w14:srgbClr w14:val="000000">
                      <w14:alpha w14:val="100000"/>
                    </w14:srgbClr>
                  </w14:solidFill>
                </w14:textFill>
              </w:rPr>
              <w:t>||</w:t>
            </w:r>
            <w:r w:rsidRPr="001172C3">
              <w:rPr>
                <w:b w:val="0"/>
                <w:bCs/>
                <w:color w:val="000000"/>
                <w:spacing w:val="2"/>
                <w:shd w:val="solid" w:color="000000" w:fill="000000"/>
                <w:fitText w:val="231" w:id="-1234435064"/>
                <w14:textFill>
                  <w14:solidFill>
                    <w14:srgbClr w14:val="000000">
                      <w14:alpha w14:val="100000"/>
                    </w14:srgbClr>
                  </w14:solidFill>
                </w14:textFill>
              </w:rPr>
              <w:t>|</w:t>
            </w:r>
            <w:r w:rsidR="00E3749D">
              <w:rPr>
                <w:b w:val="0"/>
                <w:bCs/>
              </w:rPr>
              <w:t xml:space="preserve"> </w:t>
            </w:r>
            <w:r w:rsidR="00E3749D">
              <w:rPr>
                <w:b w:val="0"/>
                <w:bCs/>
                <w:vertAlign w:val="superscript"/>
              </w:rPr>
              <w:t>1</w:t>
            </w:r>
          </w:p>
        </w:tc>
        <w:tc>
          <w:tcPr>
            <w:tcW w:w="598" w:type="pct"/>
            <w:shd w:val="clear" w:color="auto" w:fill="auto"/>
          </w:tcPr>
          <w:p w14:paraId="40C9BA89" w14:textId="2EC41841" w:rsidR="009B5291" w:rsidRPr="008F3285" w:rsidRDefault="001172C3" w:rsidP="00D54B51">
            <w:pPr>
              <w:pStyle w:val="In-tableHeading"/>
              <w:jc w:val="center"/>
              <w:rPr>
                <w:b w:val="0"/>
                <w:bCs/>
              </w:rPr>
            </w:pPr>
            <w:r w:rsidRPr="001172C3">
              <w:rPr>
                <w:b w:val="0"/>
                <w:bCs/>
                <w:color w:val="000000"/>
                <w:spacing w:val="168"/>
                <w:shd w:val="solid" w:color="000000" w:fill="000000"/>
                <w:fitText w:val="254" w:id="-1234435063"/>
                <w14:textFill>
                  <w14:solidFill>
                    <w14:srgbClr w14:val="000000">
                      <w14:alpha w14:val="100000"/>
                    </w14:srgbClr>
                  </w14:solidFill>
                </w14:textFill>
              </w:rPr>
              <w:t>|</w:t>
            </w:r>
            <w:r w:rsidRPr="001172C3">
              <w:rPr>
                <w:b w:val="0"/>
                <w:bCs/>
                <w:color w:val="000000"/>
                <w:spacing w:val="1"/>
                <w:shd w:val="solid" w:color="000000" w:fill="000000"/>
                <w:fitText w:val="254" w:id="-1234435063"/>
                <w14:textFill>
                  <w14:solidFill>
                    <w14:srgbClr w14:val="000000">
                      <w14:alpha w14:val="100000"/>
                    </w14:srgbClr>
                  </w14:solidFill>
                </w14:textFill>
              </w:rPr>
              <w:t>|</w:t>
            </w:r>
            <w:r w:rsidR="00E3749D">
              <w:rPr>
                <w:b w:val="0"/>
                <w:bCs/>
              </w:rPr>
              <w:t xml:space="preserve"> </w:t>
            </w:r>
            <w:r w:rsidR="00E3749D">
              <w:rPr>
                <w:b w:val="0"/>
                <w:bCs/>
                <w:vertAlign w:val="superscript"/>
              </w:rPr>
              <w:t>1</w:t>
            </w:r>
          </w:p>
        </w:tc>
      </w:tr>
      <w:tr w:rsidR="009B5291" w:rsidRPr="00D1078F" w14:paraId="7CBD5DD7" w14:textId="77777777" w:rsidTr="009B5291">
        <w:tc>
          <w:tcPr>
            <w:tcW w:w="1336" w:type="pct"/>
            <w:shd w:val="clear" w:color="auto" w:fill="auto"/>
            <w:vAlign w:val="center"/>
          </w:tcPr>
          <w:p w14:paraId="04063C59" w14:textId="23D49C48" w:rsidR="009B5291" w:rsidRPr="008F3285" w:rsidRDefault="009B5291" w:rsidP="009B5291">
            <w:pPr>
              <w:pStyle w:val="In-tableHeading"/>
              <w:rPr>
                <w:b w:val="0"/>
                <w:bCs/>
              </w:rPr>
            </w:pPr>
            <w:r w:rsidRPr="008F3285">
              <w:rPr>
                <w:b w:val="0"/>
                <w:bCs/>
              </w:rPr>
              <w:t>Number of scripts dispensed</w:t>
            </w:r>
          </w:p>
        </w:tc>
        <w:tc>
          <w:tcPr>
            <w:tcW w:w="629" w:type="pct"/>
            <w:shd w:val="clear" w:color="auto" w:fill="auto"/>
            <w:vAlign w:val="center"/>
          </w:tcPr>
          <w:p w14:paraId="7E45C2FF" w14:textId="7E39859F" w:rsidR="009B5291" w:rsidRPr="008F3285" w:rsidRDefault="001172C3" w:rsidP="00D54B51">
            <w:pPr>
              <w:pStyle w:val="In-tableHeading"/>
              <w:jc w:val="center"/>
              <w:rPr>
                <w:b w:val="0"/>
                <w:bCs/>
              </w:rPr>
            </w:pPr>
            <w:r w:rsidRPr="001172C3">
              <w:rPr>
                <w:rFonts w:cs="Calibri"/>
                <w:b w:val="0"/>
                <w:bCs/>
                <w:color w:val="000000"/>
                <w:spacing w:val="45"/>
                <w:szCs w:val="20"/>
                <w:shd w:val="solid" w:color="000000" w:fill="000000"/>
                <w:fitText w:val="219" w:id="-1234435062"/>
                <w14:textFill>
                  <w14:solidFill>
                    <w14:srgbClr w14:val="000000">
                      <w14:alpha w14:val="100000"/>
                    </w14:srgbClr>
                  </w14:solidFill>
                </w14:textFill>
              </w:rPr>
              <w:t>||</w:t>
            </w:r>
            <w:r w:rsidRPr="001172C3">
              <w:rPr>
                <w:rFonts w:cs="Calibri"/>
                <w:b w:val="0"/>
                <w:bCs/>
                <w:color w:val="000000"/>
                <w:spacing w:val="2"/>
                <w:szCs w:val="20"/>
                <w:shd w:val="solid" w:color="000000" w:fill="000000"/>
                <w:fitText w:val="219" w:id="-1234435062"/>
                <w14:textFill>
                  <w14:solidFill>
                    <w14:srgbClr w14:val="000000">
                      <w14:alpha w14:val="100000"/>
                    </w14:srgbClr>
                  </w14:solidFill>
                </w14:textFill>
              </w:rPr>
              <w:t>|</w:t>
            </w:r>
            <w:r w:rsidR="00E3749D">
              <w:rPr>
                <w:b w:val="0"/>
                <w:bCs/>
              </w:rPr>
              <w:t xml:space="preserve"> </w:t>
            </w:r>
            <w:r w:rsidR="00E3749D">
              <w:rPr>
                <w:b w:val="0"/>
                <w:bCs/>
                <w:vertAlign w:val="superscript"/>
              </w:rPr>
              <w:t>1</w:t>
            </w:r>
          </w:p>
        </w:tc>
        <w:tc>
          <w:tcPr>
            <w:tcW w:w="550" w:type="pct"/>
            <w:shd w:val="clear" w:color="auto" w:fill="auto"/>
            <w:vAlign w:val="center"/>
          </w:tcPr>
          <w:p w14:paraId="5556B855" w14:textId="466CCACD" w:rsidR="009B5291" w:rsidRPr="008F3285" w:rsidRDefault="009B5291" w:rsidP="00D54B51">
            <w:pPr>
              <w:pStyle w:val="In-tableHeading"/>
              <w:jc w:val="center"/>
              <w:rPr>
                <w:b w:val="0"/>
                <w:bCs/>
              </w:rPr>
            </w:pPr>
            <w:r w:rsidRPr="008F3285">
              <w:rPr>
                <w:rFonts w:cs="Calibri"/>
                <w:b w:val="0"/>
                <w:bCs/>
                <w:color w:val="000000"/>
                <w:szCs w:val="20"/>
              </w:rPr>
              <w:t>3</w:t>
            </w:r>
            <w:r w:rsidR="001172C3" w:rsidRPr="001172C3">
              <w:rPr>
                <w:rFonts w:cs="Calibri"/>
                <w:b w:val="0"/>
                <w:bCs/>
                <w:color w:val="000000"/>
                <w:spacing w:val="58"/>
                <w:szCs w:val="20"/>
                <w:shd w:val="solid" w:color="000000" w:fill="000000"/>
                <w:fitText w:val="346" w:id="-1234435061"/>
                <w14:textFill>
                  <w14:solidFill>
                    <w14:srgbClr w14:val="000000">
                      <w14:alpha w14:val="100000"/>
                    </w14:srgbClr>
                  </w14:solidFill>
                </w14:textFill>
              </w:rPr>
              <w:t>|||</w:t>
            </w:r>
            <w:r w:rsidR="001172C3" w:rsidRPr="001172C3">
              <w:rPr>
                <w:rFonts w:cs="Calibri"/>
                <w:b w:val="0"/>
                <w:bCs/>
                <w:color w:val="000000"/>
                <w:spacing w:val="2"/>
                <w:szCs w:val="20"/>
                <w:shd w:val="solid" w:color="000000" w:fill="000000"/>
                <w:fitText w:val="346" w:id="-1234435061"/>
                <w14:textFill>
                  <w14:solidFill>
                    <w14:srgbClr w14:val="000000">
                      <w14:alpha w14:val="100000"/>
                    </w14:srgbClr>
                  </w14:solidFill>
                </w14:textFill>
              </w:rPr>
              <w:t>|</w:t>
            </w:r>
            <w:r w:rsidR="00E3749D">
              <w:rPr>
                <w:b w:val="0"/>
                <w:bCs/>
              </w:rPr>
              <w:t xml:space="preserve"> </w:t>
            </w:r>
            <w:r w:rsidR="00E3749D">
              <w:rPr>
                <w:b w:val="0"/>
                <w:bCs/>
                <w:vertAlign w:val="superscript"/>
              </w:rPr>
              <w:t>1</w:t>
            </w:r>
          </w:p>
        </w:tc>
        <w:tc>
          <w:tcPr>
            <w:tcW w:w="629" w:type="pct"/>
            <w:shd w:val="clear" w:color="auto" w:fill="auto"/>
            <w:vAlign w:val="center"/>
          </w:tcPr>
          <w:p w14:paraId="7AEA6CEB" w14:textId="6FC0A379" w:rsidR="009B5291" w:rsidRPr="008F3285" w:rsidRDefault="001172C3" w:rsidP="00D54B51">
            <w:pPr>
              <w:pStyle w:val="In-tableHeading"/>
              <w:jc w:val="center"/>
              <w:rPr>
                <w:b w:val="0"/>
                <w:bCs/>
              </w:rPr>
            </w:pPr>
            <w:r w:rsidRPr="001172C3">
              <w:rPr>
                <w:rFonts w:cs="Calibri"/>
                <w:b w:val="0"/>
                <w:bCs/>
                <w:color w:val="000000"/>
                <w:spacing w:val="51"/>
                <w:szCs w:val="20"/>
                <w:shd w:val="solid" w:color="000000" w:fill="000000"/>
                <w:fitText w:val="230" w:id="-1234435060"/>
                <w14:textFill>
                  <w14:solidFill>
                    <w14:srgbClr w14:val="000000">
                      <w14:alpha w14:val="100000"/>
                    </w14:srgbClr>
                  </w14:solidFill>
                </w14:textFill>
              </w:rPr>
              <w:t>||</w:t>
            </w:r>
            <w:r w:rsidRPr="001172C3">
              <w:rPr>
                <w:rFonts w:cs="Calibri"/>
                <w:b w:val="0"/>
                <w:bCs/>
                <w:color w:val="000000"/>
                <w:spacing w:val="1"/>
                <w:szCs w:val="20"/>
                <w:shd w:val="solid" w:color="000000" w:fill="000000"/>
                <w:fitText w:val="230" w:id="-1234435060"/>
                <w14:textFill>
                  <w14:solidFill>
                    <w14:srgbClr w14:val="000000">
                      <w14:alpha w14:val="100000"/>
                    </w14:srgbClr>
                  </w14:solidFill>
                </w14:textFill>
              </w:rPr>
              <w:t>|</w:t>
            </w:r>
            <w:r w:rsidR="00E3749D">
              <w:rPr>
                <w:b w:val="0"/>
                <w:bCs/>
              </w:rPr>
              <w:t xml:space="preserve"> </w:t>
            </w:r>
            <w:r w:rsidR="00E3749D">
              <w:rPr>
                <w:b w:val="0"/>
                <w:bCs/>
                <w:vertAlign w:val="superscript"/>
              </w:rPr>
              <w:t>1</w:t>
            </w:r>
          </w:p>
        </w:tc>
        <w:tc>
          <w:tcPr>
            <w:tcW w:w="629" w:type="pct"/>
            <w:shd w:val="clear" w:color="auto" w:fill="auto"/>
            <w:vAlign w:val="center"/>
          </w:tcPr>
          <w:p w14:paraId="0E615D9F" w14:textId="764E7F6B" w:rsidR="009B5291" w:rsidRPr="008F3285" w:rsidRDefault="001172C3" w:rsidP="00D54B51">
            <w:pPr>
              <w:pStyle w:val="In-tableHeading"/>
              <w:jc w:val="center"/>
              <w:rPr>
                <w:b w:val="0"/>
                <w:bCs/>
              </w:rPr>
            </w:pPr>
            <w:r w:rsidRPr="001172C3">
              <w:rPr>
                <w:rFonts w:cs="Calibri"/>
                <w:b w:val="0"/>
                <w:bCs/>
                <w:color w:val="000000"/>
                <w:spacing w:val="51"/>
                <w:szCs w:val="20"/>
                <w:shd w:val="solid" w:color="000000" w:fill="000000"/>
                <w:fitText w:val="230" w:id="-1234435059"/>
                <w14:textFill>
                  <w14:solidFill>
                    <w14:srgbClr w14:val="000000">
                      <w14:alpha w14:val="100000"/>
                    </w14:srgbClr>
                  </w14:solidFill>
                </w14:textFill>
              </w:rPr>
              <w:t>||</w:t>
            </w:r>
            <w:r w:rsidRPr="001172C3">
              <w:rPr>
                <w:rFonts w:cs="Calibri"/>
                <w:b w:val="0"/>
                <w:bCs/>
                <w:color w:val="000000"/>
                <w:spacing w:val="1"/>
                <w:szCs w:val="20"/>
                <w:shd w:val="solid" w:color="000000" w:fill="000000"/>
                <w:fitText w:val="230" w:id="-1234435059"/>
                <w14:textFill>
                  <w14:solidFill>
                    <w14:srgbClr w14:val="000000">
                      <w14:alpha w14:val="100000"/>
                    </w14:srgbClr>
                  </w14:solidFill>
                </w14:textFill>
              </w:rPr>
              <w:t>|</w:t>
            </w:r>
            <w:r w:rsidR="00E3749D">
              <w:rPr>
                <w:b w:val="0"/>
                <w:bCs/>
              </w:rPr>
              <w:t xml:space="preserve"> </w:t>
            </w:r>
            <w:r w:rsidR="00E3749D">
              <w:rPr>
                <w:b w:val="0"/>
                <w:bCs/>
                <w:vertAlign w:val="superscript"/>
              </w:rPr>
              <w:t>1</w:t>
            </w:r>
          </w:p>
        </w:tc>
        <w:tc>
          <w:tcPr>
            <w:tcW w:w="629" w:type="pct"/>
            <w:gridSpan w:val="3"/>
            <w:shd w:val="clear" w:color="auto" w:fill="auto"/>
            <w:vAlign w:val="center"/>
          </w:tcPr>
          <w:p w14:paraId="4851661E" w14:textId="0FA89674" w:rsidR="009B5291" w:rsidRPr="008F3285" w:rsidRDefault="001172C3" w:rsidP="00D54B51">
            <w:pPr>
              <w:pStyle w:val="In-tableHeading"/>
              <w:jc w:val="center"/>
              <w:rPr>
                <w:b w:val="0"/>
                <w:bCs/>
              </w:rPr>
            </w:pPr>
            <w:r w:rsidRPr="001172C3">
              <w:rPr>
                <w:rFonts w:cs="Calibri"/>
                <w:b w:val="0"/>
                <w:bCs/>
                <w:color w:val="000000"/>
                <w:spacing w:val="51"/>
                <w:szCs w:val="20"/>
                <w:shd w:val="solid" w:color="000000" w:fill="000000"/>
                <w:fitText w:val="231" w:id="-1234435058"/>
                <w14:textFill>
                  <w14:solidFill>
                    <w14:srgbClr w14:val="000000">
                      <w14:alpha w14:val="100000"/>
                    </w14:srgbClr>
                  </w14:solidFill>
                </w14:textFill>
              </w:rPr>
              <w:t>||</w:t>
            </w:r>
            <w:r w:rsidRPr="001172C3">
              <w:rPr>
                <w:rFonts w:cs="Calibri"/>
                <w:b w:val="0"/>
                <w:bCs/>
                <w:color w:val="000000"/>
                <w:spacing w:val="2"/>
                <w:szCs w:val="20"/>
                <w:shd w:val="solid" w:color="000000" w:fill="000000"/>
                <w:fitText w:val="231" w:id="-1234435058"/>
                <w14:textFill>
                  <w14:solidFill>
                    <w14:srgbClr w14:val="000000">
                      <w14:alpha w14:val="100000"/>
                    </w14:srgbClr>
                  </w14:solidFill>
                </w14:textFill>
              </w:rPr>
              <w:t>|</w:t>
            </w:r>
            <w:r w:rsidR="00E3749D">
              <w:rPr>
                <w:b w:val="0"/>
                <w:bCs/>
              </w:rPr>
              <w:t xml:space="preserve"> </w:t>
            </w:r>
            <w:r w:rsidR="00E3749D">
              <w:rPr>
                <w:b w:val="0"/>
                <w:bCs/>
                <w:vertAlign w:val="superscript"/>
              </w:rPr>
              <w:t>1</w:t>
            </w:r>
          </w:p>
        </w:tc>
        <w:tc>
          <w:tcPr>
            <w:tcW w:w="598" w:type="pct"/>
            <w:shd w:val="clear" w:color="auto" w:fill="auto"/>
            <w:vAlign w:val="center"/>
          </w:tcPr>
          <w:p w14:paraId="75C76011" w14:textId="46543467" w:rsidR="009B5291" w:rsidRPr="008F3285" w:rsidRDefault="001172C3" w:rsidP="00D54B51">
            <w:pPr>
              <w:pStyle w:val="In-tableHeading"/>
              <w:jc w:val="center"/>
              <w:rPr>
                <w:b w:val="0"/>
                <w:bCs/>
              </w:rPr>
            </w:pPr>
            <w:r w:rsidRPr="001172C3">
              <w:rPr>
                <w:rFonts w:cs="Calibri"/>
                <w:b w:val="0"/>
                <w:bCs/>
                <w:color w:val="000000"/>
                <w:spacing w:val="168"/>
                <w:szCs w:val="20"/>
                <w:shd w:val="solid" w:color="000000" w:fill="000000"/>
                <w:fitText w:val="254" w:id="-1234435057"/>
                <w14:textFill>
                  <w14:solidFill>
                    <w14:srgbClr w14:val="000000">
                      <w14:alpha w14:val="100000"/>
                    </w14:srgbClr>
                  </w14:solidFill>
                </w14:textFill>
              </w:rPr>
              <w:t>|</w:t>
            </w:r>
            <w:r w:rsidRPr="001172C3">
              <w:rPr>
                <w:rFonts w:cs="Calibri"/>
                <w:b w:val="0"/>
                <w:bCs/>
                <w:color w:val="000000"/>
                <w:spacing w:val="1"/>
                <w:szCs w:val="20"/>
                <w:shd w:val="solid" w:color="000000" w:fill="000000"/>
                <w:fitText w:val="254" w:id="-1234435057"/>
                <w14:textFill>
                  <w14:solidFill>
                    <w14:srgbClr w14:val="000000">
                      <w14:alpha w14:val="100000"/>
                    </w14:srgbClr>
                  </w14:solidFill>
                </w14:textFill>
              </w:rPr>
              <w:t>|</w:t>
            </w:r>
            <w:r w:rsidR="00E3749D">
              <w:rPr>
                <w:b w:val="0"/>
                <w:bCs/>
              </w:rPr>
              <w:t xml:space="preserve"> </w:t>
            </w:r>
            <w:r w:rsidR="00E3749D">
              <w:rPr>
                <w:b w:val="0"/>
                <w:bCs/>
                <w:vertAlign w:val="superscript"/>
              </w:rPr>
              <w:t>1</w:t>
            </w:r>
          </w:p>
        </w:tc>
      </w:tr>
      <w:tr w:rsidR="00223F18" w:rsidRPr="00D1078F" w14:paraId="31D484FE" w14:textId="77777777" w:rsidTr="00970F85">
        <w:tc>
          <w:tcPr>
            <w:tcW w:w="5000" w:type="pct"/>
            <w:gridSpan w:val="9"/>
            <w:shd w:val="clear" w:color="auto" w:fill="auto"/>
            <w:vAlign w:val="center"/>
          </w:tcPr>
          <w:p w14:paraId="4246D134" w14:textId="7FBA9EC1" w:rsidR="00223F18" w:rsidRPr="00D1078F" w:rsidRDefault="00223F18" w:rsidP="00970F85">
            <w:pPr>
              <w:pStyle w:val="In-tableHeading"/>
            </w:pPr>
            <w:r w:rsidRPr="00D1078F">
              <w:t xml:space="preserve">Estimated </w:t>
            </w:r>
            <w:r>
              <w:t xml:space="preserve">financial implications of nivolumab </w:t>
            </w:r>
          </w:p>
        </w:tc>
      </w:tr>
      <w:tr w:rsidR="00ED650E" w:rsidRPr="003639A6" w14:paraId="41029966" w14:textId="77777777" w:rsidTr="009B5291">
        <w:tc>
          <w:tcPr>
            <w:tcW w:w="1336" w:type="pct"/>
            <w:shd w:val="clear" w:color="auto" w:fill="auto"/>
          </w:tcPr>
          <w:p w14:paraId="40FEDA97" w14:textId="77777777" w:rsidR="00ED650E" w:rsidRDefault="00ED650E" w:rsidP="00ED650E">
            <w:pPr>
              <w:pStyle w:val="TableText0"/>
              <w:rPr>
                <w:sz w:val="19"/>
                <w:szCs w:val="19"/>
              </w:rPr>
            </w:pPr>
            <w:r w:rsidRPr="00621335">
              <w:t>Total cost to the PBS/RPBS, excluding patient copayments</w:t>
            </w:r>
          </w:p>
        </w:tc>
        <w:tc>
          <w:tcPr>
            <w:tcW w:w="629" w:type="pct"/>
            <w:shd w:val="clear" w:color="auto" w:fill="auto"/>
          </w:tcPr>
          <w:p w14:paraId="0C14B64A" w14:textId="58E4F716" w:rsidR="00ED650E" w:rsidRPr="00E3749D" w:rsidRDefault="00ED650E" w:rsidP="00ED650E">
            <w:pPr>
              <w:pStyle w:val="TableText0"/>
              <w:jc w:val="center"/>
              <w:rPr>
                <w:vertAlign w:val="superscript"/>
              </w:rPr>
            </w:pPr>
            <w:r w:rsidRPr="00D40EAE">
              <w:t>$</w:t>
            </w:r>
            <w:r w:rsidR="001172C3" w:rsidRPr="001172C3">
              <w:rPr>
                <w:color w:val="000000"/>
                <w:spacing w:val="179"/>
                <w:shd w:val="solid" w:color="000000" w:fill="000000"/>
                <w:fitText w:val="265" w:id="-1234435056"/>
                <w14:textFill>
                  <w14:solidFill>
                    <w14:srgbClr w14:val="000000">
                      <w14:alpha w14:val="100000"/>
                    </w14:srgbClr>
                  </w14:solidFill>
                </w14:textFill>
              </w:rPr>
              <w:t>|</w:t>
            </w:r>
            <w:r w:rsidR="001172C3" w:rsidRPr="001172C3">
              <w:rPr>
                <w:color w:val="000000"/>
                <w:spacing w:val="1"/>
                <w:shd w:val="solid" w:color="000000" w:fill="000000"/>
                <w:fitText w:val="265" w:id="-1234435056"/>
                <w14:textFill>
                  <w14:solidFill>
                    <w14:srgbClr w14:val="000000">
                      <w14:alpha w14:val="100000"/>
                    </w14:srgbClr>
                  </w14:solidFill>
                </w14:textFill>
              </w:rPr>
              <w:t>|</w:t>
            </w:r>
            <w:r w:rsidR="00E3749D">
              <w:t xml:space="preserve"> </w:t>
            </w:r>
            <w:r w:rsidR="00E3749D">
              <w:rPr>
                <w:vertAlign w:val="superscript"/>
              </w:rPr>
              <w:t>2</w:t>
            </w:r>
          </w:p>
        </w:tc>
        <w:tc>
          <w:tcPr>
            <w:tcW w:w="550" w:type="pct"/>
            <w:shd w:val="clear" w:color="auto" w:fill="auto"/>
          </w:tcPr>
          <w:p w14:paraId="11A1E9C9" w14:textId="4659B5BA" w:rsidR="00ED650E" w:rsidRPr="003639A6" w:rsidRDefault="00ED650E" w:rsidP="00ED650E">
            <w:pPr>
              <w:pStyle w:val="TableText0"/>
              <w:jc w:val="center"/>
            </w:pPr>
            <w:r w:rsidRPr="00D40EAE">
              <w:t>$</w:t>
            </w:r>
            <w:r w:rsidR="001172C3" w:rsidRPr="001172C3">
              <w:rPr>
                <w:color w:val="000000"/>
                <w:spacing w:val="58"/>
                <w:shd w:val="solid" w:color="000000" w:fill="000000"/>
                <w:fitText w:val="346" w:id="-1234435072"/>
                <w14:textFill>
                  <w14:solidFill>
                    <w14:srgbClr w14:val="000000">
                      <w14:alpha w14:val="100000"/>
                    </w14:srgbClr>
                  </w14:solidFill>
                </w14:textFill>
              </w:rPr>
              <w:t>|||</w:t>
            </w:r>
            <w:r w:rsidR="001172C3" w:rsidRPr="001172C3">
              <w:rPr>
                <w:color w:val="000000"/>
                <w:spacing w:val="2"/>
                <w:shd w:val="solid" w:color="000000" w:fill="000000"/>
                <w:fitText w:val="346" w:id="-1234435072"/>
                <w14:textFill>
                  <w14:solidFill>
                    <w14:srgbClr w14:val="000000">
                      <w14:alpha w14:val="100000"/>
                    </w14:srgbClr>
                  </w14:solidFill>
                </w14:textFill>
              </w:rPr>
              <w:t>|</w:t>
            </w:r>
            <w:r w:rsidR="00E3749D">
              <w:t xml:space="preserve"> </w:t>
            </w:r>
            <w:r w:rsidR="00E3749D">
              <w:rPr>
                <w:vertAlign w:val="superscript"/>
              </w:rPr>
              <w:t>2</w:t>
            </w:r>
          </w:p>
        </w:tc>
        <w:tc>
          <w:tcPr>
            <w:tcW w:w="629" w:type="pct"/>
            <w:shd w:val="clear" w:color="auto" w:fill="auto"/>
          </w:tcPr>
          <w:p w14:paraId="0B9280A4" w14:textId="46F6F390" w:rsidR="00ED650E" w:rsidRPr="003639A6" w:rsidRDefault="00ED650E" w:rsidP="00ED650E">
            <w:pPr>
              <w:pStyle w:val="TableText0"/>
              <w:jc w:val="center"/>
            </w:pPr>
            <w:r w:rsidRPr="00D40EAE">
              <w:t>$</w:t>
            </w:r>
            <w:r w:rsidR="001172C3" w:rsidRPr="001172C3">
              <w:rPr>
                <w:color w:val="000000"/>
                <w:spacing w:val="179"/>
                <w:shd w:val="solid" w:color="000000" w:fill="000000"/>
                <w:fitText w:val="265" w:id="-1234435071"/>
                <w14:textFill>
                  <w14:solidFill>
                    <w14:srgbClr w14:val="000000">
                      <w14:alpha w14:val="100000"/>
                    </w14:srgbClr>
                  </w14:solidFill>
                </w14:textFill>
              </w:rPr>
              <w:t>|</w:t>
            </w:r>
            <w:r w:rsidR="001172C3" w:rsidRPr="001172C3">
              <w:rPr>
                <w:color w:val="000000"/>
                <w:spacing w:val="1"/>
                <w:shd w:val="solid" w:color="000000" w:fill="000000"/>
                <w:fitText w:val="265" w:id="-1234435071"/>
                <w14:textFill>
                  <w14:solidFill>
                    <w14:srgbClr w14:val="000000">
                      <w14:alpha w14:val="100000"/>
                    </w14:srgbClr>
                  </w14:solidFill>
                </w14:textFill>
              </w:rPr>
              <w:t>|</w:t>
            </w:r>
            <w:r w:rsidR="00E3749D">
              <w:t xml:space="preserve"> </w:t>
            </w:r>
            <w:r w:rsidR="00E3749D">
              <w:rPr>
                <w:vertAlign w:val="superscript"/>
              </w:rPr>
              <w:t>2</w:t>
            </w:r>
          </w:p>
        </w:tc>
        <w:tc>
          <w:tcPr>
            <w:tcW w:w="637" w:type="pct"/>
            <w:gridSpan w:val="2"/>
            <w:shd w:val="clear" w:color="auto" w:fill="auto"/>
          </w:tcPr>
          <w:p w14:paraId="0E5DC509" w14:textId="6AE0EBA3" w:rsidR="00ED650E" w:rsidRPr="003639A6" w:rsidRDefault="00ED650E" w:rsidP="00ED650E">
            <w:pPr>
              <w:pStyle w:val="TableText0"/>
              <w:jc w:val="center"/>
            </w:pPr>
            <w:r w:rsidRPr="00D40EAE">
              <w:t>$</w:t>
            </w:r>
            <w:r w:rsidR="001172C3" w:rsidRPr="001172C3">
              <w:rPr>
                <w:color w:val="000000"/>
                <w:spacing w:val="179"/>
                <w:shd w:val="solid" w:color="000000" w:fill="000000"/>
                <w:fitText w:val="265" w:id="-1234435070"/>
                <w14:textFill>
                  <w14:solidFill>
                    <w14:srgbClr w14:val="000000">
                      <w14:alpha w14:val="100000"/>
                    </w14:srgbClr>
                  </w14:solidFill>
                </w14:textFill>
              </w:rPr>
              <w:t>|</w:t>
            </w:r>
            <w:r w:rsidR="001172C3" w:rsidRPr="001172C3">
              <w:rPr>
                <w:color w:val="000000"/>
                <w:spacing w:val="1"/>
                <w:shd w:val="solid" w:color="000000" w:fill="000000"/>
                <w:fitText w:val="265" w:id="-1234435070"/>
                <w14:textFill>
                  <w14:solidFill>
                    <w14:srgbClr w14:val="000000">
                      <w14:alpha w14:val="100000"/>
                    </w14:srgbClr>
                  </w14:solidFill>
                </w14:textFill>
              </w:rPr>
              <w:t>|</w:t>
            </w:r>
            <w:r w:rsidR="00E3749D">
              <w:t xml:space="preserve"> </w:t>
            </w:r>
            <w:r w:rsidR="00E3749D">
              <w:rPr>
                <w:vertAlign w:val="superscript"/>
              </w:rPr>
              <w:t>2</w:t>
            </w:r>
          </w:p>
        </w:tc>
        <w:tc>
          <w:tcPr>
            <w:tcW w:w="611" w:type="pct"/>
            <w:shd w:val="clear" w:color="auto" w:fill="auto"/>
          </w:tcPr>
          <w:p w14:paraId="3E5C9940" w14:textId="219913B1" w:rsidR="00ED650E" w:rsidRPr="003639A6" w:rsidRDefault="00ED650E" w:rsidP="00ED650E">
            <w:pPr>
              <w:pStyle w:val="TableText0"/>
              <w:jc w:val="center"/>
            </w:pPr>
            <w:r w:rsidRPr="00D40EAE">
              <w:t>$</w:t>
            </w:r>
            <w:r w:rsidR="001172C3" w:rsidRPr="001172C3">
              <w:rPr>
                <w:color w:val="000000"/>
                <w:spacing w:val="202"/>
                <w:shd w:val="solid" w:color="000000" w:fill="000000"/>
                <w:fitText w:val="288" w:id="-1234435069"/>
                <w14:textFill>
                  <w14:solidFill>
                    <w14:srgbClr w14:val="000000">
                      <w14:alpha w14:val="100000"/>
                    </w14:srgbClr>
                  </w14:solidFill>
                </w14:textFill>
              </w:rPr>
              <w:t>|</w:t>
            </w:r>
            <w:r w:rsidR="001172C3" w:rsidRPr="001172C3">
              <w:rPr>
                <w:color w:val="000000"/>
                <w:spacing w:val="1"/>
                <w:shd w:val="solid" w:color="000000" w:fill="000000"/>
                <w:fitText w:val="288" w:id="-1234435069"/>
                <w14:textFill>
                  <w14:solidFill>
                    <w14:srgbClr w14:val="000000">
                      <w14:alpha w14:val="100000"/>
                    </w14:srgbClr>
                  </w14:solidFill>
                </w14:textFill>
              </w:rPr>
              <w:t>|</w:t>
            </w:r>
            <w:r w:rsidR="00E3749D">
              <w:t xml:space="preserve"> </w:t>
            </w:r>
            <w:r w:rsidR="00E3749D">
              <w:rPr>
                <w:vertAlign w:val="superscript"/>
              </w:rPr>
              <w:t>2</w:t>
            </w:r>
          </w:p>
        </w:tc>
        <w:tc>
          <w:tcPr>
            <w:tcW w:w="608" w:type="pct"/>
            <w:gridSpan w:val="2"/>
          </w:tcPr>
          <w:p w14:paraId="017001D2" w14:textId="7461AD82" w:rsidR="00ED650E" w:rsidRPr="003639A6" w:rsidRDefault="00ED650E" w:rsidP="00ED650E">
            <w:pPr>
              <w:pStyle w:val="TableText0"/>
              <w:jc w:val="center"/>
            </w:pPr>
            <w:r w:rsidRPr="00D40EAE">
              <w:t>$</w:t>
            </w:r>
            <w:r w:rsidR="001172C3" w:rsidRPr="001172C3">
              <w:rPr>
                <w:color w:val="000000"/>
                <w:spacing w:val="202"/>
                <w:shd w:val="solid" w:color="000000" w:fill="000000"/>
                <w:fitText w:val="288" w:id="-1234435068"/>
                <w14:textFill>
                  <w14:solidFill>
                    <w14:srgbClr w14:val="000000">
                      <w14:alpha w14:val="100000"/>
                    </w14:srgbClr>
                  </w14:solidFill>
                </w14:textFill>
              </w:rPr>
              <w:t>|</w:t>
            </w:r>
            <w:r w:rsidR="001172C3" w:rsidRPr="001172C3">
              <w:rPr>
                <w:color w:val="000000"/>
                <w:spacing w:val="1"/>
                <w:shd w:val="solid" w:color="000000" w:fill="000000"/>
                <w:fitText w:val="288" w:id="-1234435068"/>
                <w14:textFill>
                  <w14:solidFill>
                    <w14:srgbClr w14:val="000000">
                      <w14:alpha w14:val="100000"/>
                    </w14:srgbClr>
                  </w14:solidFill>
                </w14:textFill>
              </w:rPr>
              <w:t>|</w:t>
            </w:r>
            <w:r w:rsidR="00E3749D">
              <w:t xml:space="preserve"> </w:t>
            </w:r>
            <w:r w:rsidR="00E3749D">
              <w:rPr>
                <w:vertAlign w:val="superscript"/>
              </w:rPr>
              <w:t>2</w:t>
            </w:r>
          </w:p>
        </w:tc>
      </w:tr>
      <w:tr w:rsidR="00ED650E" w:rsidRPr="003639A6" w14:paraId="3F1681F5" w14:textId="77777777" w:rsidTr="00970F85">
        <w:tc>
          <w:tcPr>
            <w:tcW w:w="5000" w:type="pct"/>
            <w:gridSpan w:val="9"/>
            <w:shd w:val="clear" w:color="auto" w:fill="auto"/>
            <w:vAlign w:val="center"/>
          </w:tcPr>
          <w:p w14:paraId="1BC3BC2B" w14:textId="77777777" w:rsidR="00ED650E" w:rsidRPr="00C23AA7" w:rsidRDefault="00ED650E" w:rsidP="00ED650E">
            <w:pPr>
              <w:pStyle w:val="TableText0"/>
              <w:rPr>
                <w:b/>
              </w:rPr>
            </w:pPr>
            <w:r w:rsidRPr="00C23AA7">
              <w:rPr>
                <w:b/>
              </w:rPr>
              <w:t>Estimated financial implications for other medicines</w:t>
            </w:r>
          </w:p>
        </w:tc>
      </w:tr>
      <w:tr w:rsidR="00375C4E" w:rsidRPr="003639A6" w14:paraId="4CEBF5BC" w14:textId="77777777" w:rsidTr="009B5291">
        <w:tc>
          <w:tcPr>
            <w:tcW w:w="1336" w:type="pct"/>
            <w:shd w:val="clear" w:color="auto" w:fill="auto"/>
          </w:tcPr>
          <w:p w14:paraId="5D8460A7" w14:textId="77777777" w:rsidR="00375C4E" w:rsidRDefault="00375C4E" w:rsidP="00375C4E">
            <w:pPr>
              <w:pStyle w:val="TableText0"/>
              <w:rPr>
                <w:sz w:val="19"/>
                <w:szCs w:val="19"/>
              </w:rPr>
            </w:pPr>
            <w:r w:rsidRPr="000C2F16">
              <w:t>Reduction in cost to the PBS/RPBS, excluding patient copayments</w:t>
            </w:r>
          </w:p>
        </w:tc>
        <w:tc>
          <w:tcPr>
            <w:tcW w:w="629" w:type="pct"/>
            <w:shd w:val="clear" w:color="auto" w:fill="auto"/>
            <w:vAlign w:val="bottom"/>
          </w:tcPr>
          <w:p w14:paraId="3A7CDFE7" w14:textId="6E7E2983" w:rsidR="00375C4E" w:rsidRPr="003639A6" w:rsidRDefault="00375C4E" w:rsidP="00375C4E">
            <w:pPr>
              <w:pStyle w:val="TableText0"/>
              <w:jc w:val="center"/>
            </w:pPr>
            <w:r w:rsidRPr="00ED650E">
              <w:rPr>
                <w:szCs w:val="20"/>
              </w:rPr>
              <w:t>-$</w:t>
            </w:r>
            <w:r w:rsidR="001172C3" w:rsidRPr="001172C3">
              <w:rPr>
                <w:color w:val="000000"/>
                <w:spacing w:val="213"/>
                <w:szCs w:val="20"/>
                <w:shd w:val="solid" w:color="000000" w:fill="000000"/>
                <w:fitText w:val="299" w:id="-1234435067"/>
                <w14:textFill>
                  <w14:solidFill>
                    <w14:srgbClr w14:val="000000">
                      <w14:alpha w14:val="100000"/>
                    </w14:srgbClr>
                  </w14:solidFill>
                </w14:textFill>
              </w:rPr>
              <w:t>|</w:t>
            </w:r>
            <w:r w:rsidR="001172C3" w:rsidRPr="001172C3">
              <w:rPr>
                <w:color w:val="000000"/>
                <w:spacing w:val="1"/>
                <w:szCs w:val="20"/>
                <w:shd w:val="solid" w:color="000000" w:fill="000000"/>
                <w:fitText w:val="299" w:id="-1234435067"/>
                <w14:textFill>
                  <w14:solidFill>
                    <w14:srgbClr w14:val="000000">
                      <w14:alpha w14:val="100000"/>
                    </w14:srgbClr>
                  </w14:solidFill>
                </w14:textFill>
              </w:rPr>
              <w:t>|</w:t>
            </w:r>
            <w:r w:rsidR="00E3749D">
              <w:t xml:space="preserve"> </w:t>
            </w:r>
            <w:r w:rsidR="00E3749D">
              <w:rPr>
                <w:vertAlign w:val="superscript"/>
              </w:rPr>
              <w:t>3</w:t>
            </w:r>
          </w:p>
        </w:tc>
        <w:tc>
          <w:tcPr>
            <w:tcW w:w="550" w:type="pct"/>
            <w:shd w:val="clear" w:color="auto" w:fill="auto"/>
            <w:vAlign w:val="bottom"/>
          </w:tcPr>
          <w:p w14:paraId="63A676B6" w14:textId="7547D56D" w:rsidR="00375C4E" w:rsidRPr="003639A6" w:rsidRDefault="00375C4E" w:rsidP="00375C4E">
            <w:pPr>
              <w:pStyle w:val="TableText0"/>
              <w:jc w:val="center"/>
            </w:pPr>
            <w:r w:rsidRPr="00ED650E">
              <w:rPr>
                <w:szCs w:val="20"/>
              </w:rPr>
              <w:t>-$</w:t>
            </w:r>
            <w:r w:rsidR="001172C3" w:rsidRPr="001172C3">
              <w:rPr>
                <w:color w:val="000000"/>
                <w:spacing w:val="66"/>
                <w:szCs w:val="20"/>
                <w:shd w:val="solid" w:color="000000" w:fill="000000"/>
                <w:fitText w:val="369" w:id="-1234435066"/>
                <w14:textFill>
                  <w14:solidFill>
                    <w14:srgbClr w14:val="000000">
                      <w14:alpha w14:val="100000"/>
                    </w14:srgbClr>
                  </w14:solidFill>
                </w14:textFill>
              </w:rPr>
              <w:t>|||</w:t>
            </w:r>
            <w:r w:rsidR="001172C3" w:rsidRPr="001172C3">
              <w:rPr>
                <w:color w:val="000000"/>
                <w:spacing w:val="1"/>
                <w:szCs w:val="20"/>
                <w:shd w:val="solid" w:color="000000" w:fill="000000"/>
                <w:fitText w:val="369" w:id="-1234435066"/>
                <w14:textFill>
                  <w14:solidFill>
                    <w14:srgbClr w14:val="000000">
                      <w14:alpha w14:val="100000"/>
                    </w14:srgbClr>
                  </w14:solidFill>
                </w14:textFill>
              </w:rPr>
              <w:t>|</w:t>
            </w:r>
            <w:r w:rsidR="00E3749D">
              <w:t xml:space="preserve"> </w:t>
            </w:r>
            <w:r w:rsidR="00E3749D">
              <w:rPr>
                <w:vertAlign w:val="superscript"/>
              </w:rPr>
              <w:t>3</w:t>
            </w:r>
          </w:p>
        </w:tc>
        <w:tc>
          <w:tcPr>
            <w:tcW w:w="629" w:type="pct"/>
            <w:shd w:val="clear" w:color="auto" w:fill="auto"/>
            <w:vAlign w:val="bottom"/>
          </w:tcPr>
          <w:p w14:paraId="0424FD23" w14:textId="482D3816" w:rsidR="00375C4E" w:rsidRPr="003639A6" w:rsidRDefault="00375C4E" w:rsidP="00375C4E">
            <w:pPr>
              <w:pStyle w:val="TableText0"/>
              <w:jc w:val="center"/>
            </w:pPr>
            <w:r w:rsidRPr="00ED650E">
              <w:rPr>
                <w:szCs w:val="20"/>
              </w:rPr>
              <w:t>-$</w:t>
            </w:r>
            <w:r w:rsidR="001172C3" w:rsidRPr="001172C3">
              <w:rPr>
                <w:color w:val="000000"/>
                <w:spacing w:val="214"/>
                <w:szCs w:val="20"/>
                <w:shd w:val="solid" w:color="000000" w:fill="000000"/>
                <w:fitText w:val="300" w:id="-1234435065"/>
                <w14:textFill>
                  <w14:solidFill>
                    <w14:srgbClr w14:val="000000">
                      <w14:alpha w14:val="100000"/>
                    </w14:srgbClr>
                  </w14:solidFill>
                </w14:textFill>
              </w:rPr>
              <w:t>|</w:t>
            </w:r>
            <w:r w:rsidR="001172C3" w:rsidRPr="001172C3">
              <w:rPr>
                <w:color w:val="000000"/>
                <w:spacing w:val="1"/>
                <w:szCs w:val="20"/>
                <w:shd w:val="solid" w:color="000000" w:fill="000000"/>
                <w:fitText w:val="300" w:id="-1234435065"/>
                <w14:textFill>
                  <w14:solidFill>
                    <w14:srgbClr w14:val="000000">
                      <w14:alpha w14:val="100000"/>
                    </w14:srgbClr>
                  </w14:solidFill>
                </w14:textFill>
              </w:rPr>
              <w:t>|</w:t>
            </w:r>
            <w:r w:rsidR="00E3749D">
              <w:t xml:space="preserve"> </w:t>
            </w:r>
            <w:r w:rsidR="00E3749D">
              <w:rPr>
                <w:vertAlign w:val="superscript"/>
              </w:rPr>
              <w:t>3</w:t>
            </w:r>
          </w:p>
        </w:tc>
        <w:tc>
          <w:tcPr>
            <w:tcW w:w="637" w:type="pct"/>
            <w:gridSpan w:val="2"/>
            <w:shd w:val="clear" w:color="auto" w:fill="auto"/>
            <w:vAlign w:val="bottom"/>
          </w:tcPr>
          <w:p w14:paraId="1A0FD31A" w14:textId="779EE506" w:rsidR="00375C4E" w:rsidRPr="003639A6" w:rsidRDefault="00375C4E" w:rsidP="00375C4E">
            <w:pPr>
              <w:pStyle w:val="TableText0"/>
              <w:jc w:val="center"/>
            </w:pPr>
            <w:r w:rsidRPr="00ED650E">
              <w:rPr>
                <w:szCs w:val="20"/>
              </w:rPr>
              <w:t>-$</w:t>
            </w:r>
            <w:r w:rsidR="001172C3" w:rsidRPr="001172C3">
              <w:rPr>
                <w:color w:val="000000"/>
                <w:spacing w:val="202"/>
                <w:szCs w:val="20"/>
                <w:shd w:val="solid" w:color="000000" w:fill="000000"/>
                <w:fitText w:val="288" w:id="-1234435064"/>
                <w14:textFill>
                  <w14:solidFill>
                    <w14:srgbClr w14:val="000000">
                      <w14:alpha w14:val="100000"/>
                    </w14:srgbClr>
                  </w14:solidFill>
                </w14:textFill>
              </w:rPr>
              <w:t>|</w:t>
            </w:r>
            <w:r w:rsidR="001172C3" w:rsidRPr="001172C3">
              <w:rPr>
                <w:color w:val="000000"/>
                <w:spacing w:val="1"/>
                <w:szCs w:val="20"/>
                <w:shd w:val="solid" w:color="000000" w:fill="000000"/>
                <w:fitText w:val="288" w:id="-1234435064"/>
                <w14:textFill>
                  <w14:solidFill>
                    <w14:srgbClr w14:val="000000">
                      <w14:alpha w14:val="100000"/>
                    </w14:srgbClr>
                  </w14:solidFill>
                </w14:textFill>
              </w:rPr>
              <w:t>|</w:t>
            </w:r>
            <w:r w:rsidR="00E3749D">
              <w:t xml:space="preserve"> </w:t>
            </w:r>
            <w:r w:rsidR="00E3749D">
              <w:rPr>
                <w:vertAlign w:val="superscript"/>
              </w:rPr>
              <w:t>3</w:t>
            </w:r>
          </w:p>
        </w:tc>
        <w:tc>
          <w:tcPr>
            <w:tcW w:w="611" w:type="pct"/>
            <w:shd w:val="clear" w:color="auto" w:fill="auto"/>
            <w:vAlign w:val="bottom"/>
          </w:tcPr>
          <w:p w14:paraId="6C224670" w14:textId="4695D08F" w:rsidR="00375C4E" w:rsidRPr="003639A6" w:rsidRDefault="00375C4E" w:rsidP="00375C4E">
            <w:pPr>
              <w:pStyle w:val="TableText0"/>
              <w:jc w:val="center"/>
            </w:pPr>
            <w:r w:rsidRPr="00ED650E">
              <w:rPr>
                <w:szCs w:val="20"/>
              </w:rPr>
              <w:t>-$</w:t>
            </w:r>
            <w:r w:rsidR="001172C3" w:rsidRPr="001172C3">
              <w:rPr>
                <w:color w:val="000000"/>
                <w:spacing w:val="46"/>
                <w:szCs w:val="20"/>
                <w:shd w:val="solid" w:color="000000" w:fill="000000"/>
                <w:fitText w:val="311" w:id="-1234435063"/>
                <w14:textFill>
                  <w14:solidFill>
                    <w14:srgbClr w14:val="000000">
                      <w14:alpha w14:val="100000"/>
                    </w14:srgbClr>
                  </w14:solidFill>
                </w14:textFill>
              </w:rPr>
              <w:t>|||</w:t>
            </w:r>
            <w:r w:rsidR="001172C3" w:rsidRPr="001172C3">
              <w:rPr>
                <w:color w:val="000000"/>
                <w:spacing w:val="3"/>
                <w:szCs w:val="20"/>
                <w:shd w:val="solid" w:color="000000" w:fill="000000"/>
                <w:fitText w:val="311" w:id="-1234435063"/>
                <w14:textFill>
                  <w14:solidFill>
                    <w14:srgbClr w14:val="000000">
                      <w14:alpha w14:val="100000"/>
                    </w14:srgbClr>
                  </w14:solidFill>
                </w14:textFill>
              </w:rPr>
              <w:t>|</w:t>
            </w:r>
            <w:r w:rsidR="00E3749D">
              <w:t xml:space="preserve"> </w:t>
            </w:r>
            <w:r w:rsidR="00E3749D">
              <w:rPr>
                <w:vertAlign w:val="superscript"/>
              </w:rPr>
              <w:t>3</w:t>
            </w:r>
          </w:p>
        </w:tc>
        <w:tc>
          <w:tcPr>
            <w:tcW w:w="608" w:type="pct"/>
            <w:gridSpan w:val="2"/>
            <w:vAlign w:val="bottom"/>
          </w:tcPr>
          <w:p w14:paraId="79F52727" w14:textId="7842B7AC" w:rsidR="00375C4E" w:rsidRPr="003639A6" w:rsidRDefault="00375C4E" w:rsidP="00375C4E">
            <w:pPr>
              <w:pStyle w:val="TableText0"/>
              <w:jc w:val="center"/>
            </w:pPr>
            <w:r w:rsidRPr="00ED650E">
              <w:rPr>
                <w:szCs w:val="20"/>
              </w:rPr>
              <w:t>-$</w:t>
            </w:r>
            <w:r w:rsidR="001172C3" w:rsidRPr="001172C3">
              <w:rPr>
                <w:color w:val="000000"/>
                <w:spacing w:val="46"/>
                <w:szCs w:val="20"/>
                <w:shd w:val="solid" w:color="000000" w:fill="000000"/>
                <w:fitText w:val="311" w:id="-1234435062"/>
                <w14:textFill>
                  <w14:solidFill>
                    <w14:srgbClr w14:val="000000">
                      <w14:alpha w14:val="100000"/>
                    </w14:srgbClr>
                  </w14:solidFill>
                </w14:textFill>
              </w:rPr>
              <w:t>|||</w:t>
            </w:r>
            <w:r w:rsidR="001172C3" w:rsidRPr="001172C3">
              <w:rPr>
                <w:color w:val="000000"/>
                <w:spacing w:val="3"/>
                <w:szCs w:val="20"/>
                <w:shd w:val="solid" w:color="000000" w:fill="000000"/>
                <w:fitText w:val="311" w:id="-1234435062"/>
                <w14:textFill>
                  <w14:solidFill>
                    <w14:srgbClr w14:val="000000">
                      <w14:alpha w14:val="100000"/>
                    </w14:srgbClr>
                  </w14:solidFill>
                </w14:textFill>
              </w:rPr>
              <w:t>|</w:t>
            </w:r>
            <w:r w:rsidR="00E3749D">
              <w:t xml:space="preserve"> </w:t>
            </w:r>
            <w:r w:rsidR="00E3749D">
              <w:rPr>
                <w:vertAlign w:val="superscript"/>
              </w:rPr>
              <w:t>3</w:t>
            </w:r>
          </w:p>
        </w:tc>
      </w:tr>
      <w:tr w:rsidR="00ED650E" w:rsidRPr="00FC22AB" w14:paraId="7274ED3B" w14:textId="77777777" w:rsidTr="00970F85">
        <w:tc>
          <w:tcPr>
            <w:tcW w:w="5000" w:type="pct"/>
            <w:gridSpan w:val="9"/>
            <w:shd w:val="clear" w:color="auto" w:fill="auto"/>
            <w:vAlign w:val="center"/>
          </w:tcPr>
          <w:p w14:paraId="133EFCCD" w14:textId="77777777" w:rsidR="00ED650E" w:rsidRPr="00FC22AB" w:rsidRDefault="00ED650E" w:rsidP="00ED650E">
            <w:pPr>
              <w:pStyle w:val="In-tableHeading"/>
            </w:pPr>
            <w:r w:rsidRPr="00FC22AB">
              <w:t>Net financial implications</w:t>
            </w:r>
            <w:r w:rsidRPr="00FC22AB">
              <w:rPr>
                <w:color w:val="4BACC6" w:themeColor="accent5"/>
              </w:rPr>
              <w:t xml:space="preserve"> </w:t>
            </w:r>
          </w:p>
        </w:tc>
      </w:tr>
      <w:tr w:rsidR="00375C4E" w:rsidRPr="003639A6" w14:paraId="1A7B1F51" w14:textId="77777777" w:rsidTr="009B5291">
        <w:tc>
          <w:tcPr>
            <w:tcW w:w="1336" w:type="pct"/>
            <w:shd w:val="clear" w:color="auto" w:fill="auto"/>
            <w:vAlign w:val="center"/>
          </w:tcPr>
          <w:p w14:paraId="0ABDE972" w14:textId="77777777" w:rsidR="00375C4E" w:rsidRDefault="00375C4E" w:rsidP="00375C4E">
            <w:pPr>
              <w:pStyle w:val="TableText0"/>
              <w:rPr>
                <w:sz w:val="19"/>
                <w:szCs w:val="19"/>
              </w:rPr>
            </w:pPr>
            <w:r>
              <w:rPr>
                <w:sz w:val="19"/>
                <w:szCs w:val="19"/>
              </w:rPr>
              <w:t>Net cost to PBS/RPBS</w:t>
            </w:r>
          </w:p>
        </w:tc>
        <w:tc>
          <w:tcPr>
            <w:tcW w:w="629" w:type="pct"/>
            <w:shd w:val="clear" w:color="auto" w:fill="auto"/>
          </w:tcPr>
          <w:p w14:paraId="32B17B61" w14:textId="0CF204A8" w:rsidR="00375C4E" w:rsidRPr="003639A6" w:rsidRDefault="00375C4E" w:rsidP="00375C4E">
            <w:pPr>
              <w:pStyle w:val="TableText0"/>
              <w:jc w:val="center"/>
            </w:pPr>
            <w:r w:rsidRPr="005B6F47">
              <w:t>$</w:t>
            </w:r>
            <w:r w:rsidR="001172C3" w:rsidRPr="001172C3">
              <w:rPr>
                <w:color w:val="000000"/>
                <w:spacing w:val="179"/>
                <w:shd w:val="solid" w:color="000000" w:fill="000000"/>
                <w:fitText w:val="265" w:id="-1234435061"/>
                <w14:textFill>
                  <w14:solidFill>
                    <w14:srgbClr w14:val="000000">
                      <w14:alpha w14:val="100000"/>
                    </w14:srgbClr>
                  </w14:solidFill>
                </w14:textFill>
              </w:rPr>
              <w:t>|</w:t>
            </w:r>
            <w:r w:rsidR="001172C3" w:rsidRPr="001172C3">
              <w:rPr>
                <w:color w:val="000000"/>
                <w:spacing w:val="1"/>
                <w:shd w:val="solid" w:color="000000" w:fill="000000"/>
                <w:fitText w:val="265" w:id="-1234435061"/>
                <w14:textFill>
                  <w14:solidFill>
                    <w14:srgbClr w14:val="000000">
                      <w14:alpha w14:val="100000"/>
                    </w14:srgbClr>
                  </w14:solidFill>
                </w14:textFill>
              </w:rPr>
              <w:t>|</w:t>
            </w:r>
            <w:r w:rsidR="00E3749D">
              <w:t xml:space="preserve"> </w:t>
            </w:r>
            <w:r w:rsidR="00E3749D">
              <w:rPr>
                <w:vertAlign w:val="superscript"/>
              </w:rPr>
              <w:t>2</w:t>
            </w:r>
          </w:p>
        </w:tc>
        <w:tc>
          <w:tcPr>
            <w:tcW w:w="550" w:type="pct"/>
            <w:shd w:val="clear" w:color="auto" w:fill="auto"/>
          </w:tcPr>
          <w:p w14:paraId="5DD6FE38" w14:textId="5F9A9B1D" w:rsidR="00375C4E" w:rsidRPr="003639A6" w:rsidRDefault="00375C4E" w:rsidP="00375C4E">
            <w:pPr>
              <w:pStyle w:val="TableText0"/>
              <w:jc w:val="center"/>
            </w:pPr>
            <w:r w:rsidRPr="005B6F47">
              <w:t>$</w:t>
            </w:r>
            <w:r w:rsidR="001172C3" w:rsidRPr="001172C3">
              <w:rPr>
                <w:color w:val="000000"/>
                <w:spacing w:val="58"/>
                <w:shd w:val="solid" w:color="000000" w:fill="000000"/>
                <w:fitText w:val="346" w:id="-1234435060"/>
                <w14:textFill>
                  <w14:solidFill>
                    <w14:srgbClr w14:val="000000">
                      <w14:alpha w14:val="100000"/>
                    </w14:srgbClr>
                  </w14:solidFill>
                </w14:textFill>
              </w:rPr>
              <w:t>|||</w:t>
            </w:r>
            <w:r w:rsidR="001172C3" w:rsidRPr="001172C3">
              <w:rPr>
                <w:color w:val="000000"/>
                <w:spacing w:val="2"/>
                <w:shd w:val="solid" w:color="000000" w:fill="000000"/>
                <w:fitText w:val="346" w:id="-1234435060"/>
                <w14:textFill>
                  <w14:solidFill>
                    <w14:srgbClr w14:val="000000">
                      <w14:alpha w14:val="100000"/>
                    </w14:srgbClr>
                  </w14:solidFill>
                </w14:textFill>
              </w:rPr>
              <w:t>|</w:t>
            </w:r>
            <w:r w:rsidR="00E3749D">
              <w:t xml:space="preserve"> </w:t>
            </w:r>
            <w:r w:rsidR="00E3749D">
              <w:rPr>
                <w:vertAlign w:val="superscript"/>
              </w:rPr>
              <w:t>2</w:t>
            </w:r>
          </w:p>
        </w:tc>
        <w:tc>
          <w:tcPr>
            <w:tcW w:w="629" w:type="pct"/>
            <w:shd w:val="clear" w:color="auto" w:fill="auto"/>
          </w:tcPr>
          <w:p w14:paraId="1BE39D36" w14:textId="3A338B90" w:rsidR="00375C4E" w:rsidRPr="003639A6" w:rsidRDefault="00375C4E" w:rsidP="00375C4E">
            <w:pPr>
              <w:pStyle w:val="TableText0"/>
              <w:jc w:val="center"/>
            </w:pPr>
            <w:r w:rsidRPr="005B6F47">
              <w:t>$</w:t>
            </w:r>
            <w:r w:rsidR="001172C3" w:rsidRPr="001172C3">
              <w:rPr>
                <w:color w:val="000000"/>
                <w:spacing w:val="179"/>
                <w:shd w:val="solid" w:color="000000" w:fill="000000"/>
                <w:fitText w:val="265" w:id="-1234435059"/>
                <w14:textFill>
                  <w14:solidFill>
                    <w14:srgbClr w14:val="000000">
                      <w14:alpha w14:val="100000"/>
                    </w14:srgbClr>
                  </w14:solidFill>
                </w14:textFill>
              </w:rPr>
              <w:t>|</w:t>
            </w:r>
            <w:r w:rsidR="001172C3" w:rsidRPr="001172C3">
              <w:rPr>
                <w:color w:val="000000"/>
                <w:spacing w:val="1"/>
                <w:shd w:val="solid" w:color="000000" w:fill="000000"/>
                <w:fitText w:val="265" w:id="-1234435059"/>
                <w14:textFill>
                  <w14:solidFill>
                    <w14:srgbClr w14:val="000000">
                      <w14:alpha w14:val="100000"/>
                    </w14:srgbClr>
                  </w14:solidFill>
                </w14:textFill>
              </w:rPr>
              <w:t>|</w:t>
            </w:r>
            <w:r w:rsidR="00E3749D">
              <w:t xml:space="preserve"> </w:t>
            </w:r>
            <w:r w:rsidR="00E3749D">
              <w:rPr>
                <w:vertAlign w:val="superscript"/>
              </w:rPr>
              <w:t>2</w:t>
            </w:r>
          </w:p>
        </w:tc>
        <w:tc>
          <w:tcPr>
            <w:tcW w:w="637" w:type="pct"/>
            <w:gridSpan w:val="2"/>
            <w:shd w:val="clear" w:color="auto" w:fill="auto"/>
          </w:tcPr>
          <w:p w14:paraId="0612E58E" w14:textId="6F5C66DE" w:rsidR="00375C4E" w:rsidRPr="003639A6" w:rsidRDefault="00375C4E" w:rsidP="00375C4E">
            <w:pPr>
              <w:pStyle w:val="TableText0"/>
              <w:jc w:val="center"/>
            </w:pPr>
            <w:r w:rsidRPr="005B6F47">
              <w:t>$</w:t>
            </w:r>
            <w:r w:rsidR="001172C3" w:rsidRPr="001172C3">
              <w:rPr>
                <w:color w:val="000000"/>
                <w:spacing w:val="179"/>
                <w:shd w:val="solid" w:color="000000" w:fill="000000"/>
                <w:fitText w:val="265" w:id="-1234435058"/>
                <w14:textFill>
                  <w14:solidFill>
                    <w14:srgbClr w14:val="000000">
                      <w14:alpha w14:val="100000"/>
                    </w14:srgbClr>
                  </w14:solidFill>
                </w14:textFill>
              </w:rPr>
              <w:t>|</w:t>
            </w:r>
            <w:r w:rsidR="001172C3" w:rsidRPr="001172C3">
              <w:rPr>
                <w:color w:val="000000"/>
                <w:spacing w:val="1"/>
                <w:shd w:val="solid" w:color="000000" w:fill="000000"/>
                <w:fitText w:val="265" w:id="-1234435058"/>
                <w14:textFill>
                  <w14:solidFill>
                    <w14:srgbClr w14:val="000000">
                      <w14:alpha w14:val="100000"/>
                    </w14:srgbClr>
                  </w14:solidFill>
                </w14:textFill>
              </w:rPr>
              <w:t>|</w:t>
            </w:r>
            <w:r w:rsidR="00E3749D">
              <w:t xml:space="preserve"> </w:t>
            </w:r>
            <w:r w:rsidR="00E3749D">
              <w:rPr>
                <w:vertAlign w:val="superscript"/>
              </w:rPr>
              <w:t>2</w:t>
            </w:r>
          </w:p>
        </w:tc>
        <w:tc>
          <w:tcPr>
            <w:tcW w:w="611" w:type="pct"/>
            <w:shd w:val="clear" w:color="auto" w:fill="auto"/>
          </w:tcPr>
          <w:p w14:paraId="1DFD3043" w14:textId="7FAC0D9D" w:rsidR="00375C4E" w:rsidRPr="003639A6" w:rsidRDefault="00375C4E" w:rsidP="00375C4E">
            <w:pPr>
              <w:pStyle w:val="TableText0"/>
              <w:jc w:val="center"/>
            </w:pPr>
            <w:r w:rsidRPr="005B6F47">
              <w:t>$</w:t>
            </w:r>
            <w:r w:rsidR="001172C3" w:rsidRPr="001172C3">
              <w:rPr>
                <w:color w:val="000000"/>
                <w:spacing w:val="202"/>
                <w:shd w:val="solid" w:color="000000" w:fill="000000"/>
                <w:fitText w:val="288" w:id="-1234435057"/>
                <w14:textFill>
                  <w14:solidFill>
                    <w14:srgbClr w14:val="000000">
                      <w14:alpha w14:val="100000"/>
                    </w14:srgbClr>
                  </w14:solidFill>
                </w14:textFill>
              </w:rPr>
              <w:t>|</w:t>
            </w:r>
            <w:r w:rsidR="001172C3" w:rsidRPr="001172C3">
              <w:rPr>
                <w:color w:val="000000"/>
                <w:spacing w:val="1"/>
                <w:shd w:val="solid" w:color="000000" w:fill="000000"/>
                <w:fitText w:val="288" w:id="-1234435057"/>
                <w14:textFill>
                  <w14:solidFill>
                    <w14:srgbClr w14:val="000000">
                      <w14:alpha w14:val="100000"/>
                    </w14:srgbClr>
                  </w14:solidFill>
                </w14:textFill>
              </w:rPr>
              <w:t>|</w:t>
            </w:r>
            <w:r w:rsidR="00E3749D">
              <w:t xml:space="preserve"> </w:t>
            </w:r>
            <w:r w:rsidR="00E3749D">
              <w:rPr>
                <w:vertAlign w:val="superscript"/>
              </w:rPr>
              <w:t>2</w:t>
            </w:r>
          </w:p>
        </w:tc>
        <w:tc>
          <w:tcPr>
            <w:tcW w:w="608" w:type="pct"/>
            <w:gridSpan w:val="2"/>
          </w:tcPr>
          <w:p w14:paraId="15312C3F" w14:textId="7A2453B1" w:rsidR="00375C4E" w:rsidRPr="003639A6" w:rsidRDefault="00375C4E" w:rsidP="00375C4E">
            <w:pPr>
              <w:pStyle w:val="TableText0"/>
              <w:jc w:val="center"/>
            </w:pPr>
            <w:r w:rsidRPr="005B6F47">
              <w:t>$</w:t>
            </w:r>
            <w:r w:rsidR="001172C3" w:rsidRPr="001172C3">
              <w:rPr>
                <w:color w:val="000000"/>
                <w:spacing w:val="202"/>
                <w:shd w:val="solid" w:color="000000" w:fill="000000"/>
                <w:fitText w:val="288" w:id="-1234435056"/>
                <w14:textFill>
                  <w14:solidFill>
                    <w14:srgbClr w14:val="000000">
                      <w14:alpha w14:val="100000"/>
                    </w14:srgbClr>
                  </w14:solidFill>
                </w14:textFill>
              </w:rPr>
              <w:t>|</w:t>
            </w:r>
            <w:r w:rsidR="001172C3" w:rsidRPr="001172C3">
              <w:rPr>
                <w:color w:val="000000"/>
                <w:spacing w:val="1"/>
                <w:shd w:val="solid" w:color="000000" w:fill="000000"/>
                <w:fitText w:val="288" w:id="-1234435056"/>
                <w14:textFill>
                  <w14:solidFill>
                    <w14:srgbClr w14:val="000000">
                      <w14:alpha w14:val="100000"/>
                    </w14:srgbClr>
                  </w14:solidFill>
                </w14:textFill>
              </w:rPr>
              <w:t>|</w:t>
            </w:r>
            <w:r w:rsidR="00E3749D">
              <w:t xml:space="preserve"> </w:t>
            </w:r>
            <w:r w:rsidR="00E3749D">
              <w:rPr>
                <w:vertAlign w:val="superscript"/>
              </w:rPr>
              <w:t>2</w:t>
            </w:r>
          </w:p>
        </w:tc>
      </w:tr>
      <w:tr w:rsidR="00375C4E" w:rsidRPr="003639A6" w14:paraId="23CD7471" w14:textId="77777777" w:rsidTr="00152D7A">
        <w:tc>
          <w:tcPr>
            <w:tcW w:w="1336" w:type="pct"/>
            <w:shd w:val="clear" w:color="auto" w:fill="auto"/>
            <w:vAlign w:val="center"/>
          </w:tcPr>
          <w:p w14:paraId="006D2346" w14:textId="77777777" w:rsidR="00375C4E" w:rsidRPr="003639A6" w:rsidRDefault="00375C4E" w:rsidP="00375C4E">
            <w:pPr>
              <w:pStyle w:val="TableText0"/>
              <w:rPr>
                <w:rFonts w:ascii="Times" w:hAnsi="Times"/>
              </w:rPr>
            </w:pPr>
            <w:r>
              <w:rPr>
                <w:sz w:val="19"/>
                <w:szCs w:val="19"/>
              </w:rPr>
              <w:t>Net cost to</w:t>
            </w:r>
            <w:r w:rsidRPr="003639A6">
              <w:rPr>
                <w:sz w:val="19"/>
                <w:szCs w:val="19"/>
              </w:rPr>
              <w:t xml:space="preserve"> MBS</w:t>
            </w:r>
          </w:p>
        </w:tc>
        <w:tc>
          <w:tcPr>
            <w:tcW w:w="629" w:type="pct"/>
            <w:shd w:val="clear" w:color="auto" w:fill="auto"/>
          </w:tcPr>
          <w:p w14:paraId="75EED46C" w14:textId="4433856B" w:rsidR="00375C4E" w:rsidRPr="003639A6" w:rsidRDefault="00375C4E" w:rsidP="00375C4E">
            <w:pPr>
              <w:pStyle w:val="TableText0"/>
              <w:jc w:val="center"/>
            </w:pPr>
            <w:r w:rsidRPr="00FE09FE">
              <w:t>-$</w:t>
            </w:r>
            <w:r w:rsidR="001172C3" w:rsidRPr="001172C3">
              <w:rPr>
                <w:color w:val="000000"/>
                <w:spacing w:val="213"/>
                <w:shd w:val="solid" w:color="000000" w:fill="000000"/>
                <w:fitText w:val="299" w:id="-1234435072"/>
                <w14:textFill>
                  <w14:solidFill>
                    <w14:srgbClr w14:val="000000">
                      <w14:alpha w14:val="100000"/>
                    </w14:srgbClr>
                  </w14:solidFill>
                </w14:textFill>
              </w:rPr>
              <w:t>|</w:t>
            </w:r>
            <w:r w:rsidR="001172C3" w:rsidRPr="001172C3">
              <w:rPr>
                <w:color w:val="000000"/>
                <w:spacing w:val="1"/>
                <w:shd w:val="solid" w:color="000000" w:fill="000000"/>
                <w:fitText w:val="299" w:id="-1234435072"/>
                <w14:textFill>
                  <w14:solidFill>
                    <w14:srgbClr w14:val="000000">
                      <w14:alpha w14:val="100000"/>
                    </w14:srgbClr>
                  </w14:solidFill>
                </w14:textFill>
              </w:rPr>
              <w:t>|</w:t>
            </w:r>
            <w:r w:rsidR="00E3749D">
              <w:t xml:space="preserve"> </w:t>
            </w:r>
            <w:r w:rsidR="00E3749D">
              <w:rPr>
                <w:vertAlign w:val="superscript"/>
              </w:rPr>
              <w:t>3</w:t>
            </w:r>
          </w:p>
        </w:tc>
        <w:tc>
          <w:tcPr>
            <w:tcW w:w="550" w:type="pct"/>
            <w:shd w:val="clear" w:color="auto" w:fill="auto"/>
          </w:tcPr>
          <w:p w14:paraId="66582294" w14:textId="323853ED" w:rsidR="00375C4E" w:rsidRPr="003639A6" w:rsidRDefault="00375C4E" w:rsidP="00375C4E">
            <w:pPr>
              <w:pStyle w:val="TableText0"/>
              <w:jc w:val="center"/>
            </w:pPr>
            <w:r w:rsidRPr="00FE09FE">
              <w:t>-$</w:t>
            </w:r>
            <w:r w:rsidR="001172C3" w:rsidRPr="001172C3">
              <w:rPr>
                <w:color w:val="000000"/>
                <w:spacing w:val="66"/>
                <w:shd w:val="solid" w:color="000000" w:fill="000000"/>
                <w:fitText w:val="369" w:id="-1234435071"/>
                <w14:textFill>
                  <w14:solidFill>
                    <w14:srgbClr w14:val="000000">
                      <w14:alpha w14:val="100000"/>
                    </w14:srgbClr>
                  </w14:solidFill>
                </w14:textFill>
              </w:rPr>
              <w:t>|||</w:t>
            </w:r>
            <w:r w:rsidR="001172C3" w:rsidRPr="001172C3">
              <w:rPr>
                <w:color w:val="000000"/>
                <w:spacing w:val="1"/>
                <w:shd w:val="solid" w:color="000000" w:fill="000000"/>
                <w:fitText w:val="369" w:id="-1234435071"/>
                <w14:textFill>
                  <w14:solidFill>
                    <w14:srgbClr w14:val="000000">
                      <w14:alpha w14:val="100000"/>
                    </w14:srgbClr>
                  </w14:solidFill>
                </w14:textFill>
              </w:rPr>
              <w:t>|</w:t>
            </w:r>
            <w:r w:rsidR="00E3749D">
              <w:t xml:space="preserve"> </w:t>
            </w:r>
            <w:r w:rsidR="00E3749D">
              <w:rPr>
                <w:vertAlign w:val="superscript"/>
              </w:rPr>
              <w:t>3</w:t>
            </w:r>
          </w:p>
        </w:tc>
        <w:tc>
          <w:tcPr>
            <w:tcW w:w="629" w:type="pct"/>
            <w:shd w:val="clear" w:color="auto" w:fill="auto"/>
          </w:tcPr>
          <w:p w14:paraId="5E3369FF" w14:textId="2F72C889" w:rsidR="00375C4E" w:rsidRPr="003639A6" w:rsidRDefault="00375C4E" w:rsidP="00375C4E">
            <w:pPr>
              <w:pStyle w:val="TableText0"/>
              <w:jc w:val="center"/>
            </w:pPr>
            <w:r w:rsidRPr="00FE09FE">
              <w:t>-$</w:t>
            </w:r>
            <w:r w:rsidR="001172C3" w:rsidRPr="001172C3">
              <w:rPr>
                <w:color w:val="000000"/>
                <w:spacing w:val="214"/>
                <w:shd w:val="solid" w:color="000000" w:fill="000000"/>
                <w:fitText w:val="300" w:id="-1234435070"/>
                <w14:textFill>
                  <w14:solidFill>
                    <w14:srgbClr w14:val="000000">
                      <w14:alpha w14:val="100000"/>
                    </w14:srgbClr>
                  </w14:solidFill>
                </w14:textFill>
              </w:rPr>
              <w:t>|</w:t>
            </w:r>
            <w:r w:rsidR="001172C3" w:rsidRPr="001172C3">
              <w:rPr>
                <w:color w:val="000000"/>
                <w:spacing w:val="1"/>
                <w:shd w:val="solid" w:color="000000" w:fill="000000"/>
                <w:fitText w:val="300" w:id="-1234435070"/>
                <w14:textFill>
                  <w14:solidFill>
                    <w14:srgbClr w14:val="000000">
                      <w14:alpha w14:val="100000"/>
                    </w14:srgbClr>
                  </w14:solidFill>
                </w14:textFill>
              </w:rPr>
              <w:t>|</w:t>
            </w:r>
            <w:r w:rsidR="00E3749D">
              <w:t xml:space="preserve"> </w:t>
            </w:r>
            <w:r w:rsidR="00E3749D">
              <w:rPr>
                <w:vertAlign w:val="superscript"/>
              </w:rPr>
              <w:t>3</w:t>
            </w:r>
          </w:p>
        </w:tc>
        <w:tc>
          <w:tcPr>
            <w:tcW w:w="637" w:type="pct"/>
            <w:gridSpan w:val="2"/>
            <w:shd w:val="clear" w:color="auto" w:fill="auto"/>
          </w:tcPr>
          <w:p w14:paraId="75763A7E" w14:textId="58102197" w:rsidR="00375C4E" w:rsidRPr="003639A6" w:rsidRDefault="00375C4E" w:rsidP="00375C4E">
            <w:pPr>
              <w:pStyle w:val="TableText0"/>
              <w:jc w:val="center"/>
            </w:pPr>
            <w:r w:rsidRPr="00FE09FE">
              <w:t>-$</w:t>
            </w:r>
            <w:r w:rsidR="001172C3" w:rsidRPr="001172C3">
              <w:rPr>
                <w:color w:val="000000"/>
                <w:spacing w:val="202"/>
                <w:shd w:val="solid" w:color="000000" w:fill="000000"/>
                <w:fitText w:val="288" w:id="-1234435069"/>
                <w14:textFill>
                  <w14:solidFill>
                    <w14:srgbClr w14:val="000000">
                      <w14:alpha w14:val="100000"/>
                    </w14:srgbClr>
                  </w14:solidFill>
                </w14:textFill>
              </w:rPr>
              <w:t>|</w:t>
            </w:r>
            <w:r w:rsidR="001172C3" w:rsidRPr="001172C3">
              <w:rPr>
                <w:color w:val="000000"/>
                <w:spacing w:val="1"/>
                <w:shd w:val="solid" w:color="000000" w:fill="000000"/>
                <w:fitText w:val="288" w:id="-1234435069"/>
                <w14:textFill>
                  <w14:solidFill>
                    <w14:srgbClr w14:val="000000">
                      <w14:alpha w14:val="100000"/>
                    </w14:srgbClr>
                  </w14:solidFill>
                </w14:textFill>
              </w:rPr>
              <w:t>|</w:t>
            </w:r>
            <w:r w:rsidR="00E3749D">
              <w:t xml:space="preserve"> </w:t>
            </w:r>
            <w:r w:rsidR="00E3749D">
              <w:rPr>
                <w:vertAlign w:val="superscript"/>
              </w:rPr>
              <w:t>3</w:t>
            </w:r>
          </w:p>
        </w:tc>
        <w:tc>
          <w:tcPr>
            <w:tcW w:w="611" w:type="pct"/>
            <w:shd w:val="clear" w:color="auto" w:fill="auto"/>
          </w:tcPr>
          <w:p w14:paraId="53AEF254" w14:textId="5CEDA11B" w:rsidR="00375C4E" w:rsidRPr="003639A6" w:rsidRDefault="00375C4E" w:rsidP="00375C4E">
            <w:pPr>
              <w:pStyle w:val="TableText0"/>
              <w:jc w:val="center"/>
            </w:pPr>
            <w:r w:rsidRPr="00FE09FE">
              <w:t>-$</w:t>
            </w:r>
            <w:r w:rsidR="001172C3" w:rsidRPr="001172C3">
              <w:rPr>
                <w:color w:val="000000"/>
                <w:spacing w:val="46"/>
                <w:shd w:val="solid" w:color="000000" w:fill="000000"/>
                <w:fitText w:val="311" w:id="-1234435068"/>
                <w14:textFill>
                  <w14:solidFill>
                    <w14:srgbClr w14:val="000000">
                      <w14:alpha w14:val="100000"/>
                    </w14:srgbClr>
                  </w14:solidFill>
                </w14:textFill>
              </w:rPr>
              <w:t>|||</w:t>
            </w:r>
            <w:r w:rsidR="001172C3" w:rsidRPr="001172C3">
              <w:rPr>
                <w:color w:val="000000"/>
                <w:spacing w:val="3"/>
                <w:shd w:val="solid" w:color="000000" w:fill="000000"/>
                <w:fitText w:val="311" w:id="-1234435068"/>
                <w14:textFill>
                  <w14:solidFill>
                    <w14:srgbClr w14:val="000000">
                      <w14:alpha w14:val="100000"/>
                    </w14:srgbClr>
                  </w14:solidFill>
                </w14:textFill>
              </w:rPr>
              <w:t>|</w:t>
            </w:r>
            <w:r w:rsidR="00E3749D">
              <w:t xml:space="preserve"> </w:t>
            </w:r>
            <w:r w:rsidR="00E3749D">
              <w:rPr>
                <w:vertAlign w:val="superscript"/>
              </w:rPr>
              <w:t>3</w:t>
            </w:r>
          </w:p>
        </w:tc>
        <w:tc>
          <w:tcPr>
            <w:tcW w:w="608" w:type="pct"/>
            <w:gridSpan w:val="2"/>
          </w:tcPr>
          <w:p w14:paraId="79935269" w14:textId="102B5996" w:rsidR="00375C4E" w:rsidRPr="003639A6" w:rsidRDefault="00375C4E" w:rsidP="00375C4E">
            <w:pPr>
              <w:pStyle w:val="TableText0"/>
              <w:jc w:val="center"/>
            </w:pPr>
            <w:r w:rsidRPr="00FE09FE">
              <w:t>-$</w:t>
            </w:r>
            <w:r w:rsidR="001172C3" w:rsidRPr="001172C3">
              <w:rPr>
                <w:color w:val="000000"/>
                <w:spacing w:val="46"/>
                <w:shd w:val="solid" w:color="000000" w:fill="000000"/>
                <w:fitText w:val="311" w:id="-1234435067"/>
                <w14:textFill>
                  <w14:solidFill>
                    <w14:srgbClr w14:val="000000">
                      <w14:alpha w14:val="100000"/>
                    </w14:srgbClr>
                  </w14:solidFill>
                </w14:textFill>
              </w:rPr>
              <w:t>|||</w:t>
            </w:r>
            <w:r w:rsidR="001172C3" w:rsidRPr="001172C3">
              <w:rPr>
                <w:color w:val="000000"/>
                <w:spacing w:val="3"/>
                <w:shd w:val="solid" w:color="000000" w:fill="000000"/>
                <w:fitText w:val="311" w:id="-1234435067"/>
                <w14:textFill>
                  <w14:solidFill>
                    <w14:srgbClr w14:val="000000">
                      <w14:alpha w14:val="100000"/>
                    </w14:srgbClr>
                  </w14:solidFill>
                </w14:textFill>
              </w:rPr>
              <w:t>|</w:t>
            </w:r>
            <w:r w:rsidR="00E3749D">
              <w:t xml:space="preserve"> </w:t>
            </w:r>
            <w:r w:rsidR="00E3749D">
              <w:rPr>
                <w:vertAlign w:val="superscript"/>
              </w:rPr>
              <w:t>3</w:t>
            </w:r>
          </w:p>
        </w:tc>
      </w:tr>
      <w:tr w:rsidR="00375C4E" w:rsidRPr="003639A6" w14:paraId="18DDD0CB" w14:textId="77777777" w:rsidTr="00152D7A">
        <w:tc>
          <w:tcPr>
            <w:tcW w:w="1336" w:type="pct"/>
            <w:shd w:val="clear" w:color="auto" w:fill="auto"/>
            <w:vAlign w:val="center"/>
          </w:tcPr>
          <w:p w14:paraId="1BF8D4EA" w14:textId="77777777" w:rsidR="00375C4E" w:rsidRPr="003639A6" w:rsidRDefault="00375C4E" w:rsidP="00375C4E">
            <w:pPr>
              <w:pStyle w:val="TableText0"/>
              <w:rPr>
                <w:sz w:val="19"/>
                <w:szCs w:val="19"/>
              </w:rPr>
            </w:pPr>
            <w:r>
              <w:rPr>
                <w:sz w:val="19"/>
                <w:szCs w:val="19"/>
              </w:rPr>
              <w:t>Net cost to PBS/RPBS/MBS</w:t>
            </w:r>
          </w:p>
        </w:tc>
        <w:tc>
          <w:tcPr>
            <w:tcW w:w="629" w:type="pct"/>
            <w:shd w:val="clear" w:color="auto" w:fill="auto"/>
          </w:tcPr>
          <w:p w14:paraId="340CE1E3" w14:textId="77DE39CC" w:rsidR="00375C4E" w:rsidRPr="003639A6" w:rsidRDefault="00375C4E" w:rsidP="00375C4E">
            <w:pPr>
              <w:pStyle w:val="TableText0"/>
              <w:jc w:val="center"/>
            </w:pPr>
            <w:r w:rsidRPr="00067397">
              <w:t>$</w:t>
            </w:r>
            <w:r w:rsidR="001172C3" w:rsidRPr="001172C3">
              <w:rPr>
                <w:color w:val="000000"/>
                <w:spacing w:val="179"/>
                <w:shd w:val="solid" w:color="000000" w:fill="000000"/>
                <w:fitText w:val="265" w:id="-1234435066"/>
                <w14:textFill>
                  <w14:solidFill>
                    <w14:srgbClr w14:val="000000">
                      <w14:alpha w14:val="100000"/>
                    </w14:srgbClr>
                  </w14:solidFill>
                </w14:textFill>
              </w:rPr>
              <w:t>|</w:t>
            </w:r>
            <w:r w:rsidR="001172C3" w:rsidRPr="001172C3">
              <w:rPr>
                <w:color w:val="000000"/>
                <w:spacing w:val="1"/>
                <w:shd w:val="solid" w:color="000000" w:fill="000000"/>
                <w:fitText w:val="265" w:id="-1234435066"/>
                <w14:textFill>
                  <w14:solidFill>
                    <w14:srgbClr w14:val="000000">
                      <w14:alpha w14:val="100000"/>
                    </w14:srgbClr>
                  </w14:solidFill>
                </w14:textFill>
              </w:rPr>
              <w:t>|</w:t>
            </w:r>
            <w:r w:rsidR="00E3749D">
              <w:t xml:space="preserve"> </w:t>
            </w:r>
            <w:r w:rsidR="00E3749D">
              <w:rPr>
                <w:vertAlign w:val="superscript"/>
              </w:rPr>
              <w:t>2</w:t>
            </w:r>
          </w:p>
        </w:tc>
        <w:tc>
          <w:tcPr>
            <w:tcW w:w="550" w:type="pct"/>
            <w:shd w:val="clear" w:color="auto" w:fill="auto"/>
          </w:tcPr>
          <w:p w14:paraId="6D4282E0" w14:textId="11E99ADC" w:rsidR="00375C4E" w:rsidRPr="003639A6" w:rsidRDefault="00375C4E" w:rsidP="00375C4E">
            <w:pPr>
              <w:pStyle w:val="TableText0"/>
              <w:jc w:val="center"/>
            </w:pPr>
            <w:r w:rsidRPr="00067397">
              <w:t>$</w:t>
            </w:r>
            <w:r w:rsidR="001172C3" w:rsidRPr="001172C3">
              <w:rPr>
                <w:color w:val="000000"/>
                <w:spacing w:val="58"/>
                <w:shd w:val="solid" w:color="000000" w:fill="000000"/>
                <w:fitText w:val="346" w:id="-1234435065"/>
                <w14:textFill>
                  <w14:solidFill>
                    <w14:srgbClr w14:val="000000">
                      <w14:alpha w14:val="100000"/>
                    </w14:srgbClr>
                  </w14:solidFill>
                </w14:textFill>
              </w:rPr>
              <w:t>|||</w:t>
            </w:r>
            <w:r w:rsidR="001172C3" w:rsidRPr="001172C3">
              <w:rPr>
                <w:color w:val="000000"/>
                <w:spacing w:val="2"/>
                <w:shd w:val="solid" w:color="000000" w:fill="000000"/>
                <w:fitText w:val="346" w:id="-1234435065"/>
                <w14:textFill>
                  <w14:solidFill>
                    <w14:srgbClr w14:val="000000">
                      <w14:alpha w14:val="100000"/>
                    </w14:srgbClr>
                  </w14:solidFill>
                </w14:textFill>
              </w:rPr>
              <w:t>|</w:t>
            </w:r>
            <w:r w:rsidR="00E3749D">
              <w:t xml:space="preserve"> </w:t>
            </w:r>
            <w:r w:rsidR="00E3749D">
              <w:rPr>
                <w:vertAlign w:val="superscript"/>
              </w:rPr>
              <w:t>2</w:t>
            </w:r>
          </w:p>
        </w:tc>
        <w:tc>
          <w:tcPr>
            <w:tcW w:w="629" w:type="pct"/>
            <w:shd w:val="clear" w:color="auto" w:fill="auto"/>
          </w:tcPr>
          <w:p w14:paraId="2BA3BB2B" w14:textId="55F10B8A" w:rsidR="00375C4E" w:rsidRPr="003639A6" w:rsidRDefault="00375C4E" w:rsidP="00375C4E">
            <w:pPr>
              <w:pStyle w:val="TableText0"/>
              <w:jc w:val="center"/>
            </w:pPr>
            <w:r w:rsidRPr="00067397">
              <w:t>$</w:t>
            </w:r>
            <w:r w:rsidR="001172C3" w:rsidRPr="001172C3">
              <w:rPr>
                <w:color w:val="000000"/>
                <w:spacing w:val="179"/>
                <w:shd w:val="solid" w:color="000000" w:fill="000000"/>
                <w:fitText w:val="265" w:id="-1234435064"/>
                <w14:textFill>
                  <w14:solidFill>
                    <w14:srgbClr w14:val="000000">
                      <w14:alpha w14:val="100000"/>
                    </w14:srgbClr>
                  </w14:solidFill>
                </w14:textFill>
              </w:rPr>
              <w:t>|</w:t>
            </w:r>
            <w:r w:rsidR="001172C3" w:rsidRPr="001172C3">
              <w:rPr>
                <w:color w:val="000000"/>
                <w:spacing w:val="1"/>
                <w:shd w:val="solid" w:color="000000" w:fill="000000"/>
                <w:fitText w:val="265" w:id="-1234435064"/>
                <w14:textFill>
                  <w14:solidFill>
                    <w14:srgbClr w14:val="000000">
                      <w14:alpha w14:val="100000"/>
                    </w14:srgbClr>
                  </w14:solidFill>
                </w14:textFill>
              </w:rPr>
              <w:t>|</w:t>
            </w:r>
            <w:r w:rsidR="00E3749D">
              <w:t xml:space="preserve"> </w:t>
            </w:r>
            <w:r w:rsidR="00E3749D">
              <w:rPr>
                <w:vertAlign w:val="superscript"/>
              </w:rPr>
              <w:t>2</w:t>
            </w:r>
          </w:p>
        </w:tc>
        <w:tc>
          <w:tcPr>
            <w:tcW w:w="637" w:type="pct"/>
            <w:gridSpan w:val="2"/>
            <w:shd w:val="clear" w:color="auto" w:fill="auto"/>
          </w:tcPr>
          <w:p w14:paraId="43503AC3" w14:textId="511A8814" w:rsidR="00375C4E" w:rsidRPr="003639A6" w:rsidRDefault="00375C4E" w:rsidP="00375C4E">
            <w:pPr>
              <w:pStyle w:val="TableText0"/>
              <w:jc w:val="center"/>
            </w:pPr>
            <w:r w:rsidRPr="00067397">
              <w:t>$</w:t>
            </w:r>
            <w:r w:rsidR="001172C3" w:rsidRPr="001172C3">
              <w:rPr>
                <w:color w:val="000000"/>
                <w:spacing w:val="179"/>
                <w:shd w:val="solid" w:color="000000" w:fill="000000"/>
                <w:fitText w:val="265" w:id="-1234435063"/>
                <w14:textFill>
                  <w14:solidFill>
                    <w14:srgbClr w14:val="000000">
                      <w14:alpha w14:val="100000"/>
                    </w14:srgbClr>
                  </w14:solidFill>
                </w14:textFill>
              </w:rPr>
              <w:t>|</w:t>
            </w:r>
            <w:r w:rsidR="001172C3" w:rsidRPr="001172C3">
              <w:rPr>
                <w:color w:val="000000"/>
                <w:spacing w:val="1"/>
                <w:shd w:val="solid" w:color="000000" w:fill="000000"/>
                <w:fitText w:val="265" w:id="-1234435063"/>
                <w14:textFill>
                  <w14:solidFill>
                    <w14:srgbClr w14:val="000000">
                      <w14:alpha w14:val="100000"/>
                    </w14:srgbClr>
                  </w14:solidFill>
                </w14:textFill>
              </w:rPr>
              <w:t>|</w:t>
            </w:r>
            <w:r w:rsidR="00E3749D">
              <w:t xml:space="preserve"> </w:t>
            </w:r>
            <w:r w:rsidR="00E3749D">
              <w:rPr>
                <w:vertAlign w:val="superscript"/>
              </w:rPr>
              <w:t>2</w:t>
            </w:r>
          </w:p>
        </w:tc>
        <w:tc>
          <w:tcPr>
            <w:tcW w:w="611" w:type="pct"/>
            <w:shd w:val="clear" w:color="auto" w:fill="auto"/>
          </w:tcPr>
          <w:p w14:paraId="77EB1205" w14:textId="6F2E4AAD" w:rsidR="00375C4E" w:rsidRPr="003639A6" w:rsidRDefault="00375C4E" w:rsidP="00375C4E">
            <w:pPr>
              <w:pStyle w:val="TableText0"/>
              <w:jc w:val="center"/>
            </w:pPr>
            <w:r w:rsidRPr="00067397">
              <w:t>$</w:t>
            </w:r>
            <w:r w:rsidR="001172C3" w:rsidRPr="001172C3">
              <w:rPr>
                <w:color w:val="000000"/>
                <w:spacing w:val="202"/>
                <w:shd w:val="solid" w:color="000000" w:fill="000000"/>
                <w:fitText w:val="288" w:id="-1234435062"/>
                <w14:textFill>
                  <w14:solidFill>
                    <w14:srgbClr w14:val="000000">
                      <w14:alpha w14:val="100000"/>
                    </w14:srgbClr>
                  </w14:solidFill>
                </w14:textFill>
              </w:rPr>
              <w:t>|</w:t>
            </w:r>
            <w:r w:rsidR="001172C3" w:rsidRPr="001172C3">
              <w:rPr>
                <w:color w:val="000000"/>
                <w:spacing w:val="1"/>
                <w:shd w:val="solid" w:color="000000" w:fill="000000"/>
                <w:fitText w:val="288" w:id="-1234435062"/>
                <w14:textFill>
                  <w14:solidFill>
                    <w14:srgbClr w14:val="000000">
                      <w14:alpha w14:val="100000"/>
                    </w14:srgbClr>
                  </w14:solidFill>
                </w14:textFill>
              </w:rPr>
              <w:t>|</w:t>
            </w:r>
            <w:r w:rsidR="00E3749D">
              <w:t xml:space="preserve"> </w:t>
            </w:r>
            <w:r w:rsidR="00E3749D">
              <w:rPr>
                <w:vertAlign w:val="superscript"/>
              </w:rPr>
              <w:t>2</w:t>
            </w:r>
          </w:p>
        </w:tc>
        <w:tc>
          <w:tcPr>
            <w:tcW w:w="608" w:type="pct"/>
            <w:gridSpan w:val="2"/>
          </w:tcPr>
          <w:p w14:paraId="101F3917" w14:textId="2D04EA76" w:rsidR="00375C4E" w:rsidRPr="003639A6" w:rsidRDefault="00375C4E" w:rsidP="00375C4E">
            <w:pPr>
              <w:pStyle w:val="TableText0"/>
              <w:jc w:val="center"/>
            </w:pPr>
            <w:r w:rsidRPr="00067397">
              <w:t>$</w:t>
            </w:r>
            <w:r w:rsidR="001172C3" w:rsidRPr="001172C3">
              <w:rPr>
                <w:color w:val="000000"/>
                <w:spacing w:val="202"/>
                <w:shd w:val="solid" w:color="000000" w:fill="000000"/>
                <w:fitText w:val="288" w:id="-1234435061"/>
                <w14:textFill>
                  <w14:solidFill>
                    <w14:srgbClr w14:val="000000">
                      <w14:alpha w14:val="100000"/>
                    </w14:srgbClr>
                  </w14:solidFill>
                </w14:textFill>
              </w:rPr>
              <w:t>|</w:t>
            </w:r>
            <w:r w:rsidR="001172C3" w:rsidRPr="001172C3">
              <w:rPr>
                <w:color w:val="000000"/>
                <w:spacing w:val="1"/>
                <w:shd w:val="solid" w:color="000000" w:fill="000000"/>
                <w:fitText w:val="288" w:id="-1234435061"/>
                <w14:textFill>
                  <w14:solidFill>
                    <w14:srgbClr w14:val="000000">
                      <w14:alpha w14:val="100000"/>
                    </w14:srgbClr>
                  </w14:solidFill>
                </w14:textFill>
              </w:rPr>
              <w:t>|</w:t>
            </w:r>
            <w:r w:rsidR="00E3749D">
              <w:t xml:space="preserve"> </w:t>
            </w:r>
            <w:r w:rsidR="00E3749D">
              <w:rPr>
                <w:vertAlign w:val="superscript"/>
              </w:rPr>
              <w:t>2</w:t>
            </w:r>
          </w:p>
        </w:tc>
      </w:tr>
    </w:tbl>
    <w:p w14:paraId="109FC062" w14:textId="32E529C2" w:rsidR="00223F18" w:rsidRDefault="00223F18" w:rsidP="00E3749D">
      <w:pPr>
        <w:pStyle w:val="FooterTableFigure"/>
        <w:spacing w:after="0"/>
      </w:pPr>
      <w:r>
        <w:t xml:space="preserve">Source: </w:t>
      </w:r>
      <w:r w:rsidR="00F00684" w:rsidRPr="000A6E90">
        <w:t xml:space="preserve">Compiled during the evaluation, based on Table 172, p237 of the submission and </w:t>
      </w:r>
      <w:r w:rsidR="00ED650E" w:rsidRPr="000A6E90">
        <w:t>Excel workbook ‘Attachment 8 - Nivolumab Neoadjuvant NSCLC Utilisation and Cost Model’.</w:t>
      </w:r>
    </w:p>
    <w:p w14:paraId="0E40138F" w14:textId="77777777" w:rsidR="00E3749D" w:rsidRPr="009A6D58" w:rsidRDefault="00E3749D" w:rsidP="00E3749D">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4B3B1457" w14:textId="77777777" w:rsidR="00E3749D" w:rsidRPr="009A6D58" w:rsidRDefault="00E3749D" w:rsidP="00E3749D">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E3749D">
        <w:rPr>
          <w:rFonts w:ascii="Arial Narrow" w:hAnsi="Arial Narrow"/>
          <w:i/>
          <w:sz w:val="18"/>
          <w:szCs w:val="18"/>
        </w:rPr>
        <w:t>500 to &lt; 5,000</w:t>
      </w:r>
    </w:p>
    <w:p w14:paraId="34881AB5" w14:textId="77777777" w:rsidR="00E3749D" w:rsidRDefault="00E3749D" w:rsidP="00E3749D">
      <w:pPr>
        <w:rPr>
          <w:rFonts w:ascii="Arial Narrow" w:hAnsi="Arial Narrow"/>
          <w:i/>
          <w:sz w:val="18"/>
          <w:szCs w:val="18"/>
          <w:vertAlign w:val="superscript"/>
        </w:rPr>
      </w:pPr>
      <w:r w:rsidRPr="009A6D58">
        <w:rPr>
          <w:rFonts w:ascii="Arial Narrow" w:hAnsi="Arial Narrow"/>
          <w:i/>
          <w:sz w:val="18"/>
          <w:szCs w:val="18"/>
          <w:vertAlign w:val="superscript"/>
        </w:rPr>
        <w:t>2</w:t>
      </w:r>
      <w:r>
        <w:rPr>
          <w:rFonts w:ascii="Arial Narrow" w:hAnsi="Arial Narrow"/>
          <w:i/>
          <w:sz w:val="18"/>
          <w:szCs w:val="18"/>
        </w:rPr>
        <w:t xml:space="preserve"> </w:t>
      </w:r>
      <w:r w:rsidRPr="00E3749D">
        <w:rPr>
          <w:rFonts w:ascii="Arial Narrow" w:hAnsi="Arial Narrow"/>
          <w:i/>
          <w:sz w:val="18"/>
          <w:szCs w:val="18"/>
        </w:rPr>
        <w:t>$30 million to &lt; $40 million</w:t>
      </w:r>
      <w:r w:rsidRPr="00E3749D">
        <w:rPr>
          <w:rFonts w:ascii="Arial Narrow" w:hAnsi="Arial Narrow"/>
          <w:i/>
          <w:sz w:val="18"/>
          <w:szCs w:val="18"/>
          <w:vertAlign w:val="superscript"/>
        </w:rPr>
        <w:t xml:space="preserve"> </w:t>
      </w:r>
    </w:p>
    <w:p w14:paraId="64756812" w14:textId="02276F00" w:rsidR="00E3749D" w:rsidRDefault="00E3749D" w:rsidP="00E3749D">
      <w:pPr>
        <w:spacing w:after="120"/>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Net cost saving</w:t>
      </w:r>
    </w:p>
    <w:p w14:paraId="02B4572C" w14:textId="40552FEB" w:rsidR="00F00684" w:rsidRDefault="00EA4D43" w:rsidP="00C96433">
      <w:pPr>
        <w:pStyle w:val="3-BodyText"/>
      </w:pPr>
      <w:r>
        <w:t xml:space="preserve">In </w:t>
      </w:r>
      <w:r w:rsidR="007E6DF9">
        <w:t>l</w:t>
      </w:r>
      <w:r>
        <w:t>isting Scenario 2, t</w:t>
      </w:r>
      <w:r w:rsidR="00223F18" w:rsidRPr="000902D9">
        <w:t xml:space="preserve">he total cost to the PBS/RPBS </w:t>
      </w:r>
      <w:r w:rsidR="00223F18" w:rsidRPr="00A66471">
        <w:t xml:space="preserve">was estimated to be </w:t>
      </w:r>
      <w:r w:rsidR="00B53803" w:rsidRPr="00B53803">
        <w:rPr>
          <w:iCs/>
        </w:rPr>
        <w:t>$30 million to &lt; $40 million</w:t>
      </w:r>
      <w:r w:rsidR="00B53803" w:rsidRPr="00B53803">
        <w:rPr>
          <w:i/>
          <w:vertAlign w:val="superscript"/>
        </w:rPr>
        <w:t xml:space="preserve"> </w:t>
      </w:r>
      <w:r w:rsidR="00223F18" w:rsidRPr="00A66471">
        <w:t xml:space="preserve">in Year 6, and a total of </w:t>
      </w:r>
      <w:bookmarkStart w:id="107" w:name="_Hlk135042486"/>
      <w:r w:rsidR="00B53803" w:rsidRPr="00B53803">
        <w:t>$200 million to &lt; $300 million</w:t>
      </w:r>
      <w:bookmarkEnd w:id="107"/>
      <w:r w:rsidR="00B53803" w:rsidRPr="00B53803" w:rsidDel="00B53803">
        <w:t xml:space="preserve"> </w:t>
      </w:r>
      <w:r w:rsidR="00223F18" w:rsidRPr="00A66471">
        <w:t>in the first 6 years of listing</w:t>
      </w:r>
      <w:r w:rsidR="00223F18" w:rsidRPr="002E5309">
        <w:t xml:space="preserve">. </w:t>
      </w:r>
    </w:p>
    <w:p w14:paraId="5A7BA414" w14:textId="4E16DDA4" w:rsidR="0091315D" w:rsidRDefault="00223F18" w:rsidP="007A64EA">
      <w:pPr>
        <w:pStyle w:val="3-BodyText"/>
      </w:pPr>
      <w:r w:rsidRPr="000F38ED">
        <w:t xml:space="preserve">The estimates did not include any grandfathering </w:t>
      </w:r>
      <w:r w:rsidR="00C23AA7">
        <w:t xml:space="preserve">of </w:t>
      </w:r>
      <w:r w:rsidRPr="000F38ED">
        <w:t>patients.</w:t>
      </w:r>
    </w:p>
    <w:p w14:paraId="7D668397" w14:textId="35C0149E" w:rsidR="00A2672C" w:rsidRPr="00563002" w:rsidRDefault="00A2672C" w:rsidP="00A2672C">
      <w:pPr>
        <w:pStyle w:val="3-BodyText"/>
      </w:pPr>
      <w:bookmarkStart w:id="108" w:name="_Ref127880538"/>
      <w:r w:rsidRPr="00563002">
        <w:t xml:space="preserve">The ESC noted recent MSAC support of the creation of a national lung cancer screening program (see paragraph </w:t>
      </w:r>
      <w:r w:rsidRPr="00563002">
        <w:fldChar w:fldCharType="begin"/>
      </w:r>
      <w:r w:rsidRPr="00563002">
        <w:instrText xml:space="preserve"> REF _Ref127119410 \r \h </w:instrText>
      </w:r>
      <w:r w:rsidR="00563002">
        <w:instrText xml:space="preserve"> \* MERGEFORMAT </w:instrText>
      </w:r>
      <w:r w:rsidRPr="00563002">
        <w:fldChar w:fldCharType="separate"/>
      </w:r>
      <w:r w:rsidR="00A77D90">
        <w:t>4.5</w:t>
      </w:r>
      <w:r w:rsidRPr="00563002">
        <w:fldChar w:fldCharType="end"/>
      </w:r>
      <w:r w:rsidRPr="00563002">
        <w:t>). The ESC considered the creation of such a program may make it likely that more patients would be identified who were suitable for neoadjuvant treatment.</w:t>
      </w:r>
      <w:r w:rsidR="00283043" w:rsidRPr="00563002">
        <w:t xml:space="preserve"> Consequently, fewer patients would be treated </w:t>
      </w:r>
      <w:r w:rsidR="008716AF">
        <w:t>for</w:t>
      </w:r>
      <w:r w:rsidR="00283043" w:rsidRPr="00563002">
        <w:t xml:space="preserve"> metastatic </w:t>
      </w:r>
      <w:r w:rsidR="008716AF">
        <w:t>disease</w:t>
      </w:r>
      <w:r w:rsidR="00283043" w:rsidRPr="00563002">
        <w:t>. The overall effect of screening on financial implications is uncertain.</w:t>
      </w:r>
      <w:bookmarkEnd w:id="108"/>
      <w:r w:rsidR="00283043" w:rsidRPr="00563002">
        <w:t xml:space="preserve"> </w:t>
      </w:r>
    </w:p>
    <w:p w14:paraId="3BB2F2BC" w14:textId="77777777" w:rsidR="00223F18" w:rsidRPr="000D69E7" w:rsidRDefault="00223F18" w:rsidP="00223F18">
      <w:pPr>
        <w:pStyle w:val="4-SubsectionHeading"/>
      </w:pPr>
      <w:bookmarkStart w:id="109" w:name="_Toc22897648"/>
      <w:bookmarkStart w:id="110" w:name="_Toc124932962"/>
      <w:r w:rsidRPr="000D69E7">
        <w:t>Quality Use of Medicines</w:t>
      </w:r>
      <w:bookmarkEnd w:id="109"/>
      <w:bookmarkEnd w:id="110"/>
    </w:p>
    <w:p w14:paraId="5B16E259" w14:textId="3E6BBC08" w:rsidR="00223F18" w:rsidRPr="000D69E7" w:rsidRDefault="000D69E7" w:rsidP="0052039A">
      <w:pPr>
        <w:pStyle w:val="3-BodyText"/>
      </w:pPr>
      <w:r w:rsidRPr="000D69E7">
        <w:t>The submission noted that the sponsor has implemented initiatives</w:t>
      </w:r>
      <w:r>
        <w:t xml:space="preserve"> which include p</w:t>
      </w:r>
      <w:r w:rsidRPr="000D69E7">
        <w:t>eer-to-peer education</w:t>
      </w:r>
      <w:r>
        <w:t>,</w:t>
      </w:r>
      <w:r w:rsidRPr="000D69E7">
        <w:t xml:space="preserve"> established guidelines on the management of immune-related adverse reactions (irARs),</w:t>
      </w:r>
      <w:r>
        <w:t xml:space="preserve"> n</w:t>
      </w:r>
      <w:r w:rsidRPr="000D69E7">
        <w:t>ational meetings in conjunction with conferences</w:t>
      </w:r>
      <w:r>
        <w:t xml:space="preserve"> </w:t>
      </w:r>
      <w:r w:rsidRPr="000D69E7">
        <w:t>for oncologists</w:t>
      </w:r>
      <w:r w:rsidR="00630F1F">
        <w:t xml:space="preserve">, </w:t>
      </w:r>
      <w:r w:rsidRPr="000D69E7">
        <w:t>nursing and pharmacy in-services to sites where nivolumab is used</w:t>
      </w:r>
      <w:r w:rsidR="00630F1F">
        <w:t xml:space="preserve">, a Risk Management Plan (RMP) </w:t>
      </w:r>
      <w:r w:rsidR="007965B5">
        <w:t xml:space="preserve">in </w:t>
      </w:r>
      <w:r w:rsidR="00630F1F">
        <w:t xml:space="preserve">Australia, and </w:t>
      </w:r>
      <w:r w:rsidRPr="000D69E7">
        <w:t xml:space="preserve">a range of educational materials and tools </w:t>
      </w:r>
      <w:r w:rsidR="00630F1F">
        <w:t xml:space="preserve">on irAEs </w:t>
      </w:r>
      <w:r w:rsidRPr="000D69E7">
        <w:t>for health care professionals and patients (such as mediband bracelets, a Patient Information Booklet</w:t>
      </w:r>
      <w:r w:rsidR="00630F1F">
        <w:t>,</w:t>
      </w:r>
      <w:r w:rsidRPr="000D69E7">
        <w:t xml:space="preserve"> and </w:t>
      </w:r>
      <w:r w:rsidR="00630F1F">
        <w:t xml:space="preserve">an </w:t>
      </w:r>
      <w:r w:rsidRPr="000D69E7">
        <w:t xml:space="preserve">irAR wallet alert card </w:t>
      </w:r>
      <w:r w:rsidR="00630F1F">
        <w:t xml:space="preserve">for </w:t>
      </w:r>
      <w:r w:rsidRPr="000D69E7">
        <w:t>nivolumab).</w:t>
      </w:r>
    </w:p>
    <w:p w14:paraId="17F6582F" w14:textId="77777777" w:rsidR="00223F18" w:rsidRPr="00C9624D" w:rsidRDefault="00223F18" w:rsidP="00223F18">
      <w:pPr>
        <w:pStyle w:val="4-SubsectionHeading"/>
      </w:pPr>
      <w:bookmarkStart w:id="111" w:name="_Toc22897649"/>
      <w:bookmarkStart w:id="112" w:name="_Toc124932963"/>
      <w:r w:rsidRPr="00C9624D">
        <w:t>Financial Management – Risk Sharing Arrangements</w:t>
      </w:r>
      <w:bookmarkEnd w:id="111"/>
      <w:bookmarkEnd w:id="112"/>
    </w:p>
    <w:p w14:paraId="60A1D378" w14:textId="7D9896BB" w:rsidR="00223F18" w:rsidRDefault="00A740AC" w:rsidP="00223F18">
      <w:pPr>
        <w:pStyle w:val="3-BodyText"/>
      </w:pPr>
      <w:r>
        <w:t>It was stated in the submission that t</w:t>
      </w:r>
      <w:r w:rsidR="00223F18" w:rsidRPr="00B24D82">
        <w:t xml:space="preserve">he sponsor is willing to enter into a risk sharing arrangement (RSA). The sponsor acknowledged the major change related to </w:t>
      </w:r>
      <w:r w:rsidR="00C23AA7">
        <w:t xml:space="preserve">the proposed </w:t>
      </w:r>
      <w:r w:rsidR="00223F18" w:rsidRPr="00B24D82">
        <w:t>introduction of a</w:t>
      </w:r>
      <w:r w:rsidR="008716AF">
        <w:t xml:space="preserve"> neoadjuvant</w:t>
      </w:r>
      <w:r w:rsidR="00223F18" w:rsidRPr="00B24D82">
        <w:t xml:space="preserve"> immunotherapy</w:t>
      </w:r>
      <w:r w:rsidR="00C23AA7">
        <w:t>.</w:t>
      </w:r>
      <w:r w:rsidR="00223F18" w:rsidRPr="00B24D82">
        <w:t xml:space="preserve"> </w:t>
      </w:r>
      <w:r w:rsidR="00C23AA7">
        <w:t xml:space="preserve">This </w:t>
      </w:r>
      <w:r w:rsidR="00223F18" w:rsidRPr="00B24D82">
        <w:t xml:space="preserve">represents a major change to the treatment paradigm, </w:t>
      </w:r>
      <w:r w:rsidR="00223F18">
        <w:t xml:space="preserve">and </w:t>
      </w:r>
      <w:r w:rsidR="00C23AA7">
        <w:t xml:space="preserve">so the sponsor is </w:t>
      </w:r>
      <w:r w:rsidR="00223F18">
        <w:t xml:space="preserve">willing </w:t>
      </w:r>
      <w:r w:rsidR="00223F18" w:rsidRPr="00B24D82">
        <w:t>to undertake a</w:t>
      </w:r>
      <w:r w:rsidR="00223F18">
        <w:t>n</w:t>
      </w:r>
      <w:r w:rsidR="00223F18" w:rsidRPr="00B24D82">
        <w:t xml:space="preserve"> </w:t>
      </w:r>
      <w:r w:rsidR="00223F18">
        <w:t xml:space="preserve">RSA </w:t>
      </w:r>
      <w:r w:rsidR="00223F18" w:rsidRPr="00B24D82">
        <w:t>related to expenditure in this disease state, including the potential for subsidisation caps</w:t>
      </w:r>
      <w:r w:rsidR="00223F18">
        <w:t>. Such an arrangement may</w:t>
      </w:r>
      <w:r w:rsidR="00223F18" w:rsidRPr="00B24D82">
        <w:t xml:space="preserve"> provide additional certainty regarding the potential for leakage into other patient group</w:t>
      </w:r>
      <w:r w:rsidR="00223F18">
        <w:t xml:space="preserve">s. </w:t>
      </w:r>
    </w:p>
    <w:p w14:paraId="7867AB2E" w14:textId="77777777" w:rsidR="00E51F33" w:rsidRPr="00E51F33" w:rsidRDefault="00E51F33" w:rsidP="00E51F33">
      <w:pPr>
        <w:pStyle w:val="3-BodyText"/>
        <w:numPr>
          <w:ilvl w:val="0"/>
          <w:numId w:val="0"/>
        </w:numPr>
        <w:ind w:firstLine="720"/>
        <w:rPr>
          <w:i/>
          <w:iCs/>
          <w:color w:val="000000" w:themeColor="text1"/>
        </w:rPr>
      </w:pPr>
      <w:r w:rsidRPr="00E51F33">
        <w:rPr>
          <w:i/>
          <w:iCs/>
          <w:color w:val="000000" w:themeColor="text1"/>
        </w:rPr>
        <w:t>For more detail on PBAC’s view, see section 7 PBAC outcome.</w:t>
      </w:r>
    </w:p>
    <w:p w14:paraId="2CEFDC58" w14:textId="77777777" w:rsidR="002605E6" w:rsidRPr="0090150D" w:rsidRDefault="002605E6" w:rsidP="00A3428F">
      <w:pPr>
        <w:pStyle w:val="2-SectionHeading"/>
      </w:pPr>
      <w:bookmarkStart w:id="113" w:name="_Hlk76381249"/>
      <w:bookmarkStart w:id="114" w:name="_Hlk76377955"/>
      <w:r w:rsidRPr="0090150D">
        <w:t>PBAC Outcome</w:t>
      </w:r>
    </w:p>
    <w:p w14:paraId="255767BE" w14:textId="3EE2B700" w:rsidR="00712D96" w:rsidRPr="00712D96" w:rsidRDefault="00EC194F" w:rsidP="00193B1F">
      <w:pPr>
        <w:widowControl w:val="0"/>
        <w:numPr>
          <w:ilvl w:val="1"/>
          <w:numId w:val="1"/>
        </w:numPr>
        <w:spacing w:after="120"/>
        <w:rPr>
          <w:rFonts w:asciiTheme="minorHAnsi" w:hAnsiTheme="minorHAnsi"/>
          <w:snapToGrid w:val="0"/>
          <w:lang w:val="en-GB"/>
        </w:rPr>
      </w:pPr>
      <w:bookmarkStart w:id="115" w:name="_Hlk131686785"/>
      <w:r>
        <w:t xml:space="preserve">The PBAC </w:t>
      </w:r>
      <w:r w:rsidRPr="00EC194F">
        <w:t>did not recommend</w:t>
      </w:r>
      <w:r>
        <w:t xml:space="preserve"> the </w:t>
      </w:r>
      <w:r w:rsidRPr="00F879F8">
        <w:rPr>
          <w:lang w:val="en-US"/>
        </w:rPr>
        <w:t xml:space="preserve">Authority Required (STREAMLINED) </w:t>
      </w:r>
      <w:r>
        <w:t xml:space="preserve">listing of nivolumab for the neoadjuvant treatment of patients with resectable non-small cell lung cancer (NSCLC). The PBAC considered that nivolumab provided a </w:t>
      </w:r>
      <w:r w:rsidR="007120FE">
        <w:t xml:space="preserve">moderate clinical </w:t>
      </w:r>
      <w:r>
        <w:t>benefit with an improvement in event-free survival (EFS) and immature overall survival (OS) data indicat</w:t>
      </w:r>
      <w:r w:rsidR="000314CA">
        <w:t>ed</w:t>
      </w:r>
      <w:r>
        <w:t xml:space="preserve"> a trend towards improvement. </w:t>
      </w:r>
      <w:r w:rsidR="007120FE">
        <w:t>T</w:t>
      </w:r>
      <w:r>
        <w:t>he PBAC considered the incremental cost-effectiveness ratio</w:t>
      </w:r>
      <w:r w:rsidR="00132528">
        <w:t xml:space="preserve"> (ICER)</w:t>
      </w:r>
      <w:r>
        <w:t xml:space="preserve"> was </w:t>
      </w:r>
      <w:r w:rsidR="000314CA">
        <w:t xml:space="preserve">highly </w:t>
      </w:r>
      <w:r>
        <w:t xml:space="preserve">uncertain </w:t>
      </w:r>
      <w:r w:rsidR="009D753B">
        <w:t>given the extent of extrapolation and issues with the model structure and some inputs</w:t>
      </w:r>
      <w:r w:rsidRPr="009D753B">
        <w:t>.</w:t>
      </w:r>
      <w:r>
        <w:t xml:space="preserve"> The PBAC considered that revised model inputs would be required to address these issues</w:t>
      </w:r>
      <w:r w:rsidR="00193B1F">
        <w:t xml:space="preserve"> </w:t>
      </w:r>
      <w:r w:rsidRPr="00EC194F">
        <w:t xml:space="preserve">and that </w:t>
      </w:r>
      <w:r>
        <w:t>a price</w:t>
      </w:r>
      <w:r w:rsidR="00ED217B">
        <w:t xml:space="preserve"> </w:t>
      </w:r>
      <w:r>
        <w:t>reduction would be required for</w:t>
      </w:r>
      <w:r w:rsidRPr="00EC194F">
        <w:t xml:space="preserve"> nivolumab </w:t>
      </w:r>
      <w:r>
        <w:t>to be considered cost-effective</w:t>
      </w:r>
      <w:r w:rsidR="007120FE">
        <w:t xml:space="preserve"> in the neoadjuvant NSCLC setting</w:t>
      </w:r>
      <w:r>
        <w:t xml:space="preserve">. </w:t>
      </w:r>
      <w:r w:rsidR="009D753B">
        <w:t xml:space="preserve">The PBAC considered that revised financial estimates should account for offsets for </w:t>
      </w:r>
      <w:r w:rsidR="00F83624">
        <w:t xml:space="preserve">current use of </w:t>
      </w:r>
      <w:r w:rsidR="009D753B" w:rsidRPr="00095458">
        <w:t>immunotherapy</w:t>
      </w:r>
      <w:r w:rsidR="009D753B">
        <w:t>, and considered it</w:t>
      </w:r>
      <w:r w:rsidR="009D753B" w:rsidRPr="00095458">
        <w:t xml:space="preserve"> </w:t>
      </w:r>
      <w:r w:rsidR="009D753B" w:rsidRPr="00EC194F">
        <w:t xml:space="preserve">would be appropriate for </w:t>
      </w:r>
      <w:r w:rsidR="00F83624">
        <w:t xml:space="preserve">nivolumab </w:t>
      </w:r>
      <w:r w:rsidR="009D753B">
        <w:t>use</w:t>
      </w:r>
      <w:r w:rsidR="009D753B" w:rsidRPr="00EC194F">
        <w:t xml:space="preserve"> to be included </w:t>
      </w:r>
      <w:r w:rsidR="009D753B">
        <w:t>in the current risk sharing arrangement</w:t>
      </w:r>
      <w:r w:rsidR="00A3428F">
        <w:t xml:space="preserve"> (RSA)</w:t>
      </w:r>
      <w:r w:rsidR="009D753B">
        <w:t xml:space="preserve"> in place for immunotherapies for NSCLC.</w:t>
      </w:r>
    </w:p>
    <w:bookmarkEnd w:id="115"/>
    <w:p w14:paraId="68BC2EA1" w14:textId="7CB2051A" w:rsidR="00712D96" w:rsidRPr="00E74527" w:rsidRDefault="00712D96" w:rsidP="00712D96">
      <w:pPr>
        <w:pStyle w:val="3-BodyText"/>
        <w:rPr>
          <w:lang w:val="en-GB"/>
        </w:rPr>
      </w:pPr>
      <w:r>
        <w:rPr>
          <w:lang w:val="en-GB"/>
        </w:rPr>
        <w:t xml:space="preserve">The PBAC noted the input from health care professionals and organisations </w:t>
      </w:r>
      <w:r w:rsidR="00E74527">
        <w:rPr>
          <w:lang w:val="en-GB"/>
        </w:rPr>
        <w:t xml:space="preserve">which highlighted the need for additional treatment options for this condition. </w:t>
      </w:r>
      <w:r w:rsidR="00E74527">
        <w:rPr>
          <w:rFonts w:ascii="Calibri" w:hAnsi="Calibri" w:cs="Calibri"/>
        </w:rPr>
        <w:t xml:space="preserve">In addition, the PBAC noted the Medical Oncology Group of Australia’s strong support for the submission. Noting the availability </w:t>
      </w:r>
      <w:r w:rsidR="007120FE">
        <w:rPr>
          <w:rFonts w:ascii="Calibri" w:hAnsi="Calibri" w:cs="Calibri"/>
        </w:rPr>
        <w:t>of</w:t>
      </w:r>
      <w:r w:rsidR="00E74527">
        <w:rPr>
          <w:rFonts w:ascii="Calibri" w:hAnsi="Calibri" w:cs="Calibri"/>
        </w:rPr>
        <w:t xml:space="preserve"> </w:t>
      </w:r>
      <w:r w:rsidR="007120FE">
        <w:rPr>
          <w:rFonts w:ascii="Calibri" w:hAnsi="Calibri" w:cs="Calibri"/>
        </w:rPr>
        <w:t xml:space="preserve">moderately </w:t>
      </w:r>
      <w:r w:rsidR="00E74527">
        <w:rPr>
          <w:rFonts w:ascii="Calibri" w:hAnsi="Calibri" w:cs="Calibri"/>
        </w:rPr>
        <w:t xml:space="preserve">effective peri-operative </w:t>
      </w:r>
      <w:r w:rsidR="00EC3CAA">
        <w:rPr>
          <w:rFonts w:ascii="Calibri" w:hAnsi="Calibri" w:cs="Calibri"/>
        </w:rPr>
        <w:t xml:space="preserve">therapies </w:t>
      </w:r>
      <w:r w:rsidR="00E74527">
        <w:rPr>
          <w:rFonts w:ascii="Calibri" w:hAnsi="Calibri" w:cs="Calibri"/>
        </w:rPr>
        <w:t>and</w:t>
      </w:r>
      <w:r w:rsidR="00EC3CAA">
        <w:rPr>
          <w:rFonts w:ascii="Calibri" w:hAnsi="Calibri" w:cs="Calibri"/>
        </w:rPr>
        <w:t xml:space="preserve"> multiple therapies for</w:t>
      </w:r>
      <w:r w:rsidR="00E74527">
        <w:rPr>
          <w:rFonts w:ascii="Calibri" w:hAnsi="Calibri" w:cs="Calibri"/>
        </w:rPr>
        <w:t xml:space="preserve"> metastatic </w:t>
      </w:r>
      <w:r w:rsidR="00EC3CAA">
        <w:rPr>
          <w:rFonts w:ascii="Calibri" w:hAnsi="Calibri" w:cs="Calibri"/>
        </w:rPr>
        <w:t>disease</w:t>
      </w:r>
      <w:r w:rsidR="008807BD">
        <w:rPr>
          <w:rFonts w:ascii="Calibri" w:hAnsi="Calibri" w:cs="Calibri"/>
        </w:rPr>
        <w:t>,</w:t>
      </w:r>
      <w:r w:rsidR="00EC3CAA">
        <w:rPr>
          <w:rFonts w:ascii="Calibri" w:hAnsi="Calibri" w:cs="Calibri"/>
        </w:rPr>
        <w:t xml:space="preserve"> and that </w:t>
      </w:r>
      <w:r w:rsidR="0059087E">
        <w:rPr>
          <w:rFonts w:ascii="Calibri" w:hAnsi="Calibri" w:cs="Calibri"/>
        </w:rPr>
        <w:t>OS</w:t>
      </w:r>
      <w:r w:rsidR="00EC3CAA">
        <w:rPr>
          <w:rFonts w:ascii="Calibri" w:hAnsi="Calibri" w:cs="Calibri"/>
        </w:rPr>
        <w:t xml:space="preserve"> for patients with NSCLC is </w:t>
      </w:r>
      <w:r w:rsidR="008A543B">
        <w:rPr>
          <w:rFonts w:ascii="Calibri" w:hAnsi="Calibri" w:cs="Calibri"/>
        </w:rPr>
        <w:t xml:space="preserve">currently </w:t>
      </w:r>
      <w:r w:rsidR="00EC3CAA">
        <w:rPr>
          <w:rFonts w:ascii="Calibri" w:hAnsi="Calibri" w:cs="Calibri"/>
        </w:rPr>
        <w:t xml:space="preserve">approximately 45% at 5 years, </w:t>
      </w:r>
      <w:r w:rsidR="00E74527">
        <w:rPr>
          <w:rFonts w:ascii="Calibri" w:hAnsi="Calibri" w:cs="Calibri"/>
        </w:rPr>
        <w:t xml:space="preserve">the PBAC considered there </w:t>
      </w:r>
      <w:r w:rsidR="00EC3CAA">
        <w:rPr>
          <w:rFonts w:ascii="Calibri" w:hAnsi="Calibri" w:cs="Calibri"/>
        </w:rPr>
        <w:t>remain</w:t>
      </w:r>
      <w:r w:rsidR="00A71E9B">
        <w:rPr>
          <w:rFonts w:ascii="Calibri" w:hAnsi="Calibri" w:cs="Calibri"/>
        </w:rPr>
        <w:t>s</w:t>
      </w:r>
      <w:r w:rsidR="00EC3CAA">
        <w:rPr>
          <w:rFonts w:ascii="Calibri" w:hAnsi="Calibri" w:cs="Calibri"/>
        </w:rPr>
        <w:t xml:space="preserve"> </w:t>
      </w:r>
      <w:r w:rsidR="00E74527">
        <w:rPr>
          <w:rFonts w:ascii="Calibri" w:hAnsi="Calibri" w:cs="Calibri"/>
        </w:rPr>
        <w:t>a</w:t>
      </w:r>
      <w:r w:rsidR="002A6A11">
        <w:rPr>
          <w:rFonts w:ascii="Calibri" w:hAnsi="Calibri" w:cs="Calibri"/>
        </w:rPr>
        <w:t>n unmet</w:t>
      </w:r>
      <w:r w:rsidR="00E74527">
        <w:rPr>
          <w:rFonts w:ascii="Calibri" w:hAnsi="Calibri" w:cs="Calibri"/>
        </w:rPr>
        <w:t xml:space="preserve"> clinical need for more effective therapies for resectable lung cancer. </w:t>
      </w:r>
    </w:p>
    <w:p w14:paraId="35FB5DD0" w14:textId="4B739E63" w:rsidR="001E2B55" w:rsidRDefault="00CD197C" w:rsidP="00FA7D07">
      <w:pPr>
        <w:pStyle w:val="3-BodyText"/>
      </w:pPr>
      <w:bookmarkStart w:id="116" w:name="_Ref131359702"/>
      <w:r>
        <w:t xml:space="preserve">The PBAC noted that two PBS listing scenarios were proposed in the submission (see paragraph </w:t>
      </w:r>
      <w:r>
        <w:fldChar w:fldCharType="begin"/>
      </w:r>
      <w:r>
        <w:instrText xml:space="preserve"> REF _Ref130999547 \r \h </w:instrText>
      </w:r>
      <w:r>
        <w:fldChar w:fldCharType="separate"/>
      </w:r>
      <w:r w:rsidR="00A77D90">
        <w:t>3.4</w:t>
      </w:r>
      <w:r>
        <w:fldChar w:fldCharType="end"/>
      </w:r>
      <w:r>
        <w:t xml:space="preserve">). </w:t>
      </w:r>
      <w:r w:rsidR="00806368" w:rsidRPr="00590A38">
        <w:t xml:space="preserve">Scenario 1 </w:t>
      </w:r>
      <w:r w:rsidR="003E5E39">
        <w:t>wa</w:t>
      </w:r>
      <w:r w:rsidR="00806368">
        <w:t xml:space="preserve">s </w:t>
      </w:r>
      <w:r w:rsidR="00806368" w:rsidRPr="00590A38">
        <w:t>agnostic to epidermal growth factor receptor (</w:t>
      </w:r>
      <w:r w:rsidR="00806368" w:rsidRPr="00C96433">
        <w:t>EGFR</w:t>
      </w:r>
      <w:r w:rsidR="00806368" w:rsidRPr="00590A38">
        <w:t>) and anaplastic lymphoma kinase (</w:t>
      </w:r>
      <w:r w:rsidR="00806368" w:rsidRPr="00C96433">
        <w:t>ALK</w:t>
      </w:r>
      <w:r w:rsidR="00806368" w:rsidRPr="00590A38">
        <w:t>) status</w:t>
      </w:r>
      <w:r w:rsidR="00806368">
        <w:t xml:space="preserve"> and </w:t>
      </w:r>
      <w:r w:rsidR="00806368" w:rsidRPr="00590A38">
        <w:t>Scenario 2 exclude</w:t>
      </w:r>
      <w:r w:rsidR="003E5E39">
        <w:t>d</w:t>
      </w:r>
      <w:r w:rsidR="00806368" w:rsidRPr="00590A38">
        <w:t xml:space="preserve"> </w:t>
      </w:r>
      <w:r w:rsidR="00806368" w:rsidRPr="00BE27D1">
        <w:t xml:space="preserve">patients with known sensitising </w:t>
      </w:r>
      <w:r w:rsidR="00806368" w:rsidRPr="00C96433">
        <w:t>EGFR</w:t>
      </w:r>
      <w:r w:rsidR="00806368" w:rsidRPr="00BE27D1">
        <w:t xml:space="preserve"> mutations or </w:t>
      </w:r>
      <w:r w:rsidR="00806368" w:rsidRPr="00C96433">
        <w:t>ALK</w:t>
      </w:r>
      <w:r w:rsidR="00806368" w:rsidRPr="00BE27D1">
        <w:t xml:space="preserve"> alterations.</w:t>
      </w:r>
      <w:r w:rsidR="00806368">
        <w:t xml:space="preserve"> </w:t>
      </w:r>
      <w:r w:rsidRPr="00806368">
        <w:t xml:space="preserve">The PBAC noted </w:t>
      </w:r>
      <w:r w:rsidR="00806368">
        <w:t xml:space="preserve">that </w:t>
      </w:r>
      <w:r w:rsidR="008B5C8F">
        <w:t xml:space="preserve">NSCLC with </w:t>
      </w:r>
      <w:r w:rsidRPr="000A6E90">
        <w:t>EGFR or ALK driver mutations have consistently shown poor response</w:t>
      </w:r>
      <w:r w:rsidR="006A2EDA">
        <w:t>s</w:t>
      </w:r>
      <w:r w:rsidRPr="000A6E90">
        <w:t xml:space="preserve"> to </w:t>
      </w:r>
      <w:r w:rsidR="008B5C8F">
        <w:t xml:space="preserve">upfront </w:t>
      </w:r>
      <w:r w:rsidRPr="000A6E90">
        <w:t>immunotherapy</w:t>
      </w:r>
      <w:r>
        <w:t xml:space="preserve"> and </w:t>
      </w:r>
      <w:r w:rsidR="008F3285">
        <w:t>that</w:t>
      </w:r>
      <w:r>
        <w:t xml:space="preserve"> patients </w:t>
      </w:r>
      <w:r w:rsidR="00FA7D07">
        <w:t xml:space="preserve">with </w:t>
      </w:r>
      <w:r w:rsidR="00FA7D07" w:rsidRPr="00FA7D07">
        <w:t>known sensitising EGFR or ALK alterations</w:t>
      </w:r>
      <w:r w:rsidR="00FA7D07">
        <w:t xml:space="preserve"> </w:t>
      </w:r>
      <w:r>
        <w:t xml:space="preserve">were excluded from the key CM816 trial. </w:t>
      </w:r>
      <w:r w:rsidR="0004792B">
        <w:t>In view of this, the</w:t>
      </w:r>
      <w:r>
        <w:t xml:space="preserve"> PBAC agreed with the ESC that there was inadequate evidence provided in the submission to support </w:t>
      </w:r>
      <w:r w:rsidR="00504358">
        <w:t>Scenario</w:t>
      </w:r>
      <w:r>
        <w:t xml:space="preserve"> 1 and </w:t>
      </w:r>
      <w:r w:rsidR="0004792B">
        <w:t>considered</w:t>
      </w:r>
      <w:r>
        <w:t xml:space="preserve"> that Scenario </w:t>
      </w:r>
      <w:bookmarkStart w:id="117" w:name="_Hlk131361292"/>
      <w:r w:rsidR="00FA7D07">
        <w:t xml:space="preserve">2 </w:t>
      </w:r>
      <w:r w:rsidR="0004792B">
        <w:t xml:space="preserve">would be </w:t>
      </w:r>
      <w:r w:rsidR="001E2B55">
        <w:t xml:space="preserve">consistent with the pivotal clinical trial and </w:t>
      </w:r>
      <w:r w:rsidR="00FA7D07">
        <w:t xml:space="preserve">the </w:t>
      </w:r>
      <w:r w:rsidR="001E2B55">
        <w:t>proposed TGA restriction</w:t>
      </w:r>
      <w:bookmarkEnd w:id="117"/>
      <w:r w:rsidR="0004792B">
        <w:t>. The PBAC therefore considered that Scenario 2 was the appropriate listing scenario for nivolumab.</w:t>
      </w:r>
      <w:r w:rsidR="00B329B7">
        <w:t xml:space="preserve"> </w:t>
      </w:r>
    </w:p>
    <w:p w14:paraId="7F16959B" w14:textId="0AE39A0C" w:rsidR="00C74767" w:rsidRPr="00C74767" w:rsidRDefault="001E2B55" w:rsidP="00C74767">
      <w:pPr>
        <w:pStyle w:val="3-BodyText"/>
        <w:rPr>
          <w:lang w:val="en-GB"/>
        </w:rPr>
      </w:pPr>
      <w:r>
        <w:t>T</w:t>
      </w:r>
      <w:r w:rsidR="00266254">
        <w:t xml:space="preserve">he PBAC </w:t>
      </w:r>
      <w:r w:rsidR="00C74767">
        <w:t xml:space="preserve">agreed with the ESC that </w:t>
      </w:r>
      <w:r w:rsidR="00C74767" w:rsidRPr="00CA56B5">
        <w:t xml:space="preserve">restricting access based on PD-L1 status </w:t>
      </w:r>
      <w:r w:rsidR="003E5E39">
        <w:t>would</w:t>
      </w:r>
      <w:r w:rsidR="003E5E39" w:rsidRPr="00CA56B5">
        <w:t xml:space="preserve"> </w:t>
      </w:r>
      <w:r w:rsidR="00C74767" w:rsidRPr="00CA56B5">
        <w:t>not be appropriate</w:t>
      </w:r>
      <w:r w:rsidR="00C74767">
        <w:t xml:space="preserve"> (see paragraph </w:t>
      </w:r>
      <w:r w:rsidR="00C74767">
        <w:fldChar w:fldCharType="begin"/>
      </w:r>
      <w:r w:rsidR="00C74767">
        <w:instrText xml:space="preserve"> REF _Ref127361702 \r \h </w:instrText>
      </w:r>
      <w:r w:rsidR="00C74767">
        <w:fldChar w:fldCharType="separate"/>
      </w:r>
      <w:r w:rsidR="00A77D90">
        <w:t>3.8</w:t>
      </w:r>
      <w:r w:rsidR="00C74767">
        <w:fldChar w:fldCharType="end"/>
      </w:r>
      <w:r w:rsidR="00C74767">
        <w:t>)</w:t>
      </w:r>
      <w:r w:rsidR="003E5E39">
        <w:t>,</w:t>
      </w:r>
      <w:r w:rsidR="00CC7AE8">
        <w:t xml:space="preserve"> </w:t>
      </w:r>
      <w:r w:rsidR="00C74767">
        <w:t>not</w:t>
      </w:r>
      <w:r w:rsidR="003E5E39">
        <w:t>ing</w:t>
      </w:r>
      <w:r w:rsidR="00C74767">
        <w:t xml:space="preserve"> that a restriction agnostic to </w:t>
      </w:r>
      <w:r w:rsidR="00C74767" w:rsidRPr="00CA56B5">
        <w:t>PD-L1 status</w:t>
      </w:r>
      <w:r w:rsidR="00C74767" w:rsidRPr="00C74767">
        <w:t xml:space="preserve"> </w:t>
      </w:r>
      <w:r w:rsidR="00C74767">
        <w:t xml:space="preserve">would be in line with the pivotal clinical trial, the proposed TGA restriction and </w:t>
      </w:r>
      <w:r w:rsidR="00A71E9B">
        <w:t xml:space="preserve">the </w:t>
      </w:r>
      <w:r w:rsidR="00C74767" w:rsidRPr="00CA56B5">
        <w:t xml:space="preserve">September 2022 </w:t>
      </w:r>
      <w:r w:rsidR="00C74767">
        <w:t xml:space="preserve">MSAC </w:t>
      </w:r>
      <w:r w:rsidR="00C74767" w:rsidRPr="00CA56B5">
        <w:t>position statement</w:t>
      </w:r>
      <w:r w:rsidR="00C74767" w:rsidRPr="00CA56B5">
        <w:rPr>
          <w:rStyle w:val="FootnoteReference"/>
        </w:rPr>
        <w:footnoteReference w:id="23"/>
      </w:r>
      <w:r w:rsidR="00C74767">
        <w:t>.</w:t>
      </w:r>
    </w:p>
    <w:p w14:paraId="3B0CC9A4" w14:textId="516A2CE4" w:rsidR="00E74527" w:rsidRPr="004477D2" w:rsidRDefault="00266254" w:rsidP="00712D96">
      <w:pPr>
        <w:pStyle w:val="3-BodyText"/>
        <w:rPr>
          <w:lang w:val="en-GB"/>
        </w:rPr>
      </w:pPr>
      <w:bookmarkStart w:id="118" w:name="_Ref131593524"/>
      <w:r>
        <w:t xml:space="preserve">The </w:t>
      </w:r>
      <w:r w:rsidR="0050494F">
        <w:t>PBAC noted the submission proposed retreatment with a PD-L1 inhibitor for NSCLC</w:t>
      </w:r>
      <w:r w:rsidR="004477D2">
        <w:t xml:space="preserve"> a</w:t>
      </w:r>
      <w:r w:rsidR="00A02BFD">
        <w:t>nd</w:t>
      </w:r>
      <w:r w:rsidR="004477D2">
        <w:t xml:space="preserve"> </w:t>
      </w:r>
      <w:r w:rsidR="00A02BFD">
        <w:t xml:space="preserve">the clinical rationale provided for this approach (see paragraph </w:t>
      </w:r>
      <w:r w:rsidR="00A02BFD">
        <w:fldChar w:fldCharType="begin"/>
      </w:r>
      <w:r w:rsidR="00A02BFD">
        <w:instrText xml:space="preserve"> REF _Ref131063291 \r \h </w:instrText>
      </w:r>
      <w:r w:rsidR="00A02BFD">
        <w:fldChar w:fldCharType="separate"/>
      </w:r>
      <w:r w:rsidR="00A77D90">
        <w:t>3.11</w:t>
      </w:r>
      <w:r w:rsidR="00A02BFD">
        <w:fldChar w:fldCharType="end"/>
      </w:r>
      <w:r w:rsidR="00A02BFD">
        <w:t xml:space="preserve">) which was supported by the clinician in the sponsor hearing (see paragraph </w:t>
      </w:r>
      <w:r w:rsidR="00A02BFD">
        <w:fldChar w:fldCharType="begin"/>
      </w:r>
      <w:r w:rsidR="00A02BFD">
        <w:instrText xml:space="preserve"> REF _Ref131063450 \r \h </w:instrText>
      </w:r>
      <w:r w:rsidR="00A02BFD">
        <w:fldChar w:fldCharType="separate"/>
      </w:r>
      <w:r w:rsidR="00A77D90">
        <w:t>6.1</w:t>
      </w:r>
      <w:r w:rsidR="00A02BFD">
        <w:fldChar w:fldCharType="end"/>
      </w:r>
      <w:r w:rsidR="00A02BFD">
        <w:t>)</w:t>
      </w:r>
      <w:r w:rsidR="004477D2">
        <w:t xml:space="preserve">. </w:t>
      </w:r>
      <w:r w:rsidR="00695CEB">
        <w:t>Noting</w:t>
      </w:r>
      <w:r w:rsidR="004477D2">
        <w:t xml:space="preserve"> the short duration of neoadjuvant nivolumab therapy</w:t>
      </w:r>
      <w:r w:rsidR="008F3285">
        <w:t>,</w:t>
      </w:r>
      <w:r w:rsidR="004477D2">
        <w:t xml:space="preserve"> the PBAC advised that use of subsequent immunotherapy in those who relapse with metastatic disease may be clinically appropriate</w:t>
      </w:r>
      <w:r w:rsidR="004477D2" w:rsidRPr="00EC194F">
        <w:t xml:space="preserve">, </w:t>
      </w:r>
      <w:r w:rsidR="00C8118D">
        <w:t xml:space="preserve">but expressed </w:t>
      </w:r>
      <w:r w:rsidR="00EE0BC8">
        <w:t>a</w:t>
      </w:r>
      <w:r w:rsidR="00C8118D">
        <w:t xml:space="preserve"> preference for </w:t>
      </w:r>
      <w:r w:rsidR="00EE0BC8">
        <w:t xml:space="preserve">supportive </w:t>
      </w:r>
      <w:r w:rsidR="004477D2" w:rsidRPr="00EC194F">
        <w:t xml:space="preserve">evidence to support </w:t>
      </w:r>
      <w:r w:rsidR="00EE0BC8">
        <w:t xml:space="preserve">such </w:t>
      </w:r>
      <w:r w:rsidR="004477D2" w:rsidRPr="00EC194F">
        <w:t>use.</w:t>
      </w:r>
      <w:bookmarkEnd w:id="116"/>
      <w:bookmarkEnd w:id="118"/>
      <w:r w:rsidR="00695CEB">
        <w:t xml:space="preserve"> </w:t>
      </w:r>
    </w:p>
    <w:p w14:paraId="5360C52F" w14:textId="0DD6BDB0" w:rsidR="004477D2" w:rsidRPr="00695CEB" w:rsidRDefault="00695CEB" w:rsidP="00712D96">
      <w:pPr>
        <w:pStyle w:val="3-BodyText"/>
        <w:rPr>
          <w:lang w:val="en-GB"/>
        </w:rPr>
      </w:pPr>
      <w:r>
        <w:rPr>
          <w:lang w:val="en-GB"/>
        </w:rPr>
        <w:t xml:space="preserve">The PBAC considered that </w:t>
      </w:r>
      <w:r>
        <w:t>neoadjuvant chemotherapy (neoChemo) as the nominated main comparator was appropriate.</w:t>
      </w:r>
      <w:r w:rsidRPr="005750C5">
        <w:t xml:space="preserve"> </w:t>
      </w:r>
      <w:r>
        <w:t>The nomination of a</w:t>
      </w:r>
      <w:r w:rsidRPr="00F879F8">
        <w:t>djuvant chemotherapy</w:t>
      </w:r>
      <w:r>
        <w:t xml:space="preserve"> (adjChemo) as a secondary comparator and a</w:t>
      </w:r>
      <w:r w:rsidRPr="00F879F8">
        <w:t>djuvant chemotherapy followed by atezolizumab</w:t>
      </w:r>
      <w:r>
        <w:t xml:space="preserve"> (adjChemo+adjATEZO) as a supplementary comparator was also considered reasonable by the Committee.</w:t>
      </w:r>
    </w:p>
    <w:p w14:paraId="2B66E05C" w14:textId="1871F462" w:rsidR="00217470" w:rsidRPr="00217470" w:rsidRDefault="006D5E7B" w:rsidP="000F0491">
      <w:pPr>
        <w:pStyle w:val="3-BodyText"/>
        <w:rPr>
          <w:lang w:val="en-GB"/>
        </w:rPr>
      </w:pPr>
      <w:r>
        <w:rPr>
          <w:lang w:val="en-GB"/>
        </w:rPr>
        <w:t xml:space="preserve">The PBAC noted the </w:t>
      </w:r>
      <w:r>
        <w:t xml:space="preserve">primary evidence </w:t>
      </w:r>
      <w:r w:rsidR="003331D1">
        <w:t xml:space="preserve">presented in the submission </w:t>
      </w:r>
      <w:r>
        <w:t xml:space="preserve">was based on a direct randomised open-label trial (CM816) comparing </w:t>
      </w:r>
      <w:r w:rsidRPr="000401AC">
        <w:t xml:space="preserve">nivolumab plus platinum-doublet chemotherapy </w:t>
      </w:r>
      <w:r>
        <w:t>(neoNIVO</w:t>
      </w:r>
      <w:r w:rsidRPr="005175D4">
        <w:t>+</w:t>
      </w:r>
      <w:r>
        <w:t>neoChemo</w:t>
      </w:r>
      <w:r w:rsidRPr="005175D4">
        <w:t>)</w:t>
      </w:r>
      <w:r>
        <w:t xml:space="preserve"> with</w:t>
      </w:r>
      <w:r w:rsidRPr="000401AC">
        <w:t xml:space="preserve"> platinum-doublet chemotherapy</w:t>
      </w:r>
      <w:r>
        <w:t xml:space="preserve"> (neoChemo),</w:t>
      </w:r>
      <w:r w:rsidR="00E333C5">
        <w:t xml:space="preserve"> </w:t>
      </w:r>
      <w:r>
        <w:t>as neoadjuvant treatment for resectable e</w:t>
      </w:r>
      <w:r w:rsidRPr="000401AC">
        <w:t xml:space="preserve">arly stage </w:t>
      </w:r>
      <w:r w:rsidRPr="00F13F09">
        <w:t>NSCLC</w:t>
      </w:r>
      <w:r>
        <w:t xml:space="preserve">. </w:t>
      </w:r>
      <w:r w:rsidR="00E333C5">
        <w:t>The PBAC noted that neoNIVO</w:t>
      </w:r>
      <w:r w:rsidR="00E333C5" w:rsidRPr="00623A41">
        <w:t>+</w:t>
      </w:r>
      <w:r w:rsidR="00E333C5">
        <w:t>neoChemo</w:t>
      </w:r>
      <w:r w:rsidR="00E333C5" w:rsidRPr="00623A41">
        <w:t xml:space="preserve"> was associated with a statistically significant improvement in EFS compared with </w:t>
      </w:r>
      <w:r w:rsidR="00E333C5">
        <w:t>neoChemo</w:t>
      </w:r>
      <w:r w:rsidR="00E333C5" w:rsidRPr="00623A41">
        <w:t xml:space="preserve"> (HR = 0.63</w:t>
      </w:r>
      <w:r w:rsidR="003331D1">
        <w:t xml:space="preserve">; </w:t>
      </w:r>
      <w:r w:rsidR="00E333C5" w:rsidRPr="00623A41">
        <w:t>97.38%</w:t>
      </w:r>
      <w:r w:rsidR="00E333C5">
        <w:t xml:space="preserve"> confidence interval</w:t>
      </w:r>
      <w:r w:rsidR="00E333C5" w:rsidRPr="00623A41">
        <w:t xml:space="preserve"> </w:t>
      </w:r>
      <w:r w:rsidR="00E333C5">
        <w:t>[</w:t>
      </w:r>
      <w:r w:rsidR="00E333C5" w:rsidRPr="00623A41">
        <w:t>CI</w:t>
      </w:r>
      <w:r w:rsidR="00E333C5">
        <w:t>]</w:t>
      </w:r>
      <w:r w:rsidR="00E333C5" w:rsidRPr="00623A41">
        <w:t>: 0.43, 0.91)</w:t>
      </w:r>
      <w:r w:rsidR="00CF6EB7">
        <w:t xml:space="preserve"> at the pre-specified Interim analysis 1</w:t>
      </w:r>
      <w:r w:rsidR="00E333C5" w:rsidRPr="00623A41">
        <w:t>.</w:t>
      </w:r>
      <w:r w:rsidR="00E333C5">
        <w:t xml:space="preserve"> </w:t>
      </w:r>
      <w:r w:rsidR="000603F7">
        <w:t xml:space="preserve">The PBAC noted the PD-L1 subgroup analyses indicated the </w:t>
      </w:r>
      <w:r w:rsidR="000603F7" w:rsidRPr="000603F7">
        <w:t>relative reduction in hazard of an EFS event for neoNIVO+neoChemo appeared larger for tumours that express PD-L1</w:t>
      </w:r>
      <w:r w:rsidR="000603F7">
        <w:t xml:space="preserve"> </w:t>
      </w:r>
      <w:r w:rsidR="00031896">
        <w:t xml:space="preserve">(see paragraph </w:t>
      </w:r>
      <w:r w:rsidR="00031896">
        <w:fldChar w:fldCharType="begin"/>
      </w:r>
      <w:r w:rsidR="00031896">
        <w:instrText xml:space="preserve"> REF _Ref131069986 \r \h </w:instrText>
      </w:r>
      <w:r w:rsidR="00031896">
        <w:fldChar w:fldCharType="separate"/>
      </w:r>
      <w:r w:rsidR="00A77D90">
        <w:t>6.24</w:t>
      </w:r>
      <w:r w:rsidR="00031896">
        <w:fldChar w:fldCharType="end"/>
      </w:r>
      <w:r w:rsidR="00031896">
        <w:t xml:space="preserve">) </w:t>
      </w:r>
      <w:r w:rsidR="000603F7">
        <w:t xml:space="preserve">but considered that restricting access based on PD-L1 status </w:t>
      </w:r>
      <w:r w:rsidR="0059087E">
        <w:t>would</w:t>
      </w:r>
      <w:r w:rsidR="000603F7">
        <w:t xml:space="preserve"> not be appropriate</w:t>
      </w:r>
      <w:r w:rsidR="00217470">
        <w:t xml:space="preserve">. The PBAC also noted that </w:t>
      </w:r>
      <w:r w:rsidR="00217470" w:rsidRPr="000A6E90">
        <w:t>the magnitude of relative EFS benefit associated with neoNIVO+neoChemo over neoChemo appeared more pronounced in patients with Stage IIIA disease (N=228, HR 0.54; 95% CI: 0.37, 0.80), compared to those with earlier Stage IB/II disease (N=127, HR 0.87; 95% CI: 0.48, 1.56)</w:t>
      </w:r>
      <w:r w:rsidR="00217470">
        <w:t xml:space="preserve"> but considered that due to a</w:t>
      </w:r>
      <w:r w:rsidR="00217470" w:rsidRPr="000A6E90">
        <w:t xml:space="preserve"> small sample size</w:t>
      </w:r>
      <w:r w:rsidR="00217470">
        <w:t xml:space="preserve"> these results remain inconclusive. </w:t>
      </w:r>
    </w:p>
    <w:p w14:paraId="67D4AB07" w14:textId="3574F2AD" w:rsidR="00064A4E" w:rsidRPr="00274DF8" w:rsidRDefault="00CF6EB7" w:rsidP="00274DF8">
      <w:pPr>
        <w:pStyle w:val="3-BodyText"/>
        <w:rPr>
          <w:lang w:val="en-GB"/>
        </w:rPr>
      </w:pPr>
      <w:r>
        <w:t xml:space="preserve">Acknowledging the </w:t>
      </w:r>
      <w:r>
        <w:rPr>
          <w:rFonts w:eastAsia="Calibri"/>
        </w:rPr>
        <w:t>i</w:t>
      </w:r>
      <w:r w:rsidRPr="000A6E90">
        <w:rPr>
          <w:rFonts w:eastAsia="Calibri"/>
        </w:rPr>
        <w:t>nterim OS data were immature</w:t>
      </w:r>
      <w:r>
        <w:rPr>
          <w:rFonts w:eastAsia="Calibri"/>
        </w:rPr>
        <w:t xml:space="preserve"> </w:t>
      </w:r>
      <w:r w:rsidRPr="000A6E90">
        <w:rPr>
          <w:rFonts w:eastAsia="Calibri"/>
        </w:rPr>
        <w:t xml:space="preserve">the </w:t>
      </w:r>
      <w:r>
        <w:rPr>
          <w:rFonts w:eastAsia="Calibri"/>
        </w:rPr>
        <w:t xml:space="preserve">PBAC </w:t>
      </w:r>
      <w:r w:rsidR="003E5E39">
        <w:rPr>
          <w:rFonts w:eastAsia="Calibri"/>
        </w:rPr>
        <w:t xml:space="preserve">noted </w:t>
      </w:r>
      <w:r>
        <w:rPr>
          <w:rFonts w:eastAsia="Calibri"/>
        </w:rPr>
        <w:t xml:space="preserve">the </w:t>
      </w:r>
      <w:r w:rsidRPr="000A6E90">
        <w:rPr>
          <w:rFonts w:eastAsia="Calibri"/>
        </w:rPr>
        <w:t>results</w:t>
      </w:r>
      <w:r>
        <w:rPr>
          <w:rFonts w:eastAsia="Calibri"/>
        </w:rPr>
        <w:t xml:space="preserve"> indicated a trend to improved survival favouring</w:t>
      </w:r>
      <w:r w:rsidRPr="000A6E90">
        <w:rPr>
          <w:rFonts w:eastAsia="Calibri"/>
        </w:rPr>
        <w:t xml:space="preserve"> neoNIVO+neoChemo over neoChemo (HR for death=0.57; 99.67% CI: 0.30, 1.07).</w:t>
      </w:r>
      <w:r>
        <w:rPr>
          <w:rFonts w:eastAsia="Calibri"/>
        </w:rPr>
        <w:t xml:space="preserve"> </w:t>
      </w:r>
      <w:r w:rsidR="00064A4E">
        <w:rPr>
          <w:rFonts w:eastAsia="Calibri"/>
        </w:rPr>
        <w:t xml:space="preserve">The PBAC also noted that </w:t>
      </w:r>
      <w:r w:rsidR="00064A4E">
        <w:t>neoNIVO</w:t>
      </w:r>
      <w:r w:rsidR="00064A4E" w:rsidRPr="002B169E">
        <w:t>+</w:t>
      </w:r>
      <w:r w:rsidR="00064A4E">
        <w:t>neoChemo</w:t>
      </w:r>
      <w:r w:rsidR="00064A4E" w:rsidRPr="002B169E">
        <w:t xml:space="preserve"> arm was associated with a reduction in the hazard of distant metastases or death compared to the </w:t>
      </w:r>
      <w:r w:rsidR="00064A4E">
        <w:t>neoChemo</w:t>
      </w:r>
      <w:r w:rsidR="00064A4E" w:rsidRPr="002B169E">
        <w:t xml:space="preserve"> arm (HR=0.53; 95% CI: 0.36, 0.77)</w:t>
      </w:r>
      <w:r w:rsidR="00064A4E">
        <w:t xml:space="preserve"> and </w:t>
      </w:r>
      <w:r w:rsidR="003E5E39">
        <w:t>agreed with</w:t>
      </w:r>
      <w:r w:rsidR="00064A4E" w:rsidRPr="00064A4E">
        <w:t xml:space="preserve"> the ESC that this was clinically meaningful for this patient group</w:t>
      </w:r>
      <w:r w:rsidR="00064A4E">
        <w:t>.</w:t>
      </w:r>
      <w:r w:rsidR="00274DF8">
        <w:t xml:space="preserve"> Overall, the PBAC</w:t>
      </w:r>
      <w:r w:rsidR="00274DF8" w:rsidRPr="000F0491">
        <w:t xml:space="preserve"> considered that the claim of superior comparative effectiveness for neoNIVO+neoChemo versus neoChemo was supported by the data presented for EFS</w:t>
      </w:r>
      <w:r w:rsidR="00274DF8">
        <w:t xml:space="preserve"> which indicated a moderate benefit for this outcome.</w:t>
      </w:r>
    </w:p>
    <w:p w14:paraId="664DBE30" w14:textId="4CD26D31" w:rsidR="000F0491" w:rsidRPr="000F0491" w:rsidRDefault="000F0491" w:rsidP="000F0491">
      <w:pPr>
        <w:pStyle w:val="3-BodyText"/>
        <w:rPr>
          <w:lang w:val="en-GB"/>
        </w:rPr>
      </w:pPr>
      <w:r>
        <w:rPr>
          <w:rFonts w:eastAsia="Calibri"/>
        </w:rPr>
        <w:t xml:space="preserve">The PBAC noted that the addition of nivolumab to </w:t>
      </w:r>
      <w:r w:rsidR="008716AF">
        <w:rPr>
          <w:rFonts w:eastAsia="Calibri"/>
        </w:rPr>
        <w:t xml:space="preserve">neoadjuvant </w:t>
      </w:r>
      <w:r>
        <w:rPr>
          <w:rFonts w:eastAsia="Calibri"/>
        </w:rPr>
        <w:t>chemotherapy did not impact on patient quality of life (QoL) compared to the use of chemotherapy alone</w:t>
      </w:r>
      <w:r w:rsidR="00354039">
        <w:rPr>
          <w:rFonts w:eastAsia="Calibri"/>
        </w:rPr>
        <w:t xml:space="preserve">. The Committee also noted that no detrimental effects on the proportion of patients undergoing surgery or complications were evident from the data presented. </w:t>
      </w:r>
    </w:p>
    <w:p w14:paraId="58F8C4B9" w14:textId="7CED4335" w:rsidR="00FC5EF2" w:rsidRDefault="00FC5EF2" w:rsidP="00FC5EF2">
      <w:pPr>
        <w:widowControl w:val="0"/>
        <w:numPr>
          <w:ilvl w:val="1"/>
          <w:numId w:val="1"/>
        </w:numPr>
        <w:spacing w:after="120"/>
      </w:pPr>
      <w:r w:rsidRPr="00FC5EF2">
        <w:t xml:space="preserve">The </w:t>
      </w:r>
      <w:r>
        <w:t>PBAC noted the rates of any adverse effects (AE)</w:t>
      </w:r>
      <w:r w:rsidR="00274DF8">
        <w:t xml:space="preserve"> </w:t>
      </w:r>
      <w:r>
        <w:t>(all cause),</w:t>
      </w:r>
      <w:r w:rsidRPr="00FC5EF2">
        <w:rPr>
          <w:rFonts w:eastAsia="Calibri"/>
        </w:rPr>
        <w:t xml:space="preserve"> </w:t>
      </w:r>
      <w:r>
        <w:rPr>
          <w:rFonts w:eastAsia="Calibri"/>
        </w:rPr>
        <w:t xml:space="preserve">AE of </w:t>
      </w:r>
      <w:r w:rsidRPr="000A6E90">
        <w:rPr>
          <w:rFonts w:eastAsia="Calibri"/>
        </w:rPr>
        <w:t>Grade ≥ 3, and AEs resulting in treatment discontinuation (all-cause or treatment-related), were similar between the treatment arms</w:t>
      </w:r>
      <w:r>
        <w:rPr>
          <w:rFonts w:eastAsia="Calibri"/>
        </w:rPr>
        <w:t xml:space="preserve"> of CM816</w:t>
      </w:r>
      <w:r w:rsidRPr="000A6E90">
        <w:rPr>
          <w:rFonts w:eastAsia="Calibri"/>
        </w:rPr>
        <w:t>.</w:t>
      </w:r>
      <w:r>
        <w:t xml:space="preserve"> However, the PBAC considered </w:t>
      </w:r>
      <w:r w:rsidRPr="000A6E90">
        <w:rPr>
          <w:rFonts w:eastAsia="Calibri"/>
        </w:rPr>
        <w:t xml:space="preserve">the addition of nivolumab to chemotherapy </w:t>
      </w:r>
      <w:r w:rsidR="00A4138E">
        <w:rPr>
          <w:rFonts w:eastAsia="Calibri"/>
        </w:rPr>
        <w:t>wa</w:t>
      </w:r>
      <w:r w:rsidRPr="000A6E90">
        <w:rPr>
          <w:rFonts w:eastAsia="Calibri"/>
        </w:rPr>
        <w:t xml:space="preserve">s </w:t>
      </w:r>
      <w:r w:rsidR="00A4138E">
        <w:rPr>
          <w:rFonts w:eastAsia="Calibri"/>
        </w:rPr>
        <w:t>associated with</w:t>
      </w:r>
      <w:r w:rsidRPr="000A6E90">
        <w:rPr>
          <w:rFonts w:eastAsia="Calibri"/>
        </w:rPr>
        <w:t xml:space="preserve"> an increased risk of immune checkpoint-related AEs. </w:t>
      </w:r>
      <w:r>
        <w:t>As such, t</w:t>
      </w:r>
      <w:r w:rsidRPr="00FC5EF2">
        <w:t xml:space="preserve">he </w:t>
      </w:r>
      <w:r>
        <w:t>PBAC considered that</w:t>
      </w:r>
      <w:r w:rsidRPr="00FC5EF2">
        <w:t xml:space="preserve"> the claim of non-inferior safety was not supported by the clinical evidence provided in the submission.</w:t>
      </w:r>
      <w:r w:rsidR="00CC7AE8">
        <w:t xml:space="preserve"> </w:t>
      </w:r>
    </w:p>
    <w:p w14:paraId="3F7344CA" w14:textId="18448D98" w:rsidR="000823D5" w:rsidRDefault="000823D5" w:rsidP="000823D5">
      <w:pPr>
        <w:pStyle w:val="3-BodyText"/>
      </w:pPr>
      <w:r w:rsidRPr="000823D5">
        <w:t>T</w:t>
      </w:r>
      <w:r>
        <w:t>he PBAC considered t</w:t>
      </w:r>
      <w:r w:rsidRPr="000823D5">
        <w:t>here were major transitivity issues with the indirect treatment comparisons (ITC)</w:t>
      </w:r>
      <w:r>
        <w:t xml:space="preserve"> </w:t>
      </w:r>
      <w:r w:rsidRPr="000823D5">
        <w:t>of neoNIVO+neoChemo versus adjChemo and versus</w:t>
      </w:r>
      <w:r w:rsidR="00716DBE">
        <w:t xml:space="preserve"> </w:t>
      </w:r>
      <w:r w:rsidRPr="000823D5">
        <w:t xml:space="preserve">adjChemo+adjATEZO as a result of important unadjusted differences in study, patient, and disease characteristics. The multi-step ITC between neoNIVO+neoChemo and adjChemo+adjATEZO involved substantial modelling or adjustment of the observed data. </w:t>
      </w:r>
      <w:r w:rsidR="008F3285">
        <w:t>As such, t</w:t>
      </w:r>
      <w:r w:rsidRPr="000823D5">
        <w:t>he</w:t>
      </w:r>
      <w:r>
        <w:t xml:space="preserve"> </w:t>
      </w:r>
      <w:r w:rsidR="002E7DC7">
        <w:t xml:space="preserve">PBAC considered that the </w:t>
      </w:r>
      <w:r w:rsidRPr="000823D5">
        <w:t xml:space="preserve">indirect estimates of effect </w:t>
      </w:r>
      <w:r w:rsidR="002E7DC7">
        <w:t>are</w:t>
      </w:r>
      <w:r w:rsidRPr="000823D5">
        <w:t xml:space="preserve"> unlikely to be an accurate reflection of the comparative effectiveness between the neoadjuvant use of nivolumab and the adjuvant use of atezolizumab. The </w:t>
      </w:r>
      <w:r>
        <w:t>PBAC</w:t>
      </w:r>
      <w:r w:rsidRPr="000823D5">
        <w:t xml:space="preserve"> considered that the ITC limitations lead to a high level of uncertainty regarding the magnitude of any incremental benefit associated with neoNIVO+neoChemo compared with either adjChemo or adjChemo+adjATEZO.</w:t>
      </w:r>
      <w:r>
        <w:t xml:space="preserve"> </w:t>
      </w:r>
      <w:r w:rsidR="008C004B">
        <w:t xml:space="preserve">As such, the PBAC considered the comparative effectiveness and safety claims compared to adjChemo and adjChemo+adjATEZO were not adequately supported by the data provided in the submission (see paragraphs </w:t>
      </w:r>
      <w:r w:rsidR="008C004B">
        <w:fldChar w:fldCharType="begin"/>
      </w:r>
      <w:r w:rsidR="008C004B">
        <w:instrText xml:space="preserve"> REF _Ref131088555 \r \h </w:instrText>
      </w:r>
      <w:r w:rsidR="008C004B">
        <w:fldChar w:fldCharType="separate"/>
      </w:r>
      <w:r w:rsidR="00A77D90">
        <w:t>6.62</w:t>
      </w:r>
      <w:r w:rsidR="008C004B">
        <w:fldChar w:fldCharType="end"/>
      </w:r>
      <w:r w:rsidR="008C004B">
        <w:t xml:space="preserve"> and </w:t>
      </w:r>
      <w:r w:rsidR="008C004B">
        <w:fldChar w:fldCharType="begin"/>
      </w:r>
      <w:r w:rsidR="008C004B">
        <w:instrText xml:space="preserve"> REF _Ref131088558 \r \h </w:instrText>
      </w:r>
      <w:r w:rsidR="008C004B">
        <w:fldChar w:fldCharType="separate"/>
      </w:r>
      <w:r w:rsidR="00A77D90">
        <w:t>6.63</w:t>
      </w:r>
      <w:r w:rsidR="008C004B">
        <w:fldChar w:fldCharType="end"/>
      </w:r>
      <w:r w:rsidR="008C004B">
        <w:t>).</w:t>
      </w:r>
    </w:p>
    <w:p w14:paraId="53F2373C" w14:textId="7E051826" w:rsidR="002E7DC7" w:rsidRPr="00DE7435" w:rsidRDefault="00BB1958" w:rsidP="00385367">
      <w:pPr>
        <w:pStyle w:val="3-BodyText"/>
        <w:rPr>
          <w:lang w:val="en-GB"/>
        </w:rPr>
      </w:pPr>
      <w:bookmarkStart w:id="119" w:name="_Ref131360993"/>
      <w:r w:rsidRPr="00BB1958">
        <w:t>The economic evaluation compared the health outcomes and the costs of neoNIVO+neoChemo versus neoChemo. The</w:t>
      </w:r>
      <w:r w:rsidR="00716DBE">
        <w:t xml:space="preserve"> PBAC noted the</w:t>
      </w:r>
      <w:r w:rsidRPr="00BB1958">
        <w:t xml:space="preserve"> ITCs of neoNIVO+neoChemo versus adjChemo or adjChemo+adjATEZO were not used in the economic analysis.</w:t>
      </w:r>
      <w:r w:rsidR="00716DBE">
        <w:t xml:space="preserve"> </w:t>
      </w:r>
    </w:p>
    <w:p w14:paraId="6545FDBB" w14:textId="0586F417" w:rsidR="00DE7435" w:rsidRPr="00BB6B6F" w:rsidRDefault="00DE7435" w:rsidP="00DE7435">
      <w:pPr>
        <w:pStyle w:val="3-BodyText"/>
        <w:rPr>
          <w:lang w:val="en-GB"/>
        </w:rPr>
      </w:pPr>
      <w:r>
        <w:t xml:space="preserve">Overall the PBAC considered the model results to be highly uncertain and likely optimistic. The PBAC noted that </w:t>
      </w:r>
      <w:r w:rsidRPr="000A6E90">
        <w:t xml:space="preserve">the </w:t>
      </w:r>
      <w:r w:rsidR="00A41D24" w:rsidRPr="00716DBE">
        <w:t xml:space="preserve">incremental life years </w:t>
      </w:r>
      <w:r w:rsidR="00A41D24">
        <w:t>(</w:t>
      </w:r>
      <w:r w:rsidRPr="000A6E90">
        <w:t>LYs</w:t>
      </w:r>
      <w:r w:rsidR="00A41D24">
        <w:t>)</w:t>
      </w:r>
      <w:r w:rsidRPr="000A6E90">
        <w:t xml:space="preserve"> and </w:t>
      </w:r>
      <w:r w:rsidR="00A41D24" w:rsidRPr="00716DBE">
        <w:t xml:space="preserve">quality-adjusted life years </w:t>
      </w:r>
      <w:r w:rsidR="00F347C7">
        <w:t>(</w:t>
      </w:r>
      <w:r w:rsidRPr="000A6E90">
        <w:t>QALYs</w:t>
      </w:r>
      <w:r w:rsidR="00F347C7">
        <w:t>)</w:t>
      </w:r>
      <w:r w:rsidRPr="000A6E90">
        <w:t xml:space="preserve"> gained </w:t>
      </w:r>
      <w:r>
        <w:t>with the addition of nivolumab over</w:t>
      </w:r>
      <w:r w:rsidRPr="000A6E90">
        <w:t xml:space="preserve"> the trial period were </w:t>
      </w:r>
      <w:r>
        <w:t>small</w:t>
      </w:r>
      <w:r w:rsidRPr="000A6E90">
        <w:t xml:space="preserve"> (0.09 LY and 0.10 QALY)</w:t>
      </w:r>
      <w:r w:rsidR="0081066C">
        <w:t xml:space="preserve"> but increased substantially over the 25 year model time horizon to 1.23 LY and 1.03 QALYs (</w:t>
      </w:r>
      <w:r w:rsidR="00697CA8">
        <w:t xml:space="preserve">discounted estimates, </w:t>
      </w:r>
      <w:r w:rsidR="00CA09AC">
        <w:t>2.12</w:t>
      </w:r>
      <w:r w:rsidR="00697CA8">
        <w:t xml:space="preserve"> LYs and </w:t>
      </w:r>
      <w:r w:rsidR="00CA09AC">
        <w:t>1.74</w:t>
      </w:r>
      <w:r w:rsidR="00697CA8">
        <w:t xml:space="preserve"> QALYs with discounting removed</w:t>
      </w:r>
      <w:r w:rsidR="0081066C">
        <w:t>). The PBAC</w:t>
      </w:r>
      <w:r w:rsidR="00885BB2">
        <w:t xml:space="preserve"> further</w:t>
      </w:r>
      <w:r w:rsidR="0081066C">
        <w:t xml:space="preserve"> noted </w:t>
      </w:r>
      <w:r w:rsidR="00885BB2">
        <w:t>structural</w:t>
      </w:r>
      <w:r w:rsidR="0081066C">
        <w:t xml:space="preserve"> uncertain</w:t>
      </w:r>
      <w:r w:rsidR="00885BB2">
        <w:t xml:space="preserve">ty with the model due to the </w:t>
      </w:r>
      <w:r w:rsidR="00B65FF6">
        <w:t>assumption of</w:t>
      </w:r>
      <w:r w:rsidR="00885BB2">
        <w:t xml:space="preserve"> an ongoing treatment effect (</w:t>
      </w:r>
      <w:r w:rsidR="0063796F">
        <w:t xml:space="preserve">see </w:t>
      </w:r>
      <w:r w:rsidR="00885BB2">
        <w:t xml:space="preserve">paragraph </w:t>
      </w:r>
      <w:r w:rsidR="00A3428F">
        <w:rPr>
          <w:highlight w:val="yellow"/>
        </w:rPr>
        <w:fldChar w:fldCharType="begin"/>
      </w:r>
      <w:r w:rsidR="00A3428F">
        <w:instrText xml:space="preserve"> REF _Ref131686913 \r \h </w:instrText>
      </w:r>
      <w:r w:rsidR="00A3428F">
        <w:rPr>
          <w:highlight w:val="yellow"/>
        </w:rPr>
      </w:r>
      <w:r w:rsidR="00A3428F">
        <w:rPr>
          <w:highlight w:val="yellow"/>
        </w:rPr>
        <w:fldChar w:fldCharType="separate"/>
      </w:r>
      <w:r w:rsidR="00A77D90">
        <w:t>6.68</w:t>
      </w:r>
      <w:r w:rsidR="00A3428F">
        <w:rPr>
          <w:highlight w:val="yellow"/>
        </w:rPr>
        <w:fldChar w:fldCharType="end"/>
      </w:r>
      <w:r w:rsidR="00885BB2">
        <w:t>), assumptions regarding cure time points (</w:t>
      </w:r>
      <w:r w:rsidR="0063796F">
        <w:t xml:space="preserve">see </w:t>
      </w:r>
      <w:r w:rsidR="00885BB2">
        <w:t>paragraph</w:t>
      </w:r>
      <w:r w:rsidR="00A3428F">
        <w:t xml:space="preserve"> </w:t>
      </w:r>
      <w:r w:rsidR="00A3428F">
        <w:fldChar w:fldCharType="begin"/>
      </w:r>
      <w:r w:rsidR="00A3428F">
        <w:instrText xml:space="preserve"> REF _Ref131687026 \r \h </w:instrText>
      </w:r>
      <w:r w:rsidR="00A3428F">
        <w:fldChar w:fldCharType="separate"/>
      </w:r>
      <w:r w:rsidR="00A77D90">
        <w:t>6.69</w:t>
      </w:r>
      <w:r w:rsidR="00A3428F">
        <w:fldChar w:fldCharType="end"/>
      </w:r>
      <w:r w:rsidR="00885BB2">
        <w:t xml:space="preserve">) and modelling the distant metastasis </w:t>
      </w:r>
      <w:r w:rsidR="00A3428F">
        <w:t xml:space="preserve">(DM) </w:t>
      </w:r>
      <w:r w:rsidR="00885BB2">
        <w:t xml:space="preserve">health state as an absorbing state </w:t>
      </w:r>
      <w:r w:rsidR="00BB6B6F">
        <w:t xml:space="preserve">in which </w:t>
      </w:r>
      <w:r w:rsidR="00BB6B6F" w:rsidRPr="00CA56B5">
        <w:t xml:space="preserve">cost-ineffective therapies </w:t>
      </w:r>
      <w:r w:rsidR="00BB6B6F">
        <w:t>were</w:t>
      </w:r>
      <w:r w:rsidR="00A41D24">
        <w:t xml:space="preserve"> applied</w:t>
      </w:r>
      <w:r w:rsidR="00BB6B6F">
        <w:t xml:space="preserve"> </w:t>
      </w:r>
      <w:r w:rsidR="00885BB2">
        <w:t>(</w:t>
      </w:r>
      <w:r w:rsidR="0063796F">
        <w:t xml:space="preserve">see </w:t>
      </w:r>
      <w:r w:rsidR="00885BB2">
        <w:t>paragraphs</w:t>
      </w:r>
      <w:r w:rsidR="0052332D">
        <w:t xml:space="preserve"> </w:t>
      </w:r>
      <w:r w:rsidR="0052332D">
        <w:fldChar w:fldCharType="begin"/>
      </w:r>
      <w:r w:rsidR="0052332D">
        <w:instrText xml:space="preserve"> REF _Ref127880848 \r \h </w:instrText>
      </w:r>
      <w:r w:rsidR="0052332D">
        <w:fldChar w:fldCharType="separate"/>
      </w:r>
      <w:r w:rsidR="00A77D90">
        <w:t>6.73</w:t>
      </w:r>
      <w:r w:rsidR="0052332D">
        <w:fldChar w:fldCharType="end"/>
      </w:r>
      <w:r w:rsidR="0052332D">
        <w:t xml:space="preserve"> to </w:t>
      </w:r>
      <w:r w:rsidR="0052332D">
        <w:fldChar w:fldCharType="begin"/>
      </w:r>
      <w:r w:rsidR="0052332D">
        <w:instrText xml:space="preserve"> REF _Ref131350487 \r \h </w:instrText>
      </w:r>
      <w:r w:rsidR="0052332D">
        <w:fldChar w:fldCharType="separate"/>
      </w:r>
      <w:r w:rsidR="00A77D90">
        <w:t>6.77</w:t>
      </w:r>
      <w:r w:rsidR="0052332D">
        <w:fldChar w:fldCharType="end"/>
      </w:r>
      <w:r w:rsidR="00885BB2">
        <w:t>).</w:t>
      </w:r>
      <w:r w:rsidR="00A41D24">
        <w:t xml:space="preserve"> </w:t>
      </w:r>
    </w:p>
    <w:p w14:paraId="742C061E" w14:textId="200AEDC3" w:rsidR="00557BB0" w:rsidRPr="00B65FF6" w:rsidRDefault="00716DBE" w:rsidP="00557BB0">
      <w:pPr>
        <w:pStyle w:val="3-BodyText"/>
        <w:rPr>
          <w:lang w:val="en-GB"/>
        </w:rPr>
      </w:pPr>
      <w:bookmarkStart w:id="120" w:name="_Ref131594432"/>
      <w:r w:rsidRPr="00716DBE">
        <w:t xml:space="preserve">The </w:t>
      </w:r>
      <w:r>
        <w:t xml:space="preserve">PBAC considered the </w:t>
      </w:r>
      <w:r w:rsidRPr="00716DBE">
        <w:t>short follow-up of the</w:t>
      </w:r>
      <w:r w:rsidR="00B65FF6" w:rsidRPr="00B65FF6">
        <w:t xml:space="preserve"> </w:t>
      </w:r>
      <w:r w:rsidR="00B65FF6">
        <w:t>CM816</w:t>
      </w:r>
      <w:r w:rsidRPr="00716DBE">
        <w:t xml:space="preserve"> trial (median: 29.</w:t>
      </w:r>
      <w:r w:rsidR="005131AC" w:rsidRPr="00716DBE">
        <w:t>5</w:t>
      </w:r>
      <w:r w:rsidR="005131AC">
        <w:t> </w:t>
      </w:r>
      <w:r w:rsidRPr="00716DBE">
        <w:t>months) did not provide a reliable basis for the extrapolation</w:t>
      </w:r>
      <w:r w:rsidR="00B65FF6">
        <w:t xml:space="preserve"> of outcomes</w:t>
      </w:r>
      <w:r w:rsidR="00A41D24">
        <w:t xml:space="preserve"> over </w:t>
      </w:r>
      <w:r w:rsidR="00B65FF6">
        <w:t>the</w:t>
      </w:r>
      <w:r w:rsidR="00A41D24">
        <w:t xml:space="preserve"> </w:t>
      </w:r>
      <w:r w:rsidR="005131AC">
        <w:t>25 </w:t>
      </w:r>
      <w:r w:rsidR="00A41D24">
        <w:t xml:space="preserve">year </w:t>
      </w:r>
      <w:r w:rsidR="00F347C7">
        <w:t xml:space="preserve">model </w:t>
      </w:r>
      <w:r w:rsidR="00A41D24">
        <w:t>time horizon</w:t>
      </w:r>
      <w:r w:rsidRPr="00716DBE">
        <w:t xml:space="preserve">. The </w:t>
      </w:r>
      <w:r>
        <w:t>PBAC</w:t>
      </w:r>
      <w:r w:rsidRPr="00716DBE">
        <w:t xml:space="preserve"> considered that based on the duration of follow-up in the clinical trial</w:t>
      </w:r>
      <w:r w:rsidR="00F347C7">
        <w:t xml:space="preserve"> and the associated immature </w:t>
      </w:r>
      <w:r w:rsidR="0063796F">
        <w:t>OS</w:t>
      </w:r>
      <w:r w:rsidR="00F347C7">
        <w:t xml:space="preserve"> data</w:t>
      </w:r>
      <w:r w:rsidRPr="00716DBE">
        <w:t>, a 15-year time horizon was more reasonable</w:t>
      </w:r>
      <w:r w:rsidRPr="00B65FF6">
        <w:t>.</w:t>
      </w:r>
      <w:bookmarkEnd w:id="120"/>
      <w:r w:rsidRPr="00B65FF6">
        <w:t xml:space="preserve"> </w:t>
      </w:r>
      <w:r w:rsidR="00A43D5C" w:rsidRPr="00B65FF6">
        <w:t xml:space="preserve">The PBAC noted </w:t>
      </w:r>
      <w:r w:rsidR="00B65FF6" w:rsidRPr="00B65FF6">
        <w:t xml:space="preserve">however </w:t>
      </w:r>
      <w:r w:rsidR="00A43D5C" w:rsidRPr="00B65FF6">
        <w:t xml:space="preserve">that </w:t>
      </w:r>
      <w:r w:rsidR="00B65FF6">
        <w:t>due to</w:t>
      </w:r>
      <w:r w:rsidR="00A43D5C" w:rsidRPr="00B65FF6">
        <w:t xml:space="preserve"> one-off costs and outcomes </w:t>
      </w:r>
      <w:r w:rsidR="00B65FF6">
        <w:t xml:space="preserve">being applied in </w:t>
      </w:r>
      <w:r w:rsidR="00A43D5C" w:rsidRPr="00B65FF6">
        <w:t xml:space="preserve">the </w:t>
      </w:r>
      <w:r w:rsidR="0052332D">
        <w:t>DM</w:t>
      </w:r>
      <w:r w:rsidR="00A43D5C" w:rsidRPr="00B65FF6">
        <w:t xml:space="preserve"> health state </w:t>
      </w:r>
      <w:r w:rsidR="00B65FF6" w:rsidRPr="00B65FF6">
        <w:t>reducing</w:t>
      </w:r>
      <w:r w:rsidR="00A43D5C" w:rsidRPr="00B65FF6">
        <w:t xml:space="preserve"> the time horizon </w:t>
      </w:r>
      <w:r w:rsidR="00B4522E">
        <w:t>did</w:t>
      </w:r>
      <w:r w:rsidR="00B65FF6">
        <w:t xml:space="preserve"> not address uncertainties related to this </w:t>
      </w:r>
      <w:r w:rsidR="00A43D5C" w:rsidRPr="00B65FF6">
        <w:t>health state.</w:t>
      </w:r>
    </w:p>
    <w:p w14:paraId="29FB8E99" w14:textId="58B3584B" w:rsidR="00DA4567" w:rsidRDefault="00716DBE" w:rsidP="00DA4567">
      <w:pPr>
        <w:pStyle w:val="3-BodyText"/>
        <w:rPr>
          <w:lang w:val="en-GB"/>
        </w:rPr>
      </w:pPr>
      <w:r w:rsidRPr="00716DBE">
        <w:t xml:space="preserve">The </w:t>
      </w:r>
      <w:r>
        <w:t xml:space="preserve">PBAC </w:t>
      </w:r>
      <w:r w:rsidR="00DA4567">
        <w:t>noted that the</w:t>
      </w:r>
      <w:r w:rsidR="00DA4567" w:rsidRPr="003C4122">
        <w:t xml:space="preserve"> economic model allowed</w:t>
      </w:r>
      <w:r w:rsidR="00DA4567">
        <w:t xml:space="preserve"> </w:t>
      </w:r>
      <w:r w:rsidR="00DA4567" w:rsidRPr="003C4122">
        <w:t xml:space="preserve">a proportion of patients in the EFS health state who are </w:t>
      </w:r>
      <w:r w:rsidR="00DA4567">
        <w:t>‘</w:t>
      </w:r>
      <w:r w:rsidR="00DA4567" w:rsidRPr="003C4122">
        <w:t>cured</w:t>
      </w:r>
      <w:r w:rsidR="00DA4567">
        <w:t>’</w:t>
      </w:r>
      <w:r w:rsidR="00DA4567" w:rsidRPr="003C4122">
        <w:t xml:space="preserve"> to increase linearly from Year 5 to a maximum </w:t>
      </w:r>
      <w:r w:rsidR="00DA4567">
        <w:t xml:space="preserve">of </w:t>
      </w:r>
      <w:r w:rsidR="00DA4567" w:rsidRPr="003C4122">
        <w:t xml:space="preserve">95% at Year </w:t>
      </w:r>
      <w:r w:rsidR="00DA4567">
        <w:t xml:space="preserve">7 in both arms of the model. The PBAC </w:t>
      </w:r>
      <w:r>
        <w:t xml:space="preserve">considered the </w:t>
      </w:r>
      <w:r w:rsidRPr="00716DBE">
        <w:t>cure assumption variables were not well justified in the submission, especially for the neoNIVO+neoChemo arm</w:t>
      </w:r>
      <w:r w:rsidR="008753CB">
        <w:t xml:space="preserve">, and </w:t>
      </w:r>
      <w:r w:rsidR="00F347C7">
        <w:t xml:space="preserve">potentially </w:t>
      </w:r>
      <w:r w:rsidR="008753CB">
        <w:t xml:space="preserve">favoured the intervention (see paragraph </w:t>
      </w:r>
      <w:r w:rsidR="008753CB">
        <w:fldChar w:fldCharType="begin"/>
      </w:r>
      <w:r w:rsidR="008753CB">
        <w:instrText xml:space="preserve"> REF _Ref131347372 \r \h </w:instrText>
      </w:r>
      <w:r w:rsidR="008753CB">
        <w:fldChar w:fldCharType="separate"/>
      </w:r>
      <w:r w:rsidR="00A77D90">
        <w:t>6.69</w:t>
      </w:r>
      <w:r w:rsidR="008753CB">
        <w:fldChar w:fldCharType="end"/>
      </w:r>
      <w:r w:rsidR="008753CB">
        <w:t>)</w:t>
      </w:r>
      <w:r w:rsidRPr="00716DBE">
        <w:t xml:space="preserve">. </w:t>
      </w:r>
      <w:r w:rsidR="00F347C7">
        <w:t>Although</w:t>
      </w:r>
      <w:r w:rsidR="00DA4567">
        <w:t xml:space="preserve"> the ESC </w:t>
      </w:r>
      <w:r w:rsidR="00DA4567" w:rsidRPr="00CA56B5">
        <w:rPr>
          <w:color w:val="000000" w:themeColor="text1"/>
          <w:lang w:val="en-GB"/>
        </w:rPr>
        <w:t>considered</w:t>
      </w:r>
      <w:r w:rsidR="00DA4567">
        <w:rPr>
          <w:color w:val="000000" w:themeColor="text1"/>
          <w:lang w:val="en-GB"/>
        </w:rPr>
        <w:t xml:space="preserve"> </w:t>
      </w:r>
      <w:r w:rsidR="00DA4567" w:rsidRPr="00CA56B5">
        <w:rPr>
          <w:color w:val="000000" w:themeColor="text1"/>
          <w:lang w:val="en-GB"/>
        </w:rPr>
        <w:t>delaying the time point for cure for neoNIVO+neoCHEMO versus neoChemo was likely not required</w:t>
      </w:r>
      <w:r w:rsidR="00DA4567">
        <w:rPr>
          <w:color w:val="000000" w:themeColor="text1"/>
          <w:lang w:val="en-GB"/>
        </w:rPr>
        <w:t xml:space="preserve">, </w:t>
      </w:r>
      <w:r w:rsidR="00F347C7">
        <w:rPr>
          <w:color w:val="000000" w:themeColor="text1"/>
          <w:lang w:val="en-GB"/>
        </w:rPr>
        <w:t>in the context of limited data to support the cure assumption</w:t>
      </w:r>
      <w:r w:rsidR="00B4522E">
        <w:rPr>
          <w:color w:val="000000" w:themeColor="text1"/>
          <w:lang w:val="en-GB"/>
        </w:rPr>
        <w:t>s</w:t>
      </w:r>
      <w:r w:rsidR="00AE7650">
        <w:rPr>
          <w:color w:val="000000" w:themeColor="text1"/>
          <w:lang w:val="en-GB"/>
        </w:rPr>
        <w:t xml:space="preserve"> for </w:t>
      </w:r>
      <w:r w:rsidR="00AE7650" w:rsidRPr="00CA56B5">
        <w:rPr>
          <w:color w:val="000000" w:themeColor="text1"/>
          <w:lang w:val="en-GB"/>
        </w:rPr>
        <w:t>neoNIVO+neoCHEMO</w:t>
      </w:r>
      <w:r w:rsidR="00F347C7">
        <w:rPr>
          <w:color w:val="000000" w:themeColor="text1"/>
          <w:lang w:val="en-GB"/>
        </w:rPr>
        <w:t xml:space="preserve">, </w:t>
      </w:r>
      <w:r w:rsidR="00DA4567">
        <w:rPr>
          <w:lang w:val="en-GB"/>
        </w:rPr>
        <w:t>t</w:t>
      </w:r>
      <w:r w:rsidR="008753CB" w:rsidRPr="00DA4567">
        <w:rPr>
          <w:lang w:val="en-GB"/>
        </w:rPr>
        <w:t>he PBAC advised</w:t>
      </w:r>
      <w:r w:rsidR="00943BD7" w:rsidRPr="00DA4567">
        <w:rPr>
          <w:lang w:val="en-GB"/>
        </w:rPr>
        <w:t xml:space="preserve"> that </w:t>
      </w:r>
      <w:r w:rsidR="00DA4567">
        <w:rPr>
          <w:lang w:val="en-GB"/>
        </w:rPr>
        <w:t xml:space="preserve">it would be more appropriate for </w:t>
      </w:r>
      <w:r w:rsidR="00943BD7" w:rsidRPr="00DA4567">
        <w:rPr>
          <w:lang w:val="en-GB"/>
        </w:rPr>
        <w:t xml:space="preserve">the onset of cure </w:t>
      </w:r>
      <w:r w:rsidR="00DA4567">
        <w:rPr>
          <w:lang w:val="en-GB"/>
        </w:rPr>
        <w:t>to</w:t>
      </w:r>
      <w:r w:rsidR="00943BD7" w:rsidRPr="00DA4567">
        <w:rPr>
          <w:lang w:val="en-GB"/>
        </w:rPr>
        <w:t xml:space="preserve"> be </w:t>
      </w:r>
      <w:r w:rsidR="00DA4567">
        <w:rPr>
          <w:lang w:val="en-GB"/>
        </w:rPr>
        <w:t>delayed</w:t>
      </w:r>
      <w:r w:rsidR="00943BD7" w:rsidRPr="00DA4567">
        <w:rPr>
          <w:lang w:val="en-GB"/>
        </w:rPr>
        <w:t xml:space="preserve"> from 5 years </w:t>
      </w:r>
      <w:r w:rsidR="008753CB" w:rsidRPr="00DA4567">
        <w:rPr>
          <w:lang w:val="en-GB"/>
        </w:rPr>
        <w:t>to 6 years in the neoNIVO+neoCHEMO arm</w:t>
      </w:r>
      <w:r w:rsidR="00DA4567">
        <w:rPr>
          <w:lang w:val="en-GB"/>
        </w:rPr>
        <w:t xml:space="preserve"> of the economic model</w:t>
      </w:r>
      <w:r w:rsidR="008753CB" w:rsidRPr="00DA4567">
        <w:rPr>
          <w:lang w:val="en-GB"/>
        </w:rPr>
        <w:t xml:space="preserve">. </w:t>
      </w:r>
    </w:p>
    <w:p w14:paraId="51BF5555" w14:textId="34752713" w:rsidR="0028014D" w:rsidRPr="00A43D5C" w:rsidRDefault="00943BD7" w:rsidP="00D833CA">
      <w:pPr>
        <w:pStyle w:val="3-BodyText"/>
        <w:rPr>
          <w:lang w:val="en-GB"/>
        </w:rPr>
      </w:pPr>
      <w:r>
        <w:t xml:space="preserve">The PBAC </w:t>
      </w:r>
      <w:r w:rsidR="00FF63FB">
        <w:t>noted</w:t>
      </w:r>
      <w:r w:rsidR="003E6534">
        <w:t xml:space="preserve"> the utility</w:t>
      </w:r>
      <w:r w:rsidR="008A1F60">
        <w:t xml:space="preserve"> value for EFS</w:t>
      </w:r>
      <w:r w:rsidR="003E6534">
        <w:t xml:space="preserve"> based on the </w:t>
      </w:r>
      <w:r w:rsidR="003E6534" w:rsidRPr="000457E8">
        <w:t>EQ-5D data</w:t>
      </w:r>
      <w:r w:rsidR="008A1F60">
        <w:t xml:space="preserve"> from the CM816 trial was higher than the expected utility for </w:t>
      </w:r>
      <w:r w:rsidR="0079636D">
        <w:t>the</w:t>
      </w:r>
      <w:r w:rsidR="008A1F60">
        <w:t xml:space="preserve"> general Australian population (0.874 </w:t>
      </w:r>
      <w:r w:rsidR="008A1F60" w:rsidRPr="000A6E90">
        <w:t>vs.</w:t>
      </w:r>
      <w:r w:rsidR="008A1F60">
        <w:t xml:space="preserve"> 0.850) and therefore the general population utility of 0.850 was used as the EFS health state utility in the economic model. </w:t>
      </w:r>
      <w:r w:rsidR="006271E7">
        <w:t>This resulted in</w:t>
      </w:r>
      <w:r w:rsidR="008A1F60">
        <w:t xml:space="preserve"> no </w:t>
      </w:r>
      <w:r w:rsidR="0063796F">
        <w:t>QoL</w:t>
      </w:r>
      <w:r w:rsidR="00FF63FB" w:rsidRPr="000A6E90">
        <w:t xml:space="preserve"> decrements associated with a diagnosis of NSCLC</w:t>
      </w:r>
      <w:r w:rsidR="00FF63FB" w:rsidRPr="00FF63FB">
        <w:t xml:space="preserve"> </w:t>
      </w:r>
      <w:r w:rsidR="0063796F">
        <w:t xml:space="preserve">or </w:t>
      </w:r>
      <w:r w:rsidR="00B4522E">
        <w:t xml:space="preserve">its </w:t>
      </w:r>
      <w:r w:rsidR="00FF63FB" w:rsidRPr="000A6E90">
        <w:t>treatment</w:t>
      </w:r>
      <w:r w:rsidR="00FF63FB">
        <w:t xml:space="preserve"> </w:t>
      </w:r>
      <w:r w:rsidR="006271E7">
        <w:t xml:space="preserve">being </w:t>
      </w:r>
      <w:r w:rsidR="00FF63FB">
        <w:t>assumed in the economic model.</w:t>
      </w:r>
      <w:r w:rsidR="003E6534" w:rsidRPr="00A43D5C">
        <w:rPr>
          <w:lang w:val="en-GB"/>
        </w:rPr>
        <w:t xml:space="preserve"> The PBAC </w:t>
      </w:r>
      <w:r w:rsidR="0028014D" w:rsidRPr="00A43D5C">
        <w:rPr>
          <w:lang w:val="en-GB"/>
        </w:rPr>
        <w:t>noted that</w:t>
      </w:r>
      <w:r w:rsidR="0028014D" w:rsidRPr="0028014D">
        <w:t xml:space="preserve"> </w:t>
      </w:r>
      <w:r w:rsidR="0028014D" w:rsidRPr="00CA56B5">
        <w:t>the ESC considered the approach taken by the submission to account for the discrepancy in the utility was likely reasonable</w:t>
      </w:r>
      <w:r w:rsidR="0028014D">
        <w:t>, however</w:t>
      </w:r>
      <w:r w:rsidR="0028014D" w:rsidRPr="00A43D5C">
        <w:rPr>
          <w:lang w:val="en-GB"/>
        </w:rPr>
        <w:t xml:space="preserve"> </w:t>
      </w:r>
      <w:r w:rsidR="0028014D" w:rsidRPr="0028014D">
        <w:t xml:space="preserve">considered </w:t>
      </w:r>
      <w:r w:rsidR="00A43D5C">
        <w:t xml:space="preserve">a decrement in </w:t>
      </w:r>
      <w:r w:rsidR="0063796F">
        <w:t>QoL</w:t>
      </w:r>
      <w:r w:rsidR="00A43D5C">
        <w:t xml:space="preserve"> </w:t>
      </w:r>
      <w:r w:rsidR="00B4522E">
        <w:t>should</w:t>
      </w:r>
      <w:r w:rsidR="00A43D5C">
        <w:t xml:space="preserve"> be modelled and therefore that </w:t>
      </w:r>
      <w:r w:rsidR="0028014D" w:rsidRPr="0028014D">
        <w:t xml:space="preserve">the use of EFS and </w:t>
      </w:r>
      <w:r w:rsidR="0028014D">
        <w:t>locoregional recurrence (</w:t>
      </w:r>
      <w:r w:rsidR="0028014D" w:rsidRPr="0028014D">
        <w:t>LR</w:t>
      </w:r>
      <w:r w:rsidR="0028014D">
        <w:t>)</w:t>
      </w:r>
      <w:r w:rsidR="0028014D" w:rsidRPr="0028014D">
        <w:t xml:space="preserve"> health-state utilities from Grutters et al 2010 </w:t>
      </w:r>
      <w:r w:rsidR="0079636D">
        <w:t xml:space="preserve">would be </w:t>
      </w:r>
      <w:r w:rsidR="0028014D" w:rsidRPr="0028014D">
        <w:t xml:space="preserve">more clinically appropriate despite </w:t>
      </w:r>
      <w:r w:rsidR="0079636D">
        <w:t>its</w:t>
      </w:r>
      <w:r w:rsidR="0028014D" w:rsidRPr="0028014D">
        <w:t xml:space="preserve"> limitations.</w:t>
      </w:r>
      <w:r w:rsidR="00CC7AE8">
        <w:t xml:space="preserve"> </w:t>
      </w:r>
    </w:p>
    <w:p w14:paraId="665B8FED" w14:textId="2F7D87CE" w:rsidR="002E7DC7" w:rsidRPr="003E6534" w:rsidRDefault="00682937" w:rsidP="003E6534">
      <w:pPr>
        <w:pStyle w:val="3-BodyText"/>
        <w:rPr>
          <w:lang w:val="en-GB"/>
        </w:rPr>
      </w:pPr>
      <w:r>
        <w:t>The PBAC noted the economic model assumed that patients would receive immunotherapy for treatment of metast</w:t>
      </w:r>
      <w:r w:rsidR="00504358">
        <w:t>at</w:t>
      </w:r>
      <w:r>
        <w:t>ic NSCLC following neoNIVO+neoChemo</w:t>
      </w:r>
      <w:r w:rsidR="003807BA">
        <w:t xml:space="preserve">. The PBAC </w:t>
      </w:r>
      <w:r>
        <w:t xml:space="preserve">considered </w:t>
      </w:r>
      <w:r w:rsidR="003807BA">
        <w:t>retreatment with a PD-L1 clinically</w:t>
      </w:r>
      <w:r>
        <w:t xml:space="preserve"> appropriate</w:t>
      </w:r>
      <w:r w:rsidR="00B4522E">
        <w:t xml:space="preserve">, although noted </w:t>
      </w:r>
      <w:r w:rsidR="003807BA">
        <w:t xml:space="preserve">that </w:t>
      </w:r>
      <w:r w:rsidR="00B4522E">
        <w:t xml:space="preserve">the costs and outcomes applied </w:t>
      </w:r>
      <w:r w:rsidR="00E66A10">
        <w:t xml:space="preserve">for treatments in the metastatic health state </w:t>
      </w:r>
      <w:r w:rsidR="00697CA8">
        <w:t>did</w:t>
      </w:r>
      <w:r w:rsidR="00B4522E">
        <w:t xml:space="preserve"> </w:t>
      </w:r>
      <w:r w:rsidR="00E66A10">
        <w:t xml:space="preserve">not </w:t>
      </w:r>
      <w:r w:rsidR="00697CA8">
        <w:t>appear to be accurate</w:t>
      </w:r>
      <w:r w:rsidR="003807BA">
        <w:t xml:space="preserve"> and that there was a</w:t>
      </w:r>
      <w:r w:rsidR="005C563A">
        <w:t xml:space="preserve"> </w:t>
      </w:r>
      <w:r w:rsidR="003807BA" w:rsidRPr="00EC194F">
        <w:t xml:space="preserve">lack of </w:t>
      </w:r>
      <w:r w:rsidR="003807BA">
        <w:t xml:space="preserve">trial </w:t>
      </w:r>
      <w:r w:rsidR="003807BA" w:rsidRPr="00EC194F">
        <w:t xml:space="preserve">evidence to support </w:t>
      </w:r>
      <w:r w:rsidR="005C563A">
        <w:t>retreatment.</w:t>
      </w:r>
    </w:p>
    <w:p w14:paraId="53701236" w14:textId="1C750A65" w:rsidR="008753CB" w:rsidRPr="00AA0AE1" w:rsidRDefault="00682937" w:rsidP="00385367">
      <w:pPr>
        <w:pStyle w:val="3-BodyText"/>
        <w:rPr>
          <w:lang w:val="en-GB"/>
        </w:rPr>
      </w:pPr>
      <w:bookmarkStart w:id="121" w:name="_Ref131594449"/>
      <w:r>
        <w:t>The PBAC noted that</w:t>
      </w:r>
      <w:r w:rsidR="0030469C">
        <w:t xml:space="preserve"> when</w:t>
      </w:r>
      <w:r w:rsidR="00385367">
        <w:t xml:space="preserve"> </w:t>
      </w:r>
      <w:bookmarkStart w:id="122" w:name="_Hlk131360793"/>
      <w:r w:rsidR="0030469C">
        <w:t xml:space="preserve">using </w:t>
      </w:r>
      <w:r w:rsidR="00385367">
        <w:t xml:space="preserve">a </w:t>
      </w:r>
      <w:r>
        <w:t xml:space="preserve">time horizon </w:t>
      </w:r>
      <w:r w:rsidR="00385367">
        <w:t xml:space="preserve">of </w:t>
      </w:r>
      <w:r>
        <w:t xml:space="preserve">15 years, </w:t>
      </w:r>
      <w:r w:rsidR="00385367">
        <w:t xml:space="preserve">an </w:t>
      </w:r>
      <w:r>
        <w:t xml:space="preserve">onset of cure </w:t>
      </w:r>
      <w:r w:rsidR="00385367">
        <w:t xml:space="preserve">of </w:t>
      </w:r>
      <w:r>
        <w:t xml:space="preserve">6 years in the neoNIVO+neoChemo arm and </w:t>
      </w:r>
      <w:r w:rsidR="0030469C">
        <w:t xml:space="preserve">the </w:t>
      </w:r>
      <w:r>
        <w:t>EFS and LR health state utilities from Grutters</w:t>
      </w:r>
      <w:r w:rsidR="00385367">
        <w:t xml:space="preserve"> et al 2010</w:t>
      </w:r>
      <w:bookmarkEnd w:id="122"/>
      <w:r w:rsidR="0030469C">
        <w:t>,</w:t>
      </w:r>
      <w:r>
        <w:t xml:space="preserve"> the ICER</w:t>
      </w:r>
      <w:r w:rsidR="0030469C">
        <w:t xml:space="preserve"> increased</w:t>
      </w:r>
      <w:r>
        <w:t xml:space="preserve"> from </w:t>
      </w:r>
      <w:r w:rsidR="005131AC" w:rsidRPr="005131AC">
        <w:t>$25,000 to &lt; $35,000</w:t>
      </w:r>
      <w:r w:rsidR="005131AC">
        <w:t xml:space="preserve"> </w:t>
      </w:r>
      <w:r>
        <w:t>per QALY gained to $</w:t>
      </w:r>
      <w:bookmarkStart w:id="123" w:name="_Hlk135061436"/>
      <w:r w:rsidR="005131AC" w:rsidRPr="005131AC">
        <w:t>45,000 to &lt; $55,000</w:t>
      </w:r>
      <w:bookmarkEnd w:id="123"/>
      <w:r w:rsidR="005131AC">
        <w:t xml:space="preserve"> </w:t>
      </w:r>
      <w:r>
        <w:t>per QALY gained.</w:t>
      </w:r>
      <w:r w:rsidR="001800E4">
        <w:t xml:space="preserve"> </w:t>
      </w:r>
      <w:r w:rsidR="00697CA8">
        <w:t>The PBAC noted for this scenario the estimated QALY gain was 0.61</w:t>
      </w:r>
      <w:r w:rsidR="00265E2A">
        <w:t xml:space="preserve"> (discounted)</w:t>
      </w:r>
      <w:r w:rsidR="00697CA8">
        <w:t xml:space="preserve">, which although less than the submission’s base case estimate of 1.03, remained highly uncertain given the extent of extrapolation and </w:t>
      </w:r>
      <w:r w:rsidR="00AE7650">
        <w:t xml:space="preserve">issues </w:t>
      </w:r>
      <w:r w:rsidR="00265E2A">
        <w:t xml:space="preserve">noted </w:t>
      </w:r>
      <w:r w:rsidR="00AE7650">
        <w:t>with the model structure.</w:t>
      </w:r>
      <w:r w:rsidR="00697CA8">
        <w:t xml:space="preserve"> </w:t>
      </w:r>
      <w:r w:rsidR="00385367">
        <w:t xml:space="preserve">The PBAC considered that an ICER of not more than </w:t>
      </w:r>
      <w:r w:rsidR="00385367" w:rsidRPr="0052332D">
        <w:t>$30,000 per</w:t>
      </w:r>
      <w:r w:rsidR="00385367">
        <w:t xml:space="preserve"> QALY gained would be appropriate </w:t>
      </w:r>
      <w:r w:rsidR="0088120A">
        <w:t xml:space="preserve">in this context </w:t>
      </w:r>
      <w:r w:rsidR="00385367">
        <w:t xml:space="preserve">and noted </w:t>
      </w:r>
      <w:r w:rsidR="0088120A">
        <w:t xml:space="preserve">that </w:t>
      </w:r>
      <w:r w:rsidR="00385367">
        <w:t>a price reduction would be required for nivolumab to be considered cost-effective.</w:t>
      </w:r>
      <w:bookmarkEnd w:id="119"/>
      <w:bookmarkEnd w:id="121"/>
      <w:r w:rsidR="00385367">
        <w:t xml:space="preserve"> </w:t>
      </w:r>
    </w:p>
    <w:p w14:paraId="519EA0C5" w14:textId="3DAEB1E3" w:rsidR="00095458" w:rsidRPr="00095458" w:rsidRDefault="00095458" w:rsidP="00095458">
      <w:pPr>
        <w:pStyle w:val="3-BodyText"/>
        <w:rPr>
          <w:lang w:val="en-GB"/>
        </w:rPr>
      </w:pPr>
      <w:bookmarkStart w:id="124" w:name="_Ref131361027"/>
      <w:r>
        <w:rPr>
          <w:lang w:val="en-GB"/>
        </w:rPr>
        <w:t xml:space="preserve">The PBAC noted the </w:t>
      </w:r>
      <w:r w:rsidR="009A41A3">
        <w:rPr>
          <w:lang w:val="en-GB"/>
        </w:rPr>
        <w:t xml:space="preserve">approach taken to </w:t>
      </w:r>
      <w:r>
        <w:rPr>
          <w:lang w:val="en-GB"/>
        </w:rPr>
        <w:t>estimate</w:t>
      </w:r>
      <w:r w:rsidR="000213BC">
        <w:rPr>
          <w:lang w:val="en-GB"/>
        </w:rPr>
        <w:t xml:space="preserve"> the use of nivolumab</w:t>
      </w:r>
      <w:r>
        <w:rPr>
          <w:lang w:val="en-GB"/>
        </w:rPr>
        <w:t xml:space="preserve"> and agreed with the ESC that the </w:t>
      </w:r>
      <w:r w:rsidR="000213BC">
        <w:rPr>
          <w:lang w:val="en-GB"/>
        </w:rPr>
        <w:t xml:space="preserve">assumed </w:t>
      </w:r>
      <w:r>
        <w:rPr>
          <w:lang w:val="en-GB"/>
        </w:rPr>
        <w:t xml:space="preserve">uptake rate was likely to be reasonable. </w:t>
      </w:r>
      <w:r w:rsidR="000213BC" w:rsidRPr="009A41A3">
        <w:t xml:space="preserve">The </w:t>
      </w:r>
      <w:r w:rsidR="000213BC">
        <w:t>PBAC</w:t>
      </w:r>
      <w:r w:rsidR="000213BC" w:rsidRPr="009A41A3">
        <w:t xml:space="preserve"> noted recent MSAC support for the creation of a national lung cancer screening program (see paragraph </w:t>
      </w:r>
      <w:r w:rsidR="000213BC" w:rsidRPr="009A41A3">
        <w:fldChar w:fldCharType="begin"/>
      </w:r>
      <w:r w:rsidR="000213BC" w:rsidRPr="009A41A3">
        <w:instrText xml:space="preserve"> REF _Ref127119410 \r \h  \* MERGEFORMAT </w:instrText>
      </w:r>
      <w:r w:rsidR="000213BC" w:rsidRPr="009A41A3">
        <w:fldChar w:fldCharType="separate"/>
      </w:r>
      <w:r w:rsidR="00A77D90">
        <w:t>4.5</w:t>
      </w:r>
      <w:r w:rsidR="000213BC" w:rsidRPr="009A41A3">
        <w:fldChar w:fldCharType="end"/>
      </w:r>
      <w:r w:rsidR="000213BC" w:rsidRPr="009A41A3">
        <w:t>)</w:t>
      </w:r>
      <w:r w:rsidR="0052332D">
        <w:t xml:space="preserve"> </w:t>
      </w:r>
      <w:r w:rsidR="000213BC">
        <w:t xml:space="preserve">and that this </w:t>
      </w:r>
      <w:r w:rsidR="000213BC" w:rsidRPr="009A41A3">
        <w:t>may make it likely that more patients would be identified who were suitable for neoadjuvant treatment</w:t>
      </w:r>
      <w:r w:rsidR="000213BC">
        <w:t xml:space="preserve">, although the timing and impact were unknown at this stage. The PBAC noted the only cost-offsets considered </w:t>
      </w:r>
      <w:r w:rsidR="005C563A">
        <w:t xml:space="preserve">in the financial estimates </w:t>
      </w:r>
      <w:r w:rsidR="000213BC">
        <w:t xml:space="preserve">related to the use of chemotherapy. The PBAC considered cost-offsets associated with reduced </w:t>
      </w:r>
      <w:r w:rsidRPr="00095458">
        <w:t xml:space="preserve">use of adjuvant atezolizumab, durvalumab in </w:t>
      </w:r>
      <w:r w:rsidR="003B125E">
        <w:t>borderline</w:t>
      </w:r>
      <w:r w:rsidR="005C563A">
        <w:t xml:space="preserve"> </w:t>
      </w:r>
      <w:r w:rsidRPr="00095458">
        <w:t>resectable stage III NSCLC and immunotherapy for metastatic disease</w:t>
      </w:r>
      <w:r w:rsidR="009A41A3">
        <w:t xml:space="preserve"> should be </w:t>
      </w:r>
      <w:r w:rsidR="009D082F">
        <w:t>accounted for</w:t>
      </w:r>
      <w:r w:rsidR="009A41A3">
        <w:t xml:space="preserve"> in any revised estimates</w:t>
      </w:r>
      <w:r w:rsidR="009C20FC">
        <w:t xml:space="preserve">; </w:t>
      </w:r>
      <w:r w:rsidR="005A0675">
        <w:t xml:space="preserve">and anticipated </w:t>
      </w:r>
      <w:r w:rsidR="00C02C13">
        <w:t xml:space="preserve">as a result </w:t>
      </w:r>
      <w:r w:rsidR="00514238">
        <w:t xml:space="preserve">that </w:t>
      </w:r>
      <w:r w:rsidR="00C02C13">
        <w:t xml:space="preserve">there </w:t>
      </w:r>
      <w:r w:rsidR="00514238">
        <w:t xml:space="preserve">would </w:t>
      </w:r>
      <w:r w:rsidR="00C02C13">
        <w:t>be only a small</w:t>
      </w:r>
      <w:r w:rsidR="00F32611">
        <w:t xml:space="preserve"> </w:t>
      </w:r>
      <w:r w:rsidR="00C02C13">
        <w:t xml:space="preserve">increase in </w:t>
      </w:r>
      <w:r w:rsidR="0076617E">
        <w:t>expenditure</w:t>
      </w:r>
      <w:r w:rsidR="00C02C13">
        <w:t xml:space="preserve"> for immunotherapies for NSCLC</w:t>
      </w:r>
      <w:r w:rsidRPr="00095458">
        <w:t>.</w:t>
      </w:r>
      <w:bookmarkEnd w:id="124"/>
      <w:r w:rsidR="00193D12" w:rsidRPr="00193D12">
        <w:t xml:space="preserve"> </w:t>
      </w:r>
    </w:p>
    <w:p w14:paraId="32EAF34E" w14:textId="2564AC49" w:rsidR="009A41A3" w:rsidRPr="00193B1F" w:rsidRDefault="007A3D11" w:rsidP="009A41A3">
      <w:pPr>
        <w:pStyle w:val="3-BodyText"/>
        <w:rPr>
          <w:lang w:val="en-GB"/>
        </w:rPr>
      </w:pPr>
      <w:bookmarkStart w:id="125" w:name="_Ref131594488"/>
      <w:bookmarkStart w:id="126" w:name="_Ref131688495"/>
      <w:r>
        <w:t>T</w:t>
      </w:r>
      <w:r w:rsidR="009A41A3" w:rsidRPr="00EC194F">
        <w:t xml:space="preserve">he PBAC considered that it would be appropriate for nivolumab for the proposed population to be included </w:t>
      </w:r>
      <w:r w:rsidR="009A41A3">
        <w:t xml:space="preserve">in the current </w:t>
      </w:r>
      <w:r w:rsidR="0052332D">
        <w:t>RSA</w:t>
      </w:r>
      <w:r w:rsidR="009A41A3">
        <w:t xml:space="preserve"> in place for immunotherapies for NSCLC</w:t>
      </w:r>
      <w:r>
        <w:t xml:space="preserve"> given the overlapping patient populations and expected reduced use of immunotherapy in metastatic </w:t>
      </w:r>
      <w:r w:rsidR="00D44C1C">
        <w:t>disease</w:t>
      </w:r>
      <w:r>
        <w:t xml:space="preserve"> due to a proportion of patients being cured in the adjuvant setting</w:t>
      </w:r>
      <w:r w:rsidR="009A41A3">
        <w:t>.</w:t>
      </w:r>
      <w:bookmarkEnd w:id="125"/>
      <w:r w:rsidR="009A41A3">
        <w:t xml:space="preserve"> </w:t>
      </w:r>
      <w:r>
        <w:t xml:space="preserve">The PBAC considered it would likely be appropriate for the financial caps to </w:t>
      </w:r>
      <w:r w:rsidR="005C563A">
        <w:t xml:space="preserve">be </w:t>
      </w:r>
      <w:r>
        <w:t>increased, however expect</w:t>
      </w:r>
      <w:r w:rsidR="005C563A">
        <w:t>ed</w:t>
      </w:r>
      <w:r>
        <w:t xml:space="preserve"> the increase to be small once the reduced use of immunotherapy in the adjuvant and metastatic setting</w:t>
      </w:r>
      <w:r w:rsidR="005C563A">
        <w:t>s</w:t>
      </w:r>
      <w:r>
        <w:t xml:space="preserve"> are accounted for. The PBAC further considered it would be appropriate to manage the uncertainties associated with </w:t>
      </w:r>
      <w:r w:rsidR="005C563A">
        <w:t>retreatment with</w:t>
      </w:r>
      <w:r>
        <w:t xml:space="preserve"> immunotherapy in metastatic </w:t>
      </w:r>
      <w:r w:rsidR="00D44C1C">
        <w:t>disease</w:t>
      </w:r>
      <w:r>
        <w:t xml:space="preserve"> </w:t>
      </w:r>
      <w:r w:rsidR="004F1A10">
        <w:t xml:space="preserve">within the RSA, </w:t>
      </w:r>
      <w:r w:rsidR="005C563A">
        <w:t>given there is no clinical data to support such use</w:t>
      </w:r>
      <w:r>
        <w:t>.</w:t>
      </w:r>
      <w:bookmarkEnd w:id="126"/>
    </w:p>
    <w:p w14:paraId="2F2A9FAE" w14:textId="77777777" w:rsidR="00257557" w:rsidRPr="00257557" w:rsidRDefault="002605E6" w:rsidP="00257557">
      <w:pPr>
        <w:widowControl w:val="0"/>
        <w:numPr>
          <w:ilvl w:val="1"/>
          <w:numId w:val="1"/>
        </w:numPr>
        <w:spacing w:after="120"/>
        <w:rPr>
          <w:rFonts w:asciiTheme="minorHAnsi" w:hAnsiTheme="minorHAnsi"/>
          <w:snapToGrid w:val="0"/>
          <w:u w:val="single"/>
          <w:lang w:val="en-GB"/>
        </w:rPr>
      </w:pPr>
      <w:r w:rsidRPr="00257557">
        <w:rPr>
          <w:rFonts w:asciiTheme="minorHAnsi" w:hAnsiTheme="minorHAnsi"/>
          <w:snapToGrid w:val="0"/>
          <w:lang w:val="en-GB"/>
        </w:rPr>
        <w:t xml:space="preserve">The PBAC considered the outstanding issues could be easily resolved in a simple resubmission for </w:t>
      </w:r>
      <w:r w:rsidR="00257557">
        <w:rPr>
          <w:rFonts w:asciiTheme="minorHAnsi" w:hAnsiTheme="minorHAnsi"/>
          <w:snapToGrid w:val="0"/>
          <w:lang w:val="en-GB"/>
        </w:rPr>
        <w:t>neoadjuvant nivolumab</w:t>
      </w:r>
      <w:r w:rsidRPr="00257557">
        <w:rPr>
          <w:rFonts w:asciiTheme="minorHAnsi" w:hAnsiTheme="minorHAnsi"/>
          <w:snapToGrid w:val="0"/>
          <w:lang w:val="en-GB"/>
        </w:rPr>
        <w:t xml:space="preserve"> using the early re-entry pathway. If the sponsor accepts this pathway, the following changes may address these outstanding issues without requiring further re-evaluation</w:t>
      </w:r>
      <w:r w:rsidR="00257557">
        <w:rPr>
          <w:rFonts w:asciiTheme="minorHAnsi" w:hAnsiTheme="minorHAnsi"/>
          <w:snapToGrid w:val="0"/>
          <w:lang w:val="en-GB"/>
        </w:rPr>
        <w:t>:</w:t>
      </w:r>
    </w:p>
    <w:p w14:paraId="4A38EA91" w14:textId="62964749" w:rsidR="00403996" w:rsidRPr="00403996" w:rsidRDefault="00403996" w:rsidP="005131AC">
      <w:pPr>
        <w:pStyle w:val="Bulletpoints"/>
        <w:rPr>
          <w:u w:val="single"/>
          <w:lang w:val="en-GB"/>
        </w:rPr>
      </w:pPr>
      <w:r>
        <w:t xml:space="preserve">A proposed listing that </w:t>
      </w:r>
      <w:r w:rsidRPr="00590A38">
        <w:t>exclud</w:t>
      </w:r>
      <w:r>
        <w:t>es</w:t>
      </w:r>
      <w:r w:rsidRPr="00590A38">
        <w:t xml:space="preserve"> </w:t>
      </w:r>
      <w:r w:rsidRPr="00BE27D1">
        <w:t xml:space="preserve">patients with known sensitising </w:t>
      </w:r>
      <w:r w:rsidRPr="00C96433">
        <w:t>EGFR</w:t>
      </w:r>
      <w:r w:rsidRPr="00BE27D1">
        <w:t xml:space="preserve"> mutations or </w:t>
      </w:r>
      <w:r w:rsidRPr="00C96433">
        <w:t>ALK</w:t>
      </w:r>
      <w:r w:rsidRPr="00BE27D1">
        <w:t xml:space="preserve"> alterations</w:t>
      </w:r>
      <w:r>
        <w:t xml:space="preserve"> as outlined in paragraph </w:t>
      </w:r>
      <w:r>
        <w:fldChar w:fldCharType="begin"/>
      </w:r>
      <w:r>
        <w:instrText xml:space="preserve"> REF _Ref131359702 \r \h </w:instrText>
      </w:r>
      <w:r w:rsidR="005131AC">
        <w:instrText xml:space="preserve"> \* MERGEFORMAT </w:instrText>
      </w:r>
      <w:r>
        <w:fldChar w:fldCharType="separate"/>
      </w:r>
      <w:r w:rsidR="00A77D90">
        <w:t>7.3</w:t>
      </w:r>
      <w:r>
        <w:fldChar w:fldCharType="end"/>
      </w:r>
      <w:r>
        <w:t xml:space="preserve">. </w:t>
      </w:r>
    </w:p>
    <w:p w14:paraId="317DE1DD" w14:textId="153F9851" w:rsidR="00257557" w:rsidRPr="00257557" w:rsidRDefault="00257557" w:rsidP="005131AC">
      <w:pPr>
        <w:pStyle w:val="Bulletpoints"/>
        <w:rPr>
          <w:u w:val="single"/>
          <w:lang w:val="en-GB"/>
        </w:rPr>
      </w:pPr>
      <w:r>
        <w:t>Use of a re-specified base</w:t>
      </w:r>
      <w:r w:rsidR="007F06C7">
        <w:t xml:space="preserve"> </w:t>
      </w:r>
      <w:r>
        <w:t>case that includes a time horizon of 15 years, an onset of cure of 6 years in the neoNIVO+neoChemo arm</w:t>
      </w:r>
      <w:r w:rsidR="007F06C7">
        <w:t xml:space="preserve"> and the </w:t>
      </w:r>
      <w:r>
        <w:t xml:space="preserve">EFS and LR health state utilities from Grutters et al 2010 </w:t>
      </w:r>
      <w:r w:rsidR="007F06C7">
        <w:t>that</w:t>
      </w:r>
      <w:r>
        <w:t xml:space="preserve"> incorporates a price reduction that results in an ICER of not more </w:t>
      </w:r>
      <w:r w:rsidRPr="000F5482">
        <w:t>than $30,000</w:t>
      </w:r>
      <w:r>
        <w:t xml:space="preserve"> per QALY gained (see paragraph</w:t>
      </w:r>
      <w:r w:rsidR="00765746">
        <w:t>s</w:t>
      </w:r>
      <w:r w:rsidR="00B329B7">
        <w:t xml:space="preserve"> </w:t>
      </w:r>
      <w:r w:rsidR="00B329B7">
        <w:fldChar w:fldCharType="begin"/>
      </w:r>
      <w:r w:rsidR="00B329B7">
        <w:instrText xml:space="preserve"> REF _Ref131594432 \r \h </w:instrText>
      </w:r>
      <w:r w:rsidR="005131AC">
        <w:instrText xml:space="preserve"> \* MERGEFORMAT </w:instrText>
      </w:r>
      <w:r w:rsidR="00B329B7">
        <w:fldChar w:fldCharType="separate"/>
      </w:r>
      <w:r w:rsidR="00A77D90">
        <w:t>7.14</w:t>
      </w:r>
      <w:r w:rsidR="00B329B7">
        <w:fldChar w:fldCharType="end"/>
      </w:r>
      <w:r w:rsidR="00765746">
        <w:rPr>
          <w:rFonts w:cstheme="minorHAnsi"/>
        </w:rPr>
        <w:t xml:space="preserve"> to </w:t>
      </w:r>
      <w:r w:rsidR="00B329B7">
        <w:fldChar w:fldCharType="begin"/>
      </w:r>
      <w:r w:rsidR="00B329B7">
        <w:instrText xml:space="preserve"> REF _Ref131594449 \r \h </w:instrText>
      </w:r>
      <w:r w:rsidR="005131AC">
        <w:instrText xml:space="preserve"> \* MERGEFORMAT </w:instrText>
      </w:r>
      <w:r w:rsidR="00B329B7">
        <w:fldChar w:fldCharType="separate"/>
      </w:r>
      <w:r w:rsidR="00A77D90">
        <w:t>7.18</w:t>
      </w:r>
      <w:r w:rsidR="00B329B7">
        <w:fldChar w:fldCharType="end"/>
      </w:r>
      <w:r>
        <w:t xml:space="preserve">). </w:t>
      </w:r>
    </w:p>
    <w:p w14:paraId="7A1E323E" w14:textId="30446161" w:rsidR="002605E6" w:rsidRPr="00403996" w:rsidRDefault="00257557" w:rsidP="005131AC">
      <w:pPr>
        <w:pStyle w:val="Bulletpoints"/>
        <w:rPr>
          <w:u w:val="single"/>
          <w:lang w:val="en-GB"/>
        </w:rPr>
      </w:pPr>
      <w:r>
        <w:t xml:space="preserve">Revision of the </w:t>
      </w:r>
      <w:r w:rsidR="00504358">
        <w:t>financials</w:t>
      </w:r>
      <w:r>
        <w:t xml:space="preserve"> </w:t>
      </w:r>
      <w:r w:rsidR="007A3D11">
        <w:t xml:space="preserve">to include offsets </w:t>
      </w:r>
      <w:r>
        <w:t xml:space="preserve">as outlined in paragraph </w:t>
      </w:r>
      <w:r w:rsidR="00B329B7">
        <w:fldChar w:fldCharType="begin"/>
      </w:r>
      <w:r w:rsidR="00B329B7">
        <w:instrText xml:space="preserve"> REF _Ref131361027 \r \h </w:instrText>
      </w:r>
      <w:r w:rsidR="005131AC">
        <w:instrText xml:space="preserve"> \* MERGEFORMAT </w:instrText>
      </w:r>
      <w:r w:rsidR="00B329B7">
        <w:fldChar w:fldCharType="separate"/>
      </w:r>
      <w:r w:rsidR="00A77D90">
        <w:t>7.19</w:t>
      </w:r>
      <w:r w:rsidR="00B329B7">
        <w:fldChar w:fldCharType="end"/>
      </w:r>
      <w:r w:rsidR="00403996">
        <w:t xml:space="preserve"> and recalculation of the financial implications using the revised neoadjuvant nivolumab price. </w:t>
      </w:r>
    </w:p>
    <w:p w14:paraId="1FB9D035" w14:textId="447DB6E3" w:rsidR="00403996" w:rsidRPr="00257557" w:rsidRDefault="005C563A" w:rsidP="005131AC">
      <w:pPr>
        <w:pStyle w:val="Bulletpoints"/>
        <w:rPr>
          <w:u w:val="single"/>
          <w:lang w:val="en-GB"/>
        </w:rPr>
      </w:pPr>
      <w:r>
        <w:t>Proposed</w:t>
      </w:r>
      <w:r w:rsidR="00382688">
        <w:t xml:space="preserve"> parameters for revising </w:t>
      </w:r>
      <w:r w:rsidR="00403996">
        <w:t xml:space="preserve">the current </w:t>
      </w:r>
      <w:r w:rsidR="0052332D">
        <w:t>RSA</w:t>
      </w:r>
      <w:r w:rsidR="00403996">
        <w:t xml:space="preserve"> in place for immunotherapies for NSCLC</w:t>
      </w:r>
      <w:r w:rsidR="00382688">
        <w:t xml:space="preserve"> to include neoadjuvant nivolumab (see paragraph </w:t>
      </w:r>
      <w:r w:rsidR="0052332D">
        <w:fldChar w:fldCharType="begin"/>
      </w:r>
      <w:r w:rsidR="0052332D">
        <w:instrText xml:space="preserve"> REF _Ref131688495 \r \h </w:instrText>
      </w:r>
      <w:r w:rsidR="005131AC">
        <w:instrText xml:space="preserve"> \* MERGEFORMAT </w:instrText>
      </w:r>
      <w:r w:rsidR="0052332D">
        <w:fldChar w:fldCharType="separate"/>
      </w:r>
      <w:r w:rsidR="00A77D90">
        <w:t>7.20</w:t>
      </w:r>
      <w:r w:rsidR="0052332D">
        <w:fldChar w:fldCharType="end"/>
      </w:r>
      <w:r w:rsidR="00382688">
        <w:t>)</w:t>
      </w:r>
      <w:r w:rsidR="00403996">
        <w:t xml:space="preserve">. </w:t>
      </w:r>
    </w:p>
    <w:p w14:paraId="3BEE148B" w14:textId="67339737" w:rsidR="002605E6" w:rsidRDefault="002605E6" w:rsidP="00403996">
      <w:pPr>
        <w:widowControl w:val="0"/>
        <w:spacing w:after="120"/>
        <w:ind w:left="720"/>
        <w:rPr>
          <w:rFonts w:asciiTheme="minorHAnsi" w:hAnsiTheme="minorHAnsi"/>
          <w:snapToGrid w:val="0"/>
          <w:lang w:val="en-GB"/>
        </w:rPr>
      </w:pPr>
      <w:r w:rsidRPr="00783D74">
        <w:rPr>
          <w:rFonts w:asciiTheme="minorHAnsi" w:hAnsiTheme="minorHAnsi"/>
          <w:snapToGrid w:val="0"/>
          <w:lang w:val="en-GB"/>
        </w:rPr>
        <w:t>The early re-entry resubmission must be lodged by week 7 of the current PBAC cycle or the next cycle. If the issues cannot be addressed by the sponsor in a simple resubmission and the early re-entry timing is not acceptable, a standard re-entry pathway is available.</w:t>
      </w:r>
    </w:p>
    <w:p w14:paraId="413CF85D" w14:textId="4143D90F" w:rsidR="00403996" w:rsidRPr="00403996" w:rsidRDefault="00403996" w:rsidP="00403996">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this submission is eligible for an Independent Review. </w:t>
      </w:r>
    </w:p>
    <w:p w14:paraId="5DB806DA" w14:textId="77777777" w:rsidR="002605E6" w:rsidRPr="00525B39" w:rsidRDefault="002605E6" w:rsidP="002605E6">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18B4F667" w14:textId="750F4AD2" w:rsidR="00CC7AE8" w:rsidRDefault="002605E6" w:rsidP="002605E6">
      <w:pPr>
        <w:rPr>
          <w:rFonts w:asciiTheme="minorHAnsi" w:hAnsiTheme="minorHAnsi"/>
          <w:bCs/>
          <w:snapToGrid w:val="0"/>
          <w:lang w:val="en-GB"/>
        </w:rPr>
      </w:pPr>
      <w:r>
        <w:rPr>
          <w:rFonts w:asciiTheme="minorHAnsi" w:hAnsiTheme="minorHAnsi"/>
          <w:bCs/>
          <w:snapToGrid w:val="0"/>
          <w:lang w:val="en-GB"/>
        </w:rPr>
        <w:t>Not recommended</w:t>
      </w:r>
    </w:p>
    <w:p w14:paraId="35DDF579" w14:textId="02F40835" w:rsidR="00CC7AE8" w:rsidRPr="00CC7AE8" w:rsidRDefault="00CC7AE8" w:rsidP="00CC7AE8">
      <w:pPr>
        <w:pStyle w:val="2-SectionHeading"/>
        <w:rPr>
          <w:rFonts w:eastAsiaTheme="minorHAnsi"/>
          <w:bCs/>
          <w:lang w:val="en-GB" w:eastAsia="en-US"/>
        </w:rPr>
      </w:pPr>
      <w:bookmarkStart w:id="127" w:name="_Hlk135044499"/>
      <w:r w:rsidRPr="00CC7AE8">
        <w:rPr>
          <w:rFonts w:eastAsiaTheme="minorHAnsi"/>
          <w:lang w:eastAsia="en-US"/>
        </w:rPr>
        <w:t>Context for Decision</w:t>
      </w:r>
    </w:p>
    <w:p w14:paraId="1F1EE4AC" w14:textId="77777777" w:rsidR="00CC7AE8" w:rsidRPr="00CC7AE8" w:rsidRDefault="00CC7AE8" w:rsidP="00CC7AE8">
      <w:pPr>
        <w:spacing w:after="120" w:line="276" w:lineRule="auto"/>
        <w:ind w:left="720"/>
        <w:rPr>
          <w:rFonts w:asciiTheme="minorHAnsi" w:eastAsiaTheme="minorHAnsi" w:hAnsiTheme="minorHAnsi"/>
          <w:bCs/>
          <w:szCs w:val="22"/>
          <w:lang w:val="en-GB" w:eastAsia="en-US"/>
        </w:rPr>
      </w:pPr>
      <w:r w:rsidRPr="00CC7AE8">
        <w:rPr>
          <w:rFonts w:asciiTheme="minorHAnsi" w:eastAsiaTheme="minorHAnsi" w:hAnsiTheme="minorHAnsi"/>
          <w:bCs/>
          <w:szCs w:val="22"/>
          <w:lang w:val="en-GB" w:eastAsia="en-US"/>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F37596C" w14:textId="7993FE90" w:rsidR="00CC7AE8" w:rsidRPr="00CC7AE8" w:rsidRDefault="00CC7AE8" w:rsidP="00CC7AE8">
      <w:pPr>
        <w:pStyle w:val="2-SectionHeading"/>
        <w:rPr>
          <w:rFonts w:eastAsiaTheme="minorHAnsi"/>
          <w:lang w:eastAsia="en-US"/>
        </w:rPr>
      </w:pPr>
      <w:r w:rsidRPr="00CC7AE8">
        <w:rPr>
          <w:rFonts w:eastAsiaTheme="minorHAnsi"/>
          <w:lang w:eastAsia="en-US"/>
        </w:rPr>
        <w:t>Sponsor’s Comment</w:t>
      </w:r>
    </w:p>
    <w:p w14:paraId="6863F7EB" w14:textId="42BD5DD3" w:rsidR="00CC7AE8" w:rsidRPr="00525B39" w:rsidRDefault="00533596" w:rsidP="00B24FC6">
      <w:pPr>
        <w:spacing w:after="120" w:line="276" w:lineRule="auto"/>
        <w:ind w:left="720"/>
        <w:rPr>
          <w:rFonts w:asciiTheme="minorHAnsi" w:hAnsiTheme="minorHAnsi"/>
          <w:bCs/>
          <w:snapToGrid w:val="0"/>
          <w:lang w:val="en-GB"/>
        </w:rPr>
      </w:pPr>
      <w:r w:rsidRPr="00533596">
        <w:rPr>
          <w:rFonts w:asciiTheme="minorHAnsi" w:eastAsiaTheme="minorHAnsi" w:hAnsiTheme="minorHAnsi"/>
          <w:bCs/>
          <w:lang w:eastAsia="en-US"/>
        </w:rPr>
        <w:t xml:space="preserve">Bristol-Myers Squibb Australia looks forward to continuing to work with the PBAC and the Department of Health </w:t>
      </w:r>
      <w:r w:rsidR="00B24FC6">
        <w:rPr>
          <w:rFonts w:asciiTheme="minorHAnsi" w:eastAsiaTheme="minorHAnsi" w:hAnsiTheme="minorHAnsi"/>
          <w:bCs/>
          <w:lang w:eastAsia="en-US"/>
        </w:rPr>
        <w:t xml:space="preserve">and Aged Care </w:t>
      </w:r>
      <w:r w:rsidRPr="00533596">
        <w:rPr>
          <w:rFonts w:asciiTheme="minorHAnsi" w:eastAsiaTheme="minorHAnsi" w:hAnsiTheme="minorHAnsi"/>
          <w:bCs/>
          <w:lang w:eastAsia="en-US"/>
        </w:rPr>
        <w:t xml:space="preserve">to provide access to </w:t>
      </w:r>
      <w:r>
        <w:rPr>
          <w:rFonts w:asciiTheme="minorHAnsi" w:eastAsiaTheme="minorHAnsi" w:hAnsiTheme="minorHAnsi"/>
          <w:bCs/>
          <w:lang w:eastAsia="en-US"/>
        </w:rPr>
        <w:t>nivolumab</w:t>
      </w:r>
      <w:r w:rsidRPr="00533596">
        <w:rPr>
          <w:rFonts w:asciiTheme="minorHAnsi" w:eastAsiaTheme="minorHAnsi" w:hAnsiTheme="minorHAnsi"/>
          <w:bCs/>
          <w:lang w:eastAsia="en-US"/>
        </w:rPr>
        <w:t xml:space="preserve"> for the </w:t>
      </w:r>
      <w:r>
        <w:rPr>
          <w:rFonts w:asciiTheme="minorHAnsi" w:eastAsiaTheme="minorHAnsi" w:hAnsiTheme="minorHAnsi"/>
          <w:bCs/>
          <w:lang w:eastAsia="en-US"/>
        </w:rPr>
        <w:t xml:space="preserve">neoadjuvant </w:t>
      </w:r>
      <w:r w:rsidRPr="00533596">
        <w:rPr>
          <w:rFonts w:asciiTheme="minorHAnsi" w:eastAsiaTheme="minorHAnsi" w:hAnsiTheme="minorHAnsi"/>
          <w:bCs/>
          <w:lang w:eastAsia="en-US"/>
        </w:rPr>
        <w:t xml:space="preserve">treatment of </w:t>
      </w:r>
      <w:r>
        <w:rPr>
          <w:rFonts w:asciiTheme="minorHAnsi" w:eastAsiaTheme="minorHAnsi" w:hAnsiTheme="minorHAnsi"/>
          <w:bCs/>
          <w:lang w:eastAsia="en-US"/>
        </w:rPr>
        <w:t>patients with resectable non-small cell</w:t>
      </w:r>
      <w:r w:rsidR="008B4555">
        <w:rPr>
          <w:rFonts w:asciiTheme="minorHAnsi" w:eastAsiaTheme="minorHAnsi" w:hAnsiTheme="minorHAnsi"/>
          <w:bCs/>
          <w:lang w:eastAsia="en-US"/>
        </w:rPr>
        <w:t xml:space="preserve"> lung cancer.</w:t>
      </w:r>
      <w:bookmarkEnd w:id="100"/>
      <w:bookmarkEnd w:id="113"/>
      <w:bookmarkEnd w:id="114"/>
      <w:bookmarkEnd w:id="127"/>
    </w:p>
    <w:sectPr w:rsidR="00CC7AE8" w:rsidRPr="00525B39" w:rsidSect="000A6E90">
      <w:headerReference w:type="even" r:id="rId18"/>
      <w:headerReference w:type="default" r:id="rId19"/>
      <w:footerReference w:type="even" r:id="rId20"/>
      <w:footerReference w:type="default" r:id="rId21"/>
      <w:headerReference w:type="first" r:id="rId22"/>
      <w:footerReference w:type="first" r:id="rId23"/>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BA562" w14:textId="77777777" w:rsidR="0028338A" w:rsidRDefault="0028338A" w:rsidP="00124A51">
      <w:r>
        <w:separator/>
      </w:r>
    </w:p>
    <w:p w14:paraId="35545307" w14:textId="77777777" w:rsidR="0028338A" w:rsidRDefault="0028338A"/>
  </w:endnote>
  <w:endnote w:type="continuationSeparator" w:id="0">
    <w:p w14:paraId="0E2F8A1C" w14:textId="77777777" w:rsidR="0028338A" w:rsidRDefault="0028338A" w:rsidP="00124A51">
      <w:r>
        <w:continuationSeparator/>
      </w:r>
    </w:p>
    <w:p w14:paraId="50D21D3A" w14:textId="77777777" w:rsidR="0028338A" w:rsidRDefault="00283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EA26" w14:textId="77777777" w:rsidR="001172C3" w:rsidRDefault="00117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4763B" w14:textId="77777777" w:rsidR="002C3705" w:rsidRDefault="002C3705" w:rsidP="002C3705">
    <w:pPr>
      <w:pStyle w:val="Footer"/>
      <w:jc w:val="center"/>
    </w:pPr>
  </w:p>
  <w:p w14:paraId="39785532" w14:textId="5F8639A3" w:rsidR="0067394F" w:rsidRDefault="00A77D90" w:rsidP="001404C8">
    <w:pPr>
      <w:pStyle w:val="Footer"/>
      <w:jc w:val="center"/>
    </w:pPr>
    <w:sdt>
      <w:sdtPr>
        <w:id w:val="1036156457"/>
        <w:docPartObj>
          <w:docPartGallery w:val="Page Numbers (Bottom of Page)"/>
          <w:docPartUnique/>
        </w:docPartObj>
      </w:sdtPr>
      <w:sdtEndPr>
        <w:rPr>
          <w:b/>
          <w:bCs/>
          <w:noProof/>
        </w:rPr>
      </w:sdtEndPr>
      <w:sdtContent>
        <w:r w:rsidR="002C3705" w:rsidRPr="00E51F33">
          <w:rPr>
            <w:b/>
            <w:bCs/>
          </w:rPr>
          <w:fldChar w:fldCharType="begin"/>
        </w:r>
        <w:r w:rsidR="002C3705" w:rsidRPr="00E51F33">
          <w:rPr>
            <w:b/>
            <w:bCs/>
          </w:rPr>
          <w:instrText xml:space="preserve"> PAGE   \* MERGEFORMAT </w:instrText>
        </w:r>
        <w:r w:rsidR="002C3705" w:rsidRPr="00E51F33">
          <w:rPr>
            <w:b/>
            <w:bCs/>
          </w:rPr>
          <w:fldChar w:fldCharType="separate"/>
        </w:r>
        <w:r w:rsidR="002C3705" w:rsidRPr="00E51F33">
          <w:rPr>
            <w:b/>
            <w:bCs/>
          </w:rPr>
          <w:t>1</w:t>
        </w:r>
        <w:r w:rsidR="002C3705" w:rsidRPr="00E51F33">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C63D6" w14:textId="77777777" w:rsidR="001172C3" w:rsidRDefault="001172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F474C" w14:textId="77777777" w:rsidR="0028338A" w:rsidRDefault="0028338A">
      <w:r>
        <w:separator/>
      </w:r>
    </w:p>
  </w:footnote>
  <w:footnote w:type="continuationSeparator" w:id="0">
    <w:p w14:paraId="7C828AB6" w14:textId="77777777" w:rsidR="0028338A" w:rsidRDefault="0028338A" w:rsidP="00124A51">
      <w:r>
        <w:continuationSeparator/>
      </w:r>
    </w:p>
    <w:p w14:paraId="37106B18" w14:textId="77777777" w:rsidR="0028338A" w:rsidRDefault="0028338A"/>
  </w:footnote>
  <w:footnote w:id="1">
    <w:p w14:paraId="2EBF9029" w14:textId="0FA6B6EF" w:rsidR="002E4A59" w:rsidRDefault="002E4A59">
      <w:pPr>
        <w:pStyle w:val="FootnoteText"/>
      </w:pPr>
      <w:r>
        <w:rPr>
          <w:rStyle w:val="FootnoteReference"/>
        </w:rPr>
        <w:footnoteRef/>
      </w:r>
      <w:r>
        <w:t xml:space="preserve"> </w:t>
      </w:r>
      <w:r w:rsidRPr="00590A38">
        <w:t xml:space="preserve">Faltermeier CM, Lee JM. </w:t>
      </w:r>
      <w:r>
        <w:t>Neo</w:t>
      </w:r>
      <w:r w:rsidRPr="00590A38">
        <w:t xml:space="preserve">adjuvant immunotherapy in resectable non-small cell lung cancer at a checkpoint. </w:t>
      </w:r>
      <w:r w:rsidRPr="00590A38">
        <w:rPr>
          <w:i/>
          <w:iCs/>
        </w:rPr>
        <w:t>Translational Lung Cancer Research</w:t>
      </w:r>
      <w:r w:rsidRPr="00590A38">
        <w:t>. 2021;10(12):4328</w:t>
      </w:r>
    </w:p>
  </w:footnote>
  <w:footnote w:id="2">
    <w:p w14:paraId="060A4BBE" w14:textId="77777777" w:rsidR="002E4A59" w:rsidRDefault="002E4A59">
      <w:pPr>
        <w:pStyle w:val="FootnoteText"/>
      </w:pPr>
      <w:r>
        <w:rPr>
          <w:rStyle w:val="FootnoteReference"/>
        </w:rPr>
        <w:footnoteRef/>
      </w:r>
      <w:r>
        <w:t xml:space="preserve"> </w:t>
      </w:r>
      <w:r w:rsidRPr="00590A38">
        <w:t xml:space="preserve">Hellmann MD, Chaft JE, William Jr WN, Rusch V, Pisters KM, Kalhor N, et al. Pathological response after neoadjuvant chemotherapy in resectable non-small-cell lung cancers: proposal for the use of major pathological response as a surrogate endpoint. </w:t>
      </w:r>
      <w:r w:rsidRPr="00590A38">
        <w:rPr>
          <w:i/>
          <w:iCs/>
        </w:rPr>
        <w:t>The lancet oncology</w:t>
      </w:r>
      <w:r w:rsidRPr="00590A38">
        <w:t>. 2014;15(1):e42-e50.</w:t>
      </w:r>
    </w:p>
  </w:footnote>
  <w:footnote w:id="3">
    <w:p w14:paraId="54085924" w14:textId="09C4986A" w:rsidR="002E4A59" w:rsidRDefault="002E4A59">
      <w:pPr>
        <w:pStyle w:val="FootnoteText"/>
      </w:pPr>
      <w:r>
        <w:rPr>
          <w:rStyle w:val="FootnoteReference"/>
        </w:rPr>
        <w:footnoteRef/>
      </w:r>
      <w:r>
        <w:t xml:space="preserve"> </w:t>
      </w:r>
      <w:r w:rsidRPr="00590A38">
        <w:t xml:space="preserve">Kwiatkowski DJ, Rusch VW, Chaft JE, Johnson BE, Nicholas A, Wistuba II, et al. </w:t>
      </w:r>
      <w:r>
        <w:t>Neo</w:t>
      </w:r>
      <w:r w:rsidRPr="00590A38">
        <w:t>adjuvant atezolizumab in resectable non-small cell lung cancer (NSCLC): Interim analysis and biomarker data from a multicenter study (LCMC3). American Society of Clinical Oncology; 2019</w:t>
      </w:r>
    </w:p>
  </w:footnote>
  <w:footnote w:id="4">
    <w:p w14:paraId="1AA70E24" w14:textId="77777777" w:rsidR="00474821" w:rsidRDefault="00474821" w:rsidP="00474821">
      <w:pPr>
        <w:pStyle w:val="FootnoteText"/>
      </w:pPr>
      <w:r>
        <w:rPr>
          <w:rStyle w:val="FootnoteReference"/>
        </w:rPr>
        <w:footnoteRef/>
      </w:r>
      <w:r>
        <w:t xml:space="preserve"> </w:t>
      </w:r>
      <w:r w:rsidRPr="00B6578B">
        <w:t>Medical Services Advisory Committee.</w:t>
      </w:r>
      <w:r>
        <w:t xml:space="preserve"> (2022) MSAC Position Statement on programmed death-ligand 1 (PD-L1) immunohistochemistry testing to determine eligibility for treatment with PD-(L)1 checkpoint inhibitors. </w:t>
      </w:r>
      <w:hyperlink r:id="rId1" w:anchor=":~:text=The%20Medical%20Services%20Advisory%20Committee%20%28MSAC%29%20has%20considered,does%20not%20require%20PD-L1%20IHC%20testing%20%28Attachment%202%29." w:history="1">
        <w:r w:rsidRPr="005B07C8">
          <w:t>MSAC Position Statement - PD-L1 testing - Ratified -26Sept - clean.pdf</w:t>
        </w:r>
      </w:hyperlink>
    </w:p>
  </w:footnote>
  <w:footnote w:id="5">
    <w:p w14:paraId="02E25088" w14:textId="3FFFA44B" w:rsidR="002E4A59" w:rsidRDefault="002E4A59">
      <w:pPr>
        <w:pStyle w:val="FootnoteText"/>
      </w:pPr>
      <w:r>
        <w:rPr>
          <w:rStyle w:val="FootnoteReference"/>
        </w:rPr>
        <w:footnoteRef/>
      </w:r>
      <w:r>
        <w:t xml:space="preserve"> </w:t>
      </w:r>
      <w:r w:rsidRPr="00C722CA">
        <w:t xml:space="preserve">Shamji FM, Beauchamp G. Assessment of Operability and Resectability in Lung Cancer. </w:t>
      </w:r>
      <w:r w:rsidRPr="00C722CA">
        <w:rPr>
          <w:i/>
        </w:rPr>
        <w:t>Thoracic Surgery Clinics</w:t>
      </w:r>
      <w:r w:rsidRPr="00C722CA">
        <w:t>. 2021;31(4):379-91.</w:t>
      </w:r>
    </w:p>
  </w:footnote>
  <w:footnote w:id="6">
    <w:p w14:paraId="5F509EDB" w14:textId="77777777" w:rsidR="002E4A59" w:rsidRDefault="002E4A59" w:rsidP="00990487">
      <w:pPr>
        <w:pStyle w:val="FootnoteText"/>
      </w:pPr>
      <w:r>
        <w:rPr>
          <w:rStyle w:val="FootnoteReference"/>
        </w:rPr>
        <w:footnoteRef/>
      </w:r>
      <w:r>
        <w:t xml:space="preserve"> </w:t>
      </w:r>
      <w:r w:rsidRPr="00510ADB">
        <w:t xml:space="preserve">AIHW (2022). </w:t>
      </w:r>
      <w:r w:rsidRPr="00510ADB">
        <w:rPr>
          <w:iCs/>
        </w:rPr>
        <w:t>Cancer Data in Australia</w:t>
      </w:r>
      <w:r w:rsidRPr="00510ADB">
        <w:t>. https://www.aihw.gov.au/reports/cancer/cancer-data-in-australia</w:t>
      </w:r>
    </w:p>
  </w:footnote>
  <w:footnote w:id="7">
    <w:p w14:paraId="00CA936D" w14:textId="77777777" w:rsidR="002E4A59" w:rsidRDefault="002E4A59">
      <w:pPr>
        <w:pStyle w:val="FootnoteText"/>
      </w:pPr>
      <w:r>
        <w:rPr>
          <w:rStyle w:val="FootnoteReference"/>
        </w:rPr>
        <w:footnoteRef/>
      </w:r>
      <w:r>
        <w:t xml:space="preserve"> </w:t>
      </w:r>
      <w:r w:rsidRPr="00482C19">
        <w:t xml:space="preserve">Meta-analysis Collaborative Group. (2014). Preoperative chemotherapy for non-small-cell lung cancer: a systematic review and meta-analysis of individual participant data. </w:t>
      </w:r>
      <w:r w:rsidRPr="00482C19">
        <w:rPr>
          <w:i/>
          <w:iCs/>
        </w:rPr>
        <w:t>The Lancet</w:t>
      </w:r>
      <w:r w:rsidRPr="00482C19">
        <w:t xml:space="preserve">, </w:t>
      </w:r>
      <w:r w:rsidRPr="00482C19">
        <w:rPr>
          <w:i/>
          <w:iCs/>
        </w:rPr>
        <w:t>383</w:t>
      </w:r>
      <w:r w:rsidRPr="00482C19">
        <w:t>(9928), 1561–1571. https://doi.org/10.1016/S0140-6736(13)62159-5</w:t>
      </w:r>
    </w:p>
  </w:footnote>
  <w:footnote w:id="8">
    <w:p w14:paraId="70ACEF4B" w14:textId="43426388" w:rsidR="001B54B8" w:rsidRPr="001B54B8" w:rsidRDefault="001B54B8" w:rsidP="00B6578B">
      <w:pPr>
        <w:pStyle w:val="FootnoteText"/>
      </w:pPr>
      <w:r w:rsidRPr="00B6578B">
        <w:rPr>
          <w:snapToGrid w:val="0"/>
          <w:vertAlign w:val="superscript"/>
        </w:rPr>
        <w:footnoteRef/>
      </w:r>
      <w:r>
        <w:t xml:space="preserve"> </w:t>
      </w:r>
      <w:r w:rsidRPr="00B6578B">
        <w:t>Medical Services Advisory Committee.</w:t>
      </w:r>
      <w:r w:rsidR="00B6578B">
        <w:t xml:space="preserve"> (2022)</w:t>
      </w:r>
      <w:r w:rsidRPr="00B6578B">
        <w:t xml:space="preserve"> </w:t>
      </w:r>
      <w:r w:rsidRPr="001B54B8">
        <w:t>1699 – National Lung Cancer Screening Program</w:t>
      </w:r>
      <w:r w:rsidRPr="00B6578B">
        <w:t xml:space="preserve"> http://msac.gov.au/internet/msac/publishing.nsf/content/1699-public</w:t>
      </w:r>
    </w:p>
  </w:footnote>
  <w:footnote w:id="9">
    <w:p w14:paraId="60A9AFC7" w14:textId="77777777" w:rsidR="002E4A59" w:rsidRDefault="002E4A59" w:rsidP="00C30CE2">
      <w:pPr>
        <w:pStyle w:val="FootnoteText"/>
      </w:pPr>
      <w:r>
        <w:rPr>
          <w:rStyle w:val="FootnoteReference"/>
        </w:rPr>
        <w:footnoteRef/>
      </w:r>
      <w:r>
        <w:t xml:space="preserve"> </w:t>
      </w:r>
      <w:r w:rsidRPr="00482C19">
        <w:t xml:space="preserve">Meta-analysis Collaborative Group. (2014). Preoperative chemotherapy for non-small-cell lung cancer: a systematic review and meta-analysis of individual participant data. </w:t>
      </w:r>
      <w:r w:rsidRPr="00482C19">
        <w:rPr>
          <w:i/>
          <w:iCs/>
        </w:rPr>
        <w:t>The Lancet</w:t>
      </w:r>
      <w:r w:rsidRPr="00482C19">
        <w:t xml:space="preserve">, </w:t>
      </w:r>
      <w:r w:rsidRPr="00482C19">
        <w:rPr>
          <w:i/>
          <w:iCs/>
        </w:rPr>
        <w:t>383</w:t>
      </w:r>
      <w:r w:rsidRPr="00482C19">
        <w:t>(9928), 1561–1571. https://doi.org/10.1016/S0140-6736(13)62159-5</w:t>
      </w:r>
    </w:p>
  </w:footnote>
  <w:footnote w:id="10">
    <w:p w14:paraId="1FF0B666" w14:textId="77777777" w:rsidR="002608DC" w:rsidRDefault="002608DC" w:rsidP="002608DC">
      <w:pPr>
        <w:pStyle w:val="FootnoteText"/>
      </w:pPr>
      <w:r>
        <w:rPr>
          <w:rStyle w:val="FootnoteReference"/>
        </w:rPr>
        <w:footnoteRef/>
      </w:r>
      <w:r>
        <w:t xml:space="preserve"> </w:t>
      </w:r>
      <w:r w:rsidRPr="006260FD">
        <w:rPr>
          <w:snapToGrid w:val="0"/>
        </w:rPr>
        <w:t>Cherny NI, Dafni U, Bogaerts J, et al: ESMO-Magnitude of Clinical Benefit Scale version 1.1. Annals of Oncology 28:2340-2366, 2017</w:t>
      </w:r>
    </w:p>
  </w:footnote>
  <w:footnote w:id="11">
    <w:p w14:paraId="768674CA" w14:textId="524BBFA9" w:rsidR="002E4A59" w:rsidRDefault="002E4A59" w:rsidP="00660695">
      <w:pPr>
        <w:pStyle w:val="FootnoteText"/>
      </w:pPr>
      <w:r>
        <w:rPr>
          <w:rStyle w:val="FootnoteReference"/>
        </w:rPr>
        <w:footnoteRef/>
      </w:r>
      <w:r>
        <w:t xml:space="preserve"> The CM816 trial initially had a treatment arm (Arm A) nivolumab plus ipilimumab. However, based on external data from a neoadjuvant trial (NADIM) which indicated that anti-PD-1+chemotherapy was associated with clinical benefit, Arm A was stopped and it was decided that randomisation will continue for the neoNIVO+neoChemo and neoChemo arms until a total of 350 patients were enrolled (protocol was revised in September 2018; Amendment No: 07, CM816 Revised Protocol 03). </w:t>
      </w:r>
    </w:p>
  </w:footnote>
  <w:footnote w:id="12">
    <w:p w14:paraId="0B7DF285" w14:textId="0D7CB697" w:rsidR="002E4A59" w:rsidRDefault="002E4A59">
      <w:pPr>
        <w:pStyle w:val="FootnoteText"/>
      </w:pPr>
      <w:r>
        <w:rPr>
          <w:rStyle w:val="FootnoteReference"/>
        </w:rPr>
        <w:footnoteRef/>
      </w:r>
      <w:r>
        <w:t xml:space="preserve"> </w:t>
      </w:r>
      <w:r w:rsidRPr="00C722CA">
        <w:t xml:space="preserve">Bucher HC, Guyatt GH, </w:t>
      </w:r>
      <w:r>
        <w:rPr>
          <w:i/>
        </w:rPr>
        <w:t>et al</w:t>
      </w:r>
      <w:r w:rsidRPr="00C722CA">
        <w:t xml:space="preserve">. The results of direct and indirect treatment comparisons in meta-analysis of randomized controlled trials. </w:t>
      </w:r>
      <w:r w:rsidRPr="00C722CA">
        <w:rPr>
          <w:i/>
        </w:rPr>
        <w:t xml:space="preserve">Journal of </w:t>
      </w:r>
      <w:r>
        <w:rPr>
          <w:i/>
        </w:rPr>
        <w:t>C</w:t>
      </w:r>
      <w:r w:rsidRPr="00C722CA">
        <w:rPr>
          <w:i/>
        </w:rPr>
        <w:t xml:space="preserve">linical </w:t>
      </w:r>
      <w:r>
        <w:rPr>
          <w:i/>
        </w:rPr>
        <w:t>E</w:t>
      </w:r>
      <w:r w:rsidRPr="00C722CA">
        <w:rPr>
          <w:i/>
        </w:rPr>
        <w:t>pidemiology</w:t>
      </w:r>
      <w:r w:rsidRPr="00C722CA">
        <w:t>. 1997;50(6):683-91.</w:t>
      </w:r>
    </w:p>
  </w:footnote>
  <w:footnote w:id="13">
    <w:p w14:paraId="1F3B726E" w14:textId="77777777" w:rsidR="002E4A59" w:rsidRDefault="002E4A59">
      <w:pPr>
        <w:pStyle w:val="FootnoteText"/>
      </w:pPr>
      <w:r>
        <w:rPr>
          <w:rStyle w:val="FootnoteReference"/>
        </w:rPr>
        <w:footnoteRef/>
      </w:r>
      <w:r>
        <w:t xml:space="preserve"> pCR rate defined as the </w:t>
      </w:r>
      <w:r w:rsidRPr="00F8716B">
        <w:t>number of randomised subjects with an absence of residual tumour in lung resected tissue and lymph nodes per blinded independent pathological review (BIPR), divided by the number of randomised patients for each treatment arm</w:t>
      </w:r>
      <w:r>
        <w:t>.</w:t>
      </w:r>
    </w:p>
  </w:footnote>
  <w:footnote w:id="14">
    <w:p w14:paraId="46A1AD84" w14:textId="3105BAAE" w:rsidR="002E4A59" w:rsidRDefault="002E4A59">
      <w:pPr>
        <w:pStyle w:val="FootnoteText"/>
      </w:pPr>
      <w:r>
        <w:rPr>
          <w:rStyle w:val="FootnoteReference"/>
        </w:rPr>
        <w:footnoteRef/>
      </w:r>
      <w:r>
        <w:t xml:space="preserve"> EFS </w:t>
      </w:r>
      <w:r w:rsidRPr="00F8716B">
        <w:t xml:space="preserve">by </w:t>
      </w:r>
      <w:r>
        <w:t xml:space="preserve">blinded </w:t>
      </w:r>
      <w:r w:rsidRPr="00F8716B">
        <w:t xml:space="preserve">independent central review (BICR) </w:t>
      </w:r>
      <w:r>
        <w:t xml:space="preserve">was a composite endpoint defined as </w:t>
      </w:r>
      <w:r w:rsidRPr="00F8716B">
        <w:t xml:space="preserve">time from randomisation to any </w:t>
      </w:r>
      <w:r>
        <w:t xml:space="preserve">of: </w:t>
      </w:r>
      <w:r w:rsidRPr="00F8716B">
        <w:t xml:space="preserve">progression of disease </w:t>
      </w:r>
      <w:r>
        <w:t>prior to</w:t>
      </w:r>
      <w:r w:rsidRPr="00F8716B">
        <w:t xml:space="preserve"> surgery, progression or recurrence of disease (</w:t>
      </w:r>
      <w:r>
        <w:t xml:space="preserve">as </w:t>
      </w:r>
      <w:r w:rsidRPr="00F8716B">
        <w:t xml:space="preserve">per BICR using </w:t>
      </w:r>
      <w:r w:rsidRPr="00730790">
        <w:t>Response Evaluation Criteria in Solid Tumours</w:t>
      </w:r>
      <w:r>
        <w:t xml:space="preserve"> [</w:t>
      </w:r>
      <w:r w:rsidRPr="00F8716B">
        <w:t>RECIST</w:t>
      </w:r>
      <w:r>
        <w:t>] version</w:t>
      </w:r>
      <w:r w:rsidRPr="00F8716B">
        <w:t xml:space="preserve"> 1.1) after surgery, or death due to any cause. Patients who did not undergo surgery for reasons other than progression were considered to have an event </w:t>
      </w:r>
      <w:r>
        <w:t xml:space="preserve">according </w:t>
      </w:r>
      <w:r w:rsidR="00FF3E10">
        <w:t>at</w:t>
      </w:r>
      <w:r w:rsidRPr="00F8716B">
        <w:t xml:space="preserve"> RECIST</w:t>
      </w:r>
      <w:r>
        <w:t xml:space="preserve"> version</w:t>
      </w:r>
      <w:r w:rsidRPr="00F8716B">
        <w:t xml:space="preserve"> 1.1 progression or death</w:t>
      </w:r>
      <w:r>
        <w:t>.</w:t>
      </w:r>
    </w:p>
  </w:footnote>
  <w:footnote w:id="15">
    <w:p w14:paraId="3AA21F67" w14:textId="0CE04E6C" w:rsidR="002E4A59" w:rsidRDefault="002E4A59">
      <w:pPr>
        <w:pStyle w:val="FootnoteText"/>
      </w:pPr>
      <w:r>
        <w:rPr>
          <w:rStyle w:val="FootnoteReference"/>
        </w:rPr>
        <w:footnoteRef/>
      </w:r>
      <w:r>
        <w:t xml:space="preserve"> </w:t>
      </w:r>
      <w:r w:rsidRPr="002D70A8">
        <w:t>The adjusted (per Lan-DeMets alpha spending function) significance boundary for OS at interim analysis was 0.0033</w:t>
      </w:r>
      <w:r w:rsidR="002F37BD">
        <w:t>.</w:t>
      </w:r>
    </w:p>
  </w:footnote>
  <w:footnote w:id="16">
    <w:p w14:paraId="2F2EEFBB" w14:textId="2C2E4C6A" w:rsidR="002E4A59" w:rsidRDefault="002E4A59">
      <w:pPr>
        <w:pStyle w:val="FootnoteText"/>
      </w:pPr>
      <w:r>
        <w:rPr>
          <w:rStyle w:val="FootnoteReference"/>
        </w:rPr>
        <w:footnoteRef/>
      </w:r>
      <w:r>
        <w:t xml:space="preserve"> Defined as the n</w:t>
      </w:r>
      <w:r w:rsidRPr="007B0FB6">
        <w:t>umber of randomised patients with &gt;</w:t>
      </w:r>
      <w:r>
        <w:t xml:space="preserve"> </w:t>
      </w:r>
      <w:r w:rsidRPr="007B0FB6">
        <w:t>10% residual tumour in lung and lymph nodes as evaluated by BIPR, divided by the number of randomised patients for each treatment group.</w:t>
      </w:r>
    </w:p>
  </w:footnote>
  <w:footnote w:id="17">
    <w:p w14:paraId="1C50C35F" w14:textId="4E677DF6" w:rsidR="002E4A59" w:rsidRDefault="002E4A59">
      <w:pPr>
        <w:pStyle w:val="FootnoteText"/>
      </w:pPr>
      <w:r>
        <w:rPr>
          <w:rStyle w:val="FootnoteReference"/>
        </w:rPr>
        <w:footnoteRef/>
      </w:r>
      <w:r>
        <w:t xml:space="preserve"> </w:t>
      </w:r>
      <w:r w:rsidRPr="00407DA5">
        <w:t xml:space="preserve">Forde PM, Spicer J, </w:t>
      </w:r>
      <w:r w:rsidRPr="00407DA5">
        <w:rPr>
          <w:i/>
        </w:rPr>
        <w:t>et al</w:t>
      </w:r>
      <w:r w:rsidRPr="00407DA5">
        <w:t xml:space="preserve">. Neoadjuvant nivolumab plus chemotherapy in resectable lung cancer. </w:t>
      </w:r>
      <w:r w:rsidRPr="00407DA5">
        <w:rPr>
          <w:i/>
        </w:rPr>
        <w:t>New England Journal of Medicine</w:t>
      </w:r>
      <w:r w:rsidRPr="00407DA5">
        <w:t>. 2022;386(21):1973-85</w:t>
      </w:r>
    </w:p>
  </w:footnote>
  <w:footnote w:id="18">
    <w:p w14:paraId="438A8CB3" w14:textId="77777777" w:rsidR="002E4A59" w:rsidRDefault="002E4A59" w:rsidP="007E7344">
      <w:pPr>
        <w:pStyle w:val="FootnoteText"/>
      </w:pPr>
      <w:r>
        <w:rPr>
          <w:rStyle w:val="FootnoteReference"/>
        </w:rPr>
        <w:footnoteRef/>
      </w:r>
      <w:r>
        <w:t xml:space="preserve"> </w:t>
      </w:r>
      <w:r w:rsidRPr="001D76A9">
        <w:t xml:space="preserve">Altman DG, Bland JM. Interaction revisited: the difference between two estimates. </w:t>
      </w:r>
      <w:r>
        <w:rPr>
          <w:i/>
        </w:rPr>
        <w:t>BMJ</w:t>
      </w:r>
      <w:r>
        <w:t>,</w:t>
      </w:r>
      <w:r w:rsidRPr="001D76A9">
        <w:t xml:space="preserve"> 2003;326(7382):219.</w:t>
      </w:r>
    </w:p>
  </w:footnote>
  <w:footnote w:id="19">
    <w:p w14:paraId="3FD3BD54" w14:textId="77777777" w:rsidR="002E4A59" w:rsidRDefault="002E4A59" w:rsidP="00F2381C">
      <w:pPr>
        <w:pStyle w:val="FootnoteText"/>
      </w:pPr>
      <w:r>
        <w:rPr>
          <w:rStyle w:val="FootnoteReference"/>
        </w:rPr>
        <w:footnoteRef/>
      </w:r>
      <w:r>
        <w:t xml:space="preserve"> </w:t>
      </w:r>
      <w:r w:rsidRPr="00F659D7">
        <w:t xml:space="preserve">Pless M, Stupp R, </w:t>
      </w:r>
      <w:r w:rsidRPr="00F659D7">
        <w:rPr>
          <w:i/>
        </w:rPr>
        <w:t>et al</w:t>
      </w:r>
      <w:r w:rsidRPr="00F659D7">
        <w:t xml:space="preserve">. Induction chemoradiation in stage IIIA/N2 non-small-cell lung cancer: a phase 3 randomised trial. </w:t>
      </w:r>
      <w:r w:rsidRPr="00F659D7">
        <w:rPr>
          <w:i/>
        </w:rPr>
        <w:t>Lancet.</w:t>
      </w:r>
      <w:r w:rsidRPr="00F659D7">
        <w:t xml:space="preserve"> 2015;386(9998):1049-56</w:t>
      </w:r>
    </w:p>
    <w:p w14:paraId="39130BB8" w14:textId="77777777" w:rsidR="002E4A59" w:rsidRDefault="002E4A59" w:rsidP="00F2381C">
      <w:pPr>
        <w:pStyle w:val="FootnoteText"/>
      </w:pPr>
      <w:r w:rsidRPr="007A537A">
        <w:t xml:space="preserve">Felip E, Rosell R, </w:t>
      </w:r>
      <w:r w:rsidRPr="007A537A">
        <w:rPr>
          <w:i/>
        </w:rPr>
        <w:t>et al</w:t>
      </w:r>
      <w:r w:rsidRPr="007A537A">
        <w:t xml:space="preserve">. Preoperative chemotherapy plus surgery versus surgery plus adjuvant chemotherapy versus surgery alone in early-stage non–small-cell lung cancer. </w:t>
      </w:r>
      <w:r w:rsidRPr="007A537A">
        <w:rPr>
          <w:i/>
        </w:rPr>
        <w:t xml:space="preserve">Journal of </w:t>
      </w:r>
      <w:r>
        <w:rPr>
          <w:i/>
        </w:rPr>
        <w:t>C</w:t>
      </w:r>
      <w:r w:rsidRPr="007A537A">
        <w:rPr>
          <w:i/>
        </w:rPr>
        <w:t xml:space="preserve">linical </w:t>
      </w:r>
      <w:r>
        <w:rPr>
          <w:i/>
        </w:rPr>
        <w:t>O</w:t>
      </w:r>
      <w:r w:rsidRPr="007A537A">
        <w:rPr>
          <w:i/>
        </w:rPr>
        <w:t>ncology</w:t>
      </w:r>
      <w:r w:rsidRPr="007A537A">
        <w:t>. 2010;28(19):3138-45</w:t>
      </w:r>
      <w:r>
        <w:t>.</w:t>
      </w:r>
    </w:p>
    <w:p w14:paraId="2AB56145" w14:textId="77777777" w:rsidR="002E4A59" w:rsidRDefault="002E4A59" w:rsidP="00F2381C">
      <w:pPr>
        <w:pStyle w:val="FootnoteText"/>
      </w:pPr>
      <w:r w:rsidRPr="007A537A">
        <w:t>Scagliotti GV, Pastorino</w:t>
      </w:r>
      <w:r>
        <w:t xml:space="preserve"> U, </w:t>
      </w:r>
      <w:r>
        <w:rPr>
          <w:i/>
        </w:rPr>
        <w:t>et al</w:t>
      </w:r>
      <w:r w:rsidRPr="007A537A">
        <w:t xml:space="preserve">. Randomized phase III study of surgery alone or surgery plus preoperative cisplatin and gemcitabine in stages IB to IIIA non-small-cell lung cancer. </w:t>
      </w:r>
      <w:r w:rsidRPr="007A537A">
        <w:rPr>
          <w:i/>
        </w:rPr>
        <w:t xml:space="preserve">Journal of </w:t>
      </w:r>
      <w:r>
        <w:rPr>
          <w:i/>
        </w:rPr>
        <w:t>C</w:t>
      </w:r>
      <w:r w:rsidRPr="007A537A">
        <w:rPr>
          <w:i/>
        </w:rPr>
        <w:t xml:space="preserve">linical </w:t>
      </w:r>
      <w:r>
        <w:rPr>
          <w:i/>
        </w:rPr>
        <w:t>O</w:t>
      </w:r>
      <w:r w:rsidRPr="007A537A">
        <w:rPr>
          <w:i/>
        </w:rPr>
        <w:t>ncology</w:t>
      </w:r>
      <w:r w:rsidRPr="007A537A">
        <w:t xml:space="preserve">, </w:t>
      </w:r>
      <w:r>
        <w:t>2012;</w:t>
      </w:r>
      <w:r w:rsidRPr="007A537A">
        <w:t>30(2), 172–178.</w:t>
      </w:r>
    </w:p>
    <w:p w14:paraId="0B615C3A" w14:textId="77777777" w:rsidR="002E4A59" w:rsidRDefault="002E4A59" w:rsidP="00F2381C">
      <w:pPr>
        <w:pStyle w:val="FootnoteText"/>
      </w:pPr>
      <w:r w:rsidRPr="007A537A">
        <w:t xml:space="preserve">Pisters KMW, Vallières E, </w:t>
      </w:r>
      <w:r>
        <w:rPr>
          <w:i/>
        </w:rPr>
        <w:t>et al.</w:t>
      </w:r>
      <w:r w:rsidRPr="007A537A">
        <w:t xml:space="preserve"> Surgery with or without preoperative paclitaxel and carboplatin in early-stage non - small-cell lung cancer: Southwest oncology group trial S9900, an intergroup, randomized, phase III trial. </w:t>
      </w:r>
      <w:r w:rsidRPr="007A537A">
        <w:rPr>
          <w:i/>
        </w:rPr>
        <w:t>Journal of Clinical Oncology</w:t>
      </w:r>
      <w:r w:rsidRPr="007A537A">
        <w:t xml:space="preserve">, </w:t>
      </w:r>
      <w:r>
        <w:t>2010;</w:t>
      </w:r>
      <w:r w:rsidRPr="007A537A">
        <w:t>28(11), 1843–1849</w:t>
      </w:r>
    </w:p>
    <w:p w14:paraId="311BCD7A" w14:textId="77777777" w:rsidR="002E4A59" w:rsidRDefault="002E4A59" w:rsidP="00F2381C">
      <w:pPr>
        <w:pStyle w:val="FootnoteText"/>
      </w:pPr>
      <w:r w:rsidRPr="007A537A">
        <w:t xml:space="preserve">NSCLC Meta-analysis Collaborative Group. Preoperative chemotherapy for non-small-cell lung cancer: a systematic review and meta-analysis of individual participant data. </w:t>
      </w:r>
      <w:r w:rsidRPr="007A537A">
        <w:rPr>
          <w:i/>
        </w:rPr>
        <w:t>Lancet</w:t>
      </w:r>
      <w:r w:rsidRPr="007A537A">
        <w:t>. 2014;383(9928):1561-71</w:t>
      </w:r>
    </w:p>
    <w:p w14:paraId="12A681D6" w14:textId="77777777" w:rsidR="002E4A59" w:rsidRDefault="002E4A59" w:rsidP="00F2381C">
      <w:pPr>
        <w:pStyle w:val="FootnoteText"/>
      </w:pPr>
      <w:r w:rsidRPr="007A537A">
        <w:t>Bristol Myers Squibb. Primary non-interventional study CA2097L8: meta-analysis to characterize the association between pathological response to neoadjuvant therapy and survival endpoints in patients with stage I to III non-small cell lung cancer using patient-level data [Data on file]</w:t>
      </w:r>
      <w:r>
        <w:t xml:space="preserve">. </w:t>
      </w:r>
      <w:r w:rsidRPr="007A537A">
        <w:t>2021.</w:t>
      </w:r>
    </w:p>
    <w:p w14:paraId="18CFB148" w14:textId="77777777" w:rsidR="002E4A59" w:rsidRDefault="002E4A59" w:rsidP="00F2381C">
      <w:pPr>
        <w:pStyle w:val="FootnoteText"/>
      </w:pPr>
      <w:r w:rsidRPr="007A537A">
        <w:t>Bristol Myers Squibb. Non-interventional study CA2097C4: early endpoints in patients with resectable non-small cell lung cancer (NSCLC) in a real-world setting [Data on file]</w:t>
      </w:r>
      <w:r>
        <w:t xml:space="preserve">. </w:t>
      </w:r>
      <w:r w:rsidRPr="007A537A">
        <w:t>2021.</w:t>
      </w:r>
    </w:p>
  </w:footnote>
  <w:footnote w:id="20">
    <w:p w14:paraId="72D0D605" w14:textId="77777777" w:rsidR="002E4A59" w:rsidRDefault="002E4A59" w:rsidP="00F2381C">
      <w:pPr>
        <w:pStyle w:val="FootnoteText"/>
      </w:pPr>
      <w:r>
        <w:rPr>
          <w:rStyle w:val="FootnoteReference"/>
        </w:rPr>
        <w:footnoteRef/>
      </w:r>
      <w:r>
        <w:t xml:space="preserve"> </w:t>
      </w:r>
      <w:r w:rsidRPr="00EC2DB3">
        <w:t xml:space="preserve">Chouaid C, Danson S, </w:t>
      </w:r>
      <w:r>
        <w:rPr>
          <w:i/>
        </w:rPr>
        <w:t>et al</w:t>
      </w:r>
      <w:r w:rsidRPr="00EC2DB3">
        <w:t xml:space="preserve">. Adjuvant treatment patterns and outcomes in patients with stage IB-IIIA non-small cell lung cancer in France, Germany, and the United Kingdom based on the LuCaBIS burden of illness study. </w:t>
      </w:r>
      <w:r w:rsidRPr="00EC2DB3">
        <w:rPr>
          <w:i/>
        </w:rPr>
        <w:t>Lung Cancer</w:t>
      </w:r>
      <w:r w:rsidRPr="00EC2DB3">
        <w:t>. 2018;124:310-6.</w:t>
      </w:r>
    </w:p>
  </w:footnote>
  <w:footnote w:id="21">
    <w:p w14:paraId="50AF66DD" w14:textId="77777777" w:rsidR="002E4A59" w:rsidRDefault="002E4A59" w:rsidP="00F2381C">
      <w:pPr>
        <w:pStyle w:val="FootnoteText"/>
      </w:pPr>
      <w:r>
        <w:rPr>
          <w:rStyle w:val="FootnoteReference"/>
        </w:rPr>
        <w:footnoteRef/>
      </w:r>
      <w:r>
        <w:t xml:space="preserve"> </w:t>
      </w:r>
      <w:r w:rsidRPr="00EC2DB3">
        <w:t xml:space="preserve">Clemens S, Begum N, </w:t>
      </w:r>
      <w:r>
        <w:rPr>
          <w:i/>
        </w:rPr>
        <w:t>et al</w:t>
      </w:r>
      <w:r w:rsidRPr="00EC2DB3">
        <w:t xml:space="preserve">. A comparison of EQ-5D-3L population norms in Queensland, Australia, estimated using utility value sets from Australia, the UK and USA. </w:t>
      </w:r>
      <w:r w:rsidRPr="00EC2DB3">
        <w:rPr>
          <w:i/>
        </w:rPr>
        <w:t>Quality of Life Research</w:t>
      </w:r>
      <w:r w:rsidRPr="00EC2DB3">
        <w:t>. 2014;23(8):2375-81.</w:t>
      </w:r>
    </w:p>
  </w:footnote>
  <w:footnote w:id="22">
    <w:p w14:paraId="740A1F99" w14:textId="77777777" w:rsidR="002E4A59" w:rsidRDefault="002E4A59" w:rsidP="00F2381C">
      <w:pPr>
        <w:pStyle w:val="FootnoteText"/>
      </w:pPr>
      <w:r>
        <w:rPr>
          <w:rStyle w:val="FootnoteReference"/>
        </w:rPr>
        <w:footnoteRef/>
      </w:r>
      <w:r>
        <w:t xml:space="preserve"> </w:t>
      </w:r>
      <w:r w:rsidRPr="00EC2DB3">
        <w:t xml:space="preserve">Grutters JP, Joore MA, </w:t>
      </w:r>
      <w:r w:rsidRPr="00EC2DB3">
        <w:rPr>
          <w:i/>
        </w:rPr>
        <w:t>et al.</w:t>
      </w:r>
      <w:r w:rsidRPr="00EC2DB3">
        <w:t xml:space="preserve"> Health-related quality of life in patients surviving non-small cell lung cancer. </w:t>
      </w:r>
      <w:r w:rsidRPr="00EC2DB3">
        <w:rPr>
          <w:i/>
        </w:rPr>
        <w:t>Thorax</w:t>
      </w:r>
      <w:r w:rsidRPr="00EC2DB3">
        <w:t>. 2010;65(10):903-7.</w:t>
      </w:r>
    </w:p>
  </w:footnote>
  <w:footnote w:id="23">
    <w:p w14:paraId="489F5873" w14:textId="77777777" w:rsidR="00C74767" w:rsidRDefault="00C74767" w:rsidP="00C74767">
      <w:pPr>
        <w:pStyle w:val="FootnoteText"/>
      </w:pPr>
      <w:r>
        <w:rPr>
          <w:rStyle w:val="FootnoteReference"/>
        </w:rPr>
        <w:footnoteRef/>
      </w:r>
      <w:r>
        <w:t xml:space="preserve"> </w:t>
      </w:r>
      <w:r w:rsidRPr="00B6578B">
        <w:t>Medical Services Advisory Committee.</w:t>
      </w:r>
      <w:r>
        <w:t xml:space="preserve"> (2022) MSAC Position Statement on programmed death-ligand 1 (PD-L1) immunohistochemistry testing to determine eligibility for treatment with PD-(L)1 checkpoint inhibitors. </w:t>
      </w:r>
      <w:hyperlink r:id="rId2" w:anchor=":~:text=The%20Medical%20Services%20Advisory%20Committee%20%28MSAC%29%20has%20considered,does%20not%20require%20PD-L1%20IHC%20testing%20%28Attachment%202%29." w:history="1">
        <w:r w:rsidRPr="005B07C8">
          <w:t>MSAC Position Statement - PD-L1 testing - Ratified -26Sept - clean.pdf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72C8" w14:textId="77777777" w:rsidR="001172C3" w:rsidRDefault="001172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4689" w14:textId="41569737" w:rsidR="002C3705" w:rsidRPr="00195452" w:rsidRDefault="00CC7AE8" w:rsidP="002C3705">
    <w:pPr>
      <w:pStyle w:val="Header"/>
      <w:rPr>
        <w:rFonts w:asciiTheme="minorHAnsi" w:hAnsiTheme="minorHAnsi"/>
        <w:i/>
        <w:color w:val="808080"/>
      </w:rPr>
    </w:pPr>
    <w:r>
      <w:rPr>
        <w:rFonts w:asciiTheme="minorHAnsi" w:hAnsiTheme="minorHAnsi"/>
        <w:i/>
        <w:color w:val="808080"/>
      </w:rPr>
      <w:t>Public Summary Document</w:t>
    </w:r>
    <w:r w:rsidR="00E51F33">
      <w:rPr>
        <w:rFonts w:asciiTheme="minorHAnsi" w:hAnsiTheme="minorHAnsi"/>
        <w:i/>
        <w:color w:val="808080"/>
      </w:rPr>
      <w:t xml:space="preserve"> - </w:t>
    </w:r>
    <w:r w:rsidR="002C3705">
      <w:rPr>
        <w:rFonts w:asciiTheme="minorHAnsi" w:hAnsiTheme="minorHAnsi"/>
        <w:i/>
        <w:color w:val="808080"/>
      </w:rPr>
      <w:t xml:space="preserve">March 2023 </w:t>
    </w:r>
    <w:r w:rsidR="002C3705" w:rsidRPr="00195452">
      <w:rPr>
        <w:rFonts w:asciiTheme="minorHAnsi" w:hAnsiTheme="minorHAnsi"/>
        <w:i/>
        <w:color w:val="808080"/>
      </w:rPr>
      <w:t>PBAC Meeting</w:t>
    </w:r>
  </w:p>
  <w:p w14:paraId="28115B05" w14:textId="77777777" w:rsidR="0067394F" w:rsidRDefault="0067394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8790D" w14:textId="77777777" w:rsidR="001172C3" w:rsidRDefault="001172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43E7AB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330077"/>
    <w:multiLevelType w:val="hybridMultilevel"/>
    <w:tmpl w:val="0FA21F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420A8B"/>
    <w:multiLevelType w:val="hybridMultilevel"/>
    <w:tmpl w:val="44B64C44"/>
    <w:lvl w:ilvl="0" w:tplc="5D32CA74">
      <w:start w:val="1"/>
      <w:numFmt w:val="bullet"/>
      <w:pStyle w:val="Bulletpoints"/>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8325F78"/>
    <w:multiLevelType w:val="hybridMultilevel"/>
    <w:tmpl w:val="AE36CBE2"/>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09629CD"/>
    <w:multiLevelType w:val="hybridMultilevel"/>
    <w:tmpl w:val="C78CDA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3613239B"/>
    <w:multiLevelType w:val="hybridMultilevel"/>
    <w:tmpl w:val="60643714"/>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39930F05"/>
    <w:multiLevelType w:val="hybridMultilevel"/>
    <w:tmpl w:val="DBFE22C6"/>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FA67B97"/>
    <w:multiLevelType w:val="hybridMultilevel"/>
    <w:tmpl w:val="662C33A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15:restartNumberingAfterBreak="0">
    <w:nsid w:val="44442297"/>
    <w:multiLevelType w:val="hybridMultilevel"/>
    <w:tmpl w:val="E6FE4E00"/>
    <w:lvl w:ilvl="0" w:tplc="C324F4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12625C"/>
    <w:multiLevelType w:val="hybridMultilevel"/>
    <w:tmpl w:val="DD9A1C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9F2AFC"/>
    <w:multiLevelType w:val="hybridMultilevel"/>
    <w:tmpl w:val="742E6A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5D12396B"/>
    <w:multiLevelType w:val="multilevel"/>
    <w:tmpl w:val="E76A7194"/>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2"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ABD720A"/>
    <w:multiLevelType w:val="hybridMultilevel"/>
    <w:tmpl w:val="890625C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7" w15:restartNumberingAfterBreak="0">
    <w:nsid w:val="7B0D65C7"/>
    <w:multiLevelType w:val="hybridMultilevel"/>
    <w:tmpl w:val="F070C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14"/>
  </w:num>
  <w:num w:numId="3">
    <w:abstractNumId w:val="15"/>
  </w:num>
  <w:num w:numId="4">
    <w:abstractNumId w:val="0"/>
  </w:num>
  <w:num w:numId="5">
    <w:abstractNumId w:val="25"/>
  </w:num>
  <w:num w:numId="6">
    <w:abstractNumId w:val="16"/>
  </w:num>
  <w:num w:numId="7">
    <w:abstractNumId w:val="22"/>
  </w:num>
  <w:num w:numId="8">
    <w:abstractNumId w:val="27"/>
  </w:num>
  <w:num w:numId="9">
    <w:abstractNumId w:val="19"/>
  </w:num>
  <w:num w:numId="10">
    <w:abstractNumId w:val="11"/>
  </w:num>
  <w:num w:numId="11">
    <w:abstractNumId w:val="26"/>
  </w:num>
  <w:num w:numId="12">
    <w:abstractNumId w:val="5"/>
  </w:num>
  <w:num w:numId="13">
    <w:abstractNumId w:val="10"/>
  </w:num>
  <w:num w:numId="14">
    <w:abstractNumId w:val="13"/>
  </w:num>
  <w:num w:numId="15">
    <w:abstractNumId w:val="6"/>
  </w:num>
  <w:num w:numId="16">
    <w:abstractNumId w:val="2"/>
  </w:num>
  <w:num w:numId="17">
    <w:abstractNumId w:val="12"/>
  </w:num>
  <w:num w:numId="18">
    <w:abstractNumId w:val="20"/>
  </w:num>
  <w:num w:numId="19">
    <w:abstractNumId w:val="23"/>
  </w:num>
  <w:num w:numId="20">
    <w:abstractNumId w:val="25"/>
  </w:num>
  <w:num w:numId="21">
    <w:abstractNumId w:val="25"/>
  </w:num>
  <w:num w:numId="22">
    <w:abstractNumId w:val="25"/>
  </w:num>
  <w:num w:numId="23">
    <w:abstractNumId w:val="25"/>
  </w:num>
  <w:num w:numId="24">
    <w:abstractNumId w:val="3"/>
  </w:num>
  <w:num w:numId="25">
    <w:abstractNumId w:val="17"/>
  </w:num>
  <w:num w:numId="26">
    <w:abstractNumId w:val="18"/>
  </w:num>
  <w:num w:numId="27">
    <w:abstractNumId w:val="4"/>
  </w:num>
  <w:num w:numId="28">
    <w:abstractNumId w:val="1"/>
  </w:num>
  <w:num w:numId="29">
    <w:abstractNumId w:val="8"/>
  </w:num>
  <w:num w:numId="30">
    <w:abstractNumId w:val="9"/>
  </w:num>
  <w:num w:numId="31">
    <w:abstractNumId w:val="7"/>
  </w:num>
  <w:num w:numId="3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5"/>
  </w:num>
  <w:num w:numId="35">
    <w:abstractNumId w:val="25"/>
  </w:num>
  <w:num w:numId="36">
    <w:abstractNumId w:val="25"/>
  </w:num>
  <w:num w:numId="37">
    <w:abstractNumId w:val="25"/>
  </w:num>
  <w:num w:numId="38">
    <w:abstractNumId w:val="25"/>
  </w:num>
  <w:num w:numId="39">
    <w:abstractNumId w:val="25"/>
  </w:num>
  <w:num w:numId="40">
    <w:abstractNumId w:val="25"/>
  </w:num>
  <w:num w:numId="41">
    <w:abstractNumId w:val="25"/>
  </w:num>
  <w:num w:numId="42">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modified&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9f599s0ar5w52ettfhxxaenrdewr0rafdr0&quot;&gt;NeoadjNIVO NSCLC&lt;record-ids&gt;&lt;item&gt;1&lt;/item&gt;&lt;item&gt;2&lt;/item&gt;&lt;item&gt;3&lt;/item&gt;&lt;item&gt;4&lt;/item&gt;&lt;item&gt;5&lt;/item&gt;&lt;item&gt;6&lt;/item&gt;&lt;item&gt;8&lt;/item&gt;&lt;item&gt;12&lt;/item&gt;&lt;item&gt;13&lt;/item&gt;&lt;item&gt;15&lt;/item&gt;&lt;item&gt;17&lt;/item&gt;&lt;item&gt;19&lt;/item&gt;&lt;item&gt;20&lt;/item&gt;&lt;item&gt;21&lt;/item&gt;&lt;item&gt;22&lt;/item&gt;&lt;item&gt;24&lt;/item&gt;&lt;item&gt;25&lt;/item&gt;&lt;item&gt;26&lt;/item&gt;&lt;item&gt;27&lt;/item&gt;&lt;item&gt;28&lt;/item&gt;&lt;item&gt;29&lt;/item&gt;&lt;item&gt;30&lt;/item&gt;&lt;item&gt;31&lt;/item&gt;&lt;item&gt;32&lt;/item&gt;&lt;item&gt;34&lt;/item&gt;&lt;item&gt;35&lt;/item&gt;&lt;item&gt;36&lt;/item&gt;&lt;item&gt;37&lt;/item&gt;&lt;item&gt;38&lt;/item&gt;&lt;item&gt;39&lt;/item&gt;&lt;item&gt;40&lt;/item&gt;&lt;item&gt;41&lt;/item&gt;&lt;item&gt;42&lt;/item&gt;&lt;item&gt;43&lt;/item&gt;&lt;item&gt;44&lt;/item&gt;&lt;/record-ids&gt;&lt;/item&gt;&lt;/Libraries&gt;"/>
  </w:docVars>
  <w:rsids>
    <w:rsidRoot w:val="00E65E79"/>
    <w:rsid w:val="00000790"/>
    <w:rsid w:val="0000110B"/>
    <w:rsid w:val="00002386"/>
    <w:rsid w:val="00003499"/>
    <w:rsid w:val="000039B4"/>
    <w:rsid w:val="000039B7"/>
    <w:rsid w:val="000056B9"/>
    <w:rsid w:val="00005920"/>
    <w:rsid w:val="0000639A"/>
    <w:rsid w:val="00006440"/>
    <w:rsid w:val="00007CDC"/>
    <w:rsid w:val="000103EE"/>
    <w:rsid w:val="00013247"/>
    <w:rsid w:val="00014916"/>
    <w:rsid w:val="00015632"/>
    <w:rsid w:val="00015886"/>
    <w:rsid w:val="000162EF"/>
    <w:rsid w:val="00017733"/>
    <w:rsid w:val="00020387"/>
    <w:rsid w:val="0002063B"/>
    <w:rsid w:val="000207C9"/>
    <w:rsid w:val="000213BC"/>
    <w:rsid w:val="0002225F"/>
    <w:rsid w:val="00023763"/>
    <w:rsid w:val="00024514"/>
    <w:rsid w:val="00024EB5"/>
    <w:rsid w:val="00026D72"/>
    <w:rsid w:val="0002718F"/>
    <w:rsid w:val="000274B8"/>
    <w:rsid w:val="000314CA"/>
    <w:rsid w:val="000317A6"/>
    <w:rsid w:val="00031896"/>
    <w:rsid w:val="00032167"/>
    <w:rsid w:val="0003320F"/>
    <w:rsid w:val="00033863"/>
    <w:rsid w:val="000349A5"/>
    <w:rsid w:val="00034A12"/>
    <w:rsid w:val="00034D93"/>
    <w:rsid w:val="00034E4A"/>
    <w:rsid w:val="00035DC0"/>
    <w:rsid w:val="00035EB3"/>
    <w:rsid w:val="00036829"/>
    <w:rsid w:val="000370AC"/>
    <w:rsid w:val="000371E8"/>
    <w:rsid w:val="000372A0"/>
    <w:rsid w:val="000401AC"/>
    <w:rsid w:val="00040895"/>
    <w:rsid w:val="000410A0"/>
    <w:rsid w:val="00041401"/>
    <w:rsid w:val="000435EE"/>
    <w:rsid w:val="00043C37"/>
    <w:rsid w:val="000443AB"/>
    <w:rsid w:val="0004462D"/>
    <w:rsid w:val="00045017"/>
    <w:rsid w:val="000451FB"/>
    <w:rsid w:val="00045A2B"/>
    <w:rsid w:val="0004698F"/>
    <w:rsid w:val="00046D64"/>
    <w:rsid w:val="0004782E"/>
    <w:rsid w:val="0004792B"/>
    <w:rsid w:val="00047C39"/>
    <w:rsid w:val="00050473"/>
    <w:rsid w:val="000508C2"/>
    <w:rsid w:val="00050929"/>
    <w:rsid w:val="00052435"/>
    <w:rsid w:val="000539D0"/>
    <w:rsid w:val="00053B0B"/>
    <w:rsid w:val="00054621"/>
    <w:rsid w:val="000546D7"/>
    <w:rsid w:val="00054A8D"/>
    <w:rsid w:val="000556D4"/>
    <w:rsid w:val="00056A6A"/>
    <w:rsid w:val="00056ECF"/>
    <w:rsid w:val="000575F3"/>
    <w:rsid w:val="000603F7"/>
    <w:rsid w:val="000604DF"/>
    <w:rsid w:val="000617D3"/>
    <w:rsid w:val="000619A0"/>
    <w:rsid w:val="000619EC"/>
    <w:rsid w:val="00062324"/>
    <w:rsid w:val="0006363E"/>
    <w:rsid w:val="00063E24"/>
    <w:rsid w:val="00064A4E"/>
    <w:rsid w:val="000653B5"/>
    <w:rsid w:val="00066360"/>
    <w:rsid w:val="00066AF8"/>
    <w:rsid w:val="00071248"/>
    <w:rsid w:val="000720B9"/>
    <w:rsid w:val="000737F7"/>
    <w:rsid w:val="00073EC9"/>
    <w:rsid w:val="0007672F"/>
    <w:rsid w:val="00076B54"/>
    <w:rsid w:val="00077177"/>
    <w:rsid w:val="000774F0"/>
    <w:rsid w:val="000801D4"/>
    <w:rsid w:val="00080345"/>
    <w:rsid w:val="00080909"/>
    <w:rsid w:val="000812CA"/>
    <w:rsid w:val="00081330"/>
    <w:rsid w:val="00081E63"/>
    <w:rsid w:val="000823D5"/>
    <w:rsid w:val="0008258D"/>
    <w:rsid w:val="00083194"/>
    <w:rsid w:val="00083E91"/>
    <w:rsid w:val="00083E99"/>
    <w:rsid w:val="00083F82"/>
    <w:rsid w:val="000846BD"/>
    <w:rsid w:val="00084FA8"/>
    <w:rsid w:val="000856C5"/>
    <w:rsid w:val="000858ED"/>
    <w:rsid w:val="00085C31"/>
    <w:rsid w:val="00085FDD"/>
    <w:rsid w:val="0008713F"/>
    <w:rsid w:val="000902D9"/>
    <w:rsid w:val="000907C4"/>
    <w:rsid w:val="00090C7E"/>
    <w:rsid w:val="000911AC"/>
    <w:rsid w:val="00091CB6"/>
    <w:rsid w:val="00092600"/>
    <w:rsid w:val="0009262B"/>
    <w:rsid w:val="00093310"/>
    <w:rsid w:val="00093CA0"/>
    <w:rsid w:val="0009445C"/>
    <w:rsid w:val="00095200"/>
    <w:rsid w:val="00095458"/>
    <w:rsid w:val="00095FE5"/>
    <w:rsid w:val="00096284"/>
    <w:rsid w:val="000971A7"/>
    <w:rsid w:val="000A164A"/>
    <w:rsid w:val="000A1BC0"/>
    <w:rsid w:val="000A2F9E"/>
    <w:rsid w:val="000A3E47"/>
    <w:rsid w:val="000A4DF2"/>
    <w:rsid w:val="000A522B"/>
    <w:rsid w:val="000A6039"/>
    <w:rsid w:val="000A6319"/>
    <w:rsid w:val="000A6E30"/>
    <w:rsid w:val="000A6E90"/>
    <w:rsid w:val="000A7453"/>
    <w:rsid w:val="000A7D08"/>
    <w:rsid w:val="000B0121"/>
    <w:rsid w:val="000B0670"/>
    <w:rsid w:val="000B09C8"/>
    <w:rsid w:val="000B0C87"/>
    <w:rsid w:val="000B0E75"/>
    <w:rsid w:val="000B2CF7"/>
    <w:rsid w:val="000B2DCB"/>
    <w:rsid w:val="000B2DCC"/>
    <w:rsid w:val="000B411B"/>
    <w:rsid w:val="000B417B"/>
    <w:rsid w:val="000B48C2"/>
    <w:rsid w:val="000B4CA3"/>
    <w:rsid w:val="000B54B2"/>
    <w:rsid w:val="000B5CE0"/>
    <w:rsid w:val="000B669A"/>
    <w:rsid w:val="000B6CAC"/>
    <w:rsid w:val="000B7322"/>
    <w:rsid w:val="000B7612"/>
    <w:rsid w:val="000B78AE"/>
    <w:rsid w:val="000C1521"/>
    <w:rsid w:val="000C3DF9"/>
    <w:rsid w:val="000C49B7"/>
    <w:rsid w:val="000C4CF2"/>
    <w:rsid w:val="000C4DEA"/>
    <w:rsid w:val="000C5855"/>
    <w:rsid w:val="000C63C0"/>
    <w:rsid w:val="000C6713"/>
    <w:rsid w:val="000D094E"/>
    <w:rsid w:val="000D1BFC"/>
    <w:rsid w:val="000D1D5D"/>
    <w:rsid w:val="000D281A"/>
    <w:rsid w:val="000D2848"/>
    <w:rsid w:val="000D326A"/>
    <w:rsid w:val="000D4B41"/>
    <w:rsid w:val="000D4E86"/>
    <w:rsid w:val="000D51FB"/>
    <w:rsid w:val="000D69E7"/>
    <w:rsid w:val="000E00D7"/>
    <w:rsid w:val="000E0640"/>
    <w:rsid w:val="000E093E"/>
    <w:rsid w:val="000E135D"/>
    <w:rsid w:val="000E15B8"/>
    <w:rsid w:val="000E1E79"/>
    <w:rsid w:val="000F00BA"/>
    <w:rsid w:val="000F0491"/>
    <w:rsid w:val="000F0B99"/>
    <w:rsid w:val="000F316A"/>
    <w:rsid w:val="000F3C74"/>
    <w:rsid w:val="000F3D02"/>
    <w:rsid w:val="000F443B"/>
    <w:rsid w:val="000F4BB8"/>
    <w:rsid w:val="000F4FA9"/>
    <w:rsid w:val="000F53FB"/>
    <w:rsid w:val="000F5482"/>
    <w:rsid w:val="000F5FBB"/>
    <w:rsid w:val="000F7004"/>
    <w:rsid w:val="000F7127"/>
    <w:rsid w:val="000F7B54"/>
    <w:rsid w:val="001000B3"/>
    <w:rsid w:val="00100F8A"/>
    <w:rsid w:val="00104191"/>
    <w:rsid w:val="0010452E"/>
    <w:rsid w:val="00105AE2"/>
    <w:rsid w:val="00105B58"/>
    <w:rsid w:val="001060C6"/>
    <w:rsid w:val="00106B80"/>
    <w:rsid w:val="0011032E"/>
    <w:rsid w:val="001109EA"/>
    <w:rsid w:val="0011105B"/>
    <w:rsid w:val="0011348B"/>
    <w:rsid w:val="00114BA9"/>
    <w:rsid w:val="00115982"/>
    <w:rsid w:val="001169CC"/>
    <w:rsid w:val="00116C53"/>
    <w:rsid w:val="001172C3"/>
    <w:rsid w:val="001209F3"/>
    <w:rsid w:val="00121799"/>
    <w:rsid w:val="001222FC"/>
    <w:rsid w:val="00123902"/>
    <w:rsid w:val="00124A51"/>
    <w:rsid w:val="00126621"/>
    <w:rsid w:val="00126B1D"/>
    <w:rsid w:val="001301E9"/>
    <w:rsid w:val="00130535"/>
    <w:rsid w:val="00130637"/>
    <w:rsid w:val="00131891"/>
    <w:rsid w:val="00131D82"/>
    <w:rsid w:val="00132528"/>
    <w:rsid w:val="00132B22"/>
    <w:rsid w:val="00132DAD"/>
    <w:rsid w:val="00133D36"/>
    <w:rsid w:val="00134779"/>
    <w:rsid w:val="00135E5B"/>
    <w:rsid w:val="00136119"/>
    <w:rsid w:val="00137645"/>
    <w:rsid w:val="0014015A"/>
    <w:rsid w:val="001404C8"/>
    <w:rsid w:val="00140E99"/>
    <w:rsid w:val="00140EC6"/>
    <w:rsid w:val="0014269B"/>
    <w:rsid w:val="00142B6A"/>
    <w:rsid w:val="00143732"/>
    <w:rsid w:val="00143E8C"/>
    <w:rsid w:val="00143F67"/>
    <w:rsid w:val="00144264"/>
    <w:rsid w:val="00145234"/>
    <w:rsid w:val="00145540"/>
    <w:rsid w:val="001456B0"/>
    <w:rsid w:val="00147FE5"/>
    <w:rsid w:val="001505F7"/>
    <w:rsid w:val="001531B1"/>
    <w:rsid w:val="0015475A"/>
    <w:rsid w:val="001547AB"/>
    <w:rsid w:val="0015498C"/>
    <w:rsid w:val="00155622"/>
    <w:rsid w:val="001560D5"/>
    <w:rsid w:val="00156F8F"/>
    <w:rsid w:val="00156FF3"/>
    <w:rsid w:val="00157104"/>
    <w:rsid w:val="00157130"/>
    <w:rsid w:val="001576B1"/>
    <w:rsid w:val="0016047B"/>
    <w:rsid w:val="00160A4C"/>
    <w:rsid w:val="00160F2B"/>
    <w:rsid w:val="00161881"/>
    <w:rsid w:val="00162913"/>
    <w:rsid w:val="00163EFF"/>
    <w:rsid w:val="00163F66"/>
    <w:rsid w:val="00164150"/>
    <w:rsid w:val="0016478E"/>
    <w:rsid w:val="001657FD"/>
    <w:rsid w:val="00165EC4"/>
    <w:rsid w:val="001661FB"/>
    <w:rsid w:val="001671A0"/>
    <w:rsid w:val="001672CE"/>
    <w:rsid w:val="00167528"/>
    <w:rsid w:val="0016767F"/>
    <w:rsid w:val="001717FF"/>
    <w:rsid w:val="00172890"/>
    <w:rsid w:val="00173565"/>
    <w:rsid w:val="001735CB"/>
    <w:rsid w:val="00173B07"/>
    <w:rsid w:val="001751FA"/>
    <w:rsid w:val="00176BD3"/>
    <w:rsid w:val="001800E4"/>
    <w:rsid w:val="001816D7"/>
    <w:rsid w:val="00181C10"/>
    <w:rsid w:val="00181D9C"/>
    <w:rsid w:val="001826F6"/>
    <w:rsid w:val="00182A22"/>
    <w:rsid w:val="00183122"/>
    <w:rsid w:val="001837FF"/>
    <w:rsid w:val="00184B0E"/>
    <w:rsid w:val="001866AF"/>
    <w:rsid w:val="00186A45"/>
    <w:rsid w:val="0018752F"/>
    <w:rsid w:val="00187787"/>
    <w:rsid w:val="00187BE6"/>
    <w:rsid w:val="00190174"/>
    <w:rsid w:val="001917BF"/>
    <w:rsid w:val="00192C0B"/>
    <w:rsid w:val="00192F14"/>
    <w:rsid w:val="00193021"/>
    <w:rsid w:val="00193838"/>
    <w:rsid w:val="00193869"/>
    <w:rsid w:val="001938BD"/>
    <w:rsid w:val="00193B1F"/>
    <w:rsid w:val="00193D12"/>
    <w:rsid w:val="00193FBA"/>
    <w:rsid w:val="001946C4"/>
    <w:rsid w:val="00194A7D"/>
    <w:rsid w:val="00194AD8"/>
    <w:rsid w:val="00195222"/>
    <w:rsid w:val="00195452"/>
    <w:rsid w:val="001961FD"/>
    <w:rsid w:val="001975D8"/>
    <w:rsid w:val="001A051D"/>
    <w:rsid w:val="001A10A1"/>
    <w:rsid w:val="001A178E"/>
    <w:rsid w:val="001A1D77"/>
    <w:rsid w:val="001A43FA"/>
    <w:rsid w:val="001A47C5"/>
    <w:rsid w:val="001A59FB"/>
    <w:rsid w:val="001A5AF6"/>
    <w:rsid w:val="001A5E9E"/>
    <w:rsid w:val="001A6354"/>
    <w:rsid w:val="001A6366"/>
    <w:rsid w:val="001A768A"/>
    <w:rsid w:val="001A7AE8"/>
    <w:rsid w:val="001B01B0"/>
    <w:rsid w:val="001B204E"/>
    <w:rsid w:val="001B2372"/>
    <w:rsid w:val="001B2ED4"/>
    <w:rsid w:val="001B3443"/>
    <w:rsid w:val="001B344C"/>
    <w:rsid w:val="001B4D20"/>
    <w:rsid w:val="001B54B8"/>
    <w:rsid w:val="001B7008"/>
    <w:rsid w:val="001B7F84"/>
    <w:rsid w:val="001C0402"/>
    <w:rsid w:val="001C2A9B"/>
    <w:rsid w:val="001C341D"/>
    <w:rsid w:val="001C3DD6"/>
    <w:rsid w:val="001C4299"/>
    <w:rsid w:val="001C4874"/>
    <w:rsid w:val="001C5824"/>
    <w:rsid w:val="001C5F94"/>
    <w:rsid w:val="001C6E62"/>
    <w:rsid w:val="001C6E66"/>
    <w:rsid w:val="001C6FDE"/>
    <w:rsid w:val="001C7809"/>
    <w:rsid w:val="001C7CD4"/>
    <w:rsid w:val="001D0EDE"/>
    <w:rsid w:val="001D1100"/>
    <w:rsid w:val="001D1391"/>
    <w:rsid w:val="001D25D7"/>
    <w:rsid w:val="001D3FB5"/>
    <w:rsid w:val="001D48DC"/>
    <w:rsid w:val="001D4D11"/>
    <w:rsid w:val="001D50B2"/>
    <w:rsid w:val="001D71F4"/>
    <w:rsid w:val="001D7645"/>
    <w:rsid w:val="001E15A7"/>
    <w:rsid w:val="001E1629"/>
    <w:rsid w:val="001E1E86"/>
    <w:rsid w:val="001E238E"/>
    <w:rsid w:val="001E2483"/>
    <w:rsid w:val="001E2B1E"/>
    <w:rsid w:val="001E2B55"/>
    <w:rsid w:val="001E2CFF"/>
    <w:rsid w:val="001E2F24"/>
    <w:rsid w:val="001E30D4"/>
    <w:rsid w:val="001E34DF"/>
    <w:rsid w:val="001E3D4F"/>
    <w:rsid w:val="001E521C"/>
    <w:rsid w:val="001E52EB"/>
    <w:rsid w:val="001E61D2"/>
    <w:rsid w:val="001E740C"/>
    <w:rsid w:val="001F1235"/>
    <w:rsid w:val="001F1BC6"/>
    <w:rsid w:val="001F1CB3"/>
    <w:rsid w:val="001F2791"/>
    <w:rsid w:val="001F2CFE"/>
    <w:rsid w:val="001F38B5"/>
    <w:rsid w:val="001F4081"/>
    <w:rsid w:val="001F412B"/>
    <w:rsid w:val="001F7361"/>
    <w:rsid w:val="001F7F5C"/>
    <w:rsid w:val="00200B22"/>
    <w:rsid w:val="002011B0"/>
    <w:rsid w:val="00203181"/>
    <w:rsid w:val="00203783"/>
    <w:rsid w:val="0020385F"/>
    <w:rsid w:val="002054C6"/>
    <w:rsid w:val="00206894"/>
    <w:rsid w:val="002068A0"/>
    <w:rsid w:val="00207021"/>
    <w:rsid w:val="0020732F"/>
    <w:rsid w:val="00207D00"/>
    <w:rsid w:val="002105C1"/>
    <w:rsid w:val="00211576"/>
    <w:rsid w:val="002116FD"/>
    <w:rsid w:val="00213EF5"/>
    <w:rsid w:val="002154E2"/>
    <w:rsid w:val="00215EDF"/>
    <w:rsid w:val="0021636F"/>
    <w:rsid w:val="00216BF5"/>
    <w:rsid w:val="00217470"/>
    <w:rsid w:val="00217482"/>
    <w:rsid w:val="0022035B"/>
    <w:rsid w:val="00221FF9"/>
    <w:rsid w:val="00223B49"/>
    <w:rsid w:val="00223D5A"/>
    <w:rsid w:val="00223F18"/>
    <w:rsid w:val="00224516"/>
    <w:rsid w:val="00224DD4"/>
    <w:rsid w:val="002278A0"/>
    <w:rsid w:val="002309CC"/>
    <w:rsid w:val="00230D08"/>
    <w:rsid w:val="00230D0D"/>
    <w:rsid w:val="00231BA9"/>
    <w:rsid w:val="0023209F"/>
    <w:rsid w:val="00232B07"/>
    <w:rsid w:val="00233768"/>
    <w:rsid w:val="00233C01"/>
    <w:rsid w:val="0023413C"/>
    <w:rsid w:val="002346F0"/>
    <w:rsid w:val="00234F3C"/>
    <w:rsid w:val="002352FF"/>
    <w:rsid w:val="00235AEA"/>
    <w:rsid w:val="0023629D"/>
    <w:rsid w:val="00236575"/>
    <w:rsid w:val="00237255"/>
    <w:rsid w:val="00237F46"/>
    <w:rsid w:val="002424AF"/>
    <w:rsid w:val="002439DC"/>
    <w:rsid w:val="00243B85"/>
    <w:rsid w:val="002441D2"/>
    <w:rsid w:val="00244DC8"/>
    <w:rsid w:val="002458BA"/>
    <w:rsid w:val="00245CE9"/>
    <w:rsid w:val="0024636C"/>
    <w:rsid w:val="00246520"/>
    <w:rsid w:val="00247925"/>
    <w:rsid w:val="00251006"/>
    <w:rsid w:val="002524D5"/>
    <w:rsid w:val="00252774"/>
    <w:rsid w:val="0025294B"/>
    <w:rsid w:val="0025318A"/>
    <w:rsid w:val="00253B1D"/>
    <w:rsid w:val="002544BD"/>
    <w:rsid w:val="00254913"/>
    <w:rsid w:val="00254DCF"/>
    <w:rsid w:val="0025534B"/>
    <w:rsid w:val="00255BB7"/>
    <w:rsid w:val="00257541"/>
    <w:rsid w:val="00257557"/>
    <w:rsid w:val="00257A39"/>
    <w:rsid w:val="00257AC4"/>
    <w:rsid w:val="00257BBE"/>
    <w:rsid w:val="002605E6"/>
    <w:rsid w:val="002608DC"/>
    <w:rsid w:val="00260E29"/>
    <w:rsid w:val="00261EEF"/>
    <w:rsid w:val="00262A1A"/>
    <w:rsid w:val="00262A87"/>
    <w:rsid w:val="0026395C"/>
    <w:rsid w:val="00264579"/>
    <w:rsid w:val="00264D26"/>
    <w:rsid w:val="00265377"/>
    <w:rsid w:val="00265E2A"/>
    <w:rsid w:val="00266254"/>
    <w:rsid w:val="00267642"/>
    <w:rsid w:val="00267AEA"/>
    <w:rsid w:val="00267BF9"/>
    <w:rsid w:val="002700E6"/>
    <w:rsid w:val="00271026"/>
    <w:rsid w:val="0027294B"/>
    <w:rsid w:val="00272A66"/>
    <w:rsid w:val="00273531"/>
    <w:rsid w:val="00273EB4"/>
    <w:rsid w:val="00274682"/>
    <w:rsid w:val="00274DF8"/>
    <w:rsid w:val="00275158"/>
    <w:rsid w:val="00275C5A"/>
    <w:rsid w:val="00276A2C"/>
    <w:rsid w:val="0028014D"/>
    <w:rsid w:val="00281014"/>
    <w:rsid w:val="0028267E"/>
    <w:rsid w:val="00283043"/>
    <w:rsid w:val="0028338A"/>
    <w:rsid w:val="00284191"/>
    <w:rsid w:val="00284E0A"/>
    <w:rsid w:val="00285BCE"/>
    <w:rsid w:val="00285EFF"/>
    <w:rsid w:val="00285FF1"/>
    <w:rsid w:val="0028665D"/>
    <w:rsid w:val="00286DFB"/>
    <w:rsid w:val="002919FA"/>
    <w:rsid w:val="00292F86"/>
    <w:rsid w:val="00293F5D"/>
    <w:rsid w:val="002A14AB"/>
    <w:rsid w:val="002A1C4D"/>
    <w:rsid w:val="002A2ADE"/>
    <w:rsid w:val="002A2F50"/>
    <w:rsid w:val="002A3CAC"/>
    <w:rsid w:val="002A3DAC"/>
    <w:rsid w:val="002A4CB1"/>
    <w:rsid w:val="002A4E2B"/>
    <w:rsid w:val="002A6A11"/>
    <w:rsid w:val="002A6AC6"/>
    <w:rsid w:val="002A7943"/>
    <w:rsid w:val="002B05A1"/>
    <w:rsid w:val="002B08B3"/>
    <w:rsid w:val="002B09A4"/>
    <w:rsid w:val="002B1523"/>
    <w:rsid w:val="002B160F"/>
    <w:rsid w:val="002B169E"/>
    <w:rsid w:val="002B1C1F"/>
    <w:rsid w:val="002B22B1"/>
    <w:rsid w:val="002B432F"/>
    <w:rsid w:val="002B44EC"/>
    <w:rsid w:val="002B62B3"/>
    <w:rsid w:val="002B6754"/>
    <w:rsid w:val="002B6CCE"/>
    <w:rsid w:val="002B7426"/>
    <w:rsid w:val="002C2510"/>
    <w:rsid w:val="002C2775"/>
    <w:rsid w:val="002C27C1"/>
    <w:rsid w:val="002C36E3"/>
    <w:rsid w:val="002C3705"/>
    <w:rsid w:val="002C43FB"/>
    <w:rsid w:val="002C4A34"/>
    <w:rsid w:val="002C4C70"/>
    <w:rsid w:val="002C5099"/>
    <w:rsid w:val="002C54BE"/>
    <w:rsid w:val="002C5889"/>
    <w:rsid w:val="002C5DB6"/>
    <w:rsid w:val="002C5FC4"/>
    <w:rsid w:val="002C71CE"/>
    <w:rsid w:val="002C7A16"/>
    <w:rsid w:val="002D08F8"/>
    <w:rsid w:val="002D0E74"/>
    <w:rsid w:val="002D20D8"/>
    <w:rsid w:val="002D2F2A"/>
    <w:rsid w:val="002D5375"/>
    <w:rsid w:val="002D577C"/>
    <w:rsid w:val="002D5EC0"/>
    <w:rsid w:val="002D70A8"/>
    <w:rsid w:val="002D7832"/>
    <w:rsid w:val="002E0EA7"/>
    <w:rsid w:val="002E1071"/>
    <w:rsid w:val="002E15B9"/>
    <w:rsid w:val="002E1621"/>
    <w:rsid w:val="002E2158"/>
    <w:rsid w:val="002E4A59"/>
    <w:rsid w:val="002E4F02"/>
    <w:rsid w:val="002E7722"/>
    <w:rsid w:val="002E7DC7"/>
    <w:rsid w:val="002F07BA"/>
    <w:rsid w:val="002F0DA9"/>
    <w:rsid w:val="002F0E24"/>
    <w:rsid w:val="002F1014"/>
    <w:rsid w:val="002F12E0"/>
    <w:rsid w:val="002F1C9C"/>
    <w:rsid w:val="002F1E3B"/>
    <w:rsid w:val="002F204B"/>
    <w:rsid w:val="002F37BD"/>
    <w:rsid w:val="002F3DB9"/>
    <w:rsid w:val="002F4C50"/>
    <w:rsid w:val="002F643C"/>
    <w:rsid w:val="002F71C0"/>
    <w:rsid w:val="002F7429"/>
    <w:rsid w:val="002F74F1"/>
    <w:rsid w:val="00301017"/>
    <w:rsid w:val="0030155F"/>
    <w:rsid w:val="00301D9E"/>
    <w:rsid w:val="00301E18"/>
    <w:rsid w:val="00302220"/>
    <w:rsid w:val="003027E8"/>
    <w:rsid w:val="0030469C"/>
    <w:rsid w:val="0030508A"/>
    <w:rsid w:val="0030587B"/>
    <w:rsid w:val="00305A02"/>
    <w:rsid w:val="00306D98"/>
    <w:rsid w:val="00307047"/>
    <w:rsid w:val="0030786C"/>
    <w:rsid w:val="0031031A"/>
    <w:rsid w:val="00310981"/>
    <w:rsid w:val="00310CEE"/>
    <w:rsid w:val="00311D9B"/>
    <w:rsid w:val="003124D9"/>
    <w:rsid w:val="00312594"/>
    <w:rsid w:val="00314304"/>
    <w:rsid w:val="00315498"/>
    <w:rsid w:val="00315CEC"/>
    <w:rsid w:val="00316474"/>
    <w:rsid w:val="00316E70"/>
    <w:rsid w:val="003174D7"/>
    <w:rsid w:val="00320B0E"/>
    <w:rsid w:val="00322107"/>
    <w:rsid w:val="00322355"/>
    <w:rsid w:val="003227F6"/>
    <w:rsid w:val="00322846"/>
    <w:rsid w:val="00323BD2"/>
    <w:rsid w:val="00324F8C"/>
    <w:rsid w:val="00325FB5"/>
    <w:rsid w:val="00326DA7"/>
    <w:rsid w:val="003270E4"/>
    <w:rsid w:val="00330442"/>
    <w:rsid w:val="00330DAA"/>
    <w:rsid w:val="00330F5C"/>
    <w:rsid w:val="00331A56"/>
    <w:rsid w:val="00332BBE"/>
    <w:rsid w:val="003331D1"/>
    <w:rsid w:val="00333C33"/>
    <w:rsid w:val="003366C9"/>
    <w:rsid w:val="00336890"/>
    <w:rsid w:val="00336B1F"/>
    <w:rsid w:val="003371B0"/>
    <w:rsid w:val="00340DF1"/>
    <w:rsid w:val="003415D1"/>
    <w:rsid w:val="00341A6E"/>
    <w:rsid w:val="00341DCF"/>
    <w:rsid w:val="0034210A"/>
    <w:rsid w:val="00343DC1"/>
    <w:rsid w:val="003461FE"/>
    <w:rsid w:val="00347653"/>
    <w:rsid w:val="00347C80"/>
    <w:rsid w:val="0035112F"/>
    <w:rsid w:val="00351762"/>
    <w:rsid w:val="003517F9"/>
    <w:rsid w:val="00351BA9"/>
    <w:rsid w:val="003532CD"/>
    <w:rsid w:val="003532E0"/>
    <w:rsid w:val="00353B37"/>
    <w:rsid w:val="00354039"/>
    <w:rsid w:val="003543E6"/>
    <w:rsid w:val="00354557"/>
    <w:rsid w:val="00354F64"/>
    <w:rsid w:val="0035620E"/>
    <w:rsid w:val="003575BE"/>
    <w:rsid w:val="00357666"/>
    <w:rsid w:val="00360345"/>
    <w:rsid w:val="003606D2"/>
    <w:rsid w:val="00360757"/>
    <w:rsid w:val="003611CF"/>
    <w:rsid w:val="00361A05"/>
    <w:rsid w:val="003621EF"/>
    <w:rsid w:val="003624C4"/>
    <w:rsid w:val="00363B00"/>
    <w:rsid w:val="003654AC"/>
    <w:rsid w:val="003701E9"/>
    <w:rsid w:val="0037051B"/>
    <w:rsid w:val="003710CF"/>
    <w:rsid w:val="00371263"/>
    <w:rsid w:val="003721E0"/>
    <w:rsid w:val="00372D20"/>
    <w:rsid w:val="0037358A"/>
    <w:rsid w:val="003750F6"/>
    <w:rsid w:val="00375C4E"/>
    <w:rsid w:val="003760FC"/>
    <w:rsid w:val="00376F4C"/>
    <w:rsid w:val="003807BA"/>
    <w:rsid w:val="00382688"/>
    <w:rsid w:val="0038365C"/>
    <w:rsid w:val="0038369B"/>
    <w:rsid w:val="00383B78"/>
    <w:rsid w:val="00385367"/>
    <w:rsid w:val="00385A9D"/>
    <w:rsid w:val="00387121"/>
    <w:rsid w:val="00387727"/>
    <w:rsid w:val="003902B1"/>
    <w:rsid w:val="0039179C"/>
    <w:rsid w:val="00393C72"/>
    <w:rsid w:val="00395584"/>
    <w:rsid w:val="00396896"/>
    <w:rsid w:val="00396B59"/>
    <w:rsid w:val="00396FD0"/>
    <w:rsid w:val="003A1A7A"/>
    <w:rsid w:val="003A1D2E"/>
    <w:rsid w:val="003A2392"/>
    <w:rsid w:val="003A25A7"/>
    <w:rsid w:val="003A2831"/>
    <w:rsid w:val="003A3CB6"/>
    <w:rsid w:val="003A3E53"/>
    <w:rsid w:val="003A3ED1"/>
    <w:rsid w:val="003A4412"/>
    <w:rsid w:val="003A44DB"/>
    <w:rsid w:val="003A48E6"/>
    <w:rsid w:val="003A4C14"/>
    <w:rsid w:val="003A5D48"/>
    <w:rsid w:val="003A5DDE"/>
    <w:rsid w:val="003A613F"/>
    <w:rsid w:val="003A723D"/>
    <w:rsid w:val="003B125E"/>
    <w:rsid w:val="003B3971"/>
    <w:rsid w:val="003B55D1"/>
    <w:rsid w:val="003B5B61"/>
    <w:rsid w:val="003B5BE7"/>
    <w:rsid w:val="003B68D6"/>
    <w:rsid w:val="003C0BAF"/>
    <w:rsid w:val="003C0E2E"/>
    <w:rsid w:val="003C1654"/>
    <w:rsid w:val="003C296C"/>
    <w:rsid w:val="003C321F"/>
    <w:rsid w:val="003C4BF2"/>
    <w:rsid w:val="003C4DC2"/>
    <w:rsid w:val="003C5542"/>
    <w:rsid w:val="003C7C15"/>
    <w:rsid w:val="003C7C6B"/>
    <w:rsid w:val="003C7D19"/>
    <w:rsid w:val="003C7D2F"/>
    <w:rsid w:val="003D0335"/>
    <w:rsid w:val="003D0C5A"/>
    <w:rsid w:val="003D1828"/>
    <w:rsid w:val="003D1DE4"/>
    <w:rsid w:val="003D1E9A"/>
    <w:rsid w:val="003D2422"/>
    <w:rsid w:val="003D24E4"/>
    <w:rsid w:val="003D29C1"/>
    <w:rsid w:val="003D39A1"/>
    <w:rsid w:val="003D3FBF"/>
    <w:rsid w:val="003D420D"/>
    <w:rsid w:val="003D4A30"/>
    <w:rsid w:val="003D7452"/>
    <w:rsid w:val="003D79BB"/>
    <w:rsid w:val="003D7C98"/>
    <w:rsid w:val="003D7D9D"/>
    <w:rsid w:val="003E0543"/>
    <w:rsid w:val="003E164A"/>
    <w:rsid w:val="003E273C"/>
    <w:rsid w:val="003E2A29"/>
    <w:rsid w:val="003E30F0"/>
    <w:rsid w:val="003E44FD"/>
    <w:rsid w:val="003E54E6"/>
    <w:rsid w:val="003E5603"/>
    <w:rsid w:val="003E5E39"/>
    <w:rsid w:val="003E6534"/>
    <w:rsid w:val="003E749E"/>
    <w:rsid w:val="003F05B4"/>
    <w:rsid w:val="003F190D"/>
    <w:rsid w:val="003F28D6"/>
    <w:rsid w:val="003F311F"/>
    <w:rsid w:val="003F4156"/>
    <w:rsid w:val="003F5534"/>
    <w:rsid w:val="003F5ADF"/>
    <w:rsid w:val="003F5D4C"/>
    <w:rsid w:val="003F6B29"/>
    <w:rsid w:val="00400B29"/>
    <w:rsid w:val="004027EE"/>
    <w:rsid w:val="00402812"/>
    <w:rsid w:val="00403996"/>
    <w:rsid w:val="0040504B"/>
    <w:rsid w:val="004059F4"/>
    <w:rsid w:val="00407202"/>
    <w:rsid w:val="00407DA5"/>
    <w:rsid w:val="00407FE5"/>
    <w:rsid w:val="004101B0"/>
    <w:rsid w:val="00410326"/>
    <w:rsid w:val="00410708"/>
    <w:rsid w:val="00410C4B"/>
    <w:rsid w:val="00410EC7"/>
    <w:rsid w:val="00411B39"/>
    <w:rsid w:val="004127A7"/>
    <w:rsid w:val="00413A1E"/>
    <w:rsid w:val="00414476"/>
    <w:rsid w:val="00414A1E"/>
    <w:rsid w:val="00414C2E"/>
    <w:rsid w:val="004151CF"/>
    <w:rsid w:val="00415E8A"/>
    <w:rsid w:val="00416364"/>
    <w:rsid w:val="00417DC4"/>
    <w:rsid w:val="0042047F"/>
    <w:rsid w:val="004206EC"/>
    <w:rsid w:val="00420AA6"/>
    <w:rsid w:val="00420B9F"/>
    <w:rsid w:val="0042192C"/>
    <w:rsid w:val="00422260"/>
    <w:rsid w:val="004229BD"/>
    <w:rsid w:val="00422AE4"/>
    <w:rsid w:val="0042413F"/>
    <w:rsid w:val="00425C1A"/>
    <w:rsid w:val="00426964"/>
    <w:rsid w:val="00426C6C"/>
    <w:rsid w:val="00426E73"/>
    <w:rsid w:val="00427B4A"/>
    <w:rsid w:val="00427D9D"/>
    <w:rsid w:val="00430055"/>
    <w:rsid w:val="00430ECE"/>
    <w:rsid w:val="004319F8"/>
    <w:rsid w:val="00431E55"/>
    <w:rsid w:val="004321F6"/>
    <w:rsid w:val="0043275F"/>
    <w:rsid w:val="00433044"/>
    <w:rsid w:val="00433177"/>
    <w:rsid w:val="00434088"/>
    <w:rsid w:val="00435EB0"/>
    <w:rsid w:val="00435ED6"/>
    <w:rsid w:val="00436B0E"/>
    <w:rsid w:val="004375B9"/>
    <w:rsid w:val="004428D0"/>
    <w:rsid w:val="00443C19"/>
    <w:rsid w:val="00444185"/>
    <w:rsid w:val="004443A7"/>
    <w:rsid w:val="0044442C"/>
    <w:rsid w:val="004445B8"/>
    <w:rsid w:val="00445941"/>
    <w:rsid w:val="00445EBB"/>
    <w:rsid w:val="004464EB"/>
    <w:rsid w:val="004477D2"/>
    <w:rsid w:val="00447D26"/>
    <w:rsid w:val="00447DFC"/>
    <w:rsid w:val="00451BD2"/>
    <w:rsid w:val="00452D64"/>
    <w:rsid w:val="00452EFD"/>
    <w:rsid w:val="00455D45"/>
    <w:rsid w:val="004606C1"/>
    <w:rsid w:val="00461D53"/>
    <w:rsid w:val="00462D3A"/>
    <w:rsid w:val="00462ECF"/>
    <w:rsid w:val="00462FE8"/>
    <w:rsid w:val="00463A79"/>
    <w:rsid w:val="00464595"/>
    <w:rsid w:val="004647C4"/>
    <w:rsid w:val="0046522E"/>
    <w:rsid w:val="00465412"/>
    <w:rsid w:val="004658B5"/>
    <w:rsid w:val="0046672B"/>
    <w:rsid w:val="0046680E"/>
    <w:rsid w:val="004670CD"/>
    <w:rsid w:val="00467A5B"/>
    <w:rsid w:val="00467C5B"/>
    <w:rsid w:val="00471EA5"/>
    <w:rsid w:val="00472807"/>
    <w:rsid w:val="00472A79"/>
    <w:rsid w:val="00472CAC"/>
    <w:rsid w:val="00473F19"/>
    <w:rsid w:val="00474210"/>
    <w:rsid w:val="00474821"/>
    <w:rsid w:val="00474EEF"/>
    <w:rsid w:val="00475E22"/>
    <w:rsid w:val="00476123"/>
    <w:rsid w:val="004762E9"/>
    <w:rsid w:val="00476E19"/>
    <w:rsid w:val="004770E0"/>
    <w:rsid w:val="004804C3"/>
    <w:rsid w:val="0048088E"/>
    <w:rsid w:val="00480D22"/>
    <w:rsid w:val="00480F2B"/>
    <w:rsid w:val="00482286"/>
    <w:rsid w:val="00482720"/>
    <w:rsid w:val="00482759"/>
    <w:rsid w:val="0048287A"/>
    <w:rsid w:val="00482C19"/>
    <w:rsid w:val="00483400"/>
    <w:rsid w:val="004835E7"/>
    <w:rsid w:val="004837AE"/>
    <w:rsid w:val="00485048"/>
    <w:rsid w:val="00485741"/>
    <w:rsid w:val="004859E1"/>
    <w:rsid w:val="00485BF6"/>
    <w:rsid w:val="00485CC2"/>
    <w:rsid w:val="004867E2"/>
    <w:rsid w:val="0048753A"/>
    <w:rsid w:val="00490B17"/>
    <w:rsid w:val="004911E0"/>
    <w:rsid w:val="00491B3A"/>
    <w:rsid w:val="0049264C"/>
    <w:rsid w:val="00492CFD"/>
    <w:rsid w:val="00494207"/>
    <w:rsid w:val="00494612"/>
    <w:rsid w:val="00494DD5"/>
    <w:rsid w:val="00495B82"/>
    <w:rsid w:val="004962D2"/>
    <w:rsid w:val="004A0DA1"/>
    <w:rsid w:val="004A13D6"/>
    <w:rsid w:val="004A1EBC"/>
    <w:rsid w:val="004A2829"/>
    <w:rsid w:val="004A37D5"/>
    <w:rsid w:val="004A52E9"/>
    <w:rsid w:val="004A6040"/>
    <w:rsid w:val="004A6597"/>
    <w:rsid w:val="004A6821"/>
    <w:rsid w:val="004A6FFC"/>
    <w:rsid w:val="004A72C7"/>
    <w:rsid w:val="004A7848"/>
    <w:rsid w:val="004A793B"/>
    <w:rsid w:val="004B0CEE"/>
    <w:rsid w:val="004B1CB4"/>
    <w:rsid w:val="004B1E02"/>
    <w:rsid w:val="004B2F18"/>
    <w:rsid w:val="004B3DDB"/>
    <w:rsid w:val="004B44FD"/>
    <w:rsid w:val="004B5CFC"/>
    <w:rsid w:val="004B6F79"/>
    <w:rsid w:val="004B709D"/>
    <w:rsid w:val="004B7328"/>
    <w:rsid w:val="004B774D"/>
    <w:rsid w:val="004C02F7"/>
    <w:rsid w:val="004C1EB1"/>
    <w:rsid w:val="004C2AC2"/>
    <w:rsid w:val="004C3EB4"/>
    <w:rsid w:val="004C4AED"/>
    <w:rsid w:val="004C61DF"/>
    <w:rsid w:val="004C7238"/>
    <w:rsid w:val="004D03E6"/>
    <w:rsid w:val="004D2C2D"/>
    <w:rsid w:val="004D399F"/>
    <w:rsid w:val="004D3B38"/>
    <w:rsid w:val="004D3F07"/>
    <w:rsid w:val="004D4843"/>
    <w:rsid w:val="004D5514"/>
    <w:rsid w:val="004D69B5"/>
    <w:rsid w:val="004D7227"/>
    <w:rsid w:val="004D7B5E"/>
    <w:rsid w:val="004E0E7F"/>
    <w:rsid w:val="004E0E91"/>
    <w:rsid w:val="004E0EB8"/>
    <w:rsid w:val="004E18E9"/>
    <w:rsid w:val="004E2A18"/>
    <w:rsid w:val="004E2ADC"/>
    <w:rsid w:val="004E2DB8"/>
    <w:rsid w:val="004E398E"/>
    <w:rsid w:val="004E424E"/>
    <w:rsid w:val="004E43B2"/>
    <w:rsid w:val="004E4571"/>
    <w:rsid w:val="004E4F11"/>
    <w:rsid w:val="004E52D3"/>
    <w:rsid w:val="004E540C"/>
    <w:rsid w:val="004E63B9"/>
    <w:rsid w:val="004E77CB"/>
    <w:rsid w:val="004F1A10"/>
    <w:rsid w:val="004F1D02"/>
    <w:rsid w:val="004F238A"/>
    <w:rsid w:val="004F2565"/>
    <w:rsid w:val="004F2679"/>
    <w:rsid w:val="004F2F21"/>
    <w:rsid w:val="004F3DE5"/>
    <w:rsid w:val="004F5157"/>
    <w:rsid w:val="004F6913"/>
    <w:rsid w:val="004F7865"/>
    <w:rsid w:val="00500074"/>
    <w:rsid w:val="0050174E"/>
    <w:rsid w:val="00501854"/>
    <w:rsid w:val="0050219B"/>
    <w:rsid w:val="005024E2"/>
    <w:rsid w:val="00502739"/>
    <w:rsid w:val="005038C1"/>
    <w:rsid w:val="00503B0C"/>
    <w:rsid w:val="00503F17"/>
    <w:rsid w:val="00503F3A"/>
    <w:rsid w:val="00504358"/>
    <w:rsid w:val="0050494F"/>
    <w:rsid w:val="00506928"/>
    <w:rsid w:val="005077EF"/>
    <w:rsid w:val="00510455"/>
    <w:rsid w:val="00510ADB"/>
    <w:rsid w:val="00511AD5"/>
    <w:rsid w:val="00511DC7"/>
    <w:rsid w:val="005120AC"/>
    <w:rsid w:val="005131AC"/>
    <w:rsid w:val="00513A17"/>
    <w:rsid w:val="00514238"/>
    <w:rsid w:val="005142C5"/>
    <w:rsid w:val="00514ECB"/>
    <w:rsid w:val="0051501B"/>
    <w:rsid w:val="005152B5"/>
    <w:rsid w:val="00515886"/>
    <w:rsid w:val="005175D4"/>
    <w:rsid w:val="0052039A"/>
    <w:rsid w:val="005204C7"/>
    <w:rsid w:val="0052098E"/>
    <w:rsid w:val="0052123C"/>
    <w:rsid w:val="00521319"/>
    <w:rsid w:val="00522259"/>
    <w:rsid w:val="00522BC8"/>
    <w:rsid w:val="0052332D"/>
    <w:rsid w:val="00523617"/>
    <w:rsid w:val="00523C28"/>
    <w:rsid w:val="0053176B"/>
    <w:rsid w:val="0053220F"/>
    <w:rsid w:val="00533596"/>
    <w:rsid w:val="00534082"/>
    <w:rsid w:val="005341B3"/>
    <w:rsid w:val="00535AD1"/>
    <w:rsid w:val="00536F42"/>
    <w:rsid w:val="00537182"/>
    <w:rsid w:val="00537BD3"/>
    <w:rsid w:val="00540271"/>
    <w:rsid w:val="005408A8"/>
    <w:rsid w:val="00540DAE"/>
    <w:rsid w:val="00541EDD"/>
    <w:rsid w:val="00542743"/>
    <w:rsid w:val="00542C2D"/>
    <w:rsid w:val="00544123"/>
    <w:rsid w:val="005445C0"/>
    <w:rsid w:val="0054468E"/>
    <w:rsid w:val="005455E2"/>
    <w:rsid w:val="00546A7A"/>
    <w:rsid w:val="005478BD"/>
    <w:rsid w:val="0054790F"/>
    <w:rsid w:val="005479E3"/>
    <w:rsid w:val="00551985"/>
    <w:rsid w:val="00551C48"/>
    <w:rsid w:val="00552BD3"/>
    <w:rsid w:val="005532A0"/>
    <w:rsid w:val="00554558"/>
    <w:rsid w:val="00555109"/>
    <w:rsid w:val="005554A0"/>
    <w:rsid w:val="00556B35"/>
    <w:rsid w:val="0055741A"/>
    <w:rsid w:val="00557ACA"/>
    <w:rsid w:val="00557BB0"/>
    <w:rsid w:val="00560E79"/>
    <w:rsid w:val="005611B7"/>
    <w:rsid w:val="005618D4"/>
    <w:rsid w:val="005624EB"/>
    <w:rsid w:val="00563002"/>
    <w:rsid w:val="00564318"/>
    <w:rsid w:val="00564724"/>
    <w:rsid w:val="00564867"/>
    <w:rsid w:val="005653AF"/>
    <w:rsid w:val="00565C79"/>
    <w:rsid w:val="00565DF0"/>
    <w:rsid w:val="005660FA"/>
    <w:rsid w:val="0056696F"/>
    <w:rsid w:val="0056771B"/>
    <w:rsid w:val="00572269"/>
    <w:rsid w:val="0057244A"/>
    <w:rsid w:val="00572DB3"/>
    <w:rsid w:val="00572F26"/>
    <w:rsid w:val="00574BA1"/>
    <w:rsid w:val="005750C5"/>
    <w:rsid w:val="005752DE"/>
    <w:rsid w:val="00575AA1"/>
    <w:rsid w:val="00575D60"/>
    <w:rsid w:val="00575D8D"/>
    <w:rsid w:val="005766C4"/>
    <w:rsid w:val="00576972"/>
    <w:rsid w:val="00577248"/>
    <w:rsid w:val="0057749A"/>
    <w:rsid w:val="005819F2"/>
    <w:rsid w:val="00582790"/>
    <w:rsid w:val="00583430"/>
    <w:rsid w:val="00583699"/>
    <w:rsid w:val="00585CDD"/>
    <w:rsid w:val="00587058"/>
    <w:rsid w:val="005874E0"/>
    <w:rsid w:val="00590036"/>
    <w:rsid w:val="0059087E"/>
    <w:rsid w:val="00590A38"/>
    <w:rsid w:val="00591957"/>
    <w:rsid w:val="005965BC"/>
    <w:rsid w:val="00596B5D"/>
    <w:rsid w:val="005973DA"/>
    <w:rsid w:val="00597BF9"/>
    <w:rsid w:val="00597C20"/>
    <w:rsid w:val="005A0675"/>
    <w:rsid w:val="005A0C11"/>
    <w:rsid w:val="005A1512"/>
    <w:rsid w:val="005A309A"/>
    <w:rsid w:val="005A373D"/>
    <w:rsid w:val="005A44E7"/>
    <w:rsid w:val="005A4C9E"/>
    <w:rsid w:val="005A4D69"/>
    <w:rsid w:val="005A6DEA"/>
    <w:rsid w:val="005A6FB9"/>
    <w:rsid w:val="005B02E1"/>
    <w:rsid w:val="005B07C8"/>
    <w:rsid w:val="005B0B58"/>
    <w:rsid w:val="005B2406"/>
    <w:rsid w:val="005B3928"/>
    <w:rsid w:val="005B4E53"/>
    <w:rsid w:val="005B5857"/>
    <w:rsid w:val="005B6087"/>
    <w:rsid w:val="005B7ABE"/>
    <w:rsid w:val="005B7D65"/>
    <w:rsid w:val="005C19C4"/>
    <w:rsid w:val="005C1B83"/>
    <w:rsid w:val="005C25FF"/>
    <w:rsid w:val="005C2D55"/>
    <w:rsid w:val="005C346B"/>
    <w:rsid w:val="005C3C87"/>
    <w:rsid w:val="005C3EA0"/>
    <w:rsid w:val="005C5430"/>
    <w:rsid w:val="005C563A"/>
    <w:rsid w:val="005C5ABC"/>
    <w:rsid w:val="005C6101"/>
    <w:rsid w:val="005D044D"/>
    <w:rsid w:val="005D0ABD"/>
    <w:rsid w:val="005D18AD"/>
    <w:rsid w:val="005D26B4"/>
    <w:rsid w:val="005D2E78"/>
    <w:rsid w:val="005D496F"/>
    <w:rsid w:val="005D519E"/>
    <w:rsid w:val="005D54A7"/>
    <w:rsid w:val="005D5C89"/>
    <w:rsid w:val="005E033D"/>
    <w:rsid w:val="005E1995"/>
    <w:rsid w:val="005E34B3"/>
    <w:rsid w:val="005E4600"/>
    <w:rsid w:val="005E4A2E"/>
    <w:rsid w:val="005E6B21"/>
    <w:rsid w:val="005E6CBC"/>
    <w:rsid w:val="005E72FF"/>
    <w:rsid w:val="005E73B8"/>
    <w:rsid w:val="005E73C0"/>
    <w:rsid w:val="005E73DD"/>
    <w:rsid w:val="005F07ED"/>
    <w:rsid w:val="005F0A9D"/>
    <w:rsid w:val="005F1F62"/>
    <w:rsid w:val="005F2706"/>
    <w:rsid w:val="005F3CF2"/>
    <w:rsid w:val="005F6A8F"/>
    <w:rsid w:val="005F6BB7"/>
    <w:rsid w:val="005F7588"/>
    <w:rsid w:val="005F78DF"/>
    <w:rsid w:val="00601BCE"/>
    <w:rsid w:val="00603DB9"/>
    <w:rsid w:val="00604BCF"/>
    <w:rsid w:val="00606FBA"/>
    <w:rsid w:val="00607669"/>
    <w:rsid w:val="006076F4"/>
    <w:rsid w:val="00607AFD"/>
    <w:rsid w:val="00607F4F"/>
    <w:rsid w:val="00607FC1"/>
    <w:rsid w:val="00610F83"/>
    <w:rsid w:val="0061162F"/>
    <w:rsid w:val="00611B12"/>
    <w:rsid w:val="00612F97"/>
    <w:rsid w:val="0061345D"/>
    <w:rsid w:val="006150D9"/>
    <w:rsid w:val="0061549B"/>
    <w:rsid w:val="006163B8"/>
    <w:rsid w:val="00616802"/>
    <w:rsid w:val="00616D19"/>
    <w:rsid w:val="00617E12"/>
    <w:rsid w:val="00620C25"/>
    <w:rsid w:val="00620C4B"/>
    <w:rsid w:val="00620FE7"/>
    <w:rsid w:val="00621477"/>
    <w:rsid w:val="00621AA8"/>
    <w:rsid w:val="00621ADA"/>
    <w:rsid w:val="006220E4"/>
    <w:rsid w:val="006221B3"/>
    <w:rsid w:val="006238C3"/>
    <w:rsid w:val="00623A41"/>
    <w:rsid w:val="00623F7B"/>
    <w:rsid w:val="006245A0"/>
    <w:rsid w:val="00624BD4"/>
    <w:rsid w:val="00625488"/>
    <w:rsid w:val="00625DAB"/>
    <w:rsid w:val="006271E7"/>
    <w:rsid w:val="0062729B"/>
    <w:rsid w:val="00630C7E"/>
    <w:rsid w:val="00630F1F"/>
    <w:rsid w:val="0063158F"/>
    <w:rsid w:val="00631D6B"/>
    <w:rsid w:val="00632183"/>
    <w:rsid w:val="006330A1"/>
    <w:rsid w:val="0063479F"/>
    <w:rsid w:val="00634D21"/>
    <w:rsid w:val="00634DA4"/>
    <w:rsid w:val="006353F0"/>
    <w:rsid w:val="006357B5"/>
    <w:rsid w:val="006364A1"/>
    <w:rsid w:val="0063678E"/>
    <w:rsid w:val="006367D4"/>
    <w:rsid w:val="0063796F"/>
    <w:rsid w:val="00637AA6"/>
    <w:rsid w:val="00637BFD"/>
    <w:rsid w:val="00637C5C"/>
    <w:rsid w:val="00640178"/>
    <w:rsid w:val="00640BBC"/>
    <w:rsid w:val="00641C4E"/>
    <w:rsid w:val="00641FB3"/>
    <w:rsid w:val="00642322"/>
    <w:rsid w:val="00642CBE"/>
    <w:rsid w:val="0064373E"/>
    <w:rsid w:val="00643968"/>
    <w:rsid w:val="0064434C"/>
    <w:rsid w:val="00645257"/>
    <w:rsid w:val="006471CC"/>
    <w:rsid w:val="006472FE"/>
    <w:rsid w:val="006474B6"/>
    <w:rsid w:val="00647A29"/>
    <w:rsid w:val="0065079F"/>
    <w:rsid w:val="006517C7"/>
    <w:rsid w:val="00652A28"/>
    <w:rsid w:val="0065379F"/>
    <w:rsid w:val="00654667"/>
    <w:rsid w:val="0065475F"/>
    <w:rsid w:val="00656188"/>
    <w:rsid w:val="00656409"/>
    <w:rsid w:val="0065715A"/>
    <w:rsid w:val="006600B2"/>
    <w:rsid w:val="00660695"/>
    <w:rsid w:val="006610F1"/>
    <w:rsid w:val="00661C6B"/>
    <w:rsid w:val="00662D3E"/>
    <w:rsid w:val="00662DB1"/>
    <w:rsid w:val="006664C2"/>
    <w:rsid w:val="00666A99"/>
    <w:rsid w:val="00667BE3"/>
    <w:rsid w:val="00667EBE"/>
    <w:rsid w:val="00671004"/>
    <w:rsid w:val="00672646"/>
    <w:rsid w:val="00673301"/>
    <w:rsid w:val="00673492"/>
    <w:rsid w:val="0067394F"/>
    <w:rsid w:val="00674552"/>
    <w:rsid w:val="00674E42"/>
    <w:rsid w:val="00676563"/>
    <w:rsid w:val="00676887"/>
    <w:rsid w:val="00677414"/>
    <w:rsid w:val="006778F9"/>
    <w:rsid w:val="006813F8"/>
    <w:rsid w:val="00682112"/>
    <w:rsid w:val="00682937"/>
    <w:rsid w:val="00682BA6"/>
    <w:rsid w:val="006832CB"/>
    <w:rsid w:val="00684A5C"/>
    <w:rsid w:val="00686957"/>
    <w:rsid w:val="00686F26"/>
    <w:rsid w:val="006872BA"/>
    <w:rsid w:val="0069042E"/>
    <w:rsid w:val="00690795"/>
    <w:rsid w:val="0069080B"/>
    <w:rsid w:val="00691564"/>
    <w:rsid w:val="00691648"/>
    <w:rsid w:val="006917D7"/>
    <w:rsid w:val="0069434C"/>
    <w:rsid w:val="00694F44"/>
    <w:rsid w:val="00695CEB"/>
    <w:rsid w:val="00696EF9"/>
    <w:rsid w:val="00696F51"/>
    <w:rsid w:val="006970B6"/>
    <w:rsid w:val="00697507"/>
    <w:rsid w:val="006979A5"/>
    <w:rsid w:val="00697CA8"/>
    <w:rsid w:val="006A016F"/>
    <w:rsid w:val="006A0D0F"/>
    <w:rsid w:val="006A0DF7"/>
    <w:rsid w:val="006A18DA"/>
    <w:rsid w:val="006A1E69"/>
    <w:rsid w:val="006A2EDA"/>
    <w:rsid w:val="006A4321"/>
    <w:rsid w:val="006A43D9"/>
    <w:rsid w:val="006A5630"/>
    <w:rsid w:val="006A5B67"/>
    <w:rsid w:val="006A6B99"/>
    <w:rsid w:val="006A7E5F"/>
    <w:rsid w:val="006B0E1A"/>
    <w:rsid w:val="006B261B"/>
    <w:rsid w:val="006B2C90"/>
    <w:rsid w:val="006B35E6"/>
    <w:rsid w:val="006B465A"/>
    <w:rsid w:val="006B5983"/>
    <w:rsid w:val="006B6DD0"/>
    <w:rsid w:val="006B6E00"/>
    <w:rsid w:val="006B6FBF"/>
    <w:rsid w:val="006C0399"/>
    <w:rsid w:val="006C063A"/>
    <w:rsid w:val="006C1DCB"/>
    <w:rsid w:val="006C2A8E"/>
    <w:rsid w:val="006C3255"/>
    <w:rsid w:val="006C3F26"/>
    <w:rsid w:val="006C4F14"/>
    <w:rsid w:val="006D0288"/>
    <w:rsid w:val="006D0D17"/>
    <w:rsid w:val="006D2F58"/>
    <w:rsid w:val="006D314A"/>
    <w:rsid w:val="006D341B"/>
    <w:rsid w:val="006D3C7D"/>
    <w:rsid w:val="006D4659"/>
    <w:rsid w:val="006D4E2B"/>
    <w:rsid w:val="006D56F9"/>
    <w:rsid w:val="006D597B"/>
    <w:rsid w:val="006D5D5F"/>
    <w:rsid w:val="006D5E7B"/>
    <w:rsid w:val="006D68FB"/>
    <w:rsid w:val="006E015A"/>
    <w:rsid w:val="006E0598"/>
    <w:rsid w:val="006E0770"/>
    <w:rsid w:val="006E1820"/>
    <w:rsid w:val="006E2868"/>
    <w:rsid w:val="006E29C0"/>
    <w:rsid w:val="006E2F4A"/>
    <w:rsid w:val="006E383B"/>
    <w:rsid w:val="006E57F5"/>
    <w:rsid w:val="006E75AE"/>
    <w:rsid w:val="006F306C"/>
    <w:rsid w:val="006F3311"/>
    <w:rsid w:val="006F63A5"/>
    <w:rsid w:val="007003F5"/>
    <w:rsid w:val="00700741"/>
    <w:rsid w:val="0070142B"/>
    <w:rsid w:val="0070185E"/>
    <w:rsid w:val="00702560"/>
    <w:rsid w:val="0070276E"/>
    <w:rsid w:val="00702F8F"/>
    <w:rsid w:val="007032C1"/>
    <w:rsid w:val="0070405E"/>
    <w:rsid w:val="0070431F"/>
    <w:rsid w:val="00704752"/>
    <w:rsid w:val="00704B81"/>
    <w:rsid w:val="00705D80"/>
    <w:rsid w:val="007062BF"/>
    <w:rsid w:val="007066F3"/>
    <w:rsid w:val="00706B77"/>
    <w:rsid w:val="007079FC"/>
    <w:rsid w:val="007107AD"/>
    <w:rsid w:val="00711928"/>
    <w:rsid w:val="00711A36"/>
    <w:rsid w:val="007120FE"/>
    <w:rsid w:val="007125D3"/>
    <w:rsid w:val="00712D96"/>
    <w:rsid w:val="00713780"/>
    <w:rsid w:val="00714C26"/>
    <w:rsid w:val="0071529C"/>
    <w:rsid w:val="00715E21"/>
    <w:rsid w:val="00716DBE"/>
    <w:rsid w:val="007170B4"/>
    <w:rsid w:val="007170DA"/>
    <w:rsid w:val="007172AD"/>
    <w:rsid w:val="00717546"/>
    <w:rsid w:val="00720801"/>
    <w:rsid w:val="00720DE9"/>
    <w:rsid w:val="00720F14"/>
    <w:rsid w:val="007212FF"/>
    <w:rsid w:val="00721706"/>
    <w:rsid w:val="007223B0"/>
    <w:rsid w:val="00722B1B"/>
    <w:rsid w:val="00722F71"/>
    <w:rsid w:val="0072416F"/>
    <w:rsid w:val="00724731"/>
    <w:rsid w:val="00724EB4"/>
    <w:rsid w:val="007270DA"/>
    <w:rsid w:val="0072791A"/>
    <w:rsid w:val="00727C94"/>
    <w:rsid w:val="00730790"/>
    <w:rsid w:val="0073155E"/>
    <w:rsid w:val="00731B0A"/>
    <w:rsid w:val="00731EAE"/>
    <w:rsid w:val="00733073"/>
    <w:rsid w:val="00733C19"/>
    <w:rsid w:val="00734630"/>
    <w:rsid w:val="00735033"/>
    <w:rsid w:val="00735328"/>
    <w:rsid w:val="0073645E"/>
    <w:rsid w:val="007364D0"/>
    <w:rsid w:val="0073685B"/>
    <w:rsid w:val="0074027C"/>
    <w:rsid w:val="00740A58"/>
    <w:rsid w:val="00741807"/>
    <w:rsid w:val="0074362F"/>
    <w:rsid w:val="00743AFA"/>
    <w:rsid w:val="007449BF"/>
    <w:rsid w:val="007449C1"/>
    <w:rsid w:val="007463FE"/>
    <w:rsid w:val="00746BC0"/>
    <w:rsid w:val="00746D75"/>
    <w:rsid w:val="00750175"/>
    <w:rsid w:val="00750A3C"/>
    <w:rsid w:val="007510B4"/>
    <w:rsid w:val="00751D74"/>
    <w:rsid w:val="00752142"/>
    <w:rsid w:val="007523F9"/>
    <w:rsid w:val="00752FCD"/>
    <w:rsid w:val="0075357E"/>
    <w:rsid w:val="0075396F"/>
    <w:rsid w:val="00753B29"/>
    <w:rsid w:val="00757347"/>
    <w:rsid w:val="007573E8"/>
    <w:rsid w:val="0076043D"/>
    <w:rsid w:val="00760C4E"/>
    <w:rsid w:val="00760F9E"/>
    <w:rsid w:val="007616E6"/>
    <w:rsid w:val="00761D00"/>
    <w:rsid w:val="00762239"/>
    <w:rsid w:val="007627BE"/>
    <w:rsid w:val="00764F03"/>
    <w:rsid w:val="00765746"/>
    <w:rsid w:val="00765796"/>
    <w:rsid w:val="00765B1A"/>
    <w:rsid w:val="00765DC1"/>
    <w:rsid w:val="0076617E"/>
    <w:rsid w:val="00770CF2"/>
    <w:rsid w:val="00771621"/>
    <w:rsid w:val="00773D47"/>
    <w:rsid w:val="00773FFF"/>
    <w:rsid w:val="0077413B"/>
    <w:rsid w:val="0077442C"/>
    <w:rsid w:val="00774E03"/>
    <w:rsid w:val="0077660A"/>
    <w:rsid w:val="00777335"/>
    <w:rsid w:val="0078006F"/>
    <w:rsid w:val="007843F2"/>
    <w:rsid w:val="007846FA"/>
    <w:rsid w:val="00785A9F"/>
    <w:rsid w:val="00786A68"/>
    <w:rsid w:val="007925DF"/>
    <w:rsid w:val="00793D55"/>
    <w:rsid w:val="007947EB"/>
    <w:rsid w:val="00795A11"/>
    <w:rsid w:val="0079636D"/>
    <w:rsid w:val="007965B5"/>
    <w:rsid w:val="00796660"/>
    <w:rsid w:val="00797A21"/>
    <w:rsid w:val="007A0599"/>
    <w:rsid w:val="007A08AA"/>
    <w:rsid w:val="007A0A12"/>
    <w:rsid w:val="007A132D"/>
    <w:rsid w:val="007A1345"/>
    <w:rsid w:val="007A2A34"/>
    <w:rsid w:val="007A2DDB"/>
    <w:rsid w:val="007A3D11"/>
    <w:rsid w:val="007A4AFA"/>
    <w:rsid w:val="007A5A62"/>
    <w:rsid w:val="007A64EA"/>
    <w:rsid w:val="007A6D81"/>
    <w:rsid w:val="007A70BA"/>
    <w:rsid w:val="007A78AC"/>
    <w:rsid w:val="007B0D68"/>
    <w:rsid w:val="007B0FB6"/>
    <w:rsid w:val="007B1043"/>
    <w:rsid w:val="007B1DAA"/>
    <w:rsid w:val="007B251D"/>
    <w:rsid w:val="007B2BC2"/>
    <w:rsid w:val="007B3533"/>
    <w:rsid w:val="007B39AB"/>
    <w:rsid w:val="007B4D09"/>
    <w:rsid w:val="007B4F58"/>
    <w:rsid w:val="007B528D"/>
    <w:rsid w:val="007B63CA"/>
    <w:rsid w:val="007B6FD8"/>
    <w:rsid w:val="007B722F"/>
    <w:rsid w:val="007B77D1"/>
    <w:rsid w:val="007C07C7"/>
    <w:rsid w:val="007C1CD9"/>
    <w:rsid w:val="007C32EF"/>
    <w:rsid w:val="007C361D"/>
    <w:rsid w:val="007C4918"/>
    <w:rsid w:val="007C4B84"/>
    <w:rsid w:val="007C6236"/>
    <w:rsid w:val="007C70FF"/>
    <w:rsid w:val="007C7C25"/>
    <w:rsid w:val="007D004F"/>
    <w:rsid w:val="007D0267"/>
    <w:rsid w:val="007D035F"/>
    <w:rsid w:val="007D061C"/>
    <w:rsid w:val="007D06B2"/>
    <w:rsid w:val="007D0B38"/>
    <w:rsid w:val="007D4B3C"/>
    <w:rsid w:val="007D5440"/>
    <w:rsid w:val="007D69EB"/>
    <w:rsid w:val="007D71D0"/>
    <w:rsid w:val="007D720E"/>
    <w:rsid w:val="007D7F69"/>
    <w:rsid w:val="007E11F9"/>
    <w:rsid w:val="007E128F"/>
    <w:rsid w:val="007E23ED"/>
    <w:rsid w:val="007E3BAB"/>
    <w:rsid w:val="007E4069"/>
    <w:rsid w:val="007E512C"/>
    <w:rsid w:val="007E5156"/>
    <w:rsid w:val="007E6DF9"/>
    <w:rsid w:val="007E7344"/>
    <w:rsid w:val="007E7AE8"/>
    <w:rsid w:val="007E7E34"/>
    <w:rsid w:val="007F0657"/>
    <w:rsid w:val="007F06C7"/>
    <w:rsid w:val="007F1017"/>
    <w:rsid w:val="007F1178"/>
    <w:rsid w:val="007F4A3F"/>
    <w:rsid w:val="007F4A61"/>
    <w:rsid w:val="007F5255"/>
    <w:rsid w:val="007F56CC"/>
    <w:rsid w:val="007F61C2"/>
    <w:rsid w:val="00800362"/>
    <w:rsid w:val="00800E2C"/>
    <w:rsid w:val="00801A80"/>
    <w:rsid w:val="00801D2D"/>
    <w:rsid w:val="00805142"/>
    <w:rsid w:val="00805D21"/>
    <w:rsid w:val="00805FCE"/>
    <w:rsid w:val="008062B4"/>
    <w:rsid w:val="00806368"/>
    <w:rsid w:val="00806D33"/>
    <w:rsid w:val="00806E3C"/>
    <w:rsid w:val="00807A8B"/>
    <w:rsid w:val="0081066C"/>
    <w:rsid w:val="00811383"/>
    <w:rsid w:val="00812149"/>
    <w:rsid w:val="00812CAC"/>
    <w:rsid w:val="00813E36"/>
    <w:rsid w:val="0081548C"/>
    <w:rsid w:val="00816361"/>
    <w:rsid w:val="008166EF"/>
    <w:rsid w:val="00816FEF"/>
    <w:rsid w:val="0082002F"/>
    <w:rsid w:val="00820A8C"/>
    <w:rsid w:val="008215FB"/>
    <w:rsid w:val="008220CC"/>
    <w:rsid w:val="00822C43"/>
    <w:rsid w:val="00823174"/>
    <w:rsid w:val="00824874"/>
    <w:rsid w:val="00825751"/>
    <w:rsid w:val="00825F64"/>
    <w:rsid w:val="008264EB"/>
    <w:rsid w:val="008268CE"/>
    <w:rsid w:val="00826DB7"/>
    <w:rsid w:val="00827C23"/>
    <w:rsid w:val="0083195C"/>
    <w:rsid w:val="008329B0"/>
    <w:rsid w:val="00833436"/>
    <w:rsid w:val="0083388B"/>
    <w:rsid w:val="00833B05"/>
    <w:rsid w:val="008352DE"/>
    <w:rsid w:val="0083604C"/>
    <w:rsid w:val="008362B4"/>
    <w:rsid w:val="00836818"/>
    <w:rsid w:val="0083702F"/>
    <w:rsid w:val="00837493"/>
    <w:rsid w:val="00840CA2"/>
    <w:rsid w:val="008415E2"/>
    <w:rsid w:val="00842C32"/>
    <w:rsid w:val="0084374F"/>
    <w:rsid w:val="00843F0D"/>
    <w:rsid w:val="00844977"/>
    <w:rsid w:val="00844A22"/>
    <w:rsid w:val="00845D84"/>
    <w:rsid w:val="008467A5"/>
    <w:rsid w:val="00847703"/>
    <w:rsid w:val="008479F4"/>
    <w:rsid w:val="00847DF5"/>
    <w:rsid w:val="00850671"/>
    <w:rsid w:val="0085309D"/>
    <w:rsid w:val="00853811"/>
    <w:rsid w:val="008540E0"/>
    <w:rsid w:val="00854D23"/>
    <w:rsid w:val="008550DC"/>
    <w:rsid w:val="00856897"/>
    <w:rsid w:val="00856DAB"/>
    <w:rsid w:val="00856E9A"/>
    <w:rsid w:val="0086075D"/>
    <w:rsid w:val="00862502"/>
    <w:rsid w:val="00862CC1"/>
    <w:rsid w:val="008642A7"/>
    <w:rsid w:val="008642AC"/>
    <w:rsid w:val="008660D4"/>
    <w:rsid w:val="008663EB"/>
    <w:rsid w:val="00866C8D"/>
    <w:rsid w:val="00867520"/>
    <w:rsid w:val="0086755D"/>
    <w:rsid w:val="008711E0"/>
    <w:rsid w:val="008716AF"/>
    <w:rsid w:val="00871FA9"/>
    <w:rsid w:val="00872026"/>
    <w:rsid w:val="008728E9"/>
    <w:rsid w:val="0087341E"/>
    <w:rsid w:val="00873844"/>
    <w:rsid w:val="008738D7"/>
    <w:rsid w:val="008753CB"/>
    <w:rsid w:val="00876287"/>
    <w:rsid w:val="00876C3E"/>
    <w:rsid w:val="00876EE1"/>
    <w:rsid w:val="008807BD"/>
    <w:rsid w:val="0088120A"/>
    <w:rsid w:val="00881644"/>
    <w:rsid w:val="00882874"/>
    <w:rsid w:val="00882E3C"/>
    <w:rsid w:val="0088308A"/>
    <w:rsid w:val="00883787"/>
    <w:rsid w:val="00884774"/>
    <w:rsid w:val="008855E4"/>
    <w:rsid w:val="00885BB2"/>
    <w:rsid w:val="00885DC0"/>
    <w:rsid w:val="008861D6"/>
    <w:rsid w:val="0088678F"/>
    <w:rsid w:val="00886CD2"/>
    <w:rsid w:val="008909F4"/>
    <w:rsid w:val="00891832"/>
    <w:rsid w:val="00891D8B"/>
    <w:rsid w:val="00891E6F"/>
    <w:rsid w:val="00892505"/>
    <w:rsid w:val="0089275D"/>
    <w:rsid w:val="0089283C"/>
    <w:rsid w:val="00892A36"/>
    <w:rsid w:val="00893239"/>
    <w:rsid w:val="0089326D"/>
    <w:rsid w:val="00894489"/>
    <w:rsid w:val="00894C39"/>
    <w:rsid w:val="00894CD6"/>
    <w:rsid w:val="008963A5"/>
    <w:rsid w:val="00896D5D"/>
    <w:rsid w:val="008A1F60"/>
    <w:rsid w:val="008A3158"/>
    <w:rsid w:val="008A3363"/>
    <w:rsid w:val="008A3371"/>
    <w:rsid w:val="008A3697"/>
    <w:rsid w:val="008A3C3E"/>
    <w:rsid w:val="008A4AEC"/>
    <w:rsid w:val="008A4F2C"/>
    <w:rsid w:val="008A543B"/>
    <w:rsid w:val="008A79DE"/>
    <w:rsid w:val="008B1757"/>
    <w:rsid w:val="008B1C33"/>
    <w:rsid w:val="008B2572"/>
    <w:rsid w:val="008B2EB1"/>
    <w:rsid w:val="008B32FA"/>
    <w:rsid w:val="008B3E3C"/>
    <w:rsid w:val="008B3EB1"/>
    <w:rsid w:val="008B4555"/>
    <w:rsid w:val="008B4B6F"/>
    <w:rsid w:val="008B55BD"/>
    <w:rsid w:val="008B5C8F"/>
    <w:rsid w:val="008B7992"/>
    <w:rsid w:val="008B7D7E"/>
    <w:rsid w:val="008C004B"/>
    <w:rsid w:val="008C05CC"/>
    <w:rsid w:val="008C07FB"/>
    <w:rsid w:val="008C1EE4"/>
    <w:rsid w:val="008C1F8F"/>
    <w:rsid w:val="008C511B"/>
    <w:rsid w:val="008C5610"/>
    <w:rsid w:val="008C568D"/>
    <w:rsid w:val="008C5739"/>
    <w:rsid w:val="008C6577"/>
    <w:rsid w:val="008C6B44"/>
    <w:rsid w:val="008C6C32"/>
    <w:rsid w:val="008C6FFC"/>
    <w:rsid w:val="008C7282"/>
    <w:rsid w:val="008C73A9"/>
    <w:rsid w:val="008C7653"/>
    <w:rsid w:val="008C7ECB"/>
    <w:rsid w:val="008D030D"/>
    <w:rsid w:val="008D2D8B"/>
    <w:rsid w:val="008D305A"/>
    <w:rsid w:val="008D3B86"/>
    <w:rsid w:val="008D43FD"/>
    <w:rsid w:val="008D4755"/>
    <w:rsid w:val="008D4C3D"/>
    <w:rsid w:val="008D677E"/>
    <w:rsid w:val="008D6F67"/>
    <w:rsid w:val="008D743C"/>
    <w:rsid w:val="008D7C8D"/>
    <w:rsid w:val="008E0D3C"/>
    <w:rsid w:val="008E1012"/>
    <w:rsid w:val="008E1B9E"/>
    <w:rsid w:val="008E2409"/>
    <w:rsid w:val="008E31E7"/>
    <w:rsid w:val="008E55AB"/>
    <w:rsid w:val="008E7469"/>
    <w:rsid w:val="008F120A"/>
    <w:rsid w:val="008F124B"/>
    <w:rsid w:val="008F1A9B"/>
    <w:rsid w:val="008F1C7C"/>
    <w:rsid w:val="008F27E0"/>
    <w:rsid w:val="008F2962"/>
    <w:rsid w:val="008F2C93"/>
    <w:rsid w:val="008F3170"/>
    <w:rsid w:val="008F3285"/>
    <w:rsid w:val="008F3528"/>
    <w:rsid w:val="008F36A1"/>
    <w:rsid w:val="008F3F0B"/>
    <w:rsid w:val="008F48EB"/>
    <w:rsid w:val="008F4F0B"/>
    <w:rsid w:val="008F5088"/>
    <w:rsid w:val="008F62B3"/>
    <w:rsid w:val="0090012D"/>
    <w:rsid w:val="009046C4"/>
    <w:rsid w:val="009046DD"/>
    <w:rsid w:val="009053B0"/>
    <w:rsid w:val="009061F4"/>
    <w:rsid w:val="009062A5"/>
    <w:rsid w:val="00907699"/>
    <w:rsid w:val="00907F34"/>
    <w:rsid w:val="00910F31"/>
    <w:rsid w:val="00910FA7"/>
    <w:rsid w:val="00911272"/>
    <w:rsid w:val="00911339"/>
    <w:rsid w:val="00911817"/>
    <w:rsid w:val="0091315D"/>
    <w:rsid w:val="009135D6"/>
    <w:rsid w:val="00914C77"/>
    <w:rsid w:val="00916F74"/>
    <w:rsid w:val="009177D8"/>
    <w:rsid w:val="009217E9"/>
    <w:rsid w:val="00921ACB"/>
    <w:rsid w:val="0092266A"/>
    <w:rsid w:val="0092369B"/>
    <w:rsid w:val="009240A5"/>
    <w:rsid w:val="009240D0"/>
    <w:rsid w:val="009252B8"/>
    <w:rsid w:val="00925C60"/>
    <w:rsid w:val="00927DE2"/>
    <w:rsid w:val="009313AF"/>
    <w:rsid w:val="009317B5"/>
    <w:rsid w:val="00933A06"/>
    <w:rsid w:val="009346C3"/>
    <w:rsid w:val="00934988"/>
    <w:rsid w:val="00934BCA"/>
    <w:rsid w:val="00935816"/>
    <w:rsid w:val="00935B8E"/>
    <w:rsid w:val="00935F81"/>
    <w:rsid w:val="0093607D"/>
    <w:rsid w:val="00937089"/>
    <w:rsid w:val="00940A2F"/>
    <w:rsid w:val="00943BD7"/>
    <w:rsid w:val="00944928"/>
    <w:rsid w:val="00944F8A"/>
    <w:rsid w:val="009460D5"/>
    <w:rsid w:val="00946D02"/>
    <w:rsid w:val="009510A2"/>
    <w:rsid w:val="009515C7"/>
    <w:rsid w:val="00953257"/>
    <w:rsid w:val="00953EF4"/>
    <w:rsid w:val="0095474C"/>
    <w:rsid w:val="009558E4"/>
    <w:rsid w:val="00957D92"/>
    <w:rsid w:val="00962CB9"/>
    <w:rsid w:val="00964312"/>
    <w:rsid w:val="009646F2"/>
    <w:rsid w:val="009648A3"/>
    <w:rsid w:val="00965B8A"/>
    <w:rsid w:val="00966AE5"/>
    <w:rsid w:val="0096744B"/>
    <w:rsid w:val="0097071F"/>
    <w:rsid w:val="00970F85"/>
    <w:rsid w:val="009713B1"/>
    <w:rsid w:val="00971725"/>
    <w:rsid w:val="009717AC"/>
    <w:rsid w:val="00973928"/>
    <w:rsid w:val="009751C1"/>
    <w:rsid w:val="009811F1"/>
    <w:rsid w:val="009822C7"/>
    <w:rsid w:val="00983E57"/>
    <w:rsid w:val="00985DE2"/>
    <w:rsid w:val="009860FF"/>
    <w:rsid w:val="00986660"/>
    <w:rsid w:val="0098675D"/>
    <w:rsid w:val="009871F4"/>
    <w:rsid w:val="00987BA4"/>
    <w:rsid w:val="00990487"/>
    <w:rsid w:val="009920CA"/>
    <w:rsid w:val="009926E0"/>
    <w:rsid w:val="0099451E"/>
    <w:rsid w:val="00994696"/>
    <w:rsid w:val="0099569B"/>
    <w:rsid w:val="00995EFF"/>
    <w:rsid w:val="00996826"/>
    <w:rsid w:val="00996B1A"/>
    <w:rsid w:val="0099786F"/>
    <w:rsid w:val="009A00EF"/>
    <w:rsid w:val="009A1286"/>
    <w:rsid w:val="009A18F6"/>
    <w:rsid w:val="009A2DCC"/>
    <w:rsid w:val="009A3DFD"/>
    <w:rsid w:val="009A41A3"/>
    <w:rsid w:val="009A46E2"/>
    <w:rsid w:val="009A4BEA"/>
    <w:rsid w:val="009A4EBD"/>
    <w:rsid w:val="009A53E0"/>
    <w:rsid w:val="009A554E"/>
    <w:rsid w:val="009A5ABC"/>
    <w:rsid w:val="009A686F"/>
    <w:rsid w:val="009A7F10"/>
    <w:rsid w:val="009B15E9"/>
    <w:rsid w:val="009B3E26"/>
    <w:rsid w:val="009B5291"/>
    <w:rsid w:val="009B5B27"/>
    <w:rsid w:val="009B673B"/>
    <w:rsid w:val="009B77F1"/>
    <w:rsid w:val="009C1189"/>
    <w:rsid w:val="009C1271"/>
    <w:rsid w:val="009C1B53"/>
    <w:rsid w:val="009C1BF4"/>
    <w:rsid w:val="009C1D2D"/>
    <w:rsid w:val="009C20FC"/>
    <w:rsid w:val="009C238B"/>
    <w:rsid w:val="009C3376"/>
    <w:rsid w:val="009C3706"/>
    <w:rsid w:val="009C3A3A"/>
    <w:rsid w:val="009C5A33"/>
    <w:rsid w:val="009C5B18"/>
    <w:rsid w:val="009C692D"/>
    <w:rsid w:val="009C6CEA"/>
    <w:rsid w:val="009C7B85"/>
    <w:rsid w:val="009C7D23"/>
    <w:rsid w:val="009D004E"/>
    <w:rsid w:val="009D0254"/>
    <w:rsid w:val="009D082F"/>
    <w:rsid w:val="009D155A"/>
    <w:rsid w:val="009D1A64"/>
    <w:rsid w:val="009D2275"/>
    <w:rsid w:val="009D2946"/>
    <w:rsid w:val="009D2B9F"/>
    <w:rsid w:val="009D3182"/>
    <w:rsid w:val="009D5B91"/>
    <w:rsid w:val="009D6143"/>
    <w:rsid w:val="009D753B"/>
    <w:rsid w:val="009D792E"/>
    <w:rsid w:val="009E0799"/>
    <w:rsid w:val="009E0DFE"/>
    <w:rsid w:val="009E1E17"/>
    <w:rsid w:val="009E241F"/>
    <w:rsid w:val="009E31F6"/>
    <w:rsid w:val="009E3C98"/>
    <w:rsid w:val="009E4176"/>
    <w:rsid w:val="009E4C07"/>
    <w:rsid w:val="009E501A"/>
    <w:rsid w:val="009E5789"/>
    <w:rsid w:val="009E6316"/>
    <w:rsid w:val="009E777F"/>
    <w:rsid w:val="009F126F"/>
    <w:rsid w:val="009F30D9"/>
    <w:rsid w:val="009F367D"/>
    <w:rsid w:val="009F3EBF"/>
    <w:rsid w:val="009F5231"/>
    <w:rsid w:val="009F600A"/>
    <w:rsid w:val="009F6120"/>
    <w:rsid w:val="00A00124"/>
    <w:rsid w:val="00A00D76"/>
    <w:rsid w:val="00A01184"/>
    <w:rsid w:val="00A01449"/>
    <w:rsid w:val="00A0257E"/>
    <w:rsid w:val="00A02BFD"/>
    <w:rsid w:val="00A0337B"/>
    <w:rsid w:val="00A037C2"/>
    <w:rsid w:val="00A03D43"/>
    <w:rsid w:val="00A04380"/>
    <w:rsid w:val="00A04786"/>
    <w:rsid w:val="00A05472"/>
    <w:rsid w:val="00A05C32"/>
    <w:rsid w:val="00A05CEF"/>
    <w:rsid w:val="00A0653F"/>
    <w:rsid w:val="00A06FA7"/>
    <w:rsid w:val="00A10748"/>
    <w:rsid w:val="00A11CD0"/>
    <w:rsid w:val="00A12231"/>
    <w:rsid w:val="00A12EAC"/>
    <w:rsid w:val="00A12F34"/>
    <w:rsid w:val="00A13948"/>
    <w:rsid w:val="00A13C2A"/>
    <w:rsid w:val="00A144ED"/>
    <w:rsid w:val="00A1555B"/>
    <w:rsid w:val="00A155C5"/>
    <w:rsid w:val="00A15AB8"/>
    <w:rsid w:val="00A15DAE"/>
    <w:rsid w:val="00A16AD8"/>
    <w:rsid w:val="00A2021E"/>
    <w:rsid w:val="00A2056E"/>
    <w:rsid w:val="00A20B5A"/>
    <w:rsid w:val="00A2159C"/>
    <w:rsid w:val="00A21C95"/>
    <w:rsid w:val="00A21CF3"/>
    <w:rsid w:val="00A225FB"/>
    <w:rsid w:val="00A23538"/>
    <w:rsid w:val="00A24813"/>
    <w:rsid w:val="00A2573D"/>
    <w:rsid w:val="00A2672C"/>
    <w:rsid w:val="00A26825"/>
    <w:rsid w:val="00A27711"/>
    <w:rsid w:val="00A27AEC"/>
    <w:rsid w:val="00A320DB"/>
    <w:rsid w:val="00A33529"/>
    <w:rsid w:val="00A339CD"/>
    <w:rsid w:val="00A3428F"/>
    <w:rsid w:val="00A34CBD"/>
    <w:rsid w:val="00A34D73"/>
    <w:rsid w:val="00A34F62"/>
    <w:rsid w:val="00A35757"/>
    <w:rsid w:val="00A35D16"/>
    <w:rsid w:val="00A37BCD"/>
    <w:rsid w:val="00A406C3"/>
    <w:rsid w:val="00A4138E"/>
    <w:rsid w:val="00A41689"/>
    <w:rsid w:val="00A417ED"/>
    <w:rsid w:val="00A41D24"/>
    <w:rsid w:val="00A42592"/>
    <w:rsid w:val="00A43C59"/>
    <w:rsid w:val="00A43D5C"/>
    <w:rsid w:val="00A46D8D"/>
    <w:rsid w:val="00A50136"/>
    <w:rsid w:val="00A5062A"/>
    <w:rsid w:val="00A50ECD"/>
    <w:rsid w:val="00A511F3"/>
    <w:rsid w:val="00A518F3"/>
    <w:rsid w:val="00A52729"/>
    <w:rsid w:val="00A53675"/>
    <w:rsid w:val="00A5423C"/>
    <w:rsid w:val="00A55A9B"/>
    <w:rsid w:val="00A564D7"/>
    <w:rsid w:val="00A56B6A"/>
    <w:rsid w:val="00A578DC"/>
    <w:rsid w:val="00A60A4F"/>
    <w:rsid w:val="00A61135"/>
    <w:rsid w:val="00A61CB0"/>
    <w:rsid w:val="00A640E2"/>
    <w:rsid w:val="00A64D65"/>
    <w:rsid w:val="00A64F4B"/>
    <w:rsid w:val="00A65566"/>
    <w:rsid w:val="00A6594A"/>
    <w:rsid w:val="00A66EF9"/>
    <w:rsid w:val="00A6725B"/>
    <w:rsid w:val="00A6728B"/>
    <w:rsid w:val="00A6772C"/>
    <w:rsid w:val="00A67B59"/>
    <w:rsid w:val="00A70605"/>
    <w:rsid w:val="00A70769"/>
    <w:rsid w:val="00A71680"/>
    <w:rsid w:val="00A71E9B"/>
    <w:rsid w:val="00A73134"/>
    <w:rsid w:val="00A7365A"/>
    <w:rsid w:val="00A740AC"/>
    <w:rsid w:val="00A76001"/>
    <w:rsid w:val="00A76E3E"/>
    <w:rsid w:val="00A77061"/>
    <w:rsid w:val="00A777B2"/>
    <w:rsid w:val="00A77D90"/>
    <w:rsid w:val="00A802F3"/>
    <w:rsid w:val="00A80A64"/>
    <w:rsid w:val="00A812A6"/>
    <w:rsid w:val="00A81610"/>
    <w:rsid w:val="00A825D4"/>
    <w:rsid w:val="00A828F6"/>
    <w:rsid w:val="00A82B73"/>
    <w:rsid w:val="00A84BA0"/>
    <w:rsid w:val="00A8574F"/>
    <w:rsid w:val="00A86E8B"/>
    <w:rsid w:val="00A87164"/>
    <w:rsid w:val="00A871A9"/>
    <w:rsid w:val="00A87D80"/>
    <w:rsid w:val="00A92956"/>
    <w:rsid w:val="00A93072"/>
    <w:rsid w:val="00A938BD"/>
    <w:rsid w:val="00A93953"/>
    <w:rsid w:val="00A953CC"/>
    <w:rsid w:val="00A959D8"/>
    <w:rsid w:val="00A95B4D"/>
    <w:rsid w:val="00A97318"/>
    <w:rsid w:val="00AA0908"/>
    <w:rsid w:val="00AA0AE1"/>
    <w:rsid w:val="00AA113D"/>
    <w:rsid w:val="00AA2E49"/>
    <w:rsid w:val="00AA3911"/>
    <w:rsid w:val="00AA41F1"/>
    <w:rsid w:val="00AA49C7"/>
    <w:rsid w:val="00AA4C78"/>
    <w:rsid w:val="00AA6BD5"/>
    <w:rsid w:val="00AA6BD8"/>
    <w:rsid w:val="00AA6C7D"/>
    <w:rsid w:val="00AA7FD6"/>
    <w:rsid w:val="00AB01ED"/>
    <w:rsid w:val="00AB0251"/>
    <w:rsid w:val="00AB042A"/>
    <w:rsid w:val="00AB11AD"/>
    <w:rsid w:val="00AB19EF"/>
    <w:rsid w:val="00AB2495"/>
    <w:rsid w:val="00AB2D34"/>
    <w:rsid w:val="00AB2E83"/>
    <w:rsid w:val="00AB3430"/>
    <w:rsid w:val="00AB37B9"/>
    <w:rsid w:val="00AB427C"/>
    <w:rsid w:val="00AB4AD1"/>
    <w:rsid w:val="00AB54C5"/>
    <w:rsid w:val="00AB5E07"/>
    <w:rsid w:val="00AB7CE9"/>
    <w:rsid w:val="00AB7CFA"/>
    <w:rsid w:val="00AC3DFA"/>
    <w:rsid w:val="00AC4A10"/>
    <w:rsid w:val="00AC4F57"/>
    <w:rsid w:val="00AC58B3"/>
    <w:rsid w:val="00AC5B42"/>
    <w:rsid w:val="00AC5B48"/>
    <w:rsid w:val="00AC65C8"/>
    <w:rsid w:val="00AC7601"/>
    <w:rsid w:val="00AC7D55"/>
    <w:rsid w:val="00AD1450"/>
    <w:rsid w:val="00AD15E8"/>
    <w:rsid w:val="00AD2940"/>
    <w:rsid w:val="00AD343F"/>
    <w:rsid w:val="00AD356D"/>
    <w:rsid w:val="00AD6502"/>
    <w:rsid w:val="00AD6E0C"/>
    <w:rsid w:val="00AE002C"/>
    <w:rsid w:val="00AE0695"/>
    <w:rsid w:val="00AE37E6"/>
    <w:rsid w:val="00AE3E7E"/>
    <w:rsid w:val="00AE7650"/>
    <w:rsid w:val="00AE7E53"/>
    <w:rsid w:val="00AF1138"/>
    <w:rsid w:val="00AF1315"/>
    <w:rsid w:val="00AF19BF"/>
    <w:rsid w:val="00AF1E66"/>
    <w:rsid w:val="00AF21D3"/>
    <w:rsid w:val="00AF22F6"/>
    <w:rsid w:val="00AF2DC3"/>
    <w:rsid w:val="00AF2FA3"/>
    <w:rsid w:val="00AF38A3"/>
    <w:rsid w:val="00AF4C1A"/>
    <w:rsid w:val="00AF7B29"/>
    <w:rsid w:val="00B00474"/>
    <w:rsid w:val="00B01D8A"/>
    <w:rsid w:val="00B03158"/>
    <w:rsid w:val="00B033E5"/>
    <w:rsid w:val="00B03A63"/>
    <w:rsid w:val="00B042FC"/>
    <w:rsid w:val="00B07156"/>
    <w:rsid w:val="00B07833"/>
    <w:rsid w:val="00B10F50"/>
    <w:rsid w:val="00B11038"/>
    <w:rsid w:val="00B111D7"/>
    <w:rsid w:val="00B11450"/>
    <w:rsid w:val="00B129A4"/>
    <w:rsid w:val="00B12C88"/>
    <w:rsid w:val="00B12E59"/>
    <w:rsid w:val="00B14104"/>
    <w:rsid w:val="00B14FFF"/>
    <w:rsid w:val="00B158B5"/>
    <w:rsid w:val="00B17464"/>
    <w:rsid w:val="00B201A4"/>
    <w:rsid w:val="00B201D1"/>
    <w:rsid w:val="00B2043D"/>
    <w:rsid w:val="00B20B6D"/>
    <w:rsid w:val="00B210AC"/>
    <w:rsid w:val="00B212AD"/>
    <w:rsid w:val="00B213A6"/>
    <w:rsid w:val="00B21795"/>
    <w:rsid w:val="00B22914"/>
    <w:rsid w:val="00B22D4B"/>
    <w:rsid w:val="00B22EE0"/>
    <w:rsid w:val="00B235B0"/>
    <w:rsid w:val="00B23BB6"/>
    <w:rsid w:val="00B2426F"/>
    <w:rsid w:val="00B24DF6"/>
    <w:rsid w:val="00B24FC6"/>
    <w:rsid w:val="00B257E0"/>
    <w:rsid w:val="00B27A61"/>
    <w:rsid w:val="00B3105F"/>
    <w:rsid w:val="00B329B7"/>
    <w:rsid w:val="00B33D32"/>
    <w:rsid w:val="00B34FE2"/>
    <w:rsid w:val="00B35166"/>
    <w:rsid w:val="00B357D8"/>
    <w:rsid w:val="00B360F4"/>
    <w:rsid w:val="00B363DF"/>
    <w:rsid w:val="00B36A00"/>
    <w:rsid w:val="00B36D0D"/>
    <w:rsid w:val="00B3792B"/>
    <w:rsid w:val="00B37941"/>
    <w:rsid w:val="00B37BFC"/>
    <w:rsid w:val="00B40358"/>
    <w:rsid w:val="00B41614"/>
    <w:rsid w:val="00B42499"/>
    <w:rsid w:val="00B42851"/>
    <w:rsid w:val="00B42F80"/>
    <w:rsid w:val="00B435CB"/>
    <w:rsid w:val="00B445E7"/>
    <w:rsid w:val="00B4522E"/>
    <w:rsid w:val="00B45343"/>
    <w:rsid w:val="00B45DB7"/>
    <w:rsid w:val="00B465EC"/>
    <w:rsid w:val="00B505C8"/>
    <w:rsid w:val="00B50BE8"/>
    <w:rsid w:val="00B50DB8"/>
    <w:rsid w:val="00B5253C"/>
    <w:rsid w:val="00B52DEC"/>
    <w:rsid w:val="00B52F8C"/>
    <w:rsid w:val="00B531B2"/>
    <w:rsid w:val="00B53654"/>
    <w:rsid w:val="00B53803"/>
    <w:rsid w:val="00B53905"/>
    <w:rsid w:val="00B54121"/>
    <w:rsid w:val="00B546DB"/>
    <w:rsid w:val="00B54B5B"/>
    <w:rsid w:val="00B55228"/>
    <w:rsid w:val="00B5562E"/>
    <w:rsid w:val="00B55782"/>
    <w:rsid w:val="00B55862"/>
    <w:rsid w:val="00B55D65"/>
    <w:rsid w:val="00B56305"/>
    <w:rsid w:val="00B57000"/>
    <w:rsid w:val="00B5760B"/>
    <w:rsid w:val="00B60939"/>
    <w:rsid w:val="00B60AFD"/>
    <w:rsid w:val="00B60DEC"/>
    <w:rsid w:val="00B615EB"/>
    <w:rsid w:val="00B62715"/>
    <w:rsid w:val="00B65611"/>
    <w:rsid w:val="00B6578B"/>
    <w:rsid w:val="00B65FF6"/>
    <w:rsid w:val="00B66F23"/>
    <w:rsid w:val="00B7017A"/>
    <w:rsid w:val="00B70E8E"/>
    <w:rsid w:val="00B720B7"/>
    <w:rsid w:val="00B72139"/>
    <w:rsid w:val="00B730BD"/>
    <w:rsid w:val="00B743AD"/>
    <w:rsid w:val="00B75E0D"/>
    <w:rsid w:val="00B76C92"/>
    <w:rsid w:val="00B80757"/>
    <w:rsid w:val="00B80EFD"/>
    <w:rsid w:val="00B818A4"/>
    <w:rsid w:val="00B83739"/>
    <w:rsid w:val="00B84117"/>
    <w:rsid w:val="00B847DC"/>
    <w:rsid w:val="00B8520F"/>
    <w:rsid w:val="00B858F0"/>
    <w:rsid w:val="00B85AA2"/>
    <w:rsid w:val="00B8649C"/>
    <w:rsid w:val="00B8695D"/>
    <w:rsid w:val="00B86B89"/>
    <w:rsid w:val="00B87175"/>
    <w:rsid w:val="00B87BFD"/>
    <w:rsid w:val="00B87F0A"/>
    <w:rsid w:val="00B92D0B"/>
    <w:rsid w:val="00B94396"/>
    <w:rsid w:val="00B94945"/>
    <w:rsid w:val="00B94DD6"/>
    <w:rsid w:val="00B94FDF"/>
    <w:rsid w:val="00B96E08"/>
    <w:rsid w:val="00B97A99"/>
    <w:rsid w:val="00BA073F"/>
    <w:rsid w:val="00BA2156"/>
    <w:rsid w:val="00BA322D"/>
    <w:rsid w:val="00BA5B54"/>
    <w:rsid w:val="00BA63FA"/>
    <w:rsid w:val="00BA6C87"/>
    <w:rsid w:val="00BA754F"/>
    <w:rsid w:val="00BB00B3"/>
    <w:rsid w:val="00BB00B6"/>
    <w:rsid w:val="00BB0BDD"/>
    <w:rsid w:val="00BB176C"/>
    <w:rsid w:val="00BB1958"/>
    <w:rsid w:val="00BB2A73"/>
    <w:rsid w:val="00BB3A45"/>
    <w:rsid w:val="00BB4ACC"/>
    <w:rsid w:val="00BB5241"/>
    <w:rsid w:val="00BB5C34"/>
    <w:rsid w:val="00BB6614"/>
    <w:rsid w:val="00BB6ACA"/>
    <w:rsid w:val="00BB6B6F"/>
    <w:rsid w:val="00BB703E"/>
    <w:rsid w:val="00BB732D"/>
    <w:rsid w:val="00BB7405"/>
    <w:rsid w:val="00BB7466"/>
    <w:rsid w:val="00BC075E"/>
    <w:rsid w:val="00BC09E8"/>
    <w:rsid w:val="00BC15AA"/>
    <w:rsid w:val="00BC3631"/>
    <w:rsid w:val="00BC3980"/>
    <w:rsid w:val="00BC58FC"/>
    <w:rsid w:val="00BC591F"/>
    <w:rsid w:val="00BC6730"/>
    <w:rsid w:val="00BC7B0A"/>
    <w:rsid w:val="00BC7D6D"/>
    <w:rsid w:val="00BD122A"/>
    <w:rsid w:val="00BD159F"/>
    <w:rsid w:val="00BD2108"/>
    <w:rsid w:val="00BD32C6"/>
    <w:rsid w:val="00BD5927"/>
    <w:rsid w:val="00BD615A"/>
    <w:rsid w:val="00BD643B"/>
    <w:rsid w:val="00BD661D"/>
    <w:rsid w:val="00BD68A3"/>
    <w:rsid w:val="00BD6938"/>
    <w:rsid w:val="00BD6CF3"/>
    <w:rsid w:val="00BD7F72"/>
    <w:rsid w:val="00BE0D69"/>
    <w:rsid w:val="00BE0ECA"/>
    <w:rsid w:val="00BE2180"/>
    <w:rsid w:val="00BE21F2"/>
    <w:rsid w:val="00BE27D1"/>
    <w:rsid w:val="00BE2DBE"/>
    <w:rsid w:val="00BE4275"/>
    <w:rsid w:val="00BE50D8"/>
    <w:rsid w:val="00BE5172"/>
    <w:rsid w:val="00BF06AE"/>
    <w:rsid w:val="00BF0F95"/>
    <w:rsid w:val="00BF14B0"/>
    <w:rsid w:val="00BF14E8"/>
    <w:rsid w:val="00BF23D8"/>
    <w:rsid w:val="00BF2433"/>
    <w:rsid w:val="00BF2E6E"/>
    <w:rsid w:val="00BF38E4"/>
    <w:rsid w:val="00BF5442"/>
    <w:rsid w:val="00BF61C9"/>
    <w:rsid w:val="00BF6C94"/>
    <w:rsid w:val="00BF70AC"/>
    <w:rsid w:val="00C00424"/>
    <w:rsid w:val="00C00B8A"/>
    <w:rsid w:val="00C00BB0"/>
    <w:rsid w:val="00C00EAD"/>
    <w:rsid w:val="00C02C13"/>
    <w:rsid w:val="00C1179F"/>
    <w:rsid w:val="00C127B9"/>
    <w:rsid w:val="00C128FA"/>
    <w:rsid w:val="00C12C14"/>
    <w:rsid w:val="00C15F04"/>
    <w:rsid w:val="00C179B3"/>
    <w:rsid w:val="00C17E3F"/>
    <w:rsid w:val="00C200AA"/>
    <w:rsid w:val="00C21BE8"/>
    <w:rsid w:val="00C237ED"/>
    <w:rsid w:val="00C23AA7"/>
    <w:rsid w:val="00C24632"/>
    <w:rsid w:val="00C25418"/>
    <w:rsid w:val="00C25D9C"/>
    <w:rsid w:val="00C260AA"/>
    <w:rsid w:val="00C2778B"/>
    <w:rsid w:val="00C30CE2"/>
    <w:rsid w:val="00C31649"/>
    <w:rsid w:val="00C31DB0"/>
    <w:rsid w:val="00C3434C"/>
    <w:rsid w:val="00C35B0D"/>
    <w:rsid w:val="00C36FF0"/>
    <w:rsid w:val="00C375A5"/>
    <w:rsid w:val="00C40385"/>
    <w:rsid w:val="00C41768"/>
    <w:rsid w:val="00C43C80"/>
    <w:rsid w:val="00C475AA"/>
    <w:rsid w:val="00C50973"/>
    <w:rsid w:val="00C50C8A"/>
    <w:rsid w:val="00C52277"/>
    <w:rsid w:val="00C527C7"/>
    <w:rsid w:val="00C533F4"/>
    <w:rsid w:val="00C53C98"/>
    <w:rsid w:val="00C547E0"/>
    <w:rsid w:val="00C56FCF"/>
    <w:rsid w:val="00C57B6C"/>
    <w:rsid w:val="00C61A59"/>
    <w:rsid w:val="00C62138"/>
    <w:rsid w:val="00C628A6"/>
    <w:rsid w:val="00C630CE"/>
    <w:rsid w:val="00C64344"/>
    <w:rsid w:val="00C65108"/>
    <w:rsid w:val="00C65576"/>
    <w:rsid w:val="00C66165"/>
    <w:rsid w:val="00C7060A"/>
    <w:rsid w:val="00C7151A"/>
    <w:rsid w:val="00C717E3"/>
    <w:rsid w:val="00C71F60"/>
    <w:rsid w:val="00C72241"/>
    <w:rsid w:val="00C722CA"/>
    <w:rsid w:val="00C733FB"/>
    <w:rsid w:val="00C74767"/>
    <w:rsid w:val="00C74E89"/>
    <w:rsid w:val="00C750C8"/>
    <w:rsid w:val="00C7560F"/>
    <w:rsid w:val="00C80A0E"/>
    <w:rsid w:val="00C8118D"/>
    <w:rsid w:val="00C81339"/>
    <w:rsid w:val="00C814C1"/>
    <w:rsid w:val="00C8213F"/>
    <w:rsid w:val="00C8303F"/>
    <w:rsid w:val="00C845F5"/>
    <w:rsid w:val="00C85154"/>
    <w:rsid w:val="00C85A70"/>
    <w:rsid w:val="00C86DF0"/>
    <w:rsid w:val="00C8797A"/>
    <w:rsid w:val="00C87FCC"/>
    <w:rsid w:val="00C900B8"/>
    <w:rsid w:val="00C90197"/>
    <w:rsid w:val="00C90C71"/>
    <w:rsid w:val="00C91FD1"/>
    <w:rsid w:val="00C931CF"/>
    <w:rsid w:val="00C938CF"/>
    <w:rsid w:val="00C94053"/>
    <w:rsid w:val="00C9570A"/>
    <w:rsid w:val="00C9624D"/>
    <w:rsid w:val="00C963F9"/>
    <w:rsid w:val="00C96433"/>
    <w:rsid w:val="00C969DA"/>
    <w:rsid w:val="00C979A9"/>
    <w:rsid w:val="00CA0900"/>
    <w:rsid w:val="00CA09AC"/>
    <w:rsid w:val="00CA2C77"/>
    <w:rsid w:val="00CA2E4A"/>
    <w:rsid w:val="00CA444F"/>
    <w:rsid w:val="00CA49DA"/>
    <w:rsid w:val="00CA5245"/>
    <w:rsid w:val="00CA56B5"/>
    <w:rsid w:val="00CA5772"/>
    <w:rsid w:val="00CA71F4"/>
    <w:rsid w:val="00CA7B09"/>
    <w:rsid w:val="00CB019C"/>
    <w:rsid w:val="00CB0D1A"/>
    <w:rsid w:val="00CB0DE6"/>
    <w:rsid w:val="00CB12A5"/>
    <w:rsid w:val="00CB1CAC"/>
    <w:rsid w:val="00CB2E42"/>
    <w:rsid w:val="00CB2F2A"/>
    <w:rsid w:val="00CB31AD"/>
    <w:rsid w:val="00CB3B1E"/>
    <w:rsid w:val="00CB52C6"/>
    <w:rsid w:val="00CB55AB"/>
    <w:rsid w:val="00CB5B1A"/>
    <w:rsid w:val="00CB5D62"/>
    <w:rsid w:val="00CB628F"/>
    <w:rsid w:val="00CB6821"/>
    <w:rsid w:val="00CB6B22"/>
    <w:rsid w:val="00CB7F5F"/>
    <w:rsid w:val="00CC0770"/>
    <w:rsid w:val="00CC0942"/>
    <w:rsid w:val="00CC19BE"/>
    <w:rsid w:val="00CC1B39"/>
    <w:rsid w:val="00CC1BFA"/>
    <w:rsid w:val="00CC220D"/>
    <w:rsid w:val="00CC28C5"/>
    <w:rsid w:val="00CC29B2"/>
    <w:rsid w:val="00CC2E9F"/>
    <w:rsid w:val="00CC35EA"/>
    <w:rsid w:val="00CC3848"/>
    <w:rsid w:val="00CC3DD4"/>
    <w:rsid w:val="00CC6D5E"/>
    <w:rsid w:val="00CC7AE8"/>
    <w:rsid w:val="00CC7AF8"/>
    <w:rsid w:val="00CC7C12"/>
    <w:rsid w:val="00CD0200"/>
    <w:rsid w:val="00CD083E"/>
    <w:rsid w:val="00CD16B9"/>
    <w:rsid w:val="00CD197C"/>
    <w:rsid w:val="00CD24D6"/>
    <w:rsid w:val="00CD2E93"/>
    <w:rsid w:val="00CD3BCB"/>
    <w:rsid w:val="00CD3F77"/>
    <w:rsid w:val="00CD530F"/>
    <w:rsid w:val="00CD5604"/>
    <w:rsid w:val="00CD5E25"/>
    <w:rsid w:val="00CD6ADC"/>
    <w:rsid w:val="00CD7193"/>
    <w:rsid w:val="00CD7499"/>
    <w:rsid w:val="00CE0BF2"/>
    <w:rsid w:val="00CE0F60"/>
    <w:rsid w:val="00CE1153"/>
    <w:rsid w:val="00CE14EA"/>
    <w:rsid w:val="00CE38C8"/>
    <w:rsid w:val="00CE49F1"/>
    <w:rsid w:val="00CE524F"/>
    <w:rsid w:val="00CE56F8"/>
    <w:rsid w:val="00CE56F9"/>
    <w:rsid w:val="00CE5882"/>
    <w:rsid w:val="00CE58CC"/>
    <w:rsid w:val="00CE6274"/>
    <w:rsid w:val="00CE77B6"/>
    <w:rsid w:val="00CF1AF1"/>
    <w:rsid w:val="00CF1C40"/>
    <w:rsid w:val="00CF2B8D"/>
    <w:rsid w:val="00CF3313"/>
    <w:rsid w:val="00CF3A1B"/>
    <w:rsid w:val="00CF456B"/>
    <w:rsid w:val="00CF48A0"/>
    <w:rsid w:val="00CF4B60"/>
    <w:rsid w:val="00CF5A22"/>
    <w:rsid w:val="00CF6EB7"/>
    <w:rsid w:val="00CF761E"/>
    <w:rsid w:val="00D02528"/>
    <w:rsid w:val="00D0262E"/>
    <w:rsid w:val="00D02D38"/>
    <w:rsid w:val="00D03679"/>
    <w:rsid w:val="00D040F8"/>
    <w:rsid w:val="00D04DCD"/>
    <w:rsid w:val="00D05E3D"/>
    <w:rsid w:val="00D06139"/>
    <w:rsid w:val="00D06647"/>
    <w:rsid w:val="00D110BD"/>
    <w:rsid w:val="00D11A02"/>
    <w:rsid w:val="00D11D42"/>
    <w:rsid w:val="00D1242A"/>
    <w:rsid w:val="00D12F37"/>
    <w:rsid w:val="00D13675"/>
    <w:rsid w:val="00D1380C"/>
    <w:rsid w:val="00D141E1"/>
    <w:rsid w:val="00D14DCE"/>
    <w:rsid w:val="00D15314"/>
    <w:rsid w:val="00D15A35"/>
    <w:rsid w:val="00D15B48"/>
    <w:rsid w:val="00D17147"/>
    <w:rsid w:val="00D17D6C"/>
    <w:rsid w:val="00D2155B"/>
    <w:rsid w:val="00D23D11"/>
    <w:rsid w:val="00D244B6"/>
    <w:rsid w:val="00D2453A"/>
    <w:rsid w:val="00D26DF5"/>
    <w:rsid w:val="00D2754D"/>
    <w:rsid w:val="00D27B27"/>
    <w:rsid w:val="00D27E0C"/>
    <w:rsid w:val="00D30D5B"/>
    <w:rsid w:val="00D31011"/>
    <w:rsid w:val="00D32515"/>
    <w:rsid w:val="00D332F3"/>
    <w:rsid w:val="00D334DB"/>
    <w:rsid w:val="00D33BE9"/>
    <w:rsid w:val="00D33F93"/>
    <w:rsid w:val="00D344B5"/>
    <w:rsid w:val="00D357FF"/>
    <w:rsid w:val="00D358AF"/>
    <w:rsid w:val="00D424C7"/>
    <w:rsid w:val="00D43B2A"/>
    <w:rsid w:val="00D43CF1"/>
    <w:rsid w:val="00D43D83"/>
    <w:rsid w:val="00D44C1C"/>
    <w:rsid w:val="00D4594F"/>
    <w:rsid w:val="00D47575"/>
    <w:rsid w:val="00D51821"/>
    <w:rsid w:val="00D523ED"/>
    <w:rsid w:val="00D5243B"/>
    <w:rsid w:val="00D533EC"/>
    <w:rsid w:val="00D5344F"/>
    <w:rsid w:val="00D53AF3"/>
    <w:rsid w:val="00D548E8"/>
    <w:rsid w:val="00D54B51"/>
    <w:rsid w:val="00D5619B"/>
    <w:rsid w:val="00D56A95"/>
    <w:rsid w:val="00D57653"/>
    <w:rsid w:val="00D60666"/>
    <w:rsid w:val="00D6076E"/>
    <w:rsid w:val="00D60EC9"/>
    <w:rsid w:val="00D619F1"/>
    <w:rsid w:val="00D62EE4"/>
    <w:rsid w:val="00D63284"/>
    <w:rsid w:val="00D63F30"/>
    <w:rsid w:val="00D645C0"/>
    <w:rsid w:val="00D66A8A"/>
    <w:rsid w:val="00D676AA"/>
    <w:rsid w:val="00D70F16"/>
    <w:rsid w:val="00D72541"/>
    <w:rsid w:val="00D72617"/>
    <w:rsid w:val="00D72F57"/>
    <w:rsid w:val="00D73A52"/>
    <w:rsid w:val="00D74088"/>
    <w:rsid w:val="00D76A44"/>
    <w:rsid w:val="00D8022C"/>
    <w:rsid w:val="00D80879"/>
    <w:rsid w:val="00D80A21"/>
    <w:rsid w:val="00D815EF"/>
    <w:rsid w:val="00D81949"/>
    <w:rsid w:val="00D81F26"/>
    <w:rsid w:val="00D822E2"/>
    <w:rsid w:val="00D83F3F"/>
    <w:rsid w:val="00D843F2"/>
    <w:rsid w:val="00D86231"/>
    <w:rsid w:val="00D8654E"/>
    <w:rsid w:val="00D912AB"/>
    <w:rsid w:val="00D91923"/>
    <w:rsid w:val="00D93753"/>
    <w:rsid w:val="00D95A20"/>
    <w:rsid w:val="00D96733"/>
    <w:rsid w:val="00D97129"/>
    <w:rsid w:val="00D97F8D"/>
    <w:rsid w:val="00DA1835"/>
    <w:rsid w:val="00DA3167"/>
    <w:rsid w:val="00DA4567"/>
    <w:rsid w:val="00DA4DC3"/>
    <w:rsid w:val="00DA77A5"/>
    <w:rsid w:val="00DB09B5"/>
    <w:rsid w:val="00DB09DF"/>
    <w:rsid w:val="00DB0E36"/>
    <w:rsid w:val="00DB20D0"/>
    <w:rsid w:val="00DB3DBF"/>
    <w:rsid w:val="00DB484F"/>
    <w:rsid w:val="00DB5E28"/>
    <w:rsid w:val="00DB5F4B"/>
    <w:rsid w:val="00DB63F9"/>
    <w:rsid w:val="00DB66D1"/>
    <w:rsid w:val="00DB67E7"/>
    <w:rsid w:val="00DB77D9"/>
    <w:rsid w:val="00DC04F6"/>
    <w:rsid w:val="00DC0690"/>
    <w:rsid w:val="00DC16DA"/>
    <w:rsid w:val="00DC1B96"/>
    <w:rsid w:val="00DC1D65"/>
    <w:rsid w:val="00DC25A7"/>
    <w:rsid w:val="00DC3026"/>
    <w:rsid w:val="00DC3C57"/>
    <w:rsid w:val="00DC3D25"/>
    <w:rsid w:val="00DC5501"/>
    <w:rsid w:val="00DC5A84"/>
    <w:rsid w:val="00DC5D2E"/>
    <w:rsid w:val="00DC5DE4"/>
    <w:rsid w:val="00DC7154"/>
    <w:rsid w:val="00DC7722"/>
    <w:rsid w:val="00DC7E8A"/>
    <w:rsid w:val="00DD0F78"/>
    <w:rsid w:val="00DD273C"/>
    <w:rsid w:val="00DD3731"/>
    <w:rsid w:val="00DD3F28"/>
    <w:rsid w:val="00DD4119"/>
    <w:rsid w:val="00DD4446"/>
    <w:rsid w:val="00DD4537"/>
    <w:rsid w:val="00DD4E15"/>
    <w:rsid w:val="00DD5711"/>
    <w:rsid w:val="00DD5D99"/>
    <w:rsid w:val="00DD67A2"/>
    <w:rsid w:val="00DD78BF"/>
    <w:rsid w:val="00DE2304"/>
    <w:rsid w:val="00DE26D1"/>
    <w:rsid w:val="00DE3138"/>
    <w:rsid w:val="00DE37F8"/>
    <w:rsid w:val="00DE4273"/>
    <w:rsid w:val="00DE4FCB"/>
    <w:rsid w:val="00DE5CDF"/>
    <w:rsid w:val="00DE5D07"/>
    <w:rsid w:val="00DE5F13"/>
    <w:rsid w:val="00DE72A7"/>
    <w:rsid w:val="00DE7435"/>
    <w:rsid w:val="00DE7832"/>
    <w:rsid w:val="00DE7975"/>
    <w:rsid w:val="00DF04FA"/>
    <w:rsid w:val="00DF18FC"/>
    <w:rsid w:val="00DF2340"/>
    <w:rsid w:val="00DF37AE"/>
    <w:rsid w:val="00DF48FD"/>
    <w:rsid w:val="00DF5636"/>
    <w:rsid w:val="00DF5D2B"/>
    <w:rsid w:val="00DF6341"/>
    <w:rsid w:val="00E00E8E"/>
    <w:rsid w:val="00E01B00"/>
    <w:rsid w:val="00E046E9"/>
    <w:rsid w:val="00E05630"/>
    <w:rsid w:val="00E06DBB"/>
    <w:rsid w:val="00E07ABF"/>
    <w:rsid w:val="00E10149"/>
    <w:rsid w:val="00E1131C"/>
    <w:rsid w:val="00E11340"/>
    <w:rsid w:val="00E122A1"/>
    <w:rsid w:val="00E13DBC"/>
    <w:rsid w:val="00E13DE6"/>
    <w:rsid w:val="00E15225"/>
    <w:rsid w:val="00E16372"/>
    <w:rsid w:val="00E1661A"/>
    <w:rsid w:val="00E16AD8"/>
    <w:rsid w:val="00E17FFA"/>
    <w:rsid w:val="00E20E4D"/>
    <w:rsid w:val="00E20ED6"/>
    <w:rsid w:val="00E21358"/>
    <w:rsid w:val="00E21765"/>
    <w:rsid w:val="00E22174"/>
    <w:rsid w:val="00E2249B"/>
    <w:rsid w:val="00E22A0D"/>
    <w:rsid w:val="00E24156"/>
    <w:rsid w:val="00E244F6"/>
    <w:rsid w:val="00E25551"/>
    <w:rsid w:val="00E258DB"/>
    <w:rsid w:val="00E2600A"/>
    <w:rsid w:val="00E260CD"/>
    <w:rsid w:val="00E2771E"/>
    <w:rsid w:val="00E30355"/>
    <w:rsid w:val="00E30B22"/>
    <w:rsid w:val="00E311EF"/>
    <w:rsid w:val="00E32180"/>
    <w:rsid w:val="00E333C5"/>
    <w:rsid w:val="00E341A8"/>
    <w:rsid w:val="00E34948"/>
    <w:rsid w:val="00E35C41"/>
    <w:rsid w:val="00E36A08"/>
    <w:rsid w:val="00E3749D"/>
    <w:rsid w:val="00E37569"/>
    <w:rsid w:val="00E40005"/>
    <w:rsid w:val="00E401B2"/>
    <w:rsid w:val="00E41E30"/>
    <w:rsid w:val="00E41EC2"/>
    <w:rsid w:val="00E42751"/>
    <w:rsid w:val="00E42B22"/>
    <w:rsid w:val="00E42F73"/>
    <w:rsid w:val="00E432F7"/>
    <w:rsid w:val="00E43D70"/>
    <w:rsid w:val="00E43EFD"/>
    <w:rsid w:val="00E44788"/>
    <w:rsid w:val="00E466F3"/>
    <w:rsid w:val="00E471DF"/>
    <w:rsid w:val="00E47B2C"/>
    <w:rsid w:val="00E51560"/>
    <w:rsid w:val="00E51821"/>
    <w:rsid w:val="00E51F33"/>
    <w:rsid w:val="00E5244C"/>
    <w:rsid w:val="00E53D8A"/>
    <w:rsid w:val="00E53FC8"/>
    <w:rsid w:val="00E54347"/>
    <w:rsid w:val="00E55424"/>
    <w:rsid w:val="00E554C5"/>
    <w:rsid w:val="00E554F4"/>
    <w:rsid w:val="00E55915"/>
    <w:rsid w:val="00E55BB5"/>
    <w:rsid w:val="00E57043"/>
    <w:rsid w:val="00E601E9"/>
    <w:rsid w:val="00E611DF"/>
    <w:rsid w:val="00E61555"/>
    <w:rsid w:val="00E61BA8"/>
    <w:rsid w:val="00E623CC"/>
    <w:rsid w:val="00E62810"/>
    <w:rsid w:val="00E628F1"/>
    <w:rsid w:val="00E634CB"/>
    <w:rsid w:val="00E6380E"/>
    <w:rsid w:val="00E63EB2"/>
    <w:rsid w:val="00E64681"/>
    <w:rsid w:val="00E65511"/>
    <w:rsid w:val="00E65E79"/>
    <w:rsid w:val="00E66A10"/>
    <w:rsid w:val="00E66BA2"/>
    <w:rsid w:val="00E67375"/>
    <w:rsid w:val="00E67416"/>
    <w:rsid w:val="00E677DE"/>
    <w:rsid w:val="00E70026"/>
    <w:rsid w:val="00E70686"/>
    <w:rsid w:val="00E718B6"/>
    <w:rsid w:val="00E71F9A"/>
    <w:rsid w:val="00E72367"/>
    <w:rsid w:val="00E723BA"/>
    <w:rsid w:val="00E73581"/>
    <w:rsid w:val="00E74527"/>
    <w:rsid w:val="00E80815"/>
    <w:rsid w:val="00E833F7"/>
    <w:rsid w:val="00E83ADC"/>
    <w:rsid w:val="00E83BDF"/>
    <w:rsid w:val="00E83DD2"/>
    <w:rsid w:val="00E848D9"/>
    <w:rsid w:val="00E86FCC"/>
    <w:rsid w:val="00E8733D"/>
    <w:rsid w:val="00E875D9"/>
    <w:rsid w:val="00E87A1D"/>
    <w:rsid w:val="00E904D7"/>
    <w:rsid w:val="00E9094A"/>
    <w:rsid w:val="00E90DBB"/>
    <w:rsid w:val="00E91D35"/>
    <w:rsid w:val="00E926A5"/>
    <w:rsid w:val="00E94043"/>
    <w:rsid w:val="00E948C1"/>
    <w:rsid w:val="00E962CC"/>
    <w:rsid w:val="00E97984"/>
    <w:rsid w:val="00EA06BF"/>
    <w:rsid w:val="00EA0AAF"/>
    <w:rsid w:val="00EA1740"/>
    <w:rsid w:val="00EA17C3"/>
    <w:rsid w:val="00EA2CAA"/>
    <w:rsid w:val="00EA3864"/>
    <w:rsid w:val="00EA4276"/>
    <w:rsid w:val="00EA4D43"/>
    <w:rsid w:val="00EA577D"/>
    <w:rsid w:val="00EA5A23"/>
    <w:rsid w:val="00EA6D4A"/>
    <w:rsid w:val="00EA7F1C"/>
    <w:rsid w:val="00EB14FD"/>
    <w:rsid w:val="00EB15B6"/>
    <w:rsid w:val="00EB2754"/>
    <w:rsid w:val="00EB28DC"/>
    <w:rsid w:val="00EB3D06"/>
    <w:rsid w:val="00EB3DBE"/>
    <w:rsid w:val="00EB4916"/>
    <w:rsid w:val="00EB5336"/>
    <w:rsid w:val="00EC00C9"/>
    <w:rsid w:val="00EC00F4"/>
    <w:rsid w:val="00EC0AFB"/>
    <w:rsid w:val="00EC0DD9"/>
    <w:rsid w:val="00EC194F"/>
    <w:rsid w:val="00EC2649"/>
    <w:rsid w:val="00EC31ED"/>
    <w:rsid w:val="00EC3CAA"/>
    <w:rsid w:val="00EC4E51"/>
    <w:rsid w:val="00EC5836"/>
    <w:rsid w:val="00EC5EF5"/>
    <w:rsid w:val="00EC688C"/>
    <w:rsid w:val="00ED015A"/>
    <w:rsid w:val="00ED0D74"/>
    <w:rsid w:val="00ED10F4"/>
    <w:rsid w:val="00ED12E3"/>
    <w:rsid w:val="00ED217B"/>
    <w:rsid w:val="00ED334E"/>
    <w:rsid w:val="00ED4B04"/>
    <w:rsid w:val="00ED57EA"/>
    <w:rsid w:val="00ED5B40"/>
    <w:rsid w:val="00ED5BD4"/>
    <w:rsid w:val="00ED650E"/>
    <w:rsid w:val="00EE07D3"/>
    <w:rsid w:val="00EE0BC8"/>
    <w:rsid w:val="00EE0F6B"/>
    <w:rsid w:val="00EE1996"/>
    <w:rsid w:val="00EE1C01"/>
    <w:rsid w:val="00EE1DA7"/>
    <w:rsid w:val="00EE1DAD"/>
    <w:rsid w:val="00EE2251"/>
    <w:rsid w:val="00EE22AF"/>
    <w:rsid w:val="00EE377F"/>
    <w:rsid w:val="00EE472C"/>
    <w:rsid w:val="00EE4CBD"/>
    <w:rsid w:val="00EE61A9"/>
    <w:rsid w:val="00EF0171"/>
    <w:rsid w:val="00EF1B25"/>
    <w:rsid w:val="00EF1DA0"/>
    <w:rsid w:val="00EF27DF"/>
    <w:rsid w:val="00EF2C2E"/>
    <w:rsid w:val="00EF4513"/>
    <w:rsid w:val="00EF465A"/>
    <w:rsid w:val="00EF4747"/>
    <w:rsid w:val="00EF4BF8"/>
    <w:rsid w:val="00EF5265"/>
    <w:rsid w:val="00EF6E0C"/>
    <w:rsid w:val="00F00684"/>
    <w:rsid w:val="00F00751"/>
    <w:rsid w:val="00F02253"/>
    <w:rsid w:val="00F02E17"/>
    <w:rsid w:val="00F0390E"/>
    <w:rsid w:val="00F03C2E"/>
    <w:rsid w:val="00F04A66"/>
    <w:rsid w:val="00F04B4B"/>
    <w:rsid w:val="00F0516C"/>
    <w:rsid w:val="00F05A37"/>
    <w:rsid w:val="00F067A2"/>
    <w:rsid w:val="00F06F3A"/>
    <w:rsid w:val="00F06F76"/>
    <w:rsid w:val="00F07B9E"/>
    <w:rsid w:val="00F10F6C"/>
    <w:rsid w:val="00F1116F"/>
    <w:rsid w:val="00F1263A"/>
    <w:rsid w:val="00F139C5"/>
    <w:rsid w:val="00F13F09"/>
    <w:rsid w:val="00F14000"/>
    <w:rsid w:val="00F15B77"/>
    <w:rsid w:val="00F167A9"/>
    <w:rsid w:val="00F16A81"/>
    <w:rsid w:val="00F16C66"/>
    <w:rsid w:val="00F17292"/>
    <w:rsid w:val="00F1774F"/>
    <w:rsid w:val="00F20187"/>
    <w:rsid w:val="00F21236"/>
    <w:rsid w:val="00F21769"/>
    <w:rsid w:val="00F222FF"/>
    <w:rsid w:val="00F22F10"/>
    <w:rsid w:val="00F2381C"/>
    <w:rsid w:val="00F239DF"/>
    <w:rsid w:val="00F23EC6"/>
    <w:rsid w:val="00F23F0D"/>
    <w:rsid w:val="00F23F82"/>
    <w:rsid w:val="00F24837"/>
    <w:rsid w:val="00F2575F"/>
    <w:rsid w:val="00F25BB0"/>
    <w:rsid w:val="00F261CA"/>
    <w:rsid w:val="00F27565"/>
    <w:rsid w:val="00F30695"/>
    <w:rsid w:val="00F308DC"/>
    <w:rsid w:val="00F310D4"/>
    <w:rsid w:val="00F31D51"/>
    <w:rsid w:val="00F31D5A"/>
    <w:rsid w:val="00F31F29"/>
    <w:rsid w:val="00F32611"/>
    <w:rsid w:val="00F33975"/>
    <w:rsid w:val="00F33DE9"/>
    <w:rsid w:val="00F347C7"/>
    <w:rsid w:val="00F35320"/>
    <w:rsid w:val="00F35E6D"/>
    <w:rsid w:val="00F3619A"/>
    <w:rsid w:val="00F37481"/>
    <w:rsid w:val="00F40AAA"/>
    <w:rsid w:val="00F40BA7"/>
    <w:rsid w:val="00F40ED2"/>
    <w:rsid w:val="00F40F9D"/>
    <w:rsid w:val="00F41ACD"/>
    <w:rsid w:val="00F41F0F"/>
    <w:rsid w:val="00F422D1"/>
    <w:rsid w:val="00F438EB"/>
    <w:rsid w:val="00F43A09"/>
    <w:rsid w:val="00F45A30"/>
    <w:rsid w:val="00F4689B"/>
    <w:rsid w:val="00F46CB6"/>
    <w:rsid w:val="00F4756D"/>
    <w:rsid w:val="00F475D4"/>
    <w:rsid w:val="00F47DE8"/>
    <w:rsid w:val="00F47E3D"/>
    <w:rsid w:val="00F53474"/>
    <w:rsid w:val="00F542C1"/>
    <w:rsid w:val="00F550E3"/>
    <w:rsid w:val="00F555FB"/>
    <w:rsid w:val="00F55E73"/>
    <w:rsid w:val="00F55EDA"/>
    <w:rsid w:val="00F55FA9"/>
    <w:rsid w:val="00F56182"/>
    <w:rsid w:val="00F56C80"/>
    <w:rsid w:val="00F57FCB"/>
    <w:rsid w:val="00F60092"/>
    <w:rsid w:val="00F61C18"/>
    <w:rsid w:val="00F65F09"/>
    <w:rsid w:val="00F65F4B"/>
    <w:rsid w:val="00F66236"/>
    <w:rsid w:val="00F66B8E"/>
    <w:rsid w:val="00F67A69"/>
    <w:rsid w:val="00F70BFF"/>
    <w:rsid w:val="00F70C9D"/>
    <w:rsid w:val="00F723FE"/>
    <w:rsid w:val="00F72E02"/>
    <w:rsid w:val="00F73E08"/>
    <w:rsid w:val="00F7493E"/>
    <w:rsid w:val="00F74CC2"/>
    <w:rsid w:val="00F74CD9"/>
    <w:rsid w:val="00F74F4F"/>
    <w:rsid w:val="00F77505"/>
    <w:rsid w:val="00F77879"/>
    <w:rsid w:val="00F80A7B"/>
    <w:rsid w:val="00F80E5D"/>
    <w:rsid w:val="00F81C8F"/>
    <w:rsid w:val="00F81E78"/>
    <w:rsid w:val="00F83624"/>
    <w:rsid w:val="00F83916"/>
    <w:rsid w:val="00F84CE8"/>
    <w:rsid w:val="00F851CE"/>
    <w:rsid w:val="00F8681D"/>
    <w:rsid w:val="00F8716B"/>
    <w:rsid w:val="00F879F8"/>
    <w:rsid w:val="00F908E5"/>
    <w:rsid w:val="00F91219"/>
    <w:rsid w:val="00F91B07"/>
    <w:rsid w:val="00F92444"/>
    <w:rsid w:val="00F934AD"/>
    <w:rsid w:val="00F9393E"/>
    <w:rsid w:val="00F941A8"/>
    <w:rsid w:val="00F94E61"/>
    <w:rsid w:val="00F94F5C"/>
    <w:rsid w:val="00F96941"/>
    <w:rsid w:val="00F96FD0"/>
    <w:rsid w:val="00F97A78"/>
    <w:rsid w:val="00FA03BE"/>
    <w:rsid w:val="00FA0B20"/>
    <w:rsid w:val="00FA1E1C"/>
    <w:rsid w:val="00FA24E7"/>
    <w:rsid w:val="00FA2A25"/>
    <w:rsid w:val="00FA457B"/>
    <w:rsid w:val="00FA5E17"/>
    <w:rsid w:val="00FA5EE6"/>
    <w:rsid w:val="00FA6D7E"/>
    <w:rsid w:val="00FA7956"/>
    <w:rsid w:val="00FA7D07"/>
    <w:rsid w:val="00FB0824"/>
    <w:rsid w:val="00FB16AC"/>
    <w:rsid w:val="00FB1C32"/>
    <w:rsid w:val="00FB2FCB"/>
    <w:rsid w:val="00FB35C5"/>
    <w:rsid w:val="00FB39A7"/>
    <w:rsid w:val="00FB4C9C"/>
    <w:rsid w:val="00FB6A4F"/>
    <w:rsid w:val="00FB6B28"/>
    <w:rsid w:val="00FB7C55"/>
    <w:rsid w:val="00FC0390"/>
    <w:rsid w:val="00FC1074"/>
    <w:rsid w:val="00FC1463"/>
    <w:rsid w:val="00FC1884"/>
    <w:rsid w:val="00FC23CC"/>
    <w:rsid w:val="00FC264D"/>
    <w:rsid w:val="00FC371D"/>
    <w:rsid w:val="00FC4C6B"/>
    <w:rsid w:val="00FC4FDC"/>
    <w:rsid w:val="00FC5EF2"/>
    <w:rsid w:val="00FC5F0B"/>
    <w:rsid w:val="00FC677C"/>
    <w:rsid w:val="00FC69DC"/>
    <w:rsid w:val="00FC6D6B"/>
    <w:rsid w:val="00FD2100"/>
    <w:rsid w:val="00FD2410"/>
    <w:rsid w:val="00FD2616"/>
    <w:rsid w:val="00FD405F"/>
    <w:rsid w:val="00FD436C"/>
    <w:rsid w:val="00FD446D"/>
    <w:rsid w:val="00FD4497"/>
    <w:rsid w:val="00FD47FF"/>
    <w:rsid w:val="00FD4BD8"/>
    <w:rsid w:val="00FD4F2C"/>
    <w:rsid w:val="00FD6394"/>
    <w:rsid w:val="00FD7DAD"/>
    <w:rsid w:val="00FE0E6C"/>
    <w:rsid w:val="00FE1CDC"/>
    <w:rsid w:val="00FE1F11"/>
    <w:rsid w:val="00FE37A3"/>
    <w:rsid w:val="00FE46CA"/>
    <w:rsid w:val="00FE47D5"/>
    <w:rsid w:val="00FE5DCE"/>
    <w:rsid w:val="00FE70C3"/>
    <w:rsid w:val="00FF0079"/>
    <w:rsid w:val="00FF1A8B"/>
    <w:rsid w:val="00FF1BD8"/>
    <w:rsid w:val="00FF2682"/>
    <w:rsid w:val="00FF2AD9"/>
    <w:rsid w:val="00FF359F"/>
    <w:rsid w:val="00FF3DCF"/>
    <w:rsid w:val="00FF3E10"/>
    <w:rsid w:val="00FF439E"/>
    <w:rsid w:val="00FF492C"/>
    <w:rsid w:val="00FF4A21"/>
    <w:rsid w:val="00FF5AA3"/>
    <w:rsid w:val="00FF5AD8"/>
    <w:rsid w:val="00FF63FB"/>
    <w:rsid w:val="00FF6B69"/>
    <w:rsid w:val="00FF732D"/>
    <w:rsid w:val="00FF7B0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289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00B2"/>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Caption Char Char,Caption2,Caption Char Char Char Char Char,Caption Char Char1 Char,Caption Char1 Char1,Bayer Caption,IB Caption,Medical Caption,Caption Char1 Char,- H17,B Caption,Caption - H17,! Q,Caption Char2 Char,Caption Char Char Char2,Char"/>
    <w:basedOn w:val="Normal"/>
    <w:next w:val="Normal"/>
    <w:link w:val="CaptionChar"/>
    <w:uiPriority w:val="1"/>
    <w:unhideWhenUsed/>
    <w:qFormat/>
    <w:rsid w:val="00E16AD8"/>
    <w:pPr>
      <w:keepNext/>
      <w:keepLines/>
    </w:pPr>
    <w:rPr>
      <w:rFonts w:ascii="Arial Narrow" w:hAnsi="Arial Narrow"/>
      <w:b/>
      <w:bCs/>
      <w:sz w:val="20"/>
      <w:szCs w:val="18"/>
    </w:rPr>
  </w:style>
  <w:style w:type="character" w:customStyle="1" w:styleId="CaptionChar">
    <w:name w:val="Caption Char"/>
    <w:aliases w:val="Caption Char Char Char,Caption2 Char,Caption Char Char Char Char Char Char,Caption Char Char1 Char Char,Caption Char1 Char1 Char,Bayer Caption Char,IB Caption Char,Medical Caption Char,Caption Char1 Char Char,- H17 Char,B Caption Char"/>
    <w:link w:val="Caption"/>
    <w:uiPriority w:val="1"/>
    <w:qFormat/>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1. Bullet Blank,Bullet1,Bulleted - 2,Bullets Points,ES Paragraph,PBAC ES Paragraph,PBAC normal points"/>
    <w:next w:val="ListBullet"/>
    <w:link w:val="ListParagraphChar"/>
    <w:uiPriority w:val="34"/>
    <w:qFormat/>
    <w:rsid w:val="00BB00B3"/>
    <w:p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1. Bullet Blank Char,Bullet1 Char,Bulleted - 2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PBAC table,HTAtableplain,Lash Style Table,PHE Table Grid,MSD Table Grid,new style,Dossier table,Section 3- footnotes,Summary Table,RTI AMCP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H18,Table HEADER PBAC"/>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3-BodyText"/>
    <w:qFormat/>
    <w:rsid w:val="00461D53"/>
    <w:pPr>
      <w:numPr>
        <w:ilvl w:val="0"/>
        <w:numId w:val="12"/>
      </w:numPr>
      <w:ind w:left="1134"/>
    </w:pPr>
    <w:rPr>
      <w:rFonts w:eastAsia="Calibri"/>
    </w:r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link w:val="ListBulletChar"/>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02063B"/>
    <w:rPr>
      <w:sz w:val="20"/>
      <w:szCs w:val="20"/>
    </w:rPr>
  </w:style>
  <w:style w:type="character" w:customStyle="1" w:styleId="FootnoteTextChar">
    <w:name w:val="Footnote Text Char"/>
    <w:basedOn w:val="DefaultParagraphFont"/>
    <w:link w:val="FootnoteText"/>
    <w:semiHidden/>
    <w:rsid w:val="0002063B"/>
    <w:rPr>
      <w:rFonts w:ascii="Calibri" w:hAnsi="Calibri" w:cs="Arial"/>
    </w:rPr>
  </w:style>
  <w:style w:type="character" w:styleId="FootnoteReference">
    <w:name w:val="footnote reference"/>
    <w:basedOn w:val="DefaultParagraphFont"/>
    <w:semiHidden/>
    <w:unhideWhenUsed/>
    <w:rsid w:val="0002063B"/>
    <w:rPr>
      <w:vertAlign w:val="superscript"/>
    </w:rPr>
  </w:style>
  <w:style w:type="paragraph" w:customStyle="1" w:styleId="Tablenotes">
    <w:name w:val="Table notes"/>
    <w:basedOn w:val="Normal"/>
    <w:link w:val="TablenotesChar"/>
    <w:qFormat/>
    <w:rsid w:val="00F66B8E"/>
    <w:pPr>
      <w:jc w:val="left"/>
    </w:pPr>
    <w:rPr>
      <w:rFonts w:ascii="Trebuchet MS" w:hAnsi="Trebuchet MS" w:cs="Times New Roman"/>
      <w:sz w:val="16"/>
      <w:szCs w:val="20"/>
      <w:lang w:eastAsia="en-US"/>
    </w:rPr>
  </w:style>
  <w:style w:type="character" w:customStyle="1" w:styleId="TablenotesChar">
    <w:name w:val="Table notes Char"/>
    <w:basedOn w:val="DefaultParagraphFont"/>
    <w:link w:val="Tablenotes"/>
    <w:rsid w:val="00F66B8E"/>
    <w:rPr>
      <w:rFonts w:ascii="Trebuchet MS" w:hAnsi="Trebuchet MS"/>
      <w:sz w:val="16"/>
      <w:lang w:eastAsia="en-US"/>
    </w:rPr>
  </w:style>
  <w:style w:type="paragraph" w:customStyle="1" w:styleId="EndNoteBibliographyTitle">
    <w:name w:val="EndNote Bibliography Title"/>
    <w:basedOn w:val="Normal"/>
    <w:link w:val="EndNoteBibliographyTitleChar"/>
    <w:rsid w:val="002B44EC"/>
    <w:pPr>
      <w:jc w:val="center"/>
    </w:pPr>
    <w:rPr>
      <w:rFonts w:cs="Calibri"/>
      <w:noProof/>
    </w:rPr>
  </w:style>
  <w:style w:type="character" w:customStyle="1" w:styleId="ListBulletChar">
    <w:name w:val="List Bullet Char"/>
    <w:basedOn w:val="DefaultParagraphFont"/>
    <w:link w:val="ListBullet"/>
    <w:rsid w:val="002B44EC"/>
    <w:rPr>
      <w:rFonts w:ascii="Calibri" w:hAnsi="Calibri" w:cs="Arial"/>
      <w:sz w:val="24"/>
      <w:szCs w:val="24"/>
    </w:rPr>
  </w:style>
  <w:style w:type="character" w:customStyle="1" w:styleId="EndNoteBibliographyTitleChar">
    <w:name w:val="EndNote Bibliography Title Char"/>
    <w:basedOn w:val="ListBulletChar"/>
    <w:link w:val="EndNoteBibliographyTitle"/>
    <w:rsid w:val="002B44EC"/>
    <w:rPr>
      <w:rFonts w:ascii="Calibri" w:hAnsi="Calibri" w:cs="Calibri"/>
      <w:noProof/>
      <w:sz w:val="24"/>
      <w:szCs w:val="24"/>
    </w:rPr>
  </w:style>
  <w:style w:type="paragraph" w:customStyle="1" w:styleId="EndNoteBibliography">
    <w:name w:val="EndNote Bibliography"/>
    <w:basedOn w:val="Normal"/>
    <w:link w:val="EndNoteBibliographyChar"/>
    <w:rsid w:val="002B44EC"/>
    <w:rPr>
      <w:rFonts w:cs="Calibri"/>
      <w:noProof/>
    </w:rPr>
  </w:style>
  <w:style w:type="character" w:customStyle="1" w:styleId="EndNoteBibliographyChar">
    <w:name w:val="EndNote Bibliography Char"/>
    <w:basedOn w:val="ListBulletChar"/>
    <w:link w:val="EndNoteBibliography"/>
    <w:rsid w:val="002B44EC"/>
    <w:rPr>
      <w:rFonts w:ascii="Calibri" w:hAnsi="Calibri" w:cs="Calibri"/>
      <w:noProof/>
      <w:sz w:val="24"/>
      <w:szCs w:val="24"/>
    </w:rPr>
  </w:style>
  <w:style w:type="table" w:styleId="PlainTable5">
    <w:name w:val="Plain Table 5"/>
    <w:basedOn w:val="TableNormal"/>
    <w:uiPriority w:val="45"/>
    <w:rsid w:val="000C63C0"/>
    <w:rPr>
      <w:rFonts w:ascii="Calibri" w:eastAsiaTheme="minorEastAsia" w:hAnsi="Calibri"/>
      <w:lang w:val="en-US"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BMSBodyText">
    <w:name w:val="BMS Body Text"/>
    <w:link w:val="BMSBodyTextChar"/>
    <w:qFormat/>
    <w:rsid w:val="000C63C0"/>
    <w:pPr>
      <w:spacing w:after="120" w:line="264" w:lineRule="auto"/>
      <w:jc w:val="both"/>
    </w:pPr>
    <w:rPr>
      <w:rFonts w:eastAsia="MS Mincho"/>
      <w:color w:val="000000"/>
      <w:sz w:val="24"/>
      <w:lang w:val="en-US" w:eastAsia="en-US"/>
    </w:rPr>
  </w:style>
  <w:style w:type="character" w:customStyle="1" w:styleId="BMSBodyTextChar">
    <w:name w:val="BMS Body Text Char"/>
    <w:link w:val="BMSBodyText"/>
    <w:rsid w:val="000C63C0"/>
    <w:rPr>
      <w:rFonts w:eastAsia="MS Mincho"/>
      <w:color w:val="000000"/>
      <w:sz w:val="24"/>
      <w:lang w:val="en-US" w:eastAsia="en-US"/>
    </w:rPr>
  </w:style>
  <w:style w:type="paragraph" w:customStyle="1" w:styleId="TableFigureFooter">
    <w:name w:val="Table/Figure Footer"/>
    <w:basedOn w:val="Normal"/>
    <w:link w:val="TableFigureFooterChar"/>
    <w:qFormat/>
    <w:rsid w:val="00BD615A"/>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BD615A"/>
    <w:rPr>
      <w:rFonts w:ascii="Arial Narrow" w:hAnsi="Arial Narrow" w:cs="Arial"/>
      <w:snapToGrid w:val="0"/>
      <w:sz w:val="18"/>
      <w:szCs w:val="22"/>
    </w:rPr>
  </w:style>
  <w:style w:type="table" w:styleId="TableClassic1">
    <w:name w:val="Table Classic 1"/>
    <w:basedOn w:val="TableNormal"/>
    <w:rsid w:val="0052098E"/>
    <w:rPr>
      <w:rFonts w:eastAsia="MS Mincho"/>
      <w:lang w:val="en-US" w:eastAsia="ja-JP"/>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ASDTable2">
    <w:name w:val="ASD Table2"/>
    <w:basedOn w:val="TableNormal"/>
    <w:next w:val="TableGrid"/>
    <w:uiPriority w:val="39"/>
    <w:rsid w:val="00BD59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STableText">
    <w:name w:val="BMS Table Text"/>
    <w:basedOn w:val="Normal"/>
    <w:link w:val="BMSTableTextChar"/>
    <w:uiPriority w:val="1"/>
    <w:rsid w:val="00885DC0"/>
    <w:pPr>
      <w:tabs>
        <w:tab w:val="left" w:pos="360"/>
      </w:tabs>
      <w:spacing w:before="60" w:after="60" w:line="276" w:lineRule="auto"/>
      <w:jc w:val="center"/>
    </w:pPr>
    <w:rPr>
      <w:rFonts w:ascii="Times New Roman" w:hAnsi="Times New Roman" w:cs="Times New Roman"/>
      <w:sz w:val="20"/>
      <w:szCs w:val="20"/>
      <w:lang w:eastAsia="en-US"/>
    </w:rPr>
  </w:style>
  <w:style w:type="character" w:customStyle="1" w:styleId="BMSTableTextChar">
    <w:name w:val="BMS Table Text Char"/>
    <w:basedOn w:val="DefaultParagraphFont"/>
    <w:link w:val="BMSTableText"/>
    <w:uiPriority w:val="1"/>
    <w:rsid w:val="00885DC0"/>
    <w:rPr>
      <w:lang w:eastAsia="en-US"/>
    </w:rPr>
  </w:style>
  <w:style w:type="paragraph" w:customStyle="1" w:styleId="Tablebold">
    <w:name w:val="Table bold"/>
    <w:basedOn w:val="Tabletext"/>
    <w:uiPriority w:val="99"/>
    <w:qFormat/>
    <w:rsid w:val="00B01D8A"/>
    <w:pPr>
      <w:keepNext/>
      <w:keepLines/>
      <w:spacing w:before="60" w:after="60"/>
    </w:pPr>
    <w:rPr>
      <w:rFonts w:ascii="Verdana" w:eastAsia="Calibri" w:hAnsi="Verdana"/>
      <w:b/>
      <w:snapToGrid/>
      <w:sz w:val="18"/>
      <w:szCs w:val="22"/>
      <w:lang w:eastAsia="en-US"/>
    </w:rPr>
  </w:style>
  <w:style w:type="character" w:customStyle="1" w:styleId="UnresolvedMention1">
    <w:name w:val="Unresolved Mention1"/>
    <w:basedOn w:val="DefaultParagraphFont"/>
    <w:uiPriority w:val="99"/>
    <w:semiHidden/>
    <w:unhideWhenUsed/>
    <w:rsid w:val="00C00EAD"/>
    <w:rPr>
      <w:color w:val="605E5C"/>
      <w:shd w:val="clear" w:color="auto" w:fill="E1DFDD"/>
    </w:rPr>
  </w:style>
  <w:style w:type="paragraph" w:customStyle="1" w:styleId="TableText1">
    <w:name w:val="TableText"/>
    <w:basedOn w:val="Normal"/>
    <w:link w:val="TableTextChar1"/>
    <w:uiPriority w:val="3"/>
    <w:qFormat/>
    <w:rsid w:val="003C7C6B"/>
    <w:pPr>
      <w:spacing w:before="20" w:after="20"/>
      <w:jc w:val="left"/>
    </w:pPr>
    <w:rPr>
      <w:rFonts w:cs="Calibri"/>
      <w:bCs/>
      <w:sz w:val="20"/>
      <w:szCs w:val="20"/>
      <w:lang w:eastAsia="zh-CN"/>
    </w:rPr>
  </w:style>
  <w:style w:type="character" w:customStyle="1" w:styleId="TableTextChar1">
    <w:name w:val="TableText Char"/>
    <w:basedOn w:val="DefaultParagraphFont"/>
    <w:link w:val="TableText1"/>
    <w:uiPriority w:val="3"/>
    <w:rsid w:val="003C7C6B"/>
    <w:rPr>
      <w:rFonts w:ascii="Calibri" w:hAnsi="Calibri" w:cs="Calibri"/>
      <w:bCs/>
      <w:lang w:eastAsia="zh-CN"/>
    </w:rPr>
  </w:style>
  <w:style w:type="table" w:customStyle="1" w:styleId="TableGrid1">
    <w:name w:val="Table Grid1"/>
    <w:basedOn w:val="TableNormal"/>
    <w:next w:val="TableGrid"/>
    <w:uiPriority w:val="39"/>
    <w:rsid w:val="003C7C6B"/>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ootnotesAbbreviations">
    <w:name w:val="Table Footnotes/Abbreviations"/>
    <w:basedOn w:val="Normal"/>
    <w:link w:val="TableFootnotesAbbreviationsChar"/>
    <w:qFormat/>
    <w:rsid w:val="003C7C6B"/>
    <w:pPr>
      <w:spacing w:before="60"/>
      <w:jc w:val="left"/>
    </w:pPr>
    <w:rPr>
      <w:rFonts w:ascii="Trebuchet MS" w:hAnsi="Trebuchet MS" w:cs="Times New Roman"/>
      <w:sz w:val="18"/>
      <w:szCs w:val="20"/>
      <w:lang w:eastAsia="en-US"/>
    </w:rPr>
  </w:style>
  <w:style w:type="character" w:customStyle="1" w:styleId="TableFootnotesAbbreviationsChar">
    <w:name w:val="Table Footnotes/Abbreviations Char"/>
    <w:basedOn w:val="DefaultParagraphFont"/>
    <w:link w:val="TableFootnotesAbbreviations"/>
    <w:rsid w:val="003C7C6B"/>
    <w:rPr>
      <w:rFonts w:ascii="Trebuchet MS" w:hAnsi="Trebuchet MS"/>
      <w:sz w:val="18"/>
      <w:lang w:eastAsia="en-US"/>
    </w:rPr>
  </w:style>
  <w:style w:type="paragraph" w:customStyle="1" w:styleId="FigureCaption">
    <w:name w:val="Figure Caption"/>
    <w:basedOn w:val="Caption"/>
    <w:link w:val="FigureCaptionChar"/>
    <w:qFormat/>
    <w:rsid w:val="003C7C6B"/>
    <w:pPr>
      <w:keepLines w:val="0"/>
      <w:spacing w:before="120" w:after="60"/>
      <w:ind w:left="1008" w:hanging="1008"/>
      <w:jc w:val="left"/>
    </w:pPr>
    <w:rPr>
      <w:rFonts w:ascii="Calibri Light" w:hAnsi="Calibri Light" w:cs="Times New Roman"/>
      <w:color w:val="FFFFFF" w:themeColor="background1"/>
      <w:sz w:val="24"/>
      <w:szCs w:val="24"/>
      <w:lang w:val="en-US" w:eastAsia="en-US"/>
    </w:rPr>
  </w:style>
  <w:style w:type="character" w:customStyle="1" w:styleId="FigureCaptionChar">
    <w:name w:val="Figure Caption Char"/>
    <w:basedOn w:val="DefaultParagraphFont"/>
    <w:link w:val="FigureCaption"/>
    <w:rsid w:val="003C7C6B"/>
    <w:rPr>
      <w:rFonts w:ascii="Calibri Light" w:hAnsi="Calibri Light"/>
      <w:b/>
      <w:bCs/>
      <w:color w:val="FFFFFF" w:themeColor="background1"/>
      <w:sz w:val="24"/>
      <w:szCs w:val="24"/>
      <w:lang w:val="en-US" w:eastAsia="en-US"/>
    </w:rPr>
  </w:style>
  <w:style w:type="table" w:customStyle="1" w:styleId="Eviera-2018">
    <w:name w:val="Eviera - 2018"/>
    <w:basedOn w:val="TableNormal"/>
    <w:uiPriority w:val="99"/>
    <w:qFormat/>
    <w:rsid w:val="003C7C6B"/>
    <w:pPr>
      <w:spacing w:before="40" w:after="40"/>
    </w:pPr>
    <w:rPr>
      <w:rFonts w:ascii="Calibri Light" w:eastAsiaTheme="minorHAnsi" w:hAnsi="Calibri Light" w:cstheme="minorBidi"/>
      <w:sz w:val="18"/>
      <w:szCs w:val="22"/>
      <w:lang w:val="en-US" w:eastAsia="en-US"/>
    </w:r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4" w:space="0" w:color="FFFFFF" w:themeColor="background1"/>
        <w:insideV w:val="single" w:sz="4" w:space="0" w:color="FFFFFF" w:themeColor="background1"/>
      </w:tblBorders>
    </w:tblPr>
    <w:tcPr>
      <w:shd w:val="clear" w:color="auto" w:fill="auto"/>
    </w:tcPr>
    <w:tblStylePr w:type="firstRow">
      <w:pPr>
        <w:jc w:val="center"/>
      </w:pPr>
      <w:rPr>
        <w:rFonts w:ascii="Calibri Light" w:hAnsi="Calibri Light"/>
        <w:b/>
        <w:color w:val="F79646" w:themeColor="accent6"/>
        <w:sz w:val="18"/>
      </w:rPr>
      <w:tblPr/>
      <w:trPr>
        <w:tblHeader/>
      </w:trPr>
      <w:tcPr>
        <w:shd w:val="clear" w:color="auto" w:fill="FFFFFF" w:themeFill="background1"/>
      </w:tcPr>
    </w:tblStylePr>
    <w:tblStylePr w:type="firstCol">
      <w:pPr>
        <w:jc w:val="left"/>
      </w:pPr>
      <w:tblPr/>
      <w:tcPr>
        <w:vAlign w:val="center"/>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Calibri Light" w:hAnsi="Calibri Light"/>
        <w:color w:val="FFFFFF" w:themeColor="background1"/>
        <w:sz w:val="18"/>
      </w:rPr>
      <w:tblPr/>
      <w:tcPr>
        <w:vAlign w:val="center"/>
      </w:tcPr>
    </w:tblStylePr>
  </w:style>
  <w:style w:type="table" w:styleId="GridTable4-Accent3">
    <w:name w:val="Grid Table 4 Accent 3"/>
    <w:basedOn w:val="TableNormal"/>
    <w:uiPriority w:val="49"/>
    <w:rsid w:val="003C7C6B"/>
    <w:rPr>
      <w:rFonts w:asciiTheme="minorHAnsi" w:eastAsiaTheme="minorHAnsi" w:hAnsiTheme="minorHAnsi" w:cstheme="minorBidi"/>
      <w:sz w:val="22"/>
      <w:szCs w:val="22"/>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PlaceholderText">
    <w:name w:val="Placeholder Text"/>
    <w:basedOn w:val="DefaultParagraphFont"/>
    <w:uiPriority w:val="99"/>
    <w:semiHidden/>
    <w:rsid w:val="003C7C6B"/>
    <w:rPr>
      <w:color w:val="808080"/>
    </w:rPr>
  </w:style>
  <w:style w:type="paragraph" w:customStyle="1" w:styleId="Tableheadingleft">
    <w:name w:val="Table heading left"/>
    <w:basedOn w:val="TableText0"/>
    <w:qFormat/>
    <w:rsid w:val="003C7C6B"/>
    <w:pPr>
      <w:keepNext w:val="0"/>
    </w:pPr>
    <w:rPr>
      <w:rFonts w:ascii="Trebuchet MS" w:eastAsiaTheme="minorHAnsi" w:hAnsi="Trebuchet MS" w:cs="Arial"/>
      <w:b/>
      <w:bCs w:val="0"/>
      <w:color w:val="000000"/>
      <w:szCs w:val="18"/>
      <w:lang w:eastAsia="en-US"/>
    </w:rPr>
  </w:style>
  <w:style w:type="table" w:customStyle="1" w:styleId="PBACtable9">
    <w:name w:val="PBAC table9"/>
    <w:basedOn w:val="TableNormal"/>
    <w:next w:val="TableGrid"/>
    <w:rsid w:val="003C7C6B"/>
    <w:rPr>
      <w:rFonts w:ascii="Trebuchet MS" w:eastAsiaTheme="minorHAnsi" w:hAnsi="Trebuchet MS"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C23AA7"/>
    <w:rPr>
      <w:color w:val="605E5C"/>
      <w:shd w:val="clear" w:color="auto" w:fill="E1DFDD"/>
    </w:rPr>
  </w:style>
  <w:style w:type="character" w:customStyle="1" w:styleId="UnresolvedMention3">
    <w:name w:val="Unresolved Mention3"/>
    <w:basedOn w:val="DefaultParagraphFont"/>
    <w:uiPriority w:val="99"/>
    <w:semiHidden/>
    <w:unhideWhenUsed/>
    <w:rsid w:val="00B042FC"/>
    <w:rPr>
      <w:color w:val="605E5C"/>
      <w:shd w:val="clear" w:color="auto" w:fill="E1DFDD"/>
    </w:rPr>
  </w:style>
  <w:style w:type="character" w:customStyle="1" w:styleId="UnresolvedMention4">
    <w:name w:val="Unresolved Mention4"/>
    <w:basedOn w:val="DefaultParagraphFont"/>
    <w:uiPriority w:val="99"/>
    <w:semiHidden/>
    <w:unhideWhenUsed/>
    <w:rsid w:val="00F2381C"/>
    <w:rPr>
      <w:color w:val="605E5C"/>
      <w:shd w:val="clear" w:color="auto" w:fill="E1DFDD"/>
    </w:rPr>
  </w:style>
  <w:style w:type="table" w:customStyle="1" w:styleId="newstyle1">
    <w:name w:val="new style1"/>
    <w:basedOn w:val="TableNormal"/>
    <w:next w:val="TableGrid"/>
    <w:rsid w:val="00CC7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7B39AB"/>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7B39AB"/>
    <w:rPr>
      <w:rFonts w:asciiTheme="minorHAnsi" w:eastAsiaTheme="majorEastAsia" w:hAnsiTheme="minorHAnsi" w:cstheme="majorBidi"/>
      <w:b/>
      <w:i/>
      <w:snapToGrid/>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93433592">
      <w:bodyDiv w:val="1"/>
      <w:marLeft w:val="0"/>
      <w:marRight w:val="0"/>
      <w:marTop w:val="0"/>
      <w:marBottom w:val="0"/>
      <w:divBdr>
        <w:top w:val="none" w:sz="0" w:space="0" w:color="auto"/>
        <w:left w:val="none" w:sz="0" w:space="0" w:color="auto"/>
        <w:bottom w:val="none" w:sz="0" w:space="0" w:color="auto"/>
        <w:right w:val="none" w:sz="0" w:space="0" w:color="auto"/>
      </w:divBdr>
    </w:div>
    <w:div w:id="423957156">
      <w:bodyDiv w:val="1"/>
      <w:marLeft w:val="0"/>
      <w:marRight w:val="0"/>
      <w:marTop w:val="0"/>
      <w:marBottom w:val="0"/>
      <w:divBdr>
        <w:top w:val="none" w:sz="0" w:space="0" w:color="auto"/>
        <w:left w:val="none" w:sz="0" w:space="0" w:color="auto"/>
        <w:bottom w:val="none" w:sz="0" w:space="0" w:color="auto"/>
        <w:right w:val="none" w:sz="0" w:space="0" w:color="auto"/>
      </w:divBdr>
    </w:div>
    <w:div w:id="575626383">
      <w:bodyDiv w:val="1"/>
      <w:marLeft w:val="0"/>
      <w:marRight w:val="0"/>
      <w:marTop w:val="0"/>
      <w:marBottom w:val="0"/>
      <w:divBdr>
        <w:top w:val="none" w:sz="0" w:space="0" w:color="auto"/>
        <w:left w:val="none" w:sz="0" w:space="0" w:color="auto"/>
        <w:bottom w:val="none" w:sz="0" w:space="0" w:color="auto"/>
        <w:right w:val="none" w:sz="0" w:space="0" w:color="auto"/>
      </w:divBdr>
    </w:div>
    <w:div w:id="607784636">
      <w:bodyDiv w:val="1"/>
      <w:marLeft w:val="0"/>
      <w:marRight w:val="0"/>
      <w:marTop w:val="0"/>
      <w:marBottom w:val="0"/>
      <w:divBdr>
        <w:top w:val="none" w:sz="0" w:space="0" w:color="auto"/>
        <w:left w:val="none" w:sz="0" w:space="0" w:color="auto"/>
        <w:bottom w:val="none" w:sz="0" w:space="0" w:color="auto"/>
        <w:right w:val="none" w:sz="0" w:space="0" w:color="auto"/>
      </w:divBdr>
    </w:div>
    <w:div w:id="663971433">
      <w:bodyDiv w:val="1"/>
      <w:marLeft w:val="0"/>
      <w:marRight w:val="0"/>
      <w:marTop w:val="0"/>
      <w:marBottom w:val="0"/>
      <w:divBdr>
        <w:top w:val="none" w:sz="0" w:space="0" w:color="auto"/>
        <w:left w:val="none" w:sz="0" w:space="0" w:color="auto"/>
        <w:bottom w:val="none" w:sz="0" w:space="0" w:color="auto"/>
        <w:right w:val="none" w:sz="0" w:space="0" w:color="auto"/>
      </w:divBdr>
    </w:div>
    <w:div w:id="747000944">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44824937">
      <w:bodyDiv w:val="1"/>
      <w:marLeft w:val="0"/>
      <w:marRight w:val="0"/>
      <w:marTop w:val="0"/>
      <w:marBottom w:val="0"/>
      <w:divBdr>
        <w:top w:val="none" w:sz="0" w:space="0" w:color="auto"/>
        <w:left w:val="none" w:sz="0" w:space="0" w:color="auto"/>
        <w:bottom w:val="none" w:sz="0" w:space="0" w:color="auto"/>
        <w:right w:val="none" w:sz="0" w:space="0" w:color="auto"/>
      </w:divBdr>
    </w:div>
    <w:div w:id="915242123">
      <w:bodyDiv w:val="1"/>
      <w:marLeft w:val="0"/>
      <w:marRight w:val="0"/>
      <w:marTop w:val="0"/>
      <w:marBottom w:val="0"/>
      <w:divBdr>
        <w:top w:val="none" w:sz="0" w:space="0" w:color="auto"/>
        <w:left w:val="none" w:sz="0" w:space="0" w:color="auto"/>
        <w:bottom w:val="none" w:sz="0" w:space="0" w:color="auto"/>
        <w:right w:val="none" w:sz="0" w:space="0" w:color="auto"/>
      </w:divBdr>
    </w:div>
    <w:div w:id="987436734">
      <w:bodyDiv w:val="1"/>
      <w:marLeft w:val="0"/>
      <w:marRight w:val="0"/>
      <w:marTop w:val="0"/>
      <w:marBottom w:val="0"/>
      <w:divBdr>
        <w:top w:val="none" w:sz="0" w:space="0" w:color="auto"/>
        <w:left w:val="none" w:sz="0" w:space="0" w:color="auto"/>
        <w:bottom w:val="none" w:sz="0" w:space="0" w:color="auto"/>
        <w:right w:val="none" w:sz="0" w:space="0" w:color="auto"/>
      </w:divBdr>
    </w:div>
    <w:div w:id="1084957068">
      <w:bodyDiv w:val="1"/>
      <w:marLeft w:val="0"/>
      <w:marRight w:val="0"/>
      <w:marTop w:val="0"/>
      <w:marBottom w:val="0"/>
      <w:divBdr>
        <w:top w:val="none" w:sz="0" w:space="0" w:color="auto"/>
        <w:left w:val="none" w:sz="0" w:space="0" w:color="auto"/>
        <w:bottom w:val="none" w:sz="0" w:space="0" w:color="auto"/>
        <w:right w:val="none" w:sz="0" w:space="0" w:color="auto"/>
      </w:divBdr>
    </w:div>
    <w:div w:id="1114400071">
      <w:bodyDiv w:val="1"/>
      <w:marLeft w:val="0"/>
      <w:marRight w:val="0"/>
      <w:marTop w:val="0"/>
      <w:marBottom w:val="0"/>
      <w:divBdr>
        <w:top w:val="none" w:sz="0" w:space="0" w:color="auto"/>
        <w:left w:val="none" w:sz="0" w:space="0" w:color="auto"/>
        <w:bottom w:val="none" w:sz="0" w:space="0" w:color="auto"/>
        <w:right w:val="none" w:sz="0" w:space="0" w:color="auto"/>
      </w:divBdr>
    </w:div>
    <w:div w:id="1124929393">
      <w:bodyDiv w:val="1"/>
      <w:marLeft w:val="0"/>
      <w:marRight w:val="0"/>
      <w:marTop w:val="0"/>
      <w:marBottom w:val="0"/>
      <w:divBdr>
        <w:top w:val="none" w:sz="0" w:space="0" w:color="auto"/>
        <w:left w:val="none" w:sz="0" w:space="0" w:color="auto"/>
        <w:bottom w:val="none" w:sz="0" w:space="0" w:color="auto"/>
        <w:right w:val="none" w:sz="0" w:space="0" w:color="auto"/>
      </w:divBdr>
    </w:div>
    <w:div w:id="1135873737">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302690926">
      <w:bodyDiv w:val="1"/>
      <w:marLeft w:val="0"/>
      <w:marRight w:val="0"/>
      <w:marTop w:val="0"/>
      <w:marBottom w:val="0"/>
      <w:divBdr>
        <w:top w:val="none" w:sz="0" w:space="0" w:color="auto"/>
        <w:left w:val="none" w:sz="0" w:space="0" w:color="auto"/>
        <w:bottom w:val="none" w:sz="0" w:space="0" w:color="auto"/>
        <w:right w:val="none" w:sz="0" w:space="0" w:color="auto"/>
      </w:divBdr>
      <w:divsChild>
        <w:div w:id="201870742">
          <w:marLeft w:val="360"/>
          <w:marRight w:val="0"/>
          <w:marTop w:val="200"/>
          <w:marBottom w:val="0"/>
          <w:divBdr>
            <w:top w:val="none" w:sz="0" w:space="0" w:color="auto"/>
            <w:left w:val="none" w:sz="0" w:space="0" w:color="auto"/>
            <w:bottom w:val="none" w:sz="0" w:space="0" w:color="auto"/>
            <w:right w:val="none" w:sz="0" w:space="0" w:color="auto"/>
          </w:divBdr>
        </w:div>
        <w:div w:id="1816025079">
          <w:marLeft w:val="360"/>
          <w:marRight w:val="0"/>
          <w:marTop w:val="200"/>
          <w:marBottom w:val="0"/>
          <w:divBdr>
            <w:top w:val="none" w:sz="0" w:space="0" w:color="auto"/>
            <w:left w:val="none" w:sz="0" w:space="0" w:color="auto"/>
            <w:bottom w:val="none" w:sz="0" w:space="0" w:color="auto"/>
            <w:right w:val="none" w:sz="0" w:space="0" w:color="auto"/>
          </w:divBdr>
        </w:div>
      </w:divsChild>
    </w:div>
    <w:div w:id="1420831483">
      <w:bodyDiv w:val="1"/>
      <w:marLeft w:val="0"/>
      <w:marRight w:val="0"/>
      <w:marTop w:val="0"/>
      <w:marBottom w:val="0"/>
      <w:divBdr>
        <w:top w:val="none" w:sz="0" w:space="0" w:color="auto"/>
        <w:left w:val="none" w:sz="0" w:space="0" w:color="auto"/>
        <w:bottom w:val="none" w:sz="0" w:space="0" w:color="auto"/>
        <w:right w:val="none" w:sz="0" w:space="0" w:color="auto"/>
      </w:divBdr>
    </w:div>
    <w:div w:id="1696418109">
      <w:bodyDiv w:val="1"/>
      <w:marLeft w:val="0"/>
      <w:marRight w:val="0"/>
      <w:marTop w:val="0"/>
      <w:marBottom w:val="0"/>
      <w:divBdr>
        <w:top w:val="none" w:sz="0" w:space="0" w:color="auto"/>
        <w:left w:val="none" w:sz="0" w:space="0" w:color="auto"/>
        <w:bottom w:val="none" w:sz="0" w:space="0" w:color="auto"/>
        <w:right w:val="none" w:sz="0" w:space="0" w:color="auto"/>
      </w:divBdr>
    </w:div>
    <w:div w:id="1769957375">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1987274941">
      <w:bodyDiv w:val="1"/>
      <w:marLeft w:val="0"/>
      <w:marRight w:val="0"/>
      <w:marTop w:val="0"/>
      <w:marBottom w:val="0"/>
      <w:divBdr>
        <w:top w:val="none" w:sz="0" w:space="0" w:color="auto"/>
        <w:left w:val="none" w:sz="0" w:space="0" w:color="auto"/>
        <w:bottom w:val="none" w:sz="0" w:space="0" w:color="auto"/>
        <w:right w:val="none" w:sz="0" w:space="0" w:color="auto"/>
      </w:divBdr>
    </w:div>
    <w:div w:id="2077586176">
      <w:bodyDiv w:val="1"/>
      <w:marLeft w:val="0"/>
      <w:marRight w:val="0"/>
      <w:marTop w:val="0"/>
      <w:marBottom w:val="0"/>
      <w:divBdr>
        <w:top w:val="none" w:sz="0" w:space="0" w:color="auto"/>
        <w:left w:val="none" w:sz="0" w:space="0" w:color="auto"/>
        <w:bottom w:val="none" w:sz="0" w:space="0" w:color="auto"/>
        <w:right w:val="none" w:sz="0" w:space="0" w:color="auto"/>
      </w:divBdr>
    </w:div>
    <w:div w:id="2083791694">
      <w:bodyDiv w:val="1"/>
      <w:marLeft w:val="0"/>
      <w:marRight w:val="0"/>
      <w:marTop w:val="0"/>
      <w:marBottom w:val="0"/>
      <w:divBdr>
        <w:top w:val="none" w:sz="0" w:space="0" w:color="auto"/>
        <w:left w:val="none" w:sz="0" w:space="0" w:color="auto"/>
        <w:bottom w:val="none" w:sz="0" w:space="0" w:color="auto"/>
        <w:right w:val="none" w:sz="0" w:space="0" w:color="auto"/>
      </w:divBdr>
    </w:div>
    <w:div w:id="2120828798">
      <w:bodyDiv w:val="1"/>
      <w:marLeft w:val="0"/>
      <w:marRight w:val="0"/>
      <w:marTop w:val="0"/>
      <w:marBottom w:val="0"/>
      <w:divBdr>
        <w:top w:val="none" w:sz="0" w:space="0" w:color="auto"/>
        <w:left w:val="none" w:sz="0" w:space="0" w:color="auto"/>
        <w:bottom w:val="none" w:sz="0" w:space="0" w:color="auto"/>
        <w:right w:val="none" w:sz="0" w:space="0" w:color="auto"/>
      </w:divBdr>
      <w:divsChild>
        <w:div w:id="914702968">
          <w:marLeft w:val="0"/>
          <w:marRight w:val="0"/>
          <w:marTop w:val="0"/>
          <w:marBottom w:val="0"/>
          <w:divBdr>
            <w:top w:val="none" w:sz="0" w:space="0" w:color="auto"/>
            <w:left w:val="none" w:sz="0" w:space="0" w:color="auto"/>
            <w:bottom w:val="none" w:sz="0" w:space="0" w:color="auto"/>
            <w:right w:val="none" w:sz="0" w:space="0" w:color="auto"/>
          </w:divBdr>
          <w:divsChild>
            <w:div w:id="1875191925">
              <w:marLeft w:val="0"/>
              <w:marRight w:val="0"/>
              <w:marTop w:val="0"/>
              <w:marBottom w:val="0"/>
              <w:divBdr>
                <w:top w:val="none" w:sz="0" w:space="0" w:color="auto"/>
                <w:left w:val="none" w:sz="0" w:space="0" w:color="auto"/>
                <w:bottom w:val="none" w:sz="0" w:space="0" w:color="auto"/>
                <w:right w:val="none" w:sz="0" w:space="0" w:color="auto"/>
              </w:divBdr>
            </w:div>
          </w:divsChild>
        </w:div>
        <w:div w:id="1981881592">
          <w:marLeft w:val="0"/>
          <w:marRight w:val="0"/>
          <w:marTop w:val="0"/>
          <w:marBottom w:val="0"/>
          <w:divBdr>
            <w:top w:val="none" w:sz="0" w:space="0" w:color="auto"/>
            <w:left w:val="none" w:sz="0" w:space="0" w:color="auto"/>
            <w:bottom w:val="none" w:sz="0" w:space="0" w:color="auto"/>
            <w:right w:val="none" w:sz="0" w:space="0" w:color="auto"/>
          </w:divBdr>
          <w:divsChild>
            <w:div w:id="988558787">
              <w:marLeft w:val="0"/>
              <w:marRight w:val="0"/>
              <w:marTop w:val="0"/>
              <w:marBottom w:val="0"/>
              <w:divBdr>
                <w:top w:val="none" w:sz="0" w:space="0" w:color="auto"/>
                <w:left w:val="none" w:sz="0" w:space="0" w:color="auto"/>
                <w:bottom w:val="none" w:sz="0" w:space="0" w:color="auto"/>
                <w:right w:val="none" w:sz="0" w:space="0" w:color="auto"/>
              </w:divBdr>
              <w:divsChild>
                <w:div w:id="1508207762">
                  <w:marLeft w:val="0"/>
                  <w:marRight w:val="0"/>
                  <w:marTop w:val="0"/>
                  <w:marBottom w:val="0"/>
                  <w:divBdr>
                    <w:top w:val="none" w:sz="0" w:space="0" w:color="auto"/>
                    <w:left w:val="none" w:sz="0" w:space="0" w:color="auto"/>
                    <w:bottom w:val="none" w:sz="0" w:space="0" w:color="auto"/>
                    <w:right w:val="none" w:sz="0" w:space="0" w:color="auto"/>
                  </w:divBdr>
                  <w:divsChild>
                    <w:div w:id="588927463">
                      <w:marLeft w:val="0"/>
                      <w:marRight w:val="0"/>
                      <w:marTop w:val="0"/>
                      <w:marBottom w:val="0"/>
                      <w:divBdr>
                        <w:top w:val="none" w:sz="0" w:space="0" w:color="auto"/>
                        <w:left w:val="none" w:sz="0" w:space="0" w:color="auto"/>
                        <w:bottom w:val="none" w:sz="0" w:space="0" w:color="auto"/>
                        <w:right w:val="none" w:sz="0" w:space="0" w:color="auto"/>
                      </w:divBdr>
                    </w:div>
                    <w:div w:id="86325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1020">
              <w:marLeft w:val="0"/>
              <w:marRight w:val="0"/>
              <w:marTop w:val="0"/>
              <w:marBottom w:val="0"/>
              <w:divBdr>
                <w:top w:val="none" w:sz="0" w:space="0" w:color="auto"/>
                <w:left w:val="none" w:sz="0" w:space="0" w:color="auto"/>
                <w:bottom w:val="none" w:sz="0" w:space="0" w:color="auto"/>
                <w:right w:val="none" w:sz="0" w:space="0" w:color="auto"/>
              </w:divBdr>
              <w:divsChild>
                <w:div w:id="243030349">
                  <w:marLeft w:val="0"/>
                  <w:marRight w:val="0"/>
                  <w:marTop w:val="0"/>
                  <w:marBottom w:val="0"/>
                  <w:divBdr>
                    <w:top w:val="none" w:sz="0" w:space="0" w:color="auto"/>
                    <w:left w:val="none" w:sz="0" w:space="0" w:color="auto"/>
                    <w:bottom w:val="none" w:sz="0" w:space="0" w:color="auto"/>
                    <w:right w:val="none" w:sz="0" w:space="0" w:color="auto"/>
                  </w:divBdr>
                </w:div>
                <w:div w:id="20511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msac.gov.au/internet/msac/publishing.nsf/Content/09DFCADF3138D2B2CA2586E0007D539C/$File/MSAC%20Position%20Statement%20-%20PD-L1%20testing%20-%20Ratified%20-26Sept%20-%20clean.pdf" TargetMode="External"/><Relationship Id="rId1" Type="http://schemas.openxmlformats.org/officeDocument/2006/relationships/hyperlink" Target="http://www.msac.gov.au/internet/msac/publishing.nsf/Content/09DFCADF3138D2B2CA2586E0007D539C/$File/MSAC%20Position%20Statement%20-%20PD-L1%20testing%20-%20Ratified%20-26Sept%20-%20cle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49F3E-1C2C-4341-8A28-5890B2AEC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21429</Words>
  <Characters>121495</Characters>
  <Application>Microsoft Office Word</Application>
  <DocSecurity>0</DocSecurity>
  <Lines>1012</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2023-07-05T00:43:00Z</dcterms:created>
  <dcterms:modified xsi:type="dcterms:W3CDTF">2023-07-05T00:54:00Z</dcterms:modified>
</cp:coreProperties>
</file>