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DB2D" w14:textId="016F4D51" w:rsidR="00B60939" w:rsidRPr="005F0CE8" w:rsidRDefault="0018545C" w:rsidP="008E7238">
      <w:pPr>
        <w:pStyle w:val="1-MainHeading"/>
      </w:pPr>
      <w:bookmarkStart w:id="0" w:name="_Toc124883271"/>
      <w:r w:rsidRPr="005F0CE8">
        <w:t>6.01</w:t>
      </w:r>
      <w:r w:rsidR="00163F66" w:rsidRPr="005F0CE8">
        <w:tab/>
      </w:r>
      <w:r w:rsidR="00CE3D34" w:rsidRPr="005F0CE8">
        <w:t>OLAPARIB</w:t>
      </w:r>
      <w:r w:rsidR="00163F66" w:rsidRPr="005F0CE8">
        <w:t>,</w:t>
      </w:r>
      <w:r w:rsidR="00163F66" w:rsidRPr="005F0CE8">
        <w:br/>
      </w:r>
      <w:r w:rsidR="008E7238" w:rsidRPr="005F0CE8">
        <w:t>Tablet 100 mg, Tablet 150 mg</w:t>
      </w:r>
      <w:r w:rsidR="00163F66" w:rsidRPr="005F0CE8">
        <w:br/>
      </w:r>
      <w:r w:rsidR="00CE3D34" w:rsidRPr="005F0CE8">
        <w:t>Lynparza</w:t>
      </w:r>
      <w:r w:rsidR="00B60939" w:rsidRPr="005F0CE8">
        <w:rPr>
          <w:vertAlign w:val="superscript"/>
        </w:rPr>
        <w:t>®</w:t>
      </w:r>
      <w:r w:rsidR="004A6040" w:rsidRPr="005F0CE8">
        <w:t>,</w:t>
      </w:r>
      <w:r w:rsidR="004A6040" w:rsidRPr="005F0CE8">
        <w:br/>
      </w:r>
      <w:r w:rsidR="00CE3D34" w:rsidRPr="005F0CE8">
        <w:t>AstraZeneca Pty Ltd</w:t>
      </w:r>
      <w:r w:rsidR="00B60939" w:rsidRPr="005F0CE8">
        <w:t>.</w:t>
      </w:r>
      <w:bookmarkEnd w:id="0"/>
      <w:r w:rsidR="00F73E08" w:rsidRPr="005F0CE8">
        <w:t xml:space="preserve"> </w:t>
      </w:r>
    </w:p>
    <w:p w14:paraId="3947F2C0" w14:textId="77777777" w:rsidR="00B50DB8" w:rsidRPr="005F0CE8" w:rsidRDefault="00B50DB8" w:rsidP="004A6040">
      <w:pPr>
        <w:pStyle w:val="2-SectionHeading"/>
      </w:pPr>
      <w:bookmarkStart w:id="1" w:name="_Toc124883273"/>
      <w:r w:rsidRPr="005F0CE8">
        <w:t xml:space="preserve">Purpose of </w:t>
      </w:r>
      <w:r w:rsidR="00CD7193" w:rsidRPr="005F0CE8">
        <w:t>s</w:t>
      </w:r>
      <w:r w:rsidR="00BB3A45" w:rsidRPr="005F0CE8">
        <w:t>ubmission</w:t>
      </w:r>
      <w:bookmarkEnd w:id="1"/>
    </w:p>
    <w:p w14:paraId="18388D6A" w14:textId="11A65558" w:rsidR="002C2775" w:rsidRPr="00477BB3" w:rsidRDefault="007170DA" w:rsidP="00477BB3">
      <w:pPr>
        <w:pStyle w:val="3-BodyText"/>
      </w:pPr>
      <w:r w:rsidRPr="00477BB3">
        <w:t>Th</w:t>
      </w:r>
      <w:r w:rsidR="00863534" w:rsidRPr="00477BB3">
        <w:t>is</w:t>
      </w:r>
      <w:r w:rsidRPr="00477BB3">
        <w:t xml:space="preserve"> </w:t>
      </w:r>
      <w:r w:rsidR="00F73E08" w:rsidRPr="00477BB3">
        <w:t xml:space="preserve">Category </w:t>
      </w:r>
      <w:r w:rsidR="006A4725" w:rsidRPr="00477BB3">
        <w:t>2</w:t>
      </w:r>
      <w:r w:rsidR="00F73E08" w:rsidRPr="00477BB3">
        <w:t xml:space="preserve"> </w:t>
      </w:r>
      <w:r w:rsidRPr="00477BB3">
        <w:t xml:space="preserve">submission requested </w:t>
      </w:r>
      <w:r w:rsidR="008B1757" w:rsidRPr="00477BB3">
        <w:t xml:space="preserve">Authority Required </w:t>
      </w:r>
      <w:r w:rsidR="006A4725" w:rsidRPr="00477BB3">
        <w:t xml:space="preserve">(telephone/online) </w:t>
      </w:r>
      <w:r w:rsidR="008B1757" w:rsidRPr="00477BB3">
        <w:t xml:space="preserve">listing for </w:t>
      </w:r>
      <w:r w:rsidR="006A4725" w:rsidRPr="00477BB3">
        <w:t>olaparib</w:t>
      </w:r>
      <w:r w:rsidR="008B1757" w:rsidRPr="00477BB3">
        <w:t xml:space="preserve"> for </w:t>
      </w:r>
      <w:r w:rsidR="0050174E" w:rsidRPr="00477BB3">
        <w:t xml:space="preserve">the </w:t>
      </w:r>
      <w:r w:rsidR="00A21996" w:rsidRPr="00477BB3">
        <w:t xml:space="preserve">adjuvant </w:t>
      </w:r>
      <w:r w:rsidR="008B1757" w:rsidRPr="00477BB3">
        <w:t xml:space="preserve">treatment of </w:t>
      </w:r>
      <w:r w:rsidR="006A4725" w:rsidRPr="00477BB3">
        <w:t xml:space="preserve">human epidermal growth factor 2 </w:t>
      </w:r>
      <w:r w:rsidR="00D942FE" w:rsidRPr="00477BB3">
        <w:t>negative</w:t>
      </w:r>
      <w:r w:rsidR="00E30DB6" w:rsidRPr="00477BB3">
        <w:t xml:space="preserve"> </w:t>
      </w:r>
      <w:r w:rsidR="006A4725" w:rsidRPr="00477BB3">
        <w:t>(HER2</w:t>
      </w:r>
      <w:r w:rsidR="00A579CF" w:rsidRPr="00477BB3">
        <w:noBreakHyphen/>
        <w:t>)</w:t>
      </w:r>
      <w:r w:rsidR="006A4725" w:rsidRPr="00477BB3">
        <w:t xml:space="preserve"> </w:t>
      </w:r>
      <w:r w:rsidR="00D6541C" w:rsidRPr="00477BB3">
        <w:t>high-risk</w:t>
      </w:r>
      <w:r w:rsidR="00605CD4" w:rsidRPr="00CB4CFB">
        <w:rPr>
          <w:rStyle w:val="FootnoteReference"/>
        </w:rPr>
        <w:footnoteReference w:id="2"/>
      </w:r>
      <w:r w:rsidR="006A4725" w:rsidRPr="00477BB3">
        <w:t xml:space="preserve"> early breast cancer with a confirmed germline </w:t>
      </w:r>
      <w:r w:rsidR="009E092C" w:rsidRPr="00477BB3">
        <w:t>BRCA1</w:t>
      </w:r>
      <w:r w:rsidR="006A4725" w:rsidRPr="00477BB3">
        <w:t xml:space="preserve"> or </w:t>
      </w:r>
      <w:r w:rsidR="009E092C" w:rsidRPr="00477BB3">
        <w:t>BRCA2</w:t>
      </w:r>
      <w:r w:rsidR="006A4725" w:rsidRPr="00477BB3">
        <w:t xml:space="preserve"> mutation who have previously been treated with neoadjuvant or adjuvant chemotherapy</w:t>
      </w:r>
      <w:r w:rsidR="008B1757" w:rsidRPr="00477BB3">
        <w:t xml:space="preserve">. </w:t>
      </w:r>
    </w:p>
    <w:p w14:paraId="4C95D0EE" w14:textId="0466FC1C" w:rsidR="00C2778B" w:rsidRPr="005F0CE8" w:rsidRDefault="005750C5" w:rsidP="00477BB3">
      <w:pPr>
        <w:pStyle w:val="3-BodyText"/>
      </w:pPr>
      <w:r w:rsidRPr="005F0CE8">
        <w:t xml:space="preserve">Listing was requested on the basis of a cost-effectiveness analysis versus </w:t>
      </w:r>
      <w:r w:rsidR="00B2126E" w:rsidRPr="005F0CE8">
        <w:t>placebo (</w:t>
      </w:r>
      <w:r w:rsidR="00DB2BE9">
        <w:t>‘</w:t>
      </w:r>
      <w:r w:rsidR="00B2126E" w:rsidRPr="005F0CE8">
        <w:t>watch and wait</w:t>
      </w:r>
      <w:r w:rsidR="00DB2BE9">
        <w:t>’</w:t>
      </w:r>
      <w:r w:rsidR="00B2126E" w:rsidRPr="005F0CE8">
        <w:t>)</w:t>
      </w:r>
      <w:r w:rsidRPr="005F0CE8">
        <w:t xml:space="preserve">. </w:t>
      </w:r>
    </w:p>
    <w:p w14:paraId="2A7D27DC" w14:textId="3D37D37F" w:rsidR="008B1757" w:rsidRPr="005F0CE8" w:rsidRDefault="00696EF9" w:rsidP="004A6040">
      <w:pPr>
        <w:pStyle w:val="TableFigureHeading"/>
        <w:rPr>
          <w:rStyle w:val="CommentReference"/>
          <w:b/>
          <w:szCs w:val="24"/>
        </w:rPr>
      </w:pPr>
      <w:r w:rsidRPr="005F0CE8">
        <w:t xml:space="preserve">Table </w:t>
      </w:r>
      <w:fldSimple w:instr=" SEQ Table \* ARABIC ">
        <w:r w:rsidR="00AB6006">
          <w:rPr>
            <w:noProof/>
          </w:rPr>
          <w:t>1</w:t>
        </w:r>
      </w:fldSimple>
      <w:r w:rsidRPr="005F0CE8">
        <w:t>:</w:t>
      </w:r>
      <w:r w:rsidR="00BC591F" w:rsidRPr="005F0CE8">
        <w:rPr>
          <w:rStyle w:val="CommentReference"/>
          <w:b/>
          <w:szCs w:val="24"/>
        </w:rPr>
        <w:t xml:space="preserve"> </w:t>
      </w:r>
      <w:r w:rsidR="008B1757" w:rsidRPr="005F0CE8">
        <w:rPr>
          <w:rStyle w:val="CommentReference"/>
          <w:b/>
          <w:szCs w:val="24"/>
        </w:rPr>
        <w:t>Key components of the clinical issue addressed by the submission</w:t>
      </w:r>
      <w:r w:rsidR="007170DA" w:rsidRPr="005F0CE8">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129"/>
        <w:gridCol w:w="7888"/>
      </w:tblGrid>
      <w:tr w:rsidR="008B1757" w:rsidRPr="005F0CE8" w14:paraId="16BF8E07" w14:textId="77777777" w:rsidTr="009D2374">
        <w:trPr>
          <w:cantSplit/>
          <w:tblHeader/>
        </w:trPr>
        <w:tc>
          <w:tcPr>
            <w:tcW w:w="626" w:type="pct"/>
            <w:shd w:val="clear" w:color="auto" w:fill="auto"/>
          </w:tcPr>
          <w:p w14:paraId="1E6EDDE5" w14:textId="77777777" w:rsidR="008B1757" w:rsidRPr="005F0CE8" w:rsidRDefault="008B1757" w:rsidP="004A6040">
            <w:pPr>
              <w:pStyle w:val="In-tableHeading"/>
              <w:rPr>
                <w:szCs w:val="20"/>
                <w:lang w:val="en-AU"/>
              </w:rPr>
            </w:pPr>
            <w:r w:rsidRPr="005F0CE8">
              <w:rPr>
                <w:lang w:val="en-AU"/>
              </w:rPr>
              <w:t>Component</w:t>
            </w:r>
          </w:p>
        </w:tc>
        <w:tc>
          <w:tcPr>
            <w:tcW w:w="4374" w:type="pct"/>
            <w:shd w:val="clear" w:color="auto" w:fill="auto"/>
          </w:tcPr>
          <w:p w14:paraId="1E434BCC" w14:textId="77777777" w:rsidR="008B1757" w:rsidRPr="005F0CE8" w:rsidRDefault="008B1757" w:rsidP="004A6040">
            <w:pPr>
              <w:pStyle w:val="In-tableHeading"/>
              <w:rPr>
                <w:lang w:val="en-AU"/>
              </w:rPr>
            </w:pPr>
            <w:r w:rsidRPr="005F0CE8">
              <w:rPr>
                <w:lang w:val="en-AU"/>
              </w:rPr>
              <w:t>Description</w:t>
            </w:r>
          </w:p>
        </w:tc>
      </w:tr>
      <w:tr w:rsidR="008B1757" w:rsidRPr="005F0CE8" w14:paraId="71F1E7A6" w14:textId="77777777" w:rsidTr="009D2374">
        <w:trPr>
          <w:cantSplit/>
        </w:trPr>
        <w:tc>
          <w:tcPr>
            <w:tcW w:w="626" w:type="pct"/>
            <w:shd w:val="clear" w:color="auto" w:fill="auto"/>
          </w:tcPr>
          <w:p w14:paraId="4DB86FDE" w14:textId="77777777" w:rsidR="008B1757" w:rsidRPr="005F0CE8" w:rsidRDefault="008B1757" w:rsidP="004A6040">
            <w:pPr>
              <w:pStyle w:val="TableText0"/>
            </w:pPr>
            <w:r w:rsidRPr="005F0CE8">
              <w:t>Population</w:t>
            </w:r>
          </w:p>
        </w:tc>
        <w:tc>
          <w:tcPr>
            <w:tcW w:w="4374" w:type="pct"/>
            <w:shd w:val="clear" w:color="auto" w:fill="auto"/>
          </w:tcPr>
          <w:p w14:paraId="56B17C14" w14:textId="00A0A313" w:rsidR="00233C01" w:rsidRPr="005F0CE8" w:rsidRDefault="00D462C6" w:rsidP="00233C01">
            <w:pPr>
              <w:pStyle w:val="TableText0"/>
              <w:rPr>
                <w:szCs w:val="20"/>
              </w:rPr>
            </w:pPr>
            <w:r w:rsidRPr="005F0CE8">
              <w:t xml:space="preserve">Adult patients with </w:t>
            </w:r>
            <w:r w:rsidR="005C4788" w:rsidRPr="005F0CE8">
              <w:rPr>
                <w:i/>
              </w:rPr>
              <w:t>BRCA</w:t>
            </w:r>
            <w:r w:rsidRPr="005F0CE8">
              <w:t xml:space="preserve">-mutated HER2-negative </w:t>
            </w:r>
            <w:r w:rsidR="00605CD4" w:rsidRPr="005F0CE8">
              <w:t>high-risk</w:t>
            </w:r>
            <w:r w:rsidRPr="005F0CE8">
              <w:t xml:space="preserve"> early breast cancer who have previously been treated with neoadjuvant or adjuvant chemotherapy</w:t>
            </w:r>
          </w:p>
        </w:tc>
      </w:tr>
      <w:tr w:rsidR="008B1757" w:rsidRPr="005F0CE8" w14:paraId="143AD171" w14:textId="77777777" w:rsidTr="009D2374">
        <w:trPr>
          <w:cantSplit/>
        </w:trPr>
        <w:tc>
          <w:tcPr>
            <w:tcW w:w="626" w:type="pct"/>
            <w:shd w:val="clear" w:color="auto" w:fill="auto"/>
          </w:tcPr>
          <w:p w14:paraId="6850CA15" w14:textId="77777777" w:rsidR="008B1757" w:rsidRPr="005F0CE8" w:rsidRDefault="008B1757" w:rsidP="004A6040">
            <w:pPr>
              <w:pStyle w:val="TableText0"/>
            </w:pPr>
            <w:r w:rsidRPr="005F0CE8">
              <w:t>Intervention</w:t>
            </w:r>
          </w:p>
        </w:tc>
        <w:tc>
          <w:tcPr>
            <w:tcW w:w="4374" w:type="pct"/>
            <w:shd w:val="clear" w:color="auto" w:fill="auto"/>
          </w:tcPr>
          <w:p w14:paraId="14477406" w14:textId="74142C9C" w:rsidR="00233C01" w:rsidRPr="005F0CE8" w:rsidRDefault="00D462C6" w:rsidP="00D43D83">
            <w:pPr>
              <w:pStyle w:val="TableText0"/>
            </w:pPr>
            <w:r w:rsidRPr="005F0CE8">
              <w:t>Olaparib (300 mg, twice daily, orally, until progression)</w:t>
            </w:r>
          </w:p>
        </w:tc>
      </w:tr>
      <w:tr w:rsidR="008B1757" w:rsidRPr="005F0CE8" w14:paraId="6575D644" w14:textId="77777777" w:rsidTr="009D2374">
        <w:trPr>
          <w:cantSplit/>
        </w:trPr>
        <w:tc>
          <w:tcPr>
            <w:tcW w:w="626" w:type="pct"/>
            <w:shd w:val="clear" w:color="auto" w:fill="auto"/>
          </w:tcPr>
          <w:p w14:paraId="2F818590" w14:textId="77777777" w:rsidR="008B1757" w:rsidRPr="005F0CE8" w:rsidRDefault="008B1757" w:rsidP="004A6040">
            <w:pPr>
              <w:pStyle w:val="TableText0"/>
            </w:pPr>
            <w:r w:rsidRPr="005F0CE8">
              <w:t>Comparator</w:t>
            </w:r>
          </w:p>
        </w:tc>
        <w:tc>
          <w:tcPr>
            <w:tcW w:w="4374" w:type="pct"/>
            <w:shd w:val="clear" w:color="auto" w:fill="auto"/>
          </w:tcPr>
          <w:p w14:paraId="37A8E56A" w14:textId="1B0F4BC5" w:rsidR="00233C01" w:rsidRPr="005F0CE8" w:rsidRDefault="00B2126E" w:rsidP="001E1E86">
            <w:pPr>
              <w:pStyle w:val="TableText0"/>
            </w:pPr>
            <w:r w:rsidRPr="005F0CE8">
              <w:t>Placebo (watch and wait)</w:t>
            </w:r>
          </w:p>
        </w:tc>
      </w:tr>
      <w:tr w:rsidR="008B1757" w:rsidRPr="005F0CE8" w14:paraId="1E39A595" w14:textId="77777777" w:rsidTr="009D2374">
        <w:trPr>
          <w:cantSplit/>
        </w:trPr>
        <w:tc>
          <w:tcPr>
            <w:tcW w:w="626" w:type="pct"/>
            <w:shd w:val="clear" w:color="auto" w:fill="auto"/>
          </w:tcPr>
          <w:p w14:paraId="74A9E8D5" w14:textId="77777777" w:rsidR="008B1757" w:rsidRPr="005F0CE8" w:rsidRDefault="008B1757" w:rsidP="004A6040">
            <w:pPr>
              <w:pStyle w:val="TableText0"/>
            </w:pPr>
            <w:r w:rsidRPr="005F0CE8">
              <w:t>Outcomes</w:t>
            </w:r>
          </w:p>
        </w:tc>
        <w:tc>
          <w:tcPr>
            <w:tcW w:w="4374" w:type="pct"/>
            <w:shd w:val="clear" w:color="auto" w:fill="auto"/>
          </w:tcPr>
          <w:p w14:paraId="4772E7F6" w14:textId="06BACDCB" w:rsidR="00233C01" w:rsidRPr="005F0CE8" w:rsidRDefault="00B2126E" w:rsidP="004A6040">
            <w:pPr>
              <w:pStyle w:val="TableText0"/>
              <w:rPr>
                <w:rFonts w:eastAsia="Times New Roman" w:cs="Arial"/>
                <w:bCs w:val="0"/>
                <w:snapToGrid w:val="0"/>
                <w:color w:val="0066FF"/>
                <w:szCs w:val="20"/>
              </w:rPr>
            </w:pPr>
            <w:r w:rsidRPr="005F0CE8">
              <w:t>Invasive disease-free survival, distant recurrence-free survival, overall survival, health-related quality of life (HRQoL)</w:t>
            </w:r>
          </w:p>
        </w:tc>
      </w:tr>
      <w:tr w:rsidR="008B1757" w:rsidRPr="005F0CE8" w14:paraId="010AEA94" w14:textId="77777777" w:rsidTr="009D2374">
        <w:trPr>
          <w:cantSplit/>
        </w:trPr>
        <w:tc>
          <w:tcPr>
            <w:tcW w:w="626" w:type="pct"/>
            <w:shd w:val="clear" w:color="auto" w:fill="auto"/>
          </w:tcPr>
          <w:p w14:paraId="2491F71C" w14:textId="77777777" w:rsidR="008B1757" w:rsidRPr="005F0CE8" w:rsidRDefault="008B1757" w:rsidP="004A6040">
            <w:pPr>
              <w:pStyle w:val="TableText0"/>
            </w:pPr>
            <w:r w:rsidRPr="005F0CE8">
              <w:t>Clinical claim</w:t>
            </w:r>
          </w:p>
        </w:tc>
        <w:tc>
          <w:tcPr>
            <w:tcW w:w="4374" w:type="pct"/>
            <w:shd w:val="clear" w:color="auto" w:fill="auto"/>
          </w:tcPr>
          <w:p w14:paraId="361FE7C3" w14:textId="2C7DB8EC" w:rsidR="00233C01" w:rsidRPr="005F0CE8" w:rsidRDefault="00D462C6" w:rsidP="00D43D83">
            <w:pPr>
              <w:pStyle w:val="TableText0"/>
              <w:rPr>
                <w:rFonts w:eastAsia="Times New Roman" w:cs="Arial"/>
                <w:bCs w:val="0"/>
                <w:snapToGrid w:val="0"/>
                <w:color w:val="0066FF"/>
                <w:szCs w:val="20"/>
              </w:rPr>
            </w:pPr>
            <w:r w:rsidRPr="005F0CE8">
              <w:t xml:space="preserve">Olaparib demonstrates superior efficacy and non-inferior safety when compared to placebo, in patients with HER2-negative </w:t>
            </w:r>
            <w:r w:rsidR="00605CD4" w:rsidRPr="005F0CE8">
              <w:t>high-risk</w:t>
            </w:r>
            <w:r w:rsidRPr="005F0CE8">
              <w:t xml:space="preserve"> early breast cancer with a confirmed </w:t>
            </w:r>
            <w:r w:rsidR="009E092C" w:rsidRPr="009E092C">
              <w:rPr>
                <w:i/>
              </w:rPr>
              <w:t>BRCA1</w:t>
            </w:r>
            <w:r w:rsidRPr="005F0CE8">
              <w:t xml:space="preserve"> or </w:t>
            </w:r>
            <w:r w:rsidR="009E092C" w:rsidRPr="009E092C">
              <w:rPr>
                <w:i/>
              </w:rPr>
              <w:t>BRCA2</w:t>
            </w:r>
            <w:r w:rsidRPr="005F0CE8">
              <w:t xml:space="preserve"> mutation</w:t>
            </w:r>
          </w:p>
        </w:tc>
      </w:tr>
    </w:tbl>
    <w:p w14:paraId="1AD5CEDD" w14:textId="01DC43A7" w:rsidR="004E43B2" w:rsidRPr="005F0CE8" w:rsidRDefault="008B1757" w:rsidP="004A6040">
      <w:pPr>
        <w:pStyle w:val="FooterTableFigure"/>
      </w:pPr>
      <w:r w:rsidRPr="005F0CE8">
        <w:t>Source: Table</w:t>
      </w:r>
      <w:r w:rsidR="00B2126E" w:rsidRPr="005F0CE8">
        <w:t xml:space="preserve"> 1.1</w:t>
      </w:r>
      <w:r w:rsidRPr="005F0CE8">
        <w:t>, p</w:t>
      </w:r>
      <w:r w:rsidR="00B2126E" w:rsidRPr="005F0CE8">
        <w:t>6</w:t>
      </w:r>
      <w:r w:rsidRPr="005F0CE8">
        <w:t xml:space="preserve"> of the submission.</w:t>
      </w:r>
    </w:p>
    <w:p w14:paraId="7A1C042E" w14:textId="76F9BEEF" w:rsidR="008323C3" w:rsidRPr="005F0CE8" w:rsidRDefault="009E092C" w:rsidP="004A6040">
      <w:pPr>
        <w:pStyle w:val="FooterTableFigure"/>
        <w:rPr>
          <w:sz w:val="20"/>
        </w:rPr>
      </w:pPr>
      <w:r w:rsidRPr="009E092C">
        <w:rPr>
          <w:i/>
        </w:rPr>
        <w:t xml:space="preserve">BRCA </w:t>
      </w:r>
      <w:r w:rsidR="008323C3" w:rsidRPr="005F0CE8">
        <w:t xml:space="preserve">= breast cancer gene, HER2 </w:t>
      </w:r>
      <w:r w:rsidR="0018545C" w:rsidRPr="005F0CE8">
        <w:t>= human</w:t>
      </w:r>
      <w:r w:rsidR="008323C3" w:rsidRPr="005F0CE8">
        <w:t xml:space="preserve"> epidermal growth factor receptor 2.</w:t>
      </w:r>
    </w:p>
    <w:p w14:paraId="176DB660" w14:textId="77777777" w:rsidR="005C25FF" w:rsidRPr="005F0CE8" w:rsidRDefault="005C25FF" w:rsidP="004A6040">
      <w:pPr>
        <w:pStyle w:val="2-SectionHeading"/>
      </w:pPr>
      <w:bookmarkStart w:id="2" w:name="_Toc124883274"/>
      <w:r w:rsidRPr="005F0CE8">
        <w:t>Background</w:t>
      </w:r>
      <w:bookmarkEnd w:id="2"/>
    </w:p>
    <w:p w14:paraId="66FA47CB" w14:textId="77777777" w:rsidR="005C25FF" w:rsidRPr="005F0CE8" w:rsidRDefault="005C25FF" w:rsidP="00B9399E">
      <w:pPr>
        <w:pStyle w:val="4-SubsectionHeading"/>
        <w:outlineLvl w:val="9"/>
      </w:pPr>
      <w:bookmarkStart w:id="3" w:name="_Toc22897638"/>
      <w:bookmarkStart w:id="4" w:name="_Toc124883275"/>
      <w:r w:rsidRPr="005F0CE8">
        <w:t>Registration status</w:t>
      </w:r>
      <w:bookmarkEnd w:id="3"/>
      <w:bookmarkEnd w:id="4"/>
    </w:p>
    <w:p w14:paraId="327DBCF4" w14:textId="3780311B" w:rsidR="001F3B96" w:rsidRPr="005F0CE8" w:rsidRDefault="0020191D" w:rsidP="00477BB3">
      <w:pPr>
        <w:pStyle w:val="3-BodyText"/>
      </w:pPr>
      <w:r w:rsidRPr="005F0CE8">
        <w:rPr>
          <w:rFonts w:eastAsia="Calibri"/>
        </w:rPr>
        <w:t xml:space="preserve">TGA status at time of </w:t>
      </w:r>
      <w:r w:rsidR="00346125" w:rsidRPr="005F0CE8">
        <w:rPr>
          <w:rFonts w:eastAsia="Calibri"/>
        </w:rPr>
        <w:t>PBAC consideration</w:t>
      </w:r>
      <w:r w:rsidRPr="005F0CE8">
        <w:rPr>
          <w:rFonts w:eastAsia="Calibri"/>
        </w:rPr>
        <w:t xml:space="preserve">: </w:t>
      </w:r>
      <w:r w:rsidR="001F3B96" w:rsidRPr="005F0CE8">
        <w:rPr>
          <w:rFonts w:eastAsia="Calibri"/>
        </w:rPr>
        <w:t>not registered for this indication</w:t>
      </w:r>
      <w:r w:rsidR="00DB2BE9">
        <w:rPr>
          <w:rFonts w:eastAsia="Calibri"/>
        </w:rPr>
        <w:t>.</w:t>
      </w:r>
    </w:p>
    <w:p w14:paraId="4A11FA1B" w14:textId="5062B4B1" w:rsidR="00D462C6" w:rsidRPr="005F0CE8" w:rsidRDefault="00543FA6" w:rsidP="00477BB3">
      <w:pPr>
        <w:pStyle w:val="3-BodyText"/>
      </w:pPr>
      <w:bookmarkStart w:id="5" w:name="_Ref127441937"/>
      <w:r w:rsidRPr="005F0CE8">
        <w:t>TGA registration was sought for o</w:t>
      </w:r>
      <w:r w:rsidR="00D462C6" w:rsidRPr="005F0CE8">
        <w:t xml:space="preserve">laparib for adjuvant treatment of adult patients with </w:t>
      </w:r>
      <w:r w:rsidR="005C4788" w:rsidRPr="005F0CE8">
        <w:rPr>
          <w:i/>
        </w:rPr>
        <w:t>BRCA</w:t>
      </w:r>
      <w:r w:rsidR="00D462C6" w:rsidRPr="005F0CE8">
        <w:t>-mutated</w:t>
      </w:r>
      <w:r w:rsidR="007505CF" w:rsidRPr="005F0CE8">
        <w:t xml:space="preserve"> (</w:t>
      </w:r>
      <w:r w:rsidR="009E092C" w:rsidRPr="009E092C">
        <w:rPr>
          <w:i/>
        </w:rPr>
        <w:t>BRCAm</w:t>
      </w:r>
      <w:r w:rsidR="007505CF" w:rsidRPr="005F0CE8">
        <w:t>)</w:t>
      </w:r>
      <w:r w:rsidR="00D462C6" w:rsidRPr="005F0CE8">
        <w:t xml:space="preserve"> HER2-negative </w:t>
      </w:r>
      <w:r w:rsidR="004721DB" w:rsidRPr="005F0CE8">
        <w:t>high-risk</w:t>
      </w:r>
      <w:r w:rsidR="00D462C6" w:rsidRPr="005F0CE8">
        <w:t xml:space="preserve"> early breast cancer who have previously been treated with neoadjuvant or adjuvant chemotherapy.</w:t>
      </w:r>
      <w:bookmarkEnd w:id="5"/>
      <w:r w:rsidR="00D462C6" w:rsidRPr="005F0CE8">
        <w:t xml:space="preserve"> </w:t>
      </w:r>
      <w:r w:rsidR="00C12C7D" w:rsidRPr="005F0CE8">
        <w:rPr>
          <w:iCs/>
        </w:rPr>
        <w:t xml:space="preserve">The TGA </w:t>
      </w:r>
      <w:r w:rsidR="00C12C7D" w:rsidRPr="005F0CE8">
        <w:rPr>
          <w:iCs/>
        </w:rPr>
        <w:lastRenderedPageBreak/>
        <w:t xml:space="preserve">Delegate’s Overview was </w:t>
      </w:r>
      <w:r w:rsidR="00346125" w:rsidRPr="005F0CE8">
        <w:rPr>
          <w:iCs/>
        </w:rPr>
        <w:t>provided with the pre-PBAC response, and stated that the benefit-risk balance in high-risk g</w:t>
      </w:r>
      <w:r w:rsidR="009E092C" w:rsidRPr="009E092C">
        <w:rPr>
          <w:i/>
        </w:rPr>
        <w:t>BRCAm</w:t>
      </w:r>
      <w:r w:rsidR="00346125" w:rsidRPr="005F0CE8">
        <w:rPr>
          <w:iCs/>
        </w:rPr>
        <w:t xml:space="preserve"> </w:t>
      </w:r>
      <w:r w:rsidR="00633694">
        <w:rPr>
          <w:iCs/>
        </w:rPr>
        <w:t>eBC</w:t>
      </w:r>
      <w:r w:rsidR="00346125" w:rsidRPr="005F0CE8">
        <w:rPr>
          <w:iCs/>
        </w:rPr>
        <w:t xml:space="preserve"> </w:t>
      </w:r>
      <w:r w:rsidR="0098083C" w:rsidRPr="005F0CE8">
        <w:rPr>
          <w:iCs/>
        </w:rPr>
        <w:t>was</w:t>
      </w:r>
      <w:r w:rsidR="00346125" w:rsidRPr="005F0CE8">
        <w:rPr>
          <w:iCs/>
        </w:rPr>
        <w:t xml:space="preserve"> considered positive.</w:t>
      </w:r>
    </w:p>
    <w:p w14:paraId="5DF78C3B" w14:textId="2ED58765" w:rsidR="00842CDC" w:rsidRPr="005F0CE8" w:rsidRDefault="00842CDC" w:rsidP="00477BB3">
      <w:pPr>
        <w:pStyle w:val="3-BodyText"/>
      </w:pPr>
      <w:r w:rsidRPr="005F0CE8">
        <w:t xml:space="preserve">Olaparib is TGA approved for indications in metastatic breast cancer, ovarian cancer, adenocarcinoma of the pancreas, and prostate cancer. </w:t>
      </w:r>
    </w:p>
    <w:p w14:paraId="5151C589" w14:textId="084EEF07" w:rsidR="00954680" w:rsidRPr="005F0CE8" w:rsidRDefault="0098083C" w:rsidP="00477BB3">
      <w:pPr>
        <w:pStyle w:val="3-BodyText"/>
      </w:pPr>
      <w:r w:rsidRPr="005F0CE8">
        <w:t>T</w:t>
      </w:r>
      <w:r w:rsidR="0053545A" w:rsidRPr="005F0CE8">
        <w:t>he TGA clinical evaluation report round</w:t>
      </w:r>
      <w:r w:rsidR="00EC252F" w:rsidRPr="005F0CE8">
        <w:t>s</w:t>
      </w:r>
      <w:r w:rsidR="0053545A" w:rsidRPr="005F0CE8">
        <w:t xml:space="preserve"> </w:t>
      </w:r>
      <w:r w:rsidR="00EC252F" w:rsidRPr="005F0CE8">
        <w:t xml:space="preserve">1 and </w:t>
      </w:r>
      <w:r w:rsidRPr="005F0CE8">
        <w:t xml:space="preserve">2 </w:t>
      </w:r>
      <w:r w:rsidR="00EC252F" w:rsidRPr="005F0CE8">
        <w:t xml:space="preserve">were </w:t>
      </w:r>
      <w:r w:rsidR="005C25FF" w:rsidRPr="005F0CE8">
        <w:t>available.</w:t>
      </w:r>
      <w:r w:rsidR="0053545A" w:rsidRPr="005F0CE8">
        <w:t xml:space="preserve"> </w:t>
      </w:r>
      <w:r w:rsidR="00954680" w:rsidRPr="005F0CE8">
        <w:t xml:space="preserve">The TGA evaluator noted that that </w:t>
      </w:r>
      <w:r w:rsidR="001D00C2" w:rsidRPr="005F0CE8">
        <w:t>overall survival (</w:t>
      </w:r>
      <w:r w:rsidR="00954680" w:rsidRPr="005F0CE8">
        <w:t>OS</w:t>
      </w:r>
      <w:r w:rsidR="001D00C2" w:rsidRPr="005F0CE8">
        <w:t>)</w:t>
      </w:r>
      <w:r w:rsidR="00954680" w:rsidRPr="005F0CE8">
        <w:t xml:space="preserve"> data from the key trial was only 8% mature, and proposed that providing final OS data, when available, should be a condition of approval</w:t>
      </w:r>
      <w:r w:rsidR="00297758" w:rsidRPr="005F0CE8">
        <w:t xml:space="preserve"> </w:t>
      </w:r>
      <w:r w:rsidR="00DD354D" w:rsidRPr="005F0CE8">
        <w:t xml:space="preserve">(TGA Clinical evaluation report for olaparib (Lynparza) </w:t>
      </w:r>
      <w:r w:rsidR="001D00C2" w:rsidRPr="005F0CE8">
        <w:t>R</w:t>
      </w:r>
      <w:r w:rsidR="00DD354D" w:rsidRPr="005F0CE8">
        <w:t xml:space="preserve">ound </w:t>
      </w:r>
      <w:r w:rsidRPr="005F0CE8">
        <w:t>2</w:t>
      </w:r>
      <w:r w:rsidR="00DD354D" w:rsidRPr="005F0CE8">
        <w:t>)</w:t>
      </w:r>
      <w:r w:rsidR="00FC4D57" w:rsidRPr="005F0CE8">
        <w:t xml:space="preserve">. </w:t>
      </w:r>
    </w:p>
    <w:p w14:paraId="73BA7328" w14:textId="41B09C20" w:rsidR="006E3F80" w:rsidRPr="005F0CE8" w:rsidRDefault="008F7BCF" w:rsidP="00477BB3">
      <w:pPr>
        <w:pStyle w:val="3-BodyText"/>
      </w:pPr>
      <w:bookmarkStart w:id="6" w:name="_Toc107902078"/>
      <w:bookmarkEnd w:id="6"/>
      <w:r w:rsidRPr="005F0CE8">
        <w:t xml:space="preserve">This </w:t>
      </w:r>
      <w:r w:rsidR="00EC252F" w:rsidRPr="005F0CE8">
        <w:t>was</w:t>
      </w:r>
      <w:r w:rsidRPr="005F0CE8">
        <w:t xml:space="preserve"> a streamlined codepend</w:t>
      </w:r>
      <w:r w:rsidR="00DD77FD" w:rsidRPr="005F0CE8">
        <w:t>e</w:t>
      </w:r>
      <w:r w:rsidRPr="005F0CE8">
        <w:t xml:space="preserve">nt submission with a requested MBS </w:t>
      </w:r>
      <w:r w:rsidR="003306AE" w:rsidRPr="005F0CE8">
        <w:t>item</w:t>
      </w:r>
      <w:r w:rsidRPr="005F0CE8">
        <w:t xml:space="preserve"> for germline </w:t>
      </w:r>
      <w:r w:rsidR="00DD77FD" w:rsidRPr="005F0CE8">
        <w:t xml:space="preserve">variant </w:t>
      </w:r>
      <w:r w:rsidRPr="005F0CE8">
        <w:t xml:space="preserve">testing to determine the presence of </w:t>
      </w:r>
      <w:r w:rsidR="009E092C" w:rsidRPr="009E092C">
        <w:rPr>
          <w:i/>
        </w:rPr>
        <w:t>BRCA1</w:t>
      </w:r>
      <w:r w:rsidRPr="005F0CE8">
        <w:t xml:space="preserve"> or </w:t>
      </w:r>
      <w:r w:rsidR="009E092C" w:rsidRPr="009E092C">
        <w:rPr>
          <w:i/>
        </w:rPr>
        <w:t>BRCA2</w:t>
      </w:r>
      <w:r w:rsidRPr="005F0CE8">
        <w:t xml:space="preserve"> pathogenic</w:t>
      </w:r>
      <w:r w:rsidR="00DD77FD" w:rsidRPr="005F0CE8">
        <w:t>/likely pathogenic</w:t>
      </w:r>
      <w:r w:rsidRPr="005F0CE8">
        <w:t xml:space="preserve"> </w:t>
      </w:r>
      <w:r w:rsidR="00DD77FD" w:rsidRPr="005F0CE8">
        <w:t xml:space="preserve">gene variants </w:t>
      </w:r>
      <w:r w:rsidRPr="005F0CE8">
        <w:t xml:space="preserve">in patients with triple negative early breast cancer or hormone receptor positive, </w:t>
      </w:r>
      <w:r w:rsidR="004D1CA1">
        <w:t xml:space="preserve">HER2-negative </w:t>
      </w:r>
      <w:r w:rsidRPr="005F0CE8">
        <w:t>, early breast cancer with high-risk characteristics.</w:t>
      </w:r>
    </w:p>
    <w:p w14:paraId="23DA94E7" w14:textId="4DE3080E" w:rsidR="008F7BCF" w:rsidRPr="005F0CE8" w:rsidRDefault="008F7BCF" w:rsidP="00477BB3">
      <w:pPr>
        <w:pStyle w:val="3-BodyText"/>
      </w:pPr>
      <w:r w:rsidRPr="005F0CE8">
        <w:t>The MSAC executive determined that a streamlined co-dependent pathway</w:t>
      </w:r>
      <w:r w:rsidR="00E16B56" w:rsidRPr="005F0CE8">
        <w:t xml:space="preserve"> was appropriate</w:t>
      </w:r>
      <w:r w:rsidRPr="005F0CE8">
        <w:t xml:space="preserve">. </w:t>
      </w:r>
      <w:r w:rsidR="00543FA6" w:rsidRPr="005F0CE8">
        <w:t xml:space="preserve">The application </w:t>
      </w:r>
      <w:r w:rsidR="009A6BB5" w:rsidRPr="005F0CE8">
        <w:t>wa</w:t>
      </w:r>
      <w:r w:rsidR="00543FA6" w:rsidRPr="005F0CE8">
        <w:t xml:space="preserve">s scheduled for MSAC consideration at </w:t>
      </w:r>
      <w:r w:rsidR="00DD77FD" w:rsidRPr="005F0CE8">
        <w:t xml:space="preserve">its </w:t>
      </w:r>
      <w:r w:rsidR="00543FA6" w:rsidRPr="005F0CE8">
        <w:t>March 2023 meeting.</w:t>
      </w:r>
      <w:r w:rsidR="00DD77FD" w:rsidRPr="005F0CE8">
        <w:t xml:space="preserve"> </w:t>
      </w:r>
      <w:r w:rsidRPr="005F0CE8">
        <w:t xml:space="preserve">The </w:t>
      </w:r>
      <w:r w:rsidR="00E16B56" w:rsidRPr="005F0CE8">
        <w:t xml:space="preserve">requested </w:t>
      </w:r>
      <w:r w:rsidRPr="005F0CE8">
        <w:t xml:space="preserve">MBS item is </w:t>
      </w:r>
      <w:r w:rsidR="00E16B56" w:rsidRPr="005F0CE8">
        <w:t xml:space="preserve">shown </w:t>
      </w:r>
      <w:r w:rsidRPr="005F0CE8">
        <w:t xml:space="preserve">in </w:t>
      </w:r>
      <w:r w:rsidR="001036EB" w:rsidRPr="005F0CE8">
        <w:fldChar w:fldCharType="begin"/>
      </w:r>
      <w:r w:rsidR="001036EB" w:rsidRPr="005F0CE8">
        <w:instrText xml:space="preserve"> REF _Ref121760087 \h </w:instrText>
      </w:r>
      <w:r w:rsidR="005B717F" w:rsidRPr="005F0CE8">
        <w:instrText xml:space="preserve"> \* MERGEFORMAT </w:instrText>
      </w:r>
      <w:r w:rsidR="001036EB" w:rsidRPr="005F0CE8">
        <w:fldChar w:fldCharType="separate"/>
      </w:r>
      <w:r w:rsidR="00AB6006" w:rsidRPr="005F0CE8">
        <w:t xml:space="preserve">Table </w:t>
      </w:r>
      <w:r w:rsidR="00AB6006">
        <w:t>2</w:t>
      </w:r>
      <w:r w:rsidR="001036EB" w:rsidRPr="005F0CE8">
        <w:fldChar w:fldCharType="end"/>
      </w:r>
      <w:r w:rsidRPr="005F0CE8">
        <w:t>.</w:t>
      </w:r>
      <w:r w:rsidR="007505CF" w:rsidRPr="005F0CE8">
        <w:t xml:space="preserve"> </w:t>
      </w:r>
    </w:p>
    <w:p w14:paraId="138F1BD7" w14:textId="6875AEB6" w:rsidR="008F7BCF" w:rsidRPr="005F0CE8" w:rsidRDefault="008F7BCF" w:rsidP="008F7BCF">
      <w:pPr>
        <w:pStyle w:val="Caption"/>
      </w:pPr>
      <w:bookmarkStart w:id="7" w:name="_Ref121760087"/>
      <w:r w:rsidRPr="005F0CE8">
        <w:t xml:space="preserve">Table </w:t>
      </w:r>
      <w:fldSimple w:instr=" SEQ Table \* ARABIC ">
        <w:r w:rsidR="00AB6006">
          <w:rPr>
            <w:noProof/>
          </w:rPr>
          <w:t>2</w:t>
        </w:r>
      </w:fldSimple>
      <w:bookmarkEnd w:id="7"/>
      <w:r w:rsidRPr="005F0CE8">
        <w:t>: Requested MBS item descriptors</w:t>
      </w:r>
      <w:r w:rsidR="005B717F" w:rsidRPr="005F0CE8">
        <w:t xml:space="preserve"> (MSAC Application 1716)</w:t>
      </w:r>
    </w:p>
    <w:tbl>
      <w:tblPr>
        <w:tblStyle w:val="TableGrid"/>
        <w:tblW w:w="5000" w:type="pct"/>
        <w:tblLook w:val="04A0" w:firstRow="1" w:lastRow="0" w:firstColumn="1" w:lastColumn="0" w:noHBand="0" w:noVBand="1"/>
      </w:tblPr>
      <w:tblGrid>
        <w:gridCol w:w="4505"/>
        <w:gridCol w:w="4512"/>
      </w:tblGrid>
      <w:tr w:rsidR="008F7BCF" w:rsidRPr="005F0CE8" w14:paraId="4EFA7CC5" w14:textId="77777777" w:rsidTr="008323C3">
        <w:trPr>
          <w:cantSplit/>
          <w:tblHeader/>
        </w:trPr>
        <w:tc>
          <w:tcPr>
            <w:tcW w:w="9017" w:type="dxa"/>
            <w:gridSpan w:val="2"/>
            <w:tcBorders>
              <w:top w:val="single" w:sz="4" w:space="0" w:color="auto"/>
              <w:left w:val="single" w:sz="4" w:space="0" w:color="auto"/>
              <w:bottom w:val="single" w:sz="4" w:space="0" w:color="auto"/>
              <w:right w:val="single" w:sz="4" w:space="0" w:color="auto"/>
            </w:tcBorders>
          </w:tcPr>
          <w:p w14:paraId="742BCA3D" w14:textId="77777777" w:rsidR="008F7BCF" w:rsidRPr="005F0CE8" w:rsidRDefault="008F7BCF" w:rsidP="00712014">
            <w:pPr>
              <w:pStyle w:val="TableText1"/>
              <w:spacing w:before="0" w:after="0"/>
              <w:jc w:val="right"/>
              <w:rPr>
                <w:rFonts w:ascii="Arial Narrow" w:hAnsi="Arial Narrow"/>
              </w:rPr>
            </w:pPr>
            <w:r w:rsidRPr="005F0CE8">
              <w:rPr>
                <w:rFonts w:ascii="Arial Narrow" w:hAnsi="Arial Narrow"/>
              </w:rPr>
              <w:t>Category 6 – Pathology Services</w:t>
            </w:r>
          </w:p>
        </w:tc>
      </w:tr>
      <w:tr w:rsidR="008F7BCF" w:rsidRPr="005F0CE8" w14:paraId="7CCFD380" w14:textId="77777777" w:rsidTr="008323C3">
        <w:trPr>
          <w:cantSplit/>
          <w:tblHeader/>
        </w:trPr>
        <w:tc>
          <w:tcPr>
            <w:tcW w:w="4505" w:type="dxa"/>
            <w:tcBorders>
              <w:top w:val="single" w:sz="4" w:space="0" w:color="auto"/>
              <w:left w:val="single" w:sz="4" w:space="0" w:color="auto"/>
              <w:bottom w:val="single" w:sz="4" w:space="0" w:color="auto"/>
              <w:right w:val="single" w:sz="4" w:space="0" w:color="auto"/>
            </w:tcBorders>
          </w:tcPr>
          <w:p w14:paraId="7A918015" w14:textId="49A0C605" w:rsidR="008F7BCF" w:rsidRPr="005F0CE8" w:rsidRDefault="008F7BCF" w:rsidP="00712014">
            <w:pPr>
              <w:pStyle w:val="TableText1"/>
              <w:spacing w:before="0" w:after="0"/>
              <w:rPr>
                <w:rFonts w:ascii="Arial Narrow" w:hAnsi="Arial Narrow"/>
              </w:rPr>
            </w:pPr>
            <w:r w:rsidRPr="005F0CE8">
              <w:rPr>
                <w:rFonts w:ascii="Arial Narrow" w:hAnsi="Arial Narrow"/>
              </w:rPr>
              <w:t xml:space="preserve">MBS </w:t>
            </w:r>
            <w:r w:rsidR="004710B2" w:rsidRPr="005F0CE8">
              <w:rPr>
                <w:rFonts w:ascii="Arial Narrow" w:hAnsi="Arial Narrow"/>
              </w:rPr>
              <w:t>item NEW</w:t>
            </w:r>
          </w:p>
        </w:tc>
        <w:tc>
          <w:tcPr>
            <w:tcW w:w="4512" w:type="dxa"/>
            <w:tcBorders>
              <w:top w:val="single" w:sz="4" w:space="0" w:color="auto"/>
              <w:left w:val="single" w:sz="4" w:space="0" w:color="auto"/>
              <w:bottom w:val="single" w:sz="4" w:space="0" w:color="auto"/>
              <w:right w:val="single" w:sz="4" w:space="0" w:color="auto"/>
            </w:tcBorders>
          </w:tcPr>
          <w:p w14:paraId="3AEBA2C3" w14:textId="77777777" w:rsidR="008F7BCF" w:rsidRPr="005F0CE8" w:rsidRDefault="008F7BCF" w:rsidP="00712014">
            <w:pPr>
              <w:pStyle w:val="TableText1"/>
              <w:spacing w:before="0" w:after="0"/>
              <w:jc w:val="right"/>
              <w:rPr>
                <w:rFonts w:ascii="Arial Narrow" w:hAnsi="Arial Narrow"/>
              </w:rPr>
            </w:pPr>
            <w:r w:rsidRPr="005F0CE8">
              <w:rPr>
                <w:rFonts w:ascii="Arial Narrow" w:hAnsi="Arial Narrow"/>
              </w:rPr>
              <w:t>Group P7 – Genetics</w:t>
            </w:r>
          </w:p>
        </w:tc>
      </w:tr>
      <w:tr w:rsidR="008F7BCF" w:rsidRPr="005F0CE8" w14:paraId="6CDA0013" w14:textId="77777777" w:rsidTr="008323C3">
        <w:trPr>
          <w:cantSplit/>
          <w:tblHeader/>
        </w:trPr>
        <w:tc>
          <w:tcPr>
            <w:tcW w:w="9017" w:type="dxa"/>
            <w:gridSpan w:val="2"/>
            <w:tcBorders>
              <w:top w:val="single" w:sz="4" w:space="0" w:color="auto"/>
              <w:left w:val="single" w:sz="4" w:space="0" w:color="auto"/>
              <w:bottom w:val="single" w:sz="4" w:space="0" w:color="auto"/>
              <w:right w:val="single" w:sz="4" w:space="0" w:color="auto"/>
            </w:tcBorders>
          </w:tcPr>
          <w:p w14:paraId="4BF1CC56" w14:textId="66DF7C09" w:rsidR="008F7BCF" w:rsidRPr="005F0CE8" w:rsidRDefault="008F7BCF" w:rsidP="00712014">
            <w:pPr>
              <w:pStyle w:val="TableText1"/>
              <w:spacing w:before="0" w:after="0"/>
              <w:rPr>
                <w:rFonts w:ascii="Arial Narrow" w:hAnsi="Arial Narrow"/>
              </w:rPr>
            </w:pPr>
            <w:r w:rsidRPr="005F0CE8">
              <w:rPr>
                <w:rFonts w:ascii="Arial Narrow" w:hAnsi="Arial Narrow"/>
              </w:rPr>
              <w:t xml:space="preserve">Detection of germline </w:t>
            </w:r>
            <w:r w:rsidR="009E092C" w:rsidRPr="009E092C">
              <w:rPr>
                <w:rFonts w:ascii="Arial Narrow" w:hAnsi="Arial Narrow"/>
                <w:i/>
              </w:rPr>
              <w:t>BRCA1</w:t>
            </w:r>
            <w:r w:rsidRPr="005F0CE8">
              <w:rPr>
                <w:rFonts w:ascii="Arial Narrow" w:hAnsi="Arial Narrow"/>
              </w:rPr>
              <w:t xml:space="preserve"> or </w:t>
            </w:r>
            <w:r w:rsidR="009E092C" w:rsidRPr="009E092C">
              <w:rPr>
                <w:rFonts w:ascii="Arial Narrow" w:hAnsi="Arial Narrow"/>
                <w:i/>
              </w:rPr>
              <w:t>BRCA2</w:t>
            </w:r>
            <w:r w:rsidRPr="005F0CE8">
              <w:rPr>
                <w:rFonts w:ascii="Arial Narrow" w:hAnsi="Arial Narrow"/>
              </w:rPr>
              <w:t xml:space="preserve"> pathogenic or likely pathogenic gene variants, in a patient with triple negative early breast cancer or hormone receptor positive, HER2-negative, early breast cancer with high risk characteristics (i) tumour histological grading of at least 3, (ii) tumour size of greater than 2 cm, (iii) cancer cells in any positive axillary lymph nodes, (iv) high recurrence score (multigene assayα), requested by a specialist or consultant physician, to determine eligibility for olaparib under the Pharmaceutical Benefits Scheme (PBS)</w:t>
            </w:r>
          </w:p>
          <w:p w14:paraId="1638DC62" w14:textId="77777777" w:rsidR="008F7BCF" w:rsidRPr="005F0CE8" w:rsidRDefault="008F7BCF" w:rsidP="00712014">
            <w:pPr>
              <w:pStyle w:val="TableText1"/>
              <w:spacing w:before="0" w:after="0"/>
              <w:rPr>
                <w:rFonts w:ascii="Arial Narrow" w:hAnsi="Arial Narrow"/>
              </w:rPr>
            </w:pPr>
          </w:p>
          <w:p w14:paraId="1E6B469D" w14:textId="77777777" w:rsidR="008F7BCF" w:rsidRPr="005F0CE8" w:rsidRDefault="008F7BCF" w:rsidP="00712014">
            <w:pPr>
              <w:pStyle w:val="TableText1"/>
              <w:spacing w:before="0" w:after="0"/>
              <w:rPr>
                <w:rFonts w:ascii="Arial Narrow" w:hAnsi="Arial Narrow"/>
              </w:rPr>
            </w:pPr>
            <w:r w:rsidRPr="005F0CE8">
              <w:rPr>
                <w:rFonts w:ascii="Arial Narrow" w:hAnsi="Arial Narrow"/>
              </w:rPr>
              <w:t xml:space="preserve">Maximum one test per lifetime </w:t>
            </w:r>
          </w:p>
          <w:p w14:paraId="1480B28E" w14:textId="77777777" w:rsidR="008F7BCF" w:rsidRPr="005F0CE8" w:rsidRDefault="008F7BCF" w:rsidP="00712014">
            <w:pPr>
              <w:pStyle w:val="TableText1"/>
              <w:spacing w:before="0" w:after="0"/>
              <w:rPr>
                <w:rFonts w:ascii="Arial Narrow" w:hAnsi="Arial Narrow"/>
              </w:rPr>
            </w:pPr>
          </w:p>
          <w:p w14:paraId="284EA9EF" w14:textId="77777777" w:rsidR="008F7BCF" w:rsidRPr="005F0CE8" w:rsidRDefault="008F7BCF" w:rsidP="00712014">
            <w:pPr>
              <w:pStyle w:val="TableText1"/>
              <w:spacing w:before="0" w:after="0"/>
              <w:rPr>
                <w:rFonts w:ascii="Arial Narrow" w:hAnsi="Arial Narrow"/>
              </w:rPr>
            </w:pPr>
            <w:r w:rsidRPr="005F0CE8">
              <w:rPr>
                <w:rFonts w:ascii="Arial Narrow" w:hAnsi="Arial Narrow"/>
              </w:rPr>
              <w:t>Fee: $1,200.00</w:t>
            </w:r>
            <w:r w:rsidRPr="005F0CE8">
              <w:rPr>
                <w:rFonts w:ascii="Arial Narrow" w:hAnsi="Arial Narrow"/>
              </w:rPr>
              <w:tab/>
              <w:t>Benefit: 75% = $900.00</w:t>
            </w:r>
            <w:r w:rsidRPr="005F0CE8">
              <w:rPr>
                <w:rFonts w:ascii="Arial Narrow" w:hAnsi="Arial Narrow"/>
              </w:rPr>
              <w:tab/>
              <w:t>85% = $1,112.10</w:t>
            </w:r>
          </w:p>
        </w:tc>
      </w:tr>
      <w:tr w:rsidR="008F7BCF" w:rsidRPr="005F0CE8" w14:paraId="05CEEF7E" w14:textId="77777777" w:rsidTr="008323C3">
        <w:trPr>
          <w:cantSplit/>
          <w:tblHeader/>
        </w:trPr>
        <w:tc>
          <w:tcPr>
            <w:tcW w:w="9017" w:type="dxa"/>
            <w:gridSpan w:val="2"/>
            <w:tcBorders>
              <w:top w:val="single" w:sz="4" w:space="0" w:color="auto"/>
              <w:left w:val="single" w:sz="4" w:space="0" w:color="auto"/>
              <w:bottom w:val="single" w:sz="4" w:space="0" w:color="auto"/>
              <w:right w:val="single" w:sz="4" w:space="0" w:color="auto"/>
            </w:tcBorders>
          </w:tcPr>
          <w:p w14:paraId="0241D955" w14:textId="77777777" w:rsidR="008F7BCF" w:rsidRPr="005F0CE8" w:rsidRDefault="008F7BCF" w:rsidP="00712014">
            <w:pPr>
              <w:pStyle w:val="TableText1"/>
              <w:spacing w:before="0" w:after="0"/>
              <w:rPr>
                <w:rFonts w:ascii="Arial Narrow" w:hAnsi="Arial Narrow"/>
                <w:b/>
                <w:bCs w:val="0"/>
              </w:rPr>
            </w:pPr>
            <w:r w:rsidRPr="005F0CE8">
              <w:rPr>
                <w:rFonts w:ascii="Arial Narrow" w:hAnsi="Arial Narrow"/>
                <w:b/>
              </w:rPr>
              <w:t>Explanatory notes</w:t>
            </w:r>
          </w:p>
          <w:p w14:paraId="333B523E" w14:textId="5522EC13" w:rsidR="008F7BCF" w:rsidRPr="005F0CE8" w:rsidRDefault="008F7BCF" w:rsidP="00712014">
            <w:pPr>
              <w:pStyle w:val="TableText1"/>
              <w:spacing w:before="0" w:after="0"/>
              <w:rPr>
                <w:rFonts w:ascii="Arial Narrow" w:hAnsi="Arial Narrow"/>
                <w:sz w:val="22"/>
                <w:szCs w:val="22"/>
              </w:rPr>
            </w:pPr>
            <w:r w:rsidRPr="005F0CE8">
              <w:rPr>
                <w:rFonts w:ascii="Arial Narrow" w:hAnsi="Arial Narrow"/>
              </w:rPr>
              <w:t xml:space="preserve">Patients who are found to have a pathogenic or likely pathogenic variant in </w:t>
            </w:r>
            <w:r w:rsidR="009E092C" w:rsidRPr="009E092C">
              <w:rPr>
                <w:rFonts w:ascii="Arial Narrow" w:hAnsi="Arial Narrow"/>
                <w:i/>
              </w:rPr>
              <w:t>BRCA1</w:t>
            </w:r>
            <w:r w:rsidRPr="005F0CE8">
              <w:rPr>
                <w:rFonts w:ascii="Arial Narrow" w:hAnsi="Arial Narrow"/>
              </w:rPr>
              <w:t xml:space="preserve"> or </w:t>
            </w:r>
            <w:r w:rsidR="009E092C" w:rsidRPr="009E092C">
              <w:rPr>
                <w:rFonts w:ascii="Arial Narrow" w:hAnsi="Arial Narrow"/>
                <w:i/>
              </w:rPr>
              <w:t>BRCA2</w:t>
            </w:r>
            <w:r w:rsidRPr="005F0CE8">
              <w:rPr>
                <w:rFonts w:ascii="Arial Narrow" w:hAnsi="Arial Narrow"/>
              </w:rPr>
              <w:t xml:space="preserve">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46B95BE4" w14:textId="5F448531" w:rsidR="0012751E" w:rsidRPr="005F0CE8" w:rsidRDefault="00712014" w:rsidP="00477BB3">
      <w:pPr>
        <w:pStyle w:val="FooterTableFigure"/>
      </w:pPr>
      <w:r w:rsidRPr="005F0CE8">
        <w:t>Source: Table 1.7, p30 of the submission.</w:t>
      </w:r>
    </w:p>
    <w:p w14:paraId="21613FA0" w14:textId="4BE89773" w:rsidR="00B83AAB" w:rsidRPr="005F0CE8" w:rsidRDefault="009E092C" w:rsidP="00477BB3">
      <w:pPr>
        <w:pStyle w:val="FooterTableFigure"/>
      </w:pPr>
      <w:r w:rsidRPr="009E092C">
        <w:rPr>
          <w:i/>
        </w:rPr>
        <w:t xml:space="preserve">BRCA </w:t>
      </w:r>
      <w:r w:rsidR="002565EA" w:rsidRPr="005F0CE8">
        <w:t>= breast cancer gene</w:t>
      </w:r>
      <w:r w:rsidR="008323C3" w:rsidRPr="005F0CE8">
        <w:t>,</w:t>
      </w:r>
      <w:r w:rsidR="002565EA" w:rsidRPr="005F0CE8">
        <w:t xml:space="preserve"> HER2 = human epidermal growth factors receptor 2</w:t>
      </w:r>
      <w:r w:rsidR="008323C3" w:rsidRPr="005F0CE8">
        <w:t>,</w:t>
      </w:r>
      <w:r w:rsidR="002565EA" w:rsidRPr="005F0CE8">
        <w:t xml:space="preserve"> MBS = Medicare Benefits Schedule.</w:t>
      </w:r>
    </w:p>
    <w:p w14:paraId="749F20EE" w14:textId="1443E300" w:rsidR="007333B3" w:rsidRPr="005F0CE8" w:rsidRDefault="007333B3" w:rsidP="001602B4">
      <w:pPr>
        <w:pStyle w:val="4-SubsectionHeading"/>
      </w:pPr>
      <w:bookmarkStart w:id="8" w:name="_Hlk124526046"/>
      <w:r w:rsidRPr="005F0CE8">
        <w:t>De</w:t>
      </w:r>
      <w:r w:rsidR="00480928">
        <w:t xml:space="preserve"> </w:t>
      </w:r>
      <w:r w:rsidRPr="005F0CE8">
        <w:t xml:space="preserve">novo metastatic disease: </w:t>
      </w:r>
    </w:p>
    <w:p w14:paraId="17BF468C" w14:textId="0FC6DDF5" w:rsidR="007333B3" w:rsidRPr="005F0CE8" w:rsidRDefault="007333B3" w:rsidP="00477BB3">
      <w:pPr>
        <w:pStyle w:val="3-BodyText"/>
      </w:pPr>
      <w:bookmarkStart w:id="9" w:name="_Ref127522551"/>
      <w:r w:rsidRPr="005F0CE8">
        <w:t>Patients with de</w:t>
      </w:r>
      <w:r w:rsidR="00DD77FD" w:rsidRPr="005F0CE8">
        <w:t xml:space="preserve"> </w:t>
      </w:r>
      <w:r w:rsidRPr="005F0CE8">
        <w:t xml:space="preserve">novo metastatic disease (roughly 5% to 15% of </w:t>
      </w:r>
      <w:r w:rsidR="00BA3A25" w:rsidRPr="005F0CE8">
        <w:rPr>
          <w:i/>
        </w:rPr>
        <w:t>BRCA</w:t>
      </w:r>
      <w:r w:rsidRPr="005F0CE8">
        <w:t xml:space="preserve">-positive patients in Australia) would not be able to access olaparib under the proposed listing, which may raise equity concerns. </w:t>
      </w:r>
      <w:r w:rsidRPr="005F0CE8">
        <w:rPr>
          <w:iCs/>
        </w:rPr>
        <w:t xml:space="preserve">The </w:t>
      </w:r>
      <w:r w:rsidR="00DA7FEE" w:rsidRPr="005F0CE8">
        <w:rPr>
          <w:iCs/>
        </w:rPr>
        <w:t xml:space="preserve">Economics Sub Committee (ESC) </w:t>
      </w:r>
      <w:r w:rsidRPr="005F0CE8">
        <w:rPr>
          <w:iCs/>
        </w:rPr>
        <w:t>noted that the sponsor ha</w:t>
      </w:r>
      <w:r w:rsidR="00E16B56" w:rsidRPr="005F0CE8">
        <w:rPr>
          <w:iCs/>
        </w:rPr>
        <w:t>d</w:t>
      </w:r>
      <w:r w:rsidRPr="005F0CE8">
        <w:rPr>
          <w:iCs/>
        </w:rPr>
        <w:t xml:space="preserve"> not submitted a PBAC application for this indication to date</w:t>
      </w:r>
      <w:r w:rsidR="00E16B56" w:rsidRPr="005F0CE8">
        <w:rPr>
          <w:iCs/>
        </w:rPr>
        <w:t xml:space="preserve"> and that </w:t>
      </w:r>
      <w:r w:rsidRPr="005F0CE8">
        <w:rPr>
          <w:iCs/>
        </w:rPr>
        <w:t>cost-effectiveness ha</w:t>
      </w:r>
      <w:r w:rsidR="00E16B56" w:rsidRPr="005F0CE8">
        <w:rPr>
          <w:iCs/>
        </w:rPr>
        <w:t>d</w:t>
      </w:r>
      <w:r w:rsidRPr="005F0CE8">
        <w:rPr>
          <w:iCs/>
        </w:rPr>
        <w:t xml:space="preserve"> not been assessed in this population.</w:t>
      </w:r>
      <w:bookmarkEnd w:id="9"/>
    </w:p>
    <w:p w14:paraId="2002148B" w14:textId="75BABA06" w:rsidR="007333B3" w:rsidRPr="005F0CE8" w:rsidRDefault="007333B3" w:rsidP="00477BB3">
      <w:pPr>
        <w:pStyle w:val="3-BodyText"/>
        <w:rPr>
          <w:iCs/>
        </w:rPr>
      </w:pPr>
      <w:bookmarkStart w:id="10" w:name="_Ref127522507"/>
      <w:r w:rsidRPr="005F0CE8">
        <w:t xml:space="preserve">The </w:t>
      </w:r>
      <w:r w:rsidR="00E16B56" w:rsidRPr="005F0CE8">
        <w:t xml:space="preserve">ESC noted that the </w:t>
      </w:r>
      <w:r w:rsidRPr="005F0CE8">
        <w:t>phase III OlympiAD trial</w:t>
      </w:r>
      <w:r w:rsidR="007729D9" w:rsidRPr="005F0CE8">
        <w:t xml:space="preserve"> compared o</w:t>
      </w:r>
      <w:r w:rsidR="007729D9" w:rsidRPr="005F0CE8">
        <w:rPr>
          <w:iCs/>
        </w:rPr>
        <w:t>laparib monotherapy with standard therapy in patients with g</w:t>
      </w:r>
      <w:r w:rsidR="009E092C" w:rsidRPr="009E092C">
        <w:rPr>
          <w:i/>
          <w:iCs/>
        </w:rPr>
        <w:t xml:space="preserve">BRCA </w:t>
      </w:r>
      <w:r w:rsidR="007729D9" w:rsidRPr="005F0CE8">
        <w:rPr>
          <w:iCs/>
        </w:rPr>
        <w:t xml:space="preserve">mutation and HER2–negative metastatic breast cancer. OlympiAD </w:t>
      </w:r>
      <w:r w:rsidRPr="005F0CE8">
        <w:t xml:space="preserve">reported a statistically significant benefit in the primary </w:t>
      </w:r>
      <w:r w:rsidRPr="005F0CE8">
        <w:lastRenderedPageBreak/>
        <w:t>outcome of PFS for olaparib (n=205) vs single-agent capecitabine, eribulin or vinorelbine (n=97)</w:t>
      </w:r>
      <w:r w:rsidR="004C35A9" w:rsidRPr="005F0CE8">
        <w:t>(median</w:t>
      </w:r>
      <w:r w:rsidRPr="005F0CE8">
        <w:t>: 7.0 months vs 4.2 months, HR=0.58 (</w:t>
      </w:r>
      <w:r w:rsidR="004C35A9" w:rsidRPr="005F0CE8">
        <w:t xml:space="preserve">95% CI: </w:t>
      </w:r>
      <w:r w:rsidRPr="005F0CE8">
        <w:t>0.43, 0.80)</w:t>
      </w:r>
      <w:r w:rsidR="004C35A9" w:rsidRPr="005F0CE8">
        <w:t>)</w:t>
      </w:r>
      <w:r w:rsidRPr="005F0CE8">
        <w:t>, but the final result for OS (64% maturity, 25 months FU) was not statistically significant</w:t>
      </w:r>
      <w:r w:rsidR="004C35A9" w:rsidRPr="005F0CE8">
        <w:t xml:space="preserve"> (me</w:t>
      </w:r>
      <w:r w:rsidRPr="005F0CE8">
        <w:t>d</w:t>
      </w:r>
      <w:r w:rsidR="004C35A9" w:rsidRPr="005F0CE8">
        <w:t>ian</w:t>
      </w:r>
      <w:r w:rsidRPr="005F0CE8">
        <w:t>: 19.3 months vs 17.1 months, HR=0.90 (</w:t>
      </w:r>
      <w:r w:rsidR="004C35A9" w:rsidRPr="005F0CE8">
        <w:t xml:space="preserve">95% CI: </w:t>
      </w:r>
      <w:r w:rsidRPr="005F0CE8">
        <w:t xml:space="preserve">0.66, 1.23). Cross-over was not part of the study protocol; 8 of 97 patients in the chemotherapy arm had subsequent (off-study) </w:t>
      </w:r>
      <w:r w:rsidR="007729D9" w:rsidRPr="005F0CE8">
        <w:t xml:space="preserve">PARPi </w:t>
      </w:r>
      <w:r w:rsidRPr="005F0CE8">
        <w:t>treatment.</w:t>
      </w:r>
      <w:bookmarkEnd w:id="10"/>
      <w:r w:rsidRPr="005F0CE8">
        <w:t xml:space="preserve"> </w:t>
      </w:r>
      <w:r w:rsidR="008331E6" w:rsidRPr="005F0CE8">
        <w:rPr>
          <w:iCs/>
        </w:rPr>
        <w:t xml:space="preserve">The ESC considered that the pre-planned subgroup analysis of OS for patients who had not received chemotherapy for metastatic disease (n=78) in the phase III OlympiAD trial suggests a potential survival advantage (HR=0.51, 0.29, 0.90), but considered potential confounding, small sample size and lack of statistically significant OS advantage in the overall population limits interpretation. </w:t>
      </w:r>
    </w:p>
    <w:p w14:paraId="3923FCE6" w14:textId="7D20FA5F" w:rsidR="008331E6" w:rsidRPr="005F0CE8" w:rsidRDefault="007333B3" w:rsidP="00477BB3">
      <w:pPr>
        <w:pStyle w:val="3-BodyText"/>
      </w:pPr>
      <w:r w:rsidRPr="005F0CE8">
        <w:t xml:space="preserve">The </w:t>
      </w:r>
      <w:r w:rsidR="00DB2BE9">
        <w:t>Pre-Sub-Committee Response (</w:t>
      </w:r>
      <w:r w:rsidRPr="005F0CE8">
        <w:t>PSCR</w:t>
      </w:r>
      <w:r w:rsidR="00DB2BE9">
        <w:t>)</w:t>
      </w:r>
      <w:r w:rsidRPr="005F0CE8">
        <w:t xml:space="preserve"> estimated </w:t>
      </w:r>
      <w:r w:rsidR="001E2ABB">
        <w:t>&lt; 500</w:t>
      </w:r>
      <w:r w:rsidR="001E2ABB" w:rsidRPr="005F0CE8">
        <w:t xml:space="preserve"> </w:t>
      </w:r>
      <w:r w:rsidRPr="005F0CE8">
        <w:t xml:space="preserve">to </w:t>
      </w:r>
      <w:r w:rsidR="001E2ABB">
        <w:t>&lt; 500</w:t>
      </w:r>
      <w:r w:rsidR="001E2ABB" w:rsidRPr="005F0CE8">
        <w:t xml:space="preserve"> </w:t>
      </w:r>
      <w:r w:rsidRPr="005F0CE8">
        <w:t xml:space="preserve">incident cases per year over the next six years </w:t>
      </w:r>
      <w:r w:rsidR="0028715B" w:rsidRPr="005F0CE8">
        <w:t xml:space="preserve">diagnosed as Stage IV BC </w:t>
      </w:r>
      <w:r w:rsidRPr="005F0CE8">
        <w:t xml:space="preserve">based on AIHW estimates of patients. </w:t>
      </w:r>
      <w:r w:rsidR="004C3E05" w:rsidRPr="005F0CE8">
        <w:t>The PSCR assumed that at least 95% of eligible de novo mBC patients would elect treatment, which resulted in an e</w:t>
      </w:r>
      <w:r w:rsidR="0055698D" w:rsidRPr="005F0CE8">
        <w:t>s</w:t>
      </w:r>
      <w:r w:rsidR="004C3E05" w:rsidRPr="005F0CE8">
        <w:t xml:space="preserve">timate of </w:t>
      </w:r>
      <w:r w:rsidR="001E2ABB">
        <w:t>&lt; 500</w:t>
      </w:r>
      <w:r w:rsidR="001E2ABB" w:rsidRPr="005F0CE8">
        <w:t xml:space="preserve"> </w:t>
      </w:r>
      <w:r w:rsidR="004C3E05" w:rsidRPr="005F0CE8">
        <w:t xml:space="preserve">to </w:t>
      </w:r>
      <w:r w:rsidR="001E2ABB">
        <w:t>&lt; 500</w:t>
      </w:r>
      <w:r w:rsidR="004C3E05" w:rsidRPr="005F0CE8">
        <w:t xml:space="preserve"> patients </w:t>
      </w:r>
      <w:r w:rsidR="0055698D" w:rsidRPr="005F0CE8">
        <w:t xml:space="preserve">treated with olaparib per year. </w:t>
      </w:r>
      <w:r w:rsidR="008331E6" w:rsidRPr="005F0CE8">
        <w:t>The PSCR stated that the sponsor currently provides olaparib treatment as a part-paid patient access program for patients with de</w:t>
      </w:r>
      <w:r w:rsidR="00480928">
        <w:t xml:space="preserve"> </w:t>
      </w:r>
      <w:r w:rsidR="008331E6" w:rsidRPr="005F0CE8">
        <w:t xml:space="preserve">novo and late stage metastatic HER2-negative breast cancer with confirmed germline </w:t>
      </w:r>
      <w:r w:rsidR="009E092C" w:rsidRPr="009E092C">
        <w:rPr>
          <w:i/>
        </w:rPr>
        <w:t>BRCA1</w:t>
      </w:r>
      <w:r w:rsidR="008331E6" w:rsidRPr="005F0CE8">
        <w:t xml:space="preserve"> and/or </w:t>
      </w:r>
      <w:r w:rsidR="009E092C" w:rsidRPr="009E092C">
        <w:rPr>
          <w:i/>
        </w:rPr>
        <w:t>BRCA2</w:t>
      </w:r>
      <w:r w:rsidR="008331E6" w:rsidRPr="005F0CE8">
        <w:t xml:space="preserve"> mutation. The ESC considered that the potential uptake of olaparib over other agents that are currently available for metastatic breast cancer was unclear. </w:t>
      </w:r>
      <w:r w:rsidR="00A6105F" w:rsidRPr="005F0CE8">
        <w:t xml:space="preserve">The pre-PBAC response stated that based on clinical advice, the estimated number of de novo mBC patients provided in the PSCR (up to </w:t>
      </w:r>
      <w:r w:rsidR="001E2ABB">
        <w:t>&lt; 500</w:t>
      </w:r>
      <w:r w:rsidR="001E2ABB" w:rsidRPr="005F0CE8">
        <w:t xml:space="preserve"> </w:t>
      </w:r>
      <w:r w:rsidR="00A6105F" w:rsidRPr="005F0CE8">
        <w:t>incident patients per year) may be an underestimate and that a detailed analysis of the literature may be required.</w:t>
      </w:r>
    </w:p>
    <w:p w14:paraId="283A33BD" w14:textId="308C5127" w:rsidR="00DF3B54" w:rsidRPr="005F0CE8" w:rsidRDefault="008331E6" w:rsidP="00477BB3">
      <w:pPr>
        <w:pStyle w:val="3-BodyText"/>
      </w:pPr>
      <w:bookmarkStart w:id="11" w:name="_Ref130301834"/>
      <w:r w:rsidRPr="005F0CE8">
        <w:t xml:space="preserve">With regard to </w:t>
      </w:r>
      <w:r w:rsidR="009E092C" w:rsidRPr="009E092C">
        <w:rPr>
          <w:i/>
          <w:iCs/>
        </w:rPr>
        <w:t xml:space="preserve">BRCA </w:t>
      </w:r>
      <w:r w:rsidRPr="005F0CE8">
        <w:t>testing</w:t>
      </w:r>
      <w:r w:rsidR="00E16B56" w:rsidRPr="005F0CE8">
        <w:t>,</w:t>
      </w:r>
      <w:r w:rsidRPr="005F0CE8">
        <w:t xml:space="preserve"> t</w:t>
      </w:r>
      <w:r w:rsidR="0055698D" w:rsidRPr="005F0CE8">
        <w:t xml:space="preserve">he PSCR estimated that up to </w:t>
      </w:r>
      <w:r w:rsidR="001E2ABB">
        <w:t>500 to &lt; 5000</w:t>
      </w:r>
      <w:r w:rsidR="001E2ABB" w:rsidRPr="005F0CE8">
        <w:t xml:space="preserve"> </w:t>
      </w:r>
      <w:r w:rsidR="00D831A0" w:rsidRPr="005F0CE8">
        <w:t xml:space="preserve">de novo mBC patients </w:t>
      </w:r>
      <w:r w:rsidR="0055698D" w:rsidRPr="005F0CE8">
        <w:t xml:space="preserve">would need to be tested </w:t>
      </w:r>
      <w:r w:rsidR="00D831A0" w:rsidRPr="005F0CE8">
        <w:t xml:space="preserve">for </w:t>
      </w:r>
      <w:r w:rsidR="0055698D" w:rsidRPr="005F0CE8">
        <w:t>g</w:t>
      </w:r>
      <w:r w:rsidR="009E092C" w:rsidRPr="009E092C">
        <w:rPr>
          <w:i/>
          <w:iCs/>
        </w:rPr>
        <w:t>BRCAm</w:t>
      </w:r>
      <w:r w:rsidR="0055698D" w:rsidRPr="005F0CE8">
        <w:t xml:space="preserve"> prior to olaparib </w:t>
      </w:r>
      <w:r w:rsidR="00D831A0" w:rsidRPr="005F0CE8">
        <w:t xml:space="preserve">treatment, based on </w:t>
      </w:r>
      <w:r w:rsidRPr="005F0CE8">
        <w:t xml:space="preserve">an </w:t>
      </w:r>
      <w:r w:rsidR="00D831A0" w:rsidRPr="005F0CE8">
        <w:t xml:space="preserve">assumption that a new MBS item for germline </w:t>
      </w:r>
      <w:r w:rsidR="009E092C" w:rsidRPr="009E092C">
        <w:rPr>
          <w:i/>
        </w:rPr>
        <w:t xml:space="preserve">BRCA </w:t>
      </w:r>
      <w:r w:rsidR="00D831A0" w:rsidRPr="005F0CE8">
        <w:t>mutation test in HER2-negative de novo mBC would be used, with use limited to patients with Stage IV de novo mBC at diagnosis, with HER2-negative disease and 80</w:t>
      </w:r>
      <w:r w:rsidR="008626BF">
        <w:t>%</w:t>
      </w:r>
      <w:r w:rsidR="00D831A0" w:rsidRPr="005F0CE8">
        <w:t xml:space="preserve"> to 95% of these patients taking up the g</w:t>
      </w:r>
      <w:r w:rsidR="009E092C" w:rsidRPr="009E092C">
        <w:rPr>
          <w:i/>
        </w:rPr>
        <w:t xml:space="preserve">BRCA </w:t>
      </w:r>
      <w:r w:rsidR="00D831A0" w:rsidRPr="005F0CE8">
        <w:t>test. These estimates ha</w:t>
      </w:r>
      <w:r w:rsidR="009A6BB5" w:rsidRPr="005F0CE8">
        <w:t>d</w:t>
      </w:r>
      <w:r w:rsidR="00D831A0" w:rsidRPr="005F0CE8">
        <w:t xml:space="preserve"> not been independently verified.</w:t>
      </w:r>
      <w:bookmarkStart w:id="12" w:name="_Hlk76375324"/>
      <w:bookmarkEnd w:id="8"/>
      <w:bookmarkEnd w:id="11"/>
    </w:p>
    <w:p w14:paraId="70071BCE" w14:textId="3506EAEC" w:rsidR="00B83AAB" w:rsidRPr="003A26A8" w:rsidRDefault="00DF3B54" w:rsidP="00477BB3">
      <w:pPr>
        <w:pStyle w:val="3-BodyText"/>
        <w:numPr>
          <w:ilvl w:val="0"/>
          <w:numId w:val="0"/>
        </w:numPr>
        <w:ind w:left="709"/>
        <w:rPr>
          <w:i/>
          <w:iCs/>
        </w:rPr>
      </w:pPr>
      <w:bookmarkStart w:id="13" w:name="_Hlk128569254"/>
      <w:r w:rsidRPr="003A26A8">
        <w:rPr>
          <w:i/>
          <w:iCs/>
        </w:rPr>
        <w:t>For more detail on PBAC’s view, see section 7 PBAC outcome.</w:t>
      </w:r>
      <w:bookmarkEnd w:id="12"/>
      <w:bookmarkEnd w:id="13"/>
    </w:p>
    <w:p w14:paraId="64940D98" w14:textId="4936A255" w:rsidR="00F90620" w:rsidRPr="005F0CE8" w:rsidRDefault="00F90620" w:rsidP="00FE6CB5">
      <w:pPr>
        <w:pStyle w:val="2-SectionHeading"/>
        <w:keepNext w:val="0"/>
        <w:numPr>
          <w:ilvl w:val="0"/>
          <w:numId w:val="1"/>
        </w:numPr>
      </w:pPr>
      <w:bookmarkStart w:id="14" w:name="_Toc124883276"/>
      <w:r w:rsidRPr="005F0CE8">
        <w:t>Requested listing</w:t>
      </w:r>
      <w:bookmarkEnd w:id="14"/>
    </w:p>
    <w:p w14:paraId="08226DE3" w14:textId="287FC4CD" w:rsidR="002769F1" w:rsidRPr="00DB2BE9" w:rsidRDefault="00237E1B" w:rsidP="00DB2BE9">
      <w:pPr>
        <w:pStyle w:val="ListParagraph"/>
        <w:numPr>
          <w:ilvl w:val="1"/>
          <w:numId w:val="1"/>
        </w:numPr>
        <w:ind w:left="720"/>
        <w:rPr>
          <w:rFonts w:cstheme="minorHAnsi"/>
          <w:iCs/>
        </w:rPr>
      </w:pPr>
      <w:r w:rsidRPr="005F0CE8">
        <w:t xml:space="preserve">The proposed restriction is shown below. </w:t>
      </w:r>
      <w:r w:rsidR="00305D33" w:rsidRPr="005F0CE8">
        <w:rPr>
          <w:rFonts w:cstheme="minorHAnsi"/>
          <w:iCs/>
        </w:rPr>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785"/>
        <w:gridCol w:w="1895"/>
        <w:gridCol w:w="738"/>
        <w:gridCol w:w="656"/>
        <w:gridCol w:w="1390"/>
        <w:gridCol w:w="1372"/>
      </w:tblGrid>
      <w:tr w:rsidR="003467DE" w:rsidRPr="005F0CE8" w14:paraId="2A7417E4" w14:textId="77777777" w:rsidTr="00DA7FEE">
        <w:trPr>
          <w:cantSplit/>
          <w:trHeight w:val="232"/>
        </w:trPr>
        <w:tc>
          <w:tcPr>
            <w:tcW w:w="1209" w:type="pct"/>
            <w:vAlign w:val="center"/>
          </w:tcPr>
          <w:p w14:paraId="030296AD" w14:textId="77777777" w:rsidR="003467DE" w:rsidRPr="00DB2BE9" w:rsidRDefault="003467DE" w:rsidP="000E765A">
            <w:pPr>
              <w:keepNext/>
              <w:keepLines/>
              <w:rPr>
                <w:rFonts w:ascii="Arial Narrow" w:hAnsi="Arial Narrow"/>
                <w:b/>
                <w:bCs/>
                <w:sz w:val="20"/>
                <w:szCs w:val="20"/>
              </w:rPr>
            </w:pPr>
            <w:r w:rsidRPr="00DB2BE9">
              <w:rPr>
                <w:rFonts w:ascii="Arial Narrow" w:hAnsi="Arial Narrow"/>
                <w:b/>
                <w:bCs/>
                <w:sz w:val="20"/>
                <w:szCs w:val="20"/>
              </w:rPr>
              <w:t>MEDICINAL PRODUCT</w:t>
            </w:r>
          </w:p>
          <w:p w14:paraId="3E6D8D80" w14:textId="155B0DD8" w:rsidR="003467DE" w:rsidRPr="00DB2BE9" w:rsidRDefault="003467DE" w:rsidP="000E765A">
            <w:pPr>
              <w:keepNext/>
              <w:ind w:left="-57"/>
              <w:rPr>
                <w:rFonts w:ascii="Arial Narrow" w:eastAsia="Calibri" w:hAnsi="Arial Narrow"/>
                <w:sz w:val="20"/>
                <w:szCs w:val="20"/>
              </w:rPr>
            </w:pPr>
            <w:r w:rsidRPr="00DB2BE9">
              <w:rPr>
                <w:rFonts w:ascii="Arial Narrow" w:hAnsi="Arial Narrow"/>
                <w:b/>
                <w:bCs/>
                <w:sz w:val="20"/>
                <w:szCs w:val="20"/>
              </w:rPr>
              <w:t>medicinal product pack</w:t>
            </w:r>
          </w:p>
        </w:tc>
        <w:tc>
          <w:tcPr>
            <w:tcW w:w="435" w:type="pct"/>
            <w:vAlign w:val="center"/>
          </w:tcPr>
          <w:p w14:paraId="6477AE80" w14:textId="612EC447" w:rsidR="003467DE" w:rsidRPr="00DB2BE9" w:rsidRDefault="003467DE" w:rsidP="000E765A">
            <w:pPr>
              <w:keepNext/>
              <w:jc w:val="center"/>
              <w:rPr>
                <w:rFonts w:ascii="Arial Narrow" w:eastAsia="Calibri" w:hAnsi="Arial Narrow"/>
                <w:sz w:val="20"/>
                <w:szCs w:val="20"/>
              </w:rPr>
            </w:pPr>
            <w:r w:rsidRPr="00DB2BE9">
              <w:rPr>
                <w:rFonts w:ascii="Arial Narrow" w:eastAsiaTheme="majorEastAsia" w:hAnsi="Arial Narrow"/>
                <w:b/>
                <w:snapToGrid w:val="0"/>
                <w:sz w:val="20"/>
              </w:rPr>
              <w:t>PBS item code</w:t>
            </w:r>
          </w:p>
        </w:tc>
        <w:tc>
          <w:tcPr>
            <w:tcW w:w="1051" w:type="pct"/>
            <w:vAlign w:val="center"/>
          </w:tcPr>
          <w:p w14:paraId="0BDA4072" w14:textId="5A2CBA19" w:rsidR="003467DE" w:rsidRPr="00DB2BE9" w:rsidRDefault="003467DE" w:rsidP="000E765A">
            <w:pPr>
              <w:keepNext/>
              <w:jc w:val="center"/>
              <w:rPr>
                <w:rFonts w:ascii="Arial Narrow" w:eastAsiaTheme="majorEastAsia" w:hAnsi="Arial Narrow"/>
                <w:b/>
                <w:snapToGrid w:val="0"/>
                <w:sz w:val="20"/>
              </w:rPr>
            </w:pPr>
            <w:r w:rsidRPr="00DB2BE9">
              <w:rPr>
                <w:rFonts w:ascii="Arial Narrow" w:eastAsiaTheme="majorEastAsia" w:hAnsi="Arial Narrow"/>
                <w:b/>
                <w:snapToGrid w:val="0"/>
                <w:sz w:val="20"/>
              </w:rPr>
              <w:t>Dispensed Price for Max. Qty</w:t>
            </w:r>
          </w:p>
        </w:tc>
        <w:tc>
          <w:tcPr>
            <w:tcW w:w="409" w:type="pct"/>
            <w:vAlign w:val="center"/>
          </w:tcPr>
          <w:p w14:paraId="4EE6F9D4" w14:textId="00EC36EA" w:rsidR="003467DE" w:rsidRPr="00DB2BE9" w:rsidRDefault="003467DE" w:rsidP="000E765A">
            <w:pPr>
              <w:keepNext/>
              <w:jc w:val="center"/>
              <w:rPr>
                <w:rFonts w:ascii="Arial Narrow" w:eastAsiaTheme="majorEastAsia" w:hAnsi="Arial Narrow"/>
                <w:b/>
                <w:snapToGrid w:val="0"/>
                <w:sz w:val="20"/>
              </w:rPr>
            </w:pPr>
            <w:r w:rsidRPr="00DB2BE9">
              <w:rPr>
                <w:rFonts w:ascii="Arial Narrow" w:eastAsiaTheme="majorEastAsia" w:hAnsi="Arial Narrow"/>
                <w:b/>
                <w:snapToGrid w:val="0"/>
                <w:sz w:val="20"/>
              </w:rPr>
              <w:t>Max. qty packs</w:t>
            </w:r>
          </w:p>
        </w:tc>
        <w:tc>
          <w:tcPr>
            <w:tcW w:w="364" w:type="pct"/>
            <w:vAlign w:val="center"/>
          </w:tcPr>
          <w:p w14:paraId="0E0B1E7F" w14:textId="01035CB8" w:rsidR="003467DE" w:rsidRPr="00DB2BE9" w:rsidRDefault="003467DE" w:rsidP="000E765A">
            <w:pPr>
              <w:keepNext/>
              <w:jc w:val="center"/>
              <w:rPr>
                <w:rFonts w:ascii="Arial Narrow" w:eastAsia="Calibri" w:hAnsi="Arial Narrow"/>
                <w:sz w:val="20"/>
                <w:szCs w:val="20"/>
              </w:rPr>
            </w:pPr>
            <w:r w:rsidRPr="00DB2BE9">
              <w:rPr>
                <w:rFonts w:ascii="Arial Narrow" w:hAnsi="Arial Narrow"/>
                <w:b/>
                <w:sz w:val="20"/>
                <w:szCs w:val="20"/>
              </w:rPr>
              <w:t>Max. qty units</w:t>
            </w:r>
          </w:p>
        </w:tc>
        <w:tc>
          <w:tcPr>
            <w:tcW w:w="771" w:type="pct"/>
            <w:vAlign w:val="center"/>
          </w:tcPr>
          <w:p w14:paraId="4CA38F4C" w14:textId="7908AAAD" w:rsidR="003467DE" w:rsidRPr="00DB2BE9" w:rsidRDefault="003467DE" w:rsidP="000E765A">
            <w:pPr>
              <w:keepNext/>
              <w:jc w:val="center"/>
              <w:rPr>
                <w:rFonts w:ascii="Arial Narrow" w:eastAsia="Calibri" w:hAnsi="Arial Narrow"/>
                <w:i/>
                <w:iCs/>
                <w:sz w:val="20"/>
                <w:szCs w:val="20"/>
              </w:rPr>
            </w:pPr>
            <w:r w:rsidRPr="00DB2BE9">
              <w:rPr>
                <w:rFonts w:ascii="Arial Narrow" w:hAnsi="Arial Narrow"/>
                <w:b/>
                <w:sz w:val="20"/>
                <w:szCs w:val="20"/>
              </w:rPr>
              <w:t>№.of Rpts</w:t>
            </w:r>
          </w:p>
        </w:tc>
        <w:tc>
          <w:tcPr>
            <w:tcW w:w="761" w:type="pct"/>
            <w:vAlign w:val="center"/>
          </w:tcPr>
          <w:p w14:paraId="39BD33AC" w14:textId="5C889E26" w:rsidR="003467DE" w:rsidRPr="00DB2BE9" w:rsidRDefault="003467DE" w:rsidP="000E765A">
            <w:pPr>
              <w:keepNext/>
              <w:rPr>
                <w:rFonts w:ascii="Arial Narrow" w:eastAsia="Calibri" w:hAnsi="Arial Narrow"/>
                <w:sz w:val="20"/>
                <w:szCs w:val="20"/>
              </w:rPr>
            </w:pPr>
            <w:r w:rsidRPr="00DB2BE9">
              <w:rPr>
                <w:rFonts w:ascii="Arial Narrow" w:hAnsi="Arial Narrow"/>
                <w:b/>
                <w:sz w:val="20"/>
                <w:szCs w:val="20"/>
              </w:rPr>
              <w:t>Available brands</w:t>
            </w:r>
          </w:p>
        </w:tc>
      </w:tr>
      <w:tr w:rsidR="003467DE" w:rsidRPr="005F0CE8" w14:paraId="0398F77C" w14:textId="77777777" w:rsidTr="00AF6057">
        <w:trPr>
          <w:cantSplit/>
          <w:trHeight w:val="232"/>
        </w:trPr>
        <w:tc>
          <w:tcPr>
            <w:tcW w:w="5000" w:type="pct"/>
            <w:gridSpan w:val="7"/>
          </w:tcPr>
          <w:p w14:paraId="616F3D8B" w14:textId="33F0CEC6" w:rsidR="003467DE" w:rsidRPr="00DB2BE9" w:rsidRDefault="003467DE" w:rsidP="000E765A">
            <w:pPr>
              <w:keepNext/>
              <w:ind w:left="-57"/>
              <w:rPr>
                <w:rFonts w:ascii="Arial Narrow" w:eastAsia="Calibri" w:hAnsi="Arial Narrow"/>
                <w:sz w:val="20"/>
                <w:szCs w:val="20"/>
              </w:rPr>
            </w:pPr>
            <w:r w:rsidRPr="00DB2BE9">
              <w:rPr>
                <w:rFonts w:ascii="Arial Narrow" w:eastAsia="Calibri" w:hAnsi="Arial Narrow"/>
                <w:sz w:val="20"/>
                <w:szCs w:val="20"/>
              </w:rPr>
              <w:t xml:space="preserve">OLAPARIB  </w:t>
            </w:r>
          </w:p>
        </w:tc>
      </w:tr>
      <w:tr w:rsidR="003467DE" w:rsidRPr="005F0CE8" w14:paraId="525056CB" w14:textId="77777777" w:rsidTr="00DA7FEE">
        <w:trPr>
          <w:cantSplit/>
          <w:trHeight w:val="232"/>
        </w:trPr>
        <w:tc>
          <w:tcPr>
            <w:tcW w:w="1209" w:type="pct"/>
          </w:tcPr>
          <w:p w14:paraId="7D23092F" w14:textId="49638C9D" w:rsidR="003467DE" w:rsidRPr="00DB2BE9" w:rsidRDefault="003467DE" w:rsidP="000E765A">
            <w:pPr>
              <w:keepNext/>
              <w:ind w:left="-57"/>
              <w:rPr>
                <w:rFonts w:ascii="Arial Narrow" w:eastAsia="Calibri" w:hAnsi="Arial Narrow"/>
                <w:sz w:val="20"/>
                <w:szCs w:val="20"/>
              </w:rPr>
            </w:pPr>
            <w:r w:rsidRPr="00DB2BE9">
              <w:rPr>
                <w:rFonts w:ascii="Arial Narrow" w:eastAsia="Calibri" w:hAnsi="Arial Narrow"/>
                <w:sz w:val="20"/>
                <w:szCs w:val="20"/>
              </w:rPr>
              <w:t xml:space="preserve">olaparib 150 mg tablet, 56 </w:t>
            </w:r>
          </w:p>
        </w:tc>
        <w:tc>
          <w:tcPr>
            <w:tcW w:w="435" w:type="pct"/>
          </w:tcPr>
          <w:p w14:paraId="44245286" w14:textId="0B163EFA" w:rsidR="003467DE" w:rsidRPr="00DB2BE9" w:rsidRDefault="003467DE" w:rsidP="000E765A">
            <w:pPr>
              <w:keepNext/>
              <w:jc w:val="center"/>
              <w:rPr>
                <w:rFonts w:ascii="Arial Narrow" w:eastAsia="Calibri" w:hAnsi="Arial Narrow"/>
                <w:sz w:val="20"/>
                <w:szCs w:val="20"/>
              </w:rPr>
            </w:pPr>
            <w:r w:rsidRPr="00DB2BE9">
              <w:rPr>
                <w:rFonts w:ascii="Arial Narrow" w:eastAsia="Calibri" w:hAnsi="Arial Narrow"/>
                <w:sz w:val="20"/>
                <w:szCs w:val="20"/>
              </w:rPr>
              <w:t>New</w:t>
            </w:r>
          </w:p>
        </w:tc>
        <w:tc>
          <w:tcPr>
            <w:tcW w:w="1051" w:type="pct"/>
          </w:tcPr>
          <w:p w14:paraId="6F7AAB6C" w14:textId="46C30E7C" w:rsidR="003467DE" w:rsidRPr="00DB2BE9" w:rsidRDefault="003467DE" w:rsidP="000E765A">
            <w:pPr>
              <w:pStyle w:val="TableText0"/>
              <w:keepLines/>
              <w:jc w:val="center"/>
              <w:rPr>
                <w:szCs w:val="20"/>
              </w:rPr>
            </w:pPr>
            <w:r w:rsidRPr="00DB2BE9">
              <w:rPr>
                <w:szCs w:val="20"/>
              </w:rPr>
              <w:t>Published: $6,630.78</w:t>
            </w:r>
          </w:p>
          <w:p w14:paraId="407EC1A9" w14:textId="58F5F1DA" w:rsidR="003467DE" w:rsidRPr="00DB2BE9" w:rsidRDefault="003467DE" w:rsidP="000E765A">
            <w:pPr>
              <w:pStyle w:val="TableText0"/>
              <w:keepLines/>
              <w:jc w:val="center"/>
              <w:rPr>
                <w:highlight w:val="darkGray"/>
              </w:rPr>
            </w:pPr>
            <w:r>
              <w:t>Effective: $</w:t>
            </w:r>
            <w:r w:rsidR="003A26A8" w:rsidRPr="003A26A8">
              <w:rPr>
                <w:color w:val="000000"/>
                <w:spacing w:val="190"/>
                <w:shd w:val="solid" w:color="000000" w:fill="000000"/>
                <w:fitText w:val="276" w:id="-1234443264"/>
                <w14:textFill>
                  <w14:solidFill>
                    <w14:srgbClr w14:val="000000">
                      <w14:alpha w14:val="100000"/>
                    </w14:srgbClr>
                  </w14:solidFill>
                </w14:textFill>
              </w:rPr>
              <w:t>|</w:t>
            </w:r>
            <w:r w:rsidR="003A26A8" w:rsidRPr="003A26A8">
              <w:rPr>
                <w:color w:val="000000"/>
                <w:spacing w:val="1"/>
                <w:shd w:val="solid" w:color="000000" w:fill="000000"/>
                <w:fitText w:val="276" w:id="-1234443264"/>
                <w14:textFill>
                  <w14:solidFill>
                    <w14:srgbClr w14:val="000000">
                      <w14:alpha w14:val="100000"/>
                    </w14:srgbClr>
                  </w14:solidFill>
                </w14:textFill>
              </w:rPr>
              <w:t>|</w:t>
            </w:r>
          </w:p>
        </w:tc>
        <w:tc>
          <w:tcPr>
            <w:tcW w:w="409" w:type="pct"/>
          </w:tcPr>
          <w:p w14:paraId="59D84836" w14:textId="762431B9" w:rsidR="003467DE" w:rsidRPr="00DB2BE9" w:rsidRDefault="003467DE" w:rsidP="000E765A">
            <w:pPr>
              <w:keepNext/>
              <w:jc w:val="center"/>
              <w:rPr>
                <w:rFonts w:ascii="Arial Narrow" w:eastAsia="Calibri" w:hAnsi="Arial Narrow"/>
                <w:sz w:val="20"/>
                <w:szCs w:val="20"/>
              </w:rPr>
            </w:pPr>
            <w:r w:rsidRPr="00DB2BE9">
              <w:rPr>
                <w:rFonts w:ascii="Arial Narrow" w:eastAsia="Calibri" w:hAnsi="Arial Narrow"/>
                <w:sz w:val="20"/>
                <w:szCs w:val="20"/>
              </w:rPr>
              <w:t>2</w:t>
            </w:r>
          </w:p>
        </w:tc>
        <w:tc>
          <w:tcPr>
            <w:tcW w:w="364" w:type="pct"/>
          </w:tcPr>
          <w:p w14:paraId="595714F6" w14:textId="65948FC6" w:rsidR="003467DE" w:rsidRPr="00DB2BE9" w:rsidRDefault="003467DE" w:rsidP="000E765A">
            <w:pPr>
              <w:keepNext/>
              <w:jc w:val="center"/>
              <w:rPr>
                <w:rFonts w:ascii="Arial Narrow" w:eastAsia="Calibri" w:hAnsi="Arial Narrow"/>
                <w:sz w:val="20"/>
                <w:szCs w:val="20"/>
              </w:rPr>
            </w:pPr>
            <w:r w:rsidRPr="00DB2BE9">
              <w:rPr>
                <w:rFonts w:ascii="Arial Narrow" w:eastAsia="Calibri" w:hAnsi="Arial Narrow"/>
                <w:sz w:val="20"/>
                <w:szCs w:val="20"/>
              </w:rPr>
              <w:t>112</w:t>
            </w:r>
          </w:p>
        </w:tc>
        <w:tc>
          <w:tcPr>
            <w:tcW w:w="771" w:type="pct"/>
          </w:tcPr>
          <w:p w14:paraId="0F5C8BA7" w14:textId="77777777" w:rsidR="003467DE" w:rsidRPr="00DB2BE9" w:rsidRDefault="003467DE" w:rsidP="000E765A">
            <w:pPr>
              <w:keepNext/>
              <w:jc w:val="center"/>
              <w:rPr>
                <w:rFonts w:ascii="Arial Narrow" w:eastAsia="Calibri" w:hAnsi="Arial Narrow"/>
                <w:sz w:val="20"/>
                <w:szCs w:val="20"/>
              </w:rPr>
            </w:pPr>
            <w:r w:rsidRPr="00DB2BE9">
              <w:rPr>
                <w:rFonts w:ascii="Arial Narrow" w:eastAsia="Calibri" w:hAnsi="Arial Narrow"/>
                <w:sz w:val="20"/>
                <w:szCs w:val="20"/>
              </w:rPr>
              <w:t>5 (initial)</w:t>
            </w:r>
          </w:p>
          <w:p w14:paraId="7CCBF6EF" w14:textId="6C664EA5" w:rsidR="003467DE" w:rsidRPr="00DB2BE9" w:rsidRDefault="003467DE" w:rsidP="000E765A">
            <w:pPr>
              <w:keepNext/>
              <w:jc w:val="center"/>
              <w:rPr>
                <w:rFonts w:ascii="Arial Narrow" w:eastAsia="Calibri" w:hAnsi="Arial Narrow"/>
                <w:sz w:val="20"/>
                <w:szCs w:val="20"/>
              </w:rPr>
            </w:pPr>
            <w:r w:rsidRPr="00DB2BE9">
              <w:rPr>
                <w:rFonts w:ascii="Arial Narrow" w:eastAsia="Calibri" w:hAnsi="Arial Narrow"/>
                <w:i/>
                <w:iCs/>
                <w:sz w:val="20"/>
                <w:szCs w:val="20"/>
              </w:rPr>
              <w:t>6 (continuing)</w:t>
            </w:r>
          </w:p>
        </w:tc>
        <w:tc>
          <w:tcPr>
            <w:tcW w:w="761" w:type="pct"/>
          </w:tcPr>
          <w:p w14:paraId="37CD194C" w14:textId="2BE40D00" w:rsidR="003467DE" w:rsidRPr="00DB2BE9" w:rsidRDefault="003467DE" w:rsidP="000E765A">
            <w:pPr>
              <w:keepNext/>
              <w:rPr>
                <w:rFonts w:ascii="Arial Narrow" w:eastAsia="Calibri" w:hAnsi="Arial Narrow"/>
                <w:sz w:val="20"/>
                <w:szCs w:val="20"/>
              </w:rPr>
            </w:pPr>
            <w:r w:rsidRPr="00DB2BE9">
              <w:rPr>
                <w:rFonts w:ascii="Arial Narrow" w:eastAsia="Calibri" w:hAnsi="Arial Narrow"/>
                <w:sz w:val="20"/>
                <w:szCs w:val="20"/>
              </w:rPr>
              <w:t xml:space="preserve">Lynparza </w:t>
            </w:r>
          </w:p>
        </w:tc>
      </w:tr>
      <w:tr w:rsidR="003467DE" w:rsidRPr="005F0CE8" w14:paraId="405FB446" w14:textId="77777777" w:rsidTr="00DA7FEE">
        <w:trPr>
          <w:cantSplit/>
          <w:trHeight w:val="264"/>
        </w:trPr>
        <w:tc>
          <w:tcPr>
            <w:tcW w:w="1209" w:type="pct"/>
          </w:tcPr>
          <w:p w14:paraId="42C54777" w14:textId="77777777" w:rsidR="003467DE" w:rsidRPr="00DB2BE9" w:rsidRDefault="003467DE" w:rsidP="003467DE">
            <w:pPr>
              <w:ind w:left="-57"/>
              <w:rPr>
                <w:rFonts w:ascii="Arial Narrow" w:eastAsia="Calibri" w:hAnsi="Arial Narrow"/>
                <w:sz w:val="20"/>
                <w:szCs w:val="20"/>
              </w:rPr>
            </w:pPr>
            <w:r w:rsidRPr="00DB2BE9">
              <w:rPr>
                <w:rFonts w:ascii="Arial Narrow" w:eastAsia="Calibri" w:hAnsi="Arial Narrow"/>
                <w:sz w:val="20"/>
                <w:szCs w:val="20"/>
              </w:rPr>
              <w:t>olaparib 100 mg tablet, 56</w:t>
            </w:r>
          </w:p>
        </w:tc>
        <w:tc>
          <w:tcPr>
            <w:tcW w:w="435" w:type="pct"/>
          </w:tcPr>
          <w:p w14:paraId="532E3D04" w14:textId="4CC5F277" w:rsidR="003467DE" w:rsidRPr="00DB2BE9" w:rsidRDefault="003467DE" w:rsidP="003467DE">
            <w:pPr>
              <w:jc w:val="center"/>
              <w:rPr>
                <w:rFonts w:ascii="Arial Narrow" w:eastAsia="Calibri" w:hAnsi="Arial Narrow"/>
                <w:sz w:val="20"/>
                <w:szCs w:val="20"/>
              </w:rPr>
            </w:pPr>
            <w:r w:rsidRPr="00DB2BE9">
              <w:rPr>
                <w:rFonts w:ascii="Arial Narrow" w:eastAsia="Calibri" w:hAnsi="Arial Narrow"/>
                <w:sz w:val="20"/>
                <w:szCs w:val="20"/>
              </w:rPr>
              <w:t>New</w:t>
            </w:r>
          </w:p>
        </w:tc>
        <w:tc>
          <w:tcPr>
            <w:tcW w:w="1051" w:type="pct"/>
          </w:tcPr>
          <w:p w14:paraId="52B66995" w14:textId="77777777" w:rsidR="003467DE" w:rsidRPr="00DB2BE9" w:rsidRDefault="003467DE" w:rsidP="003467DE">
            <w:pPr>
              <w:pStyle w:val="TableText0"/>
              <w:keepLines/>
              <w:jc w:val="center"/>
              <w:rPr>
                <w:szCs w:val="20"/>
              </w:rPr>
            </w:pPr>
            <w:r w:rsidRPr="00DB2BE9">
              <w:rPr>
                <w:szCs w:val="20"/>
              </w:rPr>
              <w:t xml:space="preserve">Published: $6,630.78 </w:t>
            </w:r>
          </w:p>
          <w:p w14:paraId="25537E91" w14:textId="401751A9" w:rsidR="003467DE" w:rsidRPr="00DB2BE9" w:rsidRDefault="003467DE" w:rsidP="003467DE">
            <w:pPr>
              <w:jc w:val="center"/>
              <w:rPr>
                <w:rFonts w:ascii="Arial Narrow" w:eastAsia="Calibri" w:hAnsi="Arial Narrow"/>
                <w:sz w:val="20"/>
                <w:szCs w:val="20"/>
              </w:rPr>
            </w:pPr>
            <w:r w:rsidRPr="00DB2BE9">
              <w:rPr>
                <w:rFonts w:ascii="Arial Narrow" w:hAnsi="Arial Narrow"/>
                <w:sz w:val="20"/>
                <w:szCs w:val="20"/>
              </w:rPr>
              <w:t>Effective: $</w:t>
            </w:r>
            <w:r w:rsidR="003A26A8" w:rsidRPr="003A26A8">
              <w:rPr>
                <w:rFonts w:ascii="Arial Narrow" w:hAnsi="Arial Narrow"/>
                <w:color w:val="000000"/>
                <w:spacing w:val="190"/>
                <w:sz w:val="20"/>
                <w:szCs w:val="20"/>
                <w:shd w:val="solid" w:color="000000" w:fill="000000"/>
                <w:fitText w:val="276" w:id="-1234443263"/>
                <w14:textFill>
                  <w14:solidFill>
                    <w14:srgbClr w14:val="000000">
                      <w14:alpha w14:val="100000"/>
                    </w14:srgbClr>
                  </w14:solidFill>
                </w14:textFill>
              </w:rPr>
              <w:t>|</w:t>
            </w:r>
            <w:r w:rsidR="003A26A8" w:rsidRPr="003A26A8">
              <w:rPr>
                <w:rFonts w:ascii="Arial Narrow" w:hAnsi="Arial Narrow"/>
                <w:color w:val="000000"/>
                <w:spacing w:val="1"/>
                <w:sz w:val="20"/>
                <w:szCs w:val="20"/>
                <w:shd w:val="solid" w:color="000000" w:fill="000000"/>
                <w:fitText w:val="276" w:id="-1234443263"/>
                <w14:textFill>
                  <w14:solidFill>
                    <w14:srgbClr w14:val="000000">
                      <w14:alpha w14:val="100000"/>
                    </w14:srgbClr>
                  </w14:solidFill>
                </w14:textFill>
              </w:rPr>
              <w:t>|</w:t>
            </w:r>
          </w:p>
        </w:tc>
        <w:tc>
          <w:tcPr>
            <w:tcW w:w="409" w:type="pct"/>
          </w:tcPr>
          <w:p w14:paraId="0F2B4E74" w14:textId="77777777" w:rsidR="003467DE" w:rsidRPr="00DB2BE9" w:rsidRDefault="003467DE" w:rsidP="003467DE">
            <w:pPr>
              <w:jc w:val="center"/>
              <w:rPr>
                <w:rFonts w:ascii="Arial Narrow" w:eastAsia="Calibri" w:hAnsi="Arial Narrow"/>
                <w:sz w:val="20"/>
                <w:szCs w:val="20"/>
              </w:rPr>
            </w:pPr>
            <w:r w:rsidRPr="00DB2BE9">
              <w:rPr>
                <w:rFonts w:ascii="Arial Narrow" w:eastAsia="Calibri" w:hAnsi="Arial Narrow"/>
                <w:sz w:val="20"/>
                <w:szCs w:val="20"/>
              </w:rPr>
              <w:t>2</w:t>
            </w:r>
          </w:p>
        </w:tc>
        <w:tc>
          <w:tcPr>
            <w:tcW w:w="364" w:type="pct"/>
          </w:tcPr>
          <w:p w14:paraId="0B6D8073" w14:textId="77777777" w:rsidR="003467DE" w:rsidRPr="00DB2BE9" w:rsidRDefault="003467DE" w:rsidP="003467DE">
            <w:pPr>
              <w:jc w:val="center"/>
              <w:rPr>
                <w:rFonts w:ascii="Arial Narrow" w:eastAsia="Calibri" w:hAnsi="Arial Narrow"/>
                <w:sz w:val="20"/>
                <w:szCs w:val="20"/>
              </w:rPr>
            </w:pPr>
            <w:r w:rsidRPr="00DB2BE9">
              <w:rPr>
                <w:rFonts w:ascii="Arial Narrow" w:eastAsia="Calibri" w:hAnsi="Arial Narrow"/>
                <w:sz w:val="20"/>
                <w:szCs w:val="20"/>
              </w:rPr>
              <w:t>112</w:t>
            </w:r>
          </w:p>
        </w:tc>
        <w:tc>
          <w:tcPr>
            <w:tcW w:w="771" w:type="pct"/>
          </w:tcPr>
          <w:p w14:paraId="02E57A1F" w14:textId="77777777" w:rsidR="003467DE" w:rsidRPr="00DB2BE9" w:rsidRDefault="003467DE" w:rsidP="003467DE">
            <w:pPr>
              <w:jc w:val="center"/>
              <w:rPr>
                <w:rFonts w:ascii="Arial Narrow" w:eastAsia="Calibri" w:hAnsi="Arial Narrow"/>
                <w:sz w:val="20"/>
                <w:szCs w:val="20"/>
              </w:rPr>
            </w:pPr>
            <w:r w:rsidRPr="00DB2BE9">
              <w:rPr>
                <w:rFonts w:ascii="Arial Narrow" w:eastAsia="Calibri" w:hAnsi="Arial Narrow"/>
                <w:sz w:val="20"/>
                <w:szCs w:val="20"/>
              </w:rPr>
              <w:t>5 (initial)</w:t>
            </w:r>
          </w:p>
          <w:p w14:paraId="388AAF89" w14:textId="77777777" w:rsidR="003467DE" w:rsidRPr="00DB2BE9" w:rsidRDefault="003467DE" w:rsidP="003467DE">
            <w:pPr>
              <w:jc w:val="center"/>
              <w:rPr>
                <w:rFonts w:ascii="Arial Narrow" w:eastAsia="Calibri" w:hAnsi="Arial Narrow"/>
                <w:sz w:val="20"/>
                <w:szCs w:val="20"/>
              </w:rPr>
            </w:pPr>
            <w:r w:rsidRPr="00DB2BE9">
              <w:rPr>
                <w:rFonts w:ascii="Arial Narrow" w:eastAsia="Calibri" w:hAnsi="Arial Narrow"/>
                <w:i/>
                <w:iCs/>
                <w:sz w:val="20"/>
                <w:szCs w:val="20"/>
              </w:rPr>
              <w:t>6 (continuing)</w:t>
            </w:r>
          </w:p>
        </w:tc>
        <w:tc>
          <w:tcPr>
            <w:tcW w:w="761" w:type="pct"/>
          </w:tcPr>
          <w:p w14:paraId="3B7CDE0F" w14:textId="77777777" w:rsidR="003467DE" w:rsidRPr="00DB2BE9" w:rsidRDefault="003467DE" w:rsidP="003467DE">
            <w:pPr>
              <w:rPr>
                <w:rFonts w:ascii="Arial Narrow" w:eastAsia="Calibri" w:hAnsi="Arial Narrow"/>
                <w:sz w:val="20"/>
                <w:szCs w:val="20"/>
              </w:rPr>
            </w:pPr>
            <w:r w:rsidRPr="00DB2BE9">
              <w:rPr>
                <w:rFonts w:ascii="Arial Narrow" w:eastAsia="Calibri" w:hAnsi="Arial Narrow"/>
                <w:sz w:val="20"/>
                <w:szCs w:val="20"/>
              </w:rPr>
              <w:t xml:space="preserve">Lynparza </w:t>
            </w:r>
          </w:p>
        </w:tc>
      </w:tr>
      <w:tr w:rsidR="00DB2BE9" w:rsidRPr="005F0CE8" w14:paraId="2F1D5B95" w14:textId="77777777" w:rsidTr="00DB2BE9">
        <w:trPr>
          <w:cantSplit/>
          <w:trHeight w:val="264"/>
        </w:trPr>
        <w:tc>
          <w:tcPr>
            <w:tcW w:w="5000" w:type="pct"/>
            <w:gridSpan w:val="7"/>
          </w:tcPr>
          <w:p w14:paraId="46F7E51D" w14:textId="77777777" w:rsidR="00DB2BE9" w:rsidRPr="00DB2BE9" w:rsidRDefault="00DB2BE9" w:rsidP="003467DE">
            <w:pPr>
              <w:rPr>
                <w:rFonts w:ascii="Arial Narrow" w:eastAsia="Calibri" w:hAnsi="Arial Narrow"/>
                <w:sz w:val="20"/>
                <w:szCs w:val="20"/>
              </w:rPr>
            </w:pPr>
          </w:p>
        </w:tc>
      </w:tr>
      <w:tr w:rsidR="003467DE" w:rsidRPr="005F0CE8" w14:paraId="6902920C"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3293BE91" w14:textId="77777777" w:rsidR="003467DE" w:rsidRPr="00DB2BE9" w:rsidRDefault="003467DE" w:rsidP="003467DE">
            <w:pPr>
              <w:rPr>
                <w:rFonts w:ascii="Arial Narrow" w:hAnsi="Arial Narrow"/>
                <w:sz w:val="20"/>
                <w:szCs w:val="20"/>
              </w:rPr>
            </w:pPr>
            <w:r w:rsidRPr="00DB2BE9">
              <w:rPr>
                <w:rFonts w:ascii="Arial Narrow" w:hAnsi="Arial Narrow"/>
                <w:b/>
                <w:sz w:val="20"/>
                <w:szCs w:val="20"/>
              </w:rPr>
              <w:t xml:space="preserve">Category / Program:   </w:t>
            </w:r>
            <w:r w:rsidRPr="00DB2BE9">
              <w:rPr>
                <w:rFonts w:ascii="Arial Narrow" w:hAnsi="Arial Narrow"/>
                <w:sz w:val="20"/>
                <w:szCs w:val="20"/>
              </w:rPr>
              <w:t>GENERAL – General Schedule (Code GE)</w:t>
            </w:r>
          </w:p>
        </w:tc>
      </w:tr>
      <w:tr w:rsidR="003467DE" w:rsidRPr="005F0CE8" w14:paraId="645A94DE"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22A9BA3E" w14:textId="77777777" w:rsidR="003467DE" w:rsidRPr="00DB2BE9" w:rsidRDefault="003467DE" w:rsidP="003467DE">
            <w:pPr>
              <w:rPr>
                <w:rFonts w:ascii="Arial Narrow" w:hAnsi="Arial Narrow"/>
                <w:b/>
                <w:sz w:val="20"/>
                <w:szCs w:val="20"/>
              </w:rPr>
            </w:pPr>
            <w:r w:rsidRPr="00DB2BE9">
              <w:rPr>
                <w:rFonts w:ascii="Arial Narrow" w:hAnsi="Arial Narrow"/>
                <w:b/>
                <w:sz w:val="20"/>
                <w:szCs w:val="20"/>
              </w:rPr>
              <w:t xml:space="preserve">Prescriber type:   </w:t>
            </w:r>
            <w:r w:rsidRPr="00DB2BE9">
              <w:rPr>
                <w:rFonts w:ascii="Arial Narrow" w:hAnsi="Arial Narrow"/>
                <w:sz w:val="20"/>
                <w:szCs w:val="20"/>
              </w:rPr>
              <w:fldChar w:fldCharType="begin">
                <w:ffData>
                  <w:name w:val=""/>
                  <w:enabled/>
                  <w:calcOnExit w:val="0"/>
                  <w:checkBox>
                    <w:sizeAuto/>
                    <w:default w:val="1"/>
                  </w:checkBox>
                </w:ffData>
              </w:fldChar>
            </w:r>
            <w:r w:rsidRPr="00DB2BE9">
              <w:rPr>
                <w:rFonts w:ascii="Arial Narrow" w:hAnsi="Arial Narrow"/>
                <w:sz w:val="20"/>
                <w:szCs w:val="20"/>
              </w:rPr>
              <w:instrText xml:space="preserve"> FORMCHECKBOX </w:instrText>
            </w:r>
            <w:r w:rsidR="00AB6006">
              <w:rPr>
                <w:rFonts w:ascii="Arial Narrow" w:hAnsi="Arial Narrow"/>
                <w:sz w:val="20"/>
                <w:szCs w:val="20"/>
              </w:rPr>
            </w:r>
            <w:r w:rsidR="00AB6006">
              <w:rPr>
                <w:rFonts w:ascii="Arial Narrow" w:hAnsi="Arial Narrow"/>
                <w:sz w:val="20"/>
                <w:szCs w:val="20"/>
              </w:rPr>
              <w:fldChar w:fldCharType="separate"/>
            </w:r>
            <w:r w:rsidRPr="00DB2BE9">
              <w:rPr>
                <w:rFonts w:ascii="Arial Narrow" w:hAnsi="Arial Narrow"/>
                <w:sz w:val="20"/>
                <w:szCs w:val="20"/>
              </w:rPr>
              <w:fldChar w:fldCharType="end"/>
            </w:r>
            <w:r w:rsidRPr="00DB2BE9">
              <w:rPr>
                <w:rFonts w:ascii="Arial Narrow" w:hAnsi="Arial Narrow"/>
                <w:sz w:val="20"/>
                <w:szCs w:val="20"/>
              </w:rPr>
              <w:t>Medical Practitioners</w:t>
            </w:r>
          </w:p>
        </w:tc>
      </w:tr>
      <w:tr w:rsidR="003467DE" w:rsidRPr="005F0CE8" w14:paraId="6D207FC4"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020DF945" w14:textId="77777777" w:rsidR="003467DE" w:rsidRPr="00DB2BE9" w:rsidRDefault="003467DE" w:rsidP="003467DE">
            <w:pPr>
              <w:rPr>
                <w:rFonts w:ascii="Arial Narrow" w:eastAsia="Calibri" w:hAnsi="Arial Narrow"/>
                <w:sz w:val="20"/>
                <w:szCs w:val="20"/>
              </w:rPr>
            </w:pPr>
            <w:r w:rsidRPr="00DB2BE9">
              <w:rPr>
                <w:rFonts w:ascii="Arial Narrow" w:hAnsi="Arial Narrow"/>
                <w:b/>
                <w:sz w:val="20"/>
                <w:szCs w:val="20"/>
              </w:rPr>
              <w:t xml:space="preserve">Restriction Type: </w:t>
            </w:r>
            <w:r w:rsidRPr="00DB2BE9">
              <w:rPr>
                <w:rFonts w:ascii="Arial Narrow" w:eastAsia="Calibri" w:hAnsi="Arial Narrow"/>
                <w:sz w:val="20"/>
                <w:szCs w:val="20"/>
              </w:rPr>
              <w:fldChar w:fldCharType="begin">
                <w:ffData>
                  <w:name w:val=""/>
                  <w:enabled/>
                  <w:calcOnExit w:val="0"/>
                  <w:checkBox>
                    <w:sizeAuto/>
                    <w:default w:val="1"/>
                  </w:checkBox>
                </w:ffData>
              </w:fldChar>
            </w:r>
            <w:r w:rsidRPr="00DB2BE9">
              <w:rPr>
                <w:rFonts w:ascii="Arial Narrow" w:eastAsia="Calibri" w:hAnsi="Arial Narrow"/>
                <w:sz w:val="20"/>
                <w:szCs w:val="20"/>
              </w:rPr>
              <w:instrText xml:space="preserve"> FORMCHECKBOX </w:instrText>
            </w:r>
            <w:r w:rsidR="00AB6006">
              <w:rPr>
                <w:rFonts w:ascii="Arial Narrow" w:eastAsia="Calibri" w:hAnsi="Arial Narrow"/>
                <w:sz w:val="20"/>
                <w:szCs w:val="20"/>
              </w:rPr>
            </w:r>
            <w:r w:rsidR="00AB6006">
              <w:rPr>
                <w:rFonts w:ascii="Arial Narrow" w:eastAsia="Calibri" w:hAnsi="Arial Narrow"/>
                <w:sz w:val="20"/>
                <w:szCs w:val="20"/>
              </w:rPr>
              <w:fldChar w:fldCharType="separate"/>
            </w:r>
            <w:r w:rsidRPr="00DB2BE9">
              <w:rPr>
                <w:rFonts w:ascii="Arial Narrow" w:eastAsia="Calibri" w:hAnsi="Arial Narrow"/>
                <w:sz w:val="20"/>
                <w:szCs w:val="20"/>
              </w:rPr>
              <w:fldChar w:fldCharType="end"/>
            </w:r>
            <w:r w:rsidRPr="00DB2BE9">
              <w:rPr>
                <w:rFonts w:ascii="Arial Narrow" w:eastAsia="Calibri" w:hAnsi="Arial Narrow"/>
                <w:sz w:val="20"/>
                <w:szCs w:val="20"/>
              </w:rPr>
              <w:t xml:space="preserve"> Authority Required (telephone/online PBS Authorities system)</w:t>
            </w:r>
          </w:p>
        </w:tc>
      </w:tr>
      <w:tr w:rsidR="003467DE" w:rsidRPr="005F0CE8" w14:paraId="0A6463A8"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1147CBDC" w14:textId="0B91AB6B" w:rsidR="003467DE" w:rsidRPr="00DB2BE9" w:rsidRDefault="003467DE" w:rsidP="003467DE">
            <w:pPr>
              <w:rPr>
                <w:rFonts w:ascii="Arial Narrow" w:hAnsi="Arial Narrow"/>
                <w:sz w:val="20"/>
                <w:szCs w:val="20"/>
              </w:rPr>
            </w:pPr>
            <w:r w:rsidRPr="00DB2BE9">
              <w:rPr>
                <w:rFonts w:ascii="Arial Narrow" w:hAnsi="Arial Narrow"/>
                <w:b/>
                <w:bCs/>
                <w:sz w:val="20"/>
                <w:szCs w:val="20"/>
              </w:rPr>
              <w:t>Indication:</w:t>
            </w:r>
            <w:r w:rsidRPr="00DB2BE9">
              <w:rPr>
                <w:rFonts w:ascii="Arial Narrow" w:hAnsi="Arial Narrow"/>
                <w:sz w:val="20"/>
                <w:szCs w:val="20"/>
              </w:rPr>
              <w:t xml:space="preserve"> Adjuvant treatment of early stage breast cancer</w:t>
            </w:r>
          </w:p>
        </w:tc>
      </w:tr>
      <w:tr w:rsidR="006A2F69" w:rsidRPr="005F0CE8" w14:paraId="3E4DC91C"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2201E8D4" w14:textId="77777777" w:rsidR="009A6BB5" w:rsidRPr="00DB2BE9" w:rsidRDefault="009A6BB5" w:rsidP="003467DE">
            <w:pPr>
              <w:rPr>
                <w:rFonts w:ascii="Arial Narrow" w:hAnsi="Arial Narrow"/>
                <w:b/>
                <w:bCs/>
                <w:sz w:val="20"/>
                <w:szCs w:val="20"/>
              </w:rPr>
            </w:pPr>
          </w:p>
        </w:tc>
      </w:tr>
      <w:tr w:rsidR="003467DE" w:rsidRPr="005F0CE8" w14:paraId="3C922ACD"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tcPr>
          <w:p w14:paraId="484FE85E" w14:textId="77777777" w:rsidR="003467DE" w:rsidRPr="00DB2BE9" w:rsidRDefault="003467DE" w:rsidP="009A6BB5">
            <w:pPr>
              <w:rPr>
                <w:rFonts w:ascii="Arial Narrow" w:hAnsi="Arial Narrow"/>
                <w:b/>
                <w:bCs/>
                <w:i/>
                <w:iCs/>
                <w:sz w:val="20"/>
                <w:szCs w:val="20"/>
              </w:rPr>
            </w:pPr>
            <w:r w:rsidRPr="00DB2BE9">
              <w:rPr>
                <w:rFonts w:ascii="Arial Narrow" w:hAnsi="Arial Narrow"/>
                <w:b/>
                <w:bCs/>
                <w:i/>
                <w:iCs/>
                <w:sz w:val="20"/>
                <w:szCs w:val="20"/>
              </w:rPr>
              <w:t xml:space="preserve">Administrative advice: </w:t>
            </w:r>
            <w:r w:rsidRPr="00DB2BE9">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467DE" w:rsidRPr="005F0CE8" w14:paraId="3E527EC3"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4E80CD58" w14:textId="77777777" w:rsidR="003467DE" w:rsidRPr="00DB2BE9" w:rsidRDefault="003467DE" w:rsidP="003467DE">
            <w:pPr>
              <w:rPr>
                <w:rFonts w:ascii="Arial Narrow" w:hAnsi="Arial Narrow"/>
                <w:b/>
                <w:bCs/>
                <w:i/>
                <w:iCs/>
                <w:sz w:val="20"/>
                <w:szCs w:val="20"/>
              </w:rPr>
            </w:pPr>
            <w:r w:rsidRPr="00DB2BE9">
              <w:rPr>
                <w:rFonts w:ascii="Arial Narrow" w:hAnsi="Arial Narrow"/>
                <w:b/>
                <w:bCs/>
                <w:i/>
                <w:iCs/>
                <w:sz w:val="20"/>
                <w:szCs w:val="20"/>
              </w:rPr>
              <w:t xml:space="preserve">Administrative advice: </w:t>
            </w:r>
            <w:r w:rsidRPr="00DB2BE9">
              <w:rPr>
                <w:rFonts w:ascii="Arial Narrow" w:hAnsi="Arial Narrow"/>
                <w:i/>
                <w:iCs/>
                <w:sz w:val="20"/>
                <w:szCs w:val="20"/>
              </w:rPr>
              <w:t>No increase in the maximum quantity or number of units may be authorised.</w:t>
            </w:r>
          </w:p>
        </w:tc>
      </w:tr>
      <w:tr w:rsidR="003467DE" w:rsidRPr="005F0CE8" w14:paraId="0FC6BE4F"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7DD5D7DA" w14:textId="77777777" w:rsidR="003467DE" w:rsidRPr="00DB2BE9" w:rsidRDefault="003467DE" w:rsidP="003467DE">
            <w:pPr>
              <w:rPr>
                <w:rFonts w:ascii="Arial Narrow" w:hAnsi="Arial Narrow"/>
                <w:b/>
                <w:bCs/>
                <w:i/>
                <w:iCs/>
                <w:sz w:val="20"/>
                <w:szCs w:val="20"/>
              </w:rPr>
            </w:pPr>
            <w:r w:rsidRPr="00DB2BE9">
              <w:rPr>
                <w:rFonts w:ascii="Arial Narrow" w:hAnsi="Arial Narrow"/>
                <w:b/>
                <w:bCs/>
                <w:i/>
                <w:iCs/>
                <w:sz w:val="20"/>
                <w:szCs w:val="20"/>
              </w:rPr>
              <w:t xml:space="preserve">Administrative advice: </w:t>
            </w:r>
            <w:r w:rsidRPr="00DB2BE9">
              <w:rPr>
                <w:rFonts w:ascii="Arial Narrow" w:hAnsi="Arial Narrow"/>
                <w:i/>
                <w:iCs/>
                <w:sz w:val="20"/>
                <w:szCs w:val="20"/>
              </w:rPr>
              <w:t>No increase in the maximum number of repeats may be authorised.</w:t>
            </w:r>
          </w:p>
        </w:tc>
      </w:tr>
      <w:tr w:rsidR="009A6BB5" w:rsidRPr="005F0CE8" w14:paraId="670F9D00"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1720F97B" w14:textId="178072A8" w:rsidR="009A6BB5" w:rsidRPr="00DB2BE9" w:rsidRDefault="009A6BB5" w:rsidP="003467DE">
            <w:pPr>
              <w:rPr>
                <w:rFonts w:ascii="Arial Narrow" w:hAnsi="Arial Narrow"/>
                <w:b/>
                <w:bCs/>
                <w:i/>
                <w:iCs/>
                <w:sz w:val="20"/>
                <w:szCs w:val="20"/>
              </w:rPr>
            </w:pPr>
            <w:r w:rsidRPr="00DB2BE9">
              <w:rPr>
                <w:rFonts w:ascii="Arial Narrow" w:hAnsi="Arial Narrow"/>
                <w:b/>
                <w:bCs/>
                <w:i/>
                <w:iCs/>
                <w:sz w:val="20"/>
                <w:szCs w:val="20"/>
              </w:rPr>
              <w:t xml:space="preserve">Administrative advice: </w:t>
            </w:r>
            <w:r w:rsidRPr="00DB2BE9">
              <w:rPr>
                <w:rFonts w:ascii="Arial Narrow" w:hAnsi="Arial Narrow"/>
                <w:i/>
                <w:iCs/>
                <w:sz w:val="20"/>
                <w:szCs w:val="20"/>
              </w:rPr>
              <w:t>Patients may qualify for PBS-subsidised treatment under this restriction once only.</w:t>
            </w:r>
          </w:p>
        </w:tc>
      </w:tr>
      <w:tr w:rsidR="009A6BB5" w:rsidRPr="005F0CE8" w14:paraId="2D0C985A"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6437001F" w14:textId="77777777" w:rsidR="009A6BB5" w:rsidRPr="00DB2BE9" w:rsidRDefault="009A6BB5" w:rsidP="003467DE">
            <w:pPr>
              <w:rPr>
                <w:rFonts w:ascii="Arial Narrow" w:hAnsi="Arial Narrow"/>
                <w:b/>
                <w:bCs/>
                <w:i/>
                <w:iCs/>
                <w:sz w:val="20"/>
                <w:szCs w:val="20"/>
              </w:rPr>
            </w:pPr>
          </w:p>
        </w:tc>
      </w:tr>
      <w:tr w:rsidR="003467DE" w:rsidRPr="005F0CE8" w14:paraId="42A0C666"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48355F96"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Treatment Phase:</w:t>
            </w:r>
            <w:r w:rsidRPr="00DB2BE9">
              <w:rPr>
                <w:rFonts w:ascii="Arial Narrow" w:hAnsi="Arial Narrow"/>
                <w:sz w:val="20"/>
                <w:szCs w:val="20"/>
              </w:rPr>
              <w:t xml:space="preserve"> Initial treatment</w:t>
            </w:r>
          </w:p>
        </w:tc>
      </w:tr>
      <w:tr w:rsidR="009A6BB5" w:rsidRPr="005F0CE8" w14:paraId="78567B13"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6FD92467" w14:textId="77777777" w:rsidR="009A6BB5" w:rsidRPr="00DB2BE9" w:rsidRDefault="009A6BB5" w:rsidP="003467DE">
            <w:pPr>
              <w:rPr>
                <w:rFonts w:ascii="Arial Narrow" w:hAnsi="Arial Narrow"/>
                <w:b/>
                <w:bCs/>
                <w:sz w:val="20"/>
                <w:szCs w:val="20"/>
              </w:rPr>
            </w:pPr>
          </w:p>
        </w:tc>
      </w:tr>
      <w:tr w:rsidR="003467DE" w:rsidRPr="005F0CE8" w14:paraId="6F692CB2"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593C0A6F"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Clinical criteria:</w:t>
            </w:r>
          </w:p>
        </w:tc>
      </w:tr>
      <w:tr w:rsidR="003467DE" w:rsidRPr="005F0CE8" w14:paraId="4F547CA3"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30E4A9D7"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 xml:space="preserve">The condition must be each of: (i) negative for human epidermal growth factor receptor 2 (HER2) overexpression, (ii) hormone receptor positive, (iii) early stage disease (i.e. the most recent medical imaging indicates an absence of disease metastasis); </w:t>
            </w:r>
            <w:r w:rsidRPr="00DB2BE9">
              <w:rPr>
                <w:rFonts w:ascii="Arial Narrow" w:hAnsi="Arial Narrow"/>
                <w:b/>
                <w:bCs/>
                <w:sz w:val="20"/>
                <w:szCs w:val="20"/>
              </w:rPr>
              <w:t>or</w:t>
            </w:r>
          </w:p>
        </w:tc>
      </w:tr>
      <w:tr w:rsidR="003467DE" w:rsidRPr="005F0CE8" w14:paraId="306C0A93"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773E69C1"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The condition must be each of: (i) negative for human epidermal growth factor receptor 2 (HER2) overexpression, (ii) negative for hormone receptor status, (iii) early stage disease (i.e. the most recent medical imaging indicates an absence of disease metastasis)</w:t>
            </w:r>
          </w:p>
        </w:tc>
      </w:tr>
      <w:tr w:rsidR="003467DE" w:rsidRPr="005F0CE8" w14:paraId="5F27982E"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3BDE6DD0"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AND</w:t>
            </w:r>
          </w:p>
        </w:tc>
      </w:tr>
      <w:tr w:rsidR="003467DE" w:rsidRPr="005F0CE8" w14:paraId="3CE6A1D2"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0D0611D4"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Clinical criteria:</w:t>
            </w:r>
          </w:p>
        </w:tc>
      </w:tr>
      <w:tr w:rsidR="003467DE" w:rsidRPr="005F0CE8" w14:paraId="42A23E29"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76DACAC7"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 xml:space="preserve">Patient </w:t>
            </w:r>
            <w:r w:rsidRPr="00DB2BE9">
              <w:rPr>
                <w:rFonts w:ascii="Arial Narrow" w:hAnsi="Arial Narrow"/>
                <w:strike/>
                <w:sz w:val="20"/>
                <w:szCs w:val="20"/>
              </w:rPr>
              <w:t>should have to</w:t>
            </w:r>
            <w:r w:rsidRPr="00DB2BE9">
              <w:rPr>
                <w:rFonts w:ascii="Arial Narrow" w:hAnsi="Arial Narrow"/>
                <w:sz w:val="20"/>
                <w:szCs w:val="20"/>
              </w:rPr>
              <w:t xml:space="preserve"> </w:t>
            </w:r>
            <w:r w:rsidRPr="00DB2BE9">
              <w:rPr>
                <w:rFonts w:ascii="Arial Narrow" w:hAnsi="Arial Narrow"/>
                <w:i/>
                <w:iCs/>
                <w:sz w:val="20"/>
                <w:szCs w:val="20"/>
              </w:rPr>
              <w:t xml:space="preserve">has </w:t>
            </w:r>
            <w:r w:rsidRPr="00DB2BE9">
              <w:rPr>
                <w:rFonts w:ascii="Arial Narrow" w:hAnsi="Arial Narrow"/>
                <w:sz w:val="20"/>
                <w:szCs w:val="20"/>
              </w:rPr>
              <w:t>complete</w:t>
            </w:r>
            <w:r w:rsidRPr="00DB2BE9">
              <w:rPr>
                <w:rFonts w:ascii="Arial Narrow" w:hAnsi="Arial Narrow"/>
                <w:i/>
                <w:iCs/>
                <w:sz w:val="20"/>
                <w:szCs w:val="20"/>
              </w:rPr>
              <w:t>d</w:t>
            </w:r>
            <w:r w:rsidRPr="00DB2BE9">
              <w:rPr>
                <w:rFonts w:ascii="Arial Narrow" w:hAnsi="Arial Narrow"/>
                <w:sz w:val="20"/>
                <w:szCs w:val="20"/>
              </w:rPr>
              <w:t xml:space="preserve"> at least six cycles (or experience</w:t>
            </w:r>
            <w:r w:rsidRPr="00DB2BE9">
              <w:rPr>
                <w:rFonts w:ascii="Arial Narrow" w:hAnsi="Arial Narrow"/>
                <w:i/>
                <w:iCs/>
                <w:sz w:val="20"/>
                <w:szCs w:val="20"/>
              </w:rPr>
              <w:t>d</w:t>
            </w:r>
            <w:r w:rsidRPr="00DB2BE9">
              <w:rPr>
                <w:rFonts w:ascii="Arial Narrow" w:hAnsi="Arial Narrow"/>
                <w:sz w:val="20"/>
                <w:szCs w:val="20"/>
              </w:rPr>
              <w:t xml:space="preserve"> toxicity necessitating withdrawal) of neoadjuvant or adjuvant chemotherapy containing anthracyclines, taxanes, or both agents.</w:t>
            </w:r>
          </w:p>
        </w:tc>
      </w:tr>
      <w:tr w:rsidR="003467DE" w:rsidRPr="005F0CE8" w14:paraId="1F2DE37D"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65378D20"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AND</w:t>
            </w:r>
          </w:p>
        </w:tc>
      </w:tr>
      <w:tr w:rsidR="003467DE" w:rsidRPr="005F0CE8" w14:paraId="584CC9FB"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3E7CE43D"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The treatment must be adjuvant to surgical resection</w:t>
            </w:r>
          </w:p>
        </w:tc>
      </w:tr>
      <w:tr w:rsidR="003467DE" w:rsidRPr="005F0CE8" w14:paraId="77C12C92"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14ED8983"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AND</w:t>
            </w:r>
          </w:p>
        </w:tc>
      </w:tr>
      <w:tr w:rsidR="003467DE" w:rsidRPr="005F0CE8" w14:paraId="1A4FBC4B"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48D7CFE7" w14:textId="7E90EF7A" w:rsidR="003467DE" w:rsidRPr="00DB2BE9" w:rsidRDefault="003467DE" w:rsidP="003467DE">
            <w:pPr>
              <w:rPr>
                <w:rFonts w:ascii="Arial Narrow" w:hAnsi="Arial Narrow"/>
                <w:sz w:val="20"/>
                <w:szCs w:val="20"/>
              </w:rPr>
            </w:pPr>
            <w:r w:rsidRPr="00DB2BE9">
              <w:rPr>
                <w:rFonts w:ascii="Arial Narrow" w:hAnsi="Arial Narrow"/>
                <w:sz w:val="20"/>
                <w:szCs w:val="20"/>
              </w:rPr>
              <w:t xml:space="preserve">The condition must be associated with a class 4 or 5 </w:t>
            </w:r>
            <w:r w:rsidR="009E092C" w:rsidRPr="00DB2BE9">
              <w:rPr>
                <w:rFonts w:ascii="Arial Narrow" w:hAnsi="Arial Narrow"/>
                <w:i/>
                <w:sz w:val="20"/>
                <w:szCs w:val="20"/>
              </w:rPr>
              <w:t>BRCA1</w:t>
            </w:r>
            <w:r w:rsidRPr="00DB2BE9">
              <w:rPr>
                <w:rFonts w:ascii="Arial Narrow" w:hAnsi="Arial Narrow"/>
                <w:sz w:val="20"/>
                <w:szCs w:val="20"/>
              </w:rPr>
              <w:t xml:space="preserve"> or </w:t>
            </w:r>
            <w:r w:rsidR="009E092C" w:rsidRPr="00DB2BE9">
              <w:rPr>
                <w:rFonts w:ascii="Arial Narrow" w:hAnsi="Arial Narrow"/>
                <w:i/>
                <w:sz w:val="20"/>
                <w:szCs w:val="20"/>
              </w:rPr>
              <w:t>BRCA2</w:t>
            </w:r>
            <w:r w:rsidRPr="00DB2BE9">
              <w:rPr>
                <w:rFonts w:ascii="Arial Narrow" w:hAnsi="Arial Narrow"/>
                <w:sz w:val="20"/>
                <w:szCs w:val="20"/>
              </w:rPr>
              <w:t xml:space="preserve"> gene mutation</w:t>
            </w:r>
          </w:p>
        </w:tc>
      </w:tr>
      <w:tr w:rsidR="003467DE" w:rsidRPr="005F0CE8" w14:paraId="4C8DA39C"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7FF747E2" w14:textId="77777777" w:rsidR="003467DE" w:rsidRPr="00DB2BE9" w:rsidRDefault="003467DE" w:rsidP="003467DE">
            <w:pPr>
              <w:rPr>
                <w:rFonts w:ascii="Arial Narrow" w:hAnsi="Arial Narrow"/>
                <w:b/>
                <w:bCs/>
                <w:sz w:val="20"/>
                <w:szCs w:val="20"/>
              </w:rPr>
            </w:pPr>
            <w:r w:rsidRPr="00DB2BE9">
              <w:rPr>
                <w:rFonts w:ascii="Arial Narrow" w:hAnsi="Arial Narrow"/>
                <w:b/>
                <w:bCs/>
                <w:sz w:val="20"/>
                <w:szCs w:val="20"/>
              </w:rPr>
              <w:t>AND</w:t>
            </w:r>
          </w:p>
        </w:tc>
      </w:tr>
      <w:tr w:rsidR="003467DE" w:rsidRPr="005F0CE8" w14:paraId="215A814C"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70CA70E9"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Clinical criteria:</w:t>
            </w:r>
          </w:p>
        </w:tc>
      </w:tr>
      <w:tr w:rsidR="003467DE" w:rsidRPr="005F0CE8" w14:paraId="08620895"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281F14C1"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 xml:space="preserve">The condition must be considered to be of high risk of recurrence at treatment initiation with this drug, with high risk being any of: </w:t>
            </w:r>
          </w:p>
          <w:p w14:paraId="4B6C0947" w14:textId="77777777" w:rsidR="003467DE" w:rsidRPr="00DB2BE9" w:rsidRDefault="003467DE" w:rsidP="00BA51B7">
            <w:pPr>
              <w:pStyle w:val="ListParagraph"/>
              <w:numPr>
                <w:ilvl w:val="0"/>
                <w:numId w:val="8"/>
              </w:numPr>
              <w:spacing w:after="0"/>
              <w:contextualSpacing/>
              <w:jc w:val="left"/>
              <w:rPr>
                <w:rFonts w:ascii="Arial Narrow" w:hAnsi="Arial Narrow"/>
                <w:sz w:val="20"/>
                <w:szCs w:val="20"/>
              </w:rPr>
            </w:pPr>
            <w:r w:rsidRPr="00DB2BE9">
              <w:rPr>
                <w:rFonts w:ascii="Arial Narrow" w:hAnsi="Arial Narrow"/>
                <w:sz w:val="20"/>
                <w:szCs w:val="20"/>
              </w:rPr>
              <w:t xml:space="preserve">Triple negative breast cancer patient who had received prior neoadjuvant chemotherapy must have had residual invasive cancer in the breast and/or resected lymph nodes. </w:t>
            </w:r>
          </w:p>
          <w:p w14:paraId="0AACC87B" w14:textId="77777777" w:rsidR="003467DE" w:rsidRPr="00DB2BE9" w:rsidRDefault="003467DE" w:rsidP="00BA51B7">
            <w:pPr>
              <w:pStyle w:val="ListParagraph"/>
              <w:numPr>
                <w:ilvl w:val="0"/>
                <w:numId w:val="8"/>
              </w:numPr>
              <w:spacing w:after="0"/>
              <w:contextualSpacing/>
              <w:jc w:val="left"/>
              <w:rPr>
                <w:rFonts w:ascii="Arial Narrow" w:hAnsi="Arial Narrow"/>
                <w:sz w:val="20"/>
                <w:szCs w:val="20"/>
              </w:rPr>
            </w:pPr>
            <w:r w:rsidRPr="00DB2BE9">
              <w:rPr>
                <w:rFonts w:ascii="Arial Narrow" w:hAnsi="Arial Narrow"/>
                <w:sz w:val="20"/>
                <w:szCs w:val="20"/>
              </w:rPr>
              <w:t>Hormone receptor positive, HER2-negative, patient who had received prior neoadjuvant chemotherapy must have had residual invasive cancer in the breast and/or resected lymph nodes.</w:t>
            </w:r>
          </w:p>
          <w:p w14:paraId="2193C870" w14:textId="77777777" w:rsidR="003467DE" w:rsidRPr="00DB2BE9" w:rsidRDefault="003467DE" w:rsidP="00BA51B7">
            <w:pPr>
              <w:pStyle w:val="ListParagraph"/>
              <w:numPr>
                <w:ilvl w:val="0"/>
                <w:numId w:val="8"/>
              </w:numPr>
              <w:spacing w:after="0"/>
              <w:contextualSpacing/>
              <w:jc w:val="left"/>
              <w:rPr>
                <w:rFonts w:ascii="Arial Narrow" w:hAnsi="Arial Narrow"/>
                <w:sz w:val="20"/>
                <w:szCs w:val="20"/>
              </w:rPr>
            </w:pPr>
            <w:r w:rsidRPr="00DB2BE9">
              <w:rPr>
                <w:rFonts w:ascii="Arial Narrow" w:hAnsi="Arial Narrow"/>
                <w:sz w:val="20"/>
                <w:szCs w:val="20"/>
              </w:rPr>
              <w:t xml:space="preserve">Triple negative breast cancer patient who had received prior adjuvant chemotherapy must have had node positive disease or primary tumour greater than 20 mm, </w:t>
            </w:r>
          </w:p>
          <w:p w14:paraId="3D7D3B8B" w14:textId="262C9DCF" w:rsidR="003467DE" w:rsidRPr="00DB2BE9" w:rsidRDefault="003467DE" w:rsidP="00BA51B7">
            <w:pPr>
              <w:pStyle w:val="ListParagraph"/>
              <w:numPr>
                <w:ilvl w:val="0"/>
                <w:numId w:val="8"/>
              </w:numPr>
              <w:spacing w:after="0"/>
              <w:contextualSpacing/>
              <w:jc w:val="left"/>
              <w:rPr>
                <w:rFonts w:ascii="Arial Narrow" w:hAnsi="Arial Narrow"/>
                <w:sz w:val="20"/>
                <w:szCs w:val="20"/>
              </w:rPr>
            </w:pPr>
            <w:r w:rsidRPr="00DB2BE9">
              <w:rPr>
                <w:rFonts w:ascii="Arial Narrow" w:hAnsi="Arial Narrow"/>
                <w:sz w:val="20"/>
                <w:szCs w:val="20"/>
              </w:rPr>
              <w:t>Hormone receptor positive, HER2-negative, patient who had received prior adjuvant chemotherapy must have had 4 or more positive lymph nodes</w:t>
            </w:r>
            <w:r w:rsidR="0038604F" w:rsidRPr="00DB2BE9">
              <w:rPr>
                <w:rFonts w:ascii="Arial Narrow" w:hAnsi="Arial Narrow"/>
                <w:sz w:val="20"/>
                <w:szCs w:val="20"/>
              </w:rPr>
              <w:t xml:space="preserve"> </w:t>
            </w:r>
          </w:p>
        </w:tc>
      </w:tr>
      <w:tr w:rsidR="003467DE" w:rsidRPr="005F0CE8" w14:paraId="197F7FB0"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33F001BD"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AND</w:t>
            </w:r>
          </w:p>
        </w:tc>
      </w:tr>
      <w:tr w:rsidR="003467DE" w:rsidRPr="005F0CE8" w14:paraId="2BF2D2B3"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4B52361D"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Clinical criteria:</w:t>
            </w:r>
          </w:p>
        </w:tc>
      </w:tr>
      <w:tr w:rsidR="003467DE" w:rsidRPr="005F0CE8" w14:paraId="0A1403C4"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4D77DADC" w14:textId="1CB05E12" w:rsidR="003467DE" w:rsidRPr="00DB2BE9" w:rsidRDefault="003467DE" w:rsidP="003467DE">
            <w:pPr>
              <w:rPr>
                <w:rFonts w:ascii="Arial Narrow" w:hAnsi="Arial Narrow"/>
                <w:sz w:val="20"/>
                <w:szCs w:val="20"/>
              </w:rPr>
            </w:pPr>
            <w:r w:rsidRPr="00DB2BE9">
              <w:rPr>
                <w:rFonts w:ascii="Arial Narrow" w:hAnsi="Arial Narrow"/>
                <w:sz w:val="20"/>
                <w:szCs w:val="20"/>
              </w:rPr>
              <w:t xml:space="preserve">The treatment must not be a PBS-subsidised benefit beyond whichever comes first: (i) </w:t>
            </w:r>
            <w:r w:rsidRPr="00DB2BE9">
              <w:rPr>
                <w:rFonts w:ascii="Arial Narrow" w:hAnsi="Arial Narrow"/>
                <w:strike/>
                <w:sz w:val="20"/>
                <w:szCs w:val="20"/>
              </w:rPr>
              <w:t>week</w:t>
            </w:r>
            <w:r w:rsidRPr="00DB2BE9">
              <w:rPr>
                <w:rFonts w:ascii="Arial Narrow" w:hAnsi="Arial Narrow"/>
                <w:sz w:val="20"/>
                <w:szCs w:val="20"/>
              </w:rPr>
              <w:t xml:space="preserve"> </w:t>
            </w:r>
            <w:r w:rsidRPr="00DB2BE9">
              <w:rPr>
                <w:rFonts w:ascii="Arial Narrow" w:hAnsi="Arial Narrow"/>
                <w:i/>
                <w:iCs/>
                <w:sz w:val="20"/>
                <w:szCs w:val="20"/>
              </w:rPr>
              <w:t>a total of</w:t>
            </w:r>
            <w:r w:rsidRPr="00DB2BE9">
              <w:rPr>
                <w:rFonts w:ascii="Arial Narrow" w:hAnsi="Arial Narrow"/>
                <w:sz w:val="20"/>
                <w:szCs w:val="20"/>
              </w:rPr>
              <w:t xml:space="preserve"> 52</w:t>
            </w:r>
            <w:r w:rsidRPr="00DB2BE9">
              <w:rPr>
                <w:rFonts w:ascii="Arial Narrow" w:hAnsi="Arial Narrow"/>
                <w:i/>
                <w:iCs/>
                <w:sz w:val="20"/>
                <w:szCs w:val="20"/>
              </w:rPr>
              <w:t xml:space="preserve"> weeks </w:t>
            </w:r>
            <w:r w:rsidRPr="00DB2BE9">
              <w:rPr>
                <w:rFonts w:ascii="Arial Narrow" w:hAnsi="Arial Narrow"/>
                <w:sz w:val="20"/>
                <w:szCs w:val="20"/>
              </w:rPr>
              <w:t xml:space="preserve">of treatment </w:t>
            </w:r>
            <w:r w:rsidRPr="00DB2BE9">
              <w:rPr>
                <w:rFonts w:ascii="Arial Narrow" w:hAnsi="Arial Narrow"/>
                <w:strike/>
                <w:sz w:val="20"/>
                <w:szCs w:val="20"/>
              </w:rPr>
              <w:t xml:space="preserve">in accordance with the Product Information </w:t>
            </w:r>
            <w:r w:rsidRPr="00DB2BE9">
              <w:rPr>
                <w:rFonts w:ascii="Arial Narrow" w:hAnsi="Arial Narrow"/>
                <w:i/>
                <w:iCs/>
                <w:sz w:val="20"/>
                <w:szCs w:val="20"/>
              </w:rPr>
              <w:t>(including any non-PBS subsidised supply),</w:t>
            </w:r>
            <w:r w:rsidRPr="00DB2BE9">
              <w:rPr>
                <w:rFonts w:ascii="Arial Narrow" w:hAnsi="Arial Narrow"/>
                <w:sz w:val="20"/>
                <w:szCs w:val="20"/>
              </w:rPr>
              <w:t xml:space="preserve"> (ii) disease recurrence/progression</w:t>
            </w:r>
          </w:p>
        </w:tc>
      </w:tr>
      <w:tr w:rsidR="003467DE" w:rsidRPr="005F0CE8" w14:paraId="0A0ED5E7"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693AA668"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Clinical criteria:</w:t>
            </w:r>
          </w:p>
        </w:tc>
      </w:tr>
      <w:tr w:rsidR="003467DE" w:rsidRPr="005F0CE8" w14:paraId="4324D64A"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7630A487"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Patients with hormone receptor positive</w:t>
            </w:r>
            <w:r w:rsidRPr="00DB2BE9">
              <w:rPr>
                <w:rFonts w:ascii="Arial Narrow" w:hAnsi="Arial Narrow"/>
                <w:strike/>
                <w:sz w:val="20"/>
                <w:szCs w:val="20"/>
              </w:rPr>
              <w:t xml:space="preserve">, HER2-negative </w:t>
            </w:r>
            <w:r w:rsidRPr="00DB2BE9">
              <w:rPr>
                <w:rFonts w:ascii="Arial Narrow" w:hAnsi="Arial Narrow"/>
                <w:sz w:val="20"/>
                <w:szCs w:val="20"/>
              </w:rPr>
              <w:t xml:space="preserve">disease must be undergoing concurrent treatment with endocrine therapy; </w:t>
            </w:r>
            <w:r w:rsidRPr="00DB2BE9">
              <w:rPr>
                <w:rFonts w:ascii="Arial Narrow" w:hAnsi="Arial Narrow"/>
                <w:i/>
                <w:iCs/>
                <w:sz w:val="20"/>
                <w:szCs w:val="20"/>
              </w:rPr>
              <w:t>Patients with hormone receptor negative disease must be treated with olaparib monotherapy.</w:t>
            </w:r>
          </w:p>
        </w:tc>
      </w:tr>
      <w:tr w:rsidR="003467DE" w:rsidRPr="005F0CE8" w14:paraId="51075CC8"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773DA979"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Prescribing Instructions:</w:t>
            </w:r>
          </w:p>
          <w:p w14:paraId="139B89EF" w14:textId="77777777" w:rsidR="003467DE" w:rsidRPr="00DB2BE9" w:rsidRDefault="003467DE" w:rsidP="003467DE">
            <w:pPr>
              <w:rPr>
                <w:rFonts w:ascii="Arial Narrow" w:hAnsi="Arial Narrow"/>
                <w:sz w:val="20"/>
                <w:szCs w:val="20"/>
              </w:rPr>
            </w:pPr>
            <w:r w:rsidRPr="00DB2BE9">
              <w:rPr>
                <w:rFonts w:ascii="Arial Narrow" w:hAnsi="Arial Narrow"/>
                <w:sz w:val="20"/>
                <w:szCs w:val="20"/>
              </w:rPr>
              <w:lastRenderedPageBreak/>
              <w:t>Retain all pathology imaging and investigative test results in the patient’s medical records. Do not submit copies of these as part of the authority application.</w:t>
            </w:r>
          </w:p>
        </w:tc>
      </w:tr>
      <w:tr w:rsidR="006A2F69" w:rsidRPr="005F0CE8" w14:paraId="06D187BC"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3E1A0228" w14:textId="77777777" w:rsidR="009A6BB5" w:rsidRPr="00DB2BE9" w:rsidRDefault="009A6BB5" w:rsidP="003467DE">
            <w:pPr>
              <w:rPr>
                <w:rFonts w:ascii="Arial Narrow" w:hAnsi="Arial Narrow"/>
                <w:b/>
                <w:bCs/>
                <w:sz w:val="20"/>
                <w:szCs w:val="20"/>
              </w:rPr>
            </w:pPr>
          </w:p>
        </w:tc>
      </w:tr>
      <w:tr w:rsidR="003467DE" w:rsidRPr="005F0CE8" w14:paraId="793FDD7F"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7C8E46D2"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Treatment Phase:</w:t>
            </w:r>
            <w:r w:rsidRPr="00DB2BE9">
              <w:rPr>
                <w:rFonts w:ascii="Arial Narrow" w:hAnsi="Arial Narrow"/>
                <w:sz w:val="20"/>
                <w:szCs w:val="20"/>
              </w:rPr>
              <w:t xml:space="preserve"> Continuing treatment</w:t>
            </w:r>
          </w:p>
        </w:tc>
      </w:tr>
      <w:tr w:rsidR="003467DE" w:rsidRPr="005F0CE8" w14:paraId="732EC8DE"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2221510B"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Clinical criteria:</w:t>
            </w:r>
          </w:p>
        </w:tc>
      </w:tr>
      <w:tr w:rsidR="003467DE" w:rsidRPr="005F0CE8" w14:paraId="0829F388"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64DCDD7D"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 xml:space="preserve">Patient must have received </w:t>
            </w:r>
            <w:r w:rsidRPr="00DB2BE9">
              <w:rPr>
                <w:rFonts w:ascii="Arial Narrow" w:hAnsi="Arial Narrow"/>
                <w:strike/>
                <w:sz w:val="20"/>
                <w:szCs w:val="20"/>
              </w:rPr>
              <w:t>previous</w:t>
            </w:r>
            <w:r w:rsidRPr="00DB2BE9">
              <w:rPr>
                <w:rFonts w:ascii="Arial Narrow" w:hAnsi="Arial Narrow"/>
                <w:sz w:val="20"/>
                <w:szCs w:val="20"/>
              </w:rPr>
              <w:t xml:space="preserve"> PBS-subsidised treatment with this drug as adjuvant therapy for this condition</w:t>
            </w:r>
          </w:p>
        </w:tc>
      </w:tr>
      <w:tr w:rsidR="003467DE" w:rsidRPr="005F0CE8" w14:paraId="0FA6C613"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4C706A31" w14:textId="77777777" w:rsidR="003467DE" w:rsidRPr="00DB2BE9" w:rsidRDefault="003467DE" w:rsidP="003467DE">
            <w:pPr>
              <w:rPr>
                <w:rFonts w:ascii="Arial Narrow" w:hAnsi="Arial Narrow"/>
                <w:b/>
                <w:bCs/>
                <w:sz w:val="20"/>
                <w:szCs w:val="20"/>
              </w:rPr>
            </w:pPr>
            <w:r w:rsidRPr="00DB2BE9">
              <w:rPr>
                <w:rFonts w:ascii="Arial Narrow" w:hAnsi="Arial Narrow"/>
                <w:b/>
                <w:bCs/>
                <w:sz w:val="20"/>
                <w:szCs w:val="20"/>
              </w:rPr>
              <w:t xml:space="preserve">AND </w:t>
            </w:r>
          </w:p>
        </w:tc>
      </w:tr>
      <w:tr w:rsidR="003467DE" w:rsidRPr="005F0CE8" w14:paraId="655D6DBE"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0C098C70" w14:textId="77777777" w:rsidR="003467DE" w:rsidRPr="00DB2BE9" w:rsidRDefault="003467DE" w:rsidP="003467DE">
            <w:pPr>
              <w:rPr>
                <w:rFonts w:ascii="Arial Narrow" w:hAnsi="Arial Narrow"/>
                <w:b/>
                <w:bCs/>
                <w:sz w:val="20"/>
                <w:szCs w:val="20"/>
              </w:rPr>
            </w:pPr>
            <w:r w:rsidRPr="00DB2BE9">
              <w:rPr>
                <w:rFonts w:ascii="Arial Narrow" w:hAnsi="Arial Narrow"/>
                <w:b/>
                <w:bCs/>
                <w:sz w:val="20"/>
                <w:szCs w:val="20"/>
              </w:rPr>
              <w:t>Clinical criteria:</w:t>
            </w:r>
          </w:p>
        </w:tc>
      </w:tr>
      <w:tr w:rsidR="003467DE" w:rsidRPr="005F0CE8" w14:paraId="7EC2E85C"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4C47EFAF"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Patient must not have developed disease progression while receiving treatment with this drug for this condition</w:t>
            </w:r>
          </w:p>
        </w:tc>
      </w:tr>
      <w:tr w:rsidR="003467DE" w:rsidRPr="005F0CE8" w14:paraId="6F347941"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1658FED2"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AND</w:t>
            </w:r>
          </w:p>
        </w:tc>
      </w:tr>
      <w:tr w:rsidR="003467DE" w:rsidRPr="005F0CE8" w14:paraId="26BCF0FC"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4B1CB0F1"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Clinical criteria:</w:t>
            </w:r>
          </w:p>
        </w:tc>
      </w:tr>
      <w:tr w:rsidR="003467DE" w:rsidRPr="005F0CE8" w14:paraId="3A37FA82"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71CC0064" w14:textId="2F98860B" w:rsidR="003467DE" w:rsidRPr="00DB2BE9" w:rsidRDefault="003467DE" w:rsidP="003467DE">
            <w:pPr>
              <w:rPr>
                <w:rFonts w:ascii="Arial Narrow" w:hAnsi="Arial Narrow"/>
                <w:sz w:val="20"/>
                <w:szCs w:val="20"/>
              </w:rPr>
            </w:pPr>
            <w:r w:rsidRPr="00DB2BE9">
              <w:rPr>
                <w:rFonts w:ascii="Arial Narrow" w:hAnsi="Arial Narrow"/>
                <w:sz w:val="20"/>
                <w:szCs w:val="20"/>
              </w:rPr>
              <w:t xml:space="preserve">The treatment must not be a PBS-subsidised benefit beyond whichever comes first: (i) </w:t>
            </w:r>
            <w:r w:rsidRPr="00DB2BE9">
              <w:rPr>
                <w:rFonts w:ascii="Arial Narrow" w:hAnsi="Arial Narrow"/>
                <w:strike/>
                <w:sz w:val="20"/>
                <w:szCs w:val="20"/>
              </w:rPr>
              <w:t>week</w:t>
            </w:r>
            <w:r w:rsidRPr="00DB2BE9">
              <w:rPr>
                <w:rFonts w:ascii="Arial Narrow" w:hAnsi="Arial Narrow"/>
                <w:sz w:val="20"/>
                <w:szCs w:val="20"/>
              </w:rPr>
              <w:t xml:space="preserve"> </w:t>
            </w:r>
            <w:r w:rsidRPr="00DB2BE9">
              <w:rPr>
                <w:rFonts w:ascii="Arial Narrow" w:hAnsi="Arial Narrow"/>
                <w:i/>
                <w:iCs/>
                <w:sz w:val="20"/>
                <w:szCs w:val="20"/>
              </w:rPr>
              <w:t>a total of</w:t>
            </w:r>
            <w:r w:rsidRPr="00DB2BE9">
              <w:rPr>
                <w:rFonts w:ascii="Arial Narrow" w:hAnsi="Arial Narrow"/>
                <w:sz w:val="20"/>
                <w:szCs w:val="20"/>
              </w:rPr>
              <w:t xml:space="preserve"> 52</w:t>
            </w:r>
            <w:r w:rsidRPr="00DB2BE9">
              <w:rPr>
                <w:rFonts w:ascii="Arial Narrow" w:hAnsi="Arial Narrow"/>
                <w:i/>
                <w:iCs/>
                <w:sz w:val="20"/>
                <w:szCs w:val="20"/>
              </w:rPr>
              <w:t xml:space="preserve"> weeks </w:t>
            </w:r>
            <w:r w:rsidRPr="00DB2BE9">
              <w:rPr>
                <w:rFonts w:ascii="Arial Narrow" w:hAnsi="Arial Narrow"/>
                <w:sz w:val="20"/>
                <w:szCs w:val="20"/>
              </w:rPr>
              <w:t xml:space="preserve">of treatment </w:t>
            </w:r>
            <w:r w:rsidRPr="00DB2BE9">
              <w:rPr>
                <w:rFonts w:ascii="Arial Narrow" w:hAnsi="Arial Narrow"/>
                <w:strike/>
                <w:sz w:val="20"/>
                <w:szCs w:val="20"/>
              </w:rPr>
              <w:t xml:space="preserve">in accordance with the Product Information </w:t>
            </w:r>
            <w:r w:rsidRPr="00DB2BE9">
              <w:rPr>
                <w:rFonts w:ascii="Arial Narrow" w:hAnsi="Arial Narrow"/>
                <w:i/>
                <w:iCs/>
                <w:sz w:val="20"/>
                <w:szCs w:val="20"/>
              </w:rPr>
              <w:t>(including any non-PBS subsidised supply),</w:t>
            </w:r>
            <w:r w:rsidRPr="00DB2BE9">
              <w:rPr>
                <w:rFonts w:ascii="Arial Narrow" w:hAnsi="Arial Narrow"/>
                <w:sz w:val="20"/>
                <w:szCs w:val="20"/>
              </w:rPr>
              <w:t xml:space="preserve"> (ii) disease recurrence/progression</w:t>
            </w:r>
          </w:p>
        </w:tc>
      </w:tr>
      <w:tr w:rsidR="003467DE" w:rsidRPr="005F0CE8" w14:paraId="10AD7AC5"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619AF4C8"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Clinical criteria:</w:t>
            </w:r>
          </w:p>
        </w:tc>
      </w:tr>
      <w:tr w:rsidR="003467DE" w:rsidRPr="005F0CE8" w14:paraId="6FF0ED5B"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6A4B906F"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Patient with hormone receptor positive</w:t>
            </w:r>
            <w:r w:rsidRPr="00DB2BE9">
              <w:rPr>
                <w:rFonts w:ascii="Arial Narrow" w:hAnsi="Arial Narrow"/>
                <w:strike/>
                <w:sz w:val="20"/>
                <w:szCs w:val="20"/>
              </w:rPr>
              <w:t>, HER2-negative disease</w:t>
            </w:r>
            <w:r w:rsidRPr="00DB2BE9">
              <w:rPr>
                <w:rFonts w:ascii="Arial Narrow" w:hAnsi="Arial Narrow"/>
                <w:sz w:val="20"/>
                <w:szCs w:val="20"/>
              </w:rPr>
              <w:t xml:space="preserve"> must be undergoing concurrent treatment with endocrine therapy</w:t>
            </w:r>
          </w:p>
        </w:tc>
      </w:tr>
      <w:tr w:rsidR="003467DE" w:rsidRPr="005F0CE8" w14:paraId="1005E7A6" w14:textId="77777777" w:rsidTr="00AF6057">
        <w:tblPrEx>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14:paraId="1911B21F" w14:textId="77777777" w:rsidR="003467DE" w:rsidRPr="00DB2BE9" w:rsidRDefault="003467DE" w:rsidP="003467DE">
            <w:pPr>
              <w:rPr>
                <w:rFonts w:ascii="Arial Narrow" w:hAnsi="Arial Narrow"/>
                <w:sz w:val="20"/>
                <w:szCs w:val="20"/>
              </w:rPr>
            </w:pPr>
            <w:r w:rsidRPr="00DB2BE9">
              <w:rPr>
                <w:rFonts w:ascii="Arial Narrow" w:hAnsi="Arial Narrow"/>
                <w:b/>
                <w:bCs/>
                <w:sz w:val="20"/>
                <w:szCs w:val="20"/>
              </w:rPr>
              <w:t>Prescribing Instructions:</w:t>
            </w:r>
          </w:p>
          <w:p w14:paraId="56EAFD57" w14:textId="77777777" w:rsidR="003467DE" w:rsidRPr="00DB2BE9" w:rsidRDefault="003467DE" w:rsidP="003467DE">
            <w:pPr>
              <w:rPr>
                <w:rFonts w:ascii="Arial Narrow" w:hAnsi="Arial Narrow"/>
                <w:sz w:val="20"/>
                <w:szCs w:val="20"/>
              </w:rPr>
            </w:pPr>
            <w:r w:rsidRPr="00DB2BE9">
              <w:rPr>
                <w:rFonts w:ascii="Arial Narrow" w:hAnsi="Arial Narrow"/>
                <w:sz w:val="20"/>
                <w:szCs w:val="20"/>
              </w:rPr>
              <w:t>Retain all pathology imaging and investigative test results in the patient’s medical records. Do not submit copies of these as part of the authority application.</w:t>
            </w:r>
          </w:p>
        </w:tc>
      </w:tr>
    </w:tbl>
    <w:p w14:paraId="51AC881A" w14:textId="04A7D3F5" w:rsidR="00D30D5B" w:rsidRPr="005F0CE8" w:rsidRDefault="00D30D5B" w:rsidP="00DB2BE9">
      <w:pPr>
        <w:pStyle w:val="ExecSumBodyText"/>
        <w:spacing w:after="0"/>
        <w:ind w:left="0" w:firstLine="0"/>
        <w:rPr>
          <w:iCs/>
        </w:rPr>
      </w:pPr>
    </w:p>
    <w:p w14:paraId="370CA5F7" w14:textId="4AAD902A" w:rsidR="00DC3B07" w:rsidRPr="005F0CE8" w:rsidRDefault="000621B8" w:rsidP="00477BB3">
      <w:pPr>
        <w:pStyle w:val="3-BodyText"/>
      </w:pPr>
      <w:bookmarkStart w:id="15" w:name="_Ref127453352"/>
      <w:r w:rsidRPr="005F0CE8">
        <w:t xml:space="preserve">The </w:t>
      </w:r>
      <w:r w:rsidR="00146E67" w:rsidRPr="005F0CE8">
        <w:t>submission</w:t>
      </w:r>
      <w:r w:rsidRPr="005F0CE8">
        <w:t xml:space="preserve"> requested listing of two strengths of olaparib</w:t>
      </w:r>
      <w:r w:rsidR="00146E67" w:rsidRPr="005F0CE8">
        <w:t xml:space="preserve"> tablets</w:t>
      </w:r>
      <w:r w:rsidR="003666D0" w:rsidRPr="005F0CE8">
        <w:t>, 150 mg, and 100</w:t>
      </w:r>
      <w:r w:rsidR="005B40FD" w:rsidRPr="005F0CE8">
        <w:t> </w:t>
      </w:r>
      <w:r w:rsidR="003666D0" w:rsidRPr="005F0CE8">
        <w:t xml:space="preserve">mg. The recommended dose of olaparib is 300 mg (two 150 mg tablets) taken orally, twice daily, equivalent to a total daily dose of 600 mg. </w:t>
      </w:r>
      <w:r w:rsidR="001D00C2" w:rsidRPr="005F0CE8">
        <w:t xml:space="preserve">The proposed maximum quantity (112 tablets) provides sufficient tablets for </w:t>
      </w:r>
      <w:r w:rsidR="003666D0" w:rsidRPr="005F0CE8">
        <w:t xml:space="preserve">28 days of treatment at the recommended daily dose. </w:t>
      </w:r>
      <w:r w:rsidR="006A584E" w:rsidRPr="005F0CE8">
        <w:t xml:space="preserve">The </w:t>
      </w:r>
      <w:r w:rsidR="003666D0" w:rsidRPr="005F0CE8">
        <w:t xml:space="preserve">100 mg </w:t>
      </w:r>
      <w:r w:rsidR="009A6BB5" w:rsidRPr="005F0CE8">
        <w:t xml:space="preserve">strength </w:t>
      </w:r>
      <w:r w:rsidR="006A584E" w:rsidRPr="005F0CE8">
        <w:t xml:space="preserve">would be used for </w:t>
      </w:r>
      <w:r w:rsidR="0063228C" w:rsidRPr="005F0CE8">
        <w:t>dose</w:t>
      </w:r>
      <w:r w:rsidR="003666D0" w:rsidRPr="005F0CE8">
        <w:t xml:space="preserve"> reductions.</w:t>
      </w:r>
      <w:bookmarkEnd w:id="15"/>
    </w:p>
    <w:p w14:paraId="125F06B5" w14:textId="152E3E01" w:rsidR="00A92933" w:rsidRPr="005F0CE8" w:rsidRDefault="00A92933" w:rsidP="00477BB3">
      <w:pPr>
        <w:pStyle w:val="3-BodyText"/>
      </w:pPr>
      <w:bookmarkStart w:id="16" w:name="_Ref130323863"/>
      <w:r w:rsidRPr="005F0CE8">
        <w:rPr>
          <w:iCs/>
        </w:rPr>
        <w:t xml:space="preserve">The </w:t>
      </w:r>
      <w:r w:rsidR="00A715D5" w:rsidRPr="005F0CE8">
        <w:t xml:space="preserve">proposed PBS </w:t>
      </w:r>
      <w:r w:rsidR="003306AE" w:rsidRPr="005F0CE8">
        <w:t>listing</w:t>
      </w:r>
      <w:r w:rsidR="00A715D5" w:rsidRPr="005F0CE8">
        <w:t xml:space="preserve"> require</w:t>
      </w:r>
      <w:r w:rsidR="009A6BB5" w:rsidRPr="005F0CE8">
        <w:t>d</w:t>
      </w:r>
      <w:r w:rsidR="00A715D5" w:rsidRPr="005F0CE8">
        <w:t xml:space="preserve"> hormone receptor positive patients to be undergoing concurrent treatment with endocrine therapy</w:t>
      </w:r>
      <w:r w:rsidR="00E30DB6" w:rsidRPr="005F0CE8">
        <w:t xml:space="preserve"> (ET)</w:t>
      </w:r>
      <w:r w:rsidR="00A715D5" w:rsidRPr="005F0CE8">
        <w:t xml:space="preserve">. </w:t>
      </w:r>
      <w:r w:rsidR="00A715D5" w:rsidRPr="005F0CE8">
        <w:rPr>
          <w:iCs/>
        </w:rPr>
        <w:t xml:space="preserve">This </w:t>
      </w:r>
      <w:r w:rsidR="006A2F69" w:rsidRPr="005F0CE8">
        <w:rPr>
          <w:iCs/>
        </w:rPr>
        <w:t>wa</w:t>
      </w:r>
      <w:r w:rsidR="00A715D5" w:rsidRPr="005F0CE8">
        <w:rPr>
          <w:iCs/>
        </w:rPr>
        <w:t xml:space="preserve">s not </w:t>
      </w:r>
      <w:r w:rsidR="005D53E7" w:rsidRPr="005F0CE8">
        <w:rPr>
          <w:iCs/>
        </w:rPr>
        <w:t xml:space="preserve">required </w:t>
      </w:r>
      <w:r w:rsidR="00A715D5" w:rsidRPr="005F0CE8">
        <w:rPr>
          <w:iCs/>
        </w:rPr>
        <w:t xml:space="preserve">in the </w:t>
      </w:r>
      <w:r w:rsidR="00566419" w:rsidRPr="005F0CE8">
        <w:rPr>
          <w:iCs/>
        </w:rPr>
        <w:t xml:space="preserve">proposed </w:t>
      </w:r>
      <w:r w:rsidR="00A715D5" w:rsidRPr="005F0CE8">
        <w:rPr>
          <w:iCs/>
        </w:rPr>
        <w:t>TGA indication.</w:t>
      </w:r>
      <w:r w:rsidR="00D0768C" w:rsidRPr="005F0CE8">
        <w:rPr>
          <w:iCs/>
        </w:rPr>
        <w:t xml:space="preserve"> In the key olaparib trial (OlympiA) </w:t>
      </w:r>
      <w:r w:rsidR="00E30DB6" w:rsidRPr="005F0CE8">
        <w:rPr>
          <w:iCs/>
        </w:rPr>
        <w:t xml:space="preserve">ET </w:t>
      </w:r>
      <w:r w:rsidR="00D0768C" w:rsidRPr="005F0CE8">
        <w:rPr>
          <w:iCs/>
        </w:rPr>
        <w:t>was to be given in HR+ patients according to institutional guidelines, and the proportion of HR+ patients treated with</w:t>
      </w:r>
      <w:r w:rsidR="00E30DB6" w:rsidRPr="005F0CE8">
        <w:rPr>
          <w:iCs/>
        </w:rPr>
        <w:t xml:space="preserve"> ET</w:t>
      </w:r>
      <w:r w:rsidR="00D0768C" w:rsidRPr="005F0CE8">
        <w:rPr>
          <w:iCs/>
        </w:rPr>
        <w:t xml:space="preserve"> was </w:t>
      </w:r>
      <w:r w:rsidR="006A1010" w:rsidRPr="005F0CE8">
        <w:rPr>
          <w:iCs/>
        </w:rPr>
        <w:t>89.5% (</w:t>
      </w:r>
      <w:r w:rsidR="00961FCA" w:rsidRPr="005F0CE8">
        <w:rPr>
          <w:iCs/>
        </w:rPr>
        <w:t xml:space="preserve">see paragraph </w:t>
      </w:r>
      <w:r w:rsidR="00961FCA" w:rsidRPr="005F0CE8">
        <w:rPr>
          <w:iCs/>
        </w:rPr>
        <w:fldChar w:fldCharType="begin"/>
      </w:r>
      <w:r w:rsidR="00961FCA" w:rsidRPr="005F0CE8">
        <w:rPr>
          <w:iCs/>
        </w:rPr>
        <w:instrText xml:space="preserve"> REF _Ref127550327 \r \h </w:instrText>
      </w:r>
      <w:r w:rsidR="00961FCA" w:rsidRPr="005F0CE8">
        <w:rPr>
          <w:iCs/>
        </w:rPr>
      </w:r>
      <w:r w:rsidR="00961FCA" w:rsidRPr="005F0CE8">
        <w:rPr>
          <w:iCs/>
        </w:rPr>
        <w:fldChar w:fldCharType="separate"/>
      </w:r>
      <w:r w:rsidR="00AB6006">
        <w:rPr>
          <w:iCs/>
        </w:rPr>
        <w:t>6.11</w:t>
      </w:r>
      <w:r w:rsidR="00961FCA" w:rsidRPr="005F0CE8">
        <w:rPr>
          <w:iCs/>
        </w:rPr>
        <w:fldChar w:fldCharType="end"/>
      </w:r>
      <w:r w:rsidR="00D0768C" w:rsidRPr="005F0CE8">
        <w:rPr>
          <w:iCs/>
        </w:rPr>
        <w:t>).</w:t>
      </w:r>
      <w:r w:rsidR="00FC4D57" w:rsidRPr="005F0CE8">
        <w:rPr>
          <w:iCs/>
        </w:rPr>
        <w:t xml:space="preserve"> The ESC considered it feasible that some HR+ patients may not be appropriate for ET</w:t>
      </w:r>
      <w:r w:rsidR="0053028C" w:rsidRPr="005F0CE8">
        <w:rPr>
          <w:iCs/>
        </w:rPr>
        <w:t>.</w:t>
      </w:r>
      <w:bookmarkEnd w:id="16"/>
    </w:p>
    <w:p w14:paraId="33AC495A" w14:textId="653D2919" w:rsidR="00A715D5" w:rsidRPr="005F0CE8" w:rsidRDefault="00A715D5" w:rsidP="00477BB3">
      <w:pPr>
        <w:pStyle w:val="3-BodyText"/>
        <w:rPr>
          <w:color w:val="0066FF"/>
        </w:rPr>
      </w:pPr>
      <w:bookmarkStart w:id="17" w:name="_Ref130331665"/>
      <w:r w:rsidRPr="005F0CE8">
        <w:t xml:space="preserve">The </w:t>
      </w:r>
      <w:r w:rsidR="00566419" w:rsidRPr="005F0CE8">
        <w:t xml:space="preserve">OlympiA </w:t>
      </w:r>
      <w:r w:rsidRPr="005F0CE8">
        <w:t xml:space="preserve">trial required that patients </w:t>
      </w:r>
      <w:r w:rsidR="006A584E" w:rsidRPr="005F0CE8">
        <w:t xml:space="preserve">complete </w:t>
      </w:r>
      <w:r w:rsidRPr="005F0CE8">
        <w:t xml:space="preserve">6 cycles of chemotherapy before </w:t>
      </w:r>
      <w:r w:rsidR="00566419" w:rsidRPr="005F0CE8">
        <w:t>commencing</w:t>
      </w:r>
      <w:r w:rsidRPr="005F0CE8">
        <w:t xml:space="preserve"> olaparib. The proposed </w:t>
      </w:r>
      <w:r w:rsidR="003306AE" w:rsidRPr="005F0CE8">
        <w:t>listing</w:t>
      </w:r>
      <w:r w:rsidRPr="005F0CE8">
        <w:t xml:space="preserve"> </w:t>
      </w:r>
      <w:r w:rsidR="006A584E" w:rsidRPr="005F0CE8">
        <w:t xml:space="preserve">would </w:t>
      </w:r>
      <w:r w:rsidRPr="005F0CE8">
        <w:t>allow patients to</w:t>
      </w:r>
      <w:r w:rsidR="003666D0" w:rsidRPr="005F0CE8">
        <w:t xml:space="preserve"> </w:t>
      </w:r>
      <w:r w:rsidR="00566419" w:rsidRPr="005F0CE8">
        <w:t>receive</w:t>
      </w:r>
      <w:r w:rsidRPr="005F0CE8">
        <w:t xml:space="preserve"> olaparib if they are unable to complete six cycles of chemotherapy due to toxicity or intolerance requiring withdrawal.</w:t>
      </w:r>
      <w:r w:rsidR="003666D0" w:rsidRPr="005F0CE8">
        <w:t xml:space="preserve"> </w:t>
      </w:r>
      <w:r w:rsidR="001071BC" w:rsidRPr="005F0CE8">
        <w:rPr>
          <w:iCs/>
        </w:rPr>
        <w:t xml:space="preserve">The PSCR reiterated that clinicians have requested </w:t>
      </w:r>
      <w:r w:rsidR="006A584E" w:rsidRPr="005F0CE8">
        <w:rPr>
          <w:iCs/>
        </w:rPr>
        <w:t xml:space="preserve">that </w:t>
      </w:r>
      <w:r w:rsidR="001071BC" w:rsidRPr="005F0CE8">
        <w:rPr>
          <w:iCs/>
        </w:rPr>
        <w:t xml:space="preserve">patients should not be excluded where they do no not complete chemotherapy treatment due to </w:t>
      </w:r>
      <w:r w:rsidR="005D53E7" w:rsidRPr="005F0CE8">
        <w:rPr>
          <w:iCs/>
        </w:rPr>
        <w:t>reasons</w:t>
      </w:r>
      <w:r w:rsidR="001071BC" w:rsidRPr="005F0CE8">
        <w:rPr>
          <w:iCs/>
        </w:rPr>
        <w:t xml:space="preserve"> including</w:t>
      </w:r>
      <w:r w:rsidR="00231AE0">
        <w:rPr>
          <w:iCs/>
        </w:rPr>
        <w:t xml:space="preserve">, </w:t>
      </w:r>
      <w:r w:rsidR="001071BC" w:rsidRPr="005F0CE8">
        <w:rPr>
          <w:iCs/>
        </w:rPr>
        <w:t>but</w:t>
      </w:r>
      <w:r w:rsidR="00231AE0">
        <w:rPr>
          <w:iCs/>
        </w:rPr>
        <w:t xml:space="preserve"> </w:t>
      </w:r>
      <w:r w:rsidR="001071BC" w:rsidRPr="005F0CE8">
        <w:rPr>
          <w:iCs/>
        </w:rPr>
        <w:t>not limited to</w:t>
      </w:r>
      <w:r w:rsidR="005D53E7" w:rsidRPr="005F0CE8">
        <w:rPr>
          <w:iCs/>
        </w:rPr>
        <w:t>,</w:t>
      </w:r>
      <w:r w:rsidR="001071BC" w:rsidRPr="005F0CE8">
        <w:rPr>
          <w:iCs/>
        </w:rPr>
        <w:t xml:space="preserve"> toxicity necessitating withdrawal or development of an intolerance whilst on chemotherapy (containing anthracyclines, taxanes or both agents). </w:t>
      </w:r>
      <w:r w:rsidR="003666D0" w:rsidRPr="005F0CE8">
        <w:rPr>
          <w:iCs/>
        </w:rPr>
        <w:t xml:space="preserve">The </w:t>
      </w:r>
      <w:r w:rsidR="006A2F69" w:rsidRPr="005F0CE8">
        <w:rPr>
          <w:iCs/>
        </w:rPr>
        <w:t xml:space="preserve">PBAC and </w:t>
      </w:r>
      <w:r w:rsidR="00FC4D57" w:rsidRPr="005F0CE8">
        <w:rPr>
          <w:iCs/>
        </w:rPr>
        <w:t>ESC agreed with the</w:t>
      </w:r>
      <w:r w:rsidR="003666D0" w:rsidRPr="005F0CE8">
        <w:rPr>
          <w:iCs/>
        </w:rPr>
        <w:t xml:space="preserve"> rationale </w:t>
      </w:r>
      <w:r w:rsidR="001D00C2" w:rsidRPr="005F0CE8">
        <w:rPr>
          <w:iCs/>
        </w:rPr>
        <w:t xml:space="preserve">in the submission </w:t>
      </w:r>
      <w:r w:rsidR="001071BC" w:rsidRPr="005F0CE8">
        <w:rPr>
          <w:iCs/>
        </w:rPr>
        <w:t xml:space="preserve">and PSCR </w:t>
      </w:r>
      <w:r w:rsidR="003666D0" w:rsidRPr="005F0CE8">
        <w:rPr>
          <w:iCs/>
        </w:rPr>
        <w:t xml:space="preserve">that requiring 6 cycles of chemotherapy </w:t>
      </w:r>
      <w:r w:rsidR="001071BC" w:rsidRPr="005F0CE8">
        <w:rPr>
          <w:iCs/>
        </w:rPr>
        <w:t>would</w:t>
      </w:r>
      <w:r w:rsidR="00FC4D57" w:rsidRPr="005F0CE8">
        <w:rPr>
          <w:iCs/>
        </w:rPr>
        <w:t xml:space="preserve"> </w:t>
      </w:r>
      <w:r w:rsidR="003666D0" w:rsidRPr="005F0CE8">
        <w:rPr>
          <w:iCs/>
        </w:rPr>
        <w:t xml:space="preserve">not </w:t>
      </w:r>
      <w:r w:rsidR="001071BC" w:rsidRPr="005F0CE8">
        <w:rPr>
          <w:iCs/>
        </w:rPr>
        <w:t>be appropriate</w:t>
      </w:r>
      <w:r w:rsidR="003666D0" w:rsidRPr="005F0CE8">
        <w:rPr>
          <w:iCs/>
        </w:rPr>
        <w:t xml:space="preserve"> </w:t>
      </w:r>
      <w:r w:rsidR="001071BC" w:rsidRPr="005F0CE8">
        <w:rPr>
          <w:iCs/>
        </w:rPr>
        <w:t xml:space="preserve">in clinical practice </w:t>
      </w:r>
      <w:r w:rsidR="00492786" w:rsidRPr="005F0CE8">
        <w:rPr>
          <w:iCs/>
        </w:rPr>
        <w:t>as patients may not be able to complete chemotherapy due to toxicity or intolerance</w:t>
      </w:r>
      <w:r w:rsidR="000A67BF" w:rsidRPr="005F0CE8">
        <w:rPr>
          <w:iCs/>
        </w:rPr>
        <w:t>.</w:t>
      </w:r>
      <w:bookmarkEnd w:id="17"/>
    </w:p>
    <w:p w14:paraId="7E651523" w14:textId="20828141" w:rsidR="002730F6" w:rsidRPr="005F0CE8" w:rsidRDefault="000A67BF" w:rsidP="00477BB3">
      <w:pPr>
        <w:pStyle w:val="3-BodyText"/>
      </w:pPr>
      <w:bookmarkStart w:id="18" w:name="_Ref130332745"/>
      <w:r w:rsidRPr="005F0CE8">
        <w:t>The washout period for systemic chemotherapy prior to randomi</w:t>
      </w:r>
      <w:r w:rsidR="00492786" w:rsidRPr="005F0CE8">
        <w:t>s</w:t>
      </w:r>
      <w:r w:rsidRPr="005F0CE8">
        <w:t xml:space="preserve">ation in the </w:t>
      </w:r>
      <w:r w:rsidR="00FE6CB5" w:rsidRPr="005F0CE8">
        <w:t>O</w:t>
      </w:r>
      <w:r w:rsidRPr="005F0CE8">
        <w:t>lympiA trial was 3 weeks with patients ideally being randomi</w:t>
      </w:r>
      <w:r w:rsidR="00492786" w:rsidRPr="005F0CE8">
        <w:t>s</w:t>
      </w:r>
      <w:r w:rsidRPr="005F0CE8">
        <w:t xml:space="preserve">ed within 8 weeks of completion </w:t>
      </w:r>
      <w:r w:rsidRPr="005F0CE8">
        <w:lastRenderedPageBreak/>
        <w:t>of their last treatment (surgery, chemotherapy, o</w:t>
      </w:r>
      <w:r w:rsidR="008626BF">
        <w:t>r</w:t>
      </w:r>
      <w:r w:rsidRPr="005F0CE8">
        <w:t xml:space="preserve"> radiotherapy), but in no case longer than 12 weeks.</w:t>
      </w:r>
      <w:r w:rsidR="00FC4D57" w:rsidRPr="005F0CE8">
        <w:rPr>
          <w:iCs/>
        </w:rPr>
        <w:t xml:space="preserve"> </w:t>
      </w:r>
      <w:bookmarkEnd w:id="18"/>
    </w:p>
    <w:p w14:paraId="4657A47D" w14:textId="31ED4E72" w:rsidR="00A715D5" w:rsidRPr="005F0CE8" w:rsidRDefault="00A715D5" w:rsidP="00477BB3">
      <w:pPr>
        <w:pStyle w:val="3-BodyText"/>
        <w:rPr>
          <w:color w:val="0066FF"/>
        </w:rPr>
      </w:pPr>
      <w:bookmarkStart w:id="19" w:name="_Ref130332770"/>
      <w:r w:rsidRPr="005F0CE8">
        <w:t>The trial excluded patients who had undergone any previous treatment with a PARP inhibitor, including olaparib. This exclusion is not present in the requested PBS listing.</w:t>
      </w:r>
      <w:r w:rsidR="00FB5247" w:rsidRPr="005F0CE8">
        <w:t xml:space="preserve"> The current PBS listing for 1L treatment of high grade stage III/IV ovarian cancer does not permit prior treatment with a PARP inhibitor. Patients treated for eBC with adjuvant olaparib may be ineligible for treatment with a PARP inhibitor should they subsequently develop ovarian cancer.</w:t>
      </w:r>
      <w:bookmarkEnd w:id="19"/>
    </w:p>
    <w:p w14:paraId="392A14F7" w14:textId="714DA314" w:rsidR="005C473F" w:rsidRPr="005F0CE8" w:rsidRDefault="00A715D5" w:rsidP="00477BB3">
      <w:pPr>
        <w:pStyle w:val="3-BodyText"/>
        <w:rPr>
          <w:color w:val="0066FF"/>
        </w:rPr>
      </w:pPr>
      <w:r w:rsidRPr="005F0CE8">
        <w:t xml:space="preserve">The trial only </w:t>
      </w:r>
      <w:r w:rsidR="005D53E7" w:rsidRPr="005F0CE8">
        <w:t xml:space="preserve">recruited </w:t>
      </w:r>
      <w:r w:rsidRPr="005F0CE8">
        <w:t>patients with an ECOG performance status of 0</w:t>
      </w:r>
      <w:r w:rsidR="005D53E7" w:rsidRPr="005F0CE8">
        <w:t xml:space="preserve"> to </w:t>
      </w:r>
      <w:r w:rsidRPr="005F0CE8">
        <w:t xml:space="preserve">1. </w:t>
      </w:r>
      <w:r w:rsidRPr="005F0CE8">
        <w:rPr>
          <w:iCs/>
        </w:rPr>
        <w:t xml:space="preserve">This </w:t>
      </w:r>
      <w:r w:rsidR="00566419" w:rsidRPr="005F0CE8">
        <w:rPr>
          <w:iCs/>
        </w:rPr>
        <w:t xml:space="preserve">limitation </w:t>
      </w:r>
      <w:r w:rsidR="00207F35" w:rsidRPr="005F0CE8">
        <w:rPr>
          <w:iCs/>
        </w:rPr>
        <w:t>was not included</w:t>
      </w:r>
      <w:r w:rsidRPr="005F0CE8">
        <w:rPr>
          <w:iCs/>
        </w:rPr>
        <w:t xml:space="preserve"> in the proposed </w:t>
      </w:r>
      <w:r w:rsidR="003306AE" w:rsidRPr="005F0CE8">
        <w:rPr>
          <w:iCs/>
        </w:rPr>
        <w:t>listing</w:t>
      </w:r>
      <w:r w:rsidRPr="005F0CE8">
        <w:rPr>
          <w:iCs/>
        </w:rPr>
        <w:t>.</w:t>
      </w:r>
    </w:p>
    <w:p w14:paraId="587F7C24" w14:textId="5287A818" w:rsidR="0012751E" w:rsidRPr="005F0CE8" w:rsidRDefault="006A584E" w:rsidP="00477BB3">
      <w:pPr>
        <w:pStyle w:val="3-BodyText"/>
        <w:rPr>
          <w:color w:val="0066FF"/>
        </w:rPr>
      </w:pPr>
      <w:r w:rsidRPr="005F0CE8">
        <w:t xml:space="preserve">The draft Product Information </w:t>
      </w:r>
      <w:r w:rsidR="005B0FE2" w:rsidRPr="005F0CE8">
        <w:t xml:space="preserve">(PI) </w:t>
      </w:r>
      <w:r w:rsidR="00BC64BC" w:rsidRPr="005F0CE8">
        <w:t>recommend</w:t>
      </w:r>
      <w:r w:rsidRPr="005F0CE8">
        <w:t>s</w:t>
      </w:r>
      <w:r w:rsidR="00BC64BC" w:rsidRPr="005F0CE8">
        <w:t xml:space="preserve"> that patients are treated for a </w:t>
      </w:r>
      <w:r w:rsidR="0028715B" w:rsidRPr="005F0CE8">
        <w:t xml:space="preserve">maximum </w:t>
      </w:r>
      <w:r w:rsidR="00BC64BC" w:rsidRPr="005F0CE8">
        <w:t xml:space="preserve">of 1 year, or until disease recurrence, whichever occurs first. </w:t>
      </w:r>
      <w:r w:rsidR="0012751E" w:rsidRPr="005F0CE8">
        <w:t>The requested listing provide</w:t>
      </w:r>
      <w:r w:rsidR="009F0B41" w:rsidRPr="005F0CE8">
        <w:t>s</w:t>
      </w:r>
      <w:r w:rsidR="0012751E" w:rsidRPr="005F0CE8">
        <w:t xml:space="preserve"> 1</w:t>
      </w:r>
      <w:r w:rsidR="00693E43" w:rsidRPr="005F0CE8">
        <w:t>,</w:t>
      </w:r>
      <w:r w:rsidR="0012751E" w:rsidRPr="005F0CE8">
        <w:t xml:space="preserve">344 tablets across the initial and continuing treatment restrictions. This is not enough to complete a </w:t>
      </w:r>
      <w:r w:rsidR="004721DB" w:rsidRPr="005F0CE8">
        <w:t>1-year</w:t>
      </w:r>
      <w:r w:rsidR="0012751E" w:rsidRPr="005F0CE8">
        <w:t xml:space="preserve"> course of olaparib as it only covers 336 days. </w:t>
      </w:r>
      <w:r w:rsidR="006D4409" w:rsidRPr="005F0CE8">
        <w:rPr>
          <w:iCs/>
        </w:rPr>
        <w:t xml:space="preserve">Seven </w:t>
      </w:r>
      <w:r w:rsidRPr="005F0CE8">
        <w:rPr>
          <w:iCs/>
        </w:rPr>
        <w:t>repeat</w:t>
      </w:r>
      <w:r w:rsidR="006D4409" w:rsidRPr="005F0CE8">
        <w:rPr>
          <w:iCs/>
        </w:rPr>
        <w:t>s</w:t>
      </w:r>
      <w:r w:rsidRPr="005F0CE8">
        <w:rPr>
          <w:iCs/>
        </w:rPr>
        <w:t xml:space="preserve"> </w:t>
      </w:r>
      <w:r w:rsidR="00DC3B07" w:rsidRPr="005F0CE8">
        <w:rPr>
          <w:iCs/>
        </w:rPr>
        <w:t>for the continuing phase would</w:t>
      </w:r>
      <w:r w:rsidR="006D4409" w:rsidRPr="005F0CE8">
        <w:rPr>
          <w:iCs/>
        </w:rPr>
        <w:t xml:space="preserve"> provide a treatment duration closer to 365 days of treatment without the prescriber having to write a third prescription</w:t>
      </w:r>
      <w:r w:rsidR="00DC3B07" w:rsidRPr="005F0CE8">
        <w:rPr>
          <w:iCs/>
        </w:rPr>
        <w:t>.</w:t>
      </w:r>
    </w:p>
    <w:p w14:paraId="546BB5FE" w14:textId="0590A110" w:rsidR="00B47AF5" w:rsidRPr="005F0CE8" w:rsidRDefault="00B47AF5" w:rsidP="00477BB3">
      <w:pPr>
        <w:pStyle w:val="3-BodyText"/>
      </w:pPr>
      <w:r w:rsidRPr="005F0CE8">
        <w:t xml:space="preserve">The submission stated that the sponsor </w:t>
      </w:r>
      <w:r w:rsidR="006A584E" w:rsidRPr="005F0CE8">
        <w:t>would</w:t>
      </w:r>
      <w:r w:rsidRPr="005F0CE8">
        <w:t xml:space="preserve"> provide compassionate access to adjuvant olaparib treatment for patients who meet the proposed PBS criteria and estimated approximately </w:t>
      </w:r>
      <w:r w:rsidR="008626BF">
        <w:t>&lt; 500</w:t>
      </w:r>
      <w:r w:rsidR="008626BF" w:rsidRPr="005F0CE8">
        <w:t xml:space="preserve"> </w:t>
      </w:r>
      <w:r w:rsidRPr="005F0CE8">
        <w:t xml:space="preserve">patients </w:t>
      </w:r>
      <w:r w:rsidR="006D4409" w:rsidRPr="005F0CE8">
        <w:t xml:space="preserve">would require transitioning </w:t>
      </w:r>
      <w:r w:rsidRPr="005F0CE8">
        <w:t xml:space="preserve">to PBS-subsidised </w:t>
      </w:r>
      <w:r w:rsidR="006D4409" w:rsidRPr="005F0CE8">
        <w:t xml:space="preserve">supply (i.e. ‘grandfather’ arrangements) </w:t>
      </w:r>
      <w:r w:rsidRPr="005F0CE8">
        <w:t xml:space="preserve">if PBS listed as proposed. The submission assumed that a separate grandfather restriction </w:t>
      </w:r>
      <w:r w:rsidR="006A584E" w:rsidRPr="005F0CE8">
        <w:t xml:space="preserve">will </w:t>
      </w:r>
      <w:r w:rsidRPr="005F0CE8">
        <w:t xml:space="preserve">not </w:t>
      </w:r>
      <w:r w:rsidR="006A584E" w:rsidRPr="005F0CE8">
        <w:t xml:space="preserve">be </w:t>
      </w:r>
      <w:r w:rsidRPr="005F0CE8">
        <w:t>required as these patients will meet the initial treatment criteria.</w:t>
      </w:r>
      <w:r w:rsidR="006D4409" w:rsidRPr="005F0CE8">
        <w:t xml:space="preserve"> The Secretariat advised that the intent of its suggested changes was to have a single restriction </w:t>
      </w:r>
      <w:r w:rsidR="00A23490" w:rsidRPr="005F0CE8">
        <w:t xml:space="preserve">that is </w:t>
      </w:r>
      <w:r w:rsidR="006D4409" w:rsidRPr="005F0CE8">
        <w:t xml:space="preserve">silent on ‘Treatment phase’, otherwise </w:t>
      </w:r>
      <w:r w:rsidR="00A23490" w:rsidRPr="005F0CE8">
        <w:t>a</w:t>
      </w:r>
      <w:r w:rsidR="006D4409" w:rsidRPr="005F0CE8">
        <w:t xml:space="preserve"> </w:t>
      </w:r>
      <w:r w:rsidR="00A23490" w:rsidRPr="005F0CE8">
        <w:t>t</w:t>
      </w:r>
      <w:r w:rsidR="006D4409" w:rsidRPr="005F0CE8">
        <w:t>reatment phase</w:t>
      </w:r>
      <w:r w:rsidR="00A23490" w:rsidRPr="005F0CE8">
        <w:t xml:space="preserve"> </w:t>
      </w:r>
      <w:r w:rsidR="006D4409" w:rsidRPr="005F0CE8">
        <w:t xml:space="preserve">description </w:t>
      </w:r>
      <w:r w:rsidR="00A23490" w:rsidRPr="005F0CE8">
        <w:t>of ‘Initial treatment’ is potentially confusing for prescribers as ‘grandfather’ patients are technically ‘conti</w:t>
      </w:r>
      <w:r w:rsidR="001E2ABB">
        <w:t>n</w:t>
      </w:r>
      <w:r w:rsidR="00A23490" w:rsidRPr="005F0CE8">
        <w:t>uing treatment’ as opposed to initiating treatment. Initiating patients by nature would meet the criterion about not exceeding 52 weeks of treatment, while for continuing patients and ‘grandfather’ patients, the prescriber would need to be mindful of the number of repeats prescribed, as well as observing if any disease recurrence has occurred or not.</w:t>
      </w:r>
      <w:r w:rsidR="00BA51B7" w:rsidRPr="005F0CE8">
        <w:t xml:space="preserve"> A justification for having several treatment phases may be that for continuing treatment, it would be easier in practice for prescribers to not have to reaffirm clinical findings that have been made with the initial authority and which do not change over time.</w:t>
      </w:r>
    </w:p>
    <w:p w14:paraId="05349C0D" w14:textId="56CB4F20" w:rsidR="00BC64BC" w:rsidRPr="005F0CE8" w:rsidRDefault="00C14D37" w:rsidP="00477BB3">
      <w:pPr>
        <w:pStyle w:val="3-BodyText"/>
      </w:pPr>
      <w:r w:rsidRPr="005F0CE8">
        <w:t xml:space="preserve">The sponsor requested a special pricing arrangement (SPA) for olaparib for the treatment of </w:t>
      </w:r>
      <w:r w:rsidR="009E092C" w:rsidRPr="009E092C">
        <w:rPr>
          <w:i/>
        </w:rPr>
        <w:t>BRCAm</w:t>
      </w:r>
      <w:r w:rsidRPr="005F0CE8">
        <w:t xml:space="preserve">, </w:t>
      </w:r>
      <w:r w:rsidR="004D1CA1">
        <w:t>HER2-negative</w:t>
      </w:r>
      <w:r w:rsidRPr="005F0CE8">
        <w:t xml:space="preserve">, early breast cancer (eBC). </w:t>
      </w:r>
      <w:r w:rsidRPr="005F0CE8">
        <w:rPr>
          <w:iCs/>
        </w:rPr>
        <w:t>The effective price (DPMQ $</w:t>
      </w:r>
      <w:r w:rsidR="003A26A8" w:rsidRPr="00AB6006">
        <w:rPr>
          <w:iCs/>
          <w:color w:val="000000"/>
          <w:w w:val="15"/>
          <w:shd w:val="solid" w:color="000000" w:fill="000000"/>
          <w:fitText w:val="-20" w:id="-1234443262"/>
          <w14:textFill>
            <w14:solidFill>
              <w14:srgbClr w14:val="000000">
                <w14:alpha w14:val="100000"/>
              </w14:srgbClr>
            </w14:solidFill>
          </w14:textFill>
        </w:rPr>
        <w:t xml:space="preserve">|  </w:t>
      </w:r>
      <w:r w:rsidR="003A26A8" w:rsidRPr="00AB6006">
        <w:rPr>
          <w:iCs/>
          <w:color w:val="000000"/>
          <w:spacing w:val="-69"/>
          <w:w w:val="15"/>
          <w:shd w:val="solid" w:color="000000" w:fill="000000"/>
          <w:fitText w:val="-20" w:id="-1234443262"/>
          <w14:textFill>
            <w14:solidFill>
              <w14:srgbClr w14:val="000000">
                <w14:alpha w14:val="100000"/>
              </w14:srgbClr>
            </w14:solidFill>
          </w14:textFill>
        </w:rPr>
        <w:t>|</w:t>
      </w:r>
      <w:r w:rsidRPr="005F0CE8">
        <w:rPr>
          <w:iCs/>
        </w:rPr>
        <w:t xml:space="preserve">, </w:t>
      </w:r>
      <w:r w:rsidRPr="005F0CE8">
        <w:t>112 tablets</w:t>
      </w:r>
      <w:r w:rsidRPr="005F0CE8">
        <w:rPr>
          <w:iCs/>
        </w:rPr>
        <w:t xml:space="preserve">) is consistent with the existing SPA for olaparib in </w:t>
      </w:r>
      <w:r w:rsidR="00BA3A25" w:rsidRPr="005F0CE8">
        <w:rPr>
          <w:i/>
          <w:iCs/>
        </w:rPr>
        <w:t>BRCA</w:t>
      </w:r>
      <w:r w:rsidRPr="005F0CE8">
        <w:rPr>
          <w:iCs/>
        </w:rPr>
        <w:t xml:space="preserve">-positive ovarian cancer. </w:t>
      </w:r>
      <w:r w:rsidRPr="005F0CE8">
        <w:t>The ESC noted that while the requested effective AEMP in the current submission ($</w:t>
      </w:r>
      <w:r w:rsidR="003A26A8" w:rsidRPr="00AB6006">
        <w:rPr>
          <w:color w:val="000000"/>
          <w:w w:val="15"/>
          <w:shd w:val="solid" w:color="000000" w:fill="000000"/>
          <w:fitText w:val="-20" w:id="-1234443261"/>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3261"/>
          <w14:textFill>
            <w14:solidFill>
              <w14:srgbClr w14:val="000000">
                <w14:alpha w14:val="100000"/>
              </w14:srgbClr>
            </w14:solidFill>
          </w14:textFill>
        </w:rPr>
        <w:t>|</w:t>
      </w:r>
      <w:r w:rsidRPr="005F0CE8">
        <w:t xml:space="preserve">, 112 tablets) was consistent with the </w:t>
      </w:r>
      <w:r w:rsidR="009E092C" w:rsidRPr="009E092C">
        <w:rPr>
          <w:i/>
        </w:rPr>
        <w:t>BRCAm</w:t>
      </w:r>
      <w:r w:rsidRPr="005F0CE8">
        <w:t xml:space="preserve"> ovarian cancer indication (effective AEMP $</w:t>
      </w:r>
      <w:r w:rsidR="003A26A8" w:rsidRPr="00AB6006">
        <w:rPr>
          <w:color w:val="000000"/>
          <w:w w:val="15"/>
          <w:shd w:val="solid" w:color="000000" w:fill="000000"/>
          <w:fitText w:val="-20" w:id="-1234443260"/>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3260"/>
          <w14:textFill>
            <w14:solidFill>
              <w14:srgbClr w14:val="000000">
                <w14:alpha w14:val="100000"/>
              </w14:srgbClr>
            </w14:solidFill>
          </w14:textFill>
        </w:rPr>
        <w:t>|</w:t>
      </w:r>
      <w:r w:rsidRPr="005F0CE8">
        <w:t xml:space="preserve">, 112 tablets), it was higher than the effective price for olaparib in other indications considered by the PBAC more recently, including castration resistant </w:t>
      </w:r>
      <w:r w:rsidRPr="005F0CE8">
        <w:lastRenderedPageBreak/>
        <w:t>metastatic carcinoma of the prostate recommended in November 2021 (effective AEMP $</w:t>
      </w:r>
      <w:r w:rsidR="003A26A8" w:rsidRPr="00AB6006">
        <w:rPr>
          <w:color w:val="000000"/>
          <w:w w:val="15"/>
          <w:shd w:val="solid" w:color="000000" w:fill="000000"/>
          <w:fitText w:val="-20" w:id="-1234443259"/>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3259"/>
          <w14:textFill>
            <w14:solidFill>
              <w14:srgbClr w14:val="000000">
                <w14:alpha w14:val="100000"/>
              </w14:srgbClr>
            </w14:solidFill>
          </w14:textFill>
        </w:rPr>
        <w:t>|</w:t>
      </w:r>
      <w:r w:rsidRPr="005F0CE8">
        <w:t xml:space="preserve">, 112 tablets). </w:t>
      </w:r>
    </w:p>
    <w:p w14:paraId="15AE9AEE" w14:textId="17D26CF6" w:rsidR="00DF3B54" w:rsidRPr="005F0CE8" w:rsidRDefault="00060649" w:rsidP="00477BB3">
      <w:pPr>
        <w:pStyle w:val="3-BodyText"/>
      </w:pPr>
      <w:bookmarkStart w:id="20" w:name="_Ref130327505"/>
      <w:r w:rsidRPr="005F0CE8">
        <w:t>The ESC noted that the submission requested the same price for the proposed listing as the current listing for olaparib in BRCA-positive ovarian cancer, however this did not appear to be justified by the clinical evidence in the submission. For example, t</w:t>
      </w:r>
      <w:r w:rsidR="00BC64BC" w:rsidRPr="005F0CE8">
        <w:t>he</w:t>
      </w:r>
      <w:bookmarkStart w:id="21" w:name="_Hlk127549510"/>
      <w:r w:rsidR="002F6D99" w:rsidRPr="005F0CE8">
        <w:t xml:space="preserve"> ESC noted that the absolute benefit on OS for newly diagnosed BRCA-positive ovarian cancer is much larger than the corresponding benefit in early gBRCA-positive breast cancer. Specifically, ovarian cancer derived from the PAOLA-1 study</w:t>
      </w:r>
      <w:r w:rsidR="007B3F2D" w:rsidRPr="005F0CE8">
        <w:rPr>
          <w:vertAlign w:val="superscript"/>
        </w:rPr>
        <w:footnoteReference w:id="3"/>
      </w:r>
      <w:r w:rsidR="002F6D99" w:rsidRPr="005F0CE8">
        <w:t xml:space="preserve">: Five-year OS was: 73.2% in the olaparib+bevacizumab group vs 53.8% (delta 19.4%); early breast cancer derived from the OlympiA </w:t>
      </w:r>
      <w:r w:rsidR="00192645">
        <w:t>trial</w:t>
      </w:r>
      <w:r w:rsidR="007B3F2D" w:rsidRPr="005F0CE8">
        <w:t xml:space="preserve"> as reported by Geyer et al (2022)</w:t>
      </w:r>
      <w:r w:rsidR="007B3F2D" w:rsidRPr="005F0CE8">
        <w:footnoteReference w:id="4"/>
      </w:r>
      <w:r w:rsidR="002F6D99" w:rsidRPr="005F0CE8">
        <w:t>: Four-year OS was 89.8% in the olaparib-group and 86.4% in the placebo-group (delta 3.4%, 95% CI -0.1% to 6.8%).</w:t>
      </w:r>
      <w:bookmarkEnd w:id="20"/>
      <w:r w:rsidR="00DF3B54" w:rsidRPr="005F0CE8">
        <w:t xml:space="preserve"> </w:t>
      </w:r>
    </w:p>
    <w:p w14:paraId="035D892C" w14:textId="3CE32FB7" w:rsidR="00361BEC" w:rsidRPr="005F0CE8" w:rsidRDefault="00361BEC" w:rsidP="00477BB3">
      <w:pPr>
        <w:pStyle w:val="3-BodyText"/>
      </w:pPr>
      <w:bookmarkStart w:id="22" w:name="_Ref130332588"/>
      <w:r w:rsidRPr="005F0CE8">
        <w:t>The PBAC noted the following concerns:</w:t>
      </w:r>
      <w:bookmarkEnd w:id="22"/>
    </w:p>
    <w:p w14:paraId="36640AC4" w14:textId="35F0919E" w:rsidR="00361BEC" w:rsidRPr="005F0CE8" w:rsidRDefault="00361BEC" w:rsidP="00AF5FC8">
      <w:pPr>
        <w:pStyle w:val="BulletBodyText"/>
      </w:pPr>
      <w:r w:rsidRPr="005F0CE8">
        <w:t xml:space="preserve">The proposed PBS criteria could be simplified by deleting the first two proposed clinical criteria </w:t>
      </w:r>
      <w:r w:rsidR="00E21EB1">
        <w:t xml:space="preserve">(shown below) </w:t>
      </w:r>
      <w:r w:rsidRPr="005F0CE8">
        <w:t xml:space="preserve">and replacing them with the proposed simplified wording </w:t>
      </w:r>
      <w:r w:rsidR="00E21EB1">
        <w:t xml:space="preserve">(also </w:t>
      </w:r>
      <w:r w:rsidRPr="005F0CE8">
        <w:t>shown below</w:t>
      </w:r>
      <w:r w:rsidR="00E21EB1">
        <w:t>)</w:t>
      </w:r>
      <w:r w:rsidRPr="005F0CE8">
        <w:t>.</w:t>
      </w:r>
    </w:p>
    <w:tbl>
      <w:tblPr>
        <w:tblW w:w="4402"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2"/>
        <w:gridCol w:w="7197"/>
      </w:tblGrid>
      <w:tr w:rsidR="00361BEC" w:rsidRPr="005F0CE8" w14:paraId="3197EE7F" w14:textId="77777777" w:rsidTr="00AF5FC8">
        <w:tc>
          <w:tcPr>
            <w:tcW w:w="467" w:type="pct"/>
            <w:tcBorders>
              <w:top w:val="single" w:sz="4" w:space="0" w:color="auto"/>
              <w:left w:val="single" w:sz="4" w:space="0" w:color="auto"/>
              <w:bottom w:val="single" w:sz="4" w:space="0" w:color="auto"/>
              <w:right w:val="single" w:sz="4" w:space="0" w:color="auto"/>
            </w:tcBorders>
          </w:tcPr>
          <w:p w14:paraId="36FDDA5E" w14:textId="181D517B" w:rsidR="00361BEC" w:rsidRPr="005F0CE8" w:rsidRDefault="00361BEC" w:rsidP="00AF5FC8">
            <w:pPr>
              <w:rPr>
                <w:rFonts w:ascii="Arial Narrow" w:hAnsi="Arial Narrow"/>
                <w:sz w:val="20"/>
                <w:szCs w:val="20"/>
              </w:rPr>
            </w:pPr>
            <w:r w:rsidRPr="005F0CE8">
              <w:rPr>
                <w:rFonts w:ascii="Arial Narrow" w:hAnsi="Arial Narrow"/>
                <w:sz w:val="20"/>
                <w:szCs w:val="20"/>
              </w:rPr>
              <w:t>1</w:t>
            </w:r>
          </w:p>
        </w:tc>
        <w:tc>
          <w:tcPr>
            <w:tcW w:w="4533" w:type="pct"/>
            <w:tcBorders>
              <w:top w:val="single" w:sz="4" w:space="0" w:color="auto"/>
              <w:left w:val="single" w:sz="4" w:space="0" w:color="auto"/>
              <w:bottom w:val="single" w:sz="4" w:space="0" w:color="auto"/>
              <w:right w:val="single" w:sz="4" w:space="0" w:color="auto"/>
            </w:tcBorders>
            <w:vAlign w:val="center"/>
            <w:hideMark/>
          </w:tcPr>
          <w:p w14:paraId="43AF27D5" w14:textId="77777777" w:rsidR="00361BEC" w:rsidRPr="005F0CE8" w:rsidRDefault="00361BEC" w:rsidP="00361BEC">
            <w:pPr>
              <w:rPr>
                <w:rFonts w:ascii="Arial Narrow" w:hAnsi="Arial Narrow"/>
                <w:sz w:val="20"/>
                <w:szCs w:val="20"/>
              </w:rPr>
            </w:pPr>
            <w:r w:rsidRPr="005F0CE8">
              <w:rPr>
                <w:rFonts w:ascii="Arial Narrow" w:hAnsi="Arial Narrow"/>
                <w:sz w:val="20"/>
                <w:szCs w:val="20"/>
              </w:rPr>
              <w:t>The condition must be each of: (i) negative for human epidermal growth factor receptor 2 (HER2) overexpression, (ii) hormone receptor positive, (iii) early stage disease (i.e. the most recent medical imaging indicates an absence of disease metastasis); or</w:t>
            </w:r>
          </w:p>
        </w:tc>
      </w:tr>
      <w:tr w:rsidR="00361BEC" w:rsidRPr="005F0CE8" w14:paraId="541D7808" w14:textId="77777777" w:rsidTr="00AF5FC8">
        <w:tc>
          <w:tcPr>
            <w:tcW w:w="467" w:type="pct"/>
            <w:tcBorders>
              <w:top w:val="single" w:sz="4" w:space="0" w:color="auto"/>
              <w:left w:val="single" w:sz="4" w:space="0" w:color="auto"/>
              <w:bottom w:val="single" w:sz="4" w:space="0" w:color="auto"/>
              <w:right w:val="single" w:sz="4" w:space="0" w:color="auto"/>
            </w:tcBorders>
          </w:tcPr>
          <w:p w14:paraId="2CA548FE" w14:textId="77777777" w:rsidR="00361BEC" w:rsidRPr="005F0CE8" w:rsidRDefault="00361BEC" w:rsidP="00361BEC">
            <w:pPr>
              <w:rPr>
                <w:rFonts w:ascii="Arial Narrow" w:hAnsi="Arial Narrow"/>
                <w:sz w:val="20"/>
                <w:szCs w:val="20"/>
              </w:rPr>
            </w:pPr>
            <w:r w:rsidRPr="005F0CE8">
              <w:rPr>
                <w:rFonts w:ascii="Arial Narrow" w:hAnsi="Arial Narrow"/>
                <w:sz w:val="20"/>
                <w:szCs w:val="20"/>
              </w:rPr>
              <w:t>2</w:t>
            </w:r>
          </w:p>
        </w:tc>
        <w:tc>
          <w:tcPr>
            <w:tcW w:w="4533" w:type="pct"/>
            <w:tcBorders>
              <w:top w:val="single" w:sz="4" w:space="0" w:color="auto"/>
              <w:left w:val="single" w:sz="4" w:space="0" w:color="auto"/>
              <w:bottom w:val="single" w:sz="4" w:space="0" w:color="auto"/>
              <w:right w:val="single" w:sz="4" w:space="0" w:color="auto"/>
            </w:tcBorders>
            <w:vAlign w:val="center"/>
            <w:hideMark/>
          </w:tcPr>
          <w:p w14:paraId="5BEDFD5B" w14:textId="77777777" w:rsidR="00361BEC" w:rsidRPr="005F0CE8" w:rsidRDefault="00361BEC" w:rsidP="00361BEC">
            <w:pPr>
              <w:rPr>
                <w:rFonts w:ascii="Arial Narrow" w:hAnsi="Arial Narrow"/>
                <w:sz w:val="20"/>
                <w:szCs w:val="20"/>
              </w:rPr>
            </w:pPr>
            <w:r w:rsidRPr="005F0CE8">
              <w:rPr>
                <w:rFonts w:ascii="Arial Narrow" w:hAnsi="Arial Narrow"/>
                <w:sz w:val="20"/>
                <w:szCs w:val="20"/>
              </w:rPr>
              <w:t>The condition must be each of: (i) negative for human epidermal growth factor receptor 2 (HER2) overexpression, (ii) negative for hormone receptor status, (iii) early stage disease (i.e. the most recent medical imaging indicates an absence of disease metastasis)</w:t>
            </w:r>
          </w:p>
        </w:tc>
      </w:tr>
      <w:tr w:rsidR="00361BEC" w:rsidRPr="005F0CE8" w14:paraId="5511BA29" w14:textId="77777777" w:rsidTr="00AF5FC8">
        <w:tc>
          <w:tcPr>
            <w:tcW w:w="467" w:type="pct"/>
            <w:tcBorders>
              <w:top w:val="single" w:sz="4" w:space="0" w:color="auto"/>
              <w:left w:val="single" w:sz="4" w:space="0" w:color="auto"/>
              <w:bottom w:val="single" w:sz="4" w:space="0" w:color="auto"/>
              <w:right w:val="single" w:sz="4" w:space="0" w:color="auto"/>
            </w:tcBorders>
          </w:tcPr>
          <w:p w14:paraId="09929AEF" w14:textId="77777777" w:rsidR="00361BEC" w:rsidRPr="005F0CE8" w:rsidRDefault="00361BEC" w:rsidP="00361BEC">
            <w:pPr>
              <w:rPr>
                <w:rFonts w:ascii="Arial Narrow" w:hAnsi="Arial Narrow"/>
                <w:sz w:val="20"/>
                <w:szCs w:val="20"/>
              </w:rPr>
            </w:pPr>
            <w:r w:rsidRPr="005F0CE8">
              <w:rPr>
                <w:rFonts w:ascii="Arial Narrow" w:hAnsi="Arial Narrow"/>
                <w:sz w:val="20"/>
                <w:szCs w:val="20"/>
              </w:rPr>
              <w:t>Simplified</w:t>
            </w:r>
          </w:p>
        </w:tc>
        <w:tc>
          <w:tcPr>
            <w:tcW w:w="4533" w:type="pct"/>
            <w:tcBorders>
              <w:top w:val="single" w:sz="4" w:space="0" w:color="auto"/>
              <w:left w:val="single" w:sz="4" w:space="0" w:color="auto"/>
              <w:bottom w:val="single" w:sz="4" w:space="0" w:color="auto"/>
              <w:right w:val="single" w:sz="4" w:space="0" w:color="auto"/>
            </w:tcBorders>
            <w:vAlign w:val="center"/>
          </w:tcPr>
          <w:p w14:paraId="584E7600" w14:textId="77777777" w:rsidR="00361BEC" w:rsidRPr="005F0CE8" w:rsidRDefault="00361BEC" w:rsidP="00361BEC">
            <w:pPr>
              <w:rPr>
                <w:rFonts w:ascii="Arial Narrow" w:hAnsi="Arial Narrow"/>
                <w:sz w:val="20"/>
                <w:szCs w:val="20"/>
              </w:rPr>
            </w:pPr>
            <w:r w:rsidRPr="005F0CE8">
              <w:rPr>
                <w:rFonts w:ascii="Arial Narrow" w:hAnsi="Arial Narrow"/>
                <w:sz w:val="20"/>
                <w:szCs w:val="20"/>
              </w:rPr>
              <w:t>The condition must be negative for human epidermal growth factor receptor 2 (HER2) overexpression</w:t>
            </w:r>
          </w:p>
        </w:tc>
      </w:tr>
    </w:tbl>
    <w:p w14:paraId="6C67724A" w14:textId="6ADD394B" w:rsidR="00361BEC" w:rsidRPr="005F0CE8" w:rsidRDefault="00361BEC" w:rsidP="00AF5FC8">
      <w:pPr>
        <w:pStyle w:val="BulletBodyText"/>
      </w:pPr>
      <w:r w:rsidRPr="005F0CE8">
        <w:t xml:space="preserve">The patient should not be required to have completed six cycles of chemotherapy as discussed in paragraph </w:t>
      </w:r>
      <w:r w:rsidRPr="005F0CE8">
        <w:fldChar w:fldCharType="begin"/>
      </w:r>
      <w:r w:rsidRPr="005F0CE8">
        <w:instrText xml:space="preserve"> REF _Ref130331665 \r \h </w:instrText>
      </w:r>
      <w:r w:rsidR="00AF5FC8">
        <w:instrText xml:space="preserve"> \* MERGEFORMAT </w:instrText>
      </w:r>
      <w:r w:rsidRPr="005F0CE8">
        <w:fldChar w:fldCharType="separate"/>
      </w:r>
      <w:r w:rsidR="00AB6006">
        <w:t>3.4</w:t>
      </w:r>
      <w:r w:rsidRPr="005F0CE8">
        <w:fldChar w:fldCharType="end"/>
      </w:r>
      <w:r w:rsidRPr="005F0CE8">
        <w:t>, therefore the following proposed criterion should be deleted.</w:t>
      </w:r>
    </w:p>
    <w:tbl>
      <w:tblPr>
        <w:tblW w:w="4402"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7229"/>
      </w:tblGrid>
      <w:tr w:rsidR="00361BEC" w:rsidRPr="005F0CE8" w14:paraId="0C695AED" w14:textId="77777777" w:rsidTr="00AF5FC8">
        <w:tc>
          <w:tcPr>
            <w:tcW w:w="447" w:type="pct"/>
            <w:tcBorders>
              <w:top w:val="single" w:sz="4" w:space="0" w:color="auto"/>
              <w:left w:val="single" w:sz="4" w:space="0" w:color="auto"/>
              <w:bottom w:val="single" w:sz="4" w:space="0" w:color="auto"/>
              <w:right w:val="single" w:sz="4" w:space="0" w:color="auto"/>
            </w:tcBorders>
          </w:tcPr>
          <w:p w14:paraId="57988116" w14:textId="77777777" w:rsidR="00361BEC" w:rsidRPr="005F0CE8" w:rsidRDefault="00361BEC" w:rsidP="00361BEC">
            <w:pPr>
              <w:rPr>
                <w:rFonts w:ascii="Arial Narrow" w:hAnsi="Arial Narrow"/>
                <w:sz w:val="20"/>
                <w:szCs w:val="20"/>
              </w:rPr>
            </w:pPr>
            <w:r w:rsidRPr="005F0CE8">
              <w:rPr>
                <w:rFonts w:ascii="Arial Narrow" w:hAnsi="Arial Narrow"/>
                <w:sz w:val="20"/>
                <w:szCs w:val="20"/>
              </w:rPr>
              <w:t>3</w:t>
            </w:r>
          </w:p>
        </w:tc>
        <w:tc>
          <w:tcPr>
            <w:tcW w:w="4553" w:type="pct"/>
            <w:tcBorders>
              <w:top w:val="single" w:sz="4" w:space="0" w:color="auto"/>
              <w:left w:val="single" w:sz="4" w:space="0" w:color="auto"/>
              <w:bottom w:val="single" w:sz="4" w:space="0" w:color="auto"/>
              <w:right w:val="single" w:sz="4" w:space="0" w:color="auto"/>
            </w:tcBorders>
            <w:vAlign w:val="center"/>
          </w:tcPr>
          <w:p w14:paraId="714C0504" w14:textId="7FBAF4DD" w:rsidR="00361BEC" w:rsidRPr="005F0CE8" w:rsidRDefault="00361BEC" w:rsidP="00361BEC">
            <w:pPr>
              <w:rPr>
                <w:rFonts w:ascii="Arial Narrow" w:hAnsi="Arial Narrow"/>
                <w:sz w:val="20"/>
                <w:szCs w:val="20"/>
              </w:rPr>
            </w:pPr>
            <w:r w:rsidRPr="005F0CE8">
              <w:rPr>
                <w:rFonts w:ascii="Arial Narrow" w:hAnsi="Arial Narrow"/>
                <w:sz w:val="20"/>
                <w:szCs w:val="20"/>
              </w:rPr>
              <w:t>Patient should have to has completed at least six cycles (or experienced toxicity necessitating withdrawal) of neoadjuvant or adjuvant chemotherapy containing anthracyclines, taxanes, or both agents.</w:t>
            </w:r>
          </w:p>
        </w:tc>
      </w:tr>
    </w:tbl>
    <w:p w14:paraId="4DEF559C" w14:textId="2570C774" w:rsidR="00361BEC" w:rsidRPr="005F0CE8" w:rsidRDefault="00361BEC" w:rsidP="00AF5FC8">
      <w:pPr>
        <w:pStyle w:val="BulletBodyText"/>
      </w:pPr>
      <w:r w:rsidRPr="005F0CE8">
        <w:t>The proposed PBS criteria could be simplified with respect to the patients at high risk of recurrence, as follows.</w:t>
      </w:r>
    </w:p>
    <w:tbl>
      <w:tblPr>
        <w:tblW w:w="4402"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9"/>
      </w:tblGrid>
      <w:tr w:rsidR="00361BEC" w:rsidRPr="005F0CE8" w14:paraId="703063DD" w14:textId="77777777" w:rsidTr="00AF5FC8">
        <w:trPr>
          <w:cantSplit/>
        </w:trPr>
        <w:tc>
          <w:tcPr>
            <w:tcW w:w="5000" w:type="pct"/>
            <w:tcBorders>
              <w:top w:val="single" w:sz="4" w:space="0" w:color="auto"/>
              <w:left w:val="single" w:sz="4" w:space="0" w:color="auto"/>
              <w:bottom w:val="single" w:sz="4" w:space="0" w:color="auto"/>
              <w:right w:val="single" w:sz="4" w:space="0" w:color="auto"/>
            </w:tcBorders>
            <w:vAlign w:val="center"/>
          </w:tcPr>
          <w:p w14:paraId="6D925D60" w14:textId="163FB37C" w:rsidR="00E60F53" w:rsidRPr="005F0CE8" w:rsidRDefault="00E60F53" w:rsidP="00361BEC">
            <w:pPr>
              <w:rPr>
                <w:rFonts w:ascii="Arial Narrow" w:hAnsi="Arial Narrow"/>
                <w:b/>
                <w:bCs/>
                <w:sz w:val="20"/>
                <w:szCs w:val="20"/>
              </w:rPr>
            </w:pPr>
            <w:r w:rsidRPr="005F0CE8">
              <w:rPr>
                <w:rFonts w:ascii="Arial Narrow" w:hAnsi="Arial Narrow"/>
                <w:b/>
                <w:bCs/>
                <w:sz w:val="20"/>
                <w:szCs w:val="20"/>
              </w:rPr>
              <w:lastRenderedPageBreak/>
              <w:t>Prescribing instructions:</w:t>
            </w:r>
          </w:p>
          <w:p w14:paraId="24D55059" w14:textId="33B0141B" w:rsidR="00E60F53" w:rsidRPr="005F0CE8" w:rsidRDefault="00E60F53" w:rsidP="00361BEC">
            <w:pPr>
              <w:rPr>
                <w:rFonts w:ascii="Arial Narrow" w:hAnsi="Arial Narrow"/>
                <w:sz w:val="20"/>
                <w:szCs w:val="20"/>
              </w:rPr>
            </w:pPr>
            <w:r w:rsidRPr="005F0CE8">
              <w:rPr>
                <w:rFonts w:ascii="Arial Narrow" w:hAnsi="Arial Narrow"/>
                <w:sz w:val="20"/>
                <w:szCs w:val="20"/>
              </w:rPr>
              <w:t>For the first PBS authority application only, where applicable, confirm the following:</w:t>
            </w:r>
          </w:p>
          <w:p w14:paraId="28A99E92" w14:textId="7EAACB91" w:rsidR="00361BEC" w:rsidRPr="005F0CE8" w:rsidRDefault="000E4C0E" w:rsidP="00361BEC">
            <w:pPr>
              <w:rPr>
                <w:rFonts w:ascii="Arial Narrow" w:hAnsi="Arial Narrow"/>
                <w:sz w:val="20"/>
                <w:szCs w:val="20"/>
              </w:rPr>
            </w:pPr>
            <w:r w:rsidRPr="005F0CE8">
              <w:rPr>
                <w:rFonts w:ascii="Arial Narrow" w:hAnsi="Arial Narrow"/>
                <w:sz w:val="20"/>
                <w:szCs w:val="20"/>
              </w:rPr>
              <w:t xml:space="preserve">i) </w:t>
            </w:r>
            <w:r w:rsidR="00E60F53" w:rsidRPr="005F0CE8">
              <w:rPr>
                <w:rFonts w:ascii="Arial Narrow" w:hAnsi="Arial Narrow"/>
                <w:sz w:val="20"/>
                <w:szCs w:val="20"/>
              </w:rPr>
              <w:t xml:space="preserve">Where </w:t>
            </w:r>
            <w:r w:rsidR="00361BEC" w:rsidRPr="005F0CE8">
              <w:rPr>
                <w:rFonts w:ascii="Arial Narrow" w:hAnsi="Arial Narrow"/>
                <w:sz w:val="20"/>
                <w:szCs w:val="20"/>
              </w:rPr>
              <w:t xml:space="preserve">neoadjuvant chemotherapy </w:t>
            </w:r>
            <w:r w:rsidR="00E60F53" w:rsidRPr="005F0CE8">
              <w:rPr>
                <w:rFonts w:ascii="Arial Narrow" w:hAnsi="Arial Narrow"/>
                <w:sz w:val="20"/>
                <w:szCs w:val="20"/>
              </w:rPr>
              <w:t>has occurred – confirm that</w:t>
            </w:r>
            <w:r w:rsidR="00361BEC" w:rsidRPr="005F0CE8">
              <w:rPr>
                <w:rFonts w:ascii="Arial Narrow" w:hAnsi="Arial Narrow"/>
                <w:sz w:val="20"/>
                <w:szCs w:val="20"/>
              </w:rPr>
              <w:t xml:space="preserve"> residual invasive cancer </w:t>
            </w:r>
            <w:r w:rsidR="00E60F53" w:rsidRPr="005F0CE8">
              <w:rPr>
                <w:rFonts w:ascii="Arial Narrow" w:hAnsi="Arial Narrow"/>
                <w:sz w:val="20"/>
                <w:szCs w:val="20"/>
              </w:rPr>
              <w:t xml:space="preserve">is </w:t>
            </w:r>
            <w:r w:rsidR="00361BEC" w:rsidRPr="005F0CE8">
              <w:rPr>
                <w:rFonts w:ascii="Arial Narrow" w:hAnsi="Arial Narrow"/>
                <w:sz w:val="20"/>
                <w:szCs w:val="20"/>
              </w:rPr>
              <w:t xml:space="preserve">in the breast and/or resected lymph nodes. </w:t>
            </w:r>
          </w:p>
          <w:p w14:paraId="0E3507B5" w14:textId="1669C404" w:rsidR="00361BEC" w:rsidRPr="005F0CE8" w:rsidRDefault="000E4C0E" w:rsidP="00361BEC">
            <w:pPr>
              <w:rPr>
                <w:rFonts w:ascii="Arial Narrow" w:hAnsi="Arial Narrow"/>
                <w:sz w:val="20"/>
                <w:szCs w:val="20"/>
              </w:rPr>
            </w:pPr>
            <w:r w:rsidRPr="005F0CE8">
              <w:rPr>
                <w:rFonts w:ascii="Arial Narrow" w:hAnsi="Arial Narrow"/>
                <w:sz w:val="20"/>
                <w:szCs w:val="20"/>
              </w:rPr>
              <w:t xml:space="preserve">ii) </w:t>
            </w:r>
            <w:r w:rsidR="00E60F53" w:rsidRPr="005F0CE8">
              <w:rPr>
                <w:rFonts w:ascii="Arial Narrow" w:hAnsi="Arial Narrow"/>
                <w:sz w:val="20"/>
                <w:szCs w:val="20"/>
              </w:rPr>
              <w:t xml:space="preserve">In a </w:t>
            </w:r>
            <w:r w:rsidR="00361BEC" w:rsidRPr="005F0CE8">
              <w:rPr>
                <w:rFonts w:ascii="Arial Narrow" w:hAnsi="Arial Narrow"/>
                <w:sz w:val="20"/>
                <w:szCs w:val="20"/>
              </w:rPr>
              <w:t xml:space="preserve">patient </w:t>
            </w:r>
            <w:r w:rsidR="00E60F53" w:rsidRPr="005F0CE8">
              <w:rPr>
                <w:rFonts w:ascii="Arial Narrow" w:hAnsi="Arial Narrow"/>
                <w:sz w:val="20"/>
                <w:szCs w:val="20"/>
              </w:rPr>
              <w:t xml:space="preserve">with triple negative breast cancer </w:t>
            </w:r>
            <w:r w:rsidR="00361BEC" w:rsidRPr="005F0CE8">
              <w:rPr>
                <w:rFonts w:ascii="Arial Narrow" w:hAnsi="Arial Narrow"/>
                <w:sz w:val="20"/>
                <w:szCs w:val="20"/>
              </w:rPr>
              <w:t>who ha</w:t>
            </w:r>
            <w:r w:rsidR="00E60F53" w:rsidRPr="005F0CE8">
              <w:rPr>
                <w:rFonts w:ascii="Arial Narrow" w:hAnsi="Arial Narrow"/>
                <w:sz w:val="20"/>
                <w:szCs w:val="20"/>
              </w:rPr>
              <w:t>s</w:t>
            </w:r>
            <w:r w:rsidR="00361BEC" w:rsidRPr="005F0CE8">
              <w:rPr>
                <w:rFonts w:ascii="Arial Narrow" w:hAnsi="Arial Narrow"/>
                <w:sz w:val="20"/>
                <w:szCs w:val="20"/>
              </w:rPr>
              <w:t xml:space="preserve"> received adjuvant chemotherapy</w:t>
            </w:r>
            <w:r w:rsidR="00E60F53" w:rsidRPr="005F0CE8">
              <w:rPr>
                <w:rFonts w:ascii="Arial Narrow" w:hAnsi="Arial Narrow"/>
                <w:sz w:val="20"/>
                <w:szCs w:val="20"/>
              </w:rPr>
              <w:t>,</w:t>
            </w:r>
            <w:r w:rsidR="00361BEC" w:rsidRPr="005F0CE8">
              <w:rPr>
                <w:rFonts w:ascii="Arial Narrow" w:hAnsi="Arial Narrow"/>
                <w:sz w:val="20"/>
                <w:szCs w:val="20"/>
              </w:rPr>
              <w:t xml:space="preserve"> </w:t>
            </w:r>
            <w:r w:rsidR="00E60F53" w:rsidRPr="005F0CE8">
              <w:rPr>
                <w:rFonts w:ascii="Arial Narrow" w:hAnsi="Arial Narrow"/>
                <w:sz w:val="20"/>
                <w:szCs w:val="20"/>
              </w:rPr>
              <w:t xml:space="preserve">confirm that </w:t>
            </w:r>
            <w:r w:rsidR="00361BEC" w:rsidRPr="005F0CE8">
              <w:rPr>
                <w:rFonts w:ascii="Arial Narrow" w:hAnsi="Arial Narrow"/>
                <w:sz w:val="20"/>
                <w:szCs w:val="20"/>
              </w:rPr>
              <w:t xml:space="preserve">node positive disease </w:t>
            </w:r>
            <w:r w:rsidR="00E60F53" w:rsidRPr="005F0CE8">
              <w:rPr>
                <w:rFonts w:ascii="Arial Narrow" w:hAnsi="Arial Narrow"/>
                <w:sz w:val="20"/>
                <w:szCs w:val="20"/>
              </w:rPr>
              <w:t xml:space="preserve">is present </w:t>
            </w:r>
            <w:r w:rsidR="00361BEC" w:rsidRPr="005F0CE8">
              <w:rPr>
                <w:rFonts w:ascii="Arial Narrow" w:hAnsi="Arial Narrow"/>
                <w:sz w:val="20"/>
                <w:szCs w:val="20"/>
              </w:rPr>
              <w:t xml:space="preserve">or </w:t>
            </w:r>
            <w:r w:rsidR="00E60F53" w:rsidRPr="005F0CE8">
              <w:rPr>
                <w:rFonts w:ascii="Arial Narrow" w:hAnsi="Arial Narrow"/>
                <w:sz w:val="20"/>
                <w:szCs w:val="20"/>
              </w:rPr>
              <w:t xml:space="preserve">that the </w:t>
            </w:r>
            <w:r w:rsidR="00361BEC" w:rsidRPr="005F0CE8">
              <w:rPr>
                <w:rFonts w:ascii="Arial Narrow" w:hAnsi="Arial Narrow"/>
                <w:sz w:val="20"/>
                <w:szCs w:val="20"/>
              </w:rPr>
              <w:t xml:space="preserve">primary tumour </w:t>
            </w:r>
            <w:r w:rsidR="00E60F53" w:rsidRPr="005F0CE8">
              <w:rPr>
                <w:rFonts w:ascii="Arial Narrow" w:hAnsi="Arial Narrow"/>
                <w:sz w:val="20"/>
                <w:szCs w:val="20"/>
              </w:rPr>
              <w:t xml:space="preserve">is </w:t>
            </w:r>
            <w:r w:rsidR="00361BEC" w:rsidRPr="005F0CE8">
              <w:rPr>
                <w:rFonts w:ascii="Arial Narrow" w:hAnsi="Arial Narrow"/>
                <w:sz w:val="20"/>
                <w:szCs w:val="20"/>
              </w:rPr>
              <w:t xml:space="preserve">greater than 20 mm, </w:t>
            </w:r>
          </w:p>
          <w:p w14:paraId="67457F45" w14:textId="32355AAD" w:rsidR="00361BEC" w:rsidRPr="005F0CE8" w:rsidRDefault="000E4C0E" w:rsidP="00361BEC">
            <w:r w:rsidRPr="005F0CE8">
              <w:rPr>
                <w:rFonts w:ascii="Arial Narrow" w:hAnsi="Arial Narrow"/>
                <w:sz w:val="20"/>
                <w:szCs w:val="20"/>
              </w:rPr>
              <w:t xml:space="preserve">iii) </w:t>
            </w:r>
            <w:r w:rsidR="00E60F53" w:rsidRPr="005F0CE8">
              <w:rPr>
                <w:rFonts w:ascii="Arial Narrow" w:hAnsi="Arial Narrow"/>
                <w:sz w:val="20"/>
                <w:szCs w:val="20"/>
              </w:rPr>
              <w:t>In a patient with h</w:t>
            </w:r>
            <w:r w:rsidR="00361BEC" w:rsidRPr="005F0CE8">
              <w:rPr>
                <w:rFonts w:ascii="Arial Narrow" w:hAnsi="Arial Narrow"/>
                <w:sz w:val="20"/>
                <w:szCs w:val="20"/>
              </w:rPr>
              <w:t>ormone receptor positive, HER2-negative</w:t>
            </w:r>
            <w:r w:rsidR="00E60F53" w:rsidRPr="005F0CE8">
              <w:rPr>
                <w:rFonts w:ascii="Arial Narrow" w:hAnsi="Arial Narrow"/>
                <w:sz w:val="20"/>
                <w:szCs w:val="20"/>
              </w:rPr>
              <w:t xml:space="preserve"> disease</w:t>
            </w:r>
            <w:r w:rsidR="00361BEC" w:rsidRPr="005F0CE8">
              <w:rPr>
                <w:rFonts w:ascii="Arial Narrow" w:hAnsi="Arial Narrow"/>
                <w:sz w:val="20"/>
                <w:szCs w:val="20"/>
              </w:rPr>
              <w:t xml:space="preserve">, </w:t>
            </w:r>
            <w:r w:rsidR="00BA51B7" w:rsidRPr="005F0CE8">
              <w:rPr>
                <w:rFonts w:ascii="Arial Narrow" w:hAnsi="Arial Narrow"/>
                <w:sz w:val="20"/>
                <w:szCs w:val="20"/>
              </w:rPr>
              <w:t xml:space="preserve">confirm that the </w:t>
            </w:r>
            <w:r w:rsidR="00361BEC" w:rsidRPr="005F0CE8">
              <w:rPr>
                <w:rFonts w:ascii="Arial Narrow" w:hAnsi="Arial Narrow"/>
                <w:sz w:val="20"/>
                <w:szCs w:val="20"/>
              </w:rPr>
              <w:t>patient ha</w:t>
            </w:r>
            <w:r w:rsidR="00BA51B7" w:rsidRPr="005F0CE8">
              <w:rPr>
                <w:rFonts w:ascii="Arial Narrow" w:hAnsi="Arial Narrow"/>
                <w:sz w:val="20"/>
                <w:szCs w:val="20"/>
              </w:rPr>
              <w:t>s</w:t>
            </w:r>
            <w:r w:rsidR="00361BEC" w:rsidRPr="005F0CE8">
              <w:rPr>
                <w:rFonts w:ascii="Arial Narrow" w:hAnsi="Arial Narrow"/>
                <w:sz w:val="20"/>
                <w:szCs w:val="20"/>
              </w:rPr>
              <w:t xml:space="preserve"> </w:t>
            </w:r>
            <w:r w:rsidR="00BA51B7" w:rsidRPr="005F0CE8">
              <w:rPr>
                <w:rFonts w:ascii="Arial Narrow" w:hAnsi="Arial Narrow"/>
                <w:sz w:val="20"/>
                <w:szCs w:val="20"/>
              </w:rPr>
              <w:t xml:space="preserve">at least </w:t>
            </w:r>
            <w:r w:rsidR="00361BEC" w:rsidRPr="005F0CE8">
              <w:rPr>
                <w:rFonts w:ascii="Arial Narrow" w:hAnsi="Arial Narrow"/>
                <w:sz w:val="20"/>
                <w:szCs w:val="20"/>
              </w:rPr>
              <w:t>4 positive lymph nodes.</w:t>
            </w:r>
          </w:p>
        </w:tc>
      </w:tr>
    </w:tbl>
    <w:p w14:paraId="7C66D0D0" w14:textId="48BC1142" w:rsidR="00361BEC" w:rsidRPr="005F0CE8" w:rsidRDefault="00361BEC" w:rsidP="00D73E1F">
      <w:pPr>
        <w:pStyle w:val="BulletBodyText"/>
        <w:spacing w:before="120"/>
      </w:pPr>
      <w:r w:rsidRPr="005F0CE8">
        <w:t>Add a new criterion consistent with the trial, that olaparib must be commenced within 12 weeks of completing other therapy, noting this could include surgery, radiotherapy or chemotherapy</w:t>
      </w:r>
      <w:r w:rsidR="001D4371" w:rsidRPr="005F0CE8">
        <w:t xml:space="preserve"> (see paragraph </w:t>
      </w:r>
      <w:r w:rsidR="001D4371" w:rsidRPr="005F0CE8">
        <w:fldChar w:fldCharType="begin"/>
      </w:r>
      <w:r w:rsidR="001D4371" w:rsidRPr="005F0CE8">
        <w:instrText xml:space="preserve"> REF _Ref130332745 \r \h </w:instrText>
      </w:r>
      <w:r w:rsidR="00AF5FC8">
        <w:instrText xml:space="preserve"> \* MERGEFORMAT </w:instrText>
      </w:r>
      <w:r w:rsidR="001D4371" w:rsidRPr="005F0CE8">
        <w:fldChar w:fldCharType="separate"/>
      </w:r>
      <w:r w:rsidR="00AB6006">
        <w:t>3.5</w:t>
      </w:r>
      <w:r w:rsidR="001D4371" w:rsidRPr="005F0CE8">
        <w:fldChar w:fldCharType="end"/>
      </w:r>
      <w:r w:rsidR="001D4371" w:rsidRPr="005F0CE8">
        <w:t>)</w:t>
      </w:r>
      <w:r w:rsidRPr="005F0CE8">
        <w:t>.</w:t>
      </w:r>
    </w:p>
    <w:p w14:paraId="043137D4" w14:textId="516F37CF" w:rsidR="00267E4D" w:rsidRPr="005F0CE8" w:rsidRDefault="00361BEC" w:rsidP="00AF5FC8">
      <w:pPr>
        <w:pStyle w:val="BulletBodyText"/>
      </w:pPr>
      <w:r w:rsidRPr="005F0CE8">
        <w:t xml:space="preserve">The continuing restriction should be revised to refer to recurrence (not progression): as follows: </w:t>
      </w:r>
      <w:r w:rsidR="00DB2BE9">
        <w:t>‘</w:t>
      </w:r>
      <w:r w:rsidRPr="005F0CE8">
        <w:t>Patient must not have developed disease recurrence while receiving treatment with this drug for this condition</w:t>
      </w:r>
      <w:r w:rsidR="00DB2BE9">
        <w:t>’</w:t>
      </w:r>
      <w:r w:rsidR="000E4C0E" w:rsidRPr="005F0CE8">
        <w:t>.</w:t>
      </w:r>
    </w:p>
    <w:p w14:paraId="792C54CE" w14:textId="77777777" w:rsidR="00267E4D" w:rsidRPr="005F0CE8" w:rsidRDefault="00361BEC" w:rsidP="00AF5FC8">
      <w:pPr>
        <w:pStyle w:val="BulletBodyText"/>
      </w:pPr>
      <w:r w:rsidRPr="005F0CE8">
        <w:t xml:space="preserve">In both initial and continuing restrictions, it </w:t>
      </w:r>
      <w:r w:rsidR="000E4C0E" w:rsidRPr="005F0CE8">
        <w:t>is</w:t>
      </w:r>
      <w:r w:rsidRPr="005F0CE8">
        <w:t xml:space="preserve"> not necessary to specify that endocrine therapy must be used for HR+ patients</w:t>
      </w:r>
    </w:p>
    <w:p w14:paraId="27B145F4" w14:textId="75BBC535" w:rsidR="00361BEC" w:rsidRDefault="00361BEC" w:rsidP="00AF5FC8">
      <w:pPr>
        <w:pStyle w:val="BulletBodyText"/>
      </w:pPr>
      <w:r w:rsidRPr="005F0CE8">
        <w:t xml:space="preserve">If olaparib is PBS </w:t>
      </w:r>
      <w:r w:rsidR="009F0B41" w:rsidRPr="005F0CE8">
        <w:t>l</w:t>
      </w:r>
      <w:r w:rsidRPr="005F0CE8">
        <w:t>isted in eBC</w:t>
      </w:r>
      <w:r w:rsidR="006208BE">
        <w:t>,</w:t>
      </w:r>
      <w:r w:rsidRPr="005F0CE8">
        <w:t xml:space="preserve"> it may be appropriate t</w:t>
      </w:r>
      <w:r w:rsidR="000E4C0E" w:rsidRPr="005F0CE8">
        <w:t>o</w:t>
      </w:r>
      <w:r w:rsidRPr="005F0CE8">
        <w:t xml:space="preserve"> </w:t>
      </w:r>
      <w:r w:rsidR="00BA51B7" w:rsidRPr="005F0CE8">
        <w:t xml:space="preserve">clarify in </w:t>
      </w:r>
      <w:r w:rsidRPr="005F0CE8">
        <w:t>the current PBS listings for PARPi in ovarian cancer that prior use of PARPi</w:t>
      </w:r>
      <w:r w:rsidR="00BA51B7" w:rsidRPr="005F0CE8">
        <w:t xml:space="preserve"> is in the context of the stated PBS indication</w:t>
      </w:r>
      <w:r w:rsidRPr="005F0CE8">
        <w:t xml:space="preserve">, </w:t>
      </w:r>
      <w:r w:rsidR="00BA51B7" w:rsidRPr="005F0CE8">
        <w:t>such that the restriction is not inadvertently interpreted as</w:t>
      </w:r>
      <w:r w:rsidR="00DB4E10">
        <w:t xml:space="preserve"> </w:t>
      </w:r>
      <w:r w:rsidR="00BA51B7" w:rsidRPr="005F0CE8">
        <w:t xml:space="preserve">an intent </w:t>
      </w:r>
      <w:r w:rsidRPr="005F0CE8">
        <w:t>to prevent these patients from access</w:t>
      </w:r>
      <w:r w:rsidR="000E4C0E" w:rsidRPr="005F0CE8">
        <w:t>ing</w:t>
      </w:r>
      <w:r w:rsidRPr="005F0CE8">
        <w:t xml:space="preserve"> PARPi in a different cancer (ovarian cancer</w:t>
      </w:r>
      <w:r w:rsidR="001D4371" w:rsidRPr="005F0CE8">
        <w:t xml:space="preserve">; see paragraph </w:t>
      </w:r>
      <w:r w:rsidR="001D4371" w:rsidRPr="005F0CE8">
        <w:fldChar w:fldCharType="begin"/>
      </w:r>
      <w:r w:rsidR="001D4371" w:rsidRPr="005F0CE8">
        <w:instrText xml:space="preserve"> REF _Ref130332770 \r \h </w:instrText>
      </w:r>
      <w:r w:rsidR="00AF5FC8">
        <w:instrText xml:space="preserve"> \* MERGEFORMAT </w:instrText>
      </w:r>
      <w:r w:rsidR="001D4371" w:rsidRPr="005F0CE8">
        <w:fldChar w:fldCharType="separate"/>
      </w:r>
      <w:r w:rsidR="00AB6006">
        <w:t>3.6</w:t>
      </w:r>
      <w:r w:rsidR="001D4371" w:rsidRPr="005F0CE8">
        <w:fldChar w:fldCharType="end"/>
      </w:r>
      <w:r w:rsidRPr="005F0CE8">
        <w:t>).</w:t>
      </w:r>
    </w:p>
    <w:p w14:paraId="0A6C4B54" w14:textId="1775EA3D" w:rsidR="00361BEC" w:rsidRPr="005F0CE8" w:rsidRDefault="000A0A8B" w:rsidP="00AF5FC8">
      <w:pPr>
        <w:pStyle w:val="BulletBodyText"/>
      </w:pPr>
      <w:r>
        <w:t>C</w:t>
      </w:r>
      <w:r w:rsidR="006208BE" w:rsidRPr="006208BE">
        <w:t xml:space="preserve">ombination use of pembrolizumab </w:t>
      </w:r>
      <w:r>
        <w:t xml:space="preserve">(see paragraph </w:t>
      </w:r>
      <w:r>
        <w:fldChar w:fldCharType="begin"/>
      </w:r>
      <w:r>
        <w:instrText xml:space="preserve"> REF _Ref132213138 \r \h </w:instrText>
      </w:r>
      <w:r w:rsidR="00AF5FC8">
        <w:instrText xml:space="preserve"> \* MERGEFORMAT </w:instrText>
      </w:r>
      <w:r>
        <w:fldChar w:fldCharType="separate"/>
      </w:r>
      <w:r w:rsidR="00AB6006">
        <w:t>5.3</w:t>
      </w:r>
      <w:r>
        <w:fldChar w:fldCharType="end"/>
      </w:r>
      <w:r>
        <w:t xml:space="preserve">) </w:t>
      </w:r>
      <w:r w:rsidR="006208BE" w:rsidRPr="006208BE">
        <w:t xml:space="preserve">and olaparib (for patients with </w:t>
      </w:r>
      <w:r w:rsidR="009E092C" w:rsidRPr="009E092C">
        <w:rPr>
          <w:i/>
        </w:rPr>
        <w:t>BRCAm</w:t>
      </w:r>
      <w:r>
        <w:t xml:space="preserve"> breast cancer</w:t>
      </w:r>
      <w:r w:rsidR="006208BE" w:rsidRPr="006208BE">
        <w:t xml:space="preserve">) would not be appropriate as this combination is unlikely to be cost-effective and there is a lack of safety and efficacy data to support it. </w:t>
      </w:r>
      <w:r w:rsidR="00DB2BE9" w:rsidRPr="006208BE">
        <w:t>Therefore,</w:t>
      </w:r>
      <w:r w:rsidR="006208BE" w:rsidRPr="006208BE">
        <w:t xml:space="preserve"> the restrictions should prevent combination use of olaparib and pembrolizumab</w:t>
      </w:r>
      <w:r w:rsidR="006208BE">
        <w:t>.</w:t>
      </w:r>
    </w:p>
    <w:p w14:paraId="556FA74C" w14:textId="15CC2F7D" w:rsidR="002F6D99" w:rsidRPr="003A26A8" w:rsidRDefault="00DF3B54" w:rsidP="00477BB3">
      <w:pPr>
        <w:pStyle w:val="3-BodyText"/>
        <w:numPr>
          <w:ilvl w:val="0"/>
          <w:numId w:val="0"/>
        </w:numPr>
        <w:ind w:left="709"/>
        <w:rPr>
          <w:i/>
          <w:iCs/>
        </w:rPr>
      </w:pPr>
      <w:r w:rsidRPr="003A26A8">
        <w:rPr>
          <w:i/>
          <w:iCs/>
        </w:rPr>
        <w:t>For more detail on PBAC’s view, see section 7 PBAC outcome.</w:t>
      </w:r>
    </w:p>
    <w:p w14:paraId="158AA79B" w14:textId="14381B7D" w:rsidR="00B50DB8" w:rsidRPr="005F0CE8" w:rsidDel="00195452" w:rsidRDefault="00203181" w:rsidP="004E18E9">
      <w:pPr>
        <w:pStyle w:val="2-SectionHeading"/>
      </w:pPr>
      <w:bookmarkStart w:id="23" w:name="_Toc124883277"/>
      <w:bookmarkEnd w:id="21"/>
      <w:r w:rsidRPr="005F0CE8" w:rsidDel="00195452">
        <w:t xml:space="preserve">Population and </w:t>
      </w:r>
      <w:r w:rsidR="008E0D3C" w:rsidRPr="005F0CE8" w:rsidDel="00195452">
        <w:t>d</w:t>
      </w:r>
      <w:r w:rsidRPr="005F0CE8" w:rsidDel="00195452">
        <w:t>isease</w:t>
      </w:r>
      <w:bookmarkEnd w:id="23"/>
    </w:p>
    <w:p w14:paraId="034C9B69" w14:textId="4B4FF6B8" w:rsidR="00894489" w:rsidRPr="005F0CE8" w:rsidRDefault="0039725A" w:rsidP="00477BB3">
      <w:pPr>
        <w:pStyle w:val="3-BodyText"/>
        <w:rPr>
          <w:color w:val="0066FF"/>
        </w:rPr>
      </w:pPr>
      <w:bookmarkStart w:id="24" w:name="_Ref130327799"/>
      <w:r w:rsidRPr="005F0CE8">
        <w:t>Breast cancer is the most common cancer affecting Australian women. If caught in the early stages, patients can have a 5-year survival of 91%</w:t>
      </w:r>
      <w:r w:rsidR="002F4364" w:rsidRPr="005F0CE8">
        <w:rPr>
          <w:rStyle w:val="FootnoteReference"/>
        </w:rPr>
        <w:footnoteReference w:id="5"/>
      </w:r>
      <w:r w:rsidRPr="005F0CE8">
        <w:t xml:space="preserve">. However, there are several prognostic factors that can </w:t>
      </w:r>
      <w:r w:rsidR="005A537B" w:rsidRPr="005F0CE8">
        <w:t>modify</w:t>
      </w:r>
      <w:r w:rsidRPr="005F0CE8">
        <w:t xml:space="preserve"> the chance of disease recurrence after initial treatment. </w:t>
      </w:r>
      <w:r w:rsidR="005A537B" w:rsidRPr="005F0CE8">
        <w:t>Among these are the hormone receptors (HR) and human epidermal growth factor receptor 2 (HER2)</w:t>
      </w:r>
      <w:r w:rsidR="0083096C" w:rsidRPr="005F0CE8">
        <w:rPr>
          <w:rStyle w:val="FootnoteReference"/>
        </w:rPr>
        <w:footnoteReference w:id="6"/>
      </w:r>
      <w:r w:rsidR="005A537B" w:rsidRPr="005F0CE8">
        <w:t xml:space="preserve">. Cancers that do not express these </w:t>
      </w:r>
      <w:r w:rsidR="00E317EF" w:rsidRPr="005F0CE8">
        <w:t xml:space="preserve">disease modifiers </w:t>
      </w:r>
      <w:r w:rsidR="005A537B" w:rsidRPr="005F0CE8">
        <w:t>are called triple negative breast cancer (TNBC). TNBC do</w:t>
      </w:r>
      <w:r w:rsidR="00E317EF" w:rsidRPr="005F0CE8">
        <w:t>es</w:t>
      </w:r>
      <w:r w:rsidR="005A537B" w:rsidRPr="005F0CE8">
        <w:t xml:space="preserve"> not respond to drugs that specifically target HR and HER2 and so </w:t>
      </w:r>
      <w:r w:rsidR="00E317EF" w:rsidRPr="005F0CE8">
        <w:t xml:space="preserve">patients </w:t>
      </w:r>
      <w:r w:rsidR="005A537B" w:rsidRPr="005F0CE8">
        <w:t xml:space="preserve">are treated with chemotherapy. Additionally, TNBC </w:t>
      </w:r>
      <w:r w:rsidR="00E317EF" w:rsidRPr="005F0CE8">
        <w:t>is</w:t>
      </w:r>
      <w:r w:rsidR="005A537B" w:rsidRPr="005F0CE8">
        <w:t xml:space="preserve"> typically more aggressive and at </w:t>
      </w:r>
      <w:r w:rsidR="00E317EF" w:rsidRPr="005F0CE8">
        <w:t xml:space="preserve">a </w:t>
      </w:r>
      <w:r w:rsidR="005A537B" w:rsidRPr="005F0CE8">
        <w:t>high risk of recurrence</w:t>
      </w:r>
      <w:r w:rsidR="0083096C" w:rsidRPr="005F0CE8">
        <w:rPr>
          <w:rStyle w:val="FootnoteReference"/>
        </w:rPr>
        <w:footnoteReference w:id="7"/>
      </w:r>
      <w:r w:rsidR="005A537B" w:rsidRPr="005F0CE8">
        <w:t xml:space="preserve">. A </w:t>
      </w:r>
      <w:r w:rsidR="005A537B" w:rsidRPr="005F0CE8">
        <w:lastRenderedPageBreak/>
        <w:t xml:space="preserve">further prognostic factor is </w:t>
      </w:r>
      <w:r w:rsidR="00E317EF" w:rsidRPr="005F0CE8">
        <w:t xml:space="preserve">the presence of </w:t>
      </w:r>
      <w:r w:rsidR="005A537B" w:rsidRPr="005F0CE8">
        <w:t xml:space="preserve">mutations in the </w:t>
      </w:r>
      <w:r w:rsidR="009E092C" w:rsidRPr="009E092C">
        <w:rPr>
          <w:i/>
        </w:rPr>
        <w:t>BRCA1</w:t>
      </w:r>
      <w:r w:rsidR="005A537B" w:rsidRPr="005F0CE8">
        <w:t xml:space="preserve"> and </w:t>
      </w:r>
      <w:r w:rsidR="009E092C" w:rsidRPr="009E092C">
        <w:rPr>
          <w:i/>
        </w:rPr>
        <w:t>BRCA2</w:t>
      </w:r>
      <w:r w:rsidR="005A537B" w:rsidRPr="005F0CE8">
        <w:t xml:space="preserve"> genes. Mutations in these genes confer an in</w:t>
      </w:r>
      <w:r w:rsidR="006C6BDD" w:rsidRPr="005F0CE8">
        <w:t xml:space="preserve">creased risk of developing </w:t>
      </w:r>
      <w:r w:rsidR="00463564" w:rsidRPr="005F0CE8">
        <w:t>several cancers including breast, ovarian, and pancreatic</w:t>
      </w:r>
      <w:r w:rsidR="0012751E" w:rsidRPr="005F0CE8">
        <w:t xml:space="preserve"> cancer</w:t>
      </w:r>
      <w:r w:rsidR="00463564" w:rsidRPr="005F0CE8">
        <w:t>. This increased risk also extends to disease recurrence</w:t>
      </w:r>
      <w:r w:rsidR="0083096C" w:rsidRPr="005F0CE8">
        <w:rPr>
          <w:rStyle w:val="FootnoteReference"/>
        </w:rPr>
        <w:footnoteReference w:id="8"/>
      </w:r>
      <w:r w:rsidR="00463564" w:rsidRPr="005F0CE8">
        <w:t>.</w:t>
      </w:r>
      <w:bookmarkEnd w:id="24"/>
    </w:p>
    <w:p w14:paraId="5CBF2935" w14:textId="68B6D53E" w:rsidR="005C473F" w:rsidRPr="005F0CE8" w:rsidRDefault="009E092C" w:rsidP="00477BB3">
      <w:pPr>
        <w:pStyle w:val="3-BodyText"/>
      </w:pPr>
      <w:r w:rsidRPr="009E092C">
        <w:rPr>
          <w:i/>
          <w:iCs/>
        </w:rPr>
        <w:t xml:space="preserve">BRCA </w:t>
      </w:r>
      <w:r w:rsidR="00E06305" w:rsidRPr="005F0CE8">
        <w:t xml:space="preserve">mutations, as well as the </w:t>
      </w:r>
      <w:r w:rsidR="003D1106" w:rsidRPr="005F0CE8">
        <w:t xml:space="preserve">criteria to determine patients at </w:t>
      </w:r>
      <w:r w:rsidR="00BA176F" w:rsidRPr="005F0CE8">
        <w:t xml:space="preserve">high-risk </w:t>
      </w:r>
      <w:r w:rsidR="00E06305" w:rsidRPr="005F0CE8">
        <w:t>detailed in the proposed restriction</w:t>
      </w:r>
      <w:r w:rsidR="00D942FE" w:rsidRPr="005F0CE8">
        <w:rPr>
          <w:rStyle w:val="FootnoteReference"/>
        </w:rPr>
        <w:footnoteReference w:id="9"/>
      </w:r>
      <w:r w:rsidR="00E06305" w:rsidRPr="005F0CE8">
        <w:t xml:space="preserve">, </w:t>
      </w:r>
      <w:r w:rsidR="00BA176F" w:rsidRPr="005F0CE8">
        <w:t xml:space="preserve">cause increased rates of disease recurrence in </w:t>
      </w:r>
      <w:r w:rsidR="00E06305" w:rsidRPr="005F0CE8">
        <w:t xml:space="preserve">TNBC and HR+ </w:t>
      </w:r>
      <w:r w:rsidR="00BA176F" w:rsidRPr="005F0CE8">
        <w:t>early brea</w:t>
      </w:r>
      <w:r w:rsidR="00B60B9B" w:rsidRPr="005F0CE8">
        <w:t>s</w:t>
      </w:r>
      <w:r w:rsidR="00BA176F" w:rsidRPr="005F0CE8">
        <w:t>t cancer patients</w:t>
      </w:r>
      <w:r w:rsidR="00E06305" w:rsidRPr="005F0CE8">
        <w:t xml:space="preserve">. There remains an unmet need for therapies that prevent or delay disease recurrence in these populations. </w:t>
      </w:r>
    </w:p>
    <w:p w14:paraId="4CA28431" w14:textId="4CF82C6C" w:rsidR="007D7991" w:rsidRPr="005F0CE8" w:rsidRDefault="00E317EF" w:rsidP="00477BB3">
      <w:pPr>
        <w:pStyle w:val="3-BodyText"/>
      </w:pPr>
      <w:r w:rsidRPr="005F0CE8">
        <w:t>C</w:t>
      </w:r>
      <w:r w:rsidR="0039725A" w:rsidRPr="005F0CE8">
        <w:t>urrent clinical management after initial treatment</w:t>
      </w:r>
      <w:r w:rsidR="00463564" w:rsidRPr="005F0CE8">
        <w:t xml:space="preserve"> in </w:t>
      </w:r>
      <w:r w:rsidR="004D1CA1">
        <w:t xml:space="preserve">HER2-negative </w:t>
      </w:r>
      <w:r w:rsidR="00463564" w:rsidRPr="005F0CE8">
        <w:t xml:space="preserve">, </w:t>
      </w:r>
      <w:r w:rsidR="009E092C" w:rsidRPr="009E092C">
        <w:rPr>
          <w:i/>
        </w:rPr>
        <w:t>BRCAm</w:t>
      </w:r>
      <w:r w:rsidRPr="005F0CE8">
        <w:t xml:space="preserve"> tumours</w:t>
      </w:r>
      <w:r w:rsidR="00463564" w:rsidRPr="005F0CE8">
        <w:t>,</w:t>
      </w:r>
      <w:r w:rsidRPr="005F0CE8">
        <w:t xml:space="preserve"> in</w:t>
      </w:r>
      <w:r w:rsidR="00463564" w:rsidRPr="005F0CE8">
        <w:t xml:space="preserve"> high-risk early breast cancer patients</w:t>
      </w:r>
      <w:r w:rsidRPr="005F0CE8">
        <w:t>,</w:t>
      </w:r>
      <w:r w:rsidR="0039725A" w:rsidRPr="005F0CE8">
        <w:t xml:space="preserve"> </w:t>
      </w:r>
      <w:r w:rsidR="00463564" w:rsidRPr="005F0CE8">
        <w:t xml:space="preserve">is monitoring for disease recurrence, or </w:t>
      </w:r>
      <w:r w:rsidR="00DB2BE9">
        <w:t>‘</w:t>
      </w:r>
      <w:r w:rsidR="00463564" w:rsidRPr="005F0CE8">
        <w:t>watch and wait</w:t>
      </w:r>
      <w:r w:rsidR="00DB2BE9">
        <w:t>’</w:t>
      </w:r>
      <w:r w:rsidR="00463564" w:rsidRPr="005F0CE8">
        <w:t xml:space="preserve">. </w:t>
      </w:r>
      <w:r w:rsidR="00295CFD" w:rsidRPr="005F0CE8">
        <w:t xml:space="preserve">The patients in the key trial and in the proposed restriction can be further classified as HR+ or TNBC (HER2-, HR-). </w:t>
      </w:r>
      <w:r w:rsidR="00E30DB6" w:rsidRPr="005F0CE8">
        <w:t>ET</w:t>
      </w:r>
      <w:r w:rsidR="00463564" w:rsidRPr="005F0CE8">
        <w:t xml:space="preserve"> is given in patients with HR</w:t>
      </w:r>
      <w:r w:rsidR="00C86C83" w:rsidRPr="005F0CE8">
        <w:t>-</w:t>
      </w:r>
      <w:r w:rsidR="00463564" w:rsidRPr="005F0CE8">
        <w:t>positive cancers</w:t>
      </w:r>
      <w:r w:rsidRPr="005F0CE8">
        <w:t xml:space="preserve"> (</w:t>
      </w:r>
      <w:r w:rsidR="00FE6CB5" w:rsidRPr="005F0CE8">
        <w:t>i.e.</w:t>
      </w:r>
      <w:r w:rsidRPr="005F0CE8">
        <w:t xml:space="preserve"> not for TNBC patients)</w:t>
      </w:r>
      <w:r w:rsidR="00463564" w:rsidRPr="005F0CE8">
        <w:t xml:space="preserve">, but no other specific guidelines </w:t>
      </w:r>
      <w:r w:rsidR="00E2531B" w:rsidRPr="005F0CE8">
        <w:t>or recommendations exist</w:t>
      </w:r>
      <w:r w:rsidR="00754C7B" w:rsidRPr="005F0CE8">
        <w:rPr>
          <w:rStyle w:val="FootnoteReference"/>
        </w:rPr>
        <w:footnoteReference w:id="10"/>
      </w:r>
      <w:r w:rsidR="00E2531B" w:rsidRPr="005F0CE8">
        <w:t xml:space="preserve">. </w:t>
      </w:r>
      <w:r w:rsidR="003A2C79" w:rsidRPr="005F0CE8">
        <w:t xml:space="preserve">The clinical management algorithm would change by introducing testing for germline </w:t>
      </w:r>
      <w:r w:rsidR="009E092C" w:rsidRPr="009E092C">
        <w:rPr>
          <w:i/>
        </w:rPr>
        <w:t xml:space="preserve">BRCA </w:t>
      </w:r>
      <w:r w:rsidR="003A2C79" w:rsidRPr="005F0CE8">
        <w:t xml:space="preserve">mutations after patients are tested for hormone receptors. Patients who are positive for </w:t>
      </w:r>
      <w:r w:rsidR="009E092C" w:rsidRPr="009E092C">
        <w:rPr>
          <w:i/>
        </w:rPr>
        <w:t xml:space="preserve">BRCA </w:t>
      </w:r>
      <w:r w:rsidR="003A2C79" w:rsidRPr="005F0CE8">
        <w:t>mutations would receive adjuvant olaparib after initial treatment while being monitored for recurrence.</w:t>
      </w:r>
      <w:r w:rsidR="00E2531B" w:rsidRPr="005F0CE8">
        <w:t xml:space="preserve"> </w:t>
      </w:r>
      <w:r w:rsidR="003A2C79" w:rsidRPr="005F0CE8">
        <w:t xml:space="preserve">The proposed listing would allow </w:t>
      </w:r>
      <w:r w:rsidR="009E092C" w:rsidRPr="009E092C">
        <w:rPr>
          <w:i/>
        </w:rPr>
        <w:t xml:space="preserve">BRCA </w:t>
      </w:r>
      <w:r w:rsidR="00E2531B" w:rsidRPr="005F0CE8">
        <w:t xml:space="preserve">mutated patients </w:t>
      </w:r>
      <w:r w:rsidR="003A2C79" w:rsidRPr="005F0CE8">
        <w:t xml:space="preserve">to be </w:t>
      </w:r>
      <w:r w:rsidR="00E2531B" w:rsidRPr="005F0CE8">
        <w:t xml:space="preserve">eligible for adjuvant olaparib for 1 year or until disease progression. </w:t>
      </w:r>
      <w:r w:rsidR="004F69A5" w:rsidRPr="005F0CE8">
        <w:rPr>
          <w:iCs/>
        </w:rPr>
        <w:t>The ESC considered the place in therapy described by the submission was appropriate.</w:t>
      </w:r>
      <w:r w:rsidR="007D7991" w:rsidRPr="005F0CE8">
        <w:rPr>
          <w:iCs/>
        </w:rPr>
        <w:t xml:space="preserve"> </w:t>
      </w:r>
    </w:p>
    <w:p w14:paraId="4CF4DCD6" w14:textId="3F77CA47" w:rsidR="00DF3B54" w:rsidRPr="005F0CE8" w:rsidRDefault="00E2531B" w:rsidP="00477BB3">
      <w:pPr>
        <w:pStyle w:val="3-BodyText"/>
      </w:pPr>
      <w:r w:rsidRPr="005F0CE8">
        <w:t>Olaparib is an orally active inhibitor of human poly (ADP-ribose) polymerase enzymes. It acts to prevent repair of single st</w:t>
      </w:r>
      <w:r w:rsidR="00E317EF" w:rsidRPr="005F0CE8">
        <w:t>r</w:t>
      </w:r>
      <w:r w:rsidRPr="005F0CE8">
        <w:t>and DNA breaks, resulting in the accumulation of mutations and eventual genetic instability. This is especially effective in cancers that already have issues with D</w:t>
      </w:r>
      <w:r w:rsidR="000E50AA" w:rsidRPr="005F0CE8">
        <w:t>NA</w:t>
      </w:r>
      <w:r w:rsidRPr="005F0CE8">
        <w:t xml:space="preserve"> repair, such as </w:t>
      </w:r>
      <w:r w:rsidR="009E092C" w:rsidRPr="009E092C">
        <w:rPr>
          <w:i/>
        </w:rPr>
        <w:t xml:space="preserve">BRCA </w:t>
      </w:r>
      <w:r w:rsidRPr="005F0CE8">
        <w:t>mutated cancers which lack functional components of the homologous recombination repair pathway</w:t>
      </w:r>
      <w:r w:rsidR="003972CC" w:rsidRPr="005F0CE8">
        <w:rPr>
          <w:vertAlign w:val="superscript"/>
        </w:rPr>
        <w:footnoteReference w:id="11"/>
      </w:r>
      <w:r w:rsidRPr="005F0CE8">
        <w:t>.</w:t>
      </w:r>
      <w:r w:rsidR="00DF3B54" w:rsidRPr="005F0CE8">
        <w:t xml:space="preserve"> </w:t>
      </w:r>
    </w:p>
    <w:p w14:paraId="785C61DD" w14:textId="68C8DBA0" w:rsidR="007627BE" w:rsidRPr="003A26A8" w:rsidDel="00195452" w:rsidRDefault="00DF3B54" w:rsidP="00477BB3">
      <w:pPr>
        <w:pStyle w:val="3-BodyText"/>
        <w:numPr>
          <w:ilvl w:val="0"/>
          <w:numId w:val="0"/>
        </w:numPr>
        <w:ind w:left="709"/>
        <w:rPr>
          <w:i/>
          <w:iCs/>
        </w:rPr>
      </w:pPr>
      <w:r w:rsidRPr="003A26A8">
        <w:rPr>
          <w:i/>
          <w:iCs/>
        </w:rPr>
        <w:t>For more detail on PBAC’s view, see section 7 PBAC outcome.</w:t>
      </w:r>
    </w:p>
    <w:p w14:paraId="0B234DA1" w14:textId="77777777" w:rsidR="00B50DB8" w:rsidRPr="005F0CE8" w:rsidRDefault="00B50DB8" w:rsidP="004E18E9">
      <w:pPr>
        <w:pStyle w:val="2-SectionHeading"/>
      </w:pPr>
      <w:bookmarkStart w:id="27" w:name="_Toc124883278"/>
      <w:r w:rsidRPr="005F0CE8">
        <w:lastRenderedPageBreak/>
        <w:t>Comparator</w:t>
      </w:r>
      <w:bookmarkEnd w:id="27"/>
    </w:p>
    <w:p w14:paraId="6465D428" w14:textId="1CF63701" w:rsidR="00A05472" w:rsidRPr="005F0CE8" w:rsidRDefault="00B2126E" w:rsidP="00B509E7">
      <w:pPr>
        <w:pStyle w:val="3-BodyText"/>
        <w:rPr>
          <w:snapToGrid/>
        </w:rPr>
      </w:pPr>
      <w:r w:rsidRPr="005F0CE8">
        <w:t xml:space="preserve">The </w:t>
      </w:r>
      <w:r w:rsidR="00A922D1" w:rsidRPr="005F0CE8">
        <w:t xml:space="preserve">submission </w:t>
      </w:r>
      <w:r w:rsidRPr="005F0CE8">
        <w:t>nominated placebo (</w:t>
      </w:r>
      <w:r w:rsidR="00DB2BE9">
        <w:t>‘</w:t>
      </w:r>
      <w:r w:rsidRPr="005F0CE8">
        <w:t>watch and wait</w:t>
      </w:r>
      <w:r w:rsidR="00DB2BE9">
        <w:t>’</w:t>
      </w:r>
      <w:r w:rsidRPr="005F0CE8">
        <w:t>)</w:t>
      </w:r>
      <w:r w:rsidR="00A922D1" w:rsidRPr="005F0CE8">
        <w:t xml:space="preserve"> as the main comparator</w:t>
      </w:r>
      <w:r w:rsidRPr="005F0CE8">
        <w:t xml:space="preserve">. </w:t>
      </w:r>
      <w:r w:rsidR="00A922D1" w:rsidRPr="005F0CE8">
        <w:t xml:space="preserve">There </w:t>
      </w:r>
      <w:r w:rsidR="00D86699" w:rsidRPr="005F0CE8">
        <w:t>are</w:t>
      </w:r>
      <w:r w:rsidRPr="005F0CE8">
        <w:t xml:space="preserve"> currently no specific guidelines for the management of </w:t>
      </w:r>
      <w:r w:rsidR="009E092C" w:rsidRPr="009E092C">
        <w:rPr>
          <w:i/>
        </w:rPr>
        <w:t xml:space="preserve">BRCA </w:t>
      </w:r>
      <w:r w:rsidRPr="005F0CE8">
        <w:t>mutated, HER2-negative, high-risk</w:t>
      </w:r>
      <w:r w:rsidR="00434646" w:rsidRPr="005F0CE8">
        <w:t xml:space="preserve">, eBC patients after </w:t>
      </w:r>
      <w:r w:rsidR="00B9399E" w:rsidRPr="005F0CE8">
        <w:t>initial</w:t>
      </w:r>
      <w:r w:rsidR="00434646" w:rsidRPr="005F0CE8">
        <w:t xml:space="preserve"> therapy has been completed. As such, most patients undergo monitoring for disease recurrence. Hormone receptor positive patients will receive ongoing </w:t>
      </w:r>
      <w:r w:rsidR="00E30DB6" w:rsidRPr="005F0CE8">
        <w:t>ET</w:t>
      </w:r>
      <w:r w:rsidR="00434646" w:rsidRPr="005F0CE8">
        <w:t xml:space="preserve"> which can be combined with olaparib.</w:t>
      </w:r>
      <w:r w:rsidRPr="005F0CE8">
        <w:t xml:space="preserve"> </w:t>
      </w:r>
      <w:r w:rsidR="005B3B3F" w:rsidRPr="005F0CE8">
        <w:t>The ESC considered the nominated comparator was appropriate.</w:t>
      </w:r>
    </w:p>
    <w:p w14:paraId="3188E4FD" w14:textId="2ADAFB91" w:rsidR="002C2775" w:rsidRPr="005F0CE8" w:rsidRDefault="00434646" w:rsidP="00477BB3">
      <w:pPr>
        <w:pStyle w:val="3-BodyText"/>
      </w:pPr>
      <w:r w:rsidRPr="005F0CE8">
        <w:t>The</w:t>
      </w:r>
      <w:r w:rsidR="00A922D1" w:rsidRPr="005F0CE8">
        <w:t xml:space="preserve"> commentary noted there</w:t>
      </w:r>
      <w:r w:rsidRPr="005F0CE8">
        <w:t xml:space="preserve"> is evidence for the efficacy of capecitabine</w:t>
      </w:r>
      <w:r w:rsidR="003972CC" w:rsidRPr="005F0CE8">
        <w:rPr>
          <w:rStyle w:val="FootnoteReference"/>
        </w:rPr>
        <w:footnoteReference w:id="12"/>
      </w:r>
      <w:r w:rsidRPr="005F0CE8">
        <w:t xml:space="preserve"> and ab</w:t>
      </w:r>
      <w:r w:rsidR="008F7BCF" w:rsidRPr="005F0CE8">
        <w:t>e</w:t>
      </w:r>
      <w:r w:rsidRPr="005F0CE8">
        <w:t>maciclib</w:t>
      </w:r>
      <w:r w:rsidR="003972CC" w:rsidRPr="005F0CE8">
        <w:rPr>
          <w:rStyle w:val="FootnoteReference"/>
        </w:rPr>
        <w:footnoteReference w:id="13"/>
      </w:r>
      <w:r w:rsidRPr="005F0CE8">
        <w:t xml:space="preserve"> in </w:t>
      </w:r>
      <w:r w:rsidR="00D6541C">
        <w:t>high-risk</w:t>
      </w:r>
      <w:r w:rsidRPr="005F0CE8">
        <w:t xml:space="preserve"> </w:t>
      </w:r>
      <w:r w:rsidR="00D86699" w:rsidRPr="005F0CE8">
        <w:t xml:space="preserve">eBC </w:t>
      </w:r>
      <w:r w:rsidRPr="005F0CE8">
        <w:t xml:space="preserve">patients and </w:t>
      </w:r>
      <w:r w:rsidR="00A922D1" w:rsidRPr="005F0CE8">
        <w:t xml:space="preserve">raised these as </w:t>
      </w:r>
      <w:r w:rsidRPr="005F0CE8">
        <w:t xml:space="preserve">potential comparators. However, </w:t>
      </w:r>
      <w:r w:rsidR="00B9399E" w:rsidRPr="005F0CE8">
        <w:t xml:space="preserve">no trials have been carried out </w:t>
      </w:r>
      <w:r w:rsidR="00D86699" w:rsidRPr="005F0CE8">
        <w:t xml:space="preserve">specifically </w:t>
      </w:r>
      <w:r w:rsidR="00B9399E" w:rsidRPr="005F0CE8">
        <w:t xml:space="preserve">looking at these compounds in </w:t>
      </w:r>
      <w:r w:rsidR="004D1CA1">
        <w:t>HER2-negative</w:t>
      </w:r>
      <w:r w:rsidR="00B9399E" w:rsidRPr="005F0CE8">
        <w:t xml:space="preserve">, </w:t>
      </w:r>
      <w:r w:rsidR="009E092C" w:rsidRPr="009E092C">
        <w:rPr>
          <w:i/>
        </w:rPr>
        <w:t xml:space="preserve">BRCA </w:t>
      </w:r>
      <w:r w:rsidR="00B9399E" w:rsidRPr="005F0CE8">
        <w:t xml:space="preserve">mutated, eBC patients </w:t>
      </w:r>
      <w:r w:rsidRPr="005F0CE8">
        <w:t>and so an accurate comparison is not currently possible.</w:t>
      </w:r>
      <w:r w:rsidR="0014331A" w:rsidRPr="005F0CE8">
        <w:t xml:space="preserve"> </w:t>
      </w:r>
      <w:r w:rsidR="0018599A" w:rsidRPr="005F0CE8">
        <w:t>The PBAC noted that capecitabine is used in clinical practice</w:t>
      </w:r>
      <w:r w:rsidR="003752B9" w:rsidRPr="005F0CE8">
        <w:t xml:space="preserve"> for TNBC patients, however concomitant capecitabine was not allowed in the OlympiA trial</w:t>
      </w:r>
      <w:r w:rsidR="0018599A" w:rsidRPr="005F0CE8">
        <w:t>.</w:t>
      </w:r>
    </w:p>
    <w:p w14:paraId="48CFCC16" w14:textId="79506E56" w:rsidR="007D7991" w:rsidRPr="003A26A8" w:rsidRDefault="007D7991" w:rsidP="00477BB3">
      <w:pPr>
        <w:pStyle w:val="3-BodyText"/>
        <w:rPr>
          <w:i/>
        </w:rPr>
      </w:pPr>
      <w:bookmarkStart w:id="28" w:name="_Ref132213138"/>
      <w:r w:rsidRPr="005F0CE8">
        <w:t>T</w:t>
      </w:r>
      <w:r w:rsidR="007A73E4" w:rsidRPr="005F0CE8">
        <w:t>he PBAC consider</w:t>
      </w:r>
      <w:r w:rsidRPr="005F0CE8">
        <w:t>ed</w:t>
      </w:r>
      <w:r w:rsidR="007A73E4" w:rsidRPr="005F0CE8">
        <w:t xml:space="preserve"> </w:t>
      </w:r>
      <w:r w:rsidR="00FB755B" w:rsidRPr="005F0CE8">
        <w:t>two</w:t>
      </w:r>
      <w:r w:rsidR="007A73E4" w:rsidRPr="005F0CE8">
        <w:t xml:space="preserve"> other submissions for medicines in </w:t>
      </w:r>
      <w:r w:rsidR="00FB755B" w:rsidRPr="005F0CE8">
        <w:t xml:space="preserve">early </w:t>
      </w:r>
      <w:r w:rsidR="004F69A5" w:rsidRPr="005F0CE8">
        <w:t xml:space="preserve">breast cancer </w:t>
      </w:r>
      <w:r w:rsidR="007A73E4" w:rsidRPr="005F0CE8">
        <w:t xml:space="preserve">at the March 2023 meeting (one for abemaciclib and </w:t>
      </w:r>
      <w:r w:rsidR="00FB755B" w:rsidRPr="005F0CE8">
        <w:t>one</w:t>
      </w:r>
      <w:r w:rsidR="007A73E4" w:rsidRPr="005F0CE8">
        <w:t xml:space="preserve"> for pembrolizumab)</w:t>
      </w:r>
      <w:r w:rsidR="007A73E4" w:rsidRPr="005F0CE8">
        <w:rPr>
          <w:vertAlign w:val="superscript"/>
        </w:rPr>
        <w:footnoteReference w:id="14"/>
      </w:r>
      <w:r w:rsidR="007A73E4" w:rsidRPr="005F0CE8">
        <w:t xml:space="preserve">. </w:t>
      </w:r>
      <w:r w:rsidRPr="005F0CE8">
        <w:rPr>
          <w:iCs/>
        </w:rPr>
        <w:t>The PBAC considered there may be some overlap in patient populations of the medicines being considered for early breast cancer</w:t>
      </w:r>
      <w:r w:rsidR="007B0576" w:rsidRPr="005F0CE8">
        <w:rPr>
          <w:iCs/>
        </w:rPr>
        <w:t xml:space="preserve">, however this would be less relevant to </w:t>
      </w:r>
      <w:r w:rsidRPr="005F0CE8">
        <w:rPr>
          <w:iCs/>
        </w:rPr>
        <w:t xml:space="preserve">olaparib </w:t>
      </w:r>
      <w:r w:rsidR="007B0576" w:rsidRPr="005F0CE8">
        <w:rPr>
          <w:iCs/>
        </w:rPr>
        <w:t xml:space="preserve">because it would be the </w:t>
      </w:r>
      <w:r w:rsidRPr="005F0CE8">
        <w:rPr>
          <w:iCs/>
        </w:rPr>
        <w:t>preferred agent for g</w:t>
      </w:r>
      <w:r w:rsidR="009E092C" w:rsidRPr="009E092C">
        <w:rPr>
          <w:i/>
          <w:iCs/>
        </w:rPr>
        <w:t>BRCAm</w:t>
      </w:r>
      <w:r w:rsidRPr="005F0CE8">
        <w:rPr>
          <w:iCs/>
        </w:rPr>
        <w:t xml:space="preserve"> patients in eBC</w:t>
      </w:r>
      <w:r w:rsidR="007B0576" w:rsidRPr="005F0CE8">
        <w:rPr>
          <w:iCs/>
        </w:rPr>
        <w:t xml:space="preserve"> if PBS </w:t>
      </w:r>
      <w:r w:rsidR="007B0576" w:rsidRPr="003A26A8">
        <w:rPr>
          <w:iCs/>
        </w:rPr>
        <w:t>listed.</w:t>
      </w:r>
      <w:bookmarkEnd w:id="28"/>
    </w:p>
    <w:p w14:paraId="5CD4F836" w14:textId="6F85B61F" w:rsidR="007A73E4" w:rsidRPr="003A26A8" w:rsidRDefault="00DF3B54" w:rsidP="00477BB3">
      <w:pPr>
        <w:pStyle w:val="3-BodyText"/>
        <w:numPr>
          <w:ilvl w:val="0"/>
          <w:numId w:val="0"/>
        </w:numPr>
        <w:ind w:left="709"/>
        <w:rPr>
          <w:i/>
        </w:rPr>
      </w:pPr>
      <w:r w:rsidRPr="003A26A8">
        <w:rPr>
          <w:i/>
        </w:rPr>
        <w:t>For more detail on PBAC’s view, see section 7 PBAC outcome.</w:t>
      </w:r>
    </w:p>
    <w:p w14:paraId="4B98C8C6" w14:textId="77777777" w:rsidR="00223D5A" w:rsidRPr="005F0CE8" w:rsidRDefault="00223D5A" w:rsidP="00223D5A">
      <w:pPr>
        <w:pStyle w:val="2-SectionHeading"/>
        <w:numPr>
          <w:ilvl w:val="0"/>
          <w:numId w:val="1"/>
        </w:numPr>
      </w:pPr>
      <w:bookmarkStart w:id="29" w:name="_Toc124883279"/>
      <w:bookmarkStart w:id="30" w:name="_Toc22897640"/>
      <w:r w:rsidRPr="005F0CE8">
        <w:t>Consideration of the evidence</w:t>
      </w:r>
      <w:bookmarkEnd w:id="29"/>
    </w:p>
    <w:p w14:paraId="3E7CD3A3" w14:textId="77777777" w:rsidR="009B5832" w:rsidRPr="005F0CE8" w:rsidRDefault="009B5832" w:rsidP="008D3E8D">
      <w:pPr>
        <w:pStyle w:val="4-SubsectionHeading"/>
      </w:pPr>
      <w:bookmarkStart w:id="31" w:name="_Hlk76375935"/>
      <w:bookmarkStart w:id="32" w:name="_Toc124883280"/>
      <w:r w:rsidRPr="005F0CE8">
        <w:t>Sponsor hearing</w:t>
      </w:r>
    </w:p>
    <w:p w14:paraId="24E980E4" w14:textId="14B2C3B0" w:rsidR="009B5832" w:rsidRPr="005F0CE8" w:rsidRDefault="009B5832" w:rsidP="00477BB3">
      <w:pPr>
        <w:pStyle w:val="3-BodyText"/>
      </w:pPr>
      <w:r w:rsidRPr="005F0CE8">
        <w:t>There was no hearing for this item.</w:t>
      </w:r>
    </w:p>
    <w:p w14:paraId="4F7581AC" w14:textId="77777777" w:rsidR="009B5832" w:rsidRPr="005F0CE8" w:rsidRDefault="009B5832" w:rsidP="008D3E8D">
      <w:pPr>
        <w:pStyle w:val="4-SubsectionHeading"/>
      </w:pPr>
      <w:r w:rsidRPr="005F0CE8">
        <w:t>Consumer comments</w:t>
      </w:r>
    </w:p>
    <w:p w14:paraId="4207B73A" w14:textId="7D858850" w:rsidR="00085F5A" w:rsidRPr="005F0CE8" w:rsidRDefault="00085F5A" w:rsidP="00477BB3">
      <w:pPr>
        <w:pStyle w:val="3-BodyText"/>
      </w:pPr>
      <w:bookmarkStart w:id="33" w:name="_Hlk76382618"/>
      <w:r w:rsidRPr="005F0CE8">
        <w:t xml:space="preserve">The PBAC noted and welcomed the input from individuals (13), and organisations (5) via the Consumer Comments facility on the PBS website. The comments from individuals described a desire for olaparib to be made available and noted benefits including improved survival and quality of life, and ability to return to work. The </w:t>
      </w:r>
      <w:r w:rsidRPr="005F0CE8">
        <w:lastRenderedPageBreak/>
        <w:t xml:space="preserve">comments also noted the prohibitive cost of treatment if not subsidised, and highlighted the needs of patients with triple negative breast cancer, noting that no targeted treatments are available for this patient group currently. </w:t>
      </w:r>
    </w:p>
    <w:p w14:paraId="3D0D0F20" w14:textId="6D35A7A5" w:rsidR="00085F5A" w:rsidRPr="005F0CE8" w:rsidRDefault="00085F5A" w:rsidP="00477BB3">
      <w:pPr>
        <w:pStyle w:val="3-BodyText"/>
        <w:rPr>
          <w:bCs/>
        </w:rPr>
      </w:pPr>
      <w:r w:rsidRPr="005F0CE8">
        <w:t xml:space="preserve">The Medical Oncology Group of Australia (MOGA) expressed its strong support for the olaparib submission, categorising it as one of the therapies of </w:t>
      </w:r>
      <w:r w:rsidR="00DB2BE9">
        <w:t>‘</w:t>
      </w:r>
      <w:r w:rsidRPr="005F0CE8">
        <w:t>highest priority for PBS listing</w:t>
      </w:r>
      <w:r w:rsidR="00DB2BE9">
        <w:t>’</w:t>
      </w:r>
      <w:r w:rsidRPr="005F0CE8">
        <w:t xml:space="preserve"> on the basis of the OlympiA trial. The PBAC noted that the MOGA presented a European Society for Medical Oncology Magnitude of Clinical Benefit Scale (ESMO-MCBS) for olaparib, of A</w:t>
      </w:r>
      <w:r w:rsidRPr="005F0CE8">
        <w:rPr>
          <w:rStyle w:val="FootnoteReference"/>
        </w:rPr>
        <w:footnoteReference w:id="15"/>
      </w:r>
      <w:r w:rsidRPr="005F0CE8">
        <w:t>, which is the highest grade of the ESMO-MCBS in the curative setting, based on a comparison with placebo.</w:t>
      </w:r>
    </w:p>
    <w:p w14:paraId="390A1D69" w14:textId="06CB6F89" w:rsidR="00085F5A" w:rsidRPr="005F0CE8" w:rsidRDefault="00085F5A" w:rsidP="00477BB3">
      <w:pPr>
        <w:pStyle w:val="3-BodyText"/>
      </w:pPr>
      <w:r w:rsidRPr="005F0CE8">
        <w:t xml:space="preserve">The PBAC noted and welcomed input from Pink Hope in support of the olaparib listing. The PBAC noted the high clinical need for patients with </w:t>
      </w:r>
      <w:r w:rsidR="009E092C" w:rsidRPr="009E092C">
        <w:rPr>
          <w:i/>
        </w:rPr>
        <w:t xml:space="preserve">BRCA </w:t>
      </w:r>
      <w:r w:rsidRPr="005F0CE8">
        <w:t>mutations and the impact of the disease on patients including fear of recurrence and reduced survival. The comments also noted that there are known side effects of olaparib including nausea, fatigue, anaemia, vomiting, and headache which are common side effects of many cancer treatments and there is an option for prescribers to reduce the dose of olaparib if necessary due to side effects.</w:t>
      </w:r>
    </w:p>
    <w:p w14:paraId="70210161" w14:textId="3AB4EE49" w:rsidR="000C5118" w:rsidRPr="005F0CE8" w:rsidRDefault="00085F5A" w:rsidP="00477BB3">
      <w:pPr>
        <w:pStyle w:val="3-BodyText"/>
      </w:pPr>
      <w:r w:rsidRPr="005F0CE8">
        <w:t xml:space="preserve">The PBAC noted and welcomed input from Breast Cancer Network Australia (BCNA) which supported the proposed listing on the basis of the OlympiA trial. The letter described that patients with </w:t>
      </w:r>
      <w:r w:rsidR="009E092C" w:rsidRPr="000C5118">
        <w:rPr>
          <w:i/>
        </w:rPr>
        <w:t>BRCAm</w:t>
      </w:r>
      <w:r w:rsidRPr="005F0CE8">
        <w:t xml:space="preserve"> breast cancer have often had a devastating experience of breast cancer in their family, and that the proposed PBS listing would be of great benefit to these patients.</w:t>
      </w:r>
      <w:r w:rsidR="000C5118">
        <w:t xml:space="preserve"> </w:t>
      </w:r>
      <w:r w:rsidR="000C5118" w:rsidRPr="000C5118">
        <w:t>As well as improved survival they highlighted the psycho-social benefits from the addition of targeted treatment rather than watch and wait for this high risk group. Along with Pink Hope, BCNA noted that without public subsidy for both BRCA testing and PBS listing for the drug there would be inequitable access to treatment and the benefits would only be available to those who could self-fund.</w:t>
      </w:r>
    </w:p>
    <w:p w14:paraId="1ACCD10E" w14:textId="036DA7A0" w:rsidR="009B5832" w:rsidRPr="005F0CE8" w:rsidRDefault="00085F5A" w:rsidP="00477BB3">
      <w:pPr>
        <w:pStyle w:val="3-BodyText"/>
      </w:pPr>
      <w:r w:rsidRPr="005F0CE8">
        <w:t>The PBAC also noted and welcomed the input from Rare Cancers Australia which supported the proposed listing.</w:t>
      </w:r>
      <w:bookmarkEnd w:id="31"/>
      <w:bookmarkEnd w:id="33"/>
    </w:p>
    <w:p w14:paraId="3F5B30B1" w14:textId="09764F4C" w:rsidR="00B60939" w:rsidRPr="005F0CE8" w:rsidRDefault="00B60939" w:rsidP="002E4F02">
      <w:pPr>
        <w:pStyle w:val="4-SubsectionHeading"/>
      </w:pPr>
      <w:r w:rsidRPr="005F0CE8">
        <w:t>Clinical trials</w:t>
      </w:r>
      <w:bookmarkEnd w:id="30"/>
      <w:bookmarkEnd w:id="32"/>
    </w:p>
    <w:p w14:paraId="12D626BE" w14:textId="303CE6E5" w:rsidR="005D3216" w:rsidRPr="005F0CE8" w:rsidRDefault="00A73134" w:rsidP="00477BB3">
      <w:pPr>
        <w:pStyle w:val="3-BodyText"/>
        <w:rPr>
          <w:rStyle w:val="CommentReference"/>
          <w:rFonts w:asciiTheme="minorHAnsi" w:hAnsiTheme="minorHAnsi"/>
          <w:b w:val="0"/>
          <w:sz w:val="24"/>
          <w:szCs w:val="24"/>
        </w:rPr>
      </w:pPr>
      <w:r w:rsidRPr="005F0CE8">
        <w:rPr>
          <w:snapToGrid/>
        </w:rPr>
        <w:t xml:space="preserve">The submission </w:t>
      </w:r>
      <w:r w:rsidR="00D5243B" w:rsidRPr="005F0CE8">
        <w:rPr>
          <w:snapToGrid/>
        </w:rPr>
        <w:t>wa</w:t>
      </w:r>
      <w:r w:rsidRPr="005F0CE8">
        <w:rPr>
          <w:snapToGrid/>
        </w:rPr>
        <w:t xml:space="preserve">s based on one head-to-head trial comparing </w:t>
      </w:r>
      <w:r w:rsidR="00A16B63" w:rsidRPr="005F0CE8">
        <w:rPr>
          <w:snapToGrid/>
        </w:rPr>
        <w:t>olaparib</w:t>
      </w:r>
      <w:r w:rsidRPr="005F0CE8">
        <w:rPr>
          <w:snapToGrid/>
        </w:rPr>
        <w:t xml:space="preserve"> to </w:t>
      </w:r>
      <w:r w:rsidR="00A16B63" w:rsidRPr="005F0CE8">
        <w:rPr>
          <w:snapToGrid/>
        </w:rPr>
        <w:t>placebo</w:t>
      </w:r>
      <w:r w:rsidRPr="005F0CE8">
        <w:rPr>
          <w:snapToGrid/>
        </w:rPr>
        <w:t xml:space="preserve"> (n=</w:t>
      </w:r>
      <w:r w:rsidR="0082245A" w:rsidRPr="005F0CE8">
        <w:rPr>
          <w:snapToGrid/>
        </w:rPr>
        <w:t>1836</w:t>
      </w:r>
      <w:r w:rsidRPr="005F0CE8">
        <w:rPr>
          <w:snapToGrid/>
        </w:rPr>
        <w:t>)</w:t>
      </w:r>
      <w:r w:rsidR="00E317EF" w:rsidRPr="005F0CE8">
        <w:rPr>
          <w:snapToGrid/>
        </w:rPr>
        <w:t>,</w:t>
      </w:r>
      <w:r w:rsidRPr="005F0CE8">
        <w:rPr>
          <w:snapToGrid/>
        </w:rPr>
        <w:t xml:space="preserve"> </w:t>
      </w:r>
      <w:r w:rsidR="00E317EF" w:rsidRPr="005F0CE8">
        <w:rPr>
          <w:snapToGrid/>
        </w:rPr>
        <w:t>t</w:t>
      </w:r>
      <w:r w:rsidR="0082245A" w:rsidRPr="005F0CE8">
        <w:rPr>
          <w:snapToGrid/>
        </w:rPr>
        <w:t>he OlympiA trial</w:t>
      </w:r>
      <w:r w:rsidRPr="005F0CE8">
        <w:rPr>
          <w:snapToGrid/>
        </w:rPr>
        <w:t>.</w:t>
      </w:r>
      <w:r w:rsidR="00BC591F" w:rsidRPr="005F0CE8">
        <w:rPr>
          <w:color w:val="0066FF"/>
        </w:rPr>
        <w:t xml:space="preserve"> </w:t>
      </w:r>
      <w:r w:rsidRPr="005F0CE8">
        <w:rPr>
          <w:snapToGrid/>
        </w:rPr>
        <w:t>Details of th</w:t>
      </w:r>
      <w:r w:rsidR="00E317EF" w:rsidRPr="005F0CE8">
        <w:rPr>
          <w:snapToGrid/>
        </w:rPr>
        <w:t>is</w:t>
      </w:r>
      <w:r w:rsidRPr="005F0CE8">
        <w:rPr>
          <w:snapToGrid/>
        </w:rPr>
        <w:t xml:space="preserve"> trial </w:t>
      </w:r>
      <w:r w:rsidR="007B26BD" w:rsidRPr="005F0CE8">
        <w:rPr>
          <w:snapToGrid/>
        </w:rPr>
        <w:t>are</w:t>
      </w:r>
      <w:r w:rsidRPr="005F0CE8">
        <w:rPr>
          <w:snapToGrid/>
        </w:rPr>
        <w:t xml:space="preserve"> provided in</w:t>
      </w:r>
      <w:r w:rsidR="001A42BA" w:rsidRPr="005F0CE8">
        <w:rPr>
          <w:snapToGrid/>
        </w:rPr>
        <w:t xml:space="preserve"> </w:t>
      </w:r>
      <w:r w:rsidR="00AF1A80" w:rsidRPr="005F0CE8">
        <w:rPr>
          <w:snapToGrid/>
        </w:rPr>
        <w:fldChar w:fldCharType="begin"/>
      </w:r>
      <w:r w:rsidR="00AF1A80" w:rsidRPr="005F0CE8">
        <w:rPr>
          <w:snapToGrid/>
        </w:rPr>
        <w:instrText xml:space="preserve"> REF _Ref121011706 \h </w:instrText>
      </w:r>
      <w:r w:rsidR="00AF1A80" w:rsidRPr="005F0CE8">
        <w:rPr>
          <w:snapToGrid/>
        </w:rPr>
      </w:r>
      <w:r w:rsidR="00AF1A80" w:rsidRPr="005F0CE8">
        <w:rPr>
          <w:snapToGrid/>
        </w:rPr>
        <w:fldChar w:fldCharType="separate"/>
      </w:r>
      <w:r w:rsidR="00AB6006" w:rsidRPr="005F0CE8">
        <w:t xml:space="preserve">Table </w:t>
      </w:r>
      <w:r w:rsidR="00AB6006">
        <w:rPr>
          <w:noProof/>
        </w:rPr>
        <w:t>3</w:t>
      </w:r>
      <w:r w:rsidR="00AF1A80" w:rsidRPr="005F0CE8">
        <w:rPr>
          <w:snapToGrid/>
        </w:rPr>
        <w:fldChar w:fldCharType="end"/>
      </w:r>
      <w:r w:rsidRPr="005F0CE8">
        <w:rPr>
          <w:snapToGrid/>
        </w:rPr>
        <w:t>.</w:t>
      </w:r>
    </w:p>
    <w:p w14:paraId="22E90C5A" w14:textId="37A026B7" w:rsidR="00AF1A80" w:rsidRPr="005F0CE8" w:rsidRDefault="00AF1A80" w:rsidP="00AF1A80">
      <w:pPr>
        <w:pStyle w:val="Caption"/>
      </w:pPr>
      <w:bookmarkStart w:id="34" w:name="_Ref121011706"/>
      <w:r w:rsidRPr="005F0CE8">
        <w:lastRenderedPageBreak/>
        <w:t xml:space="preserve">Table </w:t>
      </w:r>
      <w:fldSimple w:instr=" SEQ Table \* ARABIC ">
        <w:r w:rsidR="00AB6006">
          <w:rPr>
            <w:noProof/>
          </w:rPr>
          <w:t>3</w:t>
        </w:r>
      </w:fldSimple>
      <w:bookmarkEnd w:id="34"/>
      <w:r w:rsidRPr="005F0CE8">
        <w:t>:</w:t>
      </w:r>
      <w:r w:rsidRPr="005F0CE8">
        <w:rPr>
          <w:rStyle w:val="CommentReference"/>
          <w:b/>
          <w:szCs w:val="24"/>
        </w:rPr>
        <w:t xml:space="preserve"> Trials and associated reports presented in the submission</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284"/>
        <w:gridCol w:w="3814"/>
        <w:gridCol w:w="3919"/>
      </w:tblGrid>
      <w:tr w:rsidR="00952271" w:rsidRPr="005F0CE8" w14:paraId="574181CF" w14:textId="77777777" w:rsidTr="00B509E7">
        <w:trPr>
          <w:cantSplit/>
          <w:tblHeader/>
        </w:trPr>
        <w:tc>
          <w:tcPr>
            <w:tcW w:w="0" w:type="auto"/>
            <w:tcBorders>
              <w:bottom w:val="single" w:sz="4" w:space="0" w:color="auto"/>
              <w:right w:val="single" w:sz="4" w:space="0" w:color="auto"/>
            </w:tcBorders>
            <w:vAlign w:val="center"/>
          </w:tcPr>
          <w:p w14:paraId="7971E128" w14:textId="77777777" w:rsidR="00952271" w:rsidRPr="005F0CE8" w:rsidRDefault="00952271" w:rsidP="00511145">
            <w:pPr>
              <w:pStyle w:val="In-tableHeading"/>
              <w:keepNext w:val="0"/>
              <w:widowControl w:val="0"/>
              <w:jc w:val="center"/>
              <w:rPr>
                <w:szCs w:val="20"/>
                <w:lang w:val="en-AU"/>
              </w:rPr>
            </w:pPr>
            <w:r w:rsidRPr="005F0CE8">
              <w:rPr>
                <w:szCs w:val="20"/>
                <w:lang w:val="en-AU"/>
              </w:rPr>
              <w:t>Trial ID</w:t>
            </w:r>
          </w:p>
        </w:tc>
        <w:tc>
          <w:tcPr>
            <w:tcW w:w="2115" w:type="pct"/>
            <w:tcBorders>
              <w:left w:val="single" w:sz="4" w:space="0" w:color="auto"/>
              <w:bottom w:val="single" w:sz="4" w:space="0" w:color="auto"/>
              <w:right w:val="single" w:sz="4" w:space="0" w:color="auto"/>
            </w:tcBorders>
            <w:vAlign w:val="center"/>
          </w:tcPr>
          <w:p w14:paraId="20D7BB83" w14:textId="77777777" w:rsidR="00952271" w:rsidRPr="005F0CE8" w:rsidRDefault="00952271" w:rsidP="00511145">
            <w:pPr>
              <w:pStyle w:val="In-tableHeading"/>
              <w:keepNext w:val="0"/>
              <w:widowControl w:val="0"/>
              <w:rPr>
                <w:szCs w:val="20"/>
                <w:lang w:val="en-AU"/>
              </w:rPr>
            </w:pPr>
            <w:r w:rsidRPr="005F0CE8">
              <w:rPr>
                <w:szCs w:val="20"/>
                <w:lang w:val="en-AU"/>
              </w:rPr>
              <w:t>Protocol title/ Publication title</w:t>
            </w:r>
          </w:p>
        </w:tc>
        <w:tc>
          <w:tcPr>
            <w:tcW w:w="2173" w:type="pct"/>
            <w:tcBorders>
              <w:left w:val="single" w:sz="4" w:space="0" w:color="auto"/>
              <w:bottom w:val="single" w:sz="4" w:space="0" w:color="auto"/>
            </w:tcBorders>
            <w:vAlign w:val="center"/>
          </w:tcPr>
          <w:p w14:paraId="0F414D5C" w14:textId="77777777" w:rsidR="00952271" w:rsidRPr="005F0CE8" w:rsidRDefault="00952271" w:rsidP="00511145">
            <w:pPr>
              <w:pStyle w:val="In-tableHeading"/>
              <w:keepNext w:val="0"/>
              <w:widowControl w:val="0"/>
              <w:rPr>
                <w:szCs w:val="20"/>
                <w:lang w:val="en-AU"/>
              </w:rPr>
            </w:pPr>
            <w:r w:rsidRPr="005F0CE8">
              <w:rPr>
                <w:szCs w:val="20"/>
                <w:lang w:val="en-AU"/>
              </w:rPr>
              <w:t>Publication citation</w:t>
            </w:r>
          </w:p>
        </w:tc>
      </w:tr>
      <w:tr w:rsidR="00952271" w:rsidRPr="005F0CE8" w14:paraId="3762910F" w14:textId="77777777" w:rsidTr="00B509E7">
        <w:trPr>
          <w:cantSplit/>
        </w:trPr>
        <w:tc>
          <w:tcPr>
            <w:tcW w:w="0" w:type="auto"/>
            <w:tcBorders>
              <w:top w:val="single" w:sz="4" w:space="0" w:color="auto"/>
              <w:right w:val="single" w:sz="4" w:space="0" w:color="auto"/>
            </w:tcBorders>
            <w:vAlign w:val="center"/>
          </w:tcPr>
          <w:p w14:paraId="373D3532" w14:textId="77777777" w:rsidR="00952271" w:rsidRPr="005F0CE8" w:rsidRDefault="00952271" w:rsidP="00952271">
            <w:pPr>
              <w:rPr>
                <w:rFonts w:ascii="Arial Narrow" w:hAnsi="Arial Narrow"/>
                <w:sz w:val="20"/>
                <w:szCs w:val="20"/>
              </w:rPr>
            </w:pPr>
            <w:r w:rsidRPr="005F0CE8">
              <w:rPr>
                <w:rFonts w:ascii="Arial Narrow" w:hAnsi="Arial Narrow"/>
                <w:sz w:val="20"/>
                <w:szCs w:val="20"/>
              </w:rPr>
              <w:t>OlympiA</w:t>
            </w:r>
          </w:p>
          <w:p w14:paraId="071DD5AB" w14:textId="422E9016" w:rsidR="00952271" w:rsidRPr="005F0CE8" w:rsidRDefault="00952271" w:rsidP="00952271">
            <w:pPr>
              <w:rPr>
                <w:rFonts w:ascii="Arial Narrow" w:hAnsi="Arial Narrow"/>
                <w:sz w:val="20"/>
                <w:szCs w:val="20"/>
              </w:rPr>
            </w:pPr>
            <w:r w:rsidRPr="005F0CE8">
              <w:rPr>
                <w:rFonts w:ascii="Arial Narrow" w:hAnsi="Arial Narrow"/>
                <w:sz w:val="20"/>
                <w:szCs w:val="20"/>
              </w:rPr>
              <w:t>NCT02032823</w:t>
            </w:r>
          </w:p>
        </w:tc>
        <w:tc>
          <w:tcPr>
            <w:tcW w:w="2115" w:type="pct"/>
            <w:tcBorders>
              <w:top w:val="single" w:sz="4" w:space="0" w:color="auto"/>
              <w:left w:val="single" w:sz="4" w:space="0" w:color="auto"/>
              <w:right w:val="single" w:sz="4" w:space="0" w:color="auto"/>
            </w:tcBorders>
            <w:vAlign w:val="center"/>
          </w:tcPr>
          <w:p w14:paraId="1E9AB114" w14:textId="07DCE759" w:rsidR="00952271" w:rsidRPr="005F0CE8" w:rsidRDefault="00952271" w:rsidP="00511145">
            <w:pPr>
              <w:rPr>
                <w:rFonts w:ascii="Arial Narrow" w:hAnsi="Arial Narrow"/>
                <w:sz w:val="20"/>
                <w:szCs w:val="20"/>
              </w:rPr>
            </w:pPr>
            <w:r w:rsidRPr="005F0CE8">
              <w:rPr>
                <w:rFonts w:ascii="Arial Narrow" w:hAnsi="Arial Narrow"/>
                <w:sz w:val="20"/>
                <w:szCs w:val="20"/>
              </w:rPr>
              <w:t xml:space="preserve">A randomised, double-blind, parallel group, placebo-controlled multicentre Phase III study to assess the efficacy and safety of olaparib versus placebo as adjuvant treatment in patients with germline </w:t>
            </w:r>
            <w:r w:rsidR="009E092C" w:rsidRPr="009E092C">
              <w:rPr>
                <w:rFonts w:ascii="Arial Narrow" w:hAnsi="Arial Narrow"/>
                <w:i/>
                <w:sz w:val="20"/>
                <w:szCs w:val="20"/>
              </w:rPr>
              <w:t>BRCA1/2</w:t>
            </w:r>
            <w:r w:rsidRPr="005F0CE8">
              <w:rPr>
                <w:rFonts w:ascii="Arial Narrow" w:hAnsi="Arial Narrow"/>
                <w:sz w:val="20"/>
                <w:szCs w:val="20"/>
              </w:rPr>
              <w:t xml:space="preserve"> mutations and high-risk HER2 negative primary breast cancer who have completed definitive local treatment and neoadjuvant or adjuvant chemotherapy.</w:t>
            </w:r>
          </w:p>
          <w:p w14:paraId="2F880955" w14:textId="77777777" w:rsidR="00952271" w:rsidRPr="005F0CE8" w:rsidRDefault="00952271" w:rsidP="00511145">
            <w:pPr>
              <w:rPr>
                <w:rFonts w:ascii="Arial Narrow" w:hAnsi="Arial Narrow"/>
                <w:sz w:val="20"/>
                <w:szCs w:val="20"/>
              </w:rPr>
            </w:pPr>
          </w:p>
        </w:tc>
        <w:tc>
          <w:tcPr>
            <w:tcW w:w="2173" w:type="pct"/>
            <w:tcBorders>
              <w:top w:val="single" w:sz="4" w:space="0" w:color="auto"/>
              <w:left w:val="single" w:sz="4" w:space="0" w:color="auto"/>
            </w:tcBorders>
            <w:vAlign w:val="center"/>
          </w:tcPr>
          <w:p w14:paraId="10DADD25" w14:textId="77777777" w:rsidR="00952271" w:rsidRPr="005F0CE8" w:rsidRDefault="00952271" w:rsidP="00511145">
            <w:pPr>
              <w:rPr>
                <w:rFonts w:ascii="Arial Narrow" w:hAnsi="Arial Narrow"/>
                <w:sz w:val="20"/>
                <w:szCs w:val="20"/>
              </w:rPr>
            </w:pPr>
            <w:r w:rsidRPr="005F0CE8">
              <w:rPr>
                <w:rFonts w:ascii="Arial Narrow" w:hAnsi="Arial Narrow"/>
                <w:sz w:val="20"/>
                <w:szCs w:val="20"/>
              </w:rPr>
              <w:t>Interim Clinical Study Report. 12 July 2021</w:t>
            </w:r>
          </w:p>
        </w:tc>
      </w:tr>
      <w:tr w:rsidR="00952271" w:rsidRPr="005F0CE8" w14:paraId="2BDBE80B" w14:textId="77777777" w:rsidTr="00B509E7">
        <w:trPr>
          <w:cantSplit/>
        </w:trPr>
        <w:tc>
          <w:tcPr>
            <w:tcW w:w="0" w:type="auto"/>
            <w:tcBorders>
              <w:right w:val="single" w:sz="4" w:space="0" w:color="auto"/>
            </w:tcBorders>
            <w:vAlign w:val="center"/>
          </w:tcPr>
          <w:p w14:paraId="5B63C444" w14:textId="77777777" w:rsidR="00952271" w:rsidRPr="005F0CE8" w:rsidRDefault="00952271" w:rsidP="00511145">
            <w:pPr>
              <w:rPr>
                <w:rFonts w:ascii="Arial Narrow" w:hAnsi="Arial Narrow"/>
                <w:sz w:val="20"/>
                <w:szCs w:val="20"/>
              </w:rPr>
            </w:pPr>
          </w:p>
        </w:tc>
        <w:tc>
          <w:tcPr>
            <w:tcW w:w="2115" w:type="pct"/>
            <w:tcBorders>
              <w:left w:val="single" w:sz="4" w:space="0" w:color="auto"/>
              <w:right w:val="single" w:sz="4" w:space="0" w:color="auto"/>
            </w:tcBorders>
            <w:vAlign w:val="center"/>
          </w:tcPr>
          <w:p w14:paraId="1D6D3A0D" w14:textId="77777777" w:rsidR="00952271" w:rsidRPr="005F0CE8" w:rsidRDefault="00952271" w:rsidP="00511145">
            <w:pPr>
              <w:jc w:val="center"/>
              <w:rPr>
                <w:rFonts w:ascii="Arial Narrow" w:hAnsi="Arial Narrow"/>
                <w:sz w:val="20"/>
                <w:szCs w:val="20"/>
              </w:rPr>
            </w:pPr>
          </w:p>
          <w:p w14:paraId="0258B3EE" w14:textId="15478397" w:rsidR="00952271" w:rsidRPr="005F0CE8" w:rsidRDefault="00952271" w:rsidP="00511145">
            <w:pPr>
              <w:jc w:val="left"/>
              <w:rPr>
                <w:rFonts w:ascii="Arial Narrow" w:hAnsi="Arial Narrow"/>
                <w:sz w:val="20"/>
                <w:szCs w:val="20"/>
              </w:rPr>
            </w:pPr>
            <w:r w:rsidRPr="005F0CE8">
              <w:rPr>
                <w:rFonts w:ascii="Arial Narrow" w:hAnsi="Arial Narrow"/>
                <w:sz w:val="20"/>
                <w:szCs w:val="20"/>
              </w:rPr>
              <w:t xml:space="preserve">Olaparib as Adjuvant Treatment in Patients With Germline </w:t>
            </w:r>
            <w:r w:rsidR="009E092C" w:rsidRPr="009E092C">
              <w:rPr>
                <w:rFonts w:ascii="Arial Narrow" w:hAnsi="Arial Narrow"/>
                <w:i/>
                <w:sz w:val="20"/>
                <w:szCs w:val="20"/>
              </w:rPr>
              <w:t xml:space="preserve">BRCA </w:t>
            </w:r>
            <w:r w:rsidRPr="005F0CE8">
              <w:rPr>
                <w:rFonts w:ascii="Arial Narrow" w:hAnsi="Arial Narrow"/>
                <w:sz w:val="20"/>
                <w:szCs w:val="20"/>
              </w:rPr>
              <w:t>Mutated High-Risk HER2 Negative Primary Breast Cancer. 2014</w:t>
            </w:r>
          </w:p>
        </w:tc>
        <w:tc>
          <w:tcPr>
            <w:tcW w:w="2173" w:type="pct"/>
            <w:tcBorders>
              <w:left w:val="single" w:sz="4" w:space="0" w:color="auto"/>
            </w:tcBorders>
            <w:vAlign w:val="center"/>
          </w:tcPr>
          <w:p w14:paraId="1FFB7593" w14:textId="77777777" w:rsidR="00952271" w:rsidRPr="005F0CE8" w:rsidRDefault="00952271" w:rsidP="00511145">
            <w:pPr>
              <w:rPr>
                <w:rFonts w:ascii="Arial Narrow" w:hAnsi="Arial Narrow"/>
                <w:sz w:val="20"/>
                <w:szCs w:val="20"/>
              </w:rPr>
            </w:pPr>
            <w:r w:rsidRPr="005F0CE8">
              <w:rPr>
                <w:rFonts w:ascii="Arial Narrow" w:hAnsi="Arial Narrow"/>
                <w:sz w:val="20"/>
                <w:szCs w:val="20"/>
              </w:rPr>
              <w:t>https://clinicaltrials.gov/ct2/show/NCT02032823</w:t>
            </w:r>
          </w:p>
          <w:p w14:paraId="0CDA4028" w14:textId="77777777" w:rsidR="00952271" w:rsidRPr="005F0CE8" w:rsidRDefault="00952271" w:rsidP="00511145">
            <w:pPr>
              <w:ind w:firstLine="720"/>
              <w:rPr>
                <w:rFonts w:ascii="Arial Narrow" w:hAnsi="Arial Narrow"/>
                <w:sz w:val="20"/>
                <w:szCs w:val="20"/>
              </w:rPr>
            </w:pPr>
          </w:p>
        </w:tc>
      </w:tr>
      <w:tr w:rsidR="00952271" w:rsidRPr="005F0CE8" w14:paraId="5FF2962B" w14:textId="77777777" w:rsidTr="00B509E7">
        <w:trPr>
          <w:cantSplit/>
        </w:trPr>
        <w:tc>
          <w:tcPr>
            <w:tcW w:w="0" w:type="auto"/>
            <w:tcBorders>
              <w:right w:val="single" w:sz="4" w:space="0" w:color="auto"/>
            </w:tcBorders>
            <w:vAlign w:val="center"/>
          </w:tcPr>
          <w:p w14:paraId="2E61B99A" w14:textId="77777777" w:rsidR="00952271" w:rsidRPr="005F0CE8" w:rsidRDefault="00952271" w:rsidP="00511145">
            <w:pPr>
              <w:rPr>
                <w:rFonts w:ascii="Arial Narrow" w:hAnsi="Arial Narrow"/>
                <w:sz w:val="20"/>
                <w:szCs w:val="20"/>
              </w:rPr>
            </w:pPr>
          </w:p>
        </w:tc>
        <w:tc>
          <w:tcPr>
            <w:tcW w:w="2115" w:type="pct"/>
            <w:tcBorders>
              <w:left w:val="single" w:sz="4" w:space="0" w:color="auto"/>
              <w:right w:val="single" w:sz="4" w:space="0" w:color="auto"/>
            </w:tcBorders>
            <w:vAlign w:val="center"/>
          </w:tcPr>
          <w:p w14:paraId="761A06FC" w14:textId="77777777" w:rsidR="00952271" w:rsidRPr="005F0CE8" w:rsidRDefault="00952271" w:rsidP="00511145">
            <w:pPr>
              <w:rPr>
                <w:rFonts w:ascii="Arial Narrow" w:hAnsi="Arial Narrow"/>
                <w:sz w:val="20"/>
                <w:szCs w:val="20"/>
              </w:rPr>
            </w:pPr>
          </w:p>
          <w:p w14:paraId="5F8ADAAB" w14:textId="778DFC25" w:rsidR="00952271" w:rsidRPr="005F0CE8" w:rsidRDefault="00952271" w:rsidP="00511145">
            <w:pPr>
              <w:rPr>
                <w:rFonts w:ascii="Arial Narrow" w:hAnsi="Arial Narrow"/>
                <w:sz w:val="20"/>
                <w:szCs w:val="20"/>
              </w:rPr>
            </w:pPr>
            <w:r w:rsidRPr="005F0CE8">
              <w:rPr>
                <w:rFonts w:ascii="Arial Narrow" w:hAnsi="Arial Narrow"/>
                <w:sz w:val="20"/>
                <w:szCs w:val="20"/>
              </w:rPr>
              <w:t xml:space="preserve">Anonymous. Adjuvant Olaparib Improves Disease-Free Survival in Early, High-Risk, </w:t>
            </w:r>
            <w:r w:rsidR="009E092C" w:rsidRPr="009E092C">
              <w:rPr>
                <w:rFonts w:ascii="Arial Narrow" w:hAnsi="Arial Narrow"/>
                <w:i/>
                <w:sz w:val="20"/>
                <w:szCs w:val="20"/>
              </w:rPr>
              <w:t xml:space="preserve">BRCA </w:t>
            </w:r>
            <w:r w:rsidRPr="005F0CE8">
              <w:rPr>
                <w:rFonts w:ascii="Arial Narrow" w:hAnsi="Arial Narrow"/>
                <w:sz w:val="20"/>
                <w:szCs w:val="20"/>
              </w:rPr>
              <w:t>Mutated, HER2- Breast Cancer.</w:t>
            </w:r>
          </w:p>
        </w:tc>
        <w:tc>
          <w:tcPr>
            <w:tcW w:w="2173" w:type="pct"/>
            <w:tcBorders>
              <w:left w:val="single" w:sz="4" w:space="0" w:color="auto"/>
            </w:tcBorders>
            <w:vAlign w:val="center"/>
          </w:tcPr>
          <w:p w14:paraId="6CF3CC54" w14:textId="77777777" w:rsidR="00952271" w:rsidRPr="005F0CE8" w:rsidRDefault="00952271" w:rsidP="00511145">
            <w:pPr>
              <w:rPr>
                <w:rFonts w:ascii="Arial Narrow" w:hAnsi="Arial Narrow"/>
                <w:sz w:val="20"/>
                <w:szCs w:val="20"/>
              </w:rPr>
            </w:pPr>
            <w:r w:rsidRPr="005F0CE8">
              <w:rPr>
                <w:rFonts w:ascii="Arial Narrow" w:hAnsi="Arial Narrow"/>
                <w:sz w:val="20"/>
                <w:szCs w:val="20"/>
              </w:rPr>
              <w:t>Oncologist. 2021;26 Suppl 3:S3-S4</w:t>
            </w:r>
          </w:p>
        </w:tc>
      </w:tr>
      <w:tr w:rsidR="00952271" w:rsidRPr="005F0CE8" w14:paraId="46F77884" w14:textId="77777777" w:rsidTr="00B509E7">
        <w:trPr>
          <w:cantSplit/>
        </w:trPr>
        <w:tc>
          <w:tcPr>
            <w:tcW w:w="0" w:type="auto"/>
            <w:tcBorders>
              <w:right w:val="single" w:sz="4" w:space="0" w:color="auto"/>
            </w:tcBorders>
            <w:vAlign w:val="center"/>
          </w:tcPr>
          <w:p w14:paraId="403266C4" w14:textId="77777777" w:rsidR="00DC04BB" w:rsidRPr="005F0CE8" w:rsidRDefault="00DC04BB" w:rsidP="00DC04BB">
            <w:pPr>
              <w:rPr>
                <w:rFonts w:ascii="Arial Narrow" w:hAnsi="Arial Narrow"/>
                <w:sz w:val="20"/>
                <w:szCs w:val="20"/>
              </w:rPr>
            </w:pPr>
            <w:r w:rsidRPr="005F0CE8">
              <w:rPr>
                <w:rFonts w:ascii="Arial Narrow" w:hAnsi="Arial Narrow"/>
                <w:sz w:val="20"/>
                <w:szCs w:val="20"/>
              </w:rPr>
              <w:t>OlympiA</w:t>
            </w:r>
          </w:p>
          <w:p w14:paraId="7877DFEF" w14:textId="689D5234" w:rsidR="00952271" w:rsidRPr="005F0CE8" w:rsidRDefault="00DC04BB" w:rsidP="00DC04BB">
            <w:pPr>
              <w:rPr>
                <w:rFonts w:ascii="Arial Narrow" w:hAnsi="Arial Narrow"/>
                <w:sz w:val="20"/>
                <w:szCs w:val="20"/>
              </w:rPr>
            </w:pPr>
            <w:r w:rsidRPr="005F0CE8">
              <w:rPr>
                <w:rFonts w:ascii="Arial Narrow" w:hAnsi="Arial Narrow"/>
                <w:sz w:val="20"/>
                <w:szCs w:val="20"/>
              </w:rPr>
              <w:t>NCT02032823</w:t>
            </w:r>
          </w:p>
        </w:tc>
        <w:tc>
          <w:tcPr>
            <w:tcW w:w="2115" w:type="pct"/>
            <w:tcBorders>
              <w:left w:val="single" w:sz="4" w:space="0" w:color="auto"/>
              <w:right w:val="single" w:sz="4" w:space="0" w:color="auto"/>
            </w:tcBorders>
            <w:vAlign w:val="center"/>
          </w:tcPr>
          <w:p w14:paraId="29D6DEBE" w14:textId="77777777" w:rsidR="00952271" w:rsidRPr="005F0CE8" w:rsidRDefault="00952271" w:rsidP="00511145">
            <w:pPr>
              <w:rPr>
                <w:rFonts w:ascii="Arial Narrow" w:hAnsi="Arial Narrow"/>
                <w:sz w:val="20"/>
                <w:szCs w:val="20"/>
              </w:rPr>
            </w:pPr>
          </w:p>
          <w:p w14:paraId="332BEFDF" w14:textId="6C1344F5" w:rsidR="00952271" w:rsidRPr="005F0CE8" w:rsidRDefault="00952271" w:rsidP="00511145">
            <w:pPr>
              <w:rPr>
                <w:rFonts w:ascii="Arial Narrow" w:hAnsi="Arial Narrow"/>
                <w:sz w:val="20"/>
                <w:szCs w:val="20"/>
              </w:rPr>
            </w:pPr>
            <w:r w:rsidRPr="005F0CE8">
              <w:rPr>
                <w:rFonts w:ascii="Arial Narrow" w:hAnsi="Arial Narrow"/>
                <w:sz w:val="20"/>
                <w:szCs w:val="20"/>
              </w:rPr>
              <w:t xml:space="preserve">A. N. James Tutt, B. Kaufman, R. D. Gelber, E. Mc Fadden, C. D. Goessl, G. Viale, A. Arahmani, D. Fumagalli, H. A. Azim, W. Wu, A. Grocholewicz, J. P. Costantino, P. Rastogi, J. E. Garber and C. E. Geyer. OlympiA: A randomised phase III trial of olaparib as adjuvant therapy in patients with high-risk HER2-negative breast cancer (BC) and a germline </w:t>
            </w:r>
            <w:r w:rsidR="009E092C" w:rsidRPr="009E092C">
              <w:rPr>
                <w:rFonts w:ascii="Arial Narrow" w:hAnsi="Arial Narrow"/>
                <w:i/>
                <w:sz w:val="20"/>
                <w:szCs w:val="20"/>
              </w:rPr>
              <w:t>BRCA1/2</w:t>
            </w:r>
            <w:r w:rsidRPr="005F0CE8">
              <w:rPr>
                <w:rFonts w:ascii="Arial Narrow" w:hAnsi="Arial Narrow"/>
                <w:sz w:val="20"/>
                <w:szCs w:val="20"/>
              </w:rPr>
              <w:t xml:space="preserve"> mutation (g</w:t>
            </w:r>
            <w:r w:rsidR="009E092C" w:rsidRPr="009E092C">
              <w:rPr>
                <w:rFonts w:ascii="Arial Narrow" w:hAnsi="Arial Narrow"/>
                <w:i/>
                <w:sz w:val="20"/>
                <w:szCs w:val="20"/>
              </w:rPr>
              <w:t>BRCAm</w:t>
            </w:r>
            <w:r w:rsidRPr="005F0CE8">
              <w:rPr>
                <w:rFonts w:ascii="Arial Narrow" w:hAnsi="Arial Narrow"/>
                <w:sz w:val="20"/>
                <w:szCs w:val="20"/>
              </w:rPr>
              <w:t>).</w:t>
            </w:r>
          </w:p>
        </w:tc>
        <w:tc>
          <w:tcPr>
            <w:tcW w:w="2173" w:type="pct"/>
            <w:tcBorders>
              <w:left w:val="single" w:sz="4" w:space="0" w:color="auto"/>
            </w:tcBorders>
            <w:vAlign w:val="center"/>
          </w:tcPr>
          <w:p w14:paraId="379E177A" w14:textId="77777777" w:rsidR="00952271" w:rsidRPr="005F0CE8" w:rsidRDefault="00952271" w:rsidP="00511145">
            <w:pPr>
              <w:rPr>
                <w:rFonts w:ascii="Arial Narrow" w:hAnsi="Arial Narrow"/>
                <w:sz w:val="20"/>
                <w:szCs w:val="20"/>
              </w:rPr>
            </w:pPr>
            <w:r w:rsidRPr="005F0CE8">
              <w:rPr>
                <w:rFonts w:ascii="Arial Narrow" w:hAnsi="Arial Narrow"/>
                <w:sz w:val="20"/>
                <w:szCs w:val="20"/>
              </w:rPr>
              <w:t>Journal of Clinical Oncology. Conference. 2015;33(15 SUPPL. 1)</w:t>
            </w:r>
          </w:p>
        </w:tc>
      </w:tr>
      <w:tr w:rsidR="00952271" w:rsidRPr="005F0CE8" w14:paraId="12F607AD" w14:textId="77777777" w:rsidTr="00B509E7">
        <w:trPr>
          <w:cantSplit/>
        </w:trPr>
        <w:tc>
          <w:tcPr>
            <w:tcW w:w="0" w:type="auto"/>
            <w:tcBorders>
              <w:right w:val="single" w:sz="4" w:space="0" w:color="auto"/>
            </w:tcBorders>
            <w:vAlign w:val="center"/>
          </w:tcPr>
          <w:p w14:paraId="3F1671D8" w14:textId="47603CEF" w:rsidR="00952271" w:rsidRPr="005F0CE8" w:rsidRDefault="00952271" w:rsidP="00511145">
            <w:pPr>
              <w:rPr>
                <w:rFonts w:ascii="Arial Narrow" w:hAnsi="Arial Narrow"/>
                <w:sz w:val="20"/>
                <w:szCs w:val="20"/>
              </w:rPr>
            </w:pPr>
          </w:p>
        </w:tc>
        <w:tc>
          <w:tcPr>
            <w:tcW w:w="2115" w:type="pct"/>
            <w:tcBorders>
              <w:left w:val="single" w:sz="4" w:space="0" w:color="auto"/>
              <w:right w:val="single" w:sz="4" w:space="0" w:color="auto"/>
            </w:tcBorders>
            <w:vAlign w:val="center"/>
          </w:tcPr>
          <w:p w14:paraId="5B1A48D4" w14:textId="77777777" w:rsidR="00952271" w:rsidRPr="005F0CE8" w:rsidRDefault="00952271" w:rsidP="00511145">
            <w:pPr>
              <w:rPr>
                <w:rFonts w:ascii="Arial Narrow" w:hAnsi="Arial Narrow"/>
                <w:sz w:val="20"/>
                <w:szCs w:val="20"/>
              </w:rPr>
            </w:pPr>
          </w:p>
          <w:p w14:paraId="1A68D34C" w14:textId="29FF4BE7" w:rsidR="00952271" w:rsidRPr="005F0CE8" w:rsidRDefault="00952271" w:rsidP="00511145">
            <w:pPr>
              <w:jc w:val="left"/>
              <w:rPr>
                <w:rFonts w:ascii="Arial Narrow" w:hAnsi="Arial Narrow"/>
                <w:sz w:val="20"/>
                <w:szCs w:val="20"/>
              </w:rPr>
            </w:pPr>
            <w:r w:rsidRPr="005F0CE8">
              <w:rPr>
                <w:rFonts w:ascii="Arial Narrow" w:hAnsi="Arial Narrow"/>
                <w:sz w:val="20"/>
                <w:szCs w:val="20"/>
              </w:rPr>
              <w:t xml:space="preserve">A. Tutt, J. E. Garber, B. Kaufman, G. Viale, D. Fumagalli, P. Rastogi, R. D. Gelber, E. De Azambuja, A. Fielding, J. B. Gelpi, K. A. Gelmon, N. Baker, A. Arahmani, E. Senkus-Konefka, E. Mc Fadden, V. Karantza, S. R. Lakhani, G. Yothers, C. Campbell and C. E. Geyer. OlympiA: A phase III, multicentre, randomised, placebo-controlled trial of adjuvant olaparib after (Neo)adjuvant chemotherapy in patients with germline </w:t>
            </w:r>
            <w:r w:rsidR="009E092C" w:rsidRPr="009E092C">
              <w:rPr>
                <w:rFonts w:ascii="Arial Narrow" w:hAnsi="Arial Narrow"/>
                <w:i/>
                <w:sz w:val="20"/>
                <w:szCs w:val="20"/>
              </w:rPr>
              <w:t>BRCA1/2</w:t>
            </w:r>
            <w:r w:rsidRPr="005F0CE8">
              <w:rPr>
                <w:rFonts w:ascii="Arial Narrow" w:hAnsi="Arial Narrow"/>
                <w:sz w:val="20"/>
                <w:szCs w:val="20"/>
              </w:rPr>
              <w:t xml:space="preserve"> mutations and high-risk HER2-negative early breast cancer.</w:t>
            </w:r>
          </w:p>
        </w:tc>
        <w:tc>
          <w:tcPr>
            <w:tcW w:w="2173" w:type="pct"/>
            <w:tcBorders>
              <w:left w:val="single" w:sz="4" w:space="0" w:color="auto"/>
            </w:tcBorders>
            <w:vAlign w:val="center"/>
          </w:tcPr>
          <w:p w14:paraId="427EBBC3" w14:textId="77777777" w:rsidR="00952271" w:rsidRPr="005F0CE8" w:rsidRDefault="00952271" w:rsidP="00511145">
            <w:pPr>
              <w:rPr>
                <w:rFonts w:ascii="Arial Narrow" w:hAnsi="Arial Narrow"/>
                <w:sz w:val="20"/>
                <w:szCs w:val="20"/>
              </w:rPr>
            </w:pPr>
            <w:r w:rsidRPr="005F0CE8">
              <w:rPr>
                <w:rFonts w:ascii="Arial Narrow" w:hAnsi="Arial Narrow"/>
                <w:sz w:val="20"/>
                <w:szCs w:val="20"/>
              </w:rPr>
              <w:t>Journal of Clinical Oncology. Conference: American Society of Clinical Oncology Annual Meeting, ASCO. 2021;39(18 SUPPL)</w:t>
            </w:r>
          </w:p>
        </w:tc>
      </w:tr>
      <w:tr w:rsidR="00952271" w:rsidRPr="005F0CE8" w14:paraId="069033AF" w14:textId="77777777" w:rsidTr="00B509E7">
        <w:trPr>
          <w:cantSplit/>
        </w:trPr>
        <w:tc>
          <w:tcPr>
            <w:tcW w:w="0" w:type="auto"/>
            <w:tcBorders>
              <w:right w:val="single" w:sz="4" w:space="0" w:color="auto"/>
            </w:tcBorders>
            <w:vAlign w:val="center"/>
          </w:tcPr>
          <w:p w14:paraId="0391378A" w14:textId="77777777" w:rsidR="00952271" w:rsidRPr="005F0CE8" w:rsidRDefault="00952271" w:rsidP="00511145">
            <w:pPr>
              <w:rPr>
                <w:rFonts w:ascii="Arial Narrow" w:hAnsi="Arial Narrow"/>
                <w:sz w:val="20"/>
                <w:szCs w:val="20"/>
              </w:rPr>
            </w:pPr>
          </w:p>
        </w:tc>
        <w:tc>
          <w:tcPr>
            <w:tcW w:w="2115" w:type="pct"/>
            <w:tcBorders>
              <w:left w:val="single" w:sz="4" w:space="0" w:color="auto"/>
              <w:right w:val="single" w:sz="4" w:space="0" w:color="auto"/>
            </w:tcBorders>
            <w:vAlign w:val="center"/>
          </w:tcPr>
          <w:p w14:paraId="750C6BBE" w14:textId="77777777" w:rsidR="00952271" w:rsidRPr="005F0CE8" w:rsidRDefault="00952271" w:rsidP="00511145">
            <w:pPr>
              <w:rPr>
                <w:rFonts w:ascii="Arial Narrow" w:hAnsi="Arial Narrow"/>
                <w:sz w:val="20"/>
                <w:szCs w:val="20"/>
              </w:rPr>
            </w:pPr>
          </w:p>
          <w:p w14:paraId="788E4437" w14:textId="7D60C1E5" w:rsidR="00952271" w:rsidRPr="005F0CE8" w:rsidRDefault="00952271" w:rsidP="00511145">
            <w:pPr>
              <w:jc w:val="left"/>
              <w:rPr>
                <w:rFonts w:ascii="Arial Narrow" w:hAnsi="Arial Narrow"/>
                <w:sz w:val="20"/>
                <w:szCs w:val="20"/>
              </w:rPr>
            </w:pPr>
            <w:r w:rsidRPr="005F0CE8">
              <w:rPr>
                <w:rFonts w:ascii="Arial Narrow" w:hAnsi="Arial Narrow"/>
                <w:sz w:val="20"/>
                <w:szCs w:val="20"/>
              </w:rPr>
              <w:t xml:space="preserve">A. N. J. Tutt, J. E. Garber, B. Kaufman, G. Viale, D. Fumagalli, P. Rastogi, R. D. Gelber, E. de Azambuja, A. Fielding, Balmana, J., S. M. Domchek, K. A. Gelmon, S. J. Hollingsworth, L. A. Korde, B. Linderholm, H. Bandos, E. Senkus, J. M. Suga, Z. Shao, A. W. Pippas, Z. Nowecki, T. Huzarski, P. A. Ganz, P. C. Lucas, N. Baker, S. Loibl, R. McConnell, M. Piccart, R. Schmutzler, G. G. Steger, J. P. Costantino, A. Arahmani, N. Wolmark, E. McFadden, V. Karantza, S. R. Lakhani, G. Yothers, C. Campbell, C. E. Geyer,. Adjuvant Olaparib for Patients with </w:t>
            </w:r>
            <w:r w:rsidR="009E092C" w:rsidRPr="009E092C">
              <w:rPr>
                <w:rFonts w:ascii="Arial Narrow" w:hAnsi="Arial Narrow"/>
                <w:i/>
                <w:sz w:val="20"/>
                <w:szCs w:val="20"/>
              </w:rPr>
              <w:t>BRCA1</w:t>
            </w:r>
            <w:r w:rsidRPr="005F0CE8">
              <w:rPr>
                <w:rFonts w:ascii="Arial Narrow" w:hAnsi="Arial Narrow"/>
                <w:sz w:val="20"/>
                <w:szCs w:val="20"/>
              </w:rPr>
              <w:t xml:space="preserve">- or </w:t>
            </w:r>
            <w:r w:rsidR="009E092C" w:rsidRPr="009E092C">
              <w:rPr>
                <w:rFonts w:ascii="Arial Narrow" w:hAnsi="Arial Narrow"/>
                <w:i/>
                <w:sz w:val="20"/>
                <w:szCs w:val="20"/>
              </w:rPr>
              <w:t>BRCA2</w:t>
            </w:r>
            <w:r w:rsidRPr="005F0CE8">
              <w:rPr>
                <w:rFonts w:ascii="Arial Narrow" w:hAnsi="Arial Narrow"/>
                <w:sz w:val="20"/>
                <w:szCs w:val="20"/>
              </w:rPr>
              <w:t>-Mutated Breast Cancer.</w:t>
            </w:r>
          </w:p>
        </w:tc>
        <w:tc>
          <w:tcPr>
            <w:tcW w:w="2173" w:type="pct"/>
            <w:tcBorders>
              <w:left w:val="single" w:sz="4" w:space="0" w:color="auto"/>
            </w:tcBorders>
            <w:vAlign w:val="center"/>
          </w:tcPr>
          <w:p w14:paraId="04DBFD47" w14:textId="77777777" w:rsidR="00952271" w:rsidRPr="005F0CE8" w:rsidRDefault="00952271" w:rsidP="00511145">
            <w:pPr>
              <w:rPr>
                <w:rFonts w:ascii="Arial Narrow" w:hAnsi="Arial Narrow"/>
                <w:sz w:val="20"/>
                <w:szCs w:val="20"/>
              </w:rPr>
            </w:pPr>
            <w:r w:rsidRPr="005F0CE8">
              <w:rPr>
                <w:rFonts w:ascii="Arial Narrow" w:hAnsi="Arial Narrow"/>
                <w:sz w:val="20"/>
                <w:szCs w:val="20"/>
              </w:rPr>
              <w:t>New England Journal of Medicine. 2021;Vol.384(25):2394-2405p</w:t>
            </w:r>
          </w:p>
        </w:tc>
      </w:tr>
      <w:tr w:rsidR="00952271" w:rsidRPr="005F0CE8" w14:paraId="10E4389B" w14:textId="77777777" w:rsidTr="00B509E7">
        <w:trPr>
          <w:cantSplit/>
        </w:trPr>
        <w:tc>
          <w:tcPr>
            <w:tcW w:w="0" w:type="auto"/>
            <w:tcBorders>
              <w:right w:val="single" w:sz="4" w:space="0" w:color="auto"/>
            </w:tcBorders>
            <w:vAlign w:val="center"/>
          </w:tcPr>
          <w:p w14:paraId="651B7E77" w14:textId="77777777" w:rsidR="00952271" w:rsidRPr="005F0CE8" w:rsidRDefault="00952271" w:rsidP="00511145">
            <w:pPr>
              <w:rPr>
                <w:rFonts w:ascii="Arial Narrow" w:hAnsi="Arial Narrow"/>
                <w:sz w:val="20"/>
                <w:szCs w:val="20"/>
              </w:rPr>
            </w:pPr>
          </w:p>
        </w:tc>
        <w:tc>
          <w:tcPr>
            <w:tcW w:w="2115" w:type="pct"/>
            <w:tcBorders>
              <w:left w:val="single" w:sz="4" w:space="0" w:color="auto"/>
              <w:right w:val="single" w:sz="4" w:space="0" w:color="auto"/>
            </w:tcBorders>
            <w:vAlign w:val="center"/>
          </w:tcPr>
          <w:p w14:paraId="6ACF766A" w14:textId="77777777" w:rsidR="00952271" w:rsidRPr="005F0CE8" w:rsidRDefault="00952271" w:rsidP="00511145">
            <w:pPr>
              <w:rPr>
                <w:rFonts w:ascii="Arial Narrow" w:hAnsi="Arial Narrow"/>
                <w:sz w:val="20"/>
                <w:szCs w:val="20"/>
              </w:rPr>
            </w:pPr>
          </w:p>
          <w:p w14:paraId="33FEC2E2" w14:textId="6FBDA3D4" w:rsidR="00952271" w:rsidRPr="005F0CE8" w:rsidRDefault="00952271" w:rsidP="00511145">
            <w:pPr>
              <w:rPr>
                <w:rFonts w:ascii="Arial Narrow" w:hAnsi="Arial Narrow"/>
                <w:sz w:val="20"/>
                <w:szCs w:val="20"/>
              </w:rPr>
            </w:pPr>
            <w:r w:rsidRPr="005F0CE8">
              <w:rPr>
                <w:rFonts w:ascii="Arial Narrow" w:hAnsi="Arial Narrow"/>
                <w:sz w:val="20"/>
                <w:szCs w:val="20"/>
              </w:rPr>
              <w:t xml:space="preserve">A. N. J. Tutt, J. Garber, R. D. Gelber, K. A. Phillips, A. Eisen, O. T. Johannsson, P. Rastogi, K. Y. Cui, S. A. Im, R. Yerushalmi, A. M. Brufsky, M. Taboada, G. Rossi, G. Yothers, C. Singer, L. E. Fein, N. Loman, D. Cameron, C. Campbell and C. E. Geyer. VP1-2022: prespecified event driven analysis of Overall Survival (OS) in the OlympiA phase III trial of adjuvant olaparib (OL) in germline </w:t>
            </w:r>
            <w:r w:rsidR="009E092C" w:rsidRPr="009E092C">
              <w:rPr>
                <w:rFonts w:ascii="Arial Narrow" w:hAnsi="Arial Narrow"/>
                <w:i/>
                <w:sz w:val="20"/>
                <w:szCs w:val="20"/>
              </w:rPr>
              <w:t>BRCA1/2</w:t>
            </w:r>
            <w:r w:rsidRPr="005F0CE8">
              <w:rPr>
                <w:rFonts w:ascii="Arial Narrow" w:hAnsi="Arial Narrow"/>
                <w:sz w:val="20"/>
                <w:szCs w:val="20"/>
              </w:rPr>
              <w:t xml:space="preserve"> mutation (g</w:t>
            </w:r>
            <w:r w:rsidR="009E092C" w:rsidRPr="009E092C">
              <w:rPr>
                <w:rFonts w:ascii="Arial Narrow" w:hAnsi="Arial Narrow"/>
                <w:i/>
                <w:sz w:val="20"/>
                <w:szCs w:val="20"/>
              </w:rPr>
              <w:t>BRCAm</w:t>
            </w:r>
            <w:r w:rsidRPr="005F0CE8">
              <w:rPr>
                <w:rFonts w:ascii="Arial Narrow" w:hAnsi="Arial Narrow"/>
                <w:sz w:val="20"/>
                <w:szCs w:val="20"/>
              </w:rPr>
              <w:t>) associated breast cancer.</w:t>
            </w:r>
          </w:p>
        </w:tc>
        <w:tc>
          <w:tcPr>
            <w:tcW w:w="2173" w:type="pct"/>
            <w:tcBorders>
              <w:left w:val="single" w:sz="4" w:space="0" w:color="auto"/>
            </w:tcBorders>
            <w:vAlign w:val="center"/>
          </w:tcPr>
          <w:p w14:paraId="4F87340A" w14:textId="77777777" w:rsidR="00952271" w:rsidRPr="005F0CE8" w:rsidRDefault="00952271" w:rsidP="00511145">
            <w:pPr>
              <w:rPr>
                <w:rFonts w:ascii="Arial Narrow" w:hAnsi="Arial Narrow"/>
                <w:sz w:val="20"/>
                <w:szCs w:val="20"/>
              </w:rPr>
            </w:pPr>
            <w:r w:rsidRPr="005F0CE8">
              <w:rPr>
                <w:rFonts w:ascii="Arial Narrow" w:hAnsi="Arial Narrow"/>
                <w:sz w:val="20"/>
                <w:szCs w:val="20"/>
              </w:rPr>
              <w:t>Annals of Oncology. 2022;Vol.33(5):566-568p</w:t>
            </w:r>
          </w:p>
        </w:tc>
      </w:tr>
    </w:tbl>
    <w:p w14:paraId="1DE6A64A" w14:textId="05265B70" w:rsidR="008E0D3C" w:rsidRPr="005F0CE8" w:rsidRDefault="008E0D3C" w:rsidP="00EC5836">
      <w:pPr>
        <w:pStyle w:val="FooterTableFigure"/>
        <w:rPr>
          <w:sz w:val="20"/>
        </w:rPr>
      </w:pPr>
      <w:r w:rsidRPr="005F0CE8">
        <w:t>Source: Table</w:t>
      </w:r>
      <w:r w:rsidR="007B26BD" w:rsidRPr="005F0CE8">
        <w:t xml:space="preserve"> 2.3</w:t>
      </w:r>
      <w:r w:rsidRPr="005F0CE8">
        <w:t xml:space="preserve">, </w:t>
      </w:r>
      <w:r w:rsidR="007B26BD" w:rsidRPr="005F0CE8">
        <w:t>p38</w:t>
      </w:r>
      <w:r w:rsidRPr="005F0CE8">
        <w:t xml:space="preserve"> of the submission.</w:t>
      </w:r>
    </w:p>
    <w:p w14:paraId="1A60D091" w14:textId="6C318176" w:rsidR="007F1017" w:rsidRPr="005F0CE8" w:rsidRDefault="008F120A" w:rsidP="00477BB3">
      <w:pPr>
        <w:pStyle w:val="3-BodyText"/>
        <w:rPr>
          <w:rStyle w:val="CommentReference"/>
          <w:rFonts w:eastAsiaTheme="majorEastAsia" w:cstheme="majorBidi"/>
          <w:szCs w:val="24"/>
        </w:rPr>
      </w:pPr>
      <w:r w:rsidRPr="005F0CE8">
        <w:t>The key features of the direct randomised trial are summarised in</w:t>
      </w:r>
      <w:r w:rsidR="00D6076E" w:rsidRPr="005F0CE8">
        <w:t xml:space="preserve"> </w:t>
      </w:r>
      <w:r w:rsidR="00AF1A80" w:rsidRPr="005F0CE8">
        <w:fldChar w:fldCharType="begin"/>
      </w:r>
      <w:r w:rsidR="00AF1A80" w:rsidRPr="005F0CE8">
        <w:instrText xml:space="preserve"> REF _Ref121011716 \h </w:instrText>
      </w:r>
      <w:r w:rsidR="00AF1A80" w:rsidRPr="005F0CE8">
        <w:fldChar w:fldCharType="separate"/>
      </w:r>
      <w:r w:rsidR="00AB6006" w:rsidRPr="005F0CE8">
        <w:t xml:space="preserve">Table </w:t>
      </w:r>
      <w:r w:rsidR="00AB6006">
        <w:rPr>
          <w:noProof/>
        </w:rPr>
        <w:t>4</w:t>
      </w:r>
      <w:r w:rsidR="00AF1A80" w:rsidRPr="005F0CE8">
        <w:fldChar w:fldCharType="end"/>
      </w:r>
      <w:r w:rsidRPr="005F0CE8">
        <w:t>.</w:t>
      </w:r>
    </w:p>
    <w:p w14:paraId="77F9BC04" w14:textId="5A415CC4" w:rsidR="001A42BA" w:rsidRPr="005F0CE8" w:rsidRDefault="001A42BA" w:rsidP="001A42BA">
      <w:pPr>
        <w:pStyle w:val="Caption"/>
      </w:pPr>
      <w:bookmarkStart w:id="35" w:name="_Ref121011716"/>
      <w:r w:rsidRPr="005F0CE8">
        <w:t xml:space="preserve">Table </w:t>
      </w:r>
      <w:fldSimple w:instr=" SEQ Table \* ARABIC ">
        <w:r w:rsidR="00AB6006">
          <w:rPr>
            <w:noProof/>
          </w:rPr>
          <w:t>4</w:t>
        </w:r>
      </w:fldSimple>
      <w:bookmarkEnd w:id="35"/>
      <w:r w:rsidRPr="005F0CE8">
        <w:t>: Key features of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1138"/>
        <w:gridCol w:w="1271"/>
        <w:gridCol w:w="1134"/>
        <w:gridCol w:w="1560"/>
        <w:gridCol w:w="1417"/>
        <w:gridCol w:w="1508"/>
      </w:tblGrid>
      <w:tr w:rsidR="00B41614" w:rsidRPr="005F0CE8" w14:paraId="3282CB45" w14:textId="77777777" w:rsidTr="00B509E7">
        <w:trPr>
          <w:cantSplit/>
          <w:tblHeader/>
        </w:trPr>
        <w:tc>
          <w:tcPr>
            <w:tcW w:w="548" w:type="pct"/>
            <w:shd w:val="clear" w:color="auto" w:fill="auto"/>
            <w:vAlign w:val="center"/>
          </w:tcPr>
          <w:p w14:paraId="0F2E09EB" w14:textId="77777777" w:rsidR="007F1017" w:rsidRPr="005F0CE8" w:rsidRDefault="007F1017" w:rsidP="001E34DF">
            <w:pPr>
              <w:pStyle w:val="In-tableHeading"/>
              <w:rPr>
                <w:lang w:val="en-AU"/>
              </w:rPr>
            </w:pPr>
            <w:r w:rsidRPr="005F0CE8">
              <w:rPr>
                <w:lang w:val="en-AU"/>
              </w:rPr>
              <w:t>Trial</w:t>
            </w:r>
          </w:p>
        </w:tc>
        <w:tc>
          <w:tcPr>
            <w:tcW w:w="631" w:type="pct"/>
            <w:shd w:val="clear" w:color="auto" w:fill="auto"/>
            <w:vAlign w:val="center"/>
          </w:tcPr>
          <w:p w14:paraId="743F3B88" w14:textId="77777777" w:rsidR="007F1017" w:rsidRPr="005F0CE8" w:rsidRDefault="007F1017" w:rsidP="00EC5836">
            <w:pPr>
              <w:pStyle w:val="In-tableHeading"/>
              <w:jc w:val="center"/>
              <w:rPr>
                <w:lang w:val="en-AU"/>
              </w:rPr>
            </w:pPr>
            <w:r w:rsidRPr="005F0CE8">
              <w:rPr>
                <w:lang w:val="en-AU"/>
              </w:rPr>
              <w:t>N</w:t>
            </w:r>
          </w:p>
        </w:tc>
        <w:tc>
          <w:tcPr>
            <w:tcW w:w="705" w:type="pct"/>
            <w:shd w:val="clear" w:color="auto" w:fill="auto"/>
            <w:vAlign w:val="center"/>
          </w:tcPr>
          <w:p w14:paraId="38DBD554" w14:textId="77777777" w:rsidR="007F1017" w:rsidRPr="005F0CE8" w:rsidRDefault="007F1017" w:rsidP="00EC5836">
            <w:pPr>
              <w:pStyle w:val="In-tableHeading"/>
              <w:jc w:val="center"/>
              <w:rPr>
                <w:lang w:val="en-AU"/>
              </w:rPr>
            </w:pPr>
            <w:r w:rsidRPr="005F0CE8">
              <w:rPr>
                <w:lang w:val="en-AU"/>
              </w:rPr>
              <w:t>Design/ duration</w:t>
            </w:r>
          </w:p>
        </w:tc>
        <w:tc>
          <w:tcPr>
            <w:tcW w:w="629" w:type="pct"/>
            <w:shd w:val="clear" w:color="auto" w:fill="auto"/>
            <w:vAlign w:val="center"/>
          </w:tcPr>
          <w:p w14:paraId="6493DA58" w14:textId="77777777" w:rsidR="007F1017" w:rsidRPr="005F0CE8" w:rsidRDefault="007F1017" w:rsidP="00EC5836">
            <w:pPr>
              <w:pStyle w:val="In-tableHeading"/>
              <w:jc w:val="center"/>
              <w:rPr>
                <w:lang w:val="en-AU"/>
              </w:rPr>
            </w:pPr>
            <w:r w:rsidRPr="005F0CE8">
              <w:rPr>
                <w:lang w:val="en-AU"/>
              </w:rPr>
              <w:t>Risk of bias</w:t>
            </w:r>
          </w:p>
        </w:tc>
        <w:tc>
          <w:tcPr>
            <w:tcW w:w="865" w:type="pct"/>
            <w:shd w:val="clear" w:color="auto" w:fill="auto"/>
            <w:vAlign w:val="center"/>
          </w:tcPr>
          <w:p w14:paraId="172C5237" w14:textId="77777777" w:rsidR="007F1017" w:rsidRPr="005F0CE8" w:rsidRDefault="007F1017" w:rsidP="00EC5836">
            <w:pPr>
              <w:pStyle w:val="In-tableHeading"/>
              <w:jc w:val="center"/>
              <w:rPr>
                <w:lang w:val="en-AU"/>
              </w:rPr>
            </w:pPr>
            <w:r w:rsidRPr="005F0CE8">
              <w:rPr>
                <w:lang w:val="en-AU"/>
              </w:rPr>
              <w:t>Patient population</w:t>
            </w:r>
          </w:p>
        </w:tc>
        <w:tc>
          <w:tcPr>
            <w:tcW w:w="786" w:type="pct"/>
            <w:shd w:val="clear" w:color="auto" w:fill="auto"/>
            <w:vAlign w:val="center"/>
          </w:tcPr>
          <w:p w14:paraId="1A5ABF35" w14:textId="77777777" w:rsidR="007F1017" w:rsidRPr="005F0CE8" w:rsidRDefault="007F1017" w:rsidP="00EC5836">
            <w:pPr>
              <w:pStyle w:val="In-tableHeading"/>
              <w:jc w:val="center"/>
              <w:rPr>
                <w:lang w:val="en-AU"/>
              </w:rPr>
            </w:pPr>
            <w:r w:rsidRPr="005F0CE8">
              <w:rPr>
                <w:lang w:val="en-AU"/>
              </w:rPr>
              <w:t>Outcome(s)</w:t>
            </w:r>
          </w:p>
        </w:tc>
        <w:tc>
          <w:tcPr>
            <w:tcW w:w="836" w:type="pct"/>
            <w:shd w:val="clear" w:color="auto" w:fill="auto"/>
            <w:vAlign w:val="center"/>
          </w:tcPr>
          <w:p w14:paraId="266602B6" w14:textId="77777777" w:rsidR="007F1017" w:rsidRPr="005F0CE8" w:rsidRDefault="007F1017" w:rsidP="00EC5836">
            <w:pPr>
              <w:pStyle w:val="In-tableHeading"/>
              <w:jc w:val="center"/>
              <w:rPr>
                <w:lang w:val="en-AU"/>
              </w:rPr>
            </w:pPr>
            <w:r w:rsidRPr="005F0CE8">
              <w:rPr>
                <w:lang w:val="en-AU"/>
              </w:rPr>
              <w:t>Use in modelled evaluation</w:t>
            </w:r>
          </w:p>
        </w:tc>
      </w:tr>
      <w:tr w:rsidR="007F1017" w:rsidRPr="005F0CE8" w14:paraId="125D7CAC" w14:textId="77777777" w:rsidTr="00682BA6">
        <w:trPr>
          <w:cantSplit/>
        </w:trPr>
        <w:tc>
          <w:tcPr>
            <w:tcW w:w="5000" w:type="pct"/>
            <w:gridSpan w:val="7"/>
            <w:shd w:val="clear" w:color="auto" w:fill="auto"/>
            <w:vAlign w:val="center"/>
          </w:tcPr>
          <w:p w14:paraId="5EBCF706" w14:textId="1F30E2F6" w:rsidR="007F1017" w:rsidRPr="005F0CE8" w:rsidRDefault="007B26BD" w:rsidP="00EC5836">
            <w:pPr>
              <w:pStyle w:val="In-tableHeading"/>
              <w:rPr>
                <w:lang w:val="en-AU"/>
              </w:rPr>
            </w:pPr>
            <w:r w:rsidRPr="005F0CE8">
              <w:rPr>
                <w:lang w:val="en-AU"/>
              </w:rPr>
              <w:t>olaparib</w:t>
            </w:r>
            <w:r w:rsidR="007F1017" w:rsidRPr="005F0CE8">
              <w:rPr>
                <w:lang w:val="en-AU"/>
              </w:rPr>
              <w:t xml:space="preserve"> vs.</w:t>
            </w:r>
            <w:r w:rsidRPr="005F0CE8">
              <w:rPr>
                <w:lang w:val="en-AU"/>
              </w:rPr>
              <w:t xml:space="preserve"> placebo</w:t>
            </w:r>
          </w:p>
        </w:tc>
      </w:tr>
      <w:tr w:rsidR="00B41614" w:rsidRPr="005F0CE8" w14:paraId="65A8F0A6" w14:textId="77777777" w:rsidTr="00B509E7">
        <w:trPr>
          <w:cantSplit/>
        </w:trPr>
        <w:tc>
          <w:tcPr>
            <w:tcW w:w="548" w:type="pct"/>
            <w:shd w:val="clear" w:color="auto" w:fill="auto"/>
            <w:vAlign w:val="center"/>
          </w:tcPr>
          <w:p w14:paraId="27847DA5" w14:textId="4FDE5921" w:rsidR="007F1017" w:rsidRPr="005F0CE8" w:rsidRDefault="007B26BD" w:rsidP="00EC5836">
            <w:pPr>
              <w:pStyle w:val="TableText0"/>
            </w:pPr>
            <w:r w:rsidRPr="005F0CE8">
              <w:t>OlympiA</w:t>
            </w:r>
          </w:p>
        </w:tc>
        <w:tc>
          <w:tcPr>
            <w:tcW w:w="631" w:type="pct"/>
            <w:shd w:val="clear" w:color="auto" w:fill="auto"/>
            <w:vAlign w:val="center"/>
          </w:tcPr>
          <w:p w14:paraId="0ACC9638" w14:textId="77777777" w:rsidR="007F1017" w:rsidRPr="005F0CE8" w:rsidRDefault="005B6325" w:rsidP="00EC5836">
            <w:pPr>
              <w:pStyle w:val="TableText0"/>
              <w:jc w:val="center"/>
            </w:pPr>
            <w:r w:rsidRPr="005F0CE8">
              <w:t>1836</w:t>
            </w:r>
          </w:p>
          <w:p w14:paraId="20D4EE65" w14:textId="457F17EC" w:rsidR="00E73582" w:rsidRPr="005F0CE8" w:rsidRDefault="00E73582" w:rsidP="00EC5836">
            <w:pPr>
              <w:pStyle w:val="TableText0"/>
              <w:jc w:val="center"/>
            </w:pPr>
            <w:r w:rsidRPr="005F0CE8">
              <w:t>(1830 women and 6 men)</w:t>
            </w:r>
          </w:p>
        </w:tc>
        <w:tc>
          <w:tcPr>
            <w:tcW w:w="705" w:type="pct"/>
            <w:shd w:val="clear" w:color="auto" w:fill="auto"/>
            <w:vAlign w:val="center"/>
          </w:tcPr>
          <w:p w14:paraId="23CA6F29" w14:textId="561BB25F" w:rsidR="007F1017" w:rsidRPr="005F0CE8" w:rsidRDefault="007F1017" w:rsidP="00EC5836">
            <w:pPr>
              <w:pStyle w:val="TableText0"/>
              <w:jc w:val="center"/>
            </w:pPr>
            <w:r w:rsidRPr="005F0CE8">
              <w:t>R, DB</w:t>
            </w:r>
            <w:r w:rsidR="00774BD0" w:rsidRPr="005F0CE8">
              <w:t>, PC</w:t>
            </w:r>
            <w:r w:rsidR="006874F1" w:rsidRPr="005F0CE8">
              <w:t>, MC</w:t>
            </w:r>
          </w:p>
          <w:p w14:paraId="281742E6" w14:textId="576D508C" w:rsidR="007F1017" w:rsidRPr="005F0CE8" w:rsidRDefault="00774BD0" w:rsidP="00EC5836">
            <w:pPr>
              <w:pStyle w:val="TableText0"/>
              <w:jc w:val="center"/>
            </w:pPr>
            <w:r w:rsidRPr="005F0CE8">
              <w:t>3.5 years</w:t>
            </w:r>
          </w:p>
        </w:tc>
        <w:tc>
          <w:tcPr>
            <w:tcW w:w="629" w:type="pct"/>
            <w:shd w:val="clear" w:color="auto" w:fill="auto"/>
            <w:vAlign w:val="center"/>
          </w:tcPr>
          <w:p w14:paraId="1F6E4494" w14:textId="77777777" w:rsidR="007F1017" w:rsidRPr="005F0CE8" w:rsidRDefault="007F1017" w:rsidP="00EC5836">
            <w:pPr>
              <w:pStyle w:val="TableText0"/>
              <w:jc w:val="center"/>
            </w:pPr>
            <w:r w:rsidRPr="005F0CE8">
              <w:t>Low</w:t>
            </w:r>
          </w:p>
        </w:tc>
        <w:tc>
          <w:tcPr>
            <w:tcW w:w="865" w:type="pct"/>
            <w:shd w:val="clear" w:color="auto" w:fill="auto"/>
            <w:vAlign w:val="center"/>
          </w:tcPr>
          <w:p w14:paraId="64499F21" w14:textId="66C5E9CA" w:rsidR="007F1017" w:rsidRPr="005F0CE8" w:rsidRDefault="004D1CA1" w:rsidP="00EC5836">
            <w:pPr>
              <w:pStyle w:val="TableText0"/>
              <w:jc w:val="center"/>
            </w:pPr>
            <w:r>
              <w:t xml:space="preserve">HER2-negative </w:t>
            </w:r>
            <w:r w:rsidR="00774BD0" w:rsidRPr="005F0CE8">
              <w:t xml:space="preserve">, </w:t>
            </w:r>
            <w:r w:rsidR="009E092C" w:rsidRPr="009E092C">
              <w:rPr>
                <w:i/>
              </w:rPr>
              <w:t xml:space="preserve">BRCA </w:t>
            </w:r>
            <w:r w:rsidR="00774BD0" w:rsidRPr="005F0CE8">
              <w:t>mutated, eBC</w:t>
            </w:r>
            <w:r w:rsidR="00CE1C66" w:rsidRPr="005F0CE8">
              <w:rPr>
                <w:rStyle w:val="FootnoteReference"/>
              </w:rPr>
              <w:footnoteReference w:id="16"/>
            </w:r>
            <w:r w:rsidR="00774BD0" w:rsidRPr="005F0CE8">
              <w:t xml:space="preserve"> previously treated with chemotherapy.</w:t>
            </w:r>
          </w:p>
        </w:tc>
        <w:tc>
          <w:tcPr>
            <w:tcW w:w="786" w:type="pct"/>
            <w:shd w:val="clear" w:color="auto" w:fill="auto"/>
            <w:vAlign w:val="center"/>
          </w:tcPr>
          <w:p w14:paraId="776AAC1F" w14:textId="42A64BA3" w:rsidR="007F1017" w:rsidRPr="005F0CE8" w:rsidRDefault="00774BD0" w:rsidP="00EC5836">
            <w:pPr>
              <w:pStyle w:val="TableText0"/>
              <w:jc w:val="center"/>
            </w:pPr>
            <w:r w:rsidRPr="005F0CE8">
              <w:t xml:space="preserve">Primary outcome: IDFS. Secondary outcomes: </w:t>
            </w:r>
            <w:r w:rsidR="007F1017" w:rsidRPr="005F0CE8">
              <w:t>OS</w:t>
            </w:r>
            <w:r w:rsidRPr="005F0CE8">
              <w:t>, DDFS, FACIT-Fatigue, EORTC QLQ-C30, safety.</w:t>
            </w:r>
          </w:p>
        </w:tc>
        <w:tc>
          <w:tcPr>
            <w:tcW w:w="836" w:type="pct"/>
            <w:shd w:val="clear" w:color="auto" w:fill="auto"/>
            <w:vAlign w:val="center"/>
          </w:tcPr>
          <w:p w14:paraId="3922C903" w14:textId="77777777" w:rsidR="007F1017" w:rsidRPr="005F0CE8" w:rsidRDefault="00774BD0" w:rsidP="00EC5836">
            <w:pPr>
              <w:pStyle w:val="TableText0"/>
              <w:jc w:val="center"/>
            </w:pPr>
            <w:r w:rsidRPr="005F0CE8">
              <w:t>IDFS</w:t>
            </w:r>
          </w:p>
          <w:p w14:paraId="525A1A1F" w14:textId="53B1E481" w:rsidR="00774BD0" w:rsidRPr="005F0CE8" w:rsidRDefault="00774BD0" w:rsidP="00EC5836">
            <w:pPr>
              <w:pStyle w:val="TableText0"/>
              <w:jc w:val="center"/>
            </w:pPr>
            <w:r w:rsidRPr="005F0CE8">
              <w:t>EORTC QLQ-C30</w:t>
            </w:r>
          </w:p>
        </w:tc>
      </w:tr>
    </w:tbl>
    <w:p w14:paraId="1CC2F4A4" w14:textId="41B5B06F" w:rsidR="00045017" w:rsidRPr="005F0CE8" w:rsidRDefault="00045017" w:rsidP="00EC5836">
      <w:pPr>
        <w:pStyle w:val="FooterTableFigure"/>
      </w:pPr>
      <w:r w:rsidRPr="005F0CE8">
        <w:t>Source: Figure</w:t>
      </w:r>
      <w:r w:rsidR="007F7ED8" w:rsidRPr="005F0CE8">
        <w:t xml:space="preserve"> 2.2</w:t>
      </w:r>
      <w:r w:rsidRPr="005F0CE8">
        <w:t>, p</w:t>
      </w:r>
      <w:r w:rsidR="007F7ED8" w:rsidRPr="005F0CE8">
        <w:t>41, table 2.4, pp43-44, table 2.8 pp50-54, table 2.14, pp64-66, table 2.11, p58</w:t>
      </w:r>
      <w:r w:rsidRPr="005F0CE8">
        <w:t xml:space="preserve"> of the submission.</w:t>
      </w:r>
    </w:p>
    <w:p w14:paraId="7E2FF1CB" w14:textId="0A0F7EDA" w:rsidR="00620C25" w:rsidRPr="005F0CE8" w:rsidRDefault="009E092C" w:rsidP="00EC5836">
      <w:pPr>
        <w:pStyle w:val="FooterTableFigure"/>
        <w:rPr>
          <w:sz w:val="20"/>
        </w:rPr>
      </w:pPr>
      <w:r w:rsidRPr="009E092C">
        <w:rPr>
          <w:i/>
        </w:rPr>
        <w:t xml:space="preserve">BRCA </w:t>
      </w:r>
      <w:r w:rsidR="006874F1" w:rsidRPr="005F0CE8">
        <w:t>= breast cancer gene</w:t>
      </w:r>
      <w:r w:rsidR="008323C3" w:rsidRPr="005F0CE8">
        <w:t>,</w:t>
      </w:r>
      <w:r w:rsidR="006874F1" w:rsidRPr="005F0CE8">
        <w:t xml:space="preserve"> </w:t>
      </w:r>
      <w:r w:rsidR="00620C25" w:rsidRPr="005F0CE8">
        <w:t>DB = double blind</w:t>
      </w:r>
      <w:r w:rsidR="008323C3" w:rsidRPr="005F0CE8">
        <w:t>,</w:t>
      </w:r>
      <w:r w:rsidR="006874F1" w:rsidRPr="005F0CE8">
        <w:t xml:space="preserve"> DDFS = distant </w:t>
      </w:r>
      <w:r w:rsidR="007F7ED8" w:rsidRPr="005F0CE8">
        <w:t>disease-free</w:t>
      </w:r>
      <w:r w:rsidR="006874F1" w:rsidRPr="005F0CE8">
        <w:t xml:space="preserve"> survival</w:t>
      </w:r>
      <w:r w:rsidR="008323C3" w:rsidRPr="005F0CE8">
        <w:t>,</w:t>
      </w:r>
      <w:r w:rsidR="006874F1" w:rsidRPr="005F0CE8">
        <w:t xml:space="preserve"> eBC = early breast cancer</w:t>
      </w:r>
      <w:r w:rsidR="008323C3" w:rsidRPr="005F0CE8">
        <w:t>,</w:t>
      </w:r>
      <w:r w:rsidR="006874F1" w:rsidRPr="005F0CE8">
        <w:t xml:space="preserve"> EORTC = </w:t>
      </w:r>
      <w:r w:rsidR="007F7ED8" w:rsidRPr="005F0CE8">
        <w:t>European</w:t>
      </w:r>
      <w:r w:rsidR="006874F1" w:rsidRPr="005F0CE8">
        <w:t xml:space="preserve"> Organisation for the Research and Treatment of Cancer</w:t>
      </w:r>
      <w:r w:rsidR="008323C3" w:rsidRPr="005F0CE8">
        <w:t>,</w:t>
      </w:r>
      <w:r w:rsidR="006874F1" w:rsidRPr="005F0CE8">
        <w:t xml:space="preserve"> FACIT = functional assessment of chronic illness therapy</w:t>
      </w:r>
      <w:r w:rsidR="008323C3" w:rsidRPr="005F0CE8">
        <w:t>,</w:t>
      </w:r>
      <w:r w:rsidR="006874F1" w:rsidRPr="005F0CE8">
        <w:t xml:space="preserve"> IDFS = invasive </w:t>
      </w:r>
      <w:r w:rsidR="007F7ED8" w:rsidRPr="005F0CE8">
        <w:t>disease-free</w:t>
      </w:r>
      <w:r w:rsidR="006874F1" w:rsidRPr="005F0CE8">
        <w:t xml:space="preserve"> </w:t>
      </w:r>
      <w:r w:rsidR="007F7ED8" w:rsidRPr="005F0CE8">
        <w:t>survival</w:t>
      </w:r>
      <w:r w:rsidR="008323C3" w:rsidRPr="005F0CE8">
        <w:t>,</w:t>
      </w:r>
      <w:r w:rsidR="007F7ED8" w:rsidRPr="005F0CE8">
        <w:t xml:space="preserve"> MC</w:t>
      </w:r>
      <w:r w:rsidR="00620C25" w:rsidRPr="005F0CE8">
        <w:t xml:space="preserve"> = multi-centre</w:t>
      </w:r>
      <w:r w:rsidR="008323C3" w:rsidRPr="005F0CE8">
        <w:t>,</w:t>
      </w:r>
      <w:r w:rsidR="00620C25" w:rsidRPr="005F0CE8">
        <w:t xml:space="preserve"> OS = overall survival</w:t>
      </w:r>
      <w:r w:rsidR="008323C3" w:rsidRPr="005F0CE8">
        <w:t>,</w:t>
      </w:r>
      <w:r w:rsidR="00620C25" w:rsidRPr="005F0CE8">
        <w:t xml:space="preserve"> P</w:t>
      </w:r>
      <w:r w:rsidR="006874F1" w:rsidRPr="005F0CE8">
        <w:t>C = placebo controlled</w:t>
      </w:r>
      <w:r w:rsidR="008323C3" w:rsidRPr="005F0CE8">
        <w:t>,</w:t>
      </w:r>
      <w:r w:rsidR="006874F1" w:rsidRPr="005F0CE8">
        <w:t xml:space="preserve"> QLQ-C30 = quality of life questionnaire core 30</w:t>
      </w:r>
      <w:r w:rsidR="008323C3" w:rsidRPr="005F0CE8">
        <w:t>,</w:t>
      </w:r>
      <w:r w:rsidR="00620C25" w:rsidRPr="005F0CE8">
        <w:t xml:space="preserve"> R = randomised.</w:t>
      </w:r>
    </w:p>
    <w:p w14:paraId="0D4C6B7C" w14:textId="03AFBE19" w:rsidR="00EE1D1A" w:rsidRPr="005F0CE8" w:rsidRDefault="001106F2" w:rsidP="00477BB3">
      <w:pPr>
        <w:pStyle w:val="3-BodyText"/>
        <w:rPr>
          <w:color w:val="0066FF"/>
        </w:rPr>
      </w:pPr>
      <w:r w:rsidRPr="005F0CE8">
        <w:t>T</w:t>
      </w:r>
      <w:r w:rsidR="00EE1D1A" w:rsidRPr="005F0CE8">
        <w:t>he primary outcome of</w:t>
      </w:r>
      <w:r w:rsidR="00675BB4" w:rsidRPr="005F0CE8">
        <w:t xml:space="preserve"> invasive </w:t>
      </w:r>
      <w:r w:rsidR="007F7F5A" w:rsidRPr="005F0CE8">
        <w:t>disease-</w:t>
      </w:r>
      <w:r w:rsidR="00675BB4" w:rsidRPr="005F0CE8">
        <w:t>free survival</w:t>
      </w:r>
      <w:r w:rsidR="00EE1D1A" w:rsidRPr="005F0CE8">
        <w:t xml:space="preserve"> </w:t>
      </w:r>
      <w:r w:rsidR="00675BB4" w:rsidRPr="005F0CE8">
        <w:t>(</w:t>
      </w:r>
      <w:r w:rsidR="00EE1D1A" w:rsidRPr="005F0CE8">
        <w:t>IDFS</w:t>
      </w:r>
      <w:r w:rsidR="00675BB4" w:rsidRPr="005F0CE8">
        <w:t>)</w:t>
      </w:r>
      <w:r w:rsidR="00EE1D1A" w:rsidRPr="005F0CE8">
        <w:t xml:space="preserve"> is defined in the submission as </w:t>
      </w:r>
      <w:r w:rsidR="00DB2BE9">
        <w:t>‘</w:t>
      </w:r>
      <w:r w:rsidR="00EE1D1A" w:rsidRPr="005F0CE8">
        <w:t>The time from randomisation to date of first recurrence, where recurrence is defined as loco-regional, distance recurrence, new cancer or death from any cause</w:t>
      </w:r>
      <w:r w:rsidR="00DB2BE9">
        <w:t>’</w:t>
      </w:r>
      <w:r w:rsidRPr="005F0CE8">
        <w:t>.</w:t>
      </w:r>
      <w:r w:rsidR="00FC4D57" w:rsidRPr="005F0CE8">
        <w:t xml:space="preserve"> </w:t>
      </w:r>
      <w:r w:rsidRPr="005F0CE8">
        <w:t>T</w:t>
      </w:r>
      <w:r w:rsidR="00DA4A9A" w:rsidRPr="005F0CE8">
        <w:t xml:space="preserve">he median </w:t>
      </w:r>
      <w:r w:rsidR="00843776" w:rsidRPr="005F0CE8">
        <w:t>IDFS</w:t>
      </w:r>
      <w:r w:rsidR="00DA4A9A" w:rsidRPr="005F0CE8">
        <w:t xml:space="preserve"> had yet to be reached</w:t>
      </w:r>
      <w:r w:rsidR="000024F9" w:rsidRPr="005F0CE8">
        <w:t xml:space="preserve"> at data cut-off 2 (DCO2) 12</w:t>
      </w:r>
      <w:r w:rsidR="00A84C4F" w:rsidRPr="005F0CE8">
        <w:t> </w:t>
      </w:r>
      <w:r w:rsidR="000024F9" w:rsidRPr="005F0CE8">
        <w:t>July 2021</w:t>
      </w:r>
      <w:r w:rsidR="00DA4A9A" w:rsidRPr="005F0CE8">
        <w:t>.</w:t>
      </w:r>
    </w:p>
    <w:p w14:paraId="5BB0966C" w14:textId="295419DA" w:rsidR="005E1207" w:rsidRPr="005F0CE8" w:rsidRDefault="002012B4" w:rsidP="00477BB3">
      <w:pPr>
        <w:pStyle w:val="3-BodyText"/>
        <w:rPr>
          <w:iCs/>
        </w:rPr>
      </w:pPr>
      <w:bookmarkStart w:id="36" w:name="_Ref127464806"/>
      <w:r w:rsidRPr="005F0CE8">
        <w:t xml:space="preserve">Initially the </w:t>
      </w:r>
      <w:r w:rsidR="008B1FD1" w:rsidRPr="005F0CE8">
        <w:rPr>
          <w:snapToGrid/>
        </w:rPr>
        <w:t>OlympiA</w:t>
      </w:r>
      <w:r w:rsidRPr="005F0CE8">
        <w:t xml:space="preserve"> trial only included TNBC patients. </w:t>
      </w:r>
      <w:r w:rsidR="0051393E" w:rsidRPr="005F0CE8">
        <w:t>Approximately 18 months a</w:t>
      </w:r>
      <w:r w:rsidRPr="005F0CE8">
        <w:t>fter the trial had begun, an amendment to the protocol was made to include HR+, HER</w:t>
      </w:r>
      <w:r w:rsidR="00D56CB9">
        <w:t>2</w:t>
      </w:r>
      <w:r w:rsidRPr="005F0CE8">
        <w:t xml:space="preserve">- eBC patients. </w:t>
      </w:r>
      <w:r w:rsidR="00474471" w:rsidRPr="005F0CE8">
        <w:t>As a result</w:t>
      </w:r>
      <w:r w:rsidRPr="005F0CE8">
        <w:t xml:space="preserve"> TNBC patients make up the majority of the trial population (82.3% TNBC and 17.7% HR+ HER2-)</w:t>
      </w:r>
      <w:r w:rsidR="001071BC" w:rsidRPr="005F0CE8">
        <w:t xml:space="preserve">. In comparison, the submission estimated </w:t>
      </w:r>
      <w:r w:rsidR="00A25A86" w:rsidRPr="005F0CE8">
        <w:t>TNBC in the Australian eBC population to be between 12-24%</w:t>
      </w:r>
      <w:r w:rsidR="001106F2" w:rsidRPr="005F0CE8">
        <w:t>.</w:t>
      </w:r>
      <w:r w:rsidRPr="005F0CE8">
        <w:t xml:space="preserve"> </w:t>
      </w:r>
      <w:bookmarkEnd w:id="36"/>
      <w:r w:rsidR="0053028C" w:rsidRPr="005F0CE8">
        <w:rPr>
          <w:iCs/>
        </w:rPr>
        <w:t xml:space="preserve">The ESC noted this estimate may not be applicable to the proposed PBS population (see paragraph </w:t>
      </w:r>
      <w:r w:rsidR="0053028C" w:rsidRPr="005F0CE8">
        <w:rPr>
          <w:iCs/>
        </w:rPr>
        <w:fldChar w:fldCharType="begin"/>
      </w:r>
      <w:r w:rsidR="0053028C" w:rsidRPr="005F0CE8">
        <w:rPr>
          <w:iCs/>
        </w:rPr>
        <w:instrText xml:space="preserve"> REF _Ref127472385 \r \h  \* MERGEFORMAT </w:instrText>
      </w:r>
      <w:r w:rsidR="0053028C" w:rsidRPr="005F0CE8">
        <w:rPr>
          <w:iCs/>
        </w:rPr>
      </w:r>
      <w:r w:rsidR="0053028C" w:rsidRPr="005F0CE8">
        <w:rPr>
          <w:iCs/>
        </w:rPr>
        <w:fldChar w:fldCharType="separate"/>
      </w:r>
      <w:r w:rsidR="00AB6006">
        <w:rPr>
          <w:iCs/>
        </w:rPr>
        <w:t>6.16</w:t>
      </w:r>
      <w:r w:rsidR="0053028C" w:rsidRPr="005F0CE8">
        <w:rPr>
          <w:iCs/>
        </w:rPr>
        <w:fldChar w:fldCharType="end"/>
      </w:r>
      <w:r w:rsidR="0053028C" w:rsidRPr="005F0CE8">
        <w:rPr>
          <w:iCs/>
        </w:rPr>
        <w:t>).</w:t>
      </w:r>
    </w:p>
    <w:p w14:paraId="56800FDB" w14:textId="7E68C617" w:rsidR="00E100FB" w:rsidRPr="005F0CE8" w:rsidRDefault="00A25A86" w:rsidP="00477BB3">
      <w:pPr>
        <w:pStyle w:val="3-BodyText"/>
      </w:pPr>
      <w:bookmarkStart w:id="37" w:name="_Ref127550327"/>
      <w:r w:rsidRPr="005F0CE8">
        <w:t>The trial protocol allowed concurrent</w:t>
      </w:r>
      <w:r w:rsidR="00C80605" w:rsidRPr="005F0CE8">
        <w:t xml:space="preserve"> </w:t>
      </w:r>
      <w:r w:rsidRPr="005F0CE8">
        <w:t xml:space="preserve">ET for patients who were </w:t>
      </w:r>
      <w:r w:rsidR="00F55C4F" w:rsidRPr="005F0CE8">
        <w:t>H</w:t>
      </w:r>
      <w:r w:rsidRPr="005F0CE8">
        <w:t>R+</w:t>
      </w:r>
      <w:r w:rsidR="00F55C4F" w:rsidRPr="005F0CE8">
        <w:t xml:space="preserve"> (including ER and/or PgR positive)</w:t>
      </w:r>
      <w:r w:rsidRPr="005F0CE8">
        <w:t xml:space="preserve">. In the </w:t>
      </w:r>
      <w:r w:rsidR="00FE6CB5" w:rsidRPr="005F0CE8">
        <w:t>O</w:t>
      </w:r>
      <w:r w:rsidRPr="005F0CE8">
        <w:t>lympiA trial, the olaparib arm had 168 HR+ patients with 146 (86.9%) on ET while the placebo arm had 157 HR+ patients with 145 (92.4%) on ET. In total, 325 patients were HR+ and 291 (89.5%) received concurrent ET</w:t>
      </w:r>
      <w:r w:rsidR="00593D22" w:rsidRPr="005F0CE8">
        <w:t>.</w:t>
      </w:r>
      <w:bookmarkEnd w:id="37"/>
      <w:r w:rsidRPr="005F0CE8" w:rsidDel="00A25A86">
        <w:t xml:space="preserve"> </w:t>
      </w:r>
    </w:p>
    <w:p w14:paraId="44448202" w14:textId="77777777" w:rsidR="00B60939" w:rsidRPr="005F0CE8" w:rsidRDefault="00B60939" w:rsidP="00EC5836">
      <w:pPr>
        <w:pStyle w:val="4-SubsectionHeading"/>
      </w:pPr>
      <w:bookmarkStart w:id="38" w:name="_Toc22897641"/>
      <w:bookmarkStart w:id="39" w:name="_Toc124883281"/>
      <w:r w:rsidRPr="005F0CE8">
        <w:lastRenderedPageBreak/>
        <w:t>Comparative effectiveness</w:t>
      </w:r>
      <w:bookmarkEnd w:id="38"/>
      <w:bookmarkEnd w:id="39"/>
    </w:p>
    <w:p w14:paraId="1FD61475" w14:textId="72C5ACB4" w:rsidR="00DA3167" w:rsidRPr="005F0CE8" w:rsidRDefault="00CE0AC9" w:rsidP="00477BB3">
      <w:pPr>
        <w:pStyle w:val="3-BodyText"/>
      </w:pPr>
      <w:r w:rsidRPr="005F0CE8">
        <w:rPr>
          <w:snapToGrid/>
        </w:rPr>
        <w:t xml:space="preserve">The primary outcome for the OlympiA trial was </w:t>
      </w:r>
      <w:r w:rsidR="00192645">
        <w:rPr>
          <w:snapToGrid/>
        </w:rPr>
        <w:t>IDFS</w:t>
      </w:r>
      <w:r w:rsidRPr="005F0CE8">
        <w:rPr>
          <w:snapToGrid/>
        </w:rPr>
        <w:t>. This involved investigator assessed recurrence of invasive disease or death.</w:t>
      </w:r>
      <w:r w:rsidR="00B31542" w:rsidRPr="005F0CE8">
        <w:rPr>
          <w:snapToGrid/>
        </w:rPr>
        <w:t xml:space="preserve"> </w:t>
      </w:r>
      <w:r w:rsidR="00B31542" w:rsidRPr="005F0CE8">
        <w:rPr>
          <w:iCs/>
          <w:snapToGrid/>
        </w:rPr>
        <w:t xml:space="preserve">No minimally clinically relevant change </w:t>
      </w:r>
      <w:r w:rsidR="005107A8" w:rsidRPr="005F0CE8">
        <w:rPr>
          <w:iCs/>
          <w:snapToGrid/>
        </w:rPr>
        <w:t>was</w:t>
      </w:r>
      <w:r w:rsidR="00B31542" w:rsidRPr="005F0CE8">
        <w:rPr>
          <w:iCs/>
          <w:snapToGrid/>
        </w:rPr>
        <w:t xml:space="preserve"> stated for this measure</w:t>
      </w:r>
      <w:r w:rsidR="00B31542" w:rsidRPr="005F0CE8">
        <w:rPr>
          <w:snapToGrid/>
        </w:rPr>
        <w:t>. The</w:t>
      </w:r>
      <w:r w:rsidR="00EF727E" w:rsidRPr="005F0CE8">
        <w:rPr>
          <w:snapToGrid/>
        </w:rPr>
        <w:t xml:space="preserve"> results of IDFS from the OlympiA trial are shown in </w:t>
      </w:r>
      <w:r w:rsidR="00AF1A80" w:rsidRPr="005F0CE8">
        <w:rPr>
          <w:snapToGrid/>
        </w:rPr>
        <w:fldChar w:fldCharType="begin"/>
      </w:r>
      <w:r w:rsidR="00AF1A80" w:rsidRPr="005F0CE8">
        <w:rPr>
          <w:snapToGrid/>
        </w:rPr>
        <w:instrText xml:space="preserve"> REF _Ref121011753 \h </w:instrText>
      </w:r>
      <w:r w:rsidR="00AF1A80" w:rsidRPr="005F0CE8">
        <w:rPr>
          <w:snapToGrid/>
        </w:rPr>
      </w:r>
      <w:r w:rsidR="00AF1A80" w:rsidRPr="005F0CE8">
        <w:rPr>
          <w:snapToGrid/>
        </w:rPr>
        <w:fldChar w:fldCharType="separate"/>
      </w:r>
      <w:r w:rsidR="00AB6006" w:rsidRPr="005F0CE8">
        <w:t xml:space="preserve">Table </w:t>
      </w:r>
      <w:r w:rsidR="00AB6006">
        <w:rPr>
          <w:noProof/>
        </w:rPr>
        <w:t>5</w:t>
      </w:r>
      <w:r w:rsidR="00AF1A80" w:rsidRPr="005F0CE8">
        <w:rPr>
          <w:snapToGrid/>
        </w:rPr>
        <w:fldChar w:fldCharType="end"/>
      </w:r>
      <w:r w:rsidR="00EF727E" w:rsidRPr="005F0CE8">
        <w:rPr>
          <w:snapToGrid/>
        </w:rPr>
        <w:t>.</w:t>
      </w:r>
      <w:r w:rsidR="00B31542" w:rsidRPr="005F0CE8">
        <w:rPr>
          <w:snapToGrid/>
        </w:rPr>
        <w:t xml:space="preserve"> </w:t>
      </w:r>
      <w:r w:rsidR="00B9399E" w:rsidRPr="005F0CE8">
        <w:rPr>
          <w:snapToGrid/>
        </w:rPr>
        <w:t xml:space="preserve">The </w:t>
      </w:r>
      <w:r w:rsidR="00B31542" w:rsidRPr="005F0CE8">
        <w:rPr>
          <w:snapToGrid/>
        </w:rPr>
        <w:t xml:space="preserve">olaparib arm of the trial showed a statistically significant reduction in </w:t>
      </w:r>
      <w:r w:rsidR="001106F2" w:rsidRPr="005F0CE8">
        <w:rPr>
          <w:snapToGrid/>
        </w:rPr>
        <w:t xml:space="preserve">IDFS </w:t>
      </w:r>
      <w:r w:rsidR="00E61F86" w:rsidRPr="005F0CE8">
        <w:rPr>
          <w:snapToGrid/>
        </w:rPr>
        <w:t xml:space="preserve">events </w:t>
      </w:r>
      <w:r w:rsidR="00B31542" w:rsidRPr="005F0CE8">
        <w:rPr>
          <w:snapToGrid/>
        </w:rPr>
        <w:t>when compared to placebo</w:t>
      </w:r>
      <w:r w:rsidR="00251F32">
        <w:rPr>
          <w:snapToGrid/>
        </w:rPr>
        <w:t xml:space="preserve"> at a median follow-up of 3.5 years</w:t>
      </w:r>
      <w:r w:rsidR="00B31542" w:rsidRPr="005F0CE8">
        <w:rPr>
          <w:snapToGrid/>
        </w:rPr>
        <w:t xml:space="preserve"> (14.5</w:t>
      </w:r>
      <w:r w:rsidR="00EF727E" w:rsidRPr="005F0CE8">
        <w:rPr>
          <w:snapToGrid/>
        </w:rPr>
        <w:t>% in olaparib, 22.6% in placebo</w:t>
      </w:r>
      <w:r w:rsidR="004A7B95">
        <w:rPr>
          <w:snapToGrid/>
        </w:rPr>
        <w:t>,</w:t>
      </w:r>
      <w:r w:rsidR="00996A6E" w:rsidRPr="005F0CE8">
        <w:rPr>
          <w:snapToGrid/>
        </w:rPr>
        <w:t xml:space="preserve"> </w:t>
      </w:r>
      <w:r w:rsidR="00A61322" w:rsidRPr="005F0CE8">
        <w:rPr>
          <w:snapToGrid/>
        </w:rPr>
        <w:t>hazard ratio</w:t>
      </w:r>
      <w:r w:rsidR="00996A6E" w:rsidRPr="005F0CE8">
        <w:rPr>
          <w:snapToGrid/>
        </w:rPr>
        <w:t xml:space="preserve"> 0.63 (95% CI 0.50, 0.78)</w:t>
      </w:r>
      <w:r w:rsidR="000024F9" w:rsidRPr="005F0CE8">
        <w:rPr>
          <w:snapToGrid/>
        </w:rPr>
        <w:t xml:space="preserve"> at DCO2</w:t>
      </w:r>
      <w:r w:rsidR="00EF727E" w:rsidRPr="005F0CE8">
        <w:rPr>
          <w:snapToGrid/>
        </w:rPr>
        <w:t xml:space="preserve">). </w:t>
      </w:r>
      <w:r w:rsidR="00B9399E" w:rsidRPr="005F0CE8">
        <w:rPr>
          <w:snapToGrid/>
        </w:rPr>
        <w:t xml:space="preserve">The Kaplan-Meier curves for IDFS in the OlympiA trial are presented in </w:t>
      </w:r>
      <w:r w:rsidR="00C21AC2" w:rsidRPr="005F0CE8">
        <w:rPr>
          <w:snapToGrid/>
        </w:rPr>
        <w:fldChar w:fldCharType="begin"/>
      </w:r>
      <w:r w:rsidR="00C21AC2" w:rsidRPr="005F0CE8">
        <w:rPr>
          <w:snapToGrid/>
        </w:rPr>
        <w:instrText xml:space="preserve"> REF _Ref121058397 \h </w:instrText>
      </w:r>
      <w:r w:rsidR="00C21AC2" w:rsidRPr="005F0CE8">
        <w:rPr>
          <w:snapToGrid/>
        </w:rPr>
      </w:r>
      <w:r w:rsidR="00C21AC2" w:rsidRPr="005F0CE8">
        <w:rPr>
          <w:snapToGrid/>
        </w:rPr>
        <w:fldChar w:fldCharType="separate"/>
      </w:r>
      <w:r w:rsidR="00AB6006" w:rsidRPr="005F0CE8">
        <w:t xml:space="preserve">Figure </w:t>
      </w:r>
      <w:r w:rsidR="00AB6006">
        <w:rPr>
          <w:noProof/>
        </w:rPr>
        <w:t>1</w:t>
      </w:r>
      <w:r w:rsidR="00C21AC2" w:rsidRPr="005F0CE8">
        <w:rPr>
          <w:snapToGrid/>
        </w:rPr>
        <w:fldChar w:fldCharType="end"/>
      </w:r>
      <w:r w:rsidR="00B9399E" w:rsidRPr="005F0CE8">
        <w:rPr>
          <w:snapToGrid/>
        </w:rPr>
        <w:t>.</w:t>
      </w:r>
    </w:p>
    <w:p w14:paraId="030B9000" w14:textId="672C1055" w:rsidR="00EF727E" w:rsidRPr="005F0CE8" w:rsidRDefault="00E627F8" w:rsidP="00477BB3">
      <w:pPr>
        <w:pStyle w:val="3-BodyText"/>
      </w:pPr>
      <w:r w:rsidRPr="005F0CE8">
        <w:rPr>
          <w:snapToGrid/>
        </w:rPr>
        <w:t xml:space="preserve">Secondary outcomes included </w:t>
      </w:r>
      <w:r w:rsidR="00176C9B">
        <w:rPr>
          <w:snapToGrid/>
        </w:rPr>
        <w:t>OS</w:t>
      </w:r>
      <w:r w:rsidRPr="005F0CE8">
        <w:rPr>
          <w:snapToGrid/>
        </w:rPr>
        <w:t xml:space="preserve"> and distant disease-free recurrence.</w:t>
      </w:r>
      <w:r w:rsidR="00B31542" w:rsidRPr="005F0CE8">
        <w:rPr>
          <w:snapToGrid/>
        </w:rPr>
        <w:t xml:space="preserve"> The OS data </w:t>
      </w:r>
      <w:r w:rsidR="005107A8" w:rsidRPr="005F0CE8">
        <w:rPr>
          <w:snapToGrid/>
        </w:rPr>
        <w:t>were</w:t>
      </w:r>
      <w:r w:rsidR="00B31542" w:rsidRPr="005F0CE8">
        <w:rPr>
          <w:snapToGrid/>
        </w:rPr>
        <w:t xml:space="preserve"> immature</w:t>
      </w:r>
      <w:r w:rsidR="000024F9" w:rsidRPr="005F0CE8">
        <w:rPr>
          <w:snapToGrid/>
        </w:rPr>
        <w:t xml:space="preserve"> at DCO2</w:t>
      </w:r>
      <w:r w:rsidR="00B31542" w:rsidRPr="005F0CE8">
        <w:rPr>
          <w:snapToGrid/>
        </w:rPr>
        <w:t xml:space="preserve"> </w:t>
      </w:r>
      <w:r w:rsidR="00D942FE" w:rsidRPr="005F0CE8">
        <w:rPr>
          <w:snapToGrid/>
        </w:rPr>
        <w:t>(75</w:t>
      </w:r>
      <w:r w:rsidR="00E30DB6" w:rsidRPr="005F0CE8">
        <w:rPr>
          <w:snapToGrid/>
        </w:rPr>
        <w:t xml:space="preserve"> (</w:t>
      </w:r>
      <w:r w:rsidR="00D942FE" w:rsidRPr="005F0CE8">
        <w:rPr>
          <w:snapToGrid/>
        </w:rPr>
        <w:t>8.1%</w:t>
      </w:r>
      <w:r w:rsidR="00E30DB6" w:rsidRPr="005F0CE8">
        <w:rPr>
          <w:snapToGrid/>
        </w:rPr>
        <w:t>)</w:t>
      </w:r>
      <w:r w:rsidR="00D942FE" w:rsidRPr="005F0CE8">
        <w:rPr>
          <w:snapToGrid/>
        </w:rPr>
        <w:t xml:space="preserve"> deaths in olaparib and </w:t>
      </w:r>
      <w:r w:rsidR="00E30DB6" w:rsidRPr="005F0CE8">
        <w:rPr>
          <w:snapToGrid/>
        </w:rPr>
        <w:t>109 (</w:t>
      </w:r>
      <w:r w:rsidR="00D942FE" w:rsidRPr="005F0CE8">
        <w:rPr>
          <w:snapToGrid/>
        </w:rPr>
        <w:t>11.9%</w:t>
      </w:r>
      <w:r w:rsidR="00E30DB6" w:rsidRPr="005F0CE8">
        <w:rPr>
          <w:snapToGrid/>
        </w:rPr>
        <w:t>)</w:t>
      </w:r>
      <w:r w:rsidR="00D942FE" w:rsidRPr="005F0CE8">
        <w:rPr>
          <w:snapToGrid/>
        </w:rPr>
        <w:t xml:space="preserve"> deaths in placebo</w:t>
      </w:r>
      <w:r w:rsidR="00CC0659" w:rsidRPr="00CC0659">
        <w:rPr>
          <w:snapToGrid/>
        </w:rPr>
        <w:t xml:space="preserve"> </w:t>
      </w:r>
      <w:r w:rsidR="00CC0659">
        <w:rPr>
          <w:snapToGrid/>
        </w:rPr>
        <w:t>at a median follow-up of 3.5 years</w:t>
      </w:r>
      <w:r w:rsidR="00D942FE" w:rsidRPr="005F0CE8">
        <w:rPr>
          <w:snapToGrid/>
        </w:rPr>
        <w:t xml:space="preserve">) </w:t>
      </w:r>
      <w:r w:rsidR="00B31542" w:rsidRPr="005F0CE8">
        <w:rPr>
          <w:snapToGrid/>
        </w:rPr>
        <w:t>owing to the long survival seen in eBC patients. The submission state</w:t>
      </w:r>
      <w:r w:rsidR="004B2813" w:rsidRPr="005F0CE8">
        <w:rPr>
          <w:snapToGrid/>
        </w:rPr>
        <w:t>d</w:t>
      </w:r>
      <w:r w:rsidR="00B31542" w:rsidRPr="005F0CE8">
        <w:rPr>
          <w:snapToGrid/>
        </w:rPr>
        <w:t xml:space="preserve"> that the deaths observed in the OlympiA trial </w:t>
      </w:r>
      <w:r w:rsidR="004B2813" w:rsidRPr="005F0CE8">
        <w:rPr>
          <w:snapToGrid/>
        </w:rPr>
        <w:t>we</w:t>
      </w:r>
      <w:r w:rsidR="00B31542" w:rsidRPr="005F0CE8">
        <w:rPr>
          <w:snapToGrid/>
        </w:rPr>
        <w:t xml:space="preserve">re from </w:t>
      </w:r>
      <w:r w:rsidR="00DB2BE9">
        <w:rPr>
          <w:snapToGrid/>
        </w:rPr>
        <w:t>‘</w:t>
      </w:r>
      <w:r w:rsidR="00B31542" w:rsidRPr="005F0CE8">
        <w:rPr>
          <w:snapToGrid/>
        </w:rPr>
        <w:t>early progressors</w:t>
      </w:r>
      <w:r w:rsidR="00DB2BE9">
        <w:rPr>
          <w:snapToGrid/>
        </w:rPr>
        <w:t>’</w:t>
      </w:r>
      <w:r w:rsidR="00B31542" w:rsidRPr="005F0CE8">
        <w:rPr>
          <w:snapToGrid/>
        </w:rPr>
        <w:t xml:space="preserve"> </w:t>
      </w:r>
      <w:r w:rsidR="00B9399E" w:rsidRPr="005F0CE8">
        <w:rPr>
          <w:snapToGrid/>
        </w:rPr>
        <w:t xml:space="preserve">and </w:t>
      </w:r>
      <w:r w:rsidR="00B31542" w:rsidRPr="005F0CE8">
        <w:rPr>
          <w:snapToGrid/>
        </w:rPr>
        <w:t>the likely full extent of OS gain has not been reali</w:t>
      </w:r>
      <w:r w:rsidR="005107A8" w:rsidRPr="005F0CE8">
        <w:rPr>
          <w:snapToGrid/>
        </w:rPr>
        <w:t>s</w:t>
      </w:r>
      <w:r w:rsidR="00B31542" w:rsidRPr="005F0CE8">
        <w:rPr>
          <w:snapToGrid/>
        </w:rPr>
        <w:t>ed and likely will not be observed for many years after the trial has concluded.</w:t>
      </w:r>
      <w:r w:rsidR="00EF727E" w:rsidRPr="005F0CE8">
        <w:rPr>
          <w:snapToGrid/>
        </w:rPr>
        <w:t xml:space="preserve"> The OS results from the OlympiA trial are displayed in </w:t>
      </w:r>
      <w:r w:rsidR="00AF1A80" w:rsidRPr="005F0CE8">
        <w:rPr>
          <w:snapToGrid/>
        </w:rPr>
        <w:fldChar w:fldCharType="begin"/>
      </w:r>
      <w:r w:rsidR="00AF1A80" w:rsidRPr="005F0CE8">
        <w:rPr>
          <w:snapToGrid/>
        </w:rPr>
        <w:instrText xml:space="preserve"> REF _Ref121011753 \h </w:instrText>
      </w:r>
      <w:r w:rsidR="00A742AE" w:rsidRPr="005F0CE8">
        <w:rPr>
          <w:snapToGrid/>
        </w:rPr>
        <w:instrText xml:space="preserve"> \* MERGEFORMAT </w:instrText>
      </w:r>
      <w:r w:rsidR="00AF1A80" w:rsidRPr="005F0CE8">
        <w:rPr>
          <w:snapToGrid/>
        </w:rPr>
      </w:r>
      <w:r w:rsidR="00AF1A80" w:rsidRPr="005F0CE8">
        <w:rPr>
          <w:snapToGrid/>
        </w:rPr>
        <w:fldChar w:fldCharType="separate"/>
      </w:r>
      <w:r w:rsidR="00AB6006" w:rsidRPr="005F0CE8">
        <w:t xml:space="preserve">Table </w:t>
      </w:r>
      <w:r w:rsidR="00AB6006">
        <w:t>5</w:t>
      </w:r>
      <w:r w:rsidR="00AF1A80" w:rsidRPr="005F0CE8">
        <w:rPr>
          <w:snapToGrid/>
        </w:rPr>
        <w:fldChar w:fldCharType="end"/>
      </w:r>
      <w:r w:rsidR="00EF727E" w:rsidRPr="005F0CE8">
        <w:rPr>
          <w:snapToGrid/>
        </w:rPr>
        <w:t xml:space="preserve">. At </w:t>
      </w:r>
      <w:r w:rsidR="00E97995" w:rsidRPr="005F0CE8">
        <w:rPr>
          <w:snapToGrid/>
        </w:rPr>
        <w:t>DCO2</w:t>
      </w:r>
      <w:r w:rsidR="008F7BCF" w:rsidRPr="005F0CE8">
        <w:rPr>
          <w:snapToGrid/>
        </w:rPr>
        <w:t xml:space="preserve"> </w:t>
      </w:r>
      <w:r w:rsidR="00E97995" w:rsidRPr="005F0CE8">
        <w:rPr>
          <w:snapToGrid/>
        </w:rPr>
        <w:t>(</w:t>
      </w:r>
      <w:r w:rsidR="00EB767F" w:rsidRPr="005F0CE8">
        <w:rPr>
          <w:snapToGrid/>
        </w:rPr>
        <w:t xml:space="preserve">median follow-up </w:t>
      </w:r>
      <w:r w:rsidR="007601D2" w:rsidRPr="005F0CE8">
        <w:rPr>
          <w:snapToGrid/>
        </w:rPr>
        <w:t>3.5 years</w:t>
      </w:r>
      <w:r w:rsidR="008F7BCF" w:rsidRPr="005F0CE8">
        <w:rPr>
          <w:snapToGrid/>
        </w:rPr>
        <w:t>)</w:t>
      </w:r>
      <w:r w:rsidR="00EF727E" w:rsidRPr="005F0CE8">
        <w:rPr>
          <w:snapToGrid/>
        </w:rPr>
        <w:t>,</w:t>
      </w:r>
      <w:r w:rsidR="0051445E" w:rsidRPr="005F0CE8">
        <w:rPr>
          <w:snapToGrid/>
        </w:rPr>
        <w:t xml:space="preserve"> there was a</w:t>
      </w:r>
      <w:r w:rsidR="00B571AC" w:rsidRPr="005F0CE8">
        <w:rPr>
          <w:snapToGrid/>
        </w:rPr>
        <w:t xml:space="preserve"> </w:t>
      </w:r>
      <w:r w:rsidR="0051445E" w:rsidRPr="005F0CE8">
        <w:rPr>
          <w:snapToGrid/>
        </w:rPr>
        <w:t>statistically significant difference in OS</w:t>
      </w:r>
      <w:r w:rsidR="008B1FD1" w:rsidRPr="005F0CE8">
        <w:rPr>
          <w:snapToGrid/>
        </w:rPr>
        <w:t xml:space="preserve"> </w:t>
      </w:r>
      <w:r w:rsidR="00996A6E" w:rsidRPr="005F0CE8">
        <w:rPr>
          <w:snapToGrid/>
        </w:rPr>
        <w:t>(</w:t>
      </w:r>
      <w:r w:rsidR="00A61322" w:rsidRPr="005F0CE8">
        <w:rPr>
          <w:snapToGrid/>
        </w:rPr>
        <w:t>hazard ratio</w:t>
      </w:r>
      <w:r w:rsidR="00996A6E" w:rsidRPr="005F0CE8">
        <w:rPr>
          <w:snapToGrid/>
        </w:rPr>
        <w:t xml:space="preserve"> 0.68 (9</w:t>
      </w:r>
      <w:r w:rsidR="00254A67" w:rsidRPr="005F0CE8">
        <w:rPr>
          <w:snapToGrid/>
        </w:rPr>
        <w:t>8.</w:t>
      </w:r>
      <w:r w:rsidR="00996A6E" w:rsidRPr="005F0CE8">
        <w:rPr>
          <w:snapToGrid/>
        </w:rPr>
        <w:t>5% CI 0.</w:t>
      </w:r>
      <w:r w:rsidR="00254A67" w:rsidRPr="005F0CE8">
        <w:rPr>
          <w:snapToGrid/>
        </w:rPr>
        <w:t>47</w:t>
      </w:r>
      <w:r w:rsidR="00996A6E" w:rsidRPr="005F0CE8">
        <w:rPr>
          <w:snapToGrid/>
        </w:rPr>
        <w:t>, 0.</w:t>
      </w:r>
      <w:r w:rsidR="00254A67" w:rsidRPr="005F0CE8">
        <w:rPr>
          <w:snapToGrid/>
        </w:rPr>
        <w:t>97</w:t>
      </w:r>
      <w:r w:rsidR="00996A6E" w:rsidRPr="005F0CE8">
        <w:rPr>
          <w:snapToGrid/>
        </w:rPr>
        <w:t>))</w:t>
      </w:r>
      <w:r w:rsidR="00EF727E" w:rsidRPr="005F0CE8">
        <w:rPr>
          <w:snapToGrid/>
        </w:rPr>
        <w:t>.</w:t>
      </w:r>
      <w:r w:rsidR="00E30DB6" w:rsidRPr="005F0CE8">
        <w:rPr>
          <w:snapToGrid/>
        </w:rPr>
        <w:t xml:space="preserve"> </w:t>
      </w:r>
      <w:r w:rsidR="00254A67" w:rsidRPr="005F0CE8">
        <w:rPr>
          <w:snapToGrid/>
        </w:rPr>
        <w:t>The 98.5% CI for the HR at DCO2 was reported to be inferential, according to the alpha spending rules for the DCO2 interim analysis</w:t>
      </w:r>
      <w:r w:rsidR="0003739E" w:rsidRPr="005F0CE8">
        <w:rPr>
          <w:snapToGrid/>
        </w:rPr>
        <w:t xml:space="preserve"> of </w:t>
      </w:r>
      <w:r w:rsidR="00176C9B">
        <w:rPr>
          <w:snapToGrid/>
        </w:rPr>
        <w:t>OS</w:t>
      </w:r>
      <w:r w:rsidR="00254A67" w:rsidRPr="005F0CE8">
        <w:rPr>
          <w:snapToGrid/>
        </w:rPr>
        <w:t>.</w:t>
      </w:r>
      <w:r w:rsidR="0003739E" w:rsidRPr="005F0CE8">
        <w:rPr>
          <w:snapToGrid/>
        </w:rPr>
        <w:t xml:space="preserve"> </w:t>
      </w:r>
      <w:r w:rsidR="00675BB4" w:rsidRPr="005F0CE8">
        <w:rPr>
          <w:snapToGrid/>
        </w:rPr>
        <w:t>The median OS had not been reached.</w:t>
      </w:r>
      <w:r w:rsidR="00B9399E" w:rsidRPr="005F0CE8">
        <w:rPr>
          <w:snapToGrid/>
        </w:rPr>
        <w:t xml:space="preserve"> The Kaplan-Meier curves for OS in the OlympiA trial are presented in </w:t>
      </w:r>
      <w:r w:rsidR="00C21AC2" w:rsidRPr="005F0CE8">
        <w:rPr>
          <w:snapToGrid/>
        </w:rPr>
        <w:fldChar w:fldCharType="begin"/>
      </w:r>
      <w:r w:rsidR="00C21AC2" w:rsidRPr="005F0CE8">
        <w:rPr>
          <w:snapToGrid/>
        </w:rPr>
        <w:instrText xml:space="preserve"> REF _Ref121058384 \h </w:instrText>
      </w:r>
      <w:r w:rsidR="0066509A" w:rsidRPr="005F0CE8">
        <w:rPr>
          <w:snapToGrid/>
        </w:rPr>
        <w:instrText xml:space="preserve"> \* MERGEFORMAT </w:instrText>
      </w:r>
      <w:r w:rsidR="00C21AC2" w:rsidRPr="005F0CE8">
        <w:rPr>
          <w:snapToGrid/>
        </w:rPr>
      </w:r>
      <w:r w:rsidR="00C21AC2" w:rsidRPr="005F0CE8">
        <w:rPr>
          <w:snapToGrid/>
        </w:rPr>
        <w:fldChar w:fldCharType="separate"/>
      </w:r>
      <w:r w:rsidR="00AB6006" w:rsidRPr="005F0CE8">
        <w:t xml:space="preserve">Figure </w:t>
      </w:r>
      <w:r w:rsidR="00AB6006">
        <w:t>2</w:t>
      </w:r>
      <w:r w:rsidR="00C21AC2" w:rsidRPr="005F0CE8">
        <w:rPr>
          <w:snapToGrid/>
        </w:rPr>
        <w:fldChar w:fldCharType="end"/>
      </w:r>
      <w:r w:rsidR="00C21AC2" w:rsidRPr="005F0CE8">
        <w:rPr>
          <w:snapToGrid/>
        </w:rPr>
        <w:t>.</w:t>
      </w:r>
    </w:p>
    <w:p w14:paraId="24C7F95A" w14:textId="23786BFD" w:rsidR="00012602" w:rsidRPr="005F0CE8" w:rsidRDefault="00012602" w:rsidP="00477BB3">
      <w:pPr>
        <w:pStyle w:val="3-BodyText"/>
      </w:pPr>
      <w:bookmarkStart w:id="40" w:name="_Ref130333070"/>
      <w:r w:rsidRPr="005F0CE8">
        <w:t>The submission noted that TNBC is associated with a faster rate of disease recurrence (typically within 5 years) compared with HR-positive, HER2-negative breast cancer (typically over 20 years up to a lifetime), as reported by Sopik et al. 2019</w:t>
      </w:r>
      <w:r w:rsidR="00C37DF6" w:rsidRPr="005F0CE8">
        <w:rPr>
          <w:rStyle w:val="FootnoteReference"/>
        </w:rPr>
        <w:footnoteReference w:id="17"/>
      </w:r>
      <w:r w:rsidRPr="005F0CE8">
        <w:t>. As such, long term survival data available for the HR-positive population in OlympiA is immature when compared to the TNBC population.</w:t>
      </w:r>
      <w:bookmarkEnd w:id="40"/>
    </w:p>
    <w:p w14:paraId="39E2DBA4" w14:textId="0A688FD2" w:rsidR="00E627F8" w:rsidRPr="005F0CE8" w:rsidRDefault="00EF727E" w:rsidP="00477BB3">
      <w:pPr>
        <w:pStyle w:val="3-BodyText"/>
      </w:pPr>
      <w:r w:rsidRPr="005F0CE8">
        <w:rPr>
          <w:snapToGrid/>
        </w:rPr>
        <w:t xml:space="preserve">The </w:t>
      </w:r>
      <w:r w:rsidR="00675BB4" w:rsidRPr="005F0CE8">
        <w:rPr>
          <w:snapToGrid/>
        </w:rPr>
        <w:t>distant disease-free survival (</w:t>
      </w:r>
      <w:r w:rsidRPr="005F0CE8">
        <w:rPr>
          <w:snapToGrid/>
        </w:rPr>
        <w:t>DDFS</w:t>
      </w:r>
      <w:r w:rsidR="00675BB4" w:rsidRPr="005F0CE8">
        <w:rPr>
          <w:snapToGrid/>
        </w:rPr>
        <w:t>)</w:t>
      </w:r>
      <w:r w:rsidRPr="005F0CE8">
        <w:rPr>
          <w:snapToGrid/>
        </w:rPr>
        <w:t xml:space="preserve"> data from the OlympiA trial </w:t>
      </w:r>
      <w:r w:rsidR="005107A8" w:rsidRPr="005F0CE8">
        <w:rPr>
          <w:snapToGrid/>
        </w:rPr>
        <w:t>are</w:t>
      </w:r>
      <w:r w:rsidRPr="005F0CE8">
        <w:rPr>
          <w:snapToGrid/>
        </w:rPr>
        <w:t xml:space="preserve"> also presented in </w:t>
      </w:r>
      <w:r w:rsidR="00AF1A80" w:rsidRPr="005F0CE8">
        <w:rPr>
          <w:snapToGrid/>
        </w:rPr>
        <w:fldChar w:fldCharType="begin"/>
      </w:r>
      <w:r w:rsidR="00AF1A80" w:rsidRPr="005F0CE8">
        <w:rPr>
          <w:snapToGrid/>
        </w:rPr>
        <w:instrText xml:space="preserve"> REF _Ref121011753 \h </w:instrText>
      </w:r>
      <w:r w:rsidR="0066509A" w:rsidRPr="005F0CE8">
        <w:rPr>
          <w:snapToGrid/>
        </w:rPr>
        <w:instrText xml:space="preserve"> \* MERGEFORMAT </w:instrText>
      </w:r>
      <w:r w:rsidR="00AF1A80" w:rsidRPr="005F0CE8">
        <w:rPr>
          <w:snapToGrid/>
        </w:rPr>
      </w:r>
      <w:r w:rsidR="00AF1A80" w:rsidRPr="005F0CE8">
        <w:rPr>
          <w:snapToGrid/>
        </w:rPr>
        <w:fldChar w:fldCharType="separate"/>
      </w:r>
      <w:r w:rsidR="00AB6006" w:rsidRPr="005F0CE8">
        <w:t xml:space="preserve">Table </w:t>
      </w:r>
      <w:r w:rsidR="00AB6006">
        <w:t>5</w:t>
      </w:r>
      <w:r w:rsidR="00AF1A80" w:rsidRPr="005F0CE8">
        <w:rPr>
          <w:snapToGrid/>
        </w:rPr>
        <w:fldChar w:fldCharType="end"/>
      </w:r>
      <w:r w:rsidRPr="005F0CE8">
        <w:rPr>
          <w:snapToGrid/>
        </w:rPr>
        <w:t xml:space="preserve"> and </w:t>
      </w:r>
      <w:r w:rsidR="005107A8" w:rsidRPr="005F0CE8">
        <w:rPr>
          <w:snapToGrid/>
        </w:rPr>
        <w:t xml:space="preserve">these findings </w:t>
      </w:r>
      <w:r w:rsidRPr="005F0CE8">
        <w:rPr>
          <w:snapToGrid/>
        </w:rPr>
        <w:t xml:space="preserve">align with the results </w:t>
      </w:r>
      <w:r w:rsidR="005107A8" w:rsidRPr="005F0CE8">
        <w:rPr>
          <w:snapToGrid/>
        </w:rPr>
        <w:t>for</w:t>
      </w:r>
      <w:r w:rsidRPr="005F0CE8">
        <w:rPr>
          <w:snapToGrid/>
        </w:rPr>
        <w:t xml:space="preserve"> IDFS. The olaparib arm </w:t>
      </w:r>
      <w:r w:rsidR="00B9399E" w:rsidRPr="005F0CE8">
        <w:rPr>
          <w:snapToGrid/>
        </w:rPr>
        <w:t>had</w:t>
      </w:r>
      <w:r w:rsidRPr="005F0CE8">
        <w:rPr>
          <w:snapToGrid/>
        </w:rPr>
        <w:t xml:space="preserve"> a distant recurrence rate of 11.6% while the </w:t>
      </w:r>
      <w:r w:rsidR="005107A8" w:rsidRPr="005F0CE8">
        <w:rPr>
          <w:snapToGrid/>
        </w:rPr>
        <w:t>p</w:t>
      </w:r>
      <w:r w:rsidRPr="005F0CE8">
        <w:rPr>
          <w:snapToGrid/>
        </w:rPr>
        <w:t>lacebo arm had a distant recurrence rate of 18.8%</w:t>
      </w:r>
      <w:r w:rsidR="000024F9" w:rsidRPr="005F0CE8">
        <w:rPr>
          <w:snapToGrid/>
        </w:rPr>
        <w:t xml:space="preserve"> at DCO2</w:t>
      </w:r>
      <w:r w:rsidRPr="005F0CE8">
        <w:rPr>
          <w:snapToGrid/>
        </w:rPr>
        <w:t>. This was a statistically significant difference</w:t>
      </w:r>
      <w:r w:rsidR="00996A6E" w:rsidRPr="005F0CE8">
        <w:rPr>
          <w:snapToGrid/>
        </w:rPr>
        <w:t xml:space="preserve"> (</w:t>
      </w:r>
      <w:r w:rsidR="00A61322" w:rsidRPr="005F0CE8">
        <w:rPr>
          <w:snapToGrid/>
        </w:rPr>
        <w:t>hazard ratio</w:t>
      </w:r>
      <w:r w:rsidR="00996A6E" w:rsidRPr="005F0CE8">
        <w:rPr>
          <w:snapToGrid/>
        </w:rPr>
        <w:t xml:space="preserve"> 0.61 (95% CI 0.48, 0.77)</w:t>
      </w:r>
      <w:r w:rsidRPr="005F0CE8">
        <w:rPr>
          <w:snapToGrid/>
        </w:rPr>
        <w:t>.</w:t>
      </w:r>
      <w:r w:rsidR="00B31542" w:rsidRPr="005F0CE8">
        <w:rPr>
          <w:snapToGrid/>
        </w:rPr>
        <w:t xml:space="preserve"> </w:t>
      </w:r>
    </w:p>
    <w:p w14:paraId="42BA1ABA" w14:textId="7EE84349" w:rsidR="001A42BA" w:rsidRPr="005F0CE8" w:rsidRDefault="001A42BA" w:rsidP="00B509E7">
      <w:pPr>
        <w:pStyle w:val="TableFigureHeading"/>
        <w:rPr>
          <w:rStyle w:val="CommentReference"/>
          <w:b/>
          <w:szCs w:val="24"/>
        </w:rPr>
      </w:pPr>
      <w:bookmarkStart w:id="41" w:name="_Ref121011753"/>
      <w:r w:rsidRPr="005F0CE8">
        <w:lastRenderedPageBreak/>
        <w:t xml:space="preserve">Table </w:t>
      </w:r>
      <w:fldSimple w:instr=" SEQ Table \* ARABIC ">
        <w:r w:rsidR="00AB6006">
          <w:rPr>
            <w:noProof/>
          </w:rPr>
          <w:t>5</w:t>
        </w:r>
      </w:fldSimple>
      <w:bookmarkEnd w:id="41"/>
      <w:r w:rsidRPr="005F0CE8">
        <w:t>:</w:t>
      </w:r>
      <w:r w:rsidRPr="005F0CE8">
        <w:rPr>
          <w:rStyle w:val="CommentReference"/>
          <w:b/>
          <w:szCs w:val="24"/>
        </w:rPr>
        <w:t xml:space="preserve"> Results of key outcomes in the OlympiA trial</w:t>
      </w:r>
      <w:r w:rsidR="007601D2" w:rsidRPr="005F0CE8">
        <w:rPr>
          <w:rStyle w:val="CommentReference"/>
          <w:b/>
          <w:szCs w:val="24"/>
        </w:rPr>
        <w:t xml:space="preserve"> </w:t>
      </w:r>
      <w:r w:rsidR="001823F3" w:rsidRPr="005F0CE8">
        <w:rPr>
          <w:rStyle w:val="CommentReference"/>
          <w:b/>
          <w:szCs w:val="24"/>
        </w:rPr>
        <w:t xml:space="preserve">DCO2 </w:t>
      </w:r>
      <w:r w:rsidR="007601D2" w:rsidRPr="005F0CE8">
        <w:rPr>
          <w:rStyle w:val="CommentReference"/>
          <w:b/>
          <w:szCs w:val="24"/>
        </w:rPr>
        <w:t>(median follow up of 3.5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4"/>
        <w:gridCol w:w="1845"/>
        <w:gridCol w:w="2126"/>
        <w:gridCol w:w="1933"/>
      </w:tblGrid>
      <w:tr w:rsidR="00B509E7" w:rsidRPr="005F0CE8" w14:paraId="2106D651" w14:textId="77777777" w:rsidTr="00B509E7">
        <w:trPr>
          <w:cantSplit/>
          <w:trHeight w:val="460"/>
          <w:tblHeader/>
        </w:trPr>
        <w:tc>
          <w:tcPr>
            <w:tcW w:w="626" w:type="pct"/>
            <w:vMerge w:val="restart"/>
            <w:vAlign w:val="center"/>
          </w:tcPr>
          <w:p w14:paraId="78A034C6" w14:textId="77777777" w:rsidR="00B509E7" w:rsidRPr="005F0CE8" w:rsidRDefault="00B509E7" w:rsidP="00B509E7">
            <w:pPr>
              <w:pStyle w:val="In-tableHeading"/>
              <w:rPr>
                <w:lang w:val="en-AU"/>
              </w:rPr>
            </w:pPr>
            <w:bookmarkStart w:id="42" w:name="_Hlk124166129"/>
            <w:r w:rsidRPr="005F0CE8">
              <w:rPr>
                <w:lang w:val="en-AU"/>
              </w:rPr>
              <w:t>Outcome</w:t>
            </w:r>
          </w:p>
        </w:tc>
        <w:tc>
          <w:tcPr>
            <w:tcW w:w="2123" w:type="pct"/>
            <w:gridSpan w:val="2"/>
            <w:vAlign w:val="center"/>
          </w:tcPr>
          <w:p w14:paraId="30FE9170" w14:textId="0A39F020" w:rsidR="00B509E7" w:rsidRPr="005F0CE8" w:rsidRDefault="00B509E7" w:rsidP="00B509E7">
            <w:pPr>
              <w:pStyle w:val="In-tableHeading"/>
              <w:jc w:val="center"/>
              <w:rPr>
                <w:lang w:val="en-AU"/>
              </w:rPr>
            </w:pPr>
            <w:r w:rsidRPr="005F0CE8">
              <w:rPr>
                <w:lang w:val="en-AU"/>
              </w:rPr>
              <w:t xml:space="preserve">Events </w:t>
            </w:r>
          </w:p>
        </w:tc>
        <w:tc>
          <w:tcPr>
            <w:tcW w:w="1179" w:type="pct"/>
            <w:vMerge w:val="restart"/>
            <w:vAlign w:val="center"/>
          </w:tcPr>
          <w:p w14:paraId="72910F50" w14:textId="068164E6" w:rsidR="00B509E7" w:rsidRPr="005F0CE8" w:rsidRDefault="00B509E7" w:rsidP="00B509E7">
            <w:pPr>
              <w:pStyle w:val="In-tableHeading"/>
              <w:jc w:val="center"/>
              <w:rPr>
                <w:lang w:val="en-AU"/>
              </w:rPr>
            </w:pPr>
            <w:r w:rsidRPr="005F0CE8">
              <w:rPr>
                <w:lang w:val="en-AU"/>
              </w:rPr>
              <w:t>Hazard ratio (95% CI)</w:t>
            </w:r>
            <w:r w:rsidRPr="005F0CE8">
              <w:rPr>
                <w:vertAlign w:val="superscript"/>
                <w:lang w:val="en-AU"/>
              </w:rPr>
              <w:t>a</w:t>
            </w:r>
          </w:p>
        </w:tc>
        <w:tc>
          <w:tcPr>
            <w:tcW w:w="1072" w:type="pct"/>
            <w:vMerge w:val="restart"/>
            <w:vAlign w:val="center"/>
          </w:tcPr>
          <w:p w14:paraId="42056B78" w14:textId="1FAF61A7" w:rsidR="00B509E7" w:rsidRPr="005F0CE8" w:rsidRDefault="00B509E7" w:rsidP="00B509E7">
            <w:pPr>
              <w:pStyle w:val="In-tableHeading"/>
              <w:jc w:val="center"/>
              <w:rPr>
                <w:lang w:val="en-AU"/>
              </w:rPr>
            </w:pPr>
            <w:r w:rsidRPr="005F0CE8">
              <w:rPr>
                <w:lang w:val="en-AU"/>
              </w:rPr>
              <w:t>Median time to event</w:t>
            </w:r>
          </w:p>
        </w:tc>
      </w:tr>
      <w:tr w:rsidR="00B509E7" w:rsidRPr="005F0CE8" w14:paraId="66DB7D5F" w14:textId="77777777" w:rsidTr="00B509E7">
        <w:trPr>
          <w:cantSplit/>
          <w:trHeight w:val="460"/>
          <w:tblHeader/>
        </w:trPr>
        <w:tc>
          <w:tcPr>
            <w:tcW w:w="626" w:type="pct"/>
            <w:vMerge/>
            <w:vAlign w:val="center"/>
          </w:tcPr>
          <w:p w14:paraId="543CA60B" w14:textId="77777777" w:rsidR="00B509E7" w:rsidRPr="005F0CE8" w:rsidRDefault="00B509E7" w:rsidP="00B509E7">
            <w:pPr>
              <w:pStyle w:val="In-tableHeading"/>
              <w:rPr>
                <w:lang w:val="en-AU"/>
              </w:rPr>
            </w:pPr>
          </w:p>
        </w:tc>
        <w:tc>
          <w:tcPr>
            <w:tcW w:w="1100" w:type="pct"/>
            <w:vAlign w:val="center"/>
          </w:tcPr>
          <w:p w14:paraId="32782843" w14:textId="77777777" w:rsidR="00B509E7" w:rsidRPr="005F0CE8" w:rsidRDefault="00B509E7" w:rsidP="00B509E7">
            <w:pPr>
              <w:pStyle w:val="In-tableHeading"/>
              <w:jc w:val="center"/>
              <w:rPr>
                <w:lang w:val="en-AU"/>
              </w:rPr>
            </w:pPr>
            <w:r w:rsidRPr="005F0CE8">
              <w:rPr>
                <w:lang w:val="en-AU"/>
              </w:rPr>
              <w:t>Olaparib</w:t>
            </w:r>
          </w:p>
          <w:p w14:paraId="2F44A210" w14:textId="46AD5254" w:rsidR="00B509E7" w:rsidRPr="005F0CE8" w:rsidRDefault="00B509E7" w:rsidP="00B509E7">
            <w:pPr>
              <w:pStyle w:val="In-tableHeading"/>
              <w:jc w:val="center"/>
              <w:rPr>
                <w:lang w:val="en-AU"/>
              </w:rPr>
            </w:pPr>
            <w:r w:rsidRPr="005F0CE8">
              <w:rPr>
                <w:lang w:val="en-AU"/>
              </w:rPr>
              <w:t>n/N (%)</w:t>
            </w:r>
          </w:p>
        </w:tc>
        <w:tc>
          <w:tcPr>
            <w:tcW w:w="1023" w:type="pct"/>
            <w:vAlign w:val="center"/>
          </w:tcPr>
          <w:p w14:paraId="023C3F01" w14:textId="77777777" w:rsidR="00B509E7" w:rsidRPr="005F0CE8" w:rsidRDefault="00B509E7" w:rsidP="00B509E7">
            <w:pPr>
              <w:pStyle w:val="In-tableHeading"/>
              <w:jc w:val="center"/>
              <w:rPr>
                <w:lang w:val="en-AU"/>
              </w:rPr>
            </w:pPr>
            <w:r w:rsidRPr="005F0CE8">
              <w:rPr>
                <w:lang w:val="en-AU"/>
              </w:rPr>
              <w:t>Placebo</w:t>
            </w:r>
          </w:p>
          <w:p w14:paraId="35BADDDF" w14:textId="5C49BEB6" w:rsidR="00B509E7" w:rsidRPr="005F0CE8" w:rsidRDefault="00B509E7" w:rsidP="00B509E7">
            <w:pPr>
              <w:pStyle w:val="In-tableHeading"/>
              <w:jc w:val="center"/>
              <w:rPr>
                <w:lang w:val="en-AU"/>
              </w:rPr>
            </w:pPr>
            <w:r w:rsidRPr="005F0CE8">
              <w:rPr>
                <w:lang w:val="en-AU"/>
              </w:rPr>
              <w:t>n/N (%)</w:t>
            </w:r>
          </w:p>
        </w:tc>
        <w:tc>
          <w:tcPr>
            <w:tcW w:w="1179" w:type="pct"/>
            <w:vMerge/>
            <w:vAlign w:val="center"/>
          </w:tcPr>
          <w:p w14:paraId="5EFDAC7F" w14:textId="77777777" w:rsidR="00B509E7" w:rsidRPr="005F0CE8" w:rsidRDefault="00B509E7" w:rsidP="00B509E7">
            <w:pPr>
              <w:pStyle w:val="In-tableHeading"/>
              <w:jc w:val="center"/>
              <w:rPr>
                <w:lang w:val="en-AU"/>
              </w:rPr>
            </w:pPr>
          </w:p>
        </w:tc>
        <w:tc>
          <w:tcPr>
            <w:tcW w:w="1072" w:type="pct"/>
            <w:vMerge/>
          </w:tcPr>
          <w:p w14:paraId="44CF7C2C" w14:textId="77777777" w:rsidR="00B509E7" w:rsidRPr="005F0CE8" w:rsidRDefault="00B509E7" w:rsidP="00B509E7">
            <w:pPr>
              <w:pStyle w:val="In-tableHeading"/>
              <w:jc w:val="center"/>
              <w:rPr>
                <w:lang w:val="en-AU"/>
              </w:rPr>
            </w:pPr>
          </w:p>
        </w:tc>
      </w:tr>
      <w:tr w:rsidR="00B509E7" w:rsidRPr="005F0CE8" w14:paraId="11DAE6E3" w14:textId="77777777" w:rsidTr="00B509E7">
        <w:trPr>
          <w:cantSplit/>
        </w:trPr>
        <w:tc>
          <w:tcPr>
            <w:tcW w:w="626" w:type="pct"/>
            <w:vAlign w:val="center"/>
          </w:tcPr>
          <w:p w14:paraId="1E589E7F" w14:textId="26CE19CB" w:rsidR="00B509E7" w:rsidRPr="005F0CE8" w:rsidRDefault="00B509E7" w:rsidP="00B509E7">
            <w:pPr>
              <w:pStyle w:val="TableText0"/>
            </w:pPr>
            <w:r w:rsidRPr="005F0CE8">
              <w:t>IDFS</w:t>
            </w:r>
          </w:p>
        </w:tc>
        <w:tc>
          <w:tcPr>
            <w:tcW w:w="1100" w:type="pct"/>
            <w:vAlign w:val="center"/>
          </w:tcPr>
          <w:p w14:paraId="48C52309" w14:textId="77777777" w:rsidR="00B509E7" w:rsidRPr="005F0CE8" w:rsidRDefault="00B509E7" w:rsidP="00B509E7">
            <w:pPr>
              <w:pStyle w:val="TableText0"/>
              <w:jc w:val="center"/>
            </w:pPr>
            <w:r w:rsidRPr="005F0CE8">
              <w:t>134 /921 (14.5%)</w:t>
            </w:r>
          </w:p>
        </w:tc>
        <w:tc>
          <w:tcPr>
            <w:tcW w:w="1023" w:type="pct"/>
            <w:vAlign w:val="center"/>
          </w:tcPr>
          <w:p w14:paraId="4DDDF340" w14:textId="77777777" w:rsidR="00B509E7" w:rsidRPr="005F0CE8" w:rsidRDefault="00B509E7" w:rsidP="00B509E7">
            <w:pPr>
              <w:pStyle w:val="TableText0"/>
              <w:jc w:val="center"/>
            </w:pPr>
            <w:r w:rsidRPr="005F0CE8">
              <w:t>207/ 915 (22.6%)</w:t>
            </w:r>
          </w:p>
        </w:tc>
        <w:tc>
          <w:tcPr>
            <w:tcW w:w="1179" w:type="pct"/>
            <w:vAlign w:val="center"/>
          </w:tcPr>
          <w:p w14:paraId="35204D22" w14:textId="3C8FCB95" w:rsidR="00B509E7" w:rsidRPr="005F0CE8" w:rsidRDefault="00B509E7" w:rsidP="00B509E7">
            <w:pPr>
              <w:pStyle w:val="TableText0"/>
              <w:jc w:val="center"/>
              <w:rPr>
                <w:b/>
                <w:bCs w:val="0"/>
              </w:rPr>
            </w:pPr>
            <w:r w:rsidRPr="005F0CE8">
              <w:rPr>
                <w:b/>
                <w:bCs w:val="0"/>
              </w:rPr>
              <w:t>0.63 (0.50, 0.78)</w:t>
            </w:r>
          </w:p>
        </w:tc>
        <w:tc>
          <w:tcPr>
            <w:tcW w:w="1072" w:type="pct"/>
          </w:tcPr>
          <w:p w14:paraId="333BE9D8" w14:textId="4F310FE4" w:rsidR="00B509E7" w:rsidRPr="005F0CE8" w:rsidRDefault="00B509E7" w:rsidP="00B509E7">
            <w:pPr>
              <w:pStyle w:val="TableText0"/>
              <w:jc w:val="center"/>
            </w:pPr>
            <w:r w:rsidRPr="005F0CE8">
              <w:t>NR</w:t>
            </w:r>
          </w:p>
        </w:tc>
      </w:tr>
      <w:tr w:rsidR="00B509E7" w:rsidRPr="005F0CE8" w14:paraId="6D6DB658" w14:textId="77777777" w:rsidTr="00B509E7">
        <w:trPr>
          <w:cantSplit/>
        </w:trPr>
        <w:tc>
          <w:tcPr>
            <w:tcW w:w="626" w:type="pct"/>
            <w:vAlign w:val="center"/>
          </w:tcPr>
          <w:p w14:paraId="15D85694" w14:textId="77777777" w:rsidR="00B509E7" w:rsidRPr="005F0CE8" w:rsidRDefault="00B509E7" w:rsidP="00B509E7">
            <w:pPr>
              <w:pStyle w:val="TableText0"/>
            </w:pPr>
            <w:r w:rsidRPr="005F0CE8">
              <w:t>OS</w:t>
            </w:r>
          </w:p>
        </w:tc>
        <w:tc>
          <w:tcPr>
            <w:tcW w:w="1100" w:type="pct"/>
            <w:vAlign w:val="center"/>
          </w:tcPr>
          <w:p w14:paraId="277E2384" w14:textId="77777777" w:rsidR="00B509E7" w:rsidRPr="005F0CE8" w:rsidRDefault="00B509E7" w:rsidP="00B509E7">
            <w:pPr>
              <w:pStyle w:val="TableText0"/>
              <w:jc w:val="center"/>
            </w:pPr>
            <w:r w:rsidRPr="005F0CE8">
              <w:t>75/921 (8.1%)</w:t>
            </w:r>
          </w:p>
        </w:tc>
        <w:tc>
          <w:tcPr>
            <w:tcW w:w="1023" w:type="pct"/>
            <w:vAlign w:val="center"/>
          </w:tcPr>
          <w:p w14:paraId="2D2537D3" w14:textId="77777777" w:rsidR="00B509E7" w:rsidRPr="005F0CE8" w:rsidRDefault="00B509E7" w:rsidP="00B509E7">
            <w:pPr>
              <w:pStyle w:val="TableText0"/>
              <w:jc w:val="center"/>
            </w:pPr>
            <w:r w:rsidRPr="005F0CE8">
              <w:t>109/ 915 (11.9%)</w:t>
            </w:r>
          </w:p>
        </w:tc>
        <w:tc>
          <w:tcPr>
            <w:tcW w:w="1179" w:type="pct"/>
            <w:vAlign w:val="center"/>
          </w:tcPr>
          <w:p w14:paraId="7A1EF150" w14:textId="57C65649" w:rsidR="00B509E7" w:rsidRPr="005F0CE8" w:rsidRDefault="00B509E7" w:rsidP="00B509E7">
            <w:pPr>
              <w:pStyle w:val="TableText0"/>
              <w:jc w:val="center"/>
              <w:rPr>
                <w:b/>
                <w:bCs w:val="0"/>
              </w:rPr>
            </w:pPr>
            <w:r w:rsidRPr="005F0CE8">
              <w:rPr>
                <w:b/>
                <w:bCs w:val="0"/>
              </w:rPr>
              <w:t>0.68 (0.50, 0.91)</w:t>
            </w:r>
          </w:p>
        </w:tc>
        <w:tc>
          <w:tcPr>
            <w:tcW w:w="1072" w:type="pct"/>
          </w:tcPr>
          <w:p w14:paraId="101C77E9" w14:textId="0FC06663" w:rsidR="00B509E7" w:rsidRPr="005F0CE8" w:rsidRDefault="00B509E7" w:rsidP="00B509E7">
            <w:pPr>
              <w:pStyle w:val="TableText0"/>
              <w:jc w:val="center"/>
            </w:pPr>
            <w:r w:rsidRPr="005F0CE8">
              <w:t>NR</w:t>
            </w:r>
          </w:p>
        </w:tc>
      </w:tr>
      <w:tr w:rsidR="00B509E7" w:rsidRPr="005F0CE8" w14:paraId="66E59DFC" w14:textId="77777777" w:rsidTr="00B509E7">
        <w:trPr>
          <w:cantSplit/>
        </w:trPr>
        <w:tc>
          <w:tcPr>
            <w:tcW w:w="626" w:type="pct"/>
            <w:vAlign w:val="center"/>
          </w:tcPr>
          <w:p w14:paraId="24F94F12" w14:textId="77777777" w:rsidR="00B509E7" w:rsidRPr="005F0CE8" w:rsidRDefault="00B509E7" w:rsidP="00B509E7">
            <w:pPr>
              <w:pStyle w:val="TableText0"/>
            </w:pPr>
            <w:r w:rsidRPr="005F0CE8">
              <w:t>DDFS</w:t>
            </w:r>
          </w:p>
        </w:tc>
        <w:tc>
          <w:tcPr>
            <w:tcW w:w="1100" w:type="pct"/>
            <w:vAlign w:val="center"/>
          </w:tcPr>
          <w:p w14:paraId="0B5B3E2F" w14:textId="77777777" w:rsidR="00B509E7" w:rsidRPr="005F0CE8" w:rsidRDefault="00B509E7" w:rsidP="00B509E7">
            <w:pPr>
              <w:pStyle w:val="TableText0"/>
              <w:jc w:val="center"/>
            </w:pPr>
            <w:r w:rsidRPr="005F0CE8">
              <w:t>107/921 (11.6%)</w:t>
            </w:r>
          </w:p>
        </w:tc>
        <w:tc>
          <w:tcPr>
            <w:tcW w:w="1023" w:type="pct"/>
            <w:vAlign w:val="center"/>
          </w:tcPr>
          <w:p w14:paraId="466D3FFB" w14:textId="77777777" w:rsidR="00B509E7" w:rsidRPr="005F0CE8" w:rsidRDefault="00B509E7" w:rsidP="00B509E7">
            <w:pPr>
              <w:pStyle w:val="TableText0"/>
              <w:jc w:val="center"/>
            </w:pPr>
            <w:r w:rsidRPr="005F0CE8">
              <w:t>172/ 915 (18.8%)</w:t>
            </w:r>
          </w:p>
        </w:tc>
        <w:tc>
          <w:tcPr>
            <w:tcW w:w="1179" w:type="pct"/>
            <w:vAlign w:val="center"/>
          </w:tcPr>
          <w:p w14:paraId="01AFB8CC" w14:textId="7EEC6C54" w:rsidR="00B509E7" w:rsidRPr="005F0CE8" w:rsidRDefault="00B509E7" w:rsidP="00B509E7">
            <w:pPr>
              <w:pStyle w:val="TableText0"/>
              <w:jc w:val="center"/>
              <w:rPr>
                <w:b/>
                <w:bCs w:val="0"/>
              </w:rPr>
            </w:pPr>
            <w:r w:rsidRPr="005F0CE8">
              <w:rPr>
                <w:b/>
                <w:bCs w:val="0"/>
              </w:rPr>
              <w:t>0.61 (0.48, 0.77)</w:t>
            </w:r>
          </w:p>
        </w:tc>
        <w:tc>
          <w:tcPr>
            <w:tcW w:w="1072" w:type="pct"/>
          </w:tcPr>
          <w:p w14:paraId="4D512108" w14:textId="0E4E362A" w:rsidR="00B509E7" w:rsidRPr="005F0CE8" w:rsidRDefault="00B509E7" w:rsidP="00B509E7">
            <w:pPr>
              <w:pStyle w:val="TableText0"/>
              <w:jc w:val="center"/>
            </w:pPr>
            <w:r w:rsidRPr="005F0CE8">
              <w:t>NR</w:t>
            </w:r>
          </w:p>
        </w:tc>
      </w:tr>
    </w:tbl>
    <w:bookmarkEnd w:id="42"/>
    <w:p w14:paraId="390412D5" w14:textId="6F53E622" w:rsidR="0003739E" w:rsidRPr="005F0CE8" w:rsidRDefault="0003739E" w:rsidP="00B509E7">
      <w:pPr>
        <w:pStyle w:val="FooterTableFigure"/>
        <w:keepNext/>
      </w:pPr>
      <w:r w:rsidRPr="005F0CE8">
        <w:t xml:space="preserve">a. Submission reported that 95% CI were exploratory, not inferential. For OS only, the hazard ratio with 98.5% CI was reported to be inferential </w:t>
      </w:r>
      <w:r w:rsidRPr="005F0CE8">
        <w:rPr>
          <w:snapToGrid/>
        </w:rPr>
        <w:t>according to the alpha spending rules for the DCO2 interim analysis (HR 0.68 (98.5% CI 0.47, 0.97)).</w:t>
      </w:r>
    </w:p>
    <w:p w14:paraId="11EAAF61" w14:textId="039844C3" w:rsidR="001A42BA" w:rsidRPr="005F0CE8" w:rsidRDefault="001A42BA" w:rsidP="00B509E7">
      <w:pPr>
        <w:pStyle w:val="FooterTableFigure"/>
        <w:keepNext/>
        <w:rPr>
          <w:sz w:val="20"/>
        </w:rPr>
      </w:pPr>
      <w:r w:rsidRPr="005F0CE8">
        <w:t>Source: Table 2.16, p68, table 2.17, p69, and table 2.18, p71 of the submission</w:t>
      </w:r>
      <w:r w:rsidR="0083096C" w:rsidRPr="005F0CE8">
        <w:t>)</w:t>
      </w:r>
      <w:r w:rsidR="0003739E" w:rsidRPr="005F0CE8">
        <w:t>, Table 14.2.7 (DCO2 addendum part b)</w:t>
      </w:r>
      <w:r w:rsidRPr="005F0CE8">
        <w:t>.</w:t>
      </w:r>
    </w:p>
    <w:p w14:paraId="7356E61D" w14:textId="736C242D" w:rsidR="001A42BA" w:rsidRPr="005F0CE8" w:rsidRDefault="001A42BA" w:rsidP="001A42BA">
      <w:pPr>
        <w:pStyle w:val="FooterTableFigure"/>
        <w:rPr>
          <w:rFonts w:eastAsia="Calibri"/>
        </w:rPr>
      </w:pPr>
      <w:r w:rsidRPr="005F0CE8">
        <w:rPr>
          <w:rFonts w:eastAsia="Calibri"/>
        </w:rPr>
        <w:t>CI = confidence interval</w:t>
      </w:r>
      <w:r w:rsidR="00CF3B0C" w:rsidRPr="005F0CE8">
        <w:rPr>
          <w:rFonts w:eastAsia="Calibri"/>
        </w:rPr>
        <w:t>,</w:t>
      </w:r>
      <w:r w:rsidRPr="005F0CE8">
        <w:rPr>
          <w:rFonts w:eastAsia="Calibri"/>
        </w:rPr>
        <w:t xml:space="preserve"> DDFS = distant </w:t>
      </w:r>
      <w:r w:rsidR="00B9399E" w:rsidRPr="005F0CE8">
        <w:rPr>
          <w:rFonts w:eastAsia="Calibri"/>
        </w:rPr>
        <w:t>disease-free</w:t>
      </w:r>
      <w:r w:rsidRPr="005F0CE8">
        <w:rPr>
          <w:rFonts w:eastAsia="Calibri"/>
        </w:rPr>
        <w:t xml:space="preserve"> survival</w:t>
      </w:r>
      <w:r w:rsidR="00CF3B0C" w:rsidRPr="005F0CE8">
        <w:rPr>
          <w:rFonts w:eastAsia="Calibri"/>
        </w:rPr>
        <w:t>,</w:t>
      </w:r>
      <w:r w:rsidRPr="005F0CE8">
        <w:rPr>
          <w:rFonts w:eastAsia="Calibri"/>
        </w:rPr>
        <w:t xml:space="preserve"> IDFS = invasive </w:t>
      </w:r>
      <w:r w:rsidR="00213B82" w:rsidRPr="005F0CE8">
        <w:rPr>
          <w:rFonts w:eastAsia="Calibri"/>
        </w:rPr>
        <w:t>disease-free</w:t>
      </w:r>
      <w:r w:rsidRPr="005F0CE8">
        <w:rPr>
          <w:rFonts w:eastAsia="Calibri"/>
        </w:rPr>
        <w:t xml:space="preserve"> survival</w:t>
      </w:r>
      <w:r w:rsidR="00CF3B0C" w:rsidRPr="005F0CE8">
        <w:rPr>
          <w:rFonts w:eastAsia="Calibri"/>
        </w:rPr>
        <w:t>,</w:t>
      </w:r>
      <w:r w:rsidRPr="005F0CE8">
        <w:rPr>
          <w:rFonts w:eastAsia="Calibri"/>
        </w:rPr>
        <w:t xml:space="preserve"> n = number of participants with event</w:t>
      </w:r>
      <w:r w:rsidR="00CF3B0C" w:rsidRPr="005F0CE8">
        <w:rPr>
          <w:rFonts w:eastAsia="Calibri"/>
        </w:rPr>
        <w:t>,</w:t>
      </w:r>
      <w:r w:rsidRPr="005F0CE8">
        <w:rPr>
          <w:rFonts w:eastAsia="Calibri"/>
        </w:rPr>
        <w:t xml:space="preserve"> N = total participants in group</w:t>
      </w:r>
      <w:r w:rsidR="00CF3B0C" w:rsidRPr="005F0CE8">
        <w:rPr>
          <w:rFonts w:eastAsia="Calibri"/>
        </w:rPr>
        <w:t>,</w:t>
      </w:r>
      <w:r w:rsidRPr="005F0CE8">
        <w:rPr>
          <w:rFonts w:eastAsia="Calibri"/>
        </w:rPr>
        <w:t xml:space="preserve"> </w:t>
      </w:r>
      <w:r w:rsidR="00C02D0B" w:rsidRPr="005F0CE8">
        <w:rPr>
          <w:rFonts w:eastAsia="Calibri"/>
        </w:rPr>
        <w:t xml:space="preserve">NR = not reached; </w:t>
      </w:r>
      <w:r w:rsidRPr="005F0CE8">
        <w:rPr>
          <w:rFonts w:eastAsia="Calibri"/>
        </w:rPr>
        <w:t xml:space="preserve">OS = overall survival. </w:t>
      </w:r>
      <w:r w:rsidRPr="005F0CE8">
        <w:rPr>
          <w:rFonts w:eastAsia="Calibri"/>
          <w:b/>
          <w:bCs/>
        </w:rPr>
        <w:t>Bold</w:t>
      </w:r>
      <w:r w:rsidRPr="005F0CE8">
        <w:rPr>
          <w:rFonts w:eastAsia="Calibri"/>
        </w:rPr>
        <w:t xml:space="preserve"> indicates statistically significant results.</w:t>
      </w:r>
    </w:p>
    <w:p w14:paraId="2A61849B" w14:textId="2B8D8466" w:rsidR="00AF1A80" w:rsidRPr="005F0CE8" w:rsidRDefault="00AF1A80" w:rsidP="00AF1A80">
      <w:pPr>
        <w:pStyle w:val="Caption"/>
      </w:pPr>
      <w:bookmarkStart w:id="43" w:name="_Ref121058397"/>
      <w:r w:rsidRPr="005F0CE8">
        <w:t xml:space="preserve">Figure </w:t>
      </w:r>
      <w:fldSimple w:instr=" SEQ Figure \* ARABIC ">
        <w:r w:rsidR="00AB6006">
          <w:rPr>
            <w:noProof/>
          </w:rPr>
          <w:t>1</w:t>
        </w:r>
      </w:fldSimple>
      <w:bookmarkEnd w:id="43"/>
      <w:r w:rsidRPr="005F0CE8">
        <w:t>: Kaplan-Meier Plot for IDFS (ITT Population) in OlympiA at median follow-up of 3.5 and 3.6 years (olaparib and placebo respectively)</w:t>
      </w:r>
    </w:p>
    <w:p w14:paraId="551E6BF1" w14:textId="77777777" w:rsidR="001A42BA" w:rsidRPr="005F0CE8" w:rsidRDefault="001A42BA" w:rsidP="00D529A9">
      <w:pPr>
        <w:pStyle w:val="FooterTableFigure"/>
        <w:spacing w:after="0"/>
        <w:rPr>
          <w:rFonts w:eastAsia="Calibri"/>
        </w:rPr>
      </w:pPr>
      <w:r w:rsidRPr="005F0CE8">
        <w:rPr>
          <w:noProof/>
        </w:rPr>
        <w:drawing>
          <wp:inline distT="0" distB="0" distL="0" distR="0" wp14:anchorId="21588424" wp14:editId="5BADBF1D">
            <wp:extent cx="5731510" cy="3136265"/>
            <wp:effectExtent l="0" t="0" r="2540" b="6985"/>
            <wp:docPr id="1" name="Picture 1" descr="Figure 1: Kaplan-Meier Plot for IDFS (ITT Population) in OlympiA at median follow-up of 3.5 and 3.6 years (olaparib and placebo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Kaplan-Meier Plot for IDFS (ITT Population) in OlympiA at median follow-up of 3.5 and 3.6 years (olaparib and placebo respectively)"/>
                    <pic:cNvPicPr/>
                  </pic:nvPicPr>
                  <pic:blipFill>
                    <a:blip r:embed="rId8"/>
                    <a:stretch>
                      <a:fillRect/>
                    </a:stretch>
                  </pic:blipFill>
                  <pic:spPr>
                    <a:xfrm>
                      <a:off x="0" y="0"/>
                      <a:ext cx="5731510" cy="3136265"/>
                    </a:xfrm>
                    <a:prstGeom prst="rect">
                      <a:avLst/>
                    </a:prstGeom>
                  </pic:spPr>
                </pic:pic>
              </a:graphicData>
            </a:graphic>
          </wp:inline>
        </w:drawing>
      </w:r>
    </w:p>
    <w:p w14:paraId="0B1FCEAD" w14:textId="77777777" w:rsidR="001A42BA" w:rsidRPr="005F0CE8" w:rsidRDefault="001A42BA" w:rsidP="001A42BA">
      <w:pPr>
        <w:pStyle w:val="FooterTableFigure"/>
      </w:pPr>
      <w:r w:rsidRPr="005F0CE8">
        <w:t>Source: Figure 2.3, p68 of the submission.</w:t>
      </w:r>
    </w:p>
    <w:p w14:paraId="7E0246AA" w14:textId="66DA8708" w:rsidR="001A42BA" w:rsidRPr="005F0CE8" w:rsidRDefault="001A42BA" w:rsidP="002C7B60">
      <w:pPr>
        <w:pStyle w:val="FooterTableFigure"/>
        <w:rPr>
          <w:szCs w:val="18"/>
        </w:rPr>
      </w:pPr>
      <w:r w:rsidRPr="005F0CE8">
        <w:rPr>
          <w:szCs w:val="18"/>
        </w:rPr>
        <w:t>IDFS = Invasive disease-free survival</w:t>
      </w:r>
      <w:r w:rsidR="00CF3B0C" w:rsidRPr="005F0CE8">
        <w:rPr>
          <w:szCs w:val="18"/>
        </w:rPr>
        <w:t>,</w:t>
      </w:r>
      <w:r w:rsidRPr="005F0CE8">
        <w:rPr>
          <w:szCs w:val="18"/>
        </w:rPr>
        <w:t xml:space="preserve"> ITT = Intention-to-treat</w:t>
      </w:r>
    </w:p>
    <w:p w14:paraId="17EEB427" w14:textId="52FA4561" w:rsidR="00AF1A80" w:rsidRPr="005F0CE8" w:rsidRDefault="00AF1A80" w:rsidP="00AF1A80">
      <w:pPr>
        <w:pStyle w:val="Caption"/>
      </w:pPr>
      <w:bookmarkStart w:id="44" w:name="_Ref121058384"/>
      <w:r w:rsidRPr="005F0CE8">
        <w:lastRenderedPageBreak/>
        <w:t xml:space="preserve">Figure </w:t>
      </w:r>
      <w:fldSimple w:instr=" SEQ Figure \* ARABIC ">
        <w:r w:rsidR="00AB6006">
          <w:rPr>
            <w:noProof/>
          </w:rPr>
          <w:t>2</w:t>
        </w:r>
      </w:fldSimple>
      <w:bookmarkEnd w:id="44"/>
      <w:r w:rsidRPr="005F0CE8">
        <w:t>: Kaplan-Meier Plot for OS (ITT Population) in OlympiA at median follow-up of 3.5 and 3.6 years</w:t>
      </w:r>
    </w:p>
    <w:p w14:paraId="385DEB55" w14:textId="77777777" w:rsidR="001A42BA" w:rsidRPr="005F0CE8" w:rsidRDefault="001A42BA" w:rsidP="00D529A9">
      <w:pPr>
        <w:pStyle w:val="FooterTableFigure"/>
        <w:spacing w:after="0"/>
        <w:rPr>
          <w:rFonts w:eastAsia="Calibri"/>
        </w:rPr>
      </w:pPr>
      <w:r w:rsidRPr="005F0CE8">
        <w:rPr>
          <w:noProof/>
        </w:rPr>
        <w:drawing>
          <wp:inline distT="0" distB="0" distL="0" distR="0" wp14:anchorId="26EA5639" wp14:editId="38776171">
            <wp:extent cx="5731510" cy="3154045"/>
            <wp:effectExtent l="0" t="0" r="2540" b="8255"/>
            <wp:docPr id="2" name="Picture 2" descr="Figure 2: Kaplan-Meier Plot for OS (ITT Population) in OlympiA at median follow-up of 3.5 and 3.6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Kaplan-Meier Plot for OS (ITT Population) in OlympiA at median follow-up of 3.5 and 3.6 years"/>
                    <pic:cNvPicPr/>
                  </pic:nvPicPr>
                  <pic:blipFill>
                    <a:blip r:embed="rId9"/>
                    <a:stretch>
                      <a:fillRect/>
                    </a:stretch>
                  </pic:blipFill>
                  <pic:spPr>
                    <a:xfrm>
                      <a:off x="0" y="0"/>
                      <a:ext cx="5731510" cy="3154045"/>
                    </a:xfrm>
                    <a:prstGeom prst="rect">
                      <a:avLst/>
                    </a:prstGeom>
                  </pic:spPr>
                </pic:pic>
              </a:graphicData>
            </a:graphic>
          </wp:inline>
        </w:drawing>
      </w:r>
      <w:r w:rsidRPr="005F0CE8">
        <w:rPr>
          <w:rFonts w:eastAsia="Calibri"/>
        </w:rPr>
        <w:t xml:space="preserve"> </w:t>
      </w:r>
    </w:p>
    <w:p w14:paraId="0619F439" w14:textId="77777777" w:rsidR="001A42BA" w:rsidRPr="005F0CE8" w:rsidRDefault="001A42BA" w:rsidP="001A42BA">
      <w:pPr>
        <w:rPr>
          <w:rFonts w:ascii="Arial Narrow" w:hAnsi="Arial Narrow"/>
          <w:sz w:val="18"/>
          <w:szCs w:val="18"/>
        </w:rPr>
      </w:pPr>
      <w:r w:rsidRPr="005F0CE8">
        <w:rPr>
          <w:rFonts w:ascii="Arial Narrow" w:hAnsi="Arial Narrow"/>
          <w:sz w:val="18"/>
          <w:szCs w:val="18"/>
        </w:rPr>
        <w:t>Source: Figure 2.5, p71 of the submission.</w:t>
      </w:r>
    </w:p>
    <w:p w14:paraId="07650A53" w14:textId="56E1FC5F" w:rsidR="005705FC" w:rsidRPr="00DB2BE9" w:rsidRDefault="001A42BA" w:rsidP="00DB2BE9">
      <w:pPr>
        <w:spacing w:after="120"/>
        <w:rPr>
          <w:rFonts w:ascii="Arial Narrow" w:hAnsi="Arial Narrow"/>
          <w:sz w:val="18"/>
          <w:szCs w:val="18"/>
        </w:rPr>
      </w:pPr>
      <w:r w:rsidRPr="005F0CE8">
        <w:rPr>
          <w:rFonts w:ascii="Arial Narrow" w:hAnsi="Arial Narrow"/>
          <w:sz w:val="18"/>
          <w:szCs w:val="18"/>
        </w:rPr>
        <w:t>ITT = intention to treat</w:t>
      </w:r>
      <w:r w:rsidR="00CF3B0C" w:rsidRPr="005F0CE8">
        <w:rPr>
          <w:rFonts w:ascii="Arial Narrow" w:hAnsi="Arial Narrow"/>
          <w:sz w:val="18"/>
          <w:szCs w:val="18"/>
        </w:rPr>
        <w:t>,</w:t>
      </w:r>
      <w:r w:rsidRPr="005F0CE8">
        <w:rPr>
          <w:rFonts w:ascii="Arial Narrow" w:hAnsi="Arial Narrow"/>
          <w:sz w:val="18"/>
          <w:szCs w:val="18"/>
        </w:rPr>
        <w:t xml:space="preserve"> OS = overall survival.</w:t>
      </w:r>
    </w:p>
    <w:p w14:paraId="1E1C017F" w14:textId="77777777" w:rsidR="0064599A" w:rsidRPr="005F0CE8" w:rsidRDefault="0064599A" w:rsidP="00AF5FC8">
      <w:pPr>
        <w:pStyle w:val="5-SubsectionSubheading"/>
      </w:pPr>
      <w:r w:rsidRPr="005F0CE8">
        <w:t>Subgroup analyses</w:t>
      </w:r>
    </w:p>
    <w:p w14:paraId="2F21A908" w14:textId="0DE29660" w:rsidR="00E50B7F" w:rsidRPr="005F0CE8" w:rsidRDefault="0064599A" w:rsidP="00477BB3">
      <w:pPr>
        <w:pStyle w:val="3-BodyText"/>
      </w:pPr>
      <w:bookmarkStart w:id="45" w:name="_Ref127472385"/>
      <w:bookmarkStart w:id="46" w:name="_Ref127523850"/>
      <w:r w:rsidRPr="005F0CE8">
        <w:t xml:space="preserve">Hormone receptor status was a stratification factor in the OlympiA trial, which included a smaller proportion of HR-positive, HER2-negative patients (17.7%) compared to the TNBC population (82.3%). In contrast, the </w:t>
      </w:r>
      <w:r w:rsidR="00B50F8D" w:rsidRPr="005F0CE8">
        <w:t xml:space="preserve">submission estimated the </w:t>
      </w:r>
      <w:r w:rsidRPr="005F0CE8">
        <w:t xml:space="preserve">proportion of HR-positive, HER2-negative patients in Australian clinical practice is estimated to be approximately 56.9 to 79.6% compared with 12 to 24% for TNBC. </w:t>
      </w:r>
      <w:r w:rsidR="00B50F8D" w:rsidRPr="005F0CE8">
        <w:rPr>
          <w:iCs/>
        </w:rPr>
        <w:t>The ESC noted that the submission’s estimates were drawn from Australian studies</w:t>
      </w:r>
      <w:r w:rsidR="00106FF8" w:rsidRPr="005F0CE8">
        <w:rPr>
          <w:iCs/>
        </w:rPr>
        <w:t xml:space="preserve"> (Bartlett 2021</w:t>
      </w:r>
      <w:r w:rsidR="00C37DF6" w:rsidRPr="005F0CE8">
        <w:rPr>
          <w:rStyle w:val="FootnoteReference"/>
          <w:iCs/>
        </w:rPr>
        <w:footnoteReference w:id="18"/>
      </w:r>
      <w:r w:rsidR="00106FF8" w:rsidRPr="005F0CE8">
        <w:rPr>
          <w:iCs/>
        </w:rPr>
        <w:t xml:space="preserve"> and Na</w:t>
      </w:r>
      <w:r w:rsidR="00C37DF6" w:rsidRPr="005F0CE8">
        <w:rPr>
          <w:iCs/>
        </w:rPr>
        <w:t>h</w:t>
      </w:r>
      <w:r w:rsidR="00106FF8" w:rsidRPr="005F0CE8">
        <w:rPr>
          <w:iCs/>
        </w:rPr>
        <w:t>er 2018</w:t>
      </w:r>
      <w:r w:rsidR="00C37DF6" w:rsidRPr="005F0CE8">
        <w:rPr>
          <w:rStyle w:val="FootnoteReference"/>
          <w:iCs/>
        </w:rPr>
        <w:footnoteReference w:id="19"/>
      </w:r>
      <w:r w:rsidR="00106FF8" w:rsidRPr="005F0CE8">
        <w:rPr>
          <w:iCs/>
        </w:rPr>
        <w:t>)</w:t>
      </w:r>
      <w:r w:rsidR="00B50F8D" w:rsidRPr="005F0CE8">
        <w:rPr>
          <w:iCs/>
        </w:rPr>
        <w:t xml:space="preserve"> in broader patient populations that were not limited to those with g</w:t>
      </w:r>
      <w:r w:rsidR="009E092C" w:rsidRPr="009E092C">
        <w:rPr>
          <w:i/>
          <w:iCs/>
        </w:rPr>
        <w:t xml:space="preserve">BRCA </w:t>
      </w:r>
      <w:r w:rsidR="00B50F8D" w:rsidRPr="005F0CE8">
        <w:rPr>
          <w:iCs/>
        </w:rPr>
        <w:t xml:space="preserve">mutations, and therefore may not </w:t>
      </w:r>
      <w:r w:rsidR="00106FF8" w:rsidRPr="005F0CE8">
        <w:rPr>
          <w:iCs/>
        </w:rPr>
        <w:t>be applicable to the proposed PBS population.</w:t>
      </w:r>
      <w:bookmarkEnd w:id="45"/>
      <w:r w:rsidR="00E50B7F" w:rsidRPr="005F0CE8">
        <w:rPr>
          <w:iCs/>
        </w:rPr>
        <w:t xml:space="preserve"> </w:t>
      </w:r>
      <w:bookmarkEnd w:id="46"/>
    </w:p>
    <w:p w14:paraId="65C0F22B" w14:textId="1A32CA88" w:rsidR="0064599A" w:rsidRPr="005F0CE8" w:rsidRDefault="0064599A" w:rsidP="00477BB3">
      <w:pPr>
        <w:pStyle w:val="3-BodyText"/>
      </w:pPr>
      <w:bookmarkStart w:id="47" w:name="_Ref127471220"/>
      <w:r w:rsidRPr="005F0CE8">
        <w:t>Given the differences in the relative proportion of HR</w:t>
      </w:r>
      <w:r w:rsidR="00843776" w:rsidRPr="005F0CE8">
        <w:t>+</w:t>
      </w:r>
      <w:r w:rsidRPr="005F0CE8">
        <w:t xml:space="preserve">, HER2- patients compared to TNBC patients in the OlympiA </w:t>
      </w:r>
      <w:r w:rsidR="00843776" w:rsidRPr="005F0CE8">
        <w:t xml:space="preserve">(82.3% TNBC and 17.7% HR+ HER2-) </w:t>
      </w:r>
      <w:r w:rsidRPr="005F0CE8">
        <w:t>trial compared with the Australian population</w:t>
      </w:r>
      <w:r w:rsidR="00843776" w:rsidRPr="005F0CE8">
        <w:t xml:space="preserve"> (12-24% TNBC and 56.9-79.6% HR+ HER2-)</w:t>
      </w:r>
      <w:r w:rsidRPr="005F0CE8">
        <w:t>, the submission presented subgroup analyses to assess the consistency of treatment effect across HR status (H</w:t>
      </w:r>
      <w:r w:rsidR="00A61322" w:rsidRPr="005F0CE8">
        <w:t>R+</w:t>
      </w:r>
      <w:r w:rsidRPr="005F0CE8">
        <w:t xml:space="preserve"> HER2</w:t>
      </w:r>
      <w:r w:rsidR="00A61322" w:rsidRPr="005F0CE8">
        <w:t>-</w:t>
      </w:r>
      <w:r w:rsidRPr="005F0CE8">
        <w:t xml:space="preserve"> versus TNBC). Subgroup analyses by HR status are summarised in</w:t>
      </w:r>
      <w:r w:rsidR="007269F9" w:rsidRPr="005F0CE8">
        <w:t xml:space="preserve"> </w:t>
      </w:r>
      <w:r w:rsidR="007269F9" w:rsidRPr="005F0CE8">
        <w:fldChar w:fldCharType="begin"/>
      </w:r>
      <w:r w:rsidR="007269F9" w:rsidRPr="005F0CE8">
        <w:instrText xml:space="preserve"> REF _Ref124032540 \h </w:instrText>
      </w:r>
      <w:r w:rsidR="007269F9" w:rsidRPr="005F0CE8">
        <w:fldChar w:fldCharType="separate"/>
      </w:r>
      <w:r w:rsidR="00AB6006" w:rsidRPr="005F0CE8">
        <w:t xml:space="preserve">Table </w:t>
      </w:r>
      <w:r w:rsidR="00AB6006">
        <w:rPr>
          <w:noProof/>
        </w:rPr>
        <w:t>6</w:t>
      </w:r>
      <w:r w:rsidR="007269F9" w:rsidRPr="005F0CE8">
        <w:fldChar w:fldCharType="end"/>
      </w:r>
      <w:r w:rsidRPr="005F0CE8">
        <w:t xml:space="preserve">. </w:t>
      </w:r>
      <w:r w:rsidR="00843776" w:rsidRPr="005F0CE8">
        <w:t xml:space="preserve">In the </w:t>
      </w:r>
      <w:r w:rsidR="00FE6CB5" w:rsidRPr="005F0CE8">
        <w:t>O</w:t>
      </w:r>
      <w:r w:rsidR="00843776" w:rsidRPr="005F0CE8">
        <w:t>lympiA trial, the treatment effect of olaparib versus placebo was slightly higher in the TNBC subgroup than in the HR+ subgroup, in terms of IDFS</w:t>
      </w:r>
      <w:r w:rsidR="00164D77" w:rsidRPr="005F0CE8">
        <w:t>,</w:t>
      </w:r>
      <w:r w:rsidR="00843776" w:rsidRPr="005F0CE8">
        <w:t xml:space="preserve"> </w:t>
      </w:r>
      <w:r w:rsidR="00164D77" w:rsidRPr="005F0CE8">
        <w:t>DDFS</w:t>
      </w:r>
      <w:r w:rsidR="00843776" w:rsidRPr="005F0CE8">
        <w:t xml:space="preserve"> and OS. </w:t>
      </w:r>
      <w:r w:rsidR="00961FCA" w:rsidRPr="005F0CE8">
        <w:t>Although</w:t>
      </w:r>
      <w:r w:rsidR="00843776" w:rsidRPr="005F0CE8">
        <w:t xml:space="preserve"> the difference in treatment effect was not statistically significant </w:t>
      </w:r>
      <w:r w:rsidR="00843776" w:rsidRPr="005F0CE8">
        <w:lastRenderedPageBreak/>
        <w:t xml:space="preserve">across subgroups, the test for interaction was not statistically powered. As TNBC patients are </w:t>
      </w:r>
      <w:r w:rsidR="00B50F8D" w:rsidRPr="005F0CE8">
        <w:t xml:space="preserve">potentially </w:t>
      </w:r>
      <w:r w:rsidR="00843776" w:rsidRPr="005F0CE8">
        <w:t>over-represented in the OlympiA trial in comparison to the Australian setting, this may overestimate the effectiveness of olaparib.</w:t>
      </w:r>
      <w:bookmarkEnd w:id="47"/>
    </w:p>
    <w:p w14:paraId="79ABBF5A" w14:textId="45A4D593" w:rsidR="0064599A" w:rsidRPr="005F0CE8" w:rsidRDefault="0064599A" w:rsidP="00477BB3">
      <w:pPr>
        <w:pStyle w:val="3-BodyText"/>
      </w:pPr>
      <w:r w:rsidRPr="005F0CE8">
        <w:t>The hazard ratios between the HR</w:t>
      </w:r>
      <w:r w:rsidR="00843776" w:rsidRPr="005F0CE8">
        <w:t>+</w:t>
      </w:r>
      <w:r w:rsidRPr="005F0CE8">
        <w:t>, HER2- population and the TNBC population are largely similar for IDFS (0.68 vs 0.62, respectively) and DDFS (0.69 vs 0.59, respectively), but less similar for OS (0.</w:t>
      </w:r>
      <w:r w:rsidR="000543E7" w:rsidRPr="005F0CE8">
        <w:t xml:space="preserve">90 </w:t>
      </w:r>
      <w:r w:rsidRPr="005F0CE8">
        <w:t>vs 0.64, respectively)</w:t>
      </w:r>
      <w:r w:rsidR="008B3B93" w:rsidRPr="005F0CE8">
        <w:t xml:space="preserve"> as shown in </w:t>
      </w:r>
      <w:r w:rsidR="008B3B93" w:rsidRPr="005F0CE8">
        <w:fldChar w:fldCharType="begin"/>
      </w:r>
      <w:r w:rsidR="008B3B93" w:rsidRPr="005F0CE8">
        <w:instrText xml:space="preserve"> REF _Ref124032540 \h  \* MERGEFORMAT </w:instrText>
      </w:r>
      <w:r w:rsidR="008B3B93" w:rsidRPr="005F0CE8">
        <w:fldChar w:fldCharType="separate"/>
      </w:r>
      <w:r w:rsidR="00AB6006" w:rsidRPr="005F0CE8">
        <w:t xml:space="preserve">Table </w:t>
      </w:r>
      <w:r w:rsidR="00AB6006">
        <w:t>6</w:t>
      </w:r>
      <w:r w:rsidR="008B3B93" w:rsidRPr="005F0CE8">
        <w:fldChar w:fldCharType="end"/>
      </w:r>
      <w:r w:rsidRPr="005F0CE8">
        <w:t>. Note that the event rate for OS was low across both treatment arms for the HR</w:t>
      </w:r>
      <w:r w:rsidR="00843776" w:rsidRPr="005F0CE8">
        <w:t>+</w:t>
      </w:r>
      <w:r w:rsidRPr="005F0CE8">
        <w:t xml:space="preserve">, HER2- population (n=16 events in the olaparib arm vs n=17 events in the placebo arm), thereby increasing the confidence interval. </w:t>
      </w:r>
    </w:p>
    <w:p w14:paraId="2536E66C" w14:textId="015A0240" w:rsidR="001567C1" w:rsidRPr="005F0CE8" w:rsidRDefault="001567C1" w:rsidP="00477BB3">
      <w:pPr>
        <w:pStyle w:val="3-BodyText"/>
      </w:pPr>
      <w:bookmarkStart w:id="48" w:name="_Ref127472388"/>
      <w:r w:rsidRPr="005F0CE8">
        <w:t xml:space="preserve">The PSCR stated that olaparib has an established mechanism of action that targets </w:t>
      </w:r>
      <w:r w:rsidR="009E092C" w:rsidRPr="009E092C">
        <w:rPr>
          <w:i/>
        </w:rPr>
        <w:t xml:space="preserve">BRCA </w:t>
      </w:r>
      <w:r w:rsidRPr="005F0CE8">
        <w:t xml:space="preserve">mutations and as such, is expected to be similarly efficacious in all patients with </w:t>
      </w:r>
      <w:r w:rsidR="009E092C" w:rsidRPr="009E092C">
        <w:rPr>
          <w:i/>
        </w:rPr>
        <w:t xml:space="preserve">BRCA </w:t>
      </w:r>
      <w:r w:rsidRPr="005F0CE8">
        <w:t>mutations. ESC noted that there was no statistical evidence of treatment-effect modification by TN</w:t>
      </w:r>
      <w:r w:rsidR="00164D77" w:rsidRPr="005F0CE8">
        <w:t>BC</w:t>
      </w:r>
      <w:r w:rsidRPr="005F0CE8">
        <w:t xml:space="preserve"> vs HR-positive, but that OlympiA was not statistically powered for such a comparison.</w:t>
      </w:r>
      <w:bookmarkEnd w:id="48"/>
    </w:p>
    <w:p w14:paraId="2CF785C3" w14:textId="2A0606C2" w:rsidR="007269F9" w:rsidRPr="005F0CE8" w:rsidRDefault="007269F9" w:rsidP="007269F9">
      <w:pPr>
        <w:pStyle w:val="TableFigureHeading"/>
      </w:pPr>
      <w:bookmarkStart w:id="49" w:name="_Ref124032540"/>
      <w:bookmarkStart w:id="50" w:name="_Hlk124350862"/>
      <w:r w:rsidRPr="005F0CE8">
        <w:t xml:space="preserve">Table </w:t>
      </w:r>
      <w:fldSimple w:instr=" SEQ Table \* ARABIC ">
        <w:r w:rsidR="00AB6006">
          <w:rPr>
            <w:noProof/>
          </w:rPr>
          <w:t>6</w:t>
        </w:r>
      </w:fldSimple>
      <w:bookmarkEnd w:id="49"/>
      <w:r w:rsidRPr="005F0CE8">
        <w:t>: Comparison of IDFS, DDFS and OS by HR status in OlympiA</w:t>
      </w:r>
      <w:r w:rsidR="000024F9" w:rsidRPr="005F0CE8">
        <w:t xml:space="preserve"> at DCO2</w:t>
      </w:r>
    </w:p>
    <w:tbl>
      <w:tblPr>
        <w:tblStyle w:val="TableGrid"/>
        <w:tblW w:w="5000" w:type="pct"/>
        <w:tblLook w:val="04A0" w:firstRow="1" w:lastRow="0" w:firstColumn="1" w:lastColumn="0" w:noHBand="0" w:noVBand="1"/>
      </w:tblPr>
      <w:tblGrid>
        <w:gridCol w:w="2314"/>
        <w:gridCol w:w="1457"/>
        <w:gridCol w:w="1457"/>
        <w:gridCol w:w="1895"/>
        <w:gridCol w:w="1894"/>
      </w:tblGrid>
      <w:tr w:rsidR="00BF6F68" w:rsidRPr="005F0CE8" w14:paraId="144267A2" w14:textId="38533D2F" w:rsidTr="00BF6F68">
        <w:trPr>
          <w:cantSplit/>
          <w:trHeight w:val="20"/>
        </w:trPr>
        <w:tc>
          <w:tcPr>
            <w:tcW w:w="1283" w:type="pct"/>
            <w:vMerge w:val="restart"/>
          </w:tcPr>
          <w:p w14:paraId="353C6C97" w14:textId="77777777" w:rsidR="00BF6F68" w:rsidRPr="005F0CE8" w:rsidRDefault="00BF6F68" w:rsidP="001567C1">
            <w:pPr>
              <w:pStyle w:val="TableHeading0"/>
              <w:keepLines w:val="0"/>
            </w:pPr>
            <w:r w:rsidRPr="005F0CE8">
              <w:t>HR status</w:t>
            </w:r>
          </w:p>
        </w:tc>
        <w:tc>
          <w:tcPr>
            <w:tcW w:w="1616" w:type="pct"/>
            <w:gridSpan w:val="2"/>
          </w:tcPr>
          <w:p w14:paraId="19057218" w14:textId="64FB0C00" w:rsidR="00BF6F68" w:rsidRPr="005F0CE8" w:rsidRDefault="00BF6F68" w:rsidP="00BF6F68">
            <w:pPr>
              <w:pStyle w:val="TableHeading0"/>
              <w:keepLines w:val="0"/>
              <w:jc w:val="center"/>
            </w:pPr>
            <w:r w:rsidRPr="005F0CE8">
              <w:t>Events</w:t>
            </w:r>
          </w:p>
        </w:tc>
        <w:tc>
          <w:tcPr>
            <w:tcW w:w="1051" w:type="pct"/>
            <w:vMerge w:val="restart"/>
          </w:tcPr>
          <w:p w14:paraId="00F6B9CC" w14:textId="77777777" w:rsidR="00BF6F68" w:rsidRPr="005F0CE8" w:rsidRDefault="00BF6F68" w:rsidP="001567C1">
            <w:pPr>
              <w:pStyle w:val="TableHeading0"/>
              <w:keepLines w:val="0"/>
            </w:pPr>
            <w:r w:rsidRPr="005F0CE8">
              <w:t>Hazard ratio (95% CI)</w:t>
            </w:r>
          </w:p>
        </w:tc>
        <w:tc>
          <w:tcPr>
            <w:tcW w:w="1050" w:type="pct"/>
            <w:vMerge w:val="restart"/>
          </w:tcPr>
          <w:p w14:paraId="6C5F096A" w14:textId="19AFDD99" w:rsidR="00BF6F68" w:rsidRPr="005F0CE8" w:rsidRDefault="00BF6F68" w:rsidP="001567C1">
            <w:pPr>
              <w:pStyle w:val="TableHeading0"/>
              <w:keepLines w:val="0"/>
            </w:pPr>
            <w:r w:rsidRPr="005F0CE8">
              <w:t>Interaction p-value</w:t>
            </w:r>
          </w:p>
        </w:tc>
      </w:tr>
      <w:tr w:rsidR="00BF6F68" w:rsidRPr="005F0CE8" w14:paraId="1B922C62" w14:textId="77777777" w:rsidTr="00BF6F68">
        <w:trPr>
          <w:cantSplit/>
          <w:trHeight w:val="20"/>
        </w:trPr>
        <w:tc>
          <w:tcPr>
            <w:tcW w:w="1283" w:type="pct"/>
            <w:vMerge/>
          </w:tcPr>
          <w:p w14:paraId="4A933349" w14:textId="77777777" w:rsidR="00BF6F68" w:rsidRPr="005F0CE8" w:rsidRDefault="00BF6F68" w:rsidP="00BF6F68">
            <w:pPr>
              <w:pStyle w:val="TableHeading0"/>
              <w:keepLines w:val="0"/>
            </w:pPr>
          </w:p>
        </w:tc>
        <w:tc>
          <w:tcPr>
            <w:tcW w:w="808" w:type="pct"/>
          </w:tcPr>
          <w:p w14:paraId="3B076D1D" w14:textId="0E070FAA" w:rsidR="00BF6F68" w:rsidRPr="005F0CE8" w:rsidRDefault="00BF6F68" w:rsidP="00BF6F68">
            <w:pPr>
              <w:pStyle w:val="TableHeading0"/>
              <w:keepLines w:val="0"/>
              <w:jc w:val="center"/>
            </w:pPr>
            <w:r w:rsidRPr="005F0CE8">
              <w:t>Olaparib</w:t>
            </w:r>
          </w:p>
          <w:p w14:paraId="4D4D239E" w14:textId="26F1D305" w:rsidR="00BF6F68" w:rsidRPr="005F0CE8" w:rsidRDefault="00BF6F68" w:rsidP="00BF6F68">
            <w:pPr>
              <w:pStyle w:val="TableHeading0"/>
              <w:keepLines w:val="0"/>
              <w:jc w:val="center"/>
            </w:pPr>
            <w:r w:rsidRPr="005F0CE8">
              <w:t>n/N (%)</w:t>
            </w:r>
          </w:p>
        </w:tc>
        <w:tc>
          <w:tcPr>
            <w:tcW w:w="808" w:type="pct"/>
          </w:tcPr>
          <w:p w14:paraId="2639265C" w14:textId="3FF0AF85" w:rsidR="00BF6F68" w:rsidRPr="005F0CE8" w:rsidRDefault="00BF6F68" w:rsidP="00BF6F68">
            <w:pPr>
              <w:pStyle w:val="TableHeading0"/>
              <w:keepLines w:val="0"/>
              <w:jc w:val="center"/>
            </w:pPr>
            <w:r w:rsidRPr="005F0CE8">
              <w:t>Placebo</w:t>
            </w:r>
          </w:p>
          <w:p w14:paraId="0C234A8C" w14:textId="79814C18" w:rsidR="00BF6F68" w:rsidRPr="005F0CE8" w:rsidRDefault="00BF6F68" w:rsidP="00BF6F68">
            <w:pPr>
              <w:pStyle w:val="TableHeading0"/>
              <w:keepLines w:val="0"/>
              <w:jc w:val="center"/>
            </w:pPr>
            <w:r w:rsidRPr="005F0CE8">
              <w:t>n/N (%)</w:t>
            </w:r>
          </w:p>
        </w:tc>
        <w:tc>
          <w:tcPr>
            <w:tcW w:w="1051" w:type="pct"/>
            <w:vMerge/>
          </w:tcPr>
          <w:p w14:paraId="40EF8ADE" w14:textId="77777777" w:rsidR="00BF6F68" w:rsidRPr="005F0CE8" w:rsidRDefault="00BF6F68" w:rsidP="00BF6F68">
            <w:pPr>
              <w:pStyle w:val="TableHeading0"/>
              <w:keepLines w:val="0"/>
            </w:pPr>
          </w:p>
        </w:tc>
        <w:tc>
          <w:tcPr>
            <w:tcW w:w="1050" w:type="pct"/>
            <w:vMerge/>
          </w:tcPr>
          <w:p w14:paraId="40AF2E5B" w14:textId="77777777" w:rsidR="00BF6F68" w:rsidRPr="005F0CE8" w:rsidRDefault="00BF6F68" w:rsidP="00BF6F68">
            <w:pPr>
              <w:pStyle w:val="TableHeading0"/>
              <w:keepLines w:val="0"/>
            </w:pPr>
          </w:p>
        </w:tc>
      </w:tr>
      <w:tr w:rsidR="00BF6F68" w:rsidRPr="005F0CE8" w14:paraId="3ADAEFD0" w14:textId="14F92371" w:rsidTr="00BF6F68">
        <w:trPr>
          <w:cantSplit/>
          <w:trHeight w:val="20"/>
        </w:trPr>
        <w:tc>
          <w:tcPr>
            <w:tcW w:w="5000" w:type="pct"/>
            <w:gridSpan w:val="5"/>
          </w:tcPr>
          <w:p w14:paraId="34D16A50" w14:textId="4929ADA1" w:rsidR="00BF6F68" w:rsidRPr="005F0CE8" w:rsidRDefault="00BF6F68" w:rsidP="00BF6F68">
            <w:pPr>
              <w:pStyle w:val="TableHeading0"/>
              <w:keepLines w:val="0"/>
            </w:pPr>
            <w:r w:rsidRPr="005F0CE8">
              <w:t>IDFS</w:t>
            </w:r>
          </w:p>
        </w:tc>
      </w:tr>
      <w:tr w:rsidR="00BF6F68" w:rsidRPr="005F0CE8" w14:paraId="7E01BC82" w14:textId="60E844BE" w:rsidTr="00BF6F68">
        <w:trPr>
          <w:cantSplit/>
          <w:trHeight w:val="20"/>
        </w:trPr>
        <w:tc>
          <w:tcPr>
            <w:tcW w:w="1283" w:type="pct"/>
          </w:tcPr>
          <w:p w14:paraId="7C2EC956" w14:textId="77777777" w:rsidR="00BF6F68" w:rsidRPr="005F0CE8" w:rsidRDefault="00BF6F68" w:rsidP="00BF6F68">
            <w:pPr>
              <w:pStyle w:val="TableText0"/>
            </w:pPr>
            <w:r w:rsidRPr="005F0CE8">
              <w:t>HR-positive, HER2-negative</w:t>
            </w:r>
          </w:p>
        </w:tc>
        <w:tc>
          <w:tcPr>
            <w:tcW w:w="808" w:type="pct"/>
          </w:tcPr>
          <w:p w14:paraId="29EEF316" w14:textId="77777777" w:rsidR="00BF6F68" w:rsidRPr="005F0CE8" w:rsidRDefault="00BF6F68" w:rsidP="00BF6F68">
            <w:pPr>
              <w:pStyle w:val="TableText0"/>
            </w:pPr>
            <w:r w:rsidRPr="005F0CE8">
              <w:t xml:space="preserve">25/168 (14.9%) </w:t>
            </w:r>
          </w:p>
        </w:tc>
        <w:tc>
          <w:tcPr>
            <w:tcW w:w="808" w:type="pct"/>
          </w:tcPr>
          <w:p w14:paraId="4EF05CCC" w14:textId="77777777" w:rsidR="00BF6F68" w:rsidRPr="005F0CE8" w:rsidRDefault="00BF6F68" w:rsidP="00BF6F68">
            <w:pPr>
              <w:pStyle w:val="TableText0"/>
            </w:pPr>
            <w:r w:rsidRPr="005F0CE8">
              <w:t>34/157 (21.7%)</w:t>
            </w:r>
          </w:p>
        </w:tc>
        <w:tc>
          <w:tcPr>
            <w:tcW w:w="1051" w:type="pct"/>
          </w:tcPr>
          <w:p w14:paraId="7624D4B9" w14:textId="76C46361" w:rsidR="00BF6F68" w:rsidRPr="005F0CE8" w:rsidRDefault="00BF6F68" w:rsidP="00BF6F68">
            <w:pPr>
              <w:pStyle w:val="TableText0"/>
            </w:pPr>
            <w:r w:rsidRPr="005F0CE8">
              <w:t>0.68 (0.40, 1.13)</w:t>
            </w:r>
          </w:p>
        </w:tc>
        <w:tc>
          <w:tcPr>
            <w:tcW w:w="1050" w:type="pct"/>
            <w:vMerge w:val="restart"/>
          </w:tcPr>
          <w:p w14:paraId="49A22A61" w14:textId="775FD28A" w:rsidR="00BF6F68" w:rsidRPr="005F0CE8" w:rsidRDefault="00BF6F68" w:rsidP="00BF6F68">
            <w:pPr>
              <w:pStyle w:val="TableText0"/>
            </w:pPr>
            <w:r w:rsidRPr="005F0CE8">
              <w:t>0.754</w:t>
            </w:r>
          </w:p>
        </w:tc>
      </w:tr>
      <w:tr w:rsidR="00BF6F68" w:rsidRPr="005F0CE8" w14:paraId="57916FFB" w14:textId="6D40A0A7" w:rsidTr="00BF6F68">
        <w:trPr>
          <w:cantSplit/>
          <w:trHeight w:val="20"/>
        </w:trPr>
        <w:tc>
          <w:tcPr>
            <w:tcW w:w="1283" w:type="pct"/>
          </w:tcPr>
          <w:p w14:paraId="23A9B872" w14:textId="77777777" w:rsidR="00BF6F68" w:rsidRPr="005F0CE8" w:rsidRDefault="00BF6F68" w:rsidP="00BF6F68">
            <w:pPr>
              <w:pStyle w:val="TableText0"/>
            </w:pPr>
            <w:r w:rsidRPr="005F0CE8">
              <w:t>TNBC</w:t>
            </w:r>
          </w:p>
        </w:tc>
        <w:tc>
          <w:tcPr>
            <w:tcW w:w="808" w:type="pct"/>
          </w:tcPr>
          <w:p w14:paraId="4115B293" w14:textId="77777777" w:rsidR="00BF6F68" w:rsidRPr="005F0CE8" w:rsidRDefault="00BF6F68" w:rsidP="00BF6F68">
            <w:pPr>
              <w:pStyle w:val="TableText0"/>
            </w:pPr>
            <w:r w:rsidRPr="005F0CE8">
              <w:t>109/751 (14.5%)</w:t>
            </w:r>
          </w:p>
        </w:tc>
        <w:tc>
          <w:tcPr>
            <w:tcW w:w="808" w:type="pct"/>
          </w:tcPr>
          <w:p w14:paraId="78707DFA" w14:textId="77777777" w:rsidR="00BF6F68" w:rsidRPr="005F0CE8" w:rsidRDefault="00BF6F68" w:rsidP="00BF6F68">
            <w:pPr>
              <w:pStyle w:val="TableText0"/>
            </w:pPr>
            <w:r w:rsidRPr="005F0CE8">
              <w:t>173/758 (22.8%)</w:t>
            </w:r>
          </w:p>
        </w:tc>
        <w:tc>
          <w:tcPr>
            <w:tcW w:w="1051" w:type="pct"/>
          </w:tcPr>
          <w:p w14:paraId="0E9DD217" w14:textId="02907B3A" w:rsidR="00BF6F68" w:rsidRPr="005F0CE8" w:rsidRDefault="00BF6F68" w:rsidP="00BF6F68">
            <w:pPr>
              <w:pStyle w:val="TableText0"/>
              <w:rPr>
                <w:b/>
                <w:bCs w:val="0"/>
              </w:rPr>
            </w:pPr>
            <w:r w:rsidRPr="005F0CE8">
              <w:rPr>
                <w:b/>
                <w:bCs w:val="0"/>
              </w:rPr>
              <w:t>0.62 (0.4</w:t>
            </w:r>
            <w:r w:rsidR="006D7886" w:rsidRPr="005F0CE8">
              <w:rPr>
                <w:b/>
                <w:bCs w:val="0"/>
              </w:rPr>
              <w:t>9</w:t>
            </w:r>
            <w:r w:rsidRPr="005F0CE8">
              <w:rPr>
                <w:b/>
                <w:bCs w:val="0"/>
              </w:rPr>
              <w:t>, 0.7</w:t>
            </w:r>
            <w:r w:rsidR="006D7886" w:rsidRPr="005F0CE8">
              <w:rPr>
                <w:b/>
                <w:bCs w:val="0"/>
              </w:rPr>
              <w:t>9</w:t>
            </w:r>
            <w:r w:rsidRPr="005F0CE8">
              <w:rPr>
                <w:b/>
                <w:bCs w:val="0"/>
              </w:rPr>
              <w:t>)</w:t>
            </w:r>
          </w:p>
        </w:tc>
        <w:tc>
          <w:tcPr>
            <w:tcW w:w="1050" w:type="pct"/>
            <w:vMerge/>
          </w:tcPr>
          <w:p w14:paraId="63602991" w14:textId="77777777" w:rsidR="00BF6F68" w:rsidRPr="005F0CE8" w:rsidRDefault="00BF6F68" w:rsidP="00BF6F68">
            <w:pPr>
              <w:pStyle w:val="TableText0"/>
              <w:rPr>
                <w:b/>
                <w:bCs w:val="0"/>
              </w:rPr>
            </w:pPr>
          </w:p>
        </w:tc>
      </w:tr>
      <w:tr w:rsidR="00BF6F68" w:rsidRPr="005F0CE8" w14:paraId="6C0D6FE4" w14:textId="7B278619" w:rsidTr="00BF6F68">
        <w:trPr>
          <w:cantSplit/>
          <w:trHeight w:val="20"/>
        </w:trPr>
        <w:tc>
          <w:tcPr>
            <w:tcW w:w="5000" w:type="pct"/>
            <w:gridSpan w:val="5"/>
          </w:tcPr>
          <w:p w14:paraId="365078E6" w14:textId="0BC5ADF2" w:rsidR="00BF6F68" w:rsidRPr="005F0CE8" w:rsidRDefault="00BF6F68" w:rsidP="00BF6F68">
            <w:pPr>
              <w:pStyle w:val="TableHeading0"/>
              <w:keepLines w:val="0"/>
            </w:pPr>
            <w:r w:rsidRPr="005F0CE8">
              <w:t>DDFS</w:t>
            </w:r>
          </w:p>
        </w:tc>
      </w:tr>
      <w:tr w:rsidR="00BF6F68" w:rsidRPr="005F0CE8" w14:paraId="03E8ADF4" w14:textId="483AE74C" w:rsidTr="00BF6F68">
        <w:trPr>
          <w:cantSplit/>
          <w:trHeight w:val="20"/>
        </w:trPr>
        <w:tc>
          <w:tcPr>
            <w:tcW w:w="1283" w:type="pct"/>
          </w:tcPr>
          <w:p w14:paraId="5A8A732A" w14:textId="77777777" w:rsidR="00BF6F68" w:rsidRPr="005F0CE8" w:rsidRDefault="00BF6F68" w:rsidP="00BF6F68">
            <w:pPr>
              <w:pStyle w:val="TableText0"/>
            </w:pPr>
            <w:r w:rsidRPr="005F0CE8">
              <w:t>HR-positive, HER2-negative</w:t>
            </w:r>
          </w:p>
        </w:tc>
        <w:tc>
          <w:tcPr>
            <w:tcW w:w="808" w:type="pct"/>
          </w:tcPr>
          <w:p w14:paraId="0C7108DF" w14:textId="77777777" w:rsidR="00BF6F68" w:rsidRPr="005F0CE8" w:rsidRDefault="00BF6F68" w:rsidP="00BF6F68">
            <w:pPr>
              <w:pStyle w:val="TableText0"/>
            </w:pPr>
            <w:r w:rsidRPr="005F0CE8">
              <w:t xml:space="preserve">23/168 (13.7%) </w:t>
            </w:r>
          </w:p>
        </w:tc>
        <w:tc>
          <w:tcPr>
            <w:tcW w:w="808" w:type="pct"/>
          </w:tcPr>
          <w:p w14:paraId="676E1B17" w14:textId="77777777" w:rsidR="00BF6F68" w:rsidRPr="005F0CE8" w:rsidRDefault="00BF6F68" w:rsidP="00BF6F68">
            <w:pPr>
              <w:pStyle w:val="TableText0"/>
            </w:pPr>
            <w:r w:rsidRPr="005F0CE8">
              <w:t>31/157 (19.7%)</w:t>
            </w:r>
          </w:p>
        </w:tc>
        <w:tc>
          <w:tcPr>
            <w:tcW w:w="1051" w:type="pct"/>
          </w:tcPr>
          <w:p w14:paraId="06123785" w14:textId="4EC5A078" w:rsidR="00BF6F68" w:rsidRPr="005F0CE8" w:rsidRDefault="00BF6F68" w:rsidP="00BF6F68">
            <w:pPr>
              <w:pStyle w:val="TableText0"/>
            </w:pPr>
            <w:r w:rsidRPr="005F0CE8">
              <w:t>0.69 (0.</w:t>
            </w:r>
            <w:r w:rsidR="006D7886" w:rsidRPr="005F0CE8">
              <w:t>40</w:t>
            </w:r>
            <w:r w:rsidRPr="005F0CE8">
              <w:t>, 1.18)</w:t>
            </w:r>
          </w:p>
        </w:tc>
        <w:tc>
          <w:tcPr>
            <w:tcW w:w="1050" w:type="pct"/>
            <w:vMerge w:val="restart"/>
          </w:tcPr>
          <w:p w14:paraId="16C81CFD" w14:textId="6CAAC980" w:rsidR="00BF6F68" w:rsidRPr="005F0CE8" w:rsidRDefault="00BF6F68" w:rsidP="00BF6F68">
            <w:pPr>
              <w:pStyle w:val="TableText0"/>
            </w:pPr>
            <w:r w:rsidRPr="005F0CE8">
              <w:t>0.608</w:t>
            </w:r>
          </w:p>
        </w:tc>
      </w:tr>
      <w:tr w:rsidR="00BF6F68" w:rsidRPr="005F0CE8" w14:paraId="2F4E0A84" w14:textId="160CC93D" w:rsidTr="00BF6F68">
        <w:trPr>
          <w:cantSplit/>
          <w:trHeight w:val="20"/>
        </w:trPr>
        <w:tc>
          <w:tcPr>
            <w:tcW w:w="1283" w:type="pct"/>
          </w:tcPr>
          <w:p w14:paraId="10662BCE" w14:textId="77777777" w:rsidR="00BF6F68" w:rsidRPr="005F0CE8" w:rsidRDefault="00BF6F68" w:rsidP="00BF6F68">
            <w:pPr>
              <w:pStyle w:val="TableText0"/>
            </w:pPr>
            <w:r w:rsidRPr="005F0CE8">
              <w:t>TNBC</w:t>
            </w:r>
          </w:p>
        </w:tc>
        <w:tc>
          <w:tcPr>
            <w:tcW w:w="808" w:type="pct"/>
          </w:tcPr>
          <w:p w14:paraId="3AAB4039" w14:textId="77777777" w:rsidR="00BF6F68" w:rsidRPr="005F0CE8" w:rsidRDefault="00BF6F68" w:rsidP="00BF6F68">
            <w:pPr>
              <w:pStyle w:val="TableText0"/>
            </w:pPr>
            <w:r w:rsidRPr="005F0CE8">
              <w:t>84/751 (11.2%)</w:t>
            </w:r>
          </w:p>
        </w:tc>
        <w:tc>
          <w:tcPr>
            <w:tcW w:w="808" w:type="pct"/>
          </w:tcPr>
          <w:p w14:paraId="56CBA1FF" w14:textId="77777777" w:rsidR="00BF6F68" w:rsidRPr="005F0CE8" w:rsidRDefault="00BF6F68" w:rsidP="00BF6F68">
            <w:pPr>
              <w:pStyle w:val="TableText0"/>
            </w:pPr>
            <w:r w:rsidRPr="005F0CE8">
              <w:t>141/758 (18.6%)</w:t>
            </w:r>
          </w:p>
        </w:tc>
        <w:tc>
          <w:tcPr>
            <w:tcW w:w="1051" w:type="pct"/>
          </w:tcPr>
          <w:p w14:paraId="5D12A4ED" w14:textId="1847206B" w:rsidR="00BF6F68" w:rsidRPr="005F0CE8" w:rsidRDefault="00BF6F68" w:rsidP="00BF6F68">
            <w:pPr>
              <w:pStyle w:val="TableText0"/>
              <w:rPr>
                <w:b/>
                <w:bCs w:val="0"/>
              </w:rPr>
            </w:pPr>
            <w:r w:rsidRPr="005F0CE8">
              <w:rPr>
                <w:b/>
                <w:bCs w:val="0"/>
              </w:rPr>
              <w:t>0.59 (0.45, 0.77)</w:t>
            </w:r>
          </w:p>
        </w:tc>
        <w:tc>
          <w:tcPr>
            <w:tcW w:w="1050" w:type="pct"/>
            <w:vMerge/>
          </w:tcPr>
          <w:p w14:paraId="0390ECE6" w14:textId="77777777" w:rsidR="00BF6F68" w:rsidRPr="005F0CE8" w:rsidRDefault="00BF6F68" w:rsidP="00BF6F68">
            <w:pPr>
              <w:pStyle w:val="TableText0"/>
              <w:rPr>
                <w:b/>
                <w:bCs w:val="0"/>
              </w:rPr>
            </w:pPr>
          </w:p>
        </w:tc>
      </w:tr>
      <w:tr w:rsidR="00BF6F68" w:rsidRPr="005F0CE8" w14:paraId="01ED5E74" w14:textId="69DCEED2" w:rsidTr="00BF6F68">
        <w:trPr>
          <w:cantSplit/>
          <w:trHeight w:val="20"/>
        </w:trPr>
        <w:tc>
          <w:tcPr>
            <w:tcW w:w="5000" w:type="pct"/>
            <w:gridSpan w:val="5"/>
          </w:tcPr>
          <w:p w14:paraId="5BC2E220" w14:textId="1B8095DF" w:rsidR="00BF6F68" w:rsidRPr="005F0CE8" w:rsidRDefault="00BF6F68" w:rsidP="00BF6F68">
            <w:pPr>
              <w:pStyle w:val="TableHeading0"/>
              <w:keepLines w:val="0"/>
            </w:pPr>
            <w:r w:rsidRPr="005F0CE8">
              <w:t>OS</w:t>
            </w:r>
          </w:p>
        </w:tc>
      </w:tr>
      <w:tr w:rsidR="00BF6F68" w:rsidRPr="005F0CE8" w14:paraId="0DBAC01F" w14:textId="5E69DEC8" w:rsidTr="00BF6F68">
        <w:trPr>
          <w:cantSplit/>
          <w:trHeight w:val="20"/>
        </w:trPr>
        <w:tc>
          <w:tcPr>
            <w:tcW w:w="1283" w:type="pct"/>
          </w:tcPr>
          <w:p w14:paraId="0A4D37CC" w14:textId="77777777" w:rsidR="00BF6F68" w:rsidRPr="005F0CE8" w:rsidRDefault="00BF6F68" w:rsidP="00BF6F68">
            <w:pPr>
              <w:pStyle w:val="TableText0"/>
            </w:pPr>
            <w:r w:rsidRPr="005F0CE8">
              <w:t>HR-positive, HER2-negative</w:t>
            </w:r>
          </w:p>
        </w:tc>
        <w:tc>
          <w:tcPr>
            <w:tcW w:w="808" w:type="pct"/>
          </w:tcPr>
          <w:p w14:paraId="4F6254AB" w14:textId="77777777" w:rsidR="00BF6F68" w:rsidRPr="005F0CE8" w:rsidRDefault="00BF6F68" w:rsidP="00BF6F68">
            <w:pPr>
              <w:pStyle w:val="TableText0"/>
            </w:pPr>
            <w:r w:rsidRPr="005F0CE8">
              <w:t>16/168 (9.5%)</w:t>
            </w:r>
          </w:p>
        </w:tc>
        <w:tc>
          <w:tcPr>
            <w:tcW w:w="808" w:type="pct"/>
          </w:tcPr>
          <w:p w14:paraId="0A570080" w14:textId="77777777" w:rsidR="00BF6F68" w:rsidRPr="005F0CE8" w:rsidRDefault="00BF6F68" w:rsidP="00BF6F68">
            <w:pPr>
              <w:pStyle w:val="TableText0"/>
            </w:pPr>
            <w:r w:rsidRPr="005F0CE8">
              <w:t>17/157 (10.8%)</w:t>
            </w:r>
          </w:p>
        </w:tc>
        <w:tc>
          <w:tcPr>
            <w:tcW w:w="1051" w:type="pct"/>
          </w:tcPr>
          <w:p w14:paraId="46BAF7A1" w14:textId="1501E902" w:rsidR="00BF6F68" w:rsidRPr="005F0CE8" w:rsidRDefault="00BF6F68" w:rsidP="00BF6F68">
            <w:pPr>
              <w:pStyle w:val="TableText0"/>
            </w:pPr>
            <w:r w:rsidRPr="005F0CE8">
              <w:t>0.</w:t>
            </w:r>
            <w:r w:rsidR="006D7886" w:rsidRPr="005F0CE8">
              <w:t>90</w:t>
            </w:r>
            <w:r w:rsidRPr="005F0CE8">
              <w:t xml:space="preserve"> (0.</w:t>
            </w:r>
            <w:r w:rsidR="006D7886" w:rsidRPr="005F0CE8">
              <w:t>450</w:t>
            </w:r>
            <w:r w:rsidRPr="005F0CE8">
              <w:t>, 1.78)</w:t>
            </w:r>
          </w:p>
        </w:tc>
        <w:tc>
          <w:tcPr>
            <w:tcW w:w="1050" w:type="pct"/>
            <w:vMerge w:val="restart"/>
          </w:tcPr>
          <w:p w14:paraId="1E9493D9" w14:textId="066E4B38" w:rsidR="00BF6F68" w:rsidRPr="005F0CE8" w:rsidRDefault="00BF6F68" w:rsidP="00BF6F68">
            <w:pPr>
              <w:pStyle w:val="TableText0"/>
            </w:pPr>
            <w:r w:rsidRPr="005F0CE8">
              <w:t>0.381</w:t>
            </w:r>
          </w:p>
        </w:tc>
      </w:tr>
      <w:tr w:rsidR="00BF6F68" w:rsidRPr="005F0CE8" w14:paraId="7CFD264B" w14:textId="44F8A29B" w:rsidTr="00BF6F68">
        <w:trPr>
          <w:cantSplit/>
          <w:trHeight w:val="20"/>
        </w:trPr>
        <w:tc>
          <w:tcPr>
            <w:tcW w:w="1283" w:type="pct"/>
          </w:tcPr>
          <w:p w14:paraId="50691690" w14:textId="77777777" w:rsidR="00BF6F68" w:rsidRPr="005F0CE8" w:rsidRDefault="00BF6F68" w:rsidP="00BF6F68">
            <w:pPr>
              <w:pStyle w:val="TableText0"/>
            </w:pPr>
            <w:r w:rsidRPr="005F0CE8">
              <w:t>TNBC</w:t>
            </w:r>
          </w:p>
        </w:tc>
        <w:tc>
          <w:tcPr>
            <w:tcW w:w="808" w:type="pct"/>
          </w:tcPr>
          <w:p w14:paraId="6A938015" w14:textId="77777777" w:rsidR="00BF6F68" w:rsidRPr="005F0CE8" w:rsidRDefault="00BF6F68" w:rsidP="00BF6F68">
            <w:pPr>
              <w:pStyle w:val="TableText0"/>
            </w:pPr>
            <w:r w:rsidRPr="005F0CE8">
              <w:t>59/751 (7.9%)</w:t>
            </w:r>
          </w:p>
        </w:tc>
        <w:tc>
          <w:tcPr>
            <w:tcW w:w="808" w:type="pct"/>
          </w:tcPr>
          <w:p w14:paraId="37A58371" w14:textId="77777777" w:rsidR="00BF6F68" w:rsidRPr="005F0CE8" w:rsidRDefault="00BF6F68" w:rsidP="00BF6F68">
            <w:pPr>
              <w:pStyle w:val="TableText0"/>
            </w:pPr>
            <w:r w:rsidRPr="005F0CE8">
              <w:t>92/758 (12.1%)</w:t>
            </w:r>
          </w:p>
        </w:tc>
        <w:tc>
          <w:tcPr>
            <w:tcW w:w="1051" w:type="pct"/>
          </w:tcPr>
          <w:p w14:paraId="63B04969" w14:textId="2BF33423" w:rsidR="00BF6F68" w:rsidRPr="005F0CE8" w:rsidRDefault="00BF6F68" w:rsidP="00BF6F68">
            <w:pPr>
              <w:pStyle w:val="TableText0"/>
              <w:rPr>
                <w:b/>
                <w:bCs w:val="0"/>
              </w:rPr>
            </w:pPr>
            <w:r w:rsidRPr="005F0CE8">
              <w:rPr>
                <w:b/>
                <w:bCs w:val="0"/>
              </w:rPr>
              <w:t>0.64 (0.</w:t>
            </w:r>
            <w:r w:rsidR="006D7886" w:rsidRPr="005F0CE8">
              <w:rPr>
                <w:b/>
                <w:bCs w:val="0"/>
              </w:rPr>
              <w:t>46</w:t>
            </w:r>
            <w:r w:rsidRPr="005F0CE8">
              <w:rPr>
                <w:b/>
                <w:bCs w:val="0"/>
              </w:rPr>
              <w:t>, 0.88)</w:t>
            </w:r>
          </w:p>
        </w:tc>
        <w:tc>
          <w:tcPr>
            <w:tcW w:w="1050" w:type="pct"/>
            <w:vMerge/>
          </w:tcPr>
          <w:p w14:paraId="1182E5AF" w14:textId="77777777" w:rsidR="00BF6F68" w:rsidRPr="005F0CE8" w:rsidRDefault="00BF6F68" w:rsidP="00BF6F68">
            <w:pPr>
              <w:pStyle w:val="TableText0"/>
              <w:rPr>
                <w:b/>
                <w:bCs w:val="0"/>
              </w:rPr>
            </w:pPr>
          </w:p>
        </w:tc>
      </w:tr>
    </w:tbl>
    <w:p w14:paraId="16B313B2" w14:textId="77777777" w:rsidR="0064599A" w:rsidRPr="005F0CE8" w:rsidRDefault="0064599A" w:rsidP="0064599A">
      <w:pPr>
        <w:pStyle w:val="FooterTableFigure"/>
      </w:pPr>
      <w:r w:rsidRPr="005F0CE8">
        <w:t>Source: Table 2.32, p 91 of the submission.</w:t>
      </w:r>
    </w:p>
    <w:p w14:paraId="0DD5E4A5" w14:textId="77777777" w:rsidR="005705FC" w:rsidRPr="005F0CE8" w:rsidRDefault="0064599A" w:rsidP="0064599A">
      <w:pPr>
        <w:pStyle w:val="FooterTableFigure"/>
      </w:pPr>
      <w:r w:rsidRPr="005F0CE8">
        <w:t>CI = confidence interval; DDFS = distance disease-free survival; HER2 = human epidermal receptor 2; HR = hormone receptor; IDFS = invasive disease-free survival; N = number; OS = overall survival; TNBC = triple negative breast cancer.</w:t>
      </w:r>
      <w:r w:rsidR="002C7B60" w:rsidRPr="005F0CE8">
        <w:t xml:space="preserve"> </w:t>
      </w:r>
    </w:p>
    <w:p w14:paraId="413EDA75" w14:textId="20C4481E" w:rsidR="002C7B60" w:rsidRPr="005F0CE8" w:rsidRDefault="002C7B60" w:rsidP="0064599A">
      <w:pPr>
        <w:pStyle w:val="FooterTableFigure"/>
      </w:pPr>
      <w:r w:rsidRPr="005F0CE8">
        <w:rPr>
          <w:b/>
          <w:bCs/>
        </w:rPr>
        <w:t>Bold</w:t>
      </w:r>
      <w:r w:rsidRPr="005F0CE8">
        <w:t xml:space="preserve"> indicates a statistically significant result.</w:t>
      </w:r>
      <w:bookmarkEnd w:id="50"/>
    </w:p>
    <w:p w14:paraId="1FB3CD13" w14:textId="73F6B194" w:rsidR="00366569" w:rsidRPr="005F0CE8" w:rsidRDefault="006F55ED" w:rsidP="00477BB3">
      <w:pPr>
        <w:pStyle w:val="3-BodyText"/>
      </w:pPr>
      <w:bookmarkStart w:id="51" w:name="_Hlk124173909"/>
      <w:r w:rsidRPr="005F0CE8">
        <w:t xml:space="preserve">The type of chemotherapy patients received (neoadjuvant or adjuvant) was a stratification factor for randomisation. </w:t>
      </w:r>
      <w:r w:rsidR="00366569" w:rsidRPr="005F0CE8">
        <w:t>The proportion of neoadjuvant and adjuvant patients was well balanced in both the olaparib arm (50.1% adjuvant and 49.9% neoadjuvant) and placebo arm (49.7</w:t>
      </w:r>
      <w:r w:rsidR="007530F2" w:rsidRPr="005F0CE8">
        <w:t>%</w:t>
      </w:r>
      <w:r w:rsidR="00366569" w:rsidRPr="005F0CE8">
        <w:t xml:space="preserve"> adjuvant and 50.3% neoadjuvant)</w:t>
      </w:r>
      <w:r w:rsidR="00C02D0B" w:rsidRPr="005F0CE8">
        <w:t>.</w:t>
      </w:r>
      <w:r w:rsidR="00752C06" w:rsidRPr="005F0CE8">
        <w:t xml:space="preserve"> </w:t>
      </w:r>
      <w:r w:rsidR="00752C06" w:rsidRPr="005F0CE8">
        <w:fldChar w:fldCharType="begin"/>
      </w:r>
      <w:r w:rsidR="00752C06" w:rsidRPr="005F0CE8">
        <w:instrText xml:space="preserve"> REF _Ref124112403 \h </w:instrText>
      </w:r>
      <w:r w:rsidR="002C7B60" w:rsidRPr="005F0CE8">
        <w:instrText xml:space="preserve"> \* MERGEFORMAT </w:instrText>
      </w:r>
      <w:r w:rsidR="00752C06" w:rsidRPr="005F0CE8">
        <w:fldChar w:fldCharType="separate"/>
      </w:r>
      <w:r w:rsidR="00AB6006" w:rsidRPr="005F0CE8">
        <w:t xml:space="preserve">Table </w:t>
      </w:r>
      <w:r w:rsidR="00AB6006">
        <w:t>7</w:t>
      </w:r>
      <w:r w:rsidR="00752C06" w:rsidRPr="005F0CE8">
        <w:fldChar w:fldCharType="end"/>
      </w:r>
      <w:r w:rsidR="00752C06" w:rsidRPr="005F0CE8">
        <w:t xml:space="preserve"> presents the chemotherapy subgroup analysis for IDFS, DDFS, and OS. </w:t>
      </w:r>
    </w:p>
    <w:p w14:paraId="0D4602B2" w14:textId="048B4AE3" w:rsidR="00752C06" w:rsidRPr="005F0CE8" w:rsidRDefault="007530F2" w:rsidP="00477BB3">
      <w:pPr>
        <w:pStyle w:val="3-BodyText"/>
      </w:pPr>
      <w:r w:rsidRPr="005F0CE8">
        <w:t>For IDFS, the results were similar across</w:t>
      </w:r>
      <w:r w:rsidR="00752C06" w:rsidRPr="005F0CE8">
        <w:t xml:space="preserve"> the adjuvant and neoadjuvant subgroups.</w:t>
      </w:r>
      <w:r w:rsidR="00843776" w:rsidRPr="005F0CE8">
        <w:t xml:space="preserve"> Although the results for OS and DDFS were slightly different across subgroups</w:t>
      </w:r>
      <w:r w:rsidR="004734A2" w:rsidRPr="005F0CE8">
        <w:t xml:space="preserve">, the </w:t>
      </w:r>
      <w:r w:rsidR="00843776" w:rsidRPr="005F0CE8">
        <w:t>difference</w:t>
      </w:r>
      <w:r w:rsidR="004734A2" w:rsidRPr="005F0CE8">
        <w:t>s</w:t>
      </w:r>
      <w:r w:rsidR="00843776" w:rsidRPr="005F0CE8">
        <w:t xml:space="preserve"> w</w:t>
      </w:r>
      <w:r w:rsidR="004734A2" w:rsidRPr="005F0CE8">
        <w:t>ere</w:t>
      </w:r>
      <w:r w:rsidR="00843776" w:rsidRPr="005F0CE8">
        <w:t xml:space="preserve"> not statistically significant</w:t>
      </w:r>
      <w:r w:rsidR="004734A2" w:rsidRPr="005F0CE8">
        <w:t xml:space="preserve"> and there was no consistent trend in favour of either subgroup</w:t>
      </w:r>
      <w:r w:rsidR="00843776" w:rsidRPr="005F0CE8">
        <w:t>.</w:t>
      </w:r>
    </w:p>
    <w:p w14:paraId="6EDF5906" w14:textId="3CB40B08" w:rsidR="00366569" w:rsidRPr="005F0CE8" w:rsidRDefault="00366569" w:rsidP="00366569">
      <w:pPr>
        <w:pStyle w:val="Caption"/>
      </w:pPr>
      <w:bookmarkStart w:id="52" w:name="_Ref124112403"/>
      <w:r w:rsidRPr="005F0CE8">
        <w:lastRenderedPageBreak/>
        <w:t xml:space="preserve">Table </w:t>
      </w:r>
      <w:fldSimple w:instr=" SEQ Table \* ARABIC ">
        <w:r w:rsidR="00AB6006">
          <w:rPr>
            <w:noProof/>
          </w:rPr>
          <w:t>7</w:t>
        </w:r>
      </w:fldSimple>
      <w:bookmarkEnd w:id="52"/>
      <w:r w:rsidRPr="005F0CE8">
        <w:t xml:space="preserve">: Comparison of IDFS, DDFS, and OS by adjuvant or neoadjuvant chemotherapy in </w:t>
      </w:r>
      <w:r w:rsidR="004D7116" w:rsidRPr="005F0CE8">
        <w:t>O</w:t>
      </w:r>
      <w:r w:rsidRPr="005F0CE8">
        <w:t>lympiA</w:t>
      </w:r>
      <w:r w:rsidR="000024F9" w:rsidRPr="005F0CE8">
        <w:t xml:space="preserve"> at DCO2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1839"/>
        <w:gridCol w:w="16"/>
        <w:gridCol w:w="1825"/>
        <w:gridCol w:w="1789"/>
        <w:gridCol w:w="1787"/>
      </w:tblGrid>
      <w:tr w:rsidR="00BF6F68" w:rsidRPr="005F0CE8" w14:paraId="4D602CEB" w14:textId="5E6989D5" w:rsidTr="00BF6F68">
        <w:trPr>
          <w:cantSplit/>
          <w:trHeight w:val="115"/>
          <w:tblHeader/>
        </w:trPr>
        <w:tc>
          <w:tcPr>
            <w:tcW w:w="976" w:type="pct"/>
            <w:vMerge w:val="restart"/>
            <w:vAlign w:val="center"/>
          </w:tcPr>
          <w:p w14:paraId="5B2939CA" w14:textId="77777777" w:rsidR="00BF6F68" w:rsidRPr="005F0CE8" w:rsidRDefault="00BF6F68" w:rsidP="00B15712">
            <w:pPr>
              <w:pStyle w:val="In-tableHeading"/>
              <w:jc w:val="center"/>
              <w:rPr>
                <w:lang w:val="en-AU"/>
              </w:rPr>
            </w:pPr>
            <w:r w:rsidRPr="005F0CE8">
              <w:rPr>
                <w:lang w:val="en-AU"/>
              </w:rPr>
              <w:t>Prior chemotherapy</w:t>
            </w:r>
          </w:p>
        </w:tc>
        <w:tc>
          <w:tcPr>
            <w:tcW w:w="2041" w:type="pct"/>
            <w:gridSpan w:val="3"/>
            <w:vAlign w:val="center"/>
          </w:tcPr>
          <w:p w14:paraId="1B508FC2" w14:textId="6C4DD541" w:rsidR="00BF6F68" w:rsidRPr="005F0CE8" w:rsidRDefault="00BF6F68" w:rsidP="00B15712">
            <w:pPr>
              <w:pStyle w:val="In-tableHeading"/>
              <w:jc w:val="center"/>
              <w:rPr>
                <w:lang w:val="en-AU"/>
              </w:rPr>
            </w:pPr>
            <w:r w:rsidRPr="005F0CE8">
              <w:rPr>
                <w:lang w:val="en-AU"/>
              </w:rPr>
              <w:t>Events</w:t>
            </w:r>
          </w:p>
        </w:tc>
        <w:tc>
          <w:tcPr>
            <w:tcW w:w="992" w:type="pct"/>
            <w:vMerge w:val="restart"/>
            <w:vAlign w:val="center"/>
          </w:tcPr>
          <w:p w14:paraId="7CA7D340" w14:textId="77777777" w:rsidR="00BF6F68" w:rsidRPr="005F0CE8" w:rsidRDefault="00BF6F68" w:rsidP="00B15712">
            <w:pPr>
              <w:pStyle w:val="In-tableHeading"/>
              <w:jc w:val="center"/>
              <w:rPr>
                <w:lang w:val="en-AU"/>
              </w:rPr>
            </w:pPr>
            <w:r w:rsidRPr="005F0CE8">
              <w:rPr>
                <w:lang w:val="en-AU"/>
              </w:rPr>
              <w:t>Hazard ratio (95% CI)</w:t>
            </w:r>
          </w:p>
        </w:tc>
        <w:tc>
          <w:tcPr>
            <w:tcW w:w="991" w:type="pct"/>
            <w:vMerge w:val="restart"/>
          </w:tcPr>
          <w:p w14:paraId="11D988DF" w14:textId="60C449D5" w:rsidR="00BF6F68" w:rsidRPr="005F0CE8" w:rsidRDefault="00BF6F68" w:rsidP="00B15712">
            <w:pPr>
              <w:pStyle w:val="In-tableHeading"/>
              <w:jc w:val="center"/>
              <w:rPr>
                <w:lang w:val="en-AU"/>
              </w:rPr>
            </w:pPr>
            <w:r w:rsidRPr="005F0CE8">
              <w:rPr>
                <w:lang w:val="en-AU"/>
              </w:rPr>
              <w:t>Interaction p-value</w:t>
            </w:r>
          </w:p>
        </w:tc>
      </w:tr>
      <w:tr w:rsidR="00BF6F68" w:rsidRPr="005F0CE8" w14:paraId="26AA8C6C" w14:textId="77777777" w:rsidTr="00BF6F68">
        <w:trPr>
          <w:cantSplit/>
          <w:trHeight w:val="115"/>
          <w:tblHeader/>
        </w:trPr>
        <w:tc>
          <w:tcPr>
            <w:tcW w:w="976" w:type="pct"/>
            <w:vMerge/>
            <w:vAlign w:val="center"/>
          </w:tcPr>
          <w:p w14:paraId="763AE8E6" w14:textId="77777777" w:rsidR="00BF6F68" w:rsidRPr="005F0CE8" w:rsidRDefault="00BF6F68" w:rsidP="00BF6F68">
            <w:pPr>
              <w:pStyle w:val="In-tableHeading"/>
              <w:jc w:val="center"/>
              <w:rPr>
                <w:lang w:val="en-AU"/>
              </w:rPr>
            </w:pPr>
          </w:p>
        </w:tc>
        <w:tc>
          <w:tcPr>
            <w:tcW w:w="1020" w:type="pct"/>
            <w:vAlign w:val="center"/>
          </w:tcPr>
          <w:p w14:paraId="5F3648B9" w14:textId="77777777" w:rsidR="00BF6F68" w:rsidRPr="005F0CE8" w:rsidRDefault="00BF6F68" w:rsidP="00BF6F68">
            <w:pPr>
              <w:pStyle w:val="In-tableHeading"/>
              <w:jc w:val="center"/>
              <w:rPr>
                <w:lang w:val="en-AU"/>
              </w:rPr>
            </w:pPr>
            <w:r w:rsidRPr="005F0CE8">
              <w:rPr>
                <w:lang w:val="en-AU"/>
              </w:rPr>
              <w:t>Olaparib</w:t>
            </w:r>
          </w:p>
          <w:p w14:paraId="4C2953A5" w14:textId="4090CC7F" w:rsidR="00BF6F68" w:rsidRPr="005F0CE8" w:rsidRDefault="00BF6F68" w:rsidP="00BF6F68">
            <w:pPr>
              <w:pStyle w:val="In-tableHeading"/>
              <w:jc w:val="center"/>
              <w:rPr>
                <w:lang w:val="en-AU"/>
              </w:rPr>
            </w:pPr>
            <w:r w:rsidRPr="005F0CE8">
              <w:rPr>
                <w:lang w:val="en-AU"/>
              </w:rPr>
              <w:t>n/N (%)</w:t>
            </w:r>
          </w:p>
        </w:tc>
        <w:tc>
          <w:tcPr>
            <w:tcW w:w="1021" w:type="pct"/>
            <w:gridSpan w:val="2"/>
            <w:vAlign w:val="center"/>
          </w:tcPr>
          <w:p w14:paraId="0E01F2E4" w14:textId="77777777" w:rsidR="00BF6F68" w:rsidRPr="005F0CE8" w:rsidRDefault="00BF6F68" w:rsidP="00BF6F68">
            <w:pPr>
              <w:pStyle w:val="In-tableHeading"/>
              <w:jc w:val="center"/>
              <w:rPr>
                <w:lang w:val="en-AU"/>
              </w:rPr>
            </w:pPr>
            <w:r w:rsidRPr="005F0CE8">
              <w:rPr>
                <w:lang w:val="en-AU"/>
              </w:rPr>
              <w:t xml:space="preserve">Placebo </w:t>
            </w:r>
          </w:p>
          <w:p w14:paraId="4D05A768" w14:textId="7BCFC4A1" w:rsidR="00BF6F68" w:rsidRPr="005F0CE8" w:rsidRDefault="00BF6F68" w:rsidP="00BF6F68">
            <w:pPr>
              <w:pStyle w:val="In-tableHeading"/>
              <w:jc w:val="center"/>
              <w:rPr>
                <w:lang w:val="en-AU"/>
              </w:rPr>
            </w:pPr>
            <w:r w:rsidRPr="005F0CE8">
              <w:rPr>
                <w:lang w:val="en-AU"/>
              </w:rPr>
              <w:t>n/N (%)</w:t>
            </w:r>
          </w:p>
        </w:tc>
        <w:tc>
          <w:tcPr>
            <w:tcW w:w="992" w:type="pct"/>
            <w:vMerge/>
            <w:vAlign w:val="center"/>
          </w:tcPr>
          <w:p w14:paraId="6CF41154" w14:textId="77777777" w:rsidR="00BF6F68" w:rsidRPr="005F0CE8" w:rsidRDefault="00BF6F68" w:rsidP="00BF6F68">
            <w:pPr>
              <w:pStyle w:val="In-tableHeading"/>
              <w:jc w:val="center"/>
              <w:rPr>
                <w:lang w:val="en-AU"/>
              </w:rPr>
            </w:pPr>
          </w:p>
        </w:tc>
        <w:tc>
          <w:tcPr>
            <w:tcW w:w="991" w:type="pct"/>
            <w:vMerge/>
          </w:tcPr>
          <w:p w14:paraId="6A49A778" w14:textId="77777777" w:rsidR="00BF6F68" w:rsidRPr="005F0CE8" w:rsidRDefault="00BF6F68" w:rsidP="00BF6F68">
            <w:pPr>
              <w:pStyle w:val="In-tableHeading"/>
              <w:jc w:val="center"/>
              <w:rPr>
                <w:lang w:val="en-AU"/>
              </w:rPr>
            </w:pPr>
          </w:p>
        </w:tc>
      </w:tr>
      <w:tr w:rsidR="00BF6F68" w:rsidRPr="005F0CE8" w14:paraId="34B34F69" w14:textId="61649A57" w:rsidTr="005B286A">
        <w:trPr>
          <w:cantSplit/>
          <w:tblHeader/>
        </w:trPr>
        <w:tc>
          <w:tcPr>
            <w:tcW w:w="5000" w:type="pct"/>
            <w:gridSpan w:val="6"/>
            <w:vAlign w:val="center"/>
          </w:tcPr>
          <w:p w14:paraId="6B81F8CF" w14:textId="339557D2" w:rsidR="00BF6F68" w:rsidRPr="005F0CE8" w:rsidRDefault="00BF6F68" w:rsidP="00BF6F68">
            <w:pPr>
              <w:pStyle w:val="In-tableHeading"/>
              <w:rPr>
                <w:lang w:val="en-AU"/>
              </w:rPr>
            </w:pPr>
            <w:r w:rsidRPr="005F0CE8">
              <w:rPr>
                <w:lang w:val="en-AU"/>
              </w:rPr>
              <w:t>IDFS</w:t>
            </w:r>
          </w:p>
        </w:tc>
      </w:tr>
      <w:tr w:rsidR="00BF6F68" w:rsidRPr="005F0CE8" w14:paraId="12DBC913" w14:textId="74330B0B" w:rsidTr="005B286A">
        <w:trPr>
          <w:cantSplit/>
        </w:trPr>
        <w:tc>
          <w:tcPr>
            <w:tcW w:w="976" w:type="pct"/>
            <w:vAlign w:val="center"/>
          </w:tcPr>
          <w:p w14:paraId="5DFA2E4F" w14:textId="77777777" w:rsidR="00BF6F68" w:rsidRPr="005F0CE8" w:rsidRDefault="00BF6F68" w:rsidP="00BF6F68">
            <w:pPr>
              <w:pStyle w:val="TableText0"/>
              <w:jc w:val="center"/>
            </w:pPr>
            <w:r w:rsidRPr="005F0CE8">
              <w:t>Adjuvant</w:t>
            </w:r>
          </w:p>
        </w:tc>
        <w:tc>
          <w:tcPr>
            <w:tcW w:w="1029" w:type="pct"/>
            <w:gridSpan w:val="2"/>
            <w:vAlign w:val="center"/>
          </w:tcPr>
          <w:p w14:paraId="61CF6B42" w14:textId="77777777" w:rsidR="00BF6F68" w:rsidRPr="005F0CE8" w:rsidRDefault="00BF6F68" w:rsidP="00BF6F68">
            <w:pPr>
              <w:pStyle w:val="TableText0"/>
              <w:jc w:val="center"/>
            </w:pPr>
            <w:r w:rsidRPr="005F0CE8">
              <w:t>46/461 (10.0%)</w:t>
            </w:r>
          </w:p>
        </w:tc>
        <w:tc>
          <w:tcPr>
            <w:tcW w:w="1012" w:type="pct"/>
            <w:vAlign w:val="center"/>
          </w:tcPr>
          <w:p w14:paraId="6D52A5A8" w14:textId="77777777" w:rsidR="00BF6F68" w:rsidRPr="005F0CE8" w:rsidRDefault="00BF6F68" w:rsidP="00BF6F68">
            <w:pPr>
              <w:pStyle w:val="TableText0"/>
              <w:jc w:val="center"/>
            </w:pPr>
            <w:r w:rsidRPr="005F0CE8">
              <w:t>75/455 (16.5%)</w:t>
            </w:r>
          </w:p>
        </w:tc>
        <w:tc>
          <w:tcPr>
            <w:tcW w:w="992" w:type="pct"/>
            <w:vAlign w:val="center"/>
          </w:tcPr>
          <w:p w14:paraId="16AA0057" w14:textId="77777777" w:rsidR="00BF6F68" w:rsidRPr="005F0CE8" w:rsidRDefault="00BF6F68" w:rsidP="00BF6F68">
            <w:pPr>
              <w:pStyle w:val="TableText0"/>
              <w:jc w:val="center"/>
              <w:rPr>
                <w:b/>
                <w:bCs w:val="0"/>
              </w:rPr>
            </w:pPr>
            <w:r w:rsidRPr="005F0CE8">
              <w:rPr>
                <w:b/>
                <w:bCs w:val="0"/>
              </w:rPr>
              <w:t>0.618 (0.425, 0.888)</w:t>
            </w:r>
          </w:p>
        </w:tc>
        <w:tc>
          <w:tcPr>
            <w:tcW w:w="991" w:type="pct"/>
            <w:vMerge w:val="restart"/>
          </w:tcPr>
          <w:p w14:paraId="653B89EC" w14:textId="1A41E867" w:rsidR="00BF6F68" w:rsidRPr="005F0CE8" w:rsidRDefault="00BF6F68" w:rsidP="00BF6F68">
            <w:pPr>
              <w:pStyle w:val="TableText0"/>
              <w:jc w:val="center"/>
            </w:pPr>
            <w:r w:rsidRPr="005F0CE8">
              <w:t>0.763</w:t>
            </w:r>
          </w:p>
        </w:tc>
      </w:tr>
      <w:tr w:rsidR="00BF6F68" w:rsidRPr="005F0CE8" w14:paraId="4AD53E7A" w14:textId="38271659" w:rsidTr="005B286A">
        <w:trPr>
          <w:cantSplit/>
        </w:trPr>
        <w:tc>
          <w:tcPr>
            <w:tcW w:w="976" w:type="pct"/>
            <w:vAlign w:val="center"/>
          </w:tcPr>
          <w:p w14:paraId="14BD8B9D" w14:textId="77777777" w:rsidR="00BF6F68" w:rsidRPr="005F0CE8" w:rsidRDefault="00BF6F68" w:rsidP="00BF6F68">
            <w:pPr>
              <w:pStyle w:val="TableText0"/>
              <w:jc w:val="center"/>
            </w:pPr>
            <w:r w:rsidRPr="005F0CE8">
              <w:t>Neoadjuvant</w:t>
            </w:r>
          </w:p>
        </w:tc>
        <w:tc>
          <w:tcPr>
            <w:tcW w:w="1029" w:type="pct"/>
            <w:gridSpan w:val="2"/>
            <w:vAlign w:val="center"/>
          </w:tcPr>
          <w:p w14:paraId="46A1B1DE" w14:textId="77777777" w:rsidR="00BF6F68" w:rsidRPr="005F0CE8" w:rsidRDefault="00BF6F68" w:rsidP="00BF6F68">
            <w:pPr>
              <w:pStyle w:val="TableText0"/>
              <w:jc w:val="center"/>
            </w:pPr>
            <w:r w:rsidRPr="005F0CE8">
              <w:t>88/460 (19.1%)</w:t>
            </w:r>
          </w:p>
        </w:tc>
        <w:tc>
          <w:tcPr>
            <w:tcW w:w="1012" w:type="pct"/>
            <w:vAlign w:val="center"/>
          </w:tcPr>
          <w:p w14:paraId="44317574" w14:textId="77777777" w:rsidR="00BF6F68" w:rsidRPr="005F0CE8" w:rsidRDefault="00BF6F68" w:rsidP="00BF6F68">
            <w:pPr>
              <w:pStyle w:val="TableText0"/>
              <w:jc w:val="center"/>
            </w:pPr>
            <w:r w:rsidRPr="005F0CE8">
              <w:t>132/460 (28.7%)</w:t>
            </w:r>
          </w:p>
        </w:tc>
        <w:tc>
          <w:tcPr>
            <w:tcW w:w="992" w:type="pct"/>
            <w:vAlign w:val="center"/>
          </w:tcPr>
          <w:p w14:paraId="3873BAE2" w14:textId="77777777" w:rsidR="00BF6F68" w:rsidRPr="005F0CE8" w:rsidRDefault="00BF6F68" w:rsidP="00BF6F68">
            <w:pPr>
              <w:pStyle w:val="TableText0"/>
              <w:jc w:val="center"/>
              <w:rPr>
                <w:b/>
                <w:bCs w:val="0"/>
              </w:rPr>
            </w:pPr>
            <w:r w:rsidRPr="005F0CE8">
              <w:rPr>
                <w:b/>
                <w:bCs w:val="0"/>
              </w:rPr>
              <w:t>0.622 (0.473, 0.813)</w:t>
            </w:r>
          </w:p>
        </w:tc>
        <w:tc>
          <w:tcPr>
            <w:tcW w:w="991" w:type="pct"/>
            <w:vMerge/>
          </w:tcPr>
          <w:p w14:paraId="4E913896" w14:textId="77777777" w:rsidR="00BF6F68" w:rsidRPr="005F0CE8" w:rsidRDefault="00BF6F68" w:rsidP="00BF6F68">
            <w:pPr>
              <w:pStyle w:val="TableText0"/>
              <w:jc w:val="center"/>
              <w:rPr>
                <w:b/>
                <w:bCs w:val="0"/>
              </w:rPr>
            </w:pPr>
          </w:p>
        </w:tc>
      </w:tr>
      <w:tr w:rsidR="00BF6F68" w:rsidRPr="005F0CE8" w14:paraId="069C3ED4" w14:textId="3434ADAE" w:rsidTr="005B286A">
        <w:trPr>
          <w:cantSplit/>
        </w:trPr>
        <w:tc>
          <w:tcPr>
            <w:tcW w:w="5000" w:type="pct"/>
            <w:gridSpan w:val="6"/>
            <w:vAlign w:val="center"/>
          </w:tcPr>
          <w:p w14:paraId="63F7C839" w14:textId="06B9DD74" w:rsidR="00BF6F68" w:rsidRPr="005F0CE8" w:rsidRDefault="00BF6F68" w:rsidP="00BF6F68">
            <w:pPr>
              <w:pStyle w:val="TableText0"/>
              <w:rPr>
                <w:b/>
                <w:bCs w:val="0"/>
              </w:rPr>
            </w:pPr>
            <w:r w:rsidRPr="005F0CE8">
              <w:rPr>
                <w:b/>
                <w:bCs w:val="0"/>
              </w:rPr>
              <w:t>OS</w:t>
            </w:r>
          </w:p>
        </w:tc>
      </w:tr>
      <w:tr w:rsidR="00BF6F68" w:rsidRPr="005F0CE8" w14:paraId="046243F2" w14:textId="33C90EA5" w:rsidTr="005B286A">
        <w:trPr>
          <w:cantSplit/>
        </w:trPr>
        <w:tc>
          <w:tcPr>
            <w:tcW w:w="976" w:type="pct"/>
            <w:vAlign w:val="center"/>
          </w:tcPr>
          <w:p w14:paraId="33230649" w14:textId="77777777" w:rsidR="00BF6F68" w:rsidRPr="005F0CE8" w:rsidRDefault="00BF6F68" w:rsidP="00BF6F68">
            <w:pPr>
              <w:pStyle w:val="TableText0"/>
              <w:jc w:val="center"/>
            </w:pPr>
            <w:r w:rsidRPr="005F0CE8">
              <w:t>Adjuvant</w:t>
            </w:r>
          </w:p>
        </w:tc>
        <w:tc>
          <w:tcPr>
            <w:tcW w:w="1029" w:type="pct"/>
            <w:gridSpan w:val="2"/>
            <w:vAlign w:val="center"/>
          </w:tcPr>
          <w:p w14:paraId="61B4EBFE" w14:textId="77777777" w:rsidR="00BF6F68" w:rsidRPr="005F0CE8" w:rsidRDefault="00BF6F68" w:rsidP="00BF6F68">
            <w:pPr>
              <w:pStyle w:val="TableText0"/>
              <w:jc w:val="center"/>
            </w:pPr>
            <w:r w:rsidRPr="005F0CE8">
              <w:t>22/461 (4.8%)</w:t>
            </w:r>
          </w:p>
        </w:tc>
        <w:tc>
          <w:tcPr>
            <w:tcW w:w="1012" w:type="pct"/>
            <w:vAlign w:val="center"/>
          </w:tcPr>
          <w:p w14:paraId="74CE686E" w14:textId="77777777" w:rsidR="00BF6F68" w:rsidRPr="005F0CE8" w:rsidRDefault="00BF6F68" w:rsidP="00BF6F68">
            <w:pPr>
              <w:pStyle w:val="TableText0"/>
              <w:jc w:val="center"/>
            </w:pPr>
            <w:r w:rsidRPr="005F0CE8">
              <w:t>28/455 (6.2%)</w:t>
            </w:r>
          </w:p>
        </w:tc>
        <w:tc>
          <w:tcPr>
            <w:tcW w:w="992" w:type="pct"/>
            <w:vAlign w:val="center"/>
          </w:tcPr>
          <w:p w14:paraId="2D893926" w14:textId="77777777" w:rsidR="00BF6F68" w:rsidRPr="005F0CE8" w:rsidRDefault="00BF6F68" w:rsidP="00BF6F68">
            <w:pPr>
              <w:pStyle w:val="TableText0"/>
              <w:jc w:val="center"/>
            </w:pPr>
            <w:r w:rsidRPr="005F0CE8">
              <w:t>0.783 (0.444, 1.365)</w:t>
            </w:r>
          </w:p>
        </w:tc>
        <w:tc>
          <w:tcPr>
            <w:tcW w:w="991" w:type="pct"/>
            <w:vMerge w:val="restart"/>
          </w:tcPr>
          <w:p w14:paraId="4343A4E9" w14:textId="3FAB0269" w:rsidR="00BF6F68" w:rsidRPr="005F0CE8" w:rsidRDefault="00BF6F68" w:rsidP="00BF6F68">
            <w:pPr>
              <w:pStyle w:val="TableText0"/>
              <w:jc w:val="center"/>
            </w:pPr>
            <w:r w:rsidRPr="005F0CE8">
              <w:t>0.753</w:t>
            </w:r>
          </w:p>
        </w:tc>
      </w:tr>
      <w:tr w:rsidR="00BF6F68" w:rsidRPr="005F0CE8" w14:paraId="5A8479A4" w14:textId="151A57BD" w:rsidTr="005B286A">
        <w:trPr>
          <w:cantSplit/>
        </w:trPr>
        <w:tc>
          <w:tcPr>
            <w:tcW w:w="976" w:type="pct"/>
            <w:vAlign w:val="center"/>
          </w:tcPr>
          <w:p w14:paraId="48D545EC" w14:textId="77777777" w:rsidR="00BF6F68" w:rsidRPr="005F0CE8" w:rsidRDefault="00BF6F68" w:rsidP="00BF6F68">
            <w:pPr>
              <w:pStyle w:val="TableText0"/>
              <w:jc w:val="center"/>
            </w:pPr>
            <w:r w:rsidRPr="005F0CE8">
              <w:t>Neoadjuvant</w:t>
            </w:r>
          </w:p>
        </w:tc>
        <w:tc>
          <w:tcPr>
            <w:tcW w:w="1029" w:type="pct"/>
            <w:gridSpan w:val="2"/>
            <w:vAlign w:val="center"/>
          </w:tcPr>
          <w:p w14:paraId="38E8529D" w14:textId="77777777" w:rsidR="00BF6F68" w:rsidRPr="005F0CE8" w:rsidRDefault="00BF6F68" w:rsidP="00BF6F68">
            <w:pPr>
              <w:pStyle w:val="TableText0"/>
              <w:jc w:val="center"/>
            </w:pPr>
            <w:r w:rsidRPr="005F0CE8">
              <w:t>53/460 (11.5%)</w:t>
            </w:r>
          </w:p>
        </w:tc>
        <w:tc>
          <w:tcPr>
            <w:tcW w:w="1012" w:type="pct"/>
            <w:vAlign w:val="center"/>
          </w:tcPr>
          <w:p w14:paraId="43B62FBF" w14:textId="77777777" w:rsidR="00BF6F68" w:rsidRPr="005F0CE8" w:rsidRDefault="00BF6F68" w:rsidP="00BF6F68">
            <w:pPr>
              <w:pStyle w:val="TableText0"/>
              <w:jc w:val="center"/>
            </w:pPr>
            <w:r w:rsidRPr="005F0CE8">
              <w:t>81/460 (17.6%)</w:t>
            </w:r>
          </w:p>
        </w:tc>
        <w:tc>
          <w:tcPr>
            <w:tcW w:w="992" w:type="pct"/>
            <w:vAlign w:val="center"/>
          </w:tcPr>
          <w:p w14:paraId="3F527CA4" w14:textId="77777777" w:rsidR="00BF6F68" w:rsidRPr="005F0CE8" w:rsidRDefault="00BF6F68" w:rsidP="00BF6F68">
            <w:pPr>
              <w:pStyle w:val="TableText0"/>
              <w:jc w:val="center"/>
              <w:rPr>
                <w:b/>
                <w:bCs w:val="0"/>
              </w:rPr>
            </w:pPr>
            <w:r w:rsidRPr="005F0CE8">
              <w:rPr>
                <w:b/>
                <w:bCs w:val="0"/>
              </w:rPr>
              <w:t>0.638 (0.449, 0.900)</w:t>
            </w:r>
          </w:p>
        </w:tc>
        <w:tc>
          <w:tcPr>
            <w:tcW w:w="991" w:type="pct"/>
            <w:vMerge/>
          </w:tcPr>
          <w:p w14:paraId="2EA4A003" w14:textId="77777777" w:rsidR="00BF6F68" w:rsidRPr="005F0CE8" w:rsidRDefault="00BF6F68" w:rsidP="00BF6F68">
            <w:pPr>
              <w:pStyle w:val="TableText0"/>
              <w:jc w:val="center"/>
              <w:rPr>
                <w:b/>
                <w:bCs w:val="0"/>
              </w:rPr>
            </w:pPr>
          </w:p>
        </w:tc>
      </w:tr>
      <w:tr w:rsidR="00BF6F68" w:rsidRPr="005F0CE8" w14:paraId="2E241E8F" w14:textId="7C9B6F53" w:rsidTr="005B286A">
        <w:trPr>
          <w:cantSplit/>
        </w:trPr>
        <w:tc>
          <w:tcPr>
            <w:tcW w:w="5000" w:type="pct"/>
            <w:gridSpan w:val="6"/>
            <w:vAlign w:val="center"/>
          </w:tcPr>
          <w:p w14:paraId="720AB3FE" w14:textId="778BD798" w:rsidR="00BF6F68" w:rsidRPr="005F0CE8" w:rsidRDefault="00BF6F68" w:rsidP="00BF6F68">
            <w:pPr>
              <w:pStyle w:val="TableText0"/>
              <w:rPr>
                <w:b/>
                <w:bCs w:val="0"/>
              </w:rPr>
            </w:pPr>
            <w:r w:rsidRPr="005F0CE8">
              <w:rPr>
                <w:b/>
                <w:bCs w:val="0"/>
              </w:rPr>
              <w:t>DDFS</w:t>
            </w:r>
          </w:p>
        </w:tc>
      </w:tr>
      <w:tr w:rsidR="00BF6F68" w:rsidRPr="005F0CE8" w14:paraId="61F52EF3" w14:textId="1FA80665" w:rsidTr="005B286A">
        <w:trPr>
          <w:cantSplit/>
        </w:trPr>
        <w:tc>
          <w:tcPr>
            <w:tcW w:w="976" w:type="pct"/>
            <w:vAlign w:val="center"/>
          </w:tcPr>
          <w:p w14:paraId="3AB5234D" w14:textId="77777777" w:rsidR="00BF6F68" w:rsidRPr="005F0CE8" w:rsidRDefault="00BF6F68" w:rsidP="00BF6F68">
            <w:pPr>
              <w:pStyle w:val="TableText0"/>
              <w:jc w:val="center"/>
            </w:pPr>
            <w:r w:rsidRPr="005F0CE8">
              <w:t>Adjuvant</w:t>
            </w:r>
          </w:p>
        </w:tc>
        <w:tc>
          <w:tcPr>
            <w:tcW w:w="1029" w:type="pct"/>
            <w:gridSpan w:val="2"/>
            <w:vAlign w:val="center"/>
          </w:tcPr>
          <w:p w14:paraId="52180229" w14:textId="77777777" w:rsidR="00BF6F68" w:rsidRPr="005F0CE8" w:rsidRDefault="00BF6F68" w:rsidP="00BF6F68">
            <w:pPr>
              <w:pStyle w:val="TableText0"/>
              <w:jc w:val="center"/>
            </w:pPr>
            <w:r w:rsidRPr="005F0CE8">
              <w:t>33/461 (7.2%)</w:t>
            </w:r>
          </w:p>
        </w:tc>
        <w:tc>
          <w:tcPr>
            <w:tcW w:w="1012" w:type="pct"/>
            <w:vAlign w:val="center"/>
          </w:tcPr>
          <w:p w14:paraId="7E17B9C7" w14:textId="77777777" w:rsidR="00BF6F68" w:rsidRPr="005F0CE8" w:rsidRDefault="00BF6F68" w:rsidP="00BF6F68">
            <w:pPr>
              <w:pStyle w:val="TableText0"/>
              <w:jc w:val="center"/>
            </w:pPr>
            <w:r w:rsidRPr="005F0CE8">
              <w:t>59/455 (13.0%)</w:t>
            </w:r>
          </w:p>
        </w:tc>
        <w:tc>
          <w:tcPr>
            <w:tcW w:w="992" w:type="pct"/>
            <w:vAlign w:val="center"/>
          </w:tcPr>
          <w:p w14:paraId="6F3F1428" w14:textId="77777777" w:rsidR="00BF6F68" w:rsidRPr="005F0CE8" w:rsidRDefault="00BF6F68" w:rsidP="00BF6F68">
            <w:pPr>
              <w:pStyle w:val="TableText0"/>
              <w:jc w:val="center"/>
              <w:rPr>
                <w:b/>
                <w:bCs w:val="0"/>
              </w:rPr>
            </w:pPr>
            <w:r w:rsidRPr="005F0CE8">
              <w:rPr>
                <w:b/>
                <w:bCs w:val="0"/>
              </w:rPr>
              <w:t>0.562 (0.363, 0.855)</w:t>
            </w:r>
          </w:p>
        </w:tc>
        <w:tc>
          <w:tcPr>
            <w:tcW w:w="991" w:type="pct"/>
            <w:vMerge w:val="restart"/>
          </w:tcPr>
          <w:p w14:paraId="0C0A128F" w14:textId="21501178" w:rsidR="00BF6F68" w:rsidRPr="005F0CE8" w:rsidRDefault="00BF6F68" w:rsidP="00BF6F68">
            <w:pPr>
              <w:pStyle w:val="TableText0"/>
              <w:jc w:val="center"/>
            </w:pPr>
            <w:r w:rsidRPr="005F0CE8">
              <w:t>0.583</w:t>
            </w:r>
          </w:p>
        </w:tc>
      </w:tr>
      <w:tr w:rsidR="00BF6F68" w:rsidRPr="005F0CE8" w14:paraId="1F60A51F" w14:textId="79769E76" w:rsidTr="005B286A">
        <w:trPr>
          <w:cantSplit/>
        </w:trPr>
        <w:tc>
          <w:tcPr>
            <w:tcW w:w="976" w:type="pct"/>
            <w:vAlign w:val="center"/>
          </w:tcPr>
          <w:p w14:paraId="16171A30" w14:textId="77777777" w:rsidR="00BF6F68" w:rsidRPr="005F0CE8" w:rsidRDefault="00BF6F68" w:rsidP="00BF6F68">
            <w:pPr>
              <w:pStyle w:val="TableText0"/>
              <w:jc w:val="center"/>
            </w:pPr>
            <w:r w:rsidRPr="005F0CE8">
              <w:t>Neoadjuvant</w:t>
            </w:r>
          </w:p>
        </w:tc>
        <w:tc>
          <w:tcPr>
            <w:tcW w:w="1029" w:type="pct"/>
            <w:gridSpan w:val="2"/>
            <w:vAlign w:val="center"/>
          </w:tcPr>
          <w:p w14:paraId="0F546B39" w14:textId="77777777" w:rsidR="00BF6F68" w:rsidRPr="005F0CE8" w:rsidRDefault="00BF6F68" w:rsidP="00BF6F68">
            <w:pPr>
              <w:pStyle w:val="TableText0"/>
              <w:jc w:val="center"/>
            </w:pPr>
            <w:r w:rsidRPr="005F0CE8">
              <w:t>74/460 (16.1%)</w:t>
            </w:r>
          </w:p>
        </w:tc>
        <w:tc>
          <w:tcPr>
            <w:tcW w:w="1012" w:type="pct"/>
            <w:vAlign w:val="center"/>
          </w:tcPr>
          <w:p w14:paraId="34A21DA2" w14:textId="77777777" w:rsidR="00BF6F68" w:rsidRPr="005F0CE8" w:rsidRDefault="00BF6F68" w:rsidP="00BF6F68">
            <w:pPr>
              <w:pStyle w:val="TableText0"/>
              <w:jc w:val="center"/>
            </w:pPr>
            <w:r w:rsidRPr="005F0CE8">
              <w:t>113/460 (24.6%)</w:t>
            </w:r>
          </w:p>
        </w:tc>
        <w:tc>
          <w:tcPr>
            <w:tcW w:w="992" w:type="pct"/>
            <w:vAlign w:val="center"/>
          </w:tcPr>
          <w:p w14:paraId="4A57A4F8" w14:textId="77777777" w:rsidR="00BF6F68" w:rsidRPr="005F0CE8" w:rsidRDefault="00BF6F68" w:rsidP="00BF6F68">
            <w:pPr>
              <w:pStyle w:val="TableText0"/>
              <w:jc w:val="center"/>
              <w:rPr>
                <w:b/>
                <w:bCs w:val="0"/>
              </w:rPr>
            </w:pPr>
            <w:r w:rsidRPr="005F0CE8">
              <w:rPr>
                <w:b/>
                <w:bCs w:val="0"/>
              </w:rPr>
              <w:t>0.623 (0.463, 0.832)</w:t>
            </w:r>
          </w:p>
        </w:tc>
        <w:tc>
          <w:tcPr>
            <w:tcW w:w="991" w:type="pct"/>
            <w:vMerge/>
          </w:tcPr>
          <w:p w14:paraId="56A9FCA4" w14:textId="77777777" w:rsidR="00BF6F68" w:rsidRPr="005F0CE8" w:rsidRDefault="00BF6F68" w:rsidP="00BF6F68">
            <w:pPr>
              <w:pStyle w:val="TableText0"/>
              <w:jc w:val="center"/>
              <w:rPr>
                <w:b/>
                <w:bCs w:val="0"/>
              </w:rPr>
            </w:pPr>
          </w:p>
        </w:tc>
      </w:tr>
    </w:tbl>
    <w:p w14:paraId="74417B2E" w14:textId="63FE4DF6" w:rsidR="00366569" w:rsidRPr="005F0CE8" w:rsidRDefault="005B286A" w:rsidP="00AF5FC8">
      <w:pPr>
        <w:pStyle w:val="FooterTableFigure"/>
      </w:pPr>
      <w:r w:rsidRPr="005F0CE8">
        <w:t>Source: Table 14.2.13.1, table 14.2.13.3, and table 14.2.13.5 of attachment 2.3 CSR section tables figures listing part b</w:t>
      </w:r>
    </w:p>
    <w:p w14:paraId="0ECCBEF8" w14:textId="250F7A12" w:rsidR="005705FC" w:rsidRPr="00DB2BE9" w:rsidRDefault="005B286A" w:rsidP="00AF5FC8">
      <w:pPr>
        <w:pStyle w:val="FooterTableFigure"/>
      </w:pPr>
      <w:r w:rsidRPr="005F0CE8">
        <w:t xml:space="preserve">CI = confidence interval, DDFS = distant disease free survival, IDFS = invasive disease free survival, OS = overall survival, n = number of patients with outcome, N = number of patients in group. </w:t>
      </w:r>
      <w:r w:rsidRPr="005F0CE8">
        <w:rPr>
          <w:b/>
          <w:bCs/>
        </w:rPr>
        <w:t xml:space="preserve">Bold </w:t>
      </w:r>
      <w:r w:rsidRPr="005F0CE8">
        <w:t xml:space="preserve">indicates a </w:t>
      </w:r>
      <w:r w:rsidR="0037408C" w:rsidRPr="005F0CE8">
        <w:t xml:space="preserve">nominally </w:t>
      </w:r>
      <w:r w:rsidRPr="005F0CE8">
        <w:t>statistically significant result.</w:t>
      </w:r>
    </w:p>
    <w:bookmarkEnd w:id="51"/>
    <w:p w14:paraId="344C6931" w14:textId="1B9884D3" w:rsidR="0064599A" w:rsidRPr="005F0CE8" w:rsidRDefault="0064599A" w:rsidP="00477BB3">
      <w:pPr>
        <w:pStyle w:val="3-BodyText"/>
        <w:rPr>
          <w:color w:val="0066FF"/>
        </w:rPr>
      </w:pPr>
      <w:r w:rsidRPr="005F0CE8">
        <w:rPr>
          <w:snapToGrid/>
        </w:rPr>
        <w:t>Patient reported outcomes were measured with FACIT-Fatigue and EORTC QLQ-C30. The compliance rate for the QoL questionnaires was similar across both arms of the study. Starting at almost 100% and reducing to 70% at 24 months.</w:t>
      </w:r>
    </w:p>
    <w:p w14:paraId="1B2019DC" w14:textId="6760B8BF" w:rsidR="001A42BA" w:rsidRPr="005F0CE8" w:rsidRDefault="001A42BA" w:rsidP="00477BB3">
      <w:pPr>
        <w:pStyle w:val="3-BodyText"/>
        <w:rPr>
          <w:color w:val="0066FF"/>
        </w:rPr>
      </w:pPr>
      <w:r w:rsidRPr="005F0CE8">
        <w:t>The FACIT-Fatigue scores were divided into patients who received neoadjuvant or adjuvant chemotherapy. The results are presented in</w:t>
      </w:r>
      <w:r w:rsidR="002C7B60" w:rsidRPr="005F0CE8">
        <w:t xml:space="preserve"> </w:t>
      </w:r>
      <w:r w:rsidR="002C7B60" w:rsidRPr="005F0CE8">
        <w:fldChar w:fldCharType="begin"/>
      </w:r>
      <w:r w:rsidR="002C7B60" w:rsidRPr="005F0CE8">
        <w:instrText xml:space="preserve"> REF _Ref121698418 \h </w:instrText>
      </w:r>
      <w:r w:rsidR="002C7B60" w:rsidRPr="005F0CE8">
        <w:fldChar w:fldCharType="separate"/>
      </w:r>
      <w:r w:rsidR="00AB6006" w:rsidRPr="005F0CE8">
        <w:t xml:space="preserve">Table </w:t>
      </w:r>
      <w:r w:rsidR="00AB6006">
        <w:rPr>
          <w:noProof/>
        </w:rPr>
        <w:t>8</w:t>
      </w:r>
      <w:r w:rsidR="002C7B60" w:rsidRPr="005F0CE8">
        <w:fldChar w:fldCharType="end"/>
      </w:r>
      <w:r w:rsidRPr="005F0CE8">
        <w:t>.</w:t>
      </w:r>
    </w:p>
    <w:p w14:paraId="480C3814" w14:textId="34A22C56" w:rsidR="001A42BA" w:rsidRPr="005F0CE8" w:rsidRDefault="001A42BA" w:rsidP="00477BB3">
      <w:pPr>
        <w:pStyle w:val="3-BodyText"/>
      </w:pPr>
      <w:r w:rsidRPr="005F0CE8">
        <w:t xml:space="preserve">The neoadjuvant group saw </w:t>
      </w:r>
      <w:r w:rsidR="004A64F0" w:rsidRPr="005F0CE8">
        <w:t>a</w:t>
      </w:r>
      <w:r w:rsidRPr="005F0CE8">
        <w:t>n improvement in fatigue scores for the olaparib arm at 6 and 12 months but this was lost by 18 months. In contrast</w:t>
      </w:r>
      <w:r w:rsidR="003D061F" w:rsidRPr="005F0CE8">
        <w:t>,</w:t>
      </w:r>
      <w:r w:rsidRPr="005F0CE8">
        <w:t xml:space="preserve"> the placebo arm did not see any improvement in fatigue scores. This was mirrored in the adjuvant chemotherapy group. The observed difference was statistically significant but did not meet the </w:t>
      </w:r>
      <w:r w:rsidR="004A64F0" w:rsidRPr="005F0CE8">
        <w:t xml:space="preserve">pre-established </w:t>
      </w:r>
      <w:r w:rsidRPr="005F0CE8">
        <w:t>minimally clinically meaningful change threshold</w:t>
      </w:r>
      <w:r w:rsidR="004A64F0" w:rsidRPr="005F0CE8">
        <w:t xml:space="preserve"> of 3 points</w:t>
      </w:r>
      <w:r w:rsidRPr="005F0CE8">
        <w:t>.</w:t>
      </w:r>
    </w:p>
    <w:p w14:paraId="7CFDB47B" w14:textId="037E85AB" w:rsidR="00AF1A80" w:rsidRPr="005F0CE8" w:rsidRDefault="00AF1A80" w:rsidP="00DB2BE9">
      <w:pPr>
        <w:pStyle w:val="Caption"/>
        <w:keepNext w:val="0"/>
      </w:pPr>
      <w:bookmarkStart w:id="53" w:name="_Ref121698418"/>
      <w:r w:rsidRPr="005F0CE8">
        <w:t xml:space="preserve">Table </w:t>
      </w:r>
      <w:fldSimple w:instr=" SEQ Table \* ARABIC ">
        <w:r w:rsidR="00AB6006">
          <w:rPr>
            <w:noProof/>
          </w:rPr>
          <w:t>8</w:t>
        </w:r>
      </w:fldSimple>
      <w:bookmarkEnd w:id="53"/>
      <w:r w:rsidRPr="005F0CE8">
        <w:t>: Change from baseline for FACIT-Fatigue Score in the OlympiA trial.</w:t>
      </w:r>
    </w:p>
    <w:tbl>
      <w:tblPr>
        <w:tblStyle w:val="SummaryTable1"/>
        <w:tblW w:w="5000" w:type="pct"/>
        <w:jc w:val="center"/>
        <w:tblLook w:val="04A0" w:firstRow="1" w:lastRow="0" w:firstColumn="1" w:lastColumn="0" w:noHBand="0" w:noVBand="1"/>
      </w:tblPr>
      <w:tblGrid>
        <w:gridCol w:w="1370"/>
        <w:gridCol w:w="1111"/>
        <w:gridCol w:w="1050"/>
        <w:gridCol w:w="1112"/>
        <w:gridCol w:w="1023"/>
        <w:gridCol w:w="858"/>
        <w:gridCol w:w="831"/>
        <w:gridCol w:w="831"/>
        <w:gridCol w:w="831"/>
      </w:tblGrid>
      <w:tr w:rsidR="00AF1A80" w:rsidRPr="005F0CE8" w14:paraId="765E5085" w14:textId="77777777" w:rsidTr="002D4CF3">
        <w:trPr>
          <w:trHeight w:val="176"/>
          <w:jc w:val="center"/>
        </w:trPr>
        <w:tc>
          <w:tcPr>
            <w:tcW w:w="1369" w:type="dxa"/>
          </w:tcPr>
          <w:p w14:paraId="2C01E000"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p>
        </w:tc>
        <w:tc>
          <w:tcPr>
            <w:tcW w:w="2161" w:type="dxa"/>
            <w:gridSpan w:val="2"/>
          </w:tcPr>
          <w:p w14:paraId="5EFB29A7"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6 months</w:t>
            </w:r>
          </w:p>
        </w:tc>
        <w:tc>
          <w:tcPr>
            <w:tcW w:w="2135" w:type="dxa"/>
            <w:gridSpan w:val="2"/>
          </w:tcPr>
          <w:p w14:paraId="6479DAB6"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12 months</w:t>
            </w:r>
          </w:p>
        </w:tc>
        <w:tc>
          <w:tcPr>
            <w:tcW w:w="1689" w:type="dxa"/>
            <w:gridSpan w:val="2"/>
          </w:tcPr>
          <w:p w14:paraId="31C8594D"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 xml:space="preserve">18 months </w:t>
            </w:r>
          </w:p>
        </w:tc>
        <w:tc>
          <w:tcPr>
            <w:tcW w:w="1662" w:type="dxa"/>
            <w:gridSpan w:val="2"/>
          </w:tcPr>
          <w:p w14:paraId="6E16A900"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 xml:space="preserve">24 months </w:t>
            </w:r>
          </w:p>
        </w:tc>
      </w:tr>
      <w:tr w:rsidR="00AF1A80" w:rsidRPr="005F0CE8" w14:paraId="3F2AC59E" w14:textId="77777777" w:rsidTr="002D4CF3">
        <w:trPr>
          <w:trHeight w:val="176"/>
          <w:jc w:val="center"/>
        </w:trPr>
        <w:tc>
          <w:tcPr>
            <w:tcW w:w="1369" w:type="dxa"/>
          </w:tcPr>
          <w:p w14:paraId="1B43F155"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Parameter</w:t>
            </w:r>
          </w:p>
        </w:tc>
        <w:tc>
          <w:tcPr>
            <w:tcW w:w="1111" w:type="dxa"/>
          </w:tcPr>
          <w:p w14:paraId="188E1CD4"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Mean</w:t>
            </w:r>
          </w:p>
        </w:tc>
        <w:tc>
          <w:tcPr>
            <w:tcW w:w="1050" w:type="dxa"/>
          </w:tcPr>
          <w:p w14:paraId="1EF4A76A"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95% CI</w:t>
            </w:r>
          </w:p>
        </w:tc>
        <w:tc>
          <w:tcPr>
            <w:tcW w:w="1112" w:type="dxa"/>
          </w:tcPr>
          <w:p w14:paraId="2AC76267"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Mean</w:t>
            </w:r>
          </w:p>
        </w:tc>
        <w:tc>
          <w:tcPr>
            <w:tcW w:w="1023" w:type="dxa"/>
          </w:tcPr>
          <w:p w14:paraId="3E16DB8A"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95% CI</w:t>
            </w:r>
          </w:p>
        </w:tc>
        <w:tc>
          <w:tcPr>
            <w:tcW w:w="858" w:type="dxa"/>
          </w:tcPr>
          <w:p w14:paraId="0DF119F9"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Mean</w:t>
            </w:r>
          </w:p>
        </w:tc>
        <w:tc>
          <w:tcPr>
            <w:tcW w:w="831" w:type="dxa"/>
          </w:tcPr>
          <w:p w14:paraId="757E1AF4"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95% CI</w:t>
            </w:r>
          </w:p>
        </w:tc>
        <w:tc>
          <w:tcPr>
            <w:tcW w:w="831" w:type="dxa"/>
          </w:tcPr>
          <w:p w14:paraId="01DCF702"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Mean</w:t>
            </w:r>
          </w:p>
        </w:tc>
        <w:tc>
          <w:tcPr>
            <w:tcW w:w="831" w:type="dxa"/>
          </w:tcPr>
          <w:p w14:paraId="14FCBEA7" w14:textId="77777777" w:rsidR="00AF1A80" w:rsidRPr="005F0CE8" w:rsidRDefault="00AF1A80" w:rsidP="00DB2BE9">
            <w:pPr>
              <w:keepLines/>
              <w:spacing w:before="20" w:after="20" w:line="240" w:lineRule="auto"/>
              <w:jc w:val="left"/>
              <w:rPr>
                <w:rFonts w:ascii="Arial Narrow" w:eastAsia="MS Gothic" w:hAnsi="Arial Narrow"/>
                <w:b/>
                <w:sz w:val="20"/>
                <w:szCs w:val="20"/>
                <w:lang w:bidi="en-US"/>
              </w:rPr>
            </w:pPr>
            <w:r w:rsidRPr="005F0CE8">
              <w:rPr>
                <w:rFonts w:ascii="Arial Narrow" w:eastAsia="MS Gothic" w:hAnsi="Arial Narrow"/>
                <w:b/>
                <w:sz w:val="20"/>
                <w:szCs w:val="20"/>
                <w:lang w:bidi="en-US"/>
              </w:rPr>
              <w:t>95% CI</w:t>
            </w:r>
          </w:p>
        </w:tc>
      </w:tr>
      <w:tr w:rsidR="00AF1A80" w:rsidRPr="005F0CE8" w14:paraId="0862653E" w14:textId="77777777" w:rsidTr="002D4CF3">
        <w:trPr>
          <w:trHeight w:val="176"/>
          <w:jc w:val="center"/>
        </w:trPr>
        <w:tc>
          <w:tcPr>
            <w:tcW w:w="9016" w:type="dxa"/>
            <w:gridSpan w:val="9"/>
          </w:tcPr>
          <w:p w14:paraId="66EC0AAC"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Patients who had completed neoadjuvant chemotherapy</w:t>
            </w:r>
          </w:p>
        </w:tc>
      </w:tr>
      <w:tr w:rsidR="00AF1A80" w:rsidRPr="005F0CE8" w14:paraId="00350066" w14:textId="77777777" w:rsidTr="002D4CF3">
        <w:trPr>
          <w:trHeight w:val="176"/>
          <w:jc w:val="center"/>
        </w:trPr>
        <w:tc>
          <w:tcPr>
            <w:tcW w:w="1369" w:type="dxa"/>
          </w:tcPr>
          <w:p w14:paraId="41D2BF8F"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Olaparib</w:t>
            </w:r>
          </w:p>
        </w:tc>
        <w:tc>
          <w:tcPr>
            <w:tcW w:w="1111" w:type="dxa"/>
          </w:tcPr>
          <w:p w14:paraId="4D0BA817"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-1.5</w:t>
            </w:r>
          </w:p>
        </w:tc>
        <w:tc>
          <w:tcPr>
            <w:tcW w:w="1050" w:type="dxa"/>
          </w:tcPr>
          <w:p w14:paraId="533C5DB6"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-2.3, -0.8</w:t>
            </w:r>
          </w:p>
        </w:tc>
        <w:tc>
          <w:tcPr>
            <w:tcW w:w="1112" w:type="dxa"/>
          </w:tcPr>
          <w:p w14:paraId="4DE3E369"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-1.5</w:t>
            </w:r>
          </w:p>
        </w:tc>
        <w:tc>
          <w:tcPr>
            <w:tcW w:w="1023" w:type="dxa"/>
          </w:tcPr>
          <w:p w14:paraId="3A981A3F"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-2.4, -0.6</w:t>
            </w:r>
          </w:p>
        </w:tc>
        <w:tc>
          <w:tcPr>
            <w:tcW w:w="858" w:type="dxa"/>
          </w:tcPr>
          <w:p w14:paraId="7833BA53"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1.3</w:t>
            </w:r>
          </w:p>
        </w:tc>
        <w:tc>
          <w:tcPr>
            <w:tcW w:w="831" w:type="dxa"/>
          </w:tcPr>
          <w:p w14:paraId="73800161"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0.4, 2.2</w:t>
            </w:r>
          </w:p>
        </w:tc>
        <w:tc>
          <w:tcPr>
            <w:tcW w:w="831" w:type="dxa"/>
          </w:tcPr>
          <w:p w14:paraId="10C1D091"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1.6</w:t>
            </w:r>
          </w:p>
        </w:tc>
        <w:tc>
          <w:tcPr>
            <w:tcW w:w="831" w:type="dxa"/>
          </w:tcPr>
          <w:p w14:paraId="766AF48F"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0.7, 2.4</w:t>
            </w:r>
          </w:p>
        </w:tc>
      </w:tr>
      <w:tr w:rsidR="00AF1A80" w:rsidRPr="005F0CE8" w14:paraId="510FF230" w14:textId="77777777" w:rsidTr="002D4CF3">
        <w:trPr>
          <w:trHeight w:val="176"/>
          <w:jc w:val="center"/>
        </w:trPr>
        <w:tc>
          <w:tcPr>
            <w:tcW w:w="1369" w:type="dxa"/>
          </w:tcPr>
          <w:p w14:paraId="0C5CF2A5"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Placebo</w:t>
            </w:r>
          </w:p>
        </w:tc>
        <w:tc>
          <w:tcPr>
            <w:tcW w:w="1111" w:type="dxa"/>
          </w:tcPr>
          <w:p w14:paraId="64D55026"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-0.2</w:t>
            </w:r>
          </w:p>
        </w:tc>
        <w:tc>
          <w:tcPr>
            <w:tcW w:w="1050" w:type="dxa"/>
          </w:tcPr>
          <w:p w14:paraId="6670B076"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-1.0, 0.6</w:t>
            </w:r>
          </w:p>
        </w:tc>
        <w:tc>
          <w:tcPr>
            <w:tcW w:w="1112" w:type="dxa"/>
          </w:tcPr>
          <w:p w14:paraId="0C2E9AA7"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0.0</w:t>
            </w:r>
          </w:p>
        </w:tc>
        <w:tc>
          <w:tcPr>
            <w:tcW w:w="1023" w:type="dxa"/>
          </w:tcPr>
          <w:p w14:paraId="72EFAED7"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-0.9, 0.9</w:t>
            </w:r>
          </w:p>
        </w:tc>
        <w:tc>
          <w:tcPr>
            <w:tcW w:w="858" w:type="dxa"/>
          </w:tcPr>
          <w:p w14:paraId="70135474"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1.4</w:t>
            </w:r>
          </w:p>
        </w:tc>
        <w:tc>
          <w:tcPr>
            <w:tcW w:w="831" w:type="dxa"/>
          </w:tcPr>
          <w:p w14:paraId="309BEB24"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0.5, 2.3</w:t>
            </w:r>
          </w:p>
        </w:tc>
        <w:tc>
          <w:tcPr>
            <w:tcW w:w="831" w:type="dxa"/>
          </w:tcPr>
          <w:p w14:paraId="68988770"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2.0</w:t>
            </w:r>
          </w:p>
        </w:tc>
        <w:tc>
          <w:tcPr>
            <w:tcW w:w="831" w:type="dxa"/>
          </w:tcPr>
          <w:p w14:paraId="3E90B8D7"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1.1, 2.9</w:t>
            </w:r>
          </w:p>
        </w:tc>
      </w:tr>
      <w:tr w:rsidR="00AF1A80" w:rsidRPr="005F0CE8" w14:paraId="57783DE0" w14:textId="77777777" w:rsidTr="002D4CF3">
        <w:trPr>
          <w:trHeight w:val="176"/>
          <w:jc w:val="center"/>
        </w:trPr>
        <w:tc>
          <w:tcPr>
            <w:tcW w:w="1369" w:type="dxa"/>
          </w:tcPr>
          <w:p w14:paraId="6BCAEC5C"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Difference</w:t>
            </w:r>
          </w:p>
        </w:tc>
        <w:tc>
          <w:tcPr>
            <w:tcW w:w="1111" w:type="dxa"/>
          </w:tcPr>
          <w:p w14:paraId="62DA65DA"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-1.4</w:t>
            </w:r>
          </w:p>
        </w:tc>
        <w:tc>
          <w:tcPr>
            <w:tcW w:w="1050" w:type="dxa"/>
          </w:tcPr>
          <w:p w14:paraId="6F8253B4"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-2.5, -0.2</w:t>
            </w:r>
          </w:p>
        </w:tc>
        <w:tc>
          <w:tcPr>
            <w:tcW w:w="1112" w:type="dxa"/>
          </w:tcPr>
          <w:p w14:paraId="75D215BA"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-1.6</w:t>
            </w:r>
          </w:p>
        </w:tc>
        <w:tc>
          <w:tcPr>
            <w:tcW w:w="1023" w:type="dxa"/>
          </w:tcPr>
          <w:p w14:paraId="17986BCC"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-2.8, -0.3</w:t>
            </w:r>
          </w:p>
        </w:tc>
        <w:tc>
          <w:tcPr>
            <w:tcW w:w="858" w:type="dxa"/>
          </w:tcPr>
          <w:p w14:paraId="4D6C21E3"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-0.1</w:t>
            </w:r>
          </w:p>
        </w:tc>
        <w:tc>
          <w:tcPr>
            <w:tcW w:w="831" w:type="dxa"/>
          </w:tcPr>
          <w:p w14:paraId="485CE4D2"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-1.4, 1.1</w:t>
            </w:r>
          </w:p>
        </w:tc>
        <w:tc>
          <w:tcPr>
            <w:tcW w:w="831" w:type="dxa"/>
          </w:tcPr>
          <w:p w14:paraId="2EC32096"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-0.4</w:t>
            </w:r>
          </w:p>
        </w:tc>
        <w:tc>
          <w:tcPr>
            <w:tcW w:w="831" w:type="dxa"/>
          </w:tcPr>
          <w:p w14:paraId="0EC5DB3C"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-1.7, 0.8</w:t>
            </w:r>
          </w:p>
        </w:tc>
      </w:tr>
      <w:tr w:rsidR="00AF1A80" w:rsidRPr="005F0CE8" w14:paraId="34902A24" w14:textId="77777777" w:rsidTr="002D4CF3">
        <w:trPr>
          <w:trHeight w:val="176"/>
          <w:jc w:val="center"/>
        </w:trPr>
        <w:tc>
          <w:tcPr>
            <w:tcW w:w="1369" w:type="dxa"/>
          </w:tcPr>
          <w:p w14:paraId="3AEA933E"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P-value</w:t>
            </w:r>
          </w:p>
        </w:tc>
        <w:tc>
          <w:tcPr>
            <w:tcW w:w="2161" w:type="dxa"/>
            <w:gridSpan w:val="2"/>
          </w:tcPr>
          <w:p w14:paraId="541F7555" w14:textId="77777777" w:rsidR="00AF1A80" w:rsidRPr="005F0CE8" w:rsidRDefault="00AF1A80" w:rsidP="00DB2BE9">
            <w:pPr>
              <w:keepLines/>
              <w:spacing w:before="20" w:after="20" w:line="240" w:lineRule="auto"/>
              <w:jc w:val="left"/>
              <w:rPr>
                <w:rFonts w:ascii="Arial Narrow" w:eastAsia="MS Gothic" w:hAnsi="Arial Narrow"/>
                <w:b/>
                <w:bCs/>
                <w:sz w:val="20"/>
                <w:szCs w:val="20"/>
                <w:lang w:eastAsia="en-US" w:bidi="en-US"/>
              </w:rPr>
            </w:pPr>
            <w:r w:rsidRPr="005F0CE8">
              <w:rPr>
                <w:rFonts w:ascii="Arial Narrow" w:eastAsia="MS Gothic" w:hAnsi="Arial Narrow"/>
                <w:b/>
                <w:bCs/>
                <w:sz w:val="20"/>
                <w:szCs w:val="20"/>
                <w:lang w:eastAsia="en-US" w:bidi="en-US"/>
              </w:rPr>
              <w:t>0.017</w:t>
            </w:r>
          </w:p>
        </w:tc>
        <w:tc>
          <w:tcPr>
            <w:tcW w:w="2135" w:type="dxa"/>
            <w:gridSpan w:val="2"/>
          </w:tcPr>
          <w:p w14:paraId="55E5267A" w14:textId="77777777" w:rsidR="00AF1A80" w:rsidRPr="005F0CE8" w:rsidRDefault="00AF1A80" w:rsidP="00DB2BE9">
            <w:pPr>
              <w:keepLines/>
              <w:spacing w:before="20" w:after="20" w:line="240" w:lineRule="auto"/>
              <w:jc w:val="left"/>
              <w:rPr>
                <w:rFonts w:ascii="Arial Narrow" w:eastAsia="MS Gothic" w:hAnsi="Arial Narrow"/>
                <w:b/>
                <w:bCs/>
                <w:sz w:val="20"/>
                <w:szCs w:val="20"/>
                <w:lang w:eastAsia="en-US" w:bidi="en-US"/>
              </w:rPr>
            </w:pPr>
            <w:r w:rsidRPr="005F0CE8">
              <w:rPr>
                <w:rFonts w:ascii="Arial Narrow" w:eastAsia="MS Gothic" w:hAnsi="Arial Narrow"/>
                <w:b/>
                <w:bCs/>
                <w:sz w:val="20"/>
                <w:szCs w:val="20"/>
                <w:lang w:eastAsia="en-US" w:bidi="en-US"/>
              </w:rPr>
              <w:t>0.017</w:t>
            </w:r>
          </w:p>
        </w:tc>
        <w:tc>
          <w:tcPr>
            <w:tcW w:w="1689" w:type="dxa"/>
            <w:gridSpan w:val="2"/>
          </w:tcPr>
          <w:p w14:paraId="5302060A"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0.819</w:t>
            </w:r>
          </w:p>
        </w:tc>
        <w:tc>
          <w:tcPr>
            <w:tcW w:w="1662" w:type="dxa"/>
            <w:gridSpan w:val="2"/>
          </w:tcPr>
          <w:p w14:paraId="0FAE80CE"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0.518</w:t>
            </w:r>
          </w:p>
        </w:tc>
      </w:tr>
      <w:tr w:rsidR="00AF1A80" w:rsidRPr="005F0CE8" w14:paraId="2D9F86EB" w14:textId="77777777" w:rsidTr="002D4CF3">
        <w:trPr>
          <w:trHeight w:val="176"/>
          <w:jc w:val="center"/>
        </w:trPr>
        <w:tc>
          <w:tcPr>
            <w:tcW w:w="9016" w:type="dxa"/>
            <w:gridSpan w:val="9"/>
          </w:tcPr>
          <w:p w14:paraId="19AD6F9D"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Patients who had completed adjuvant chemotherapy</w:t>
            </w:r>
          </w:p>
        </w:tc>
      </w:tr>
      <w:tr w:rsidR="00AF1A80" w:rsidRPr="005F0CE8" w14:paraId="3789162D" w14:textId="77777777" w:rsidTr="002D4CF3">
        <w:trPr>
          <w:trHeight w:val="176"/>
          <w:jc w:val="center"/>
        </w:trPr>
        <w:tc>
          <w:tcPr>
            <w:tcW w:w="1369" w:type="dxa"/>
          </w:tcPr>
          <w:p w14:paraId="5C07B7A4"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 xml:space="preserve">Olaparib </w:t>
            </w:r>
          </w:p>
        </w:tc>
        <w:tc>
          <w:tcPr>
            <w:tcW w:w="1111" w:type="dxa"/>
          </w:tcPr>
          <w:p w14:paraId="2F1CF95A"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-0.7</w:t>
            </w:r>
          </w:p>
        </w:tc>
        <w:tc>
          <w:tcPr>
            <w:tcW w:w="1050" w:type="dxa"/>
          </w:tcPr>
          <w:p w14:paraId="0596C552"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-1.5, 0.0</w:t>
            </w:r>
          </w:p>
        </w:tc>
        <w:tc>
          <w:tcPr>
            <w:tcW w:w="1112" w:type="dxa"/>
          </w:tcPr>
          <w:p w14:paraId="041C832E"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-0.8</w:t>
            </w:r>
          </w:p>
        </w:tc>
        <w:tc>
          <w:tcPr>
            <w:tcW w:w="1023" w:type="dxa"/>
          </w:tcPr>
          <w:p w14:paraId="54E12B84"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-1.6, 0.0</w:t>
            </w:r>
          </w:p>
        </w:tc>
        <w:tc>
          <w:tcPr>
            <w:tcW w:w="858" w:type="dxa"/>
          </w:tcPr>
          <w:p w14:paraId="5D4F3C72"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0.9</w:t>
            </w:r>
          </w:p>
        </w:tc>
        <w:tc>
          <w:tcPr>
            <w:tcW w:w="831" w:type="dxa"/>
          </w:tcPr>
          <w:p w14:paraId="43CEC4EB"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0.1, 1.7</w:t>
            </w:r>
          </w:p>
        </w:tc>
        <w:tc>
          <w:tcPr>
            <w:tcW w:w="831" w:type="dxa"/>
          </w:tcPr>
          <w:p w14:paraId="6E654D99"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1.3</w:t>
            </w:r>
          </w:p>
        </w:tc>
        <w:tc>
          <w:tcPr>
            <w:tcW w:w="831" w:type="dxa"/>
          </w:tcPr>
          <w:p w14:paraId="3F5EEBCE"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0.5, 2.1</w:t>
            </w:r>
          </w:p>
        </w:tc>
      </w:tr>
      <w:tr w:rsidR="00AF1A80" w:rsidRPr="005F0CE8" w14:paraId="6F0C43AB" w14:textId="77777777" w:rsidTr="002D4CF3">
        <w:trPr>
          <w:trHeight w:val="176"/>
          <w:jc w:val="center"/>
        </w:trPr>
        <w:tc>
          <w:tcPr>
            <w:tcW w:w="1369" w:type="dxa"/>
          </w:tcPr>
          <w:p w14:paraId="21249C1C"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Placebo</w:t>
            </w:r>
          </w:p>
        </w:tc>
        <w:tc>
          <w:tcPr>
            <w:tcW w:w="1111" w:type="dxa"/>
          </w:tcPr>
          <w:p w14:paraId="148596E5"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0.6</w:t>
            </w:r>
          </w:p>
        </w:tc>
        <w:tc>
          <w:tcPr>
            <w:tcW w:w="1050" w:type="dxa"/>
          </w:tcPr>
          <w:p w14:paraId="63FA95EC"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-0.2, 1.3</w:t>
            </w:r>
          </w:p>
        </w:tc>
        <w:tc>
          <w:tcPr>
            <w:tcW w:w="1112" w:type="dxa"/>
          </w:tcPr>
          <w:p w14:paraId="1F566A8F"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0.5</w:t>
            </w:r>
          </w:p>
        </w:tc>
        <w:tc>
          <w:tcPr>
            <w:tcW w:w="1023" w:type="dxa"/>
          </w:tcPr>
          <w:p w14:paraId="5142B209"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-0.3, 1.2</w:t>
            </w:r>
          </w:p>
        </w:tc>
        <w:tc>
          <w:tcPr>
            <w:tcW w:w="858" w:type="dxa"/>
          </w:tcPr>
          <w:p w14:paraId="06B4E50E"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1.2</w:t>
            </w:r>
          </w:p>
        </w:tc>
        <w:tc>
          <w:tcPr>
            <w:tcW w:w="831" w:type="dxa"/>
          </w:tcPr>
          <w:p w14:paraId="64C3FF22"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0.4, 2.0</w:t>
            </w:r>
          </w:p>
        </w:tc>
        <w:tc>
          <w:tcPr>
            <w:tcW w:w="831" w:type="dxa"/>
          </w:tcPr>
          <w:p w14:paraId="4E1FAC45"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1.6</w:t>
            </w:r>
          </w:p>
        </w:tc>
        <w:tc>
          <w:tcPr>
            <w:tcW w:w="831" w:type="dxa"/>
          </w:tcPr>
          <w:p w14:paraId="3020A2A4"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0.7, 2.4</w:t>
            </w:r>
          </w:p>
        </w:tc>
      </w:tr>
      <w:tr w:rsidR="00AF1A80" w:rsidRPr="005F0CE8" w14:paraId="43242499" w14:textId="77777777" w:rsidTr="002D4CF3">
        <w:trPr>
          <w:trHeight w:val="176"/>
          <w:jc w:val="center"/>
        </w:trPr>
        <w:tc>
          <w:tcPr>
            <w:tcW w:w="1369" w:type="dxa"/>
          </w:tcPr>
          <w:p w14:paraId="448CEC02"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Difference</w:t>
            </w:r>
          </w:p>
        </w:tc>
        <w:tc>
          <w:tcPr>
            <w:tcW w:w="1111" w:type="dxa"/>
          </w:tcPr>
          <w:p w14:paraId="6D46F05A"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-1.3</w:t>
            </w:r>
          </w:p>
        </w:tc>
        <w:tc>
          <w:tcPr>
            <w:tcW w:w="1050" w:type="dxa"/>
          </w:tcPr>
          <w:p w14:paraId="557F8E8D"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-2.3, -0.2</w:t>
            </w:r>
          </w:p>
        </w:tc>
        <w:tc>
          <w:tcPr>
            <w:tcW w:w="1112" w:type="dxa"/>
          </w:tcPr>
          <w:p w14:paraId="198C99C2"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-1.2</w:t>
            </w:r>
          </w:p>
        </w:tc>
        <w:tc>
          <w:tcPr>
            <w:tcW w:w="1023" w:type="dxa"/>
          </w:tcPr>
          <w:p w14:paraId="41F3557C"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-2.4, 0.1</w:t>
            </w:r>
          </w:p>
        </w:tc>
        <w:tc>
          <w:tcPr>
            <w:tcW w:w="858" w:type="dxa"/>
          </w:tcPr>
          <w:p w14:paraId="2F233DC1"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-0.3</w:t>
            </w:r>
          </w:p>
        </w:tc>
        <w:tc>
          <w:tcPr>
            <w:tcW w:w="831" w:type="dxa"/>
          </w:tcPr>
          <w:p w14:paraId="7604E86E"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-1.4, 0.8</w:t>
            </w:r>
          </w:p>
        </w:tc>
        <w:tc>
          <w:tcPr>
            <w:tcW w:w="831" w:type="dxa"/>
          </w:tcPr>
          <w:p w14:paraId="3555C391"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-0.3</w:t>
            </w:r>
          </w:p>
        </w:tc>
        <w:tc>
          <w:tcPr>
            <w:tcW w:w="831" w:type="dxa"/>
          </w:tcPr>
          <w:p w14:paraId="363C520A"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-1.4, 0.9</w:t>
            </w:r>
          </w:p>
        </w:tc>
      </w:tr>
      <w:tr w:rsidR="00AF1A80" w:rsidRPr="005F0CE8" w14:paraId="2746D11F" w14:textId="77777777" w:rsidTr="002D4CF3">
        <w:trPr>
          <w:trHeight w:val="176"/>
          <w:jc w:val="center"/>
        </w:trPr>
        <w:tc>
          <w:tcPr>
            <w:tcW w:w="1369" w:type="dxa"/>
          </w:tcPr>
          <w:p w14:paraId="5C9CC8B0"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P-value</w:t>
            </w:r>
          </w:p>
        </w:tc>
        <w:tc>
          <w:tcPr>
            <w:tcW w:w="2161" w:type="dxa"/>
            <w:gridSpan w:val="2"/>
          </w:tcPr>
          <w:p w14:paraId="05CBF03E" w14:textId="77777777" w:rsidR="00AF1A80" w:rsidRPr="005F0CE8" w:rsidRDefault="00AF1A80" w:rsidP="00DB2BE9">
            <w:pPr>
              <w:keepLines/>
              <w:spacing w:before="20" w:after="20" w:line="240" w:lineRule="auto"/>
              <w:jc w:val="left"/>
              <w:rPr>
                <w:rFonts w:ascii="Arial Narrow" w:eastAsia="MS Gothic" w:hAnsi="Arial Narrow"/>
                <w:b/>
                <w:bCs/>
                <w:sz w:val="20"/>
                <w:szCs w:val="20"/>
                <w:lang w:eastAsia="en-US" w:bidi="en-US"/>
              </w:rPr>
            </w:pPr>
            <w:r w:rsidRPr="005F0CE8">
              <w:rPr>
                <w:rFonts w:ascii="Arial Narrow" w:eastAsia="MS Gothic" w:hAnsi="Arial Narrow"/>
                <w:b/>
                <w:bCs/>
                <w:sz w:val="20"/>
                <w:szCs w:val="20"/>
                <w:lang w:eastAsia="en-US" w:bidi="en-US"/>
              </w:rPr>
              <w:t>0.017</w:t>
            </w:r>
          </w:p>
        </w:tc>
        <w:tc>
          <w:tcPr>
            <w:tcW w:w="2135" w:type="dxa"/>
            <w:gridSpan w:val="2"/>
          </w:tcPr>
          <w:p w14:paraId="7BCC2800" w14:textId="77777777" w:rsidR="00AF1A80" w:rsidRPr="005F0CE8" w:rsidRDefault="00AF1A80" w:rsidP="00DB2BE9">
            <w:pPr>
              <w:keepLines/>
              <w:spacing w:before="20" w:after="20" w:line="240" w:lineRule="auto"/>
              <w:jc w:val="left"/>
              <w:rPr>
                <w:rFonts w:ascii="Arial Narrow" w:eastAsia="MS Gothic" w:hAnsi="Arial Narrow"/>
                <w:b/>
                <w:bCs/>
                <w:sz w:val="20"/>
                <w:szCs w:val="20"/>
                <w:lang w:eastAsia="en-US" w:bidi="en-US"/>
              </w:rPr>
            </w:pPr>
            <w:r w:rsidRPr="005F0CE8">
              <w:rPr>
                <w:rFonts w:ascii="Arial Narrow" w:eastAsia="MS Gothic" w:hAnsi="Arial Narrow"/>
                <w:b/>
                <w:bCs/>
                <w:sz w:val="20"/>
                <w:szCs w:val="20"/>
                <w:lang w:eastAsia="en-US" w:bidi="en-US"/>
              </w:rPr>
              <w:t>0.028</w:t>
            </w:r>
          </w:p>
        </w:tc>
        <w:tc>
          <w:tcPr>
            <w:tcW w:w="1689" w:type="dxa"/>
            <w:gridSpan w:val="2"/>
          </w:tcPr>
          <w:p w14:paraId="62279204"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0.582</w:t>
            </w:r>
          </w:p>
        </w:tc>
        <w:tc>
          <w:tcPr>
            <w:tcW w:w="1662" w:type="dxa"/>
            <w:gridSpan w:val="2"/>
          </w:tcPr>
          <w:p w14:paraId="231993C6" w14:textId="77777777" w:rsidR="00AF1A80" w:rsidRPr="005F0CE8" w:rsidRDefault="00AF1A80" w:rsidP="00DB2BE9">
            <w:pPr>
              <w:keepLines/>
              <w:spacing w:before="20" w:after="20" w:line="240" w:lineRule="auto"/>
              <w:jc w:val="left"/>
              <w:rPr>
                <w:rFonts w:ascii="Arial Narrow" w:eastAsia="MS Gothic" w:hAnsi="Arial Narrow"/>
                <w:sz w:val="20"/>
                <w:szCs w:val="20"/>
                <w:lang w:eastAsia="en-US" w:bidi="en-US"/>
              </w:rPr>
            </w:pPr>
            <w:r w:rsidRPr="005F0CE8">
              <w:rPr>
                <w:rFonts w:ascii="Arial Narrow" w:eastAsia="MS Gothic" w:hAnsi="Arial Narrow"/>
                <w:sz w:val="20"/>
                <w:szCs w:val="20"/>
                <w:lang w:eastAsia="en-US" w:bidi="en-US"/>
              </w:rPr>
              <w:t>0.655</w:t>
            </w:r>
          </w:p>
        </w:tc>
      </w:tr>
    </w:tbl>
    <w:p w14:paraId="62D162F5" w14:textId="77777777" w:rsidR="00AF1A80" w:rsidRPr="005F0CE8" w:rsidRDefault="00AF1A80" w:rsidP="00DB2BE9">
      <w:pPr>
        <w:rPr>
          <w:rFonts w:ascii="Arial Narrow" w:hAnsi="Arial Narrow"/>
          <w:sz w:val="18"/>
          <w:szCs w:val="18"/>
        </w:rPr>
      </w:pPr>
      <w:r w:rsidRPr="005F0CE8">
        <w:rPr>
          <w:rFonts w:ascii="Arial Narrow" w:hAnsi="Arial Narrow"/>
          <w:sz w:val="18"/>
          <w:szCs w:val="18"/>
        </w:rPr>
        <w:t>Source: Table 2.20, p73 of the submission.</w:t>
      </w:r>
    </w:p>
    <w:p w14:paraId="15CE42E6" w14:textId="67D5EB77" w:rsidR="00AF1A80" w:rsidRPr="005F0CE8" w:rsidRDefault="00AF1A80" w:rsidP="00DB2BE9">
      <w:r w:rsidRPr="005F0CE8">
        <w:rPr>
          <w:rFonts w:ascii="Arial Narrow" w:hAnsi="Arial Narrow"/>
          <w:sz w:val="18"/>
          <w:szCs w:val="18"/>
        </w:rPr>
        <w:t>CI = confidence interval</w:t>
      </w:r>
      <w:r w:rsidR="00CF3B0C" w:rsidRPr="005F0CE8">
        <w:rPr>
          <w:rFonts w:ascii="Arial Narrow" w:hAnsi="Arial Narrow"/>
          <w:sz w:val="18"/>
          <w:szCs w:val="18"/>
        </w:rPr>
        <w:t>,</w:t>
      </w:r>
      <w:r w:rsidRPr="005F0CE8">
        <w:rPr>
          <w:rFonts w:ascii="Arial Narrow" w:hAnsi="Arial Narrow"/>
          <w:sz w:val="18"/>
          <w:szCs w:val="18"/>
        </w:rPr>
        <w:t xml:space="preserve"> FACIT = functional assessment of chronic illness therapy. </w:t>
      </w:r>
      <w:r w:rsidRPr="005F0CE8">
        <w:rPr>
          <w:rFonts w:ascii="Arial Narrow" w:hAnsi="Arial Narrow"/>
          <w:b/>
          <w:bCs/>
          <w:sz w:val="18"/>
          <w:szCs w:val="18"/>
        </w:rPr>
        <w:t>Bold</w:t>
      </w:r>
      <w:r w:rsidRPr="005F0CE8">
        <w:rPr>
          <w:rFonts w:ascii="Arial Narrow" w:hAnsi="Arial Narrow"/>
          <w:sz w:val="18"/>
          <w:szCs w:val="18"/>
        </w:rPr>
        <w:t xml:space="preserve"> indicates statistically significant results</w:t>
      </w:r>
    </w:p>
    <w:p w14:paraId="078B5C1E" w14:textId="0F27E983" w:rsidR="00AF1A80" w:rsidRPr="005F0CE8" w:rsidRDefault="0040217E" w:rsidP="00DB2BE9">
      <w:pPr>
        <w:pStyle w:val="TableText0"/>
        <w:keepNext w:val="0"/>
        <w:spacing w:after="120"/>
        <w:jc w:val="both"/>
        <w:rPr>
          <w:sz w:val="18"/>
          <w:szCs w:val="18"/>
        </w:rPr>
      </w:pPr>
      <w:bookmarkStart w:id="54" w:name="_Hlk121753318"/>
      <w:r w:rsidRPr="005F0CE8">
        <w:rPr>
          <w:sz w:val="18"/>
          <w:szCs w:val="18"/>
        </w:rPr>
        <w:t xml:space="preserve">Note: The FACIT-Fatigue scale includes 13 items asking how the patients feels regarding being energetic, tired, weak or fatigued in the past 7 days with the patient selecting one of five categories of feeling levels ranging from </w:t>
      </w:r>
      <w:r w:rsidR="00DB2BE9">
        <w:rPr>
          <w:sz w:val="18"/>
          <w:szCs w:val="18"/>
        </w:rPr>
        <w:t>‘</w:t>
      </w:r>
      <w:r w:rsidRPr="005F0CE8">
        <w:rPr>
          <w:sz w:val="18"/>
          <w:szCs w:val="18"/>
        </w:rPr>
        <w:t>not at al</w:t>
      </w:r>
      <w:r w:rsidR="00DB2BE9">
        <w:rPr>
          <w:sz w:val="18"/>
          <w:szCs w:val="18"/>
        </w:rPr>
        <w:t>l’</w:t>
      </w:r>
      <w:r w:rsidRPr="005F0CE8">
        <w:rPr>
          <w:sz w:val="18"/>
          <w:szCs w:val="18"/>
        </w:rPr>
        <w:t xml:space="preserve"> to </w:t>
      </w:r>
      <w:r w:rsidR="00DB2BE9">
        <w:rPr>
          <w:sz w:val="18"/>
          <w:szCs w:val="18"/>
        </w:rPr>
        <w:t>‘</w:t>
      </w:r>
      <w:r w:rsidRPr="005F0CE8">
        <w:rPr>
          <w:sz w:val="18"/>
          <w:szCs w:val="18"/>
        </w:rPr>
        <w:t>very much.</w:t>
      </w:r>
      <w:r w:rsidR="00DB2BE9">
        <w:rPr>
          <w:sz w:val="18"/>
          <w:szCs w:val="18"/>
        </w:rPr>
        <w:t>’</w:t>
      </w:r>
      <w:r w:rsidRPr="005F0CE8">
        <w:rPr>
          <w:sz w:val="18"/>
          <w:szCs w:val="18"/>
        </w:rPr>
        <w:t>. The composite score is found by summing the scores of each of the 13 items and ranges from 0-52 where a higher score indicates a better quality of life. The pre-established minimally clinically meaningful change threshold for the OlympiA trial was 3 points.</w:t>
      </w:r>
      <w:bookmarkEnd w:id="54"/>
    </w:p>
    <w:p w14:paraId="6745DF66" w14:textId="21D11565" w:rsidR="00AF1A80" w:rsidRPr="005F0CE8" w:rsidRDefault="00AF1A80" w:rsidP="00477BB3">
      <w:pPr>
        <w:pStyle w:val="3-BodyText"/>
      </w:pPr>
      <w:r w:rsidRPr="005F0CE8">
        <w:t>The results from the from the EORTC QLQ-C30 are displayed in</w:t>
      </w:r>
      <w:r w:rsidR="002C7B60" w:rsidRPr="005F0CE8">
        <w:t xml:space="preserve"> </w:t>
      </w:r>
      <w:r w:rsidR="002C7B60" w:rsidRPr="005F0CE8">
        <w:fldChar w:fldCharType="begin"/>
      </w:r>
      <w:r w:rsidR="002C7B60" w:rsidRPr="005F0CE8">
        <w:instrText xml:space="preserve"> REF _Ref121012019 \h </w:instrText>
      </w:r>
      <w:r w:rsidR="002C7B60" w:rsidRPr="005F0CE8">
        <w:fldChar w:fldCharType="separate"/>
      </w:r>
      <w:r w:rsidR="00AB6006" w:rsidRPr="005F0CE8">
        <w:t xml:space="preserve">Table </w:t>
      </w:r>
      <w:r w:rsidR="00AB6006">
        <w:rPr>
          <w:noProof/>
        </w:rPr>
        <w:t>9</w:t>
      </w:r>
      <w:r w:rsidR="002C7B60" w:rsidRPr="005F0CE8">
        <w:fldChar w:fldCharType="end"/>
      </w:r>
      <w:r w:rsidRPr="005F0CE8">
        <w:t>.</w:t>
      </w:r>
    </w:p>
    <w:p w14:paraId="7398D959" w14:textId="0F6C15C9" w:rsidR="005C5310" w:rsidRPr="005F0CE8" w:rsidRDefault="00AF1A80" w:rsidP="00477BB3">
      <w:pPr>
        <w:pStyle w:val="3-BodyText"/>
      </w:pPr>
      <w:r w:rsidRPr="005F0CE8">
        <w:lastRenderedPageBreak/>
        <w:t xml:space="preserve">Mean baseline global health/QoL scores were comparable between the treatment arms. In the neoadjuvant group, there was </w:t>
      </w:r>
      <w:r w:rsidR="003D061F" w:rsidRPr="005F0CE8">
        <w:t xml:space="preserve">a </w:t>
      </w:r>
      <w:r w:rsidRPr="005F0CE8">
        <w:t xml:space="preserve">statistically significant improvement in global health/QoL scores from baseline </w:t>
      </w:r>
      <w:r w:rsidR="004A64F0" w:rsidRPr="005F0CE8">
        <w:t>to</w:t>
      </w:r>
      <w:r w:rsidRPr="005F0CE8">
        <w:t xml:space="preserve"> 24 months in the olaparib arm compared with placebo. In contrast, patients in the olaparib arm of the adjuvant chemotherapy group saw statistically significant improvements </w:t>
      </w:r>
      <w:r w:rsidR="0064289B" w:rsidRPr="005F0CE8">
        <w:t xml:space="preserve">in global health/QoL scores from baseline </w:t>
      </w:r>
      <w:r w:rsidRPr="005F0CE8">
        <w:t>compared with placebo at 6 and 12 months but this was not sustained at 24 months.</w:t>
      </w:r>
    </w:p>
    <w:p w14:paraId="276A63E7" w14:textId="7E1AE7F5" w:rsidR="00AF1A80" w:rsidRPr="005F0CE8" w:rsidRDefault="00AF1A80" w:rsidP="00AF1A80">
      <w:pPr>
        <w:pStyle w:val="Caption"/>
      </w:pPr>
      <w:bookmarkStart w:id="55" w:name="_Ref121012019"/>
      <w:r w:rsidRPr="005F0CE8">
        <w:t xml:space="preserve">Table </w:t>
      </w:r>
      <w:fldSimple w:instr=" SEQ Table \* ARABIC ">
        <w:r w:rsidR="00AB6006">
          <w:rPr>
            <w:noProof/>
          </w:rPr>
          <w:t>9</w:t>
        </w:r>
      </w:fldSimple>
      <w:bookmarkEnd w:id="55"/>
      <w:r w:rsidRPr="005F0CE8">
        <w:t xml:space="preserve">: </w:t>
      </w:r>
      <w:r w:rsidR="004A64F0" w:rsidRPr="005F0CE8">
        <w:t>C</w:t>
      </w:r>
      <w:r w:rsidRPr="005F0CE8">
        <w:t>hange from Baseline for EORTC QLQ-C30 global health status QoL in the OlympiA trial.</w:t>
      </w:r>
    </w:p>
    <w:tbl>
      <w:tblPr>
        <w:tblStyle w:val="TableGrid"/>
        <w:tblW w:w="5000" w:type="pct"/>
        <w:tblLook w:val="04A0" w:firstRow="1" w:lastRow="0" w:firstColumn="1" w:lastColumn="0" w:noHBand="0" w:noVBand="1"/>
      </w:tblPr>
      <w:tblGrid>
        <w:gridCol w:w="1147"/>
        <w:gridCol w:w="980"/>
        <w:gridCol w:w="980"/>
        <w:gridCol w:w="986"/>
        <w:gridCol w:w="984"/>
        <w:gridCol w:w="986"/>
        <w:gridCol w:w="984"/>
        <w:gridCol w:w="986"/>
        <w:gridCol w:w="984"/>
      </w:tblGrid>
      <w:tr w:rsidR="00AF1A80" w:rsidRPr="005F0CE8" w14:paraId="199FCFBC" w14:textId="77777777" w:rsidTr="008323C3">
        <w:tc>
          <w:tcPr>
            <w:tcW w:w="1146" w:type="dxa"/>
          </w:tcPr>
          <w:p w14:paraId="7E38A576" w14:textId="77777777" w:rsidR="00AF1A80" w:rsidRPr="005F0CE8" w:rsidRDefault="00AF1A80" w:rsidP="003F1BBE">
            <w:pPr>
              <w:pStyle w:val="TableHeading0"/>
            </w:pPr>
          </w:p>
        </w:tc>
        <w:tc>
          <w:tcPr>
            <w:tcW w:w="1960" w:type="dxa"/>
            <w:gridSpan w:val="2"/>
          </w:tcPr>
          <w:p w14:paraId="5E308C96" w14:textId="77777777" w:rsidR="00AF1A80" w:rsidRPr="005F0CE8" w:rsidRDefault="00AF1A80" w:rsidP="003F1BBE">
            <w:pPr>
              <w:pStyle w:val="TableHeading0"/>
            </w:pPr>
            <w:r w:rsidRPr="005F0CE8">
              <w:t>6 months</w:t>
            </w:r>
          </w:p>
        </w:tc>
        <w:tc>
          <w:tcPr>
            <w:tcW w:w="1970" w:type="dxa"/>
            <w:gridSpan w:val="2"/>
          </w:tcPr>
          <w:p w14:paraId="078E45EA" w14:textId="77777777" w:rsidR="00AF1A80" w:rsidRPr="005F0CE8" w:rsidRDefault="00AF1A80" w:rsidP="003F1BBE">
            <w:pPr>
              <w:pStyle w:val="TableHeading0"/>
            </w:pPr>
            <w:r w:rsidRPr="005F0CE8">
              <w:t>12 months</w:t>
            </w:r>
          </w:p>
        </w:tc>
        <w:tc>
          <w:tcPr>
            <w:tcW w:w="1970" w:type="dxa"/>
            <w:gridSpan w:val="2"/>
          </w:tcPr>
          <w:p w14:paraId="781CD94D" w14:textId="77777777" w:rsidR="00AF1A80" w:rsidRPr="005F0CE8" w:rsidRDefault="00AF1A80" w:rsidP="003F1BBE">
            <w:pPr>
              <w:pStyle w:val="TableHeading0"/>
            </w:pPr>
            <w:r w:rsidRPr="005F0CE8">
              <w:t>18 months</w:t>
            </w:r>
          </w:p>
        </w:tc>
        <w:tc>
          <w:tcPr>
            <w:tcW w:w="1970" w:type="dxa"/>
            <w:gridSpan w:val="2"/>
          </w:tcPr>
          <w:p w14:paraId="05C96121" w14:textId="77777777" w:rsidR="00AF1A80" w:rsidRPr="005F0CE8" w:rsidRDefault="00AF1A80" w:rsidP="003F1BBE">
            <w:pPr>
              <w:pStyle w:val="TableHeading0"/>
            </w:pPr>
            <w:r w:rsidRPr="005F0CE8">
              <w:t xml:space="preserve">24 months </w:t>
            </w:r>
          </w:p>
        </w:tc>
      </w:tr>
      <w:tr w:rsidR="00AF1A80" w:rsidRPr="005F0CE8" w14:paraId="65FD874F" w14:textId="77777777" w:rsidTr="008323C3">
        <w:tc>
          <w:tcPr>
            <w:tcW w:w="1146" w:type="dxa"/>
          </w:tcPr>
          <w:p w14:paraId="22F1213C" w14:textId="77777777" w:rsidR="00AF1A80" w:rsidRPr="005F0CE8" w:rsidRDefault="00AF1A80" w:rsidP="003F1BBE">
            <w:pPr>
              <w:pStyle w:val="TableHeading0"/>
            </w:pPr>
            <w:r w:rsidRPr="005F0CE8">
              <w:t>Parameter</w:t>
            </w:r>
          </w:p>
        </w:tc>
        <w:tc>
          <w:tcPr>
            <w:tcW w:w="980" w:type="dxa"/>
          </w:tcPr>
          <w:p w14:paraId="1794CEA5" w14:textId="77777777" w:rsidR="00AF1A80" w:rsidRPr="005F0CE8" w:rsidRDefault="00AF1A80" w:rsidP="003F1BBE">
            <w:pPr>
              <w:pStyle w:val="TableHeading0"/>
            </w:pPr>
            <w:r w:rsidRPr="005F0CE8">
              <w:t>Mean</w:t>
            </w:r>
          </w:p>
        </w:tc>
        <w:tc>
          <w:tcPr>
            <w:tcW w:w="980" w:type="dxa"/>
          </w:tcPr>
          <w:p w14:paraId="42C84D3C" w14:textId="77777777" w:rsidR="00AF1A80" w:rsidRPr="005F0CE8" w:rsidRDefault="00AF1A80" w:rsidP="003F1BBE">
            <w:pPr>
              <w:pStyle w:val="TableHeading0"/>
            </w:pPr>
            <w:r w:rsidRPr="005F0CE8">
              <w:t>95% CI</w:t>
            </w:r>
          </w:p>
        </w:tc>
        <w:tc>
          <w:tcPr>
            <w:tcW w:w="986" w:type="dxa"/>
          </w:tcPr>
          <w:p w14:paraId="1947C09B" w14:textId="77777777" w:rsidR="00AF1A80" w:rsidRPr="005F0CE8" w:rsidRDefault="00AF1A80" w:rsidP="003F1BBE">
            <w:pPr>
              <w:pStyle w:val="TableHeading0"/>
            </w:pPr>
            <w:r w:rsidRPr="005F0CE8">
              <w:t>Mean</w:t>
            </w:r>
          </w:p>
        </w:tc>
        <w:tc>
          <w:tcPr>
            <w:tcW w:w="984" w:type="dxa"/>
          </w:tcPr>
          <w:p w14:paraId="70B4AA8F" w14:textId="77777777" w:rsidR="00AF1A80" w:rsidRPr="005F0CE8" w:rsidRDefault="00AF1A80" w:rsidP="003F1BBE">
            <w:pPr>
              <w:pStyle w:val="TableHeading0"/>
            </w:pPr>
            <w:r w:rsidRPr="005F0CE8">
              <w:t>95% CI</w:t>
            </w:r>
          </w:p>
        </w:tc>
        <w:tc>
          <w:tcPr>
            <w:tcW w:w="986" w:type="dxa"/>
          </w:tcPr>
          <w:p w14:paraId="5E002F40" w14:textId="77777777" w:rsidR="00AF1A80" w:rsidRPr="005F0CE8" w:rsidRDefault="00AF1A80" w:rsidP="003F1BBE">
            <w:pPr>
              <w:pStyle w:val="TableHeading0"/>
            </w:pPr>
            <w:r w:rsidRPr="005F0CE8">
              <w:t xml:space="preserve">Mean </w:t>
            </w:r>
          </w:p>
        </w:tc>
        <w:tc>
          <w:tcPr>
            <w:tcW w:w="984" w:type="dxa"/>
          </w:tcPr>
          <w:p w14:paraId="48219B77" w14:textId="77777777" w:rsidR="00AF1A80" w:rsidRPr="005F0CE8" w:rsidRDefault="00AF1A80" w:rsidP="003F1BBE">
            <w:pPr>
              <w:pStyle w:val="TableHeading0"/>
            </w:pPr>
            <w:r w:rsidRPr="005F0CE8">
              <w:t>95% CI</w:t>
            </w:r>
          </w:p>
        </w:tc>
        <w:tc>
          <w:tcPr>
            <w:tcW w:w="986" w:type="dxa"/>
          </w:tcPr>
          <w:p w14:paraId="4C560FAD" w14:textId="77777777" w:rsidR="00AF1A80" w:rsidRPr="005F0CE8" w:rsidRDefault="00AF1A80" w:rsidP="003F1BBE">
            <w:pPr>
              <w:pStyle w:val="TableHeading0"/>
            </w:pPr>
            <w:r w:rsidRPr="005F0CE8">
              <w:t>Mean</w:t>
            </w:r>
          </w:p>
        </w:tc>
        <w:tc>
          <w:tcPr>
            <w:tcW w:w="984" w:type="dxa"/>
          </w:tcPr>
          <w:p w14:paraId="1CA44BD2" w14:textId="77777777" w:rsidR="00AF1A80" w:rsidRPr="005F0CE8" w:rsidRDefault="00AF1A80" w:rsidP="003F1BBE">
            <w:pPr>
              <w:pStyle w:val="TableHeading0"/>
            </w:pPr>
            <w:r w:rsidRPr="005F0CE8">
              <w:t>95% CI</w:t>
            </w:r>
          </w:p>
        </w:tc>
      </w:tr>
      <w:tr w:rsidR="00AF1A80" w:rsidRPr="005F0CE8" w14:paraId="1CA7AD1C" w14:textId="77777777" w:rsidTr="008323C3">
        <w:tc>
          <w:tcPr>
            <w:tcW w:w="9016" w:type="dxa"/>
            <w:gridSpan w:val="9"/>
          </w:tcPr>
          <w:p w14:paraId="4A3CE19A" w14:textId="77777777" w:rsidR="00AF1A80" w:rsidRPr="005F0CE8" w:rsidRDefault="00AF1A80" w:rsidP="003F1BBE">
            <w:pPr>
              <w:pStyle w:val="TableText0"/>
              <w:keepLines/>
            </w:pPr>
            <w:r w:rsidRPr="005F0CE8">
              <w:t xml:space="preserve">Patients who had completed neoadjuvant chemotherapy </w:t>
            </w:r>
          </w:p>
        </w:tc>
      </w:tr>
      <w:tr w:rsidR="00AF1A80" w:rsidRPr="005F0CE8" w14:paraId="520DDC4D" w14:textId="77777777" w:rsidTr="008323C3">
        <w:tc>
          <w:tcPr>
            <w:tcW w:w="9016" w:type="dxa"/>
            <w:gridSpan w:val="9"/>
          </w:tcPr>
          <w:p w14:paraId="67A8CEAE" w14:textId="77777777" w:rsidR="00AF1A80" w:rsidRPr="005F0CE8" w:rsidRDefault="00AF1A80" w:rsidP="003F1BBE">
            <w:pPr>
              <w:pStyle w:val="TableText0"/>
              <w:keepLines/>
            </w:pPr>
            <w:r w:rsidRPr="005F0CE8">
              <w:t>EORTC QLQ-C30 Global health status QoL</w:t>
            </w:r>
          </w:p>
        </w:tc>
      </w:tr>
      <w:tr w:rsidR="00AF1A80" w:rsidRPr="005F0CE8" w14:paraId="5BC5664F" w14:textId="77777777" w:rsidTr="008323C3">
        <w:tc>
          <w:tcPr>
            <w:tcW w:w="1146" w:type="dxa"/>
          </w:tcPr>
          <w:p w14:paraId="78C94FCF" w14:textId="77777777" w:rsidR="00AF1A80" w:rsidRPr="005F0CE8" w:rsidRDefault="00AF1A80" w:rsidP="003F1BBE">
            <w:pPr>
              <w:pStyle w:val="TableText0"/>
              <w:keepLines/>
            </w:pPr>
            <w:r w:rsidRPr="005F0CE8">
              <w:t>Olaparib</w:t>
            </w:r>
          </w:p>
        </w:tc>
        <w:tc>
          <w:tcPr>
            <w:tcW w:w="980" w:type="dxa"/>
          </w:tcPr>
          <w:p w14:paraId="5E07B03C" w14:textId="77777777" w:rsidR="00AF1A80" w:rsidRPr="005F0CE8" w:rsidRDefault="00AF1A80" w:rsidP="003F1BBE">
            <w:pPr>
              <w:pStyle w:val="TableText0"/>
              <w:keepLines/>
            </w:pPr>
            <w:r w:rsidRPr="005F0CE8">
              <w:t>-0.4</w:t>
            </w:r>
          </w:p>
        </w:tc>
        <w:tc>
          <w:tcPr>
            <w:tcW w:w="980" w:type="dxa"/>
          </w:tcPr>
          <w:p w14:paraId="6800C756" w14:textId="77777777" w:rsidR="00AF1A80" w:rsidRPr="005F0CE8" w:rsidRDefault="00AF1A80" w:rsidP="003F1BBE">
            <w:pPr>
              <w:pStyle w:val="TableText0"/>
              <w:keepLines/>
            </w:pPr>
            <w:r w:rsidRPr="005F0CE8">
              <w:t>-2.2, 1.4</w:t>
            </w:r>
          </w:p>
        </w:tc>
        <w:tc>
          <w:tcPr>
            <w:tcW w:w="986" w:type="dxa"/>
          </w:tcPr>
          <w:p w14:paraId="00EC0A68" w14:textId="77777777" w:rsidR="00AF1A80" w:rsidRPr="005F0CE8" w:rsidRDefault="00AF1A80" w:rsidP="003F1BBE">
            <w:pPr>
              <w:pStyle w:val="TableText0"/>
              <w:keepLines/>
            </w:pPr>
            <w:r w:rsidRPr="005F0CE8">
              <w:t>0.5</w:t>
            </w:r>
          </w:p>
        </w:tc>
        <w:tc>
          <w:tcPr>
            <w:tcW w:w="984" w:type="dxa"/>
          </w:tcPr>
          <w:p w14:paraId="7A57FB4A" w14:textId="77777777" w:rsidR="00AF1A80" w:rsidRPr="005F0CE8" w:rsidRDefault="00AF1A80" w:rsidP="003F1BBE">
            <w:pPr>
              <w:pStyle w:val="TableText0"/>
              <w:keepLines/>
            </w:pPr>
            <w:r w:rsidRPr="005F0CE8">
              <w:t>-1.7, 2.4</w:t>
            </w:r>
          </w:p>
        </w:tc>
        <w:tc>
          <w:tcPr>
            <w:tcW w:w="986" w:type="dxa"/>
          </w:tcPr>
          <w:p w14:paraId="1C5038FA" w14:textId="77777777" w:rsidR="00AF1A80" w:rsidRPr="005F0CE8" w:rsidRDefault="00AF1A80" w:rsidP="003F1BBE">
            <w:pPr>
              <w:pStyle w:val="TableText0"/>
              <w:keepLines/>
            </w:pPr>
            <w:r w:rsidRPr="005F0CE8">
              <w:t>3.3</w:t>
            </w:r>
          </w:p>
        </w:tc>
        <w:tc>
          <w:tcPr>
            <w:tcW w:w="984" w:type="dxa"/>
          </w:tcPr>
          <w:p w14:paraId="4CA68DD6" w14:textId="77777777" w:rsidR="00AF1A80" w:rsidRPr="005F0CE8" w:rsidRDefault="00AF1A80" w:rsidP="003F1BBE">
            <w:pPr>
              <w:pStyle w:val="TableText0"/>
              <w:keepLines/>
            </w:pPr>
            <w:r w:rsidRPr="005F0CE8">
              <w:t>1.3, 5.3</w:t>
            </w:r>
          </w:p>
        </w:tc>
        <w:tc>
          <w:tcPr>
            <w:tcW w:w="986" w:type="dxa"/>
          </w:tcPr>
          <w:p w14:paraId="2C9C1B5E" w14:textId="77777777" w:rsidR="00AF1A80" w:rsidRPr="005F0CE8" w:rsidRDefault="00AF1A80" w:rsidP="003F1BBE">
            <w:pPr>
              <w:pStyle w:val="TableText0"/>
              <w:keepLines/>
            </w:pPr>
            <w:r w:rsidRPr="005F0CE8">
              <w:t>2.3</w:t>
            </w:r>
          </w:p>
        </w:tc>
        <w:tc>
          <w:tcPr>
            <w:tcW w:w="984" w:type="dxa"/>
          </w:tcPr>
          <w:p w14:paraId="7BD2A9B4" w14:textId="77777777" w:rsidR="00AF1A80" w:rsidRPr="005F0CE8" w:rsidRDefault="00AF1A80" w:rsidP="003F1BBE">
            <w:pPr>
              <w:pStyle w:val="TableText0"/>
              <w:keepLines/>
            </w:pPr>
            <w:r w:rsidRPr="005F0CE8">
              <w:t>-0.6, 5.0</w:t>
            </w:r>
          </w:p>
        </w:tc>
      </w:tr>
      <w:tr w:rsidR="00AF1A80" w:rsidRPr="005F0CE8" w14:paraId="3901C7C4" w14:textId="77777777" w:rsidTr="008323C3">
        <w:tc>
          <w:tcPr>
            <w:tcW w:w="1146" w:type="dxa"/>
          </w:tcPr>
          <w:p w14:paraId="3EF2D1B8" w14:textId="77777777" w:rsidR="00AF1A80" w:rsidRPr="005F0CE8" w:rsidRDefault="00AF1A80" w:rsidP="003F1BBE">
            <w:pPr>
              <w:pStyle w:val="TableText0"/>
              <w:keepLines/>
            </w:pPr>
            <w:r w:rsidRPr="005F0CE8">
              <w:t>Placebo</w:t>
            </w:r>
          </w:p>
        </w:tc>
        <w:tc>
          <w:tcPr>
            <w:tcW w:w="980" w:type="dxa"/>
          </w:tcPr>
          <w:p w14:paraId="046464B4" w14:textId="77777777" w:rsidR="00AF1A80" w:rsidRPr="005F0CE8" w:rsidRDefault="00AF1A80" w:rsidP="003F1BBE">
            <w:pPr>
              <w:pStyle w:val="TableText0"/>
              <w:keepLines/>
            </w:pPr>
            <w:r w:rsidRPr="005F0CE8">
              <w:t>0.4</w:t>
            </w:r>
          </w:p>
        </w:tc>
        <w:tc>
          <w:tcPr>
            <w:tcW w:w="980" w:type="dxa"/>
          </w:tcPr>
          <w:p w14:paraId="1A77ED3D" w14:textId="77777777" w:rsidR="00AF1A80" w:rsidRPr="005F0CE8" w:rsidRDefault="00AF1A80" w:rsidP="003F1BBE">
            <w:pPr>
              <w:pStyle w:val="TableText0"/>
              <w:keepLines/>
            </w:pPr>
            <w:r w:rsidRPr="005F0CE8">
              <w:t>-1.4, 2.2</w:t>
            </w:r>
          </w:p>
        </w:tc>
        <w:tc>
          <w:tcPr>
            <w:tcW w:w="986" w:type="dxa"/>
          </w:tcPr>
          <w:p w14:paraId="05D4F835" w14:textId="77777777" w:rsidR="00AF1A80" w:rsidRPr="005F0CE8" w:rsidRDefault="00AF1A80" w:rsidP="003F1BBE">
            <w:pPr>
              <w:pStyle w:val="TableText0"/>
              <w:keepLines/>
            </w:pPr>
            <w:r w:rsidRPr="005F0CE8">
              <w:t>2.7</w:t>
            </w:r>
          </w:p>
        </w:tc>
        <w:tc>
          <w:tcPr>
            <w:tcW w:w="984" w:type="dxa"/>
          </w:tcPr>
          <w:p w14:paraId="5642C1D3" w14:textId="77777777" w:rsidR="00AF1A80" w:rsidRPr="005F0CE8" w:rsidRDefault="00AF1A80" w:rsidP="003F1BBE">
            <w:pPr>
              <w:pStyle w:val="TableText0"/>
              <w:keepLines/>
            </w:pPr>
            <w:r w:rsidRPr="005F0CE8">
              <w:t>0.7, 4.7</w:t>
            </w:r>
          </w:p>
        </w:tc>
        <w:tc>
          <w:tcPr>
            <w:tcW w:w="986" w:type="dxa"/>
          </w:tcPr>
          <w:p w14:paraId="5A129ACF" w14:textId="77777777" w:rsidR="00AF1A80" w:rsidRPr="005F0CE8" w:rsidRDefault="00AF1A80" w:rsidP="003F1BBE">
            <w:pPr>
              <w:pStyle w:val="TableText0"/>
              <w:keepLines/>
            </w:pPr>
            <w:r w:rsidRPr="005F0CE8">
              <w:t>4.4</w:t>
            </w:r>
          </w:p>
        </w:tc>
        <w:tc>
          <w:tcPr>
            <w:tcW w:w="984" w:type="dxa"/>
          </w:tcPr>
          <w:p w14:paraId="16C9EB44" w14:textId="77777777" w:rsidR="00AF1A80" w:rsidRPr="005F0CE8" w:rsidRDefault="00AF1A80" w:rsidP="003F1BBE">
            <w:pPr>
              <w:pStyle w:val="TableText0"/>
              <w:keepLines/>
            </w:pPr>
            <w:r w:rsidRPr="005F0CE8">
              <w:t>2.3, 6.4</w:t>
            </w:r>
          </w:p>
        </w:tc>
        <w:tc>
          <w:tcPr>
            <w:tcW w:w="986" w:type="dxa"/>
          </w:tcPr>
          <w:p w14:paraId="5B53510A" w14:textId="77777777" w:rsidR="00AF1A80" w:rsidRPr="005F0CE8" w:rsidRDefault="00AF1A80" w:rsidP="003F1BBE">
            <w:pPr>
              <w:pStyle w:val="TableText0"/>
              <w:keepLines/>
            </w:pPr>
            <w:r w:rsidRPr="005F0CE8">
              <w:t>6.1</w:t>
            </w:r>
          </w:p>
        </w:tc>
        <w:tc>
          <w:tcPr>
            <w:tcW w:w="984" w:type="dxa"/>
          </w:tcPr>
          <w:p w14:paraId="2658D576" w14:textId="77777777" w:rsidR="00AF1A80" w:rsidRPr="005F0CE8" w:rsidRDefault="00AF1A80" w:rsidP="003F1BBE">
            <w:pPr>
              <w:pStyle w:val="TableText0"/>
              <w:keepLines/>
            </w:pPr>
            <w:r w:rsidRPr="005F0CE8">
              <w:t>3.8, 8.4</w:t>
            </w:r>
          </w:p>
        </w:tc>
      </w:tr>
      <w:tr w:rsidR="00AF1A80" w:rsidRPr="005F0CE8" w14:paraId="57DE755E" w14:textId="77777777" w:rsidTr="008323C3">
        <w:tc>
          <w:tcPr>
            <w:tcW w:w="1146" w:type="dxa"/>
          </w:tcPr>
          <w:p w14:paraId="14597103" w14:textId="77777777" w:rsidR="00AF1A80" w:rsidRPr="005F0CE8" w:rsidRDefault="00AF1A80" w:rsidP="003F1BBE">
            <w:pPr>
              <w:pStyle w:val="TableText0"/>
              <w:keepLines/>
            </w:pPr>
            <w:r w:rsidRPr="005F0CE8">
              <w:t>Difference</w:t>
            </w:r>
          </w:p>
        </w:tc>
        <w:tc>
          <w:tcPr>
            <w:tcW w:w="980" w:type="dxa"/>
          </w:tcPr>
          <w:p w14:paraId="46514C84" w14:textId="77777777" w:rsidR="00AF1A80" w:rsidRPr="005F0CE8" w:rsidRDefault="00AF1A80" w:rsidP="003F1BBE">
            <w:pPr>
              <w:pStyle w:val="TableText0"/>
              <w:keepLines/>
            </w:pPr>
            <w:r w:rsidRPr="005F0CE8">
              <w:t>-0.8</w:t>
            </w:r>
          </w:p>
        </w:tc>
        <w:tc>
          <w:tcPr>
            <w:tcW w:w="980" w:type="dxa"/>
          </w:tcPr>
          <w:p w14:paraId="37F14848" w14:textId="77777777" w:rsidR="00AF1A80" w:rsidRPr="005F0CE8" w:rsidRDefault="00AF1A80" w:rsidP="003F1BBE">
            <w:pPr>
              <w:pStyle w:val="TableText0"/>
              <w:keepLines/>
            </w:pPr>
            <w:r w:rsidRPr="005F0CE8">
              <w:t>-3.4, 1.8</w:t>
            </w:r>
          </w:p>
        </w:tc>
        <w:tc>
          <w:tcPr>
            <w:tcW w:w="986" w:type="dxa"/>
          </w:tcPr>
          <w:p w14:paraId="3E6ED450" w14:textId="77777777" w:rsidR="00AF1A80" w:rsidRPr="005F0CE8" w:rsidRDefault="00AF1A80" w:rsidP="003F1BBE">
            <w:pPr>
              <w:pStyle w:val="TableText0"/>
              <w:keepLines/>
            </w:pPr>
            <w:r w:rsidRPr="005F0CE8">
              <w:t>-2.2</w:t>
            </w:r>
          </w:p>
        </w:tc>
        <w:tc>
          <w:tcPr>
            <w:tcW w:w="984" w:type="dxa"/>
          </w:tcPr>
          <w:p w14:paraId="3CD3D8F4" w14:textId="77777777" w:rsidR="00AF1A80" w:rsidRPr="005F0CE8" w:rsidRDefault="00AF1A80" w:rsidP="003F1BBE">
            <w:pPr>
              <w:pStyle w:val="TableText0"/>
              <w:keepLines/>
            </w:pPr>
            <w:r w:rsidRPr="005F0CE8">
              <w:t>-5.0, 0.6</w:t>
            </w:r>
          </w:p>
        </w:tc>
        <w:tc>
          <w:tcPr>
            <w:tcW w:w="986" w:type="dxa"/>
          </w:tcPr>
          <w:p w14:paraId="2636E4F4" w14:textId="77777777" w:rsidR="00AF1A80" w:rsidRPr="005F0CE8" w:rsidRDefault="00AF1A80" w:rsidP="003F1BBE">
            <w:pPr>
              <w:pStyle w:val="TableText0"/>
              <w:keepLines/>
            </w:pPr>
            <w:r w:rsidRPr="005F0CE8">
              <w:t>-1.1</w:t>
            </w:r>
          </w:p>
        </w:tc>
        <w:tc>
          <w:tcPr>
            <w:tcW w:w="984" w:type="dxa"/>
          </w:tcPr>
          <w:p w14:paraId="22FA3617" w14:textId="77777777" w:rsidR="00AF1A80" w:rsidRPr="005F0CE8" w:rsidRDefault="00AF1A80" w:rsidP="003F1BBE">
            <w:pPr>
              <w:pStyle w:val="TableText0"/>
              <w:keepLines/>
            </w:pPr>
            <w:r w:rsidRPr="005F0CE8">
              <w:t>-3.9, 1.7</w:t>
            </w:r>
          </w:p>
        </w:tc>
        <w:tc>
          <w:tcPr>
            <w:tcW w:w="986" w:type="dxa"/>
          </w:tcPr>
          <w:p w14:paraId="73F9D4D6" w14:textId="77777777" w:rsidR="00AF1A80" w:rsidRPr="005F0CE8" w:rsidRDefault="00AF1A80" w:rsidP="003F1BBE">
            <w:pPr>
              <w:pStyle w:val="TableText0"/>
              <w:keepLines/>
            </w:pPr>
            <w:r w:rsidRPr="005F0CE8">
              <w:t>-3.3</w:t>
            </w:r>
          </w:p>
        </w:tc>
        <w:tc>
          <w:tcPr>
            <w:tcW w:w="984" w:type="dxa"/>
          </w:tcPr>
          <w:p w14:paraId="526716B1" w14:textId="77777777" w:rsidR="00AF1A80" w:rsidRPr="005F0CE8" w:rsidRDefault="00AF1A80" w:rsidP="003F1BBE">
            <w:pPr>
              <w:pStyle w:val="TableText0"/>
              <w:keepLines/>
            </w:pPr>
            <w:r w:rsidRPr="005F0CE8">
              <w:t>-6.5, -0.1</w:t>
            </w:r>
          </w:p>
        </w:tc>
      </w:tr>
      <w:tr w:rsidR="00AF1A80" w:rsidRPr="005F0CE8" w14:paraId="6D68FD6C" w14:textId="77777777" w:rsidTr="008323C3">
        <w:tc>
          <w:tcPr>
            <w:tcW w:w="1146" w:type="dxa"/>
          </w:tcPr>
          <w:p w14:paraId="0C4974AA" w14:textId="77777777" w:rsidR="00AF1A80" w:rsidRPr="005F0CE8" w:rsidRDefault="00AF1A80" w:rsidP="003F1BBE">
            <w:pPr>
              <w:pStyle w:val="TableText0"/>
              <w:keepLines/>
            </w:pPr>
            <w:r w:rsidRPr="005F0CE8">
              <w:t>P-value</w:t>
            </w:r>
          </w:p>
        </w:tc>
        <w:tc>
          <w:tcPr>
            <w:tcW w:w="1960" w:type="dxa"/>
            <w:gridSpan w:val="2"/>
          </w:tcPr>
          <w:p w14:paraId="790D453E" w14:textId="2C7EDAB5" w:rsidR="00AF1A80" w:rsidRPr="005F0CE8" w:rsidRDefault="00AF1A80" w:rsidP="003F1BBE">
            <w:pPr>
              <w:pStyle w:val="TableText0"/>
              <w:keepLines/>
            </w:pPr>
            <w:r w:rsidRPr="005F0CE8">
              <w:t>0.55</w:t>
            </w:r>
          </w:p>
        </w:tc>
        <w:tc>
          <w:tcPr>
            <w:tcW w:w="1970" w:type="dxa"/>
            <w:gridSpan w:val="2"/>
          </w:tcPr>
          <w:p w14:paraId="0D26512A" w14:textId="1999223B" w:rsidR="00AF1A80" w:rsidRPr="005F0CE8" w:rsidRDefault="00AF1A80" w:rsidP="003F1BBE">
            <w:pPr>
              <w:pStyle w:val="TableText0"/>
              <w:keepLines/>
            </w:pPr>
            <w:r w:rsidRPr="005F0CE8">
              <w:t>0.1</w:t>
            </w:r>
            <w:r w:rsidR="004721DB" w:rsidRPr="005F0CE8">
              <w:t>2</w:t>
            </w:r>
          </w:p>
        </w:tc>
        <w:tc>
          <w:tcPr>
            <w:tcW w:w="1970" w:type="dxa"/>
            <w:gridSpan w:val="2"/>
          </w:tcPr>
          <w:p w14:paraId="120472A1" w14:textId="22C2E80F" w:rsidR="00AF1A80" w:rsidRPr="005F0CE8" w:rsidRDefault="00AF1A80" w:rsidP="003F1BBE">
            <w:pPr>
              <w:pStyle w:val="TableText0"/>
              <w:keepLines/>
            </w:pPr>
            <w:r w:rsidRPr="005F0CE8">
              <w:t>0.45</w:t>
            </w:r>
          </w:p>
        </w:tc>
        <w:tc>
          <w:tcPr>
            <w:tcW w:w="1970" w:type="dxa"/>
            <w:gridSpan w:val="2"/>
          </w:tcPr>
          <w:p w14:paraId="4FAE5112" w14:textId="2A4D4AE3" w:rsidR="00AF1A80" w:rsidRPr="005F0CE8" w:rsidRDefault="00AF1A80" w:rsidP="003F1BBE">
            <w:pPr>
              <w:pStyle w:val="TableText0"/>
              <w:keepLines/>
              <w:rPr>
                <w:b/>
                <w:bCs w:val="0"/>
              </w:rPr>
            </w:pPr>
            <w:r w:rsidRPr="005F0CE8">
              <w:rPr>
                <w:b/>
                <w:bCs w:val="0"/>
              </w:rPr>
              <w:t>0.04</w:t>
            </w:r>
          </w:p>
        </w:tc>
      </w:tr>
      <w:tr w:rsidR="00AF1A80" w:rsidRPr="005F0CE8" w14:paraId="74964D20" w14:textId="77777777" w:rsidTr="008323C3">
        <w:tc>
          <w:tcPr>
            <w:tcW w:w="9016" w:type="dxa"/>
            <w:gridSpan w:val="9"/>
          </w:tcPr>
          <w:p w14:paraId="6FCF08ED" w14:textId="77777777" w:rsidR="00AF1A80" w:rsidRPr="005F0CE8" w:rsidRDefault="00AF1A80" w:rsidP="003F1BBE">
            <w:pPr>
              <w:pStyle w:val="TableText0"/>
              <w:keepLines/>
            </w:pPr>
            <w:r w:rsidRPr="005F0CE8">
              <w:t xml:space="preserve">Patients who had completed adjuvant chemotherapy </w:t>
            </w:r>
          </w:p>
        </w:tc>
      </w:tr>
      <w:tr w:rsidR="00AF1A80" w:rsidRPr="005F0CE8" w14:paraId="09EE3BC4" w14:textId="77777777" w:rsidTr="008323C3">
        <w:tc>
          <w:tcPr>
            <w:tcW w:w="9016" w:type="dxa"/>
            <w:gridSpan w:val="9"/>
          </w:tcPr>
          <w:p w14:paraId="4519CD85" w14:textId="77777777" w:rsidR="00AF1A80" w:rsidRPr="005F0CE8" w:rsidRDefault="00AF1A80" w:rsidP="003F1BBE">
            <w:pPr>
              <w:pStyle w:val="TableText0"/>
              <w:keepLines/>
            </w:pPr>
            <w:r w:rsidRPr="005F0CE8">
              <w:t>EORTC QLQ-C30 Global health status QoL</w:t>
            </w:r>
          </w:p>
        </w:tc>
      </w:tr>
      <w:tr w:rsidR="00AF1A80" w:rsidRPr="005F0CE8" w14:paraId="5883F3CD" w14:textId="77777777" w:rsidTr="008323C3">
        <w:tc>
          <w:tcPr>
            <w:tcW w:w="1146" w:type="dxa"/>
          </w:tcPr>
          <w:p w14:paraId="13777685" w14:textId="77777777" w:rsidR="00AF1A80" w:rsidRPr="005F0CE8" w:rsidRDefault="00AF1A80" w:rsidP="003F1BBE">
            <w:pPr>
              <w:pStyle w:val="TableText0"/>
              <w:keepLines/>
            </w:pPr>
            <w:r w:rsidRPr="005F0CE8">
              <w:t>Olaparib</w:t>
            </w:r>
          </w:p>
        </w:tc>
        <w:tc>
          <w:tcPr>
            <w:tcW w:w="980" w:type="dxa"/>
          </w:tcPr>
          <w:p w14:paraId="690A7526" w14:textId="77777777" w:rsidR="00AF1A80" w:rsidRPr="005F0CE8" w:rsidRDefault="00AF1A80" w:rsidP="003F1BBE">
            <w:pPr>
              <w:pStyle w:val="TableText0"/>
              <w:keepLines/>
            </w:pPr>
            <w:r w:rsidRPr="005F0CE8">
              <w:t>-0.5</w:t>
            </w:r>
          </w:p>
        </w:tc>
        <w:tc>
          <w:tcPr>
            <w:tcW w:w="980" w:type="dxa"/>
          </w:tcPr>
          <w:p w14:paraId="513D32C8" w14:textId="77777777" w:rsidR="00AF1A80" w:rsidRPr="005F0CE8" w:rsidRDefault="00AF1A80" w:rsidP="003F1BBE">
            <w:pPr>
              <w:pStyle w:val="TableText0"/>
              <w:keepLines/>
            </w:pPr>
            <w:r w:rsidRPr="005F0CE8">
              <w:t>-2.2, 1.2</w:t>
            </w:r>
          </w:p>
        </w:tc>
        <w:tc>
          <w:tcPr>
            <w:tcW w:w="986" w:type="dxa"/>
          </w:tcPr>
          <w:p w14:paraId="33D205CA" w14:textId="77777777" w:rsidR="00AF1A80" w:rsidRPr="005F0CE8" w:rsidRDefault="00AF1A80" w:rsidP="003F1BBE">
            <w:pPr>
              <w:pStyle w:val="TableText0"/>
              <w:keepLines/>
            </w:pPr>
            <w:r w:rsidRPr="005F0CE8">
              <w:t>0.6</w:t>
            </w:r>
          </w:p>
        </w:tc>
        <w:tc>
          <w:tcPr>
            <w:tcW w:w="984" w:type="dxa"/>
          </w:tcPr>
          <w:p w14:paraId="1B34D5C6" w14:textId="77777777" w:rsidR="00AF1A80" w:rsidRPr="005F0CE8" w:rsidRDefault="00AF1A80" w:rsidP="003F1BBE">
            <w:pPr>
              <w:pStyle w:val="TableText0"/>
              <w:keepLines/>
            </w:pPr>
            <w:r w:rsidRPr="005F0CE8">
              <w:t>-1.1, 2.4</w:t>
            </w:r>
          </w:p>
        </w:tc>
        <w:tc>
          <w:tcPr>
            <w:tcW w:w="986" w:type="dxa"/>
          </w:tcPr>
          <w:p w14:paraId="54F9DA08" w14:textId="77777777" w:rsidR="00AF1A80" w:rsidRPr="005F0CE8" w:rsidRDefault="00AF1A80" w:rsidP="003F1BBE">
            <w:pPr>
              <w:pStyle w:val="TableText0"/>
              <w:keepLines/>
            </w:pPr>
            <w:r w:rsidRPr="005F0CE8">
              <w:t>2.9</w:t>
            </w:r>
          </w:p>
        </w:tc>
        <w:tc>
          <w:tcPr>
            <w:tcW w:w="984" w:type="dxa"/>
          </w:tcPr>
          <w:p w14:paraId="102E3B3A" w14:textId="77777777" w:rsidR="00AF1A80" w:rsidRPr="005F0CE8" w:rsidRDefault="00AF1A80" w:rsidP="003F1BBE">
            <w:pPr>
              <w:pStyle w:val="TableText0"/>
              <w:keepLines/>
            </w:pPr>
            <w:r w:rsidRPr="005F0CE8">
              <w:t>1.1, 4.7</w:t>
            </w:r>
          </w:p>
        </w:tc>
        <w:tc>
          <w:tcPr>
            <w:tcW w:w="986" w:type="dxa"/>
          </w:tcPr>
          <w:p w14:paraId="58A2DD23" w14:textId="77777777" w:rsidR="00AF1A80" w:rsidRPr="005F0CE8" w:rsidRDefault="00AF1A80" w:rsidP="003F1BBE">
            <w:pPr>
              <w:pStyle w:val="TableText0"/>
              <w:keepLines/>
            </w:pPr>
            <w:r w:rsidRPr="005F0CE8">
              <w:t>4.5</w:t>
            </w:r>
          </w:p>
        </w:tc>
        <w:tc>
          <w:tcPr>
            <w:tcW w:w="984" w:type="dxa"/>
          </w:tcPr>
          <w:p w14:paraId="7B0A62F9" w14:textId="77777777" w:rsidR="00AF1A80" w:rsidRPr="005F0CE8" w:rsidRDefault="00AF1A80" w:rsidP="003F1BBE">
            <w:pPr>
              <w:pStyle w:val="TableText0"/>
              <w:keepLines/>
            </w:pPr>
            <w:r w:rsidRPr="005F0CE8">
              <w:t>2.6, 6.4</w:t>
            </w:r>
          </w:p>
        </w:tc>
      </w:tr>
      <w:tr w:rsidR="00AF1A80" w:rsidRPr="005F0CE8" w14:paraId="68F5B230" w14:textId="77777777" w:rsidTr="008323C3">
        <w:tc>
          <w:tcPr>
            <w:tcW w:w="1146" w:type="dxa"/>
          </w:tcPr>
          <w:p w14:paraId="592CD75D" w14:textId="77777777" w:rsidR="00AF1A80" w:rsidRPr="005F0CE8" w:rsidRDefault="00AF1A80" w:rsidP="003F1BBE">
            <w:pPr>
              <w:pStyle w:val="TableText0"/>
              <w:keepLines/>
            </w:pPr>
            <w:r w:rsidRPr="005F0CE8">
              <w:t>Placebo</w:t>
            </w:r>
          </w:p>
        </w:tc>
        <w:tc>
          <w:tcPr>
            <w:tcW w:w="980" w:type="dxa"/>
          </w:tcPr>
          <w:p w14:paraId="284EE719" w14:textId="77777777" w:rsidR="00AF1A80" w:rsidRPr="005F0CE8" w:rsidRDefault="00AF1A80" w:rsidP="003F1BBE">
            <w:pPr>
              <w:pStyle w:val="TableText0"/>
              <w:keepLines/>
            </w:pPr>
            <w:r w:rsidRPr="005F0CE8">
              <w:t>2.2</w:t>
            </w:r>
          </w:p>
        </w:tc>
        <w:tc>
          <w:tcPr>
            <w:tcW w:w="980" w:type="dxa"/>
          </w:tcPr>
          <w:p w14:paraId="76047B87" w14:textId="77777777" w:rsidR="00AF1A80" w:rsidRPr="005F0CE8" w:rsidRDefault="00AF1A80" w:rsidP="003F1BBE">
            <w:pPr>
              <w:pStyle w:val="TableText0"/>
              <w:keepLines/>
            </w:pPr>
            <w:r w:rsidRPr="005F0CE8">
              <w:t>0.6, 3.8</w:t>
            </w:r>
          </w:p>
        </w:tc>
        <w:tc>
          <w:tcPr>
            <w:tcW w:w="986" w:type="dxa"/>
          </w:tcPr>
          <w:p w14:paraId="2503D4E5" w14:textId="77777777" w:rsidR="00AF1A80" w:rsidRPr="005F0CE8" w:rsidRDefault="00AF1A80" w:rsidP="003F1BBE">
            <w:pPr>
              <w:pStyle w:val="TableText0"/>
              <w:keepLines/>
            </w:pPr>
            <w:r w:rsidRPr="005F0CE8">
              <w:t>3.1</w:t>
            </w:r>
          </w:p>
        </w:tc>
        <w:tc>
          <w:tcPr>
            <w:tcW w:w="984" w:type="dxa"/>
          </w:tcPr>
          <w:p w14:paraId="1F0B0992" w14:textId="77777777" w:rsidR="00AF1A80" w:rsidRPr="005F0CE8" w:rsidRDefault="00AF1A80" w:rsidP="003F1BBE">
            <w:pPr>
              <w:pStyle w:val="TableText0"/>
              <w:keepLines/>
            </w:pPr>
            <w:r w:rsidRPr="005F0CE8">
              <w:t>1.5, 4.8</w:t>
            </w:r>
          </w:p>
        </w:tc>
        <w:tc>
          <w:tcPr>
            <w:tcW w:w="986" w:type="dxa"/>
          </w:tcPr>
          <w:p w14:paraId="057AD83F" w14:textId="77777777" w:rsidR="00AF1A80" w:rsidRPr="005F0CE8" w:rsidRDefault="00AF1A80" w:rsidP="003F1BBE">
            <w:pPr>
              <w:pStyle w:val="TableText0"/>
              <w:keepLines/>
            </w:pPr>
            <w:r w:rsidRPr="005F0CE8">
              <w:t>5.1</w:t>
            </w:r>
          </w:p>
        </w:tc>
        <w:tc>
          <w:tcPr>
            <w:tcW w:w="984" w:type="dxa"/>
          </w:tcPr>
          <w:p w14:paraId="54C690D3" w14:textId="77777777" w:rsidR="00AF1A80" w:rsidRPr="005F0CE8" w:rsidRDefault="00AF1A80" w:rsidP="003F1BBE">
            <w:pPr>
              <w:pStyle w:val="TableText0"/>
              <w:keepLines/>
            </w:pPr>
            <w:r w:rsidRPr="005F0CE8">
              <w:t>3.3, 6.9</w:t>
            </w:r>
          </w:p>
        </w:tc>
        <w:tc>
          <w:tcPr>
            <w:tcW w:w="986" w:type="dxa"/>
          </w:tcPr>
          <w:p w14:paraId="60AEC15F" w14:textId="77777777" w:rsidR="00AF1A80" w:rsidRPr="005F0CE8" w:rsidRDefault="00AF1A80" w:rsidP="003F1BBE">
            <w:pPr>
              <w:pStyle w:val="TableText0"/>
              <w:keepLines/>
            </w:pPr>
            <w:r w:rsidRPr="005F0CE8">
              <w:t>4.8</w:t>
            </w:r>
          </w:p>
        </w:tc>
        <w:tc>
          <w:tcPr>
            <w:tcW w:w="984" w:type="dxa"/>
          </w:tcPr>
          <w:p w14:paraId="2B3D47BC" w14:textId="77777777" w:rsidR="00AF1A80" w:rsidRPr="005F0CE8" w:rsidRDefault="00AF1A80" w:rsidP="003F1BBE">
            <w:pPr>
              <w:pStyle w:val="TableText0"/>
              <w:keepLines/>
            </w:pPr>
            <w:r w:rsidRPr="005F0CE8">
              <w:t>2.9, 6.7</w:t>
            </w:r>
          </w:p>
        </w:tc>
      </w:tr>
      <w:tr w:rsidR="00AF1A80" w:rsidRPr="005F0CE8" w14:paraId="32EBB3BB" w14:textId="77777777" w:rsidTr="008323C3">
        <w:tc>
          <w:tcPr>
            <w:tcW w:w="1146" w:type="dxa"/>
          </w:tcPr>
          <w:p w14:paraId="34C1D2CD" w14:textId="77777777" w:rsidR="00AF1A80" w:rsidRPr="005F0CE8" w:rsidRDefault="00AF1A80" w:rsidP="003F1BBE">
            <w:pPr>
              <w:pStyle w:val="TableText0"/>
              <w:keepLines/>
            </w:pPr>
            <w:r w:rsidRPr="005F0CE8">
              <w:t>Difference</w:t>
            </w:r>
          </w:p>
        </w:tc>
        <w:tc>
          <w:tcPr>
            <w:tcW w:w="980" w:type="dxa"/>
          </w:tcPr>
          <w:p w14:paraId="0AC0C384" w14:textId="77777777" w:rsidR="00AF1A80" w:rsidRPr="005F0CE8" w:rsidRDefault="00AF1A80" w:rsidP="003F1BBE">
            <w:pPr>
              <w:pStyle w:val="TableText0"/>
              <w:keepLines/>
            </w:pPr>
            <w:r w:rsidRPr="005F0CE8">
              <w:t>-2.7</w:t>
            </w:r>
          </w:p>
        </w:tc>
        <w:tc>
          <w:tcPr>
            <w:tcW w:w="980" w:type="dxa"/>
          </w:tcPr>
          <w:p w14:paraId="2019458B" w14:textId="77777777" w:rsidR="00AF1A80" w:rsidRPr="005F0CE8" w:rsidRDefault="00AF1A80" w:rsidP="003F1BBE">
            <w:pPr>
              <w:pStyle w:val="TableText0"/>
              <w:keepLines/>
            </w:pPr>
            <w:r w:rsidRPr="005F0CE8">
              <w:t>-5.1, -0.4</w:t>
            </w:r>
          </w:p>
        </w:tc>
        <w:tc>
          <w:tcPr>
            <w:tcW w:w="986" w:type="dxa"/>
          </w:tcPr>
          <w:p w14:paraId="048DADE1" w14:textId="77777777" w:rsidR="00AF1A80" w:rsidRPr="005F0CE8" w:rsidRDefault="00AF1A80" w:rsidP="003F1BBE">
            <w:pPr>
              <w:pStyle w:val="TableText0"/>
              <w:keepLines/>
            </w:pPr>
            <w:r w:rsidRPr="005F0CE8">
              <w:t>-2.5</w:t>
            </w:r>
          </w:p>
        </w:tc>
        <w:tc>
          <w:tcPr>
            <w:tcW w:w="984" w:type="dxa"/>
          </w:tcPr>
          <w:p w14:paraId="4A54560C" w14:textId="77777777" w:rsidR="00AF1A80" w:rsidRPr="005F0CE8" w:rsidRDefault="00AF1A80" w:rsidP="003F1BBE">
            <w:pPr>
              <w:pStyle w:val="TableText0"/>
              <w:keepLines/>
            </w:pPr>
            <w:r w:rsidRPr="005F0CE8">
              <w:t>-5.0, -0.1</w:t>
            </w:r>
          </w:p>
        </w:tc>
        <w:tc>
          <w:tcPr>
            <w:tcW w:w="986" w:type="dxa"/>
          </w:tcPr>
          <w:p w14:paraId="2075E4E0" w14:textId="77777777" w:rsidR="00AF1A80" w:rsidRPr="005F0CE8" w:rsidRDefault="00AF1A80" w:rsidP="003F1BBE">
            <w:pPr>
              <w:pStyle w:val="TableText0"/>
              <w:keepLines/>
            </w:pPr>
            <w:r w:rsidRPr="005F0CE8">
              <w:t>-2.2</w:t>
            </w:r>
          </w:p>
        </w:tc>
        <w:tc>
          <w:tcPr>
            <w:tcW w:w="984" w:type="dxa"/>
          </w:tcPr>
          <w:p w14:paraId="65DA2909" w14:textId="77777777" w:rsidR="00AF1A80" w:rsidRPr="005F0CE8" w:rsidRDefault="00AF1A80" w:rsidP="003F1BBE">
            <w:pPr>
              <w:pStyle w:val="TableText0"/>
              <w:keepLines/>
            </w:pPr>
            <w:r w:rsidRPr="005F0CE8">
              <w:t>-4.8, 0.3</w:t>
            </w:r>
          </w:p>
        </w:tc>
        <w:tc>
          <w:tcPr>
            <w:tcW w:w="986" w:type="dxa"/>
          </w:tcPr>
          <w:p w14:paraId="7D6518EE" w14:textId="77777777" w:rsidR="00AF1A80" w:rsidRPr="005F0CE8" w:rsidRDefault="00AF1A80" w:rsidP="003F1BBE">
            <w:pPr>
              <w:pStyle w:val="TableText0"/>
              <w:keepLines/>
            </w:pPr>
            <w:r w:rsidRPr="005F0CE8">
              <w:t>-0.3</w:t>
            </w:r>
          </w:p>
        </w:tc>
        <w:tc>
          <w:tcPr>
            <w:tcW w:w="984" w:type="dxa"/>
          </w:tcPr>
          <w:p w14:paraId="2A7A5A6C" w14:textId="77777777" w:rsidR="00AF1A80" w:rsidRPr="005F0CE8" w:rsidRDefault="00AF1A80" w:rsidP="003F1BBE">
            <w:pPr>
              <w:pStyle w:val="TableText0"/>
              <w:keepLines/>
            </w:pPr>
            <w:r w:rsidRPr="005F0CE8">
              <w:t>-3.0, 2.4</w:t>
            </w:r>
          </w:p>
        </w:tc>
      </w:tr>
      <w:tr w:rsidR="00AF1A80" w:rsidRPr="005F0CE8" w14:paraId="63C52DF6" w14:textId="77777777" w:rsidTr="008323C3">
        <w:tc>
          <w:tcPr>
            <w:tcW w:w="1146" w:type="dxa"/>
          </w:tcPr>
          <w:p w14:paraId="175AE640" w14:textId="77777777" w:rsidR="00AF1A80" w:rsidRPr="005F0CE8" w:rsidRDefault="00AF1A80" w:rsidP="003F1BBE">
            <w:pPr>
              <w:pStyle w:val="TableText0"/>
              <w:keepLines/>
            </w:pPr>
            <w:r w:rsidRPr="005F0CE8">
              <w:t>P-value</w:t>
            </w:r>
          </w:p>
        </w:tc>
        <w:tc>
          <w:tcPr>
            <w:tcW w:w="1960" w:type="dxa"/>
            <w:gridSpan w:val="2"/>
          </w:tcPr>
          <w:p w14:paraId="153FEC82" w14:textId="723EAC38" w:rsidR="00AF1A80" w:rsidRPr="005F0CE8" w:rsidRDefault="00AF1A80" w:rsidP="003F1BBE">
            <w:pPr>
              <w:pStyle w:val="TableText0"/>
              <w:keepLines/>
              <w:rPr>
                <w:b/>
                <w:bCs w:val="0"/>
              </w:rPr>
            </w:pPr>
            <w:r w:rsidRPr="005F0CE8">
              <w:rPr>
                <w:b/>
                <w:bCs w:val="0"/>
              </w:rPr>
              <w:t>0.02</w:t>
            </w:r>
          </w:p>
        </w:tc>
        <w:tc>
          <w:tcPr>
            <w:tcW w:w="1970" w:type="dxa"/>
            <w:gridSpan w:val="2"/>
          </w:tcPr>
          <w:p w14:paraId="50610719" w14:textId="6961E4AA" w:rsidR="00AF1A80" w:rsidRPr="005F0CE8" w:rsidRDefault="00AF1A80" w:rsidP="003F1BBE">
            <w:pPr>
              <w:pStyle w:val="TableText0"/>
              <w:keepLines/>
              <w:rPr>
                <w:b/>
                <w:bCs w:val="0"/>
              </w:rPr>
            </w:pPr>
            <w:r w:rsidRPr="005F0CE8">
              <w:rPr>
                <w:b/>
                <w:bCs w:val="0"/>
              </w:rPr>
              <w:t>0.04</w:t>
            </w:r>
          </w:p>
        </w:tc>
        <w:tc>
          <w:tcPr>
            <w:tcW w:w="1970" w:type="dxa"/>
            <w:gridSpan w:val="2"/>
          </w:tcPr>
          <w:p w14:paraId="355A3C0D" w14:textId="6B8E4591" w:rsidR="00AF1A80" w:rsidRPr="005F0CE8" w:rsidRDefault="00AF1A80" w:rsidP="003F1BBE">
            <w:pPr>
              <w:pStyle w:val="TableText0"/>
              <w:keepLines/>
            </w:pPr>
            <w:r w:rsidRPr="005F0CE8">
              <w:t>0.0</w:t>
            </w:r>
            <w:r w:rsidR="004721DB" w:rsidRPr="005F0CE8">
              <w:t>9</w:t>
            </w:r>
          </w:p>
        </w:tc>
        <w:tc>
          <w:tcPr>
            <w:tcW w:w="1970" w:type="dxa"/>
            <w:gridSpan w:val="2"/>
          </w:tcPr>
          <w:p w14:paraId="61BE7CC3" w14:textId="4C0FB686" w:rsidR="00AF1A80" w:rsidRPr="005F0CE8" w:rsidRDefault="00AF1A80" w:rsidP="003F1BBE">
            <w:pPr>
              <w:pStyle w:val="TableText0"/>
              <w:keepLines/>
            </w:pPr>
            <w:r w:rsidRPr="005F0CE8">
              <w:t>0.8</w:t>
            </w:r>
            <w:r w:rsidR="004721DB" w:rsidRPr="005F0CE8">
              <w:t>3</w:t>
            </w:r>
          </w:p>
        </w:tc>
      </w:tr>
    </w:tbl>
    <w:p w14:paraId="68E3CA7B" w14:textId="77777777" w:rsidR="00AF1A80" w:rsidRPr="005F0CE8" w:rsidRDefault="00AF1A80" w:rsidP="00AF1A80">
      <w:pPr>
        <w:rPr>
          <w:rFonts w:ascii="Arial Narrow" w:hAnsi="Arial Narrow"/>
          <w:bCs/>
          <w:sz w:val="18"/>
          <w:szCs w:val="18"/>
        </w:rPr>
      </w:pPr>
      <w:r w:rsidRPr="005F0CE8">
        <w:rPr>
          <w:rFonts w:ascii="Arial Narrow" w:hAnsi="Arial Narrow"/>
          <w:bCs/>
          <w:sz w:val="18"/>
          <w:szCs w:val="18"/>
        </w:rPr>
        <w:t>Source: Table 2.21 and table 2.22, p76 of the submission.</w:t>
      </w:r>
    </w:p>
    <w:p w14:paraId="771E2615" w14:textId="408C670F" w:rsidR="00934988" w:rsidRPr="00DB2BE9" w:rsidRDefault="00AF1A80" w:rsidP="00DB2BE9">
      <w:pPr>
        <w:rPr>
          <w:rStyle w:val="CommentReference"/>
          <w:b w:val="0"/>
          <w:bCs/>
          <w:sz w:val="18"/>
          <w:szCs w:val="18"/>
        </w:rPr>
      </w:pPr>
      <w:r w:rsidRPr="005F0CE8">
        <w:rPr>
          <w:rFonts w:ascii="Arial Narrow" w:hAnsi="Arial Narrow"/>
          <w:bCs/>
          <w:sz w:val="18"/>
          <w:szCs w:val="18"/>
        </w:rPr>
        <w:t>C30 = core 30 questions</w:t>
      </w:r>
      <w:r w:rsidR="00CF3B0C" w:rsidRPr="005F0CE8">
        <w:rPr>
          <w:rFonts w:ascii="Arial Narrow" w:hAnsi="Arial Narrow"/>
          <w:bCs/>
          <w:sz w:val="18"/>
          <w:szCs w:val="18"/>
        </w:rPr>
        <w:t>,</w:t>
      </w:r>
      <w:r w:rsidRPr="005F0CE8">
        <w:rPr>
          <w:rFonts w:ascii="Arial Narrow" w:hAnsi="Arial Narrow"/>
          <w:bCs/>
          <w:sz w:val="18"/>
          <w:szCs w:val="18"/>
        </w:rPr>
        <w:t xml:space="preserve"> CI = confidence interval</w:t>
      </w:r>
      <w:r w:rsidR="00CF3B0C" w:rsidRPr="005F0CE8">
        <w:rPr>
          <w:rFonts w:ascii="Arial Narrow" w:hAnsi="Arial Narrow"/>
          <w:bCs/>
          <w:sz w:val="18"/>
          <w:szCs w:val="18"/>
        </w:rPr>
        <w:t>,</w:t>
      </w:r>
      <w:r w:rsidRPr="005F0CE8">
        <w:rPr>
          <w:rFonts w:ascii="Arial Narrow" w:hAnsi="Arial Narrow"/>
          <w:bCs/>
          <w:sz w:val="18"/>
          <w:szCs w:val="18"/>
        </w:rPr>
        <w:t xml:space="preserve"> EORTC = European Organisation for Research and Treatment of Cancer</w:t>
      </w:r>
      <w:r w:rsidR="00CF3B0C" w:rsidRPr="005F0CE8">
        <w:rPr>
          <w:rFonts w:ascii="Arial Narrow" w:hAnsi="Arial Narrow"/>
          <w:bCs/>
          <w:sz w:val="18"/>
          <w:szCs w:val="18"/>
        </w:rPr>
        <w:t>,</w:t>
      </w:r>
      <w:r w:rsidRPr="005F0CE8">
        <w:rPr>
          <w:rFonts w:ascii="Arial Narrow" w:hAnsi="Arial Narrow"/>
          <w:bCs/>
          <w:sz w:val="18"/>
          <w:szCs w:val="18"/>
        </w:rPr>
        <w:t xml:space="preserve"> QLQ = quality of li</w:t>
      </w:r>
      <w:r w:rsidR="00CF3B0C" w:rsidRPr="005F0CE8">
        <w:rPr>
          <w:rFonts w:ascii="Arial Narrow" w:hAnsi="Arial Narrow"/>
          <w:bCs/>
          <w:sz w:val="18"/>
          <w:szCs w:val="18"/>
        </w:rPr>
        <w:t>f</w:t>
      </w:r>
      <w:r w:rsidRPr="005F0CE8">
        <w:rPr>
          <w:rFonts w:ascii="Arial Narrow" w:hAnsi="Arial Narrow"/>
          <w:bCs/>
          <w:sz w:val="18"/>
          <w:szCs w:val="18"/>
        </w:rPr>
        <w:t>e questionnaire</w:t>
      </w:r>
      <w:r w:rsidR="00CF3B0C" w:rsidRPr="005F0CE8">
        <w:rPr>
          <w:rFonts w:ascii="Arial Narrow" w:hAnsi="Arial Narrow"/>
          <w:bCs/>
          <w:sz w:val="18"/>
          <w:szCs w:val="18"/>
        </w:rPr>
        <w:t>,</w:t>
      </w:r>
      <w:r w:rsidRPr="005F0CE8">
        <w:rPr>
          <w:rFonts w:ascii="Arial Narrow" w:hAnsi="Arial Narrow"/>
          <w:bCs/>
          <w:sz w:val="18"/>
          <w:szCs w:val="18"/>
        </w:rPr>
        <w:t xml:space="preserve"> QoL = quality of life. </w:t>
      </w:r>
      <w:r w:rsidRPr="005F0CE8">
        <w:rPr>
          <w:rFonts w:ascii="Arial Narrow" w:hAnsi="Arial Narrow"/>
          <w:b/>
          <w:bCs/>
          <w:sz w:val="18"/>
          <w:szCs w:val="18"/>
        </w:rPr>
        <w:t>Bold</w:t>
      </w:r>
      <w:r w:rsidRPr="005F0CE8">
        <w:rPr>
          <w:rFonts w:ascii="Arial Narrow" w:hAnsi="Arial Narrow"/>
          <w:sz w:val="18"/>
          <w:szCs w:val="18"/>
        </w:rPr>
        <w:t xml:space="preserve"> indicates statistically significant results</w:t>
      </w:r>
    </w:p>
    <w:p w14:paraId="5AA7E2BF" w14:textId="77777777" w:rsidR="00B60939" w:rsidRPr="005F0CE8" w:rsidRDefault="00B60939" w:rsidP="00D86231">
      <w:pPr>
        <w:pStyle w:val="4-SubsectionHeading"/>
      </w:pPr>
      <w:bookmarkStart w:id="56" w:name="_Toc22897642"/>
      <w:bookmarkStart w:id="57" w:name="_Toc124883282"/>
      <w:r w:rsidRPr="005F0CE8">
        <w:t>Comparative harms</w:t>
      </w:r>
      <w:bookmarkEnd w:id="56"/>
      <w:bookmarkEnd w:id="57"/>
    </w:p>
    <w:p w14:paraId="75B2A19C" w14:textId="24090693" w:rsidR="00B60939" w:rsidRPr="003B4041" w:rsidRDefault="000D0970" w:rsidP="00477BB3">
      <w:pPr>
        <w:pStyle w:val="3-BodyText"/>
      </w:pPr>
      <w:bookmarkStart w:id="58" w:name="_Hlk104801403"/>
      <w:r w:rsidRPr="005F0CE8">
        <w:t xml:space="preserve">Comparative harms were reported from the OlympiA </w:t>
      </w:r>
      <w:r w:rsidR="00675BB4" w:rsidRPr="005F0CE8">
        <w:t>trial and</w:t>
      </w:r>
      <w:r w:rsidRPr="005F0CE8">
        <w:t xml:space="preserve"> </w:t>
      </w:r>
      <w:r w:rsidRPr="00820510">
        <w:t>are summarised in</w:t>
      </w:r>
      <w:r w:rsidR="003B4041" w:rsidRPr="00820510">
        <w:t xml:space="preserve"> </w:t>
      </w:r>
      <w:r w:rsidR="003B4041" w:rsidRPr="00820510">
        <w:fldChar w:fldCharType="begin"/>
      </w:r>
      <w:r w:rsidR="003B4041" w:rsidRPr="00820510">
        <w:instrText xml:space="preserve"> REF _Ref131673790 \h </w:instrText>
      </w:r>
      <w:r w:rsidR="00820510">
        <w:instrText xml:space="preserve"> \* MERGEFORMAT </w:instrText>
      </w:r>
      <w:r w:rsidR="003B4041" w:rsidRPr="00820510">
        <w:fldChar w:fldCharType="separate"/>
      </w:r>
      <w:r w:rsidR="00AB6006" w:rsidRPr="005F0CE8">
        <w:t xml:space="preserve">Table </w:t>
      </w:r>
      <w:r w:rsidR="00AB6006">
        <w:rPr>
          <w:noProof/>
        </w:rPr>
        <w:t>10</w:t>
      </w:r>
      <w:r w:rsidR="003B4041" w:rsidRPr="00820510">
        <w:fldChar w:fldCharType="end"/>
      </w:r>
      <w:r w:rsidR="003B4041" w:rsidRPr="00820510">
        <w:t xml:space="preserve">. At </w:t>
      </w:r>
      <w:r w:rsidR="00E97995" w:rsidRPr="00820510">
        <w:t>DCO2</w:t>
      </w:r>
      <w:r w:rsidRPr="00820510">
        <w:t>, 91.8% of patients in the olaparib arm and</w:t>
      </w:r>
      <w:r w:rsidR="008C7282" w:rsidRPr="00820510">
        <w:t xml:space="preserve"> </w:t>
      </w:r>
      <w:bookmarkEnd w:id="58"/>
      <w:r w:rsidRPr="00820510">
        <w:t>83.8% of patients in</w:t>
      </w:r>
      <w:r w:rsidRPr="005F0CE8">
        <w:t xml:space="preserve"> the placebo arm had experienced at least one AE. A much larger difference was seen in treatment related AEs with 80.8% of patients in the olaparib and 53.1% of patients in the placebo experiencing </w:t>
      </w:r>
      <w:r w:rsidR="004A64F0" w:rsidRPr="005F0CE8">
        <w:t>treatment emergent adverse events (</w:t>
      </w:r>
      <w:r w:rsidRPr="005F0CE8">
        <w:t>TEAEs</w:t>
      </w:r>
      <w:r w:rsidR="004A64F0" w:rsidRPr="005F0CE8">
        <w:t>)</w:t>
      </w:r>
      <w:r w:rsidRPr="005F0CE8">
        <w:t>.</w:t>
      </w:r>
    </w:p>
    <w:p w14:paraId="36B068D2" w14:textId="01498209" w:rsidR="006A5570" w:rsidRPr="005F0CE8" w:rsidRDefault="000D0970" w:rsidP="00477BB3">
      <w:pPr>
        <w:pStyle w:val="3-BodyText"/>
        <w:rPr>
          <w:color w:val="0066FF"/>
        </w:rPr>
      </w:pPr>
      <w:r w:rsidRPr="005F0CE8">
        <w:t xml:space="preserve">AEs of grade 3 or higher were much more common </w:t>
      </w:r>
      <w:r w:rsidR="004A64F0" w:rsidRPr="005F0CE8">
        <w:t>with</w:t>
      </w:r>
      <w:r w:rsidRPr="005F0CE8">
        <w:t xml:space="preserve"> olaparib than </w:t>
      </w:r>
      <w:r w:rsidR="004A64F0" w:rsidRPr="005F0CE8">
        <w:t>with</w:t>
      </w:r>
      <w:r w:rsidRPr="005F0CE8">
        <w:t xml:space="preserve"> placebo, as seen in</w:t>
      </w:r>
      <w:r w:rsidR="002C7B60" w:rsidRPr="005F0CE8">
        <w:t xml:space="preserve"> </w:t>
      </w:r>
      <w:r w:rsidR="002C7B60" w:rsidRPr="005F0CE8">
        <w:fldChar w:fldCharType="begin"/>
      </w:r>
      <w:r w:rsidR="002C7B60" w:rsidRPr="005F0CE8">
        <w:instrText xml:space="preserve"> REF _Ref121013849 \h </w:instrText>
      </w:r>
      <w:r w:rsidR="003B4041">
        <w:instrText xml:space="preserve"> \* MERGEFORMAT </w:instrText>
      </w:r>
      <w:r w:rsidR="002C7B60" w:rsidRPr="005F0CE8">
        <w:fldChar w:fldCharType="separate"/>
      </w:r>
      <w:r w:rsidR="00AB6006" w:rsidRPr="005F0CE8">
        <w:t xml:space="preserve">Table </w:t>
      </w:r>
      <w:r w:rsidR="00AB6006">
        <w:t>11</w:t>
      </w:r>
      <w:r w:rsidR="002C7B60" w:rsidRPr="005F0CE8">
        <w:fldChar w:fldCharType="end"/>
      </w:r>
      <w:r w:rsidRPr="005F0CE8">
        <w:t xml:space="preserve">. Similarly, AEs that resulted in dose modification </w:t>
      </w:r>
      <w:r w:rsidR="002754B4" w:rsidRPr="005F0CE8">
        <w:t>were much</w:t>
      </w:r>
      <w:r w:rsidRPr="005F0CE8">
        <w:t xml:space="preserve"> more common in the olaparib arm than in </w:t>
      </w:r>
      <w:r w:rsidR="004A64F0" w:rsidRPr="005F0CE8">
        <w:t xml:space="preserve">the </w:t>
      </w:r>
      <w:r w:rsidRPr="005F0CE8">
        <w:t>placebo</w:t>
      </w:r>
      <w:r w:rsidR="004A64F0" w:rsidRPr="005F0CE8">
        <w:t xml:space="preserve"> arm</w:t>
      </w:r>
      <w:r w:rsidRPr="005F0CE8">
        <w:t>, as displayed in</w:t>
      </w:r>
      <w:r w:rsidR="006A5570" w:rsidRPr="005F0CE8">
        <w:t xml:space="preserve"> </w:t>
      </w:r>
      <w:r w:rsidR="006A5570" w:rsidRPr="005F0CE8">
        <w:fldChar w:fldCharType="begin"/>
      </w:r>
      <w:r w:rsidR="006A5570" w:rsidRPr="005F0CE8">
        <w:instrText xml:space="preserve"> REF _Ref131673790 \h </w:instrText>
      </w:r>
      <w:r w:rsidR="006A5570" w:rsidRPr="005F0CE8">
        <w:fldChar w:fldCharType="separate"/>
      </w:r>
      <w:r w:rsidR="00AB6006" w:rsidRPr="005F0CE8">
        <w:t xml:space="preserve">Table </w:t>
      </w:r>
      <w:r w:rsidR="00AB6006">
        <w:rPr>
          <w:noProof/>
        </w:rPr>
        <w:t>10</w:t>
      </w:r>
      <w:r w:rsidR="006A5570" w:rsidRPr="005F0CE8">
        <w:fldChar w:fldCharType="end"/>
      </w:r>
      <w:r w:rsidR="006A5570" w:rsidRPr="005F0CE8">
        <w:t>.</w:t>
      </w:r>
    </w:p>
    <w:p w14:paraId="193EF6AE" w14:textId="5CF87324" w:rsidR="006A5570" w:rsidRPr="005F0CE8" w:rsidRDefault="000D0970" w:rsidP="00477BB3">
      <w:pPr>
        <w:pStyle w:val="3-BodyText"/>
        <w:rPr>
          <w:color w:val="0066FF"/>
        </w:rPr>
      </w:pPr>
      <w:r w:rsidRPr="005F0CE8">
        <w:t>The submission claim</w:t>
      </w:r>
      <w:r w:rsidR="005C5310" w:rsidRPr="005F0CE8">
        <w:t>ed</w:t>
      </w:r>
      <w:r w:rsidRPr="005F0CE8">
        <w:t xml:space="preserve"> non-inferior safety for olaparib vs placebo. However,</w:t>
      </w:r>
      <w:r w:rsidR="0016328E" w:rsidRPr="005F0CE8">
        <w:t xml:space="preserve"> TEAEs occurred in 80.8% </w:t>
      </w:r>
      <w:r w:rsidR="002754B4" w:rsidRPr="005F0CE8">
        <w:t>of patients</w:t>
      </w:r>
      <w:r w:rsidR="004A64F0" w:rsidRPr="005F0CE8">
        <w:t xml:space="preserve"> receiving olaparib</w:t>
      </w:r>
      <w:r w:rsidR="0016328E" w:rsidRPr="005F0CE8">
        <w:t xml:space="preserve"> and 53.1% </w:t>
      </w:r>
      <w:r w:rsidR="002754B4" w:rsidRPr="005F0CE8">
        <w:t>of patients</w:t>
      </w:r>
      <w:r w:rsidR="004A64F0" w:rsidRPr="005F0CE8">
        <w:t xml:space="preserve"> receiving placebo.</w:t>
      </w:r>
      <w:r w:rsidR="0016328E" w:rsidRPr="005F0CE8">
        <w:t xml:space="preserve"> </w:t>
      </w:r>
      <w:r w:rsidR="004A64F0" w:rsidRPr="005F0CE8">
        <w:t>G</w:t>
      </w:r>
      <w:r w:rsidR="0016328E" w:rsidRPr="005F0CE8">
        <w:t xml:space="preserve">rade 3 or higher AEs occurred in 24.5% </w:t>
      </w:r>
      <w:r w:rsidR="002754B4" w:rsidRPr="005F0CE8">
        <w:t>of patients</w:t>
      </w:r>
      <w:r w:rsidR="004A64F0" w:rsidRPr="005F0CE8">
        <w:t xml:space="preserve"> receiving olaparib</w:t>
      </w:r>
      <w:r w:rsidR="0016328E" w:rsidRPr="005F0CE8">
        <w:t>, and 11.3% of patients</w:t>
      </w:r>
      <w:r w:rsidR="004A64F0" w:rsidRPr="005F0CE8">
        <w:t xml:space="preserve"> receiving placebo</w:t>
      </w:r>
      <w:r w:rsidR="002A364A" w:rsidRPr="005F0CE8">
        <w:t>.</w:t>
      </w:r>
      <w:r w:rsidR="007B4778" w:rsidRPr="005F0CE8">
        <w:t xml:space="preserve"> </w:t>
      </w:r>
      <w:bookmarkStart w:id="59" w:name="_Ref121013566"/>
    </w:p>
    <w:p w14:paraId="13159572" w14:textId="77777777" w:rsidR="006A5570" w:rsidRPr="005F0CE8" w:rsidRDefault="006A5570" w:rsidP="006A5570"/>
    <w:p w14:paraId="60EED0E9" w14:textId="6AC26992" w:rsidR="00B60939" w:rsidRPr="005F0CE8" w:rsidRDefault="006A5570" w:rsidP="006A5570">
      <w:pPr>
        <w:pStyle w:val="Caption"/>
      </w:pPr>
      <w:bookmarkStart w:id="60" w:name="_Ref131673790"/>
      <w:bookmarkEnd w:id="59"/>
      <w:r w:rsidRPr="005F0CE8">
        <w:lastRenderedPageBreak/>
        <w:t xml:space="preserve">Table </w:t>
      </w:r>
      <w:fldSimple w:instr=" SEQ Table \* ARABIC ">
        <w:r w:rsidR="00AB6006">
          <w:rPr>
            <w:noProof/>
          </w:rPr>
          <w:t>10</w:t>
        </w:r>
      </w:fldSimple>
      <w:bookmarkEnd w:id="60"/>
      <w:r w:rsidRPr="005F0CE8">
        <w:t xml:space="preserve">: </w:t>
      </w:r>
      <w:r w:rsidR="005D26B4" w:rsidRPr="005F0CE8">
        <w:t>Summary of key adverse events in the trials</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4"/>
        <w:gridCol w:w="1842"/>
        <w:gridCol w:w="2226"/>
        <w:gridCol w:w="6"/>
      </w:tblGrid>
      <w:tr w:rsidR="005D26B4" w:rsidRPr="005F0CE8" w14:paraId="10922565" w14:textId="77777777" w:rsidTr="005C5310">
        <w:trPr>
          <w:gridAfter w:val="1"/>
          <w:wAfter w:w="3" w:type="pct"/>
          <w:cantSplit/>
          <w:tblHeader/>
        </w:trPr>
        <w:tc>
          <w:tcPr>
            <w:tcW w:w="1775" w:type="pct"/>
            <w:vAlign w:val="center"/>
          </w:tcPr>
          <w:p w14:paraId="44D16292" w14:textId="77777777" w:rsidR="005D26B4" w:rsidRPr="005F0CE8" w:rsidRDefault="005D26B4" w:rsidP="00D86231">
            <w:pPr>
              <w:pStyle w:val="In-tableHeading"/>
              <w:rPr>
                <w:lang w:val="en-AU"/>
              </w:rPr>
            </w:pPr>
            <w:r w:rsidRPr="005F0CE8">
              <w:rPr>
                <w:lang w:val="en-AU"/>
              </w:rPr>
              <w:t>Trial ID</w:t>
            </w:r>
          </w:p>
        </w:tc>
        <w:tc>
          <w:tcPr>
            <w:tcW w:w="1005" w:type="pct"/>
            <w:vAlign w:val="center"/>
          </w:tcPr>
          <w:p w14:paraId="2FBF5268" w14:textId="7EC959DE" w:rsidR="005D26B4" w:rsidRPr="005F0CE8" w:rsidRDefault="00073118" w:rsidP="00D86231">
            <w:pPr>
              <w:pStyle w:val="In-tableHeading"/>
              <w:jc w:val="center"/>
              <w:rPr>
                <w:lang w:val="en-AU"/>
              </w:rPr>
            </w:pPr>
            <w:r w:rsidRPr="005F0CE8">
              <w:rPr>
                <w:lang w:val="en-AU"/>
              </w:rPr>
              <w:t>Olaparib</w:t>
            </w:r>
          </w:p>
          <w:p w14:paraId="59C931AD" w14:textId="77777777" w:rsidR="005D26B4" w:rsidRPr="005F0CE8" w:rsidRDefault="005D26B4" w:rsidP="00D86231">
            <w:pPr>
              <w:pStyle w:val="In-tableHeading"/>
              <w:jc w:val="center"/>
              <w:rPr>
                <w:lang w:val="en-AU"/>
              </w:rPr>
            </w:pPr>
            <w:r w:rsidRPr="005F0CE8">
              <w:rPr>
                <w:lang w:val="en-AU"/>
              </w:rPr>
              <w:t>n with event/N (%)</w:t>
            </w:r>
          </w:p>
        </w:tc>
        <w:tc>
          <w:tcPr>
            <w:tcW w:w="1004" w:type="pct"/>
            <w:vAlign w:val="center"/>
          </w:tcPr>
          <w:p w14:paraId="1683A825" w14:textId="6E4E1F2C" w:rsidR="005D26B4" w:rsidRPr="005F0CE8" w:rsidRDefault="00073118" w:rsidP="00D86231">
            <w:pPr>
              <w:pStyle w:val="In-tableHeading"/>
              <w:jc w:val="center"/>
              <w:rPr>
                <w:lang w:val="en-AU"/>
              </w:rPr>
            </w:pPr>
            <w:r w:rsidRPr="005F0CE8">
              <w:rPr>
                <w:lang w:val="en-AU"/>
              </w:rPr>
              <w:t>Placebo</w:t>
            </w:r>
          </w:p>
          <w:p w14:paraId="53D6554D" w14:textId="77777777" w:rsidR="005D26B4" w:rsidRPr="005F0CE8" w:rsidRDefault="005D26B4" w:rsidP="00D86231">
            <w:pPr>
              <w:pStyle w:val="In-tableHeading"/>
              <w:jc w:val="center"/>
              <w:rPr>
                <w:lang w:val="en-AU"/>
              </w:rPr>
            </w:pPr>
            <w:r w:rsidRPr="005F0CE8">
              <w:rPr>
                <w:lang w:val="en-AU"/>
              </w:rPr>
              <w:t>n with event/N (%)</w:t>
            </w:r>
          </w:p>
        </w:tc>
        <w:tc>
          <w:tcPr>
            <w:tcW w:w="1213" w:type="pct"/>
            <w:vAlign w:val="center"/>
          </w:tcPr>
          <w:p w14:paraId="60935E36" w14:textId="26F7E478" w:rsidR="005D26B4" w:rsidRPr="005F0CE8" w:rsidRDefault="005D26B4" w:rsidP="00D86231">
            <w:pPr>
              <w:pStyle w:val="In-tableHeading"/>
              <w:jc w:val="center"/>
              <w:rPr>
                <w:lang w:val="en-AU"/>
              </w:rPr>
            </w:pPr>
            <w:r w:rsidRPr="005F0CE8">
              <w:rPr>
                <w:lang w:val="en-AU"/>
              </w:rPr>
              <w:t>RR (95% CI)</w:t>
            </w:r>
          </w:p>
        </w:tc>
      </w:tr>
      <w:tr w:rsidR="00073118" w:rsidRPr="005F0CE8" w14:paraId="1C4E4867" w14:textId="77777777" w:rsidTr="005C5310">
        <w:trPr>
          <w:cantSplit/>
        </w:trPr>
        <w:tc>
          <w:tcPr>
            <w:tcW w:w="5000" w:type="pct"/>
            <w:gridSpan w:val="5"/>
            <w:vAlign w:val="center"/>
          </w:tcPr>
          <w:p w14:paraId="51B15D1F" w14:textId="3E442F1D" w:rsidR="00073118" w:rsidRPr="005F0CE8" w:rsidRDefault="00073118" w:rsidP="00073118">
            <w:pPr>
              <w:pStyle w:val="TableText0"/>
            </w:pPr>
            <w:r w:rsidRPr="005F0CE8">
              <w:t>OlympiA</w:t>
            </w:r>
          </w:p>
        </w:tc>
      </w:tr>
      <w:tr w:rsidR="00073118" w:rsidRPr="005F0CE8" w14:paraId="4F7F50FF" w14:textId="77777777" w:rsidTr="005C5310">
        <w:trPr>
          <w:gridAfter w:val="1"/>
          <w:wAfter w:w="3" w:type="pct"/>
          <w:cantSplit/>
        </w:trPr>
        <w:tc>
          <w:tcPr>
            <w:tcW w:w="1775" w:type="pct"/>
          </w:tcPr>
          <w:p w14:paraId="023C5E9B" w14:textId="58D036E9" w:rsidR="00073118" w:rsidRPr="005F0CE8" w:rsidRDefault="00073118" w:rsidP="00073118">
            <w:pPr>
              <w:pStyle w:val="TableText0"/>
            </w:pPr>
            <w:r w:rsidRPr="005F0CE8">
              <w:t>Any AE</w:t>
            </w:r>
          </w:p>
        </w:tc>
        <w:tc>
          <w:tcPr>
            <w:tcW w:w="1005" w:type="pct"/>
          </w:tcPr>
          <w:p w14:paraId="610602D9" w14:textId="7823FC64" w:rsidR="00073118" w:rsidRPr="005F0CE8" w:rsidRDefault="00073118" w:rsidP="00073118">
            <w:pPr>
              <w:pStyle w:val="TableText0"/>
              <w:jc w:val="center"/>
            </w:pPr>
            <w:r w:rsidRPr="005F0CE8">
              <w:t>836/911 (91.8</w:t>
            </w:r>
            <w:r w:rsidR="00CC10D4" w:rsidRPr="005F0CE8">
              <w:t>%</w:t>
            </w:r>
            <w:r w:rsidRPr="005F0CE8">
              <w:t>)</w:t>
            </w:r>
          </w:p>
        </w:tc>
        <w:tc>
          <w:tcPr>
            <w:tcW w:w="1004" w:type="pct"/>
          </w:tcPr>
          <w:p w14:paraId="3EA834EC" w14:textId="548913CE" w:rsidR="00073118" w:rsidRPr="005F0CE8" w:rsidRDefault="00073118" w:rsidP="00073118">
            <w:pPr>
              <w:pStyle w:val="TableText0"/>
              <w:jc w:val="center"/>
            </w:pPr>
            <w:r w:rsidRPr="005F0CE8">
              <w:t>758/904 (83.8</w:t>
            </w:r>
            <w:r w:rsidR="00CC10D4" w:rsidRPr="005F0CE8">
              <w:t>%</w:t>
            </w:r>
            <w:r w:rsidRPr="005F0CE8">
              <w:t>)</w:t>
            </w:r>
          </w:p>
        </w:tc>
        <w:tc>
          <w:tcPr>
            <w:tcW w:w="1213" w:type="pct"/>
            <w:vAlign w:val="center"/>
          </w:tcPr>
          <w:p w14:paraId="56031667" w14:textId="5C82D285" w:rsidR="00073118" w:rsidRPr="005F0CE8" w:rsidRDefault="00073118" w:rsidP="00073118">
            <w:pPr>
              <w:pStyle w:val="TableText0"/>
              <w:jc w:val="center"/>
              <w:rPr>
                <w:b/>
                <w:bCs w:val="0"/>
              </w:rPr>
            </w:pPr>
            <w:r w:rsidRPr="005F0CE8">
              <w:rPr>
                <w:b/>
                <w:bCs w:val="0"/>
              </w:rPr>
              <w:t>1.09 (1.0</w:t>
            </w:r>
            <w:r w:rsidR="00CC10D4" w:rsidRPr="005F0CE8">
              <w:rPr>
                <w:b/>
                <w:bCs w:val="0"/>
              </w:rPr>
              <w:t>6</w:t>
            </w:r>
            <w:r w:rsidRPr="005F0CE8">
              <w:rPr>
                <w:b/>
                <w:bCs w:val="0"/>
              </w:rPr>
              <w:t>, 1.13)</w:t>
            </w:r>
          </w:p>
        </w:tc>
      </w:tr>
      <w:tr w:rsidR="00CD3774" w:rsidRPr="005F0CE8" w14:paraId="0857EF9C" w14:textId="77777777" w:rsidTr="005C5310">
        <w:trPr>
          <w:gridAfter w:val="1"/>
          <w:wAfter w:w="3" w:type="pct"/>
          <w:cantSplit/>
        </w:trPr>
        <w:tc>
          <w:tcPr>
            <w:tcW w:w="1775" w:type="pct"/>
          </w:tcPr>
          <w:p w14:paraId="6DEBA190" w14:textId="2A21D195" w:rsidR="00CD3774" w:rsidRPr="005F0CE8" w:rsidRDefault="00CD3774" w:rsidP="00CD3774">
            <w:pPr>
              <w:pStyle w:val="TableText0"/>
            </w:pPr>
            <w:r w:rsidRPr="005F0CE8">
              <w:t xml:space="preserve">Any AE casually related to study treatment </w:t>
            </w:r>
          </w:p>
        </w:tc>
        <w:tc>
          <w:tcPr>
            <w:tcW w:w="1005" w:type="pct"/>
          </w:tcPr>
          <w:p w14:paraId="03A20EBF" w14:textId="5EF98C5A" w:rsidR="00CD3774" w:rsidRPr="005F0CE8" w:rsidRDefault="00CD3774" w:rsidP="00CD3774">
            <w:pPr>
              <w:pStyle w:val="TableText0"/>
              <w:jc w:val="center"/>
            </w:pPr>
            <w:r w:rsidRPr="005F0CE8">
              <w:t>736/911 (80.8</w:t>
            </w:r>
            <w:r w:rsidR="00CC10D4" w:rsidRPr="005F0CE8">
              <w:t>%</w:t>
            </w:r>
            <w:r w:rsidRPr="005F0CE8">
              <w:t>)</w:t>
            </w:r>
          </w:p>
        </w:tc>
        <w:tc>
          <w:tcPr>
            <w:tcW w:w="1004" w:type="pct"/>
          </w:tcPr>
          <w:p w14:paraId="7B1C6B8E" w14:textId="5469EC24" w:rsidR="00CD3774" w:rsidRPr="005F0CE8" w:rsidRDefault="00CD3774" w:rsidP="00CD3774">
            <w:pPr>
              <w:pStyle w:val="TableText0"/>
              <w:jc w:val="center"/>
            </w:pPr>
            <w:r w:rsidRPr="005F0CE8">
              <w:t>480/904 (53.1</w:t>
            </w:r>
            <w:r w:rsidR="00CC10D4" w:rsidRPr="005F0CE8">
              <w:t>%</w:t>
            </w:r>
            <w:r w:rsidRPr="005F0CE8">
              <w:t>)</w:t>
            </w:r>
          </w:p>
        </w:tc>
        <w:tc>
          <w:tcPr>
            <w:tcW w:w="1213" w:type="pct"/>
          </w:tcPr>
          <w:p w14:paraId="0C57334E" w14:textId="1A5BCCF2" w:rsidR="00CD3774" w:rsidRPr="005F0CE8" w:rsidRDefault="00CD3774" w:rsidP="00CD3774">
            <w:pPr>
              <w:pStyle w:val="TableText0"/>
              <w:jc w:val="center"/>
              <w:rPr>
                <w:b/>
                <w:bCs w:val="0"/>
              </w:rPr>
            </w:pPr>
            <w:r w:rsidRPr="005F0CE8">
              <w:rPr>
                <w:b/>
                <w:bCs w:val="0"/>
              </w:rPr>
              <w:t>1.52 (1.42, 1.63)</w:t>
            </w:r>
          </w:p>
        </w:tc>
      </w:tr>
      <w:tr w:rsidR="00073118" w:rsidRPr="005F0CE8" w14:paraId="634F5EF1" w14:textId="77777777" w:rsidTr="005C5310">
        <w:trPr>
          <w:gridAfter w:val="1"/>
          <w:wAfter w:w="3" w:type="pct"/>
          <w:cantSplit/>
        </w:trPr>
        <w:tc>
          <w:tcPr>
            <w:tcW w:w="1775" w:type="pct"/>
          </w:tcPr>
          <w:p w14:paraId="62532FD6" w14:textId="4B0433DB" w:rsidR="00073118" w:rsidRPr="005F0CE8" w:rsidRDefault="00073118" w:rsidP="00073118">
            <w:pPr>
              <w:pStyle w:val="TableText0"/>
            </w:pPr>
            <w:r w:rsidRPr="005F0CE8">
              <w:t>Any AE of CTCAE Grade ≥3</w:t>
            </w:r>
          </w:p>
        </w:tc>
        <w:tc>
          <w:tcPr>
            <w:tcW w:w="1005" w:type="pct"/>
          </w:tcPr>
          <w:p w14:paraId="2C5EFF7B" w14:textId="78FEEDA3" w:rsidR="00073118" w:rsidRPr="005F0CE8" w:rsidRDefault="00073118" w:rsidP="00073118">
            <w:pPr>
              <w:pStyle w:val="TableText0"/>
              <w:jc w:val="center"/>
            </w:pPr>
            <w:r w:rsidRPr="005F0CE8">
              <w:t>223/911 (24.5</w:t>
            </w:r>
            <w:r w:rsidR="00CC10D4" w:rsidRPr="005F0CE8">
              <w:t>%</w:t>
            </w:r>
            <w:r w:rsidRPr="005F0CE8">
              <w:t>)</w:t>
            </w:r>
          </w:p>
        </w:tc>
        <w:tc>
          <w:tcPr>
            <w:tcW w:w="1004" w:type="pct"/>
          </w:tcPr>
          <w:p w14:paraId="537BEA3F" w14:textId="785C6909" w:rsidR="00073118" w:rsidRPr="005F0CE8" w:rsidRDefault="00073118" w:rsidP="00073118">
            <w:pPr>
              <w:pStyle w:val="TableText0"/>
              <w:jc w:val="center"/>
            </w:pPr>
            <w:r w:rsidRPr="005F0CE8">
              <w:t>102/904 (11.3</w:t>
            </w:r>
            <w:r w:rsidR="00CC10D4" w:rsidRPr="005F0CE8">
              <w:t>%</w:t>
            </w:r>
            <w:r w:rsidRPr="005F0CE8">
              <w:t>)</w:t>
            </w:r>
          </w:p>
        </w:tc>
        <w:tc>
          <w:tcPr>
            <w:tcW w:w="1213" w:type="pct"/>
            <w:vAlign w:val="center"/>
          </w:tcPr>
          <w:p w14:paraId="53D6678D" w14:textId="2F05069F" w:rsidR="00073118" w:rsidRPr="005F0CE8" w:rsidRDefault="00073118" w:rsidP="00073118">
            <w:pPr>
              <w:pStyle w:val="TableText0"/>
              <w:jc w:val="center"/>
              <w:rPr>
                <w:b/>
                <w:bCs w:val="0"/>
              </w:rPr>
            </w:pPr>
            <w:r w:rsidRPr="005F0CE8">
              <w:rPr>
                <w:b/>
                <w:bCs w:val="0"/>
              </w:rPr>
              <w:t>2.1</w:t>
            </w:r>
            <w:r w:rsidR="00CC10D4" w:rsidRPr="005F0CE8">
              <w:rPr>
                <w:b/>
                <w:bCs w:val="0"/>
              </w:rPr>
              <w:t>7</w:t>
            </w:r>
            <w:r w:rsidRPr="005F0CE8">
              <w:rPr>
                <w:b/>
                <w:bCs w:val="0"/>
              </w:rPr>
              <w:t xml:space="preserve"> (1.7</w:t>
            </w:r>
            <w:r w:rsidR="00CC10D4" w:rsidRPr="005F0CE8">
              <w:rPr>
                <w:b/>
                <w:bCs w:val="0"/>
              </w:rPr>
              <w:t>5</w:t>
            </w:r>
            <w:r w:rsidRPr="005F0CE8">
              <w:rPr>
                <w:b/>
                <w:bCs w:val="0"/>
              </w:rPr>
              <w:t>, 2.69)</w:t>
            </w:r>
          </w:p>
        </w:tc>
      </w:tr>
      <w:tr w:rsidR="00073118" w:rsidRPr="005F0CE8" w14:paraId="0A4E1170" w14:textId="77777777" w:rsidTr="005C5310">
        <w:trPr>
          <w:gridAfter w:val="1"/>
          <w:wAfter w:w="3" w:type="pct"/>
          <w:cantSplit/>
        </w:trPr>
        <w:tc>
          <w:tcPr>
            <w:tcW w:w="1775" w:type="pct"/>
          </w:tcPr>
          <w:p w14:paraId="76FA31C4" w14:textId="6A8486F7" w:rsidR="00073118" w:rsidRPr="005F0CE8" w:rsidRDefault="00073118" w:rsidP="00073118">
            <w:pPr>
              <w:pStyle w:val="TableText0"/>
            </w:pPr>
            <w:r w:rsidRPr="005F0CE8">
              <w:t>Any AE with outcome=death</w:t>
            </w:r>
          </w:p>
        </w:tc>
        <w:tc>
          <w:tcPr>
            <w:tcW w:w="1005" w:type="pct"/>
          </w:tcPr>
          <w:p w14:paraId="775433D2" w14:textId="7D645D74" w:rsidR="00073118" w:rsidRPr="005F0CE8" w:rsidRDefault="00073118" w:rsidP="00073118">
            <w:pPr>
              <w:pStyle w:val="TableText0"/>
              <w:jc w:val="center"/>
            </w:pPr>
            <w:r w:rsidRPr="005F0CE8">
              <w:t>1/911 (0.1</w:t>
            </w:r>
            <w:r w:rsidR="00CC10D4" w:rsidRPr="005F0CE8">
              <w:t>%</w:t>
            </w:r>
            <w:r w:rsidRPr="005F0CE8">
              <w:t>)</w:t>
            </w:r>
          </w:p>
        </w:tc>
        <w:tc>
          <w:tcPr>
            <w:tcW w:w="1004" w:type="pct"/>
          </w:tcPr>
          <w:p w14:paraId="7454F6CC" w14:textId="45098EE2" w:rsidR="00073118" w:rsidRPr="005F0CE8" w:rsidRDefault="00073118" w:rsidP="00073118">
            <w:pPr>
              <w:pStyle w:val="TableText0"/>
              <w:jc w:val="center"/>
            </w:pPr>
            <w:r w:rsidRPr="005F0CE8">
              <w:t>2/904 (0.2</w:t>
            </w:r>
            <w:r w:rsidR="00CC10D4" w:rsidRPr="005F0CE8">
              <w:t>%</w:t>
            </w:r>
            <w:r w:rsidRPr="005F0CE8">
              <w:t>)</w:t>
            </w:r>
          </w:p>
        </w:tc>
        <w:tc>
          <w:tcPr>
            <w:tcW w:w="1213" w:type="pct"/>
            <w:vAlign w:val="center"/>
          </w:tcPr>
          <w:p w14:paraId="7A8CE585" w14:textId="0F487312" w:rsidR="00073118" w:rsidRPr="005F0CE8" w:rsidRDefault="00073118" w:rsidP="00073118">
            <w:pPr>
              <w:pStyle w:val="TableText0"/>
              <w:jc w:val="center"/>
            </w:pPr>
            <w:r w:rsidRPr="005F0CE8">
              <w:t>0.</w:t>
            </w:r>
            <w:r w:rsidR="00CC10D4" w:rsidRPr="005F0CE8">
              <w:t>50</w:t>
            </w:r>
            <w:r w:rsidRPr="005F0CE8">
              <w:t xml:space="preserve"> (0.0</w:t>
            </w:r>
            <w:r w:rsidR="00CC10D4" w:rsidRPr="005F0CE8">
              <w:t>5</w:t>
            </w:r>
            <w:r w:rsidRPr="005F0CE8">
              <w:t>, 5.46)</w:t>
            </w:r>
          </w:p>
        </w:tc>
      </w:tr>
      <w:tr w:rsidR="00073118" w:rsidRPr="005F0CE8" w14:paraId="303F94F9" w14:textId="77777777" w:rsidTr="005C5310">
        <w:trPr>
          <w:gridAfter w:val="1"/>
          <w:wAfter w:w="3" w:type="pct"/>
          <w:cantSplit/>
        </w:trPr>
        <w:tc>
          <w:tcPr>
            <w:tcW w:w="1775" w:type="pct"/>
          </w:tcPr>
          <w:p w14:paraId="77920F4A" w14:textId="7799AF96" w:rsidR="00073118" w:rsidRPr="005F0CE8" w:rsidRDefault="00073118" w:rsidP="00073118">
            <w:pPr>
              <w:pStyle w:val="TableText0"/>
            </w:pPr>
            <w:r w:rsidRPr="005F0CE8">
              <w:t>Any SAE (including events with outcome=death)</w:t>
            </w:r>
          </w:p>
        </w:tc>
        <w:tc>
          <w:tcPr>
            <w:tcW w:w="1005" w:type="pct"/>
          </w:tcPr>
          <w:p w14:paraId="39617734" w14:textId="2F2D50DB" w:rsidR="00073118" w:rsidRPr="005F0CE8" w:rsidRDefault="00073118" w:rsidP="00073118">
            <w:pPr>
              <w:pStyle w:val="TableText0"/>
              <w:jc w:val="center"/>
            </w:pPr>
            <w:r w:rsidRPr="005F0CE8">
              <w:t>79/911 (8.7</w:t>
            </w:r>
            <w:r w:rsidR="00CC10D4" w:rsidRPr="005F0CE8">
              <w:t>%</w:t>
            </w:r>
            <w:r w:rsidRPr="005F0CE8">
              <w:t>)</w:t>
            </w:r>
          </w:p>
        </w:tc>
        <w:tc>
          <w:tcPr>
            <w:tcW w:w="1004" w:type="pct"/>
          </w:tcPr>
          <w:p w14:paraId="6B26E054" w14:textId="2F6D5736" w:rsidR="00073118" w:rsidRPr="005F0CE8" w:rsidRDefault="00073118" w:rsidP="00073118">
            <w:pPr>
              <w:pStyle w:val="TableText0"/>
              <w:jc w:val="center"/>
            </w:pPr>
            <w:r w:rsidRPr="005F0CE8">
              <w:t>78/904 (8.6</w:t>
            </w:r>
            <w:r w:rsidR="00CC10D4" w:rsidRPr="005F0CE8">
              <w:t>%</w:t>
            </w:r>
            <w:r w:rsidRPr="005F0CE8">
              <w:t>)</w:t>
            </w:r>
          </w:p>
        </w:tc>
        <w:tc>
          <w:tcPr>
            <w:tcW w:w="1213" w:type="pct"/>
          </w:tcPr>
          <w:p w14:paraId="4D78D992" w14:textId="3432CC3F" w:rsidR="00073118" w:rsidRPr="005F0CE8" w:rsidRDefault="00073118" w:rsidP="00073118">
            <w:pPr>
              <w:pStyle w:val="TableText0"/>
              <w:jc w:val="center"/>
            </w:pPr>
            <w:r w:rsidRPr="005F0CE8">
              <w:t>1.0</w:t>
            </w:r>
            <w:r w:rsidR="00CC10D4" w:rsidRPr="005F0CE8">
              <w:t>1</w:t>
            </w:r>
            <w:r w:rsidRPr="005F0CE8">
              <w:t xml:space="preserve"> (0.75, 1.3</w:t>
            </w:r>
            <w:r w:rsidR="00CC10D4" w:rsidRPr="005F0CE8">
              <w:t>6</w:t>
            </w:r>
            <w:r w:rsidRPr="005F0CE8">
              <w:t>)</w:t>
            </w:r>
          </w:p>
        </w:tc>
      </w:tr>
      <w:tr w:rsidR="00073118" w:rsidRPr="005F0CE8" w14:paraId="4A3A1297" w14:textId="77777777" w:rsidTr="005C5310">
        <w:trPr>
          <w:gridAfter w:val="1"/>
          <w:wAfter w:w="3" w:type="pct"/>
          <w:cantSplit/>
        </w:trPr>
        <w:tc>
          <w:tcPr>
            <w:tcW w:w="1775" w:type="pct"/>
          </w:tcPr>
          <w:p w14:paraId="0507F1AD" w14:textId="1F25DE6E" w:rsidR="00073118" w:rsidRPr="005F0CE8" w:rsidRDefault="00073118" w:rsidP="00073118">
            <w:pPr>
              <w:pStyle w:val="TableText0"/>
            </w:pPr>
            <w:r w:rsidRPr="005F0CE8">
              <w:t>Any AE leading to discontinuation of study treatment</w:t>
            </w:r>
          </w:p>
        </w:tc>
        <w:tc>
          <w:tcPr>
            <w:tcW w:w="1005" w:type="pct"/>
          </w:tcPr>
          <w:p w14:paraId="1CCF31E6" w14:textId="04A3FD2A" w:rsidR="00073118" w:rsidRPr="005F0CE8" w:rsidRDefault="00073118" w:rsidP="00073118">
            <w:pPr>
              <w:pStyle w:val="TableText0"/>
              <w:jc w:val="center"/>
            </w:pPr>
            <w:r w:rsidRPr="005F0CE8">
              <w:t>98/911 (10.8</w:t>
            </w:r>
            <w:r w:rsidR="00CC10D4" w:rsidRPr="005F0CE8">
              <w:t>%</w:t>
            </w:r>
            <w:r w:rsidRPr="005F0CE8">
              <w:t>)</w:t>
            </w:r>
          </w:p>
        </w:tc>
        <w:tc>
          <w:tcPr>
            <w:tcW w:w="1004" w:type="pct"/>
          </w:tcPr>
          <w:p w14:paraId="53B9F2EF" w14:textId="551C61B7" w:rsidR="00073118" w:rsidRPr="005F0CE8" w:rsidRDefault="00073118" w:rsidP="00073118">
            <w:pPr>
              <w:pStyle w:val="TableText0"/>
              <w:jc w:val="center"/>
            </w:pPr>
            <w:r w:rsidRPr="005F0CE8">
              <w:t>42/904 (4.6</w:t>
            </w:r>
            <w:r w:rsidR="00CC10D4" w:rsidRPr="005F0CE8">
              <w:t>%</w:t>
            </w:r>
            <w:r w:rsidRPr="005F0CE8">
              <w:t>)</w:t>
            </w:r>
          </w:p>
        </w:tc>
        <w:tc>
          <w:tcPr>
            <w:tcW w:w="1213" w:type="pct"/>
          </w:tcPr>
          <w:p w14:paraId="1FA9A560" w14:textId="78272E2C" w:rsidR="00073118" w:rsidRPr="005F0CE8" w:rsidRDefault="00073118" w:rsidP="00073118">
            <w:pPr>
              <w:pStyle w:val="TableText0"/>
              <w:jc w:val="center"/>
              <w:rPr>
                <w:b/>
                <w:bCs w:val="0"/>
              </w:rPr>
            </w:pPr>
            <w:r w:rsidRPr="005F0CE8">
              <w:rPr>
                <w:b/>
                <w:bCs w:val="0"/>
              </w:rPr>
              <w:t>2.3</w:t>
            </w:r>
            <w:r w:rsidR="00CC10D4" w:rsidRPr="005F0CE8">
              <w:rPr>
                <w:b/>
                <w:bCs w:val="0"/>
              </w:rPr>
              <w:t>2</w:t>
            </w:r>
            <w:r w:rsidRPr="005F0CE8">
              <w:rPr>
                <w:b/>
                <w:bCs w:val="0"/>
              </w:rPr>
              <w:t xml:space="preserve"> (1.63, 3.28)</w:t>
            </w:r>
          </w:p>
        </w:tc>
      </w:tr>
      <w:tr w:rsidR="00073118" w:rsidRPr="005F0CE8" w14:paraId="2961E7DD" w14:textId="77777777" w:rsidTr="005C5310">
        <w:trPr>
          <w:gridAfter w:val="1"/>
          <w:wAfter w:w="3" w:type="pct"/>
          <w:cantSplit/>
        </w:trPr>
        <w:tc>
          <w:tcPr>
            <w:tcW w:w="1775" w:type="pct"/>
          </w:tcPr>
          <w:p w14:paraId="17A7F82B" w14:textId="0DBF27AD" w:rsidR="00073118" w:rsidRPr="005F0CE8" w:rsidRDefault="00073118" w:rsidP="00073118">
            <w:pPr>
              <w:pStyle w:val="TableText0"/>
            </w:pPr>
            <w:r w:rsidRPr="005F0CE8">
              <w:t>Any AE leading to dose reduction</w:t>
            </w:r>
          </w:p>
        </w:tc>
        <w:tc>
          <w:tcPr>
            <w:tcW w:w="1005" w:type="pct"/>
          </w:tcPr>
          <w:p w14:paraId="21E8512F" w14:textId="77C050E3" w:rsidR="00073118" w:rsidRPr="005F0CE8" w:rsidRDefault="00073118" w:rsidP="00073118">
            <w:pPr>
              <w:pStyle w:val="TableText0"/>
              <w:jc w:val="center"/>
            </w:pPr>
            <w:r w:rsidRPr="005F0CE8">
              <w:t>213/911 (23.4</w:t>
            </w:r>
            <w:r w:rsidR="00CC10D4" w:rsidRPr="005F0CE8">
              <w:t>%</w:t>
            </w:r>
            <w:r w:rsidRPr="005F0CE8">
              <w:t>)</w:t>
            </w:r>
          </w:p>
        </w:tc>
        <w:tc>
          <w:tcPr>
            <w:tcW w:w="1004" w:type="pct"/>
          </w:tcPr>
          <w:p w14:paraId="687F2E18" w14:textId="6719B791" w:rsidR="00073118" w:rsidRPr="005F0CE8" w:rsidRDefault="00073118" w:rsidP="00073118">
            <w:pPr>
              <w:pStyle w:val="TableText0"/>
              <w:jc w:val="center"/>
            </w:pPr>
            <w:r w:rsidRPr="005F0CE8">
              <w:t>33/904 (3.7</w:t>
            </w:r>
            <w:r w:rsidR="00CC10D4" w:rsidRPr="005F0CE8">
              <w:t>%</w:t>
            </w:r>
            <w:r w:rsidRPr="005F0CE8">
              <w:t>)</w:t>
            </w:r>
          </w:p>
        </w:tc>
        <w:tc>
          <w:tcPr>
            <w:tcW w:w="1213" w:type="pct"/>
          </w:tcPr>
          <w:p w14:paraId="72184D7F" w14:textId="2ACE7840" w:rsidR="00073118" w:rsidRPr="005F0CE8" w:rsidRDefault="00073118" w:rsidP="00073118">
            <w:pPr>
              <w:pStyle w:val="TableText0"/>
              <w:jc w:val="center"/>
              <w:rPr>
                <w:b/>
                <w:bCs w:val="0"/>
              </w:rPr>
            </w:pPr>
            <w:r w:rsidRPr="005F0CE8">
              <w:rPr>
                <w:b/>
                <w:bCs w:val="0"/>
              </w:rPr>
              <w:t>6.40 (4.49, 9.13)</w:t>
            </w:r>
          </w:p>
        </w:tc>
      </w:tr>
      <w:tr w:rsidR="00073118" w:rsidRPr="005F0CE8" w14:paraId="1484B6FB" w14:textId="77777777" w:rsidTr="005C5310">
        <w:trPr>
          <w:gridAfter w:val="1"/>
          <w:wAfter w:w="3" w:type="pct"/>
          <w:cantSplit/>
        </w:trPr>
        <w:tc>
          <w:tcPr>
            <w:tcW w:w="1775" w:type="pct"/>
          </w:tcPr>
          <w:p w14:paraId="09C1F838" w14:textId="48B726BA" w:rsidR="00073118" w:rsidRPr="005F0CE8" w:rsidRDefault="00073118" w:rsidP="00073118">
            <w:pPr>
              <w:pStyle w:val="TableText0"/>
            </w:pPr>
            <w:r w:rsidRPr="005F0CE8">
              <w:t>Any AE leading to dose interruption</w:t>
            </w:r>
          </w:p>
        </w:tc>
        <w:tc>
          <w:tcPr>
            <w:tcW w:w="1005" w:type="pct"/>
          </w:tcPr>
          <w:p w14:paraId="715C288C" w14:textId="4AD6941E" w:rsidR="00073118" w:rsidRPr="005F0CE8" w:rsidRDefault="00073118" w:rsidP="00073118">
            <w:pPr>
              <w:pStyle w:val="TableText0"/>
              <w:jc w:val="center"/>
            </w:pPr>
            <w:r w:rsidRPr="005F0CE8">
              <w:t>286/911 (31.4</w:t>
            </w:r>
            <w:r w:rsidR="00CC10D4" w:rsidRPr="005F0CE8">
              <w:t>%</w:t>
            </w:r>
            <w:r w:rsidRPr="005F0CE8">
              <w:t>)</w:t>
            </w:r>
          </w:p>
        </w:tc>
        <w:tc>
          <w:tcPr>
            <w:tcW w:w="1004" w:type="pct"/>
          </w:tcPr>
          <w:p w14:paraId="778C8981" w14:textId="3A75B4C2" w:rsidR="00073118" w:rsidRPr="005F0CE8" w:rsidRDefault="00073118" w:rsidP="00073118">
            <w:pPr>
              <w:pStyle w:val="TableText0"/>
              <w:jc w:val="center"/>
            </w:pPr>
            <w:r w:rsidRPr="005F0CE8">
              <w:t>99/904 (11.0</w:t>
            </w:r>
            <w:r w:rsidR="00CC10D4" w:rsidRPr="005F0CE8">
              <w:t>%</w:t>
            </w:r>
            <w:r w:rsidRPr="005F0CE8">
              <w:t>)</w:t>
            </w:r>
          </w:p>
        </w:tc>
        <w:tc>
          <w:tcPr>
            <w:tcW w:w="1213" w:type="pct"/>
          </w:tcPr>
          <w:p w14:paraId="6584036F" w14:textId="2862F0BF" w:rsidR="00073118" w:rsidRPr="005F0CE8" w:rsidRDefault="00073118" w:rsidP="00073118">
            <w:pPr>
              <w:pStyle w:val="TableText0"/>
              <w:jc w:val="center"/>
              <w:rPr>
                <w:b/>
                <w:bCs w:val="0"/>
              </w:rPr>
            </w:pPr>
            <w:r w:rsidRPr="005F0CE8">
              <w:rPr>
                <w:b/>
                <w:bCs w:val="0"/>
              </w:rPr>
              <w:t>2.8</w:t>
            </w:r>
            <w:r w:rsidR="00CC10D4" w:rsidRPr="005F0CE8">
              <w:rPr>
                <w:b/>
                <w:bCs w:val="0"/>
              </w:rPr>
              <w:t>7</w:t>
            </w:r>
            <w:r w:rsidRPr="005F0CE8">
              <w:rPr>
                <w:b/>
                <w:bCs w:val="0"/>
              </w:rPr>
              <w:t xml:space="preserve"> (2.3</w:t>
            </w:r>
            <w:r w:rsidR="00CC10D4" w:rsidRPr="005F0CE8">
              <w:rPr>
                <w:b/>
                <w:bCs w:val="0"/>
              </w:rPr>
              <w:t>3</w:t>
            </w:r>
            <w:r w:rsidRPr="005F0CE8">
              <w:rPr>
                <w:b/>
                <w:bCs w:val="0"/>
              </w:rPr>
              <w:t>, 3.53)</w:t>
            </w:r>
          </w:p>
        </w:tc>
      </w:tr>
    </w:tbl>
    <w:p w14:paraId="77C50B03" w14:textId="77777777" w:rsidR="00073118" w:rsidRPr="005F0CE8" w:rsidRDefault="00073118" w:rsidP="005C5310">
      <w:pPr>
        <w:pStyle w:val="FooterTableFigure"/>
        <w:keepNext/>
        <w:rPr>
          <w:sz w:val="20"/>
        </w:rPr>
      </w:pPr>
      <w:bookmarkStart w:id="61" w:name="_Toc22897643"/>
      <w:r w:rsidRPr="005F0CE8">
        <w:t>Source: Table 2.23, p77 of the submission.</w:t>
      </w:r>
    </w:p>
    <w:p w14:paraId="46988013" w14:textId="502CE3A5" w:rsidR="00073118" w:rsidRPr="005F0CE8" w:rsidRDefault="00073118" w:rsidP="00DB2BE9">
      <w:pPr>
        <w:pStyle w:val="FooterTableFigure"/>
        <w:rPr>
          <w:rFonts w:eastAsia="Calibri"/>
        </w:rPr>
      </w:pPr>
      <w:r w:rsidRPr="005F0CE8">
        <w:rPr>
          <w:rFonts w:eastAsia="Calibri"/>
        </w:rPr>
        <w:t>AE = adverse event</w:t>
      </w:r>
      <w:r w:rsidR="00CF3B0C" w:rsidRPr="005F0CE8">
        <w:rPr>
          <w:rFonts w:eastAsia="Calibri"/>
        </w:rPr>
        <w:t>,</w:t>
      </w:r>
      <w:r w:rsidRPr="005F0CE8">
        <w:rPr>
          <w:rFonts w:eastAsia="Calibri"/>
        </w:rPr>
        <w:t xml:space="preserve"> CTCAE = common terminology criteria for adverse events</w:t>
      </w:r>
      <w:r w:rsidR="00CF3B0C" w:rsidRPr="005F0CE8">
        <w:rPr>
          <w:rFonts w:eastAsia="Calibri"/>
        </w:rPr>
        <w:t>,</w:t>
      </w:r>
      <w:r w:rsidRPr="005F0CE8">
        <w:rPr>
          <w:rFonts w:eastAsia="Calibri"/>
        </w:rPr>
        <w:t xml:space="preserve"> CI = confidence interval</w:t>
      </w:r>
      <w:r w:rsidR="00CF3B0C" w:rsidRPr="005F0CE8">
        <w:rPr>
          <w:rFonts w:eastAsia="Calibri"/>
        </w:rPr>
        <w:t>,</w:t>
      </w:r>
      <w:r w:rsidRPr="005F0CE8">
        <w:rPr>
          <w:rFonts w:eastAsia="Calibri"/>
        </w:rPr>
        <w:t xml:space="preserve"> N = total participants in group</w:t>
      </w:r>
      <w:r w:rsidR="00CF3B0C" w:rsidRPr="005F0CE8">
        <w:rPr>
          <w:rFonts w:eastAsia="Calibri"/>
        </w:rPr>
        <w:t>,</w:t>
      </w:r>
      <w:r w:rsidRPr="005F0CE8">
        <w:rPr>
          <w:rFonts w:eastAsia="Calibri"/>
        </w:rPr>
        <w:t xml:space="preserve"> RR = relative risk</w:t>
      </w:r>
      <w:r w:rsidR="00CF3B0C" w:rsidRPr="005F0CE8">
        <w:rPr>
          <w:rFonts w:eastAsia="Calibri"/>
        </w:rPr>
        <w:t>,</w:t>
      </w:r>
      <w:r w:rsidRPr="005F0CE8">
        <w:rPr>
          <w:rFonts w:eastAsia="Calibri"/>
        </w:rPr>
        <w:t xml:space="preserve"> SAE = serious adverse event.</w:t>
      </w:r>
    </w:p>
    <w:p w14:paraId="09002A01" w14:textId="6119CF64" w:rsidR="00073118" w:rsidRPr="005F0CE8" w:rsidRDefault="00073118" w:rsidP="00073118">
      <w:pPr>
        <w:pStyle w:val="Caption"/>
      </w:pPr>
      <w:bookmarkStart w:id="62" w:name="_Ref121013849"/>
      <w:r w:rsidRPr="005F0CE8">
        <w:t xml:space="preserve">Table </w:t>
      </w:r>
      <w:fldSimple w:instr=" SEQ Table \* ARABIC ">
        <w:r w:rsidR="00AB6006">
          <w:rPr>
            <w:noProof/>
          </w:rPr>
          <w:t>11</w:t>
        </w:r>
      </w:fldSimple>
      <w:bookmarkEnd w:id="62"/>
      <w:r w:rsidRPr="005F0CE8">
        <w:t>: Most common grade 3 or higher AEs in the OlympiA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230"/>
        <w:gridCol w:w="2229"/>
        <w:gridCol w:w="2225"/>
      </w:tblGrid>
      <w:tr w:rsidR="00CD3774" w:rsidRPr="005F0CE8" w14:paraId="2D6EACB5" w14:textId="77777777" w:rsidTr="008323C3">
        <w:trPr>
          <w:tblHeader/>
        </w:trPr>
        <w:tc>
          <w:tcPr>
            <w:tcW w:w="2333" w:type="dxa"/>
            <w:vAlign w:val="center"/>
          </w:tcPr>
          <w:p w14:paraId="3FED7840" w14:textId="77777777" w:rsidR="00CD3774" w:rsidRPr="005F0CE8" w:rsidRDefault="00CD3774" w:rsidP="00CD3774">
            <w:pPr>
              <w:pStyle w:val="In-tableHeading"/>
              <w:rPr>
                <w:lang w:val="en-AU"/>
              </w:rPr>
            </w:pPr>
            <w:r w:rsidRPr="005F0CE8">
              <w:rPr>
                <w:lang w:val="en-AU"/>
              </w:rPr>
              <w:t>Trial ID</w:t>
            </w:r>
          </w:p>
        </w:tc>
        <w:tc>
          <w:tcPr>
            <w:tcW w:w="2230" w:type="dxa"/>
            <w:vAlign w:val="center"/>
          </w:tcPr>
          <w:p w14:paraId="6F92CADD" w14:textId="77777777" w:rsidR="00CD3774" w:rsidRPr="005F0CE8" w:rsidRDefault="00CD3774" w:rsidP="00CD3774">
            <w:pPr>
              <w:pStyle w:val="In-tableHeading"/>
              <w:jc w:val="center"/>
              <w:rPr>
                <w:lang w:val="en-AU"/>
              </w:rPr>
            </w:pPr>
            <w:r w:rsidRPr="005F0CE8">
              <w:rPr>
                <w:lang w:val="en-AU"/>
              </w:rPr>
              <w:t>Olaparib</w:t>
            </w:r>
          </w:p>
          <w:p w14:paraId="4F792683" w14:textId="6D7D71A6" w:rsidR="00CD3774" w:rsidRPr="005F0CE8" w:rsidRDefault="00CD3774" w:rsidP="00CD3774">
            <w:pPr>
              <w:pStyle w:val="In-tableHeading"/>
              <w:jc w:val="center"/>
              <w:rPr>
                <w:lang w:val="en-AU"/>
              </w:rPr>
            </w:pPr>
            <w:r w:rsidRPr="005F0CE8">
              <w:rPr>
                <w:lang w:val="en-AU"/>
              </w:rPr>
              <w:t>n with event/N (%)</w:t>
            </w:r>
          </w:p>
        </w:tc>
        <w:tc>
          <w:tcPr>
            <w:tcW w:w="2229" w:type="dxa"/>
            <w:vAlign w:val="center"/>
          </w:tcPr>
          <w:p w14:paraId="790AB19C" w14:textId="77777777" w:rsidR="00CD3774" w:rsidRPr="005F0CE8" w:rsidRDefault="00CD3774" w:rsidP="00CD3774">
            <w:pPr>
              <w:pStyle w:val="In-tableHeading"/>
              <w:jc w:val="center"/>
              <w:rPr>
                <w:lang w:val="en-AU"/>
              </w:rPr>
            </w:pPr>
            <w:r w:rsidRPr="005F0CE8">
              <w:rPr>
                <w:lang w:val="en-AU"/>
              </w:rPr>
              <w:t>Placebo</w:t>
            </w:r>
          </w:p>
          <w:p w14:paraId="7C1BF2D1" w14:textId="2A4CA7A8" w:rsidR="00CD3774" w:rsidRPr="005F0CE8" w:rsidRDefault="00CD3774" w:rsidP="00CD3774">
            <w:pPr>
              <w:pStyle w:val="In-tableHeading"/>
              <w:jc w:val="center"/>
              <w:rPr>
                <w:lang w:val="en-AU"/>
              </w:rPr>
            </w:pPr>
            <w:r w:rsidRPr="005F0CE8">
              <w:rPr>
                <w:lang w:val="en-AU"/>
              </w:rPr>
              <w:t>n with event/N (%)</w:t>
            </w:r>
          </w:p>
        </w:tc>
        <w:tc>
          <w:tcPr>
            <w:tcW w:w="2225" w:type="dxa"/>
            <w:vAlign w:val="center"/>
          </w:tcPr>
          <w:p w14:paraId="573F2B58" w14:textId="77777777" w:rsidR="00CD3774" w:rsidRPr="005F0CE8" w:rsidRDefault="00CD3774" w:rsidP="00CD3774">
            <w:pPr>
              <w:pStyle w:val="In-tableHeading"/>
              <w:jc w:val="center"/>
              <w:rPr>
                <w:lang w:val="en-AU"/>
              </w:rPr>
            </w:pPr>
            <w:r w:rsidRPr="005F0CE8">
              <w:rPr>
                <w:lang w:val="en-AU"/>
              </w:rPr>
              <w:t>RR (95% CI)</w:t>
            </w:r>
          </w:p>
        </w:tc>
      </w:tr>
      <w:tr w:rsidR="00073118" w:rsidRPr="005F0CE8" w14:paraId="18166CB8" w14:textId="77777777" w:rsidTr="008323C3">
        <w:tc>
          <w:tcPr>
            <w:tcW w:w="9017" w:type="dxa"/>
            <w:gridSpan w:val="4"/>
            <w:vAlign w:val="center"/>
          </w:tcPr>
          <w:p w14:paraId="09E45826" w14:textId="77777777" w:rsidR="00073118" w:rsidRPr="005F0CE8" w:rsidRDefault="00073118" w:rsidP="003F1BBE">
            <w:pPr>
              <w:pStyle w:val="TableText0"/>
            </w:pPr>
            <w:r w:rsidRPr="005F0CE8">
              <w:t>OlympiA</w:t>
            </w:r>
          </w:p>
        </w:tc>
      </w:tr>
      <w:tr w:rsidR="00073118" w:rsidRPr="005F0CE8" w14:paraId="07D0C722" w14:textId="77777777" w:rsidTr="008323C3">
        <w:tc>
          <w:tcPr>
            <w:tcW w:w="2333" w:type="dxa"/>
          </w:tcPr>
          <w:p w14:paraId="2F558A30" w14:textId="77777777" w:rsidR="00073118" w:rsidRPr="005F0CE8" w:rsidRDefault="00073118" w:rsidP="003F1BBE">
            <w:pPr>
              <w:pStyle w:val="TableText0"/>
            </w:pPr>
            <w:r w:rsidRPr="005F0CE8">
              <w:t xml:space="preserve">Patients with AE of CTCAE Grade </w:t>
            </w:r>
            <w:r w:rsidRPr="005F0CE8">
              <w:rPr>
                <w:rFonts w:ascii="Symbol" w:eastAsia="Symbol" w:hAnsi="Symbol" w:cs="Symbol"/>
              </w:rPr>
              <w:t></w:t>
            </w:r>
            <w:r w:rsidRPr="005F0CE8">
              <w:t>3</w:t>
            </w:r>
          </w:p>
        </w:tc>
        <w:tc>
          <w:tcPr>
            <w:tcW w:w="2230" w:type="dxa"/>
          </w:tcPr>
          <w:p w14:paraId="7FA327E1" w14:textId="7A99436F" w:rsidR="00073118" w:rsidRPr="005F0CE8" w:rsidRDefault="00073118" w:rsidP="003F1BBE">
            <w:pPr>
              <w:pStyle w:val="TableText0"/>
              <w:jc w:val="center"/>
            </w:pPr>
            <w:r w:rsidRPr="005F0CE8">
              <w:t>223</w:t>
            </w:r>
            <w:r w:rsidR="00CD3774" w:rsidRPr="005F0CE8">
              <w:t xml:space="preserve">/911 </w:t>
            </w:r>
            <w:r w:rsidRPr="005F0CE8">
              <w:t>(24.5</w:t>
            </w:r>
            <w:r w:rsidR="004A64F0" w:rsidRPr="005F0CE8">
              <w:t>%</w:t>
            </w:r>
            <w:r w:rsidRPr="005F0CE8">
              <w:t>)</w:t>
            </w:r>
          </w:p>
        </w:tc>
        <w:tc>
          <w:tcPr>
            <w:tcW w:w="2229" w:type="dxa"/>
          </w:tcPr>
          <w:p w14:paraId="313DD7C7" w14:textId="01C03581" w:rsidR="00073118" w:rsidRPr="005F0CE8" w:rsidRDefault="00073118" w:rsidP="003F1BBE">
            <w:pPr>
              <w:pStyle w:val="TableText0"/>
              <w:jc w:val="center"/>
            </w:pPr>
            <w:r w:rsidRPr="005F0CE8">
              <w:t>102</w:t>
            </w:r>
            <w:r w:rsidR="00CD3774" w:rsidRPr="005F0CE8">
              <w:t xml:space="preserve">/904 </w:t>
            </w:r>
            <w:r w:rsidRPr="005F0CE8">
              <w:t>(11.3</w:t>
            </w:r>
            <w:r w:rsidR="004A64F0" w:rsidRPr="005F0CE8">
              <w:t>%</w:t>
            </w:r>
            <w:r w:rsidRPr="005F0CE8">
              <w:t>)</w:t>
            </w:r>
          </w:p>
        </w:tc>
        <w:tc>
          <w:tcPr>
            <w:tcW w:w="2225" w:type="dxa"/>
          </w:tcPr>
          <w:p w14:paraId="2C8BBCA5" w14:textId="10787D81" w:rsidR="00073118" w:rsidRPr="005F0CE8" w:rsidRDefault="00073118" w:rsidP="003F1BBE">
            <w:pPr>
              <w:pStyle w:val="TableText0"/>
              <w:jc w:val="center"/>
              <w:rPr>
                <w:b/>
                <w:bCs w:val="0"/>
              </w:rPr>
            </w:pPr>
            <w:r w:rsidRPr="005F0CE8">
              <w:rPr>
                <w:b/>
                <w:bCs w:val="0"/>
              </w:rPr>
              <w:t>2.1</w:t>
            </w:r>
            <w:r w:rsidR="00CC10D4" w:rsidRPr="005F0CE8">
              <w:rPr>
                <w:b/>
                <w:bCs w:val="0"/>
              </w:rPr>
              <w:t>7</w:t>
            </w:r>
            <w:r w:rsidRPr="005F0CE8">
              <w:rPr>
                <w:b/>
                <w:bCs w:val="0"/>
              </w:rPr>
              <w:t xml:space="preserve"> (1.7</w:t>
            </w:r>
            <w:r w:rsidR="00CC10D4" w:rsidRPr="005F0CE8">
              <w:rPr>
                <w:b/>
                <w:bCs w:val="0"/>
              </w:rPr>
              <w:t>5</w:t>
            </w:r>
            <w:r w:rsidRPr="005F0CE8">
              <w:rPr>
                <w:b/>
                <w:bCs w:val="0"/>
              </w:rPr>
              <w:t>, 2.69)</w:t>
            </w:r>
          </w:p>
        </w:tc>
      </w:tr>
      <w:tr w:rsidR="00073118" w:rsidRPr="005F0CE8" w14:paraId="549604F1" w14:textId="77777777" w:rsidTr="008323C3">
        <w:tc>
          <w:tcPr>
            <w:tcW w:w="2333" w:type="dxa"/>
          </w:tcPr>
          <w:p w14:paraId="6F7417E0" w14:textId="77777777" w:rsidR="00073118" w:rsidRPr="005F0CE8" w:rsidRDefault="00073118" w:rsidP="003F1BBE">
            <w:pPr>
              <w:pStyle w:val="TableText0"/>
            </w:pPr>
            <w:r w:rsidRPr="005F0CE8">
              <w:t>Anaemia</w:t>
            </w:r>
          </w:p>
        </w:tc>
        <w:tc>
          <w:tcPr>
            <w:tcW w:w="2230" w:type="dxa"/>
          </w:tcPr>
          <w:p w14:paraId="53C4D2E0" w14:textId="0F28A33E" w:rsidR="00073118" w:rsidRPr="005F0CE8" w:rsidRDefault="00073118" w:rsidP="003F1BBE">
            <w:pPr>
              <w:pStyle w:val="TableText0"/>
              <w:jc w:val="center"/>
            </w:pPr>
            <w:r w:rsidRPr="005F0CE8">
              <w:t>79</w:t>
            </w:r>
            <w:r w:rsidR="00CD3774" w:rsidRPr="005F0CE8">
              <w:t>/911</w:t>
            </w:r>
            <w:r w:rsidRPr="005F0CE8">
              <w:t xml:space="preserve"> (8.7%)</w:t>
            </w:r>
          </w:p>
        </w:tc>
        <w:tc>
          <w:tcPr>
            <w:tcW w:w="2229" w:type="dxa"/>
          </w:tcPr>
          <w:p w14:paraId="40DAC7CC" w14:textId="52C992F9" w:rsidR="00073118" w:rsidRPr="005F0CE8" w:rsidRDefault="00073118" w:rsidP="003F1BBE">
            <w:pPr>
              <w:pStyle w:val="TableText0"/>
              <w:jc w:val="center"/>
            </w:pPr>
            <w:r w:rsidRPr="005F0CE8">
              <w:t>3</w:t>
            </w:r>
            <w:r w:rsidR="00CD3774" w:rsidRPr="005F0CE8">
              <w:t>/904</w:t>
            </w:r>
            <w:r w:rsidRPr="005F0CE8">
              <w:t xml:space="preserve"> (0.3%)</w:t>
            </w:r>
          </w:p>
        </w:tc>
        <w:tc>
          <w:tcPr>
            <w:tcW w:w="2225" w:type="dxa"/>
            <w:vAlign w:val="center"/>
          </w:tcPr>
          <w:p w14:paraId="242FB095" w14:textId="7F779216" w:rsidR="00073118" w:rsidRPr="005F0CE8" w:rsidRDefault="00CD3774" w:rsidP="003F1BBE">
            <w:pPr>
              <w:pStyle w:val="TableText0"/>
              <w:jc w:val="center"/>
              <w:rPr>
                <w:b/>
                <w:bCs w:val="0"/>
              </w:rPr>
            </w:pPr>
            <w:r w:rsidRPr="005F0CE8">
              <w:rPr>
                <w:b/>
                <w:bCs w:val="0"/>
              </w:rPr>
              <w:t>26.13 (8.28, 82.46)</w:t>
            </w:r>
          </w:p>
        </w:tc>
      </w:tr>
      <w:tr w:rsidR="00073118" w:rsidRPr="005F0CE8" w14:paraId="4B7C88D9" w14:textId="77777777" w:rsidTr="008323C3">
        <w:tc>
          <w:tcPr>
            <w:tcW w:w="2333" w:type="dxa"/>
          </w:tcPr>
          <w:p w14:paraId="1A486FF7" w14:textId="77777777" w:rsidR="00073118" w:rsidRPr="005F0CE8" w:rsidRDefault="00073118" w:rsidP="003F1BBE">
            <w:pPr>
              <w:pStyle w:val="TableText0"/>
            </w:pPr>
            <w:r w:rsidRPr="005F0CE8">
              <w:t>Neutrophil count decrease</w:t>
            </w:r>
          </w:p>
        </w:tc>
        <w:tc>
          <w:tcPr>
            <w:tcW w:w="2230" w:type="dxa"/>
          </w:tcPr>
          <w:p w14:paraId="67FC051C" w14:textId="250B2C76" w:rsidR="00073118" w:rsidRPr="005F0CE8" w:rsidRDefault="00073118" w:rsidP="003F1BBE">
            <w:pPr>
              <w:pStyle w:val="TableText0"/>
              <w:jc w:val="center"/>
            </w:pPr>
            <w:r w:rsidRPr="005F0CE8">
              <w:t>45</w:t>
            </w:r>
            <w:r w:rsidR="00CD3774" w:rsidRPr="005F0CE8">
              <w:t>/911</w:t>
            </w:r>
            <w:r w:rsidRPr="005F0CE8">
              <w:t xml:space="preserve"> (4.9%)</w:t>
            </w:r>
          </w:p>
        </w:tc>
        <w:tc>
          <w:tcPr>
            <w:tcW w:w="2229" w:type="dxa"/>
          </w:tcPr>
          <w:p w14:paraId="4A5CEDB8" w14:textId="1A183041" w:rsidR="00073118" w:rsidRPr="005F0CE8" w:rsidRDefault="00073118" w:rsidP="003F1BBE">
            <w:pPr>
              <w:pStyle w:val="TableText0"/>
              <w:jc w:val="center"/>
            </w:pPr>
            <w:r w:rsidRPr="005F0CE8">
              <w:t>7</w:t>
            </w:r>
            <w:r w:rsidR="00CD3774" w:rsidRPr="005F0CE8">
              <w:t>/904</w:t>
            </w:r>
            <w:r w:rsidRPr="005F0CE8">
              <w:t xml:space="preserve"> (0.8%)</w:t>
            </w:r>
          </w:p>
        </w:tc>
        <w:tc>
          <w:tcPr>
            <w:tcW w:w="2225" w:type="dxa"/>
            <w:vAlign w:val="center"/>
          </w:tcPr>
          <w:p w14:paraId="6A1890EB" w14:textId="12756773" w:rsidR="00073118" w:rsidRPr="005F0CE8" w:rsidRDefault="00CD3774" w:rsidP="003F1BBE">
            <w:pPr>
              <w:pStyle w:val="TableText0"/>
              <w:jc w:val="center"/>
              <w:rPr>
                <w:b/>
                <w:bCs w:val="0"/>
              </w:rPr>
            </w:pPr>
            <w:r w:rsidRPr="005F0CE8">
              <w:rPr>
                <w:b/>
                <w:bCs w:val="0"/>
              </w:rPr>
              <w:t>6.3</w:t>
            </w:r>
            <w:r w:rsidR="00CC10D4" w:rsidRPr="005F0CE8">
              <w:rPr>
                <w:b/>
                <w:bCs w:val="0"/>
              </w:rPr>
              <w:t>8</w:t>
            </w:r>
            <w:r w:rsidRPr="005F0CE8">
              <w:rPr>
                <w:b/>
                <w:bCs w:val="0"/>
              </w:rPr>
              <w:t xml:space="preserve"> (2.89, 14.07)</w:t>
            </w:r>
          </w:p>
        </w:tc>
      </w:tr>
      <w:tr w:rsidR="00073118" w:rsidRPr="005F0CE8" w14:paraId="7AE9DD80" w14:textId="77777777" w:rsidTr="008323C3">
        <w:tc>
          <w:tcPr>
            <w:tcW w:w="2333" w:type="dxa"/>
          </w:tcPr>
          <w:p w14:paraId="039AC1E1" w14:textId="77777777" w:rsidR="00073118" w:rsidRPr="005F0CE8" w:rsidRDefault="00073118" w:rsidP="003F1BBE">
            <w:pPr>
              <w:pStyle w:val="TableText0"/>
            </w:pPr>
            <w:r w:rsidRPr="005F0CE8">
              <w:t>White blood cell count decrease</w:t>
            </w:r>
          </w:p>
        </w:tc>
        <w:tc>
          <w:tcPr>
            <w:tcW w:w="2230" w:type="dxa"/>
          </w:tcPr>
          <w:p w14:paraId="630C8E6E" w14:textId="38B56FC9" w:rsidR="00073118" w:rsidRPr="005F0CE8" w:rsidRDefault="00073118" w:rsidP="003F1BBE">
            <w:pPr>
              <w:pStyle w:val="TableText0"/>
              <w:jc w:val="center"/>
            </w:pPr>
            <w:r w:rsidRPr="005F0CE8">
              <w:t>27</w:t>
            </w:r>
            <w:r w:rsidR="00CD3774" w:rsidRPr="005F0CE8">
              <w:t>/911</w:t>
            </w:r>
            <w:r w:rsidRPr="005F0CE8">
              <w:t xml:space="preserve"> (3.0%)</w:t>
            </w:r>
          </w:p>
        </w:tc>
        <w:tc>
          <w:tcPr>
            <w:tcW w:w="2229" w:type="dxa"/>
          </w:tcPr>
          <w:p w14:paraId="73C10CEA" w14:textId="2CFFE044" w:rsidR="00073118" w:rsidRPr="005F0CE8" w:rsidRDefault="00073118" w:rsidP="003F1BBE">
            <w:pPr>
              <w:pStyle w:val="TableText0"/>
              <w:jc w:val="center"/>
            </w:pPr>
            <w:r w:rsidRPr="005F0CE8">
              <w:t>3</w:t>
            </w:r>
            <w:r w:rsidR="00CD3774" w:rsidRPr="005F0CE8">
              <w:t>/904</w:t>
            </w:r>
            <w:r w:rsidRPr="005F0CE8">
              <w:t xml:space="preserve"> (0.3%)</w:t>
            </w:r>
          </w:p>
        </w:tc>
        <w:tc>
          <w:tcPr>
            <w:tcW w:w="2225" w:type="dxa"/>
          </w:tcPr>
          <w:p w14:paraId="50196FFB" w14:textId="158703AD" w:rsidR="00073118" w:rsidRPr="005F0CE8" w:rsidRDefault="00CD3774" w:rsidP="003F1BBE">
            <w:pPr>
              <w:pStyle w:val="TableText0"/>
              <w:jc w:val="center"/>
              <w:rPr>
                <w:b/>
                <w:bCs w:val="0"/>
              </w:rPr>
            </w:pPr>
            <w:r w:rsidRPr="005F0CE8">
              <w:rPr>
                <w:b/>
                <w:bCs w:val="0"/>
              </w:rPr>
              <w:t>8.93 (2.7</w:t>
            </w:r>
            <w:r w:rsidR="00CC10D4" w:rsidRPr="005F0CE8">
              <w:rPr>
                <w:b/>
                <w:bCs w:val="0"/>
              </w:rPr>
              <w:t>2</w:t>
            </w:r>
            <w:r w:rsidRPr="005F0CE8">
              <w:rPr>
                <w:b/>
                <w:bCs w:val="0"/>
              </w:rPr>
              <w:t>, 29.33)</w:t>
            </w:r>
          </w:p>
        </w:tc>
      </w:tr>
      <w:tr w:rsidR="00073118" w:rsidRPr="005F0CE8" w14:paraId="2AF76288" w14:textId="77777777" w:rsidTr="008323C3">
        <w:tc>
          <w:tcPr>
            <w:tcW w:w="2333" w:type="dxa"/>
          </w:tcPr>
          <w:p w14:paraId="78E37839" w14:textId="77777777" w:rsidR="00073118" w:rsidRPr="005F0CE8" w:rsidRDefault="00073118" w:rsidP="003F1BBE">
            <w:pPr>
              <w:pStyle w:val="TableText0"/>
            </w:pPr>
            <w:r w:rsidRPr="005F0CE8">
              <w:t>Fatigue</w:t>
            </w:r>
          </w:p>
        </w:tc>
        <w:tc>
          <w:tcPr>
            <w:tcW w:w="2230" w:type="dxa"/>
          </w:tcPr>
          <w:p w14:paraId="4988254F" w14:textId="238E3190" w:rsidR="00073118" w:rsidRPr="005F0CE8" w:rsidRDefault="00073118" w:rsidP="003F1BBE">
            <w:pPr>
              <w:pStyle w:val="TableText0"/>
              <w:jc w:val="center"/>
            </w:pPr>
            <w:r w:rsidRPr="005F0CE8">
              <w:t>16</w:t>
            </w:r>
            <w:r w:rsidR="00CD3774" w:rsidRPr="005F0CE8">
              <w:t>/911</w:t>
            </w:r>
            <w:r w:rsidRPr="005F0CE8">
              <w:t xml:space="preserve"> (1.8%)</w:t>
            </w:r>
          </w:p>
        </w:tc>
        <w:tc>
          <w:tcPr>
            <w:tcW w:w="2229" w:type="dxa"/>
          </w:tcPr>
          <w:p w14:paraId="070C1242" w14:textId="3A0CB623" w:rsidR="00073118" w:rsidRPr="005F0CE8" w:rsidRDefault="00073118" w:rsidP="003F1BBE">
            <w:pPr>
              <w:pStyle w:val="TableText0"/>
              <w:jc w:val="center"/>
            </w:pPr>
            <w:r w:rsidRPr="005F0CE8">
              <w:t xml:space="preserve">6 </w:t>
            </w:r>
            <w:r w:rsidR="00CD3774" w:rsidRPr="005F0CE8">
              <w:t xml:space="preserve">/904 </w:t>
            </w:r>
            <w:r w:rsidRPr="005F0CE8">
              <w:t>(0.7%)</w:t>
            </w:r>
          </w:p>
        </w:tc>
        <w:tc>
          <w:tcPr>
            <w:tcW w:w="2225" w:type="dxa"/>
          </w:tcPr>
          <w:p w14:paraId="7525172F" w14:textId="7E36476B" w:rsidR="00073118" w:rsidRPr="005F0CE8" w:rsidRDefault="00CD3774" w:rsidP="003F1BBE">
            <w:pPr>
              <w:pStyle w:val="TableText0"/>
              <w:jc w:val="center"/>
              <w:rPr>
                <w:b/>
                <w:bCs w:val="0"/>
              </w:rPr>
            </w:pPr>
            <w:r w:rsidRPr="005F0CE8">
              <w:rPr>
                <w:b/>
                <w:bCs w:val="0"/>
              </w:rPr>
              <w:t>2.6</w:t>
            </w:r>
            <w:r w:rsidR="00CC10D4" w:rsidRPr="005F0CE8">
              <w:rPr>
                <w:b/>
                <w:bCs w:val="0"/>
              </w:rPr>
              <w:t>5</w:t>
            </w:r>
            <w:r w:rsidRPr="005F0CE8">
              <w:rPr>
                <w:b/>
                <w:bCs w:val="0"/>
              </w:rPr>
              <w:t xml:space="preserve"> (1.04, 6.73</w:t>
            </w:r>
            <w:r w:rsidR="00CC10D4" w:rsidRPr="005F0CE8">
              <w:rPr>
                <w:b/>
                <w:bCs w:val="0"/>
              </w:rPr>
              <w:t>)</w:t>
            </w:r>
          </w:p>
        </w:tc>
      </w:tr>
    </w:tbl>
    <w:p w14:paraId="1D0ED770" w14:textId="77777777" w:rsidR="00CD3774" w:rsidRPr="005F0CE8" w:rsidRDefault="00CD3774" w:rsidP="00CD3774">
      <w:pPr>
        <w:pStyle w:val="FooterTableFigure"/>
      </w:pPr>
      <w:r w:rsidRPr="005F0CE8">
        <w:t>Source: Table 14.3.2.18, p323 of the OlympiA trial CSR tfls part C</w:t>
      </w:r>
    </w:p>
    <w:p w14:paraId="53458F1F" w14:textId="652614D2" w:rsidR="007473EB" w:rsidRPr="00DB2BE9" w:rsidRDefault="00CD3774" w:rsidP="00DB2BE9">
      <w:pPr>
        <w:pStyle w:val="FooterTableFigure"/>
        <w:rPr>
          <w:rStyle w:val="CommentReference"/>
          <w:rFonts w:eastAsia="Calibri"/>
          <w:b w:val="0"/>
          <w:sz w:val="18"/>
          <w:szCs w:val="22"/>
        </w:rPr>
      </w:pPr>
      <w:r w:rsidRPr="005F0CE8">
        <w:t>AE = adverse event</w:t>
      </w:r>
      <w:r w:rsidR="00CF3B0C" w:rsidRPr="005F0CE8">
        <w:t>,</w:t>
      </w:r>
      <w:r w:rsidRPr="005F0CE8">
        <w:t xml:space="preserve"> </w:t>
      </w:r>
      <w:r w:rsidRPr="005F0CE8">
        <w:rPr>
          <w:rFonts w:eastAsia="Calibri"/>
        </w:rPr>
        <w:t>CTCAE = common terminology criteria for adverse events</w:t>
      </w:r>
      <w:r w:rsidR="00CF3B0C" w:rsidRPr="005F0CE8">
        <w:rPr>
          <w:rFonts w:eastAsia="Calibri"/>
        </w:rPr>
        <w:t>,</w:t>
      </w:r>
      <w:r w:rsidRPr="005F0CE8">
        <w:rPr>
          <w:rFonts w:eastAsia="Calibri"/>
        </w:rPr>
        <w:t xml:space="preserve"> CI = confidence interval</w:t>
      </w:r>
      <w:r w:rsidR="00CF3B0C" w:rsidRPr="005F0CE8">
        <w:rPr>
          <w:rFonts w:eastAsia="Calibri"/>
        </w:rPr>
        <w:t>,</w:t>
      </w:r>
      <w:r w:rsidRPr="005F0CE8">
        <w:rPr>
          <w:rFonts w:eastAsia="Calibri"/>
        </w:rPr>
        <w:t xml:space="preserve"> N = total participants in group</w:t>
      </w:r>
      <w:r w:rsidR="00CF3B0C" w:rsidRPr="005F0CE8">
        <w:rPr>
          <w:rFonts w:eastAsia="Calibri"/>
        </w:rPr>
        <w:t>,</w:t>
      </w:r>
      <w:r w:rsidRPr="005F0CE8">
        <w:rPr>
          <w:rFonts w:eastAsia="Calibri"/>
        </w:rPr>
        <w:t xml:space="preserve"> RR = relative risk. </w:t>
      </w:r>
      <w:bookmarkEnd w:id="61"/>
    </w:p>
    <w:p w14:paraId="2B42AC33" w14:textId="4266010C" w:rsidR="00FB50D1" w:rsidRPr="005F0CE8" w:rsidRDefault="00FB50D1" w:rsidP="00477BB3">
      <w:pPr>
        <w:pStyle w:val="3-BodyText"/>
        <w:rPr>
          <w:rStyle w:val="CommentReference"/>
          <w:rFonts w:ascii="Calibri" w:hAnsi="Calibri" w:cs="Calibri"/>
          <w:b w:val="0"/>
          <w:sz w:val="24"/>
          <w:szCs w:val="24"/>
        </w:rPr>
      </w:pPr>
      <w:r w:rsidRPr="005F0CE8">
        <w:rPr>
          <w:rStyle w:val="CommentReference"/>
          <w:rFonts w:ascii="Calibri" w:hAnsi="Calibri" w:cs="Calibri"/>
          <w:b w:val="0"/>
          <w:sz w:val="24"/>
          <w:szCs w:val="24"/>
        </w:rPr>
        <w:t>The submission provided additional data on potential safety concerns beyond those identified in the clinical trials. A periodic benefit-risk evaluation report (PBRER) was provided with the submission (16-Dec-2020 to 15-Dec-2021) encompassing approximately 38,257 patient years of exposure. During this PBRER period a safety update was made to the core data sheet. Sufficient evidence was found to suggest a causal relationship between olaparib and venous thromboembolism and pulmonary embolism. No other changes to the safety information were made.</w:t>
      </w:r>
    </w:p>
    <w:p w14:paraId="2AFA844B" w14:textId="2A938101" w:rsidR="00141F3D" w:rsidRPr="005F0CE8" w:rsidRDefault="00141F3D" w:rsidP="00477BB3">
      <w:pPr>
        <w:pStyle w:val="3-BodyText"/>
        <w:rPr>
          <w:rStyle w:val="CommentReference"/>
          <w:rFonts w:ascii="Calibri" w:hAnsi="Calibri" w:cs="Calibri"/>
          <w:b w:val="0"/>
          <w:sz w:val="24"/>
          <w:szCs w:val="24"/>
        </w:rPr>
      </w:pPr>
      <w:r w:rsidRPr="005F0CE8">
        <w:rPr>
          <w:rStyle w:val="CommentReference"/>
          <w:rFonts w:ascii="Calibri" w:hAnsi="Calibri" w:cs="Calibri"/>
          <w:b w:val="0"/>
          <w:sz w:val="24"/>
          <w:szCs w:val="24"/>
        </w:rPr>
        <w:t xml:space="preserve">As stated in the draft PI the incidence of </w:t>
      </w:r>
      <w:r w:rsidR="009A589C" w:rsidRPr="005F0CE8">
        <w:rPr>
          <w:rStyle w:val="CommentReference"/>
          <w:rFonts w:ascii="Calibri" w:hAnsi="Calibri" w:cs="Calibri"/>
          <w:b w:val="0"/>
          <w:sz w:val="24"/>
          <w:szCs w:val="24"/>
        </w:rPr>
        <w:t>myelodysplastic syndrome/acute myeloid leukaemia (</w:t>
      </w:r>
      <w:r w:rsidRPr="005F0CE8">
        <w:rPr>
          <w:rStyle w:val="CommentReference"/>
          <w:rFonts w:ascii="Calibri" w:hAnsi="Calibri" w:cs="Calibri"/>
          <w:b w:val="0"/>
          <w:sz w:val="24"/>
          <w:szCs w:val="24"/>
        </w:rPr>
        <w:t>MDS/AML</w:t>
      </w:r>
      <w:r w:rsidR="009A589C" w:rsidRPr="005F0CE8">
        <w:rPr>
          <w:rStyle w:val="CommentReference"/>
          <w:rFonts w:ascii="Calibri" w:hAnsi="Calibri" w:cs="Calibri"/>
          <w:b w:val="0"/>
          <w:sz w:val="24"/>
          <w:szCs w:val="24"/>
        </w:rPr>
        <w:t>)</w:t>
      </w:r>
      <w:r w:rsidRPr="005F0CE8">
        <w:rPr>
          <w:rStyle w:val="CommentReference"/>
          <w:rFonts w:ascii="Calibri" w:hAnsi="Calibri" w:cs="Calibri"/>
          <w:b w:val="0"/>
          <w:sz w:val="24"/>
          <w:szCs w:val="24"/>
        </w:rPr>
        <w:t xml:space="preserve"> in patients treated in clinical trials with olaparib monotherapy, including long-term survival follow up, was &lt;1.5%. The estimated cumulative of MDS/AML as reported in the Periodic Benefit-Risk Evaluation Report (January 2022) was 0.54% in patients exposed to olaparib during clinical development (</w:t>
      </w:r>
      <w:r w:rsidR="004D7116" w:rsidRPr="005F0CE8">
        <w:rPr>
          <w:rStyle w:val="CommentReference"/>
          <w:rFonts w:ascii="Calibri" w:hAnsi="Calibri" w:cs="Calibri"/>
          <w:b w:val="0"/>
          <w:sz w:val="24"/>
          <w:szCs w:val="24"/>
        </w:rPr>
        <w:t>i.e.</w:t>
      </w:r>
      <w:r w:rsidRPr="005F0CE8">
        <w:rPr>
          <w:rStyle w:val="CommentReference"/>
          <w:rFonts w:ascii="Calibri" w:hAnsi="Calibri" w:cs="Calibri"/>
          <w:b w:val="0"/>
          <w:sz w:val="24"/>
          <w:szCs w:val="24"/>
        </w:rPr>
        <w:t xml:space="preserve">, including data from combination studies, </w:t>
      </w:r>
      <w:r w:rsidR="009A589C" w:rsidRPr="005F0CE8">
        <w:rPr>
          <w:rStyle w:val="CommentReference"/>
          <w:rFonts w:ascii="Calibri" w:hAnsi="Calibri" w:cs="Calibri"/>
          <w:b w:val="0"/>
          <w:sz w:val="24"/>
          <w:szCs w:val="24"/>
        </w:rPr>
        <w:t>investigator-sponsored</w:t>
      </w:r>
      <w:r w:rsidRPr="005F0CE8">
        <w:rPr>
          <w:rStyle w:val="CommentReference"/>
          <w:rFonts w:ascii="Calibri" w:hAnsi="Calibri" w:cs="Calibri"/>
          <w:b w:val="0"/>
          <w:sz w:val="24"/>
          <w:szCs w:val="24"/>
        </w:rPr>
        <w:t xml:space="preserve"> studies and the MAP) (101 reports from data for 18,675 patients).</w:t>
      </w:r>
    </w:p>
    <w:p w14:paraId="5C592FEF" w14:textId="77777777" w:rsidR="005705FC" w:rsidRPr="005F0CE8" w:rsidRDefault="005705FC" w:rsidP="005705FC">
      <w:pPr>
        <w:rPr>
          <w:rStyle w:val="CommentReference"/>
        </w:rPr>
      </w:pPr>
    </w:p>
    <w:p w14:paraId="37E0E24C" w14:textId="77777777" w:rsidR="0079443A" w:rsidRPr="005F0CE8" w:rsidRDefault="0079443A" w:rsidP="0079443A">
      <w:pPr>
        <w:pStyle w:val="4-SubsectionHeading"/>
      </w:pPr>
      <w:bookmarkStart w:id="63" w:name="_Toc124883283"/>
      <w:r w:rsidRPr="005F0CE8">
        <w:lastRenderedPageBreak/>
        <w:t>Benefits/harms</w:t>
      </w:r>
      <w:bookmarkEnd w:id="63"/>
    </w:p>
    <w:p w14:paraId="494E5054" w14:textId="632F2C21" w:rsidR="00620158" w:rsidRPr="00DB2BE9" w:rsidRDefault="00EC00C9" w:rsidP="00477BB3">
      <w:pPr>
        <w:pStyle w:val="3-BodyText"/>
        <w:rPr>
          <w:rFonts w:ascii="Arial Narrow" w:hAnsi="Arial Narrow"/>
          <w:b/>
          <w:color w:val="0066FF"/>
          <w:sz w:val="20"/>
          <w:szCs w:val="16"/>
        </w:rPr>
      </w:pPr>
      <w:r w:rsidRPr="005F0CE8">
        <w:t xml:space="preserve">A summary of the comparative benefits and harms for </w:t>
      </w:r>
      <w:r w:rsidR="00366FA2" w:rsidRPr="005F0CE8">
        <w:t>olaparib</w:t>
      </w:r>
      <w:r w:rsidRPr="005F0CE8">
        <w:t xml:space="preserve"> versus </w:t>
      </w:r>
      <w:r w:rsidR="00366FA2" w:rsidRPr="005F0CE8">
        <w:t xml:space="preserve">placebo </w:t>
      </w:r>
      <w:r w:rsidRPr="005F0CE8">
        <w:t>is presented in</w:t>
      </w:r>
      <w:r w:rsidR="002C7B60" w:rsidRPr="005F0CE8">
        <w:t xml:space="preserve"> </w:t>
      </w:r>
      <w:r w:rsidR="002C7B60" w:rsidRPr="005F0CE8">
        <w:fldChar w:fldCharType="begin"/>
      </w:r>
      <w:r w:rsidR="002C7B60" w:rsidRPr="005F0CE8">
        <w:instrText xml:space="preserve"> REF _Ref104805037 \h </w:instrText>
      </w:r>
      <w:r w:rsidR="002C7B60" w:rsidRPr="005F0CE8">
        <w:fldChar w:fldCharType="separate"/>
      </w:r>
      <w:r w:rsidR="00AB6006" w:rsidRPr="005F0CE8">
        <w:t xml:space="preserve">Table </w:t>
      </w:r>
      <w:r w:rsidR="00AB6006">
        <w:rPr>
          <w:noProof/>
        </w:rPr>
        <w:t>12</w:t>
      </w:r>
      <w:r w:rsidR="002C7B60" w:rsidRPr="005F0CE8">
        <w:fldChar w:fldCharType="end"/>
      </w:r>
      <w:r w:rsidRPr="005F0CE8">
        <w:t>.</w:t>
      </w:r>
    </w:p>
    <w:p w14:paraId="79CB2487" w14:textId="7D767C1A" w:rsidR="00B62715" w:rsidRPr="005F0CE8" w:rsidRDefault="00D6076E" w:rsidP="009E35C5">
      <w:pPr>
        <w:pStyle w:val="Caption"/>
        <w:rPr>
          <w:rStyle w:val="CommentReference"/>
          <w:b/>
          <w:szCs w:val="24"/>
        </w:rPr>
      </w:pPr>
      <w:bookmarkStart w:id="64" w:name="_Ref104805037"/>
      <w:r w:rsidRPr="005F0CE8">
        <w:t xml:space="preserve">Table </w:t>
      </w:r>
      <w:fldSimple w:instr=" SEQ Table \* ARABIC ">
        <w:r w:rsidR="00AB6006">
          <w:rPr>
            <w:noProof/>
          </w:rPr>
          <w:t>12</w:t>
        </w:r>
      </w:fldSimple>
      <w:bookmarkEnd w:id="64"/>
      <w:r w:rsidRPr="005F0CE8">
        <w:t xml:space="preserve">: </w:t>
      </w:r>
      <w:r w:rsidR="00B62715" w:rsidRPr="005F0CE8">
        <w:rPr>
          <w:rStyle w:val="CommentReference"/>
          <w:b/>
          <w:szCs w:val="24"/>
        </w:rPr>
        <w:t>Summary of comparative benefits and harms for</w:t>
      </w:r>
      <w:r w:rsidR="00D37B10" w:rsidRPr="005F0CE8">
        <w:rPr>
          <w:rStyle w:val="CommentReference"/>
          <w:b/>
          <w:szCs w:val="24"/>
        </w:rPr>
        <w:t xml:space="preserve"> olaparib</w:t>
      </w:r>
      <w:r w:rsidR="00B62715" w:rsidRPr="005F0CE8">
        <w:rPr>
          <w:rStyle w:val="CommentReference"/>
          <w:b/>
          <w:szCs w:val="24"/>
        </w:rPr>
        <w:t xml:space="preserve"> and </w:t>
      </w:r>
      <w:r w:rsidR="00D37B10" w:rsidRPr="005F0CE8">
        <w:rPr>
          <w:rStyle w:val="CommentReference"/>
          <w:b/>
          <w:szCs w:val="24"/>
        </w:rPr>
        <w:t>placebo</w:t>
      </w:r>
    </w:p>
    <w:tbl>
      <w:tblPr>
        <w:tblStyle w:val="ASDTable2"/>
        <w:tblW w:w="5000" w:type="pct"/>
        <w:tblLayout w:type="fixed"/>
        <w:tblCellMar>
          <w:left w:w="28" w:type="dxa"/>
          <w:right w:w="28" w:type="dxa"/>
        </w:tblCellMar>
        <w:tblLook w:val="04A0" w:firstRow="1" w:lastRow="0" w:firstColumn="1" w:lastColumn="0" w:noHBand="0" w:noVBand="1"/>
      </w:tblPr>
      <w:tblGrid>
        <w:gridCol w:w="2689"/>
        <w:gridCol w:w="1702"/>
        <w:gridCol w:w="1701"/>
        <w:gridCol w:w="1560"/>
        <w:gridCol w:w="1365"/>
      </w:tblGrid>
      <w:tr w:rsidR="00AC2D8E" w:rsidRPr="005F0CE8" w14:paraId="05FD5D32" w14:textId="77777777" w:rsidTr="00AC2D8E">
        <w:trPr>
          <w:trHeight w:val="70"/>
        </w:trPr>
        <w:tc>
          <w:tcPr>
            <w:tcW w:w="1491" w:type="pct"/>
            <w:shd w:val="clear" w:color="auto" w:fill="auto"/>
            <w:vAlign w:val="center"/>
          </w:tcPr>
          <w:p w14:paraId="5D3D4484" w14:textId="0EF68873" w:rsidR="00AC2D8E" w:rsidRPr="005F0CE8" w:rsidRDefault="00AC2D8E" w:rsidP="00AC2D8E">
            <w:pPr>
              <w:keepNext/>
              <w:rPr>
                <w:rFonts w:ascii="Arial Narrow" w:eastAsia="MS Gothic" w:hAnsi="Arial Narrow"/>
                <w:b/>
                <w:bCs/>
                <w:sz w:val="20"/>
                <w:szCs w:val="20"/>
              </w:rPr>
            </w:pPr>
            <w:r w:rsidRPr="005F0CE8">
              <w:rPr>
                <w:rFonts w:ascii="Arial Narrow" w:eastAsia="MS Gothic" w:hAnsi="Arial Narrow"/>
                <w:b/>
                <w:bCs/>
                <w:sz w:val="20"/>
                <w:szCs w:val="20"/>
              </w:rPr>
              <w:t>Events</w:t>
            </w:r>
          </w:p>
        </w:tc>
        <w:tc>
          <w:tcPr>
            <w:tcW w:w="944" w:type="pct"/>
            <w:shd w:val="clear" w:color="auto" w:fill="auto"/>
          </w:tcPr>
          <w:p w14:paraId="127A69E0" w14:textId="335C8933" w:rsidR="00AC2D8E" w:rsidRPr="005F0CE8" w:rsidRDefault="00AC2D8E" w:rsidP="00AC2D8E">
            <w:pPr>
              <w:pStyle w:val="In-tableHeading"/>
              <w:jc w:val="center"/>
              <w:rPr>
                <w:bCs/>
                <w:szCs w:val="20"/>
                <w:lang w:val="en-AU"/>
              </w:rPr>
            </w:pPr>
            <w:r w:rsidRPr="005F0CE8">
              <w:rPr>
                <w:bCs/>
                <w:szCs w:val="20"/>
                <w:lang w:val="en-AU"/>
              </w:rPr>
              <w:t>Olaparib</w:t>
            </w:r>
          </w:p>
        </w:tc>
        <w:tc>
          <w:tcPr>
            <w:tcW w:w="943" w:type="pct"/>
            <w:shd w:val="clear" w:color="auto" w:fill="auto"/>
          </w:tcPr>
          <w:p w14:paraId="7D3C7BC1" w14:textId="2C910063" w:rsidR="00AC2D8E" w:rsidRPr="005F0CE8" w:rsidRDefault="00AC2D8E" w:rsidP="00AC2D8E">
            <w:pPr>
              <w:pStyle w:val="In-tableHeading"/>
              <w:jc w:val="center"/>
              <w:rPr>
                <w:bCs/>
                <w:szCs w:val="20"/>
                <w:lang w:val="en-AU"/>
              </w:rPr>
            </w:pPr>
            <w:r w:rsidRPr="005F0CE8">
              <w:rPr>
                <w:bCs/>
                <w:szCs w:val="20"/>
                <w:lang w:val="en-AU"/>
              </w:rPr>
              <w:t>Placebo</w:t>
            </w:r>
          </w:p>
        </w:tc>
        <w:tc>
          <w:tcPr>
            <w:tcW w:w="865" w:type="pct"/>
            <w:shd w:val="clear" w:color="auto" w:fill="auto"/>
            <w:vAlign w:val="center"/>
          </w:tcPr>
          <w:p w14:paraId="1464A2F6" w14:textId="3F0189F9" w:rsidR="00AC2D8E" w:rsidRPr="005F0CE8" w:rsidRDefault="00AC2D8E" w:rsidP="00AC2D8E">
            <w:pPr>
              <w:keepNext/>
              <w:rPr>
                <w:rFonts w:ascii="Arial Narrow" w:eastAsia="MS Gothic" w:hAnsi="Arial Narrow"/>
                <w:b/>
                <w:bCs/>
                <w:sz w:val="20"/>
                <w:szCs w:val="20"/>
              </w:rPr>
            </w:pPr>
            <w:r w:rsidRPr="005F0CE8">
              <w:rPr>
                <w:rFonts w:ascii="Arial Narrow" w:eastAsia="MS Gothic" w:hAnsi="Arial Narrow"/>
                <w:b/>
                <w:bCs/>
                <w:sz w:val="20"/>
                <w:szCs w:val="20"/>
              </w:rPr>
              <w:t>Absolute Difference</w:t>
            </w:r>
          </w:p>
        </w:tc>
        <w:tc>
          <w:tcPr>
            <w:tcW w:w="757" w:type="pct"/>
            <w:tcBorders>
              <w:bottom w:val="nil"/>
            </w:tcBorders>
            <w:shd w:val="clear" w:color="auto" w:fill="auto"/>
            <w:vAlign w:val="center"/>
          </w:tcPr>
          <w:p w14:paraId="73CC76FA" w14:textId="53E3602C" w:rsidR="00AC2D8E" w:rsidRPr="005F0CE8" w:rsidRDefault="00AC2D8E" w:rsidP="00AC2D8E">
            <w:pPr>
              <w:keepNext/>
              <w:rPr>
                <w:rFonts w:ascii="Arial Narrow" w:eastAsia="MS Gothic" w:hAnsi="Arial Narrow"/>
                <w:b/>
                <w:bCs/>
                <w:sz w:val="20"/>
                <w:szCs w:val="20"/>
              </w:rPr>
            </w:pPr>
            <w:r w:rsidRPr="005F0CE8">
              <w:rPr>
                <w:rFonts w:ascii="Arial Narrow" w:eastAsia="MS Gothic" w:hAnsi="Arial Narrow"/>
                <w:b/>
                <w:bCs/>
                <w:sz w:val="20"/>
                <w:szCs w:val="20"/>
              </w:rPr>
              <w:t>HR (95% CI)</w:t>
            </w:r>
            <w:r w:rsidRPr="005F0CE8">
              <w:rPr>
                <w:rFonts w:ascii="Arial Narrow" w:hAnsi="Arial Narrow"/>
                <w:b/>
                <w:bCs/>
                <w:sz w:val="20"/>
                <w:szCs w:val="20"/>
              </w:rPr>
              <w:t>)</w:t>
            </w:r>
          </w:p>
        </w:tc>
      </w:tr>
    </w:tbl>
    <w:tbl>
      <w:tblPr>
        <w:tblStyle w:val="Summarybox1"/>
        <w:tblW w:w="5000" w:type="pct"/>
        <w:tblLayout w:type="fixed"/>
        <w:tblLook w:val="04A0" w:firstRow="1" w:lastRow="0" w:firstColumn="1" w:lastColumn="0" w:noHBand="0" w:noVBand="1"/>
      </w:tblPr>
      <w:tblGrid>
        <w:gridCol w:w="9017"/>
      </w:tblGrid>
      <w:tr w:rsidR="00AC2D8E" w:rsidRPr="005F0CE8" w14:paraId="4EA99352" w14:textId="77777777" w:rsidTr="00A37F23">
        <w:tc>
          <w:tcPr>
            <w:tcW w:w="5000" w:type="pct"/>
          </w:tcPr>
          <w:p w14:paraId="2AA6737F" w14:textId="30684DE2" w:rsidR="00AC2D8E" w:rsidRPr="005F0CE8" w:rsidRDefault="00AC2D8E" w:rsidP="009E35C5">
            <w:pPr>
              <w:pStyle w:val="In-tableHeading"/>
              <w:rPr>
                <w:lang w:val="en-AU"/>
              </w:rPr>
            </w:pPr>
            <w:r w:rsidRPr="005F0CE8">
              <w:rPr>
                <w:lang w:val="en-AU"/>
              </w:rPr>
              <w:t>Benefits</w:t>
            </w:r>
          </w:p>
        </w:tc>
      </w:tr>
    </w:tbl>
    <w:tbl>
      <w:tblPr>
        <w:tblStyle w:val="ASDTable2"/>
        <w:tblW w:w="5000" w:type="pct"/>
        <w:tblLayout w:type="fixed"/>
        <w:tblCellMar>
          <w:left w:w="28" w:type="dxa"/>
          <w:right w:w="28" w:type="dxa"/>
        </w:tblCellMar>
        <w:tblLook w:val="04A0" w:firstRow="1" w:lastRow="0" w:firstColumn="1" w:lastColumn="0" w:noHBand="0" w:noVBand="1"/>
      </w:tblPr>
      <w:tblGrid>
        <w:gridCol w:w="2689"/>
        <w:gridCol w:w="1702"/>
        <w:gridCol w:w="1701"/>
        <w:gridCol w:w="1560"/>
        <w:gridCol w:w="1365"/>
      </w:tblGrid>
      <w:tr w:rsidR="00A37F23" w:rsidRPr="005F0CE8" w14:paraId="1F7C4906" w14:textId="77777777">
        <w:trPr>
          <w:trHeight w:val="336"/>
        </w:trPr>
        <w:tc>
          <w:tcPr>
            <w:tcW w:w="5000" w:type="pct"/>
            <w:gridSpan w:val="5"/>
            <w:shd w:val="clear" w:color="auto" w:fill="auto"/>
            <w:vAlign w:val="center"/>
          </w:tcPr>
          <w:p w14:paraId="269439DB" w14:textId="77777777" w:rsidR="00A37F23" w:rsidRPr="005F0CE8" w:rsidRDefault="00A37F23" w:rsidP="009E35C5">
            <w:pPr>
              <w:keepNext/>
              <w:rPr>
                <w:rFonts w:ascii="Arial Narrow" w:eastAsia="MS Gothic" w:hAnsi="Arial Narrow"/>
                <w:b/>
                <w:bCs/>
                <w:sz w:val="20"/>
                <w:szCs w:val="20"/>
              </w:rPr>
            </w:pPr>
            <w:r w:rsidRPr="005F0CE8">
              <w:rPr>
                <w:rFonts w:ascii="Arial Narrow" w:hAnsi="Arial Narrow"/>
                <w:b/>
                <w:bCs/>
                <w:sz w:val="20"/>
                <w:szCs w:val="20"/>
              </w:rPr>
              <w:t xml:space="preserve">Invasive disease-free survival </w:t>
            </w:r>
            <w:r w:rsidRPr="005F0CE8">
              <w:rPr>
                <w:rFonts w:ascii="Arial Narrow" w:eastAsia="MS Gothic" w:hAnsi="Arial Narrow"/>
                <w:b/>
                <w:bCs/>
                <w:sz w:val="20"/>
                <w:szCs w:val="20"/>
              </w:rPr>
              <w:t>(median duration of follow up 3.5 years for olaparib, 3.6 years for placebo)</w:t>
            </w:r>
          </w:p>
        </w:tc>
      </w:tr>
      <w:tr w:rsidR="00A37F23" w:rsidRPr="005F0CE8" w14:paraId="2C4B7238" w14:textId="77777777" w:rsidTr="00A37F23">
        <w:trPr>
          <w:trHeight w:val="70"/>
        </w:trPr>
        <w:tc>
          <w:tcPr>
            <w:tcW w:w="1491" w:type="pct"/>
            <w:shd w:val="clear" w:color="auto" w:fill="auto"/>
            <w:vAlign w:val="center"/>
          </w:tcPr>
          <w:p w14:paraId="7E0A2313" w14:textId="77777777"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Progressed, n/N (%)</w:t>
            </w:r>
          </w:p>
        </w:tc>
        <w:tc>
          <w:tcPr>
            <w:tcW w:w="944" w:type="pct"/>
            <w:shd w:val="clear" w:color="auto" w:fill="auto"/>
            <w:vAlign w:val="center"/>
          </w:tcPr>
          <w:p w14:paraId="65F07D12" w14:textId="7DB2829E"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134/921 (14.5)</w:t>
            </w:r>
          </w:p>
        </w:tc>
        <w:tc>
          <w:tcPr>
            <w:tcW w:w="943" w:type="pct"/>
            <w:shd w:val="clear" w:color="auto" w:fill="auto"/>
            <w:vAlign w:val="center"/>
          </w:tcPr>
          <w:p w14:paraId="55FB0E67" w14:textId="4449CFEC"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207/915 (22.6)</w:t>
            </w:r>
          </w:p>
        </w:tc>
        <w:tc>
          <w:tcPr>
            <w:tcW w:w="865" w:type="pct"/>
            <w:shd w:val="clear" w:color="auto" w:fill="auto"/>
            <w:vAlign w:val="center"/>
          </w:tcPr>
          <w:p w14:paraId="1B6470B8" w14:textId="5FB46589"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8.1</w:t>
            </w:r>
          </w:p>
        </w:tc>
        <w:tc>
          <w:tcPr>
            <w:tcW w:w="757" w:type="pct"/>
            <w:tcBorders>
              <w:bottom w:val="nil"/>
            </w:tcBorders>
            <w:shd w:val="clear" w:color="auto" w:fill="auto"/>
            <w:vAlign w:val="center"/>
          </w:tcPr>
          <w:p w14:paraId="7744FA83"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0.63 (0.50, 0.78)</w:t>
            </w:r>
          </w:p>
        </w:tc>
      </w:tr>
      <w:tr w:rsidR="00A37F23" w:rsidRPr="005F0CE8" w14:paraId="31D609A4" w14:textId="77777777" w:rsidTr="00A37F23">
        <w:trPr>
          <w:trHeight w:val="20"/>
        </w:trPr>
        <w:tc>
          <w:tcPr>
            <w:tcW w:w="1491" w:type="pct"/>
            <w:shd w:val="clear" w:color="auto" w:fill="auto"/>
            <w:vAlign w:val="center"/>
          </w:tcPr>
          <w:p w14:paraId="6569A748" w14:textId="77777777"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Progression free at 12 months (%)</w:t>
            </w:r>
          </w:p>
        </w:tc>
        <w:tc>
          <w:tcPr>
            <w:tcW w:w="944" w:type="pct"/>
            <w:shd w:val="clear" w:color="auto" w:fill="auto"/>
            <w:vAlign w:val="center"/>
          </w:tcPr>
          <w:p w14:paraId="2143664D"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93.4</w:t>
            </w:r>
          </w:p>
        </w:tc>
        <w:tc>
          <w:tcPr>
            <w:tcW w:w="943" w:type="pct"/>
            <w:shd w:val="clear" w:color="auto" w:fill="auto"/>
            <w:vAlign w:val="center"/>
          </w:tcPr>
          <w:p w14:paraId="31B85617"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88.4</w:t>
            </w:r>
          </w:p>
        </w:tc>
        <w:tc>
          <w:tcPr>
            <w:tcW w:w="865" w:type="pct"/>
            <w:shd w:val="clear" w:color="auto" w:fill="auto"/>
            <w:vAlign w:val="bottom"/>
          </w:tcPr>
          <w:p w14:paraId="07CB7A17"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5.0</w:t>
            </w:r>
          </w:p>
        </w:tc>
        <w:tc>
          <w:tcPr>
            <w:tcW w:w="757" w:type="pct"/>
            <w:tcBorders>
              <w:top w:val="nil"/>
              <w:bottom w:val="nil"/>
            </w:tcBorders>
            <w:shd w:val="clear" w:color="auto" w:fill="auto"/>
            <w:vAlign w:val="center"/>
          </w:tcPr>
          <w:p w14:paraId="24176DA5"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P&lt;0.0001</w:t>
            </w:r>
          </w:p>
        </w:tc>
      </w:tr>
      <w:tr w:rsidR="00A37F23" w:rsidRPr="005F0CE8" w14:paraId="3503DF56" w14:textId="77777777" w:rsidTr="00A37F23">
        <w:trPr>
          <w:trHeight w:val="20"/>
        </w:trPr>
        <w:tc>
          <w:tcPr>
            <w:tcW w:w="1491" w:type="pct"/>
            <w:shd w:val="clear" w:color="auto" w:fill="auto"/>
            <w:vAlign w:val="center"/>
          </w:tcPr>
          <w:p w14:paraId="7B3CA2FB" w14:textId="77777777"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Progression free at 24 months (%)</w:t>
            </w:r>
          </w:p>
        </w:tc>
        <w:tc>
          <w:tcPr>
            <w:tcW w:w="944" w:type="pct"/>
            <w:shd w:val="clear" w:color="auto" w:fill="auto"/>
            <w:vAlign w:val="center"/>
          </w:tcPr>
          <w:p w14:paraId="60455F2F"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89.7</w:t>
            </w:r>
          </w:p>
        </w:tc>
        <w:tc>
          <w:tcPr>
            <w:tcW w:w="943" w:type="pct"/>
            <w:shd w:val="clear" w:color="auto" w:fill="auto"/>
            <w:vAlign w:val="center"/>
          </w:tcPr>
          <w:p w14:paraId="60616C68"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81.4</w:t>
            </w:r>
          </w:p>
        </w:tc>
        <w:tc>
          <w:tcPr>
            <w:tcW w:w="865" w:type="pct"/>
            <w:shd w:val="clear" w:color="auto" w:fill="auto"/>
            <w:vAlign w:val="bottom"/>
          </w:tcPr>
          <w:p w14:paraId="1488C5EC"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8.3</w:t>
            </w:r>
          </w:p>
        </w:tc>
        <w:tc>
          <w:tcPr>
            <w:tcW w:w="757" w:type="pct"/>
            <w:tcBorders>
              <w:top w:val="nil"/>
              <w:bottom w:val="nil"/>
            </w:tcBorders>
            <w:shd w:val="clear" w:color="auto" w:fill="auto"/>
            <w:vAlign w:val="center"/>
          </w:tcPr>
          <w:p w14:paraId="5E1DB70A" w14:textId="77777777" w:rsidR="00A37F23" w:rsidRPr="005F0CE8" w:rsidRDefault="00A37F23" w:rsidP="009E35C5">
            <w:pPr>
              <w:keepNext/>
              <w:rPr>
                <w:rFonts w:ascii="Arial Narrow" w:eastAsia="MS Gothic" w:hAnsi="Arial Narrow"/>
                <w:sz w:val="20"/>
                <w:szCs w:val="20"/>
              </w:rPr>
            </w:pPr>
          </w:p>
        </w:tc>
      </w:tr>
      <w:tr w:rsidR="00A37F23" w:rsidRPr="005F0CE8" w14:paraId="020B8EDE" w14:textId="77777777" w:rsidTr="00A37F23">
        <w:trPr>
          <w:trHeight w:val="20"/>
        </w:trPr>
        <w:tc>
          <w:tcPr>
            <w:tcW w:w="1491" w:type="pct"/>
            <w:shd w:val="clear" w:color="auto" w:fill="auto"/>
            <w:vAlign w:val="center"/>
          </w:tcPr>
          <w:p w14:paraId="709BC4E0" w14:textId="77777777"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Progression free at 36 months (%)</w:t>
            </w:r>
          </w:p>
        </w:tc>
        <w:tc>
          <w:tcPr>
            <w:tcW w:w="944" w:type="pct"/>
            <w:shd w:val="clear" w:color="auto" w:fill="auto"/>
            <w:vAlign w:val="center"/>
          </w:tcPr>
          <w:p w14:paraId="22DCAF07"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86.1</w:t>
            </w:r>
          </w:p>
        </w:tc>
        <w:tc>
          <w:tcPr>
            <w:tcW w:w="943" w:type="pct"/>
            <w:shd w:val="clear" w:color="auto" w:fill="auto"/>
            <w:vAlign w:val="center"/>
          </w:tcPr>
          <w:p w14:paraId="07335785"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77.3</w:t>
            </w:r>
          </w:p>
        </w:tc>
        <w:tc>
          <w:tcPr>
            <w:tcW w:w="865" w:type="pct"/>
            <w:shd w:val="clear" w:color="auto" w:fill="auto"/>
            <w:vAlign w:val="bottom"/>
          </w:tcPr>
          <w:p w14:paraId="57B130BA"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8.8</w:t>
            </w:r>
          </w:p>
        </w:tc>
        <w:tc>
          <w:tcPr>
            <w:tcW w:w="757" w:type="pct"/>
            <w:tcBorders>
              <w:top w:val="nil"/>
              <w:bottom w:val="nil"/>
            </w:tcBorders>
            <w:shd w:val="clear" w:color="auto" w:fill="auto"/>
            <w:vAlign w:val="center"/>
          </w:tcPr>
          <w:p w14:paraId="43A73E3D" w14:textId="77777777" w:rsidR="00A37F23" w:rsidRPr="005F0CE8" w:rsidRDefault="00A37F23" w:rsidP="009E35C5">
            <w:pPr>
              <w:keepNext/>
              <w:rPr>
                <w:rFonts w:ascii="Arial Narrow" w:eastAsia="MS Gothic" w:hAnsi="Arial Narrow"/>
                <w:sz w:val="20"/>
                <w:szCs w:val="20"/>
              </w:rPr>
            </w:pPr>
          </w:p>
        </w:tc>
      </w:tr>
      <w:tr w:rsidR="00A37F23" w:rsidRPr="005F0CE8" w14:paraId="7977F0E3" w14:textId="77777777" w:rsidTr="00A37F23">
        <w:trPr>
          <w:trHeight w:val="20"/>
        </w:trPr>
        <w:tc>
          <w:tcPr>
            <w:tcW w:w="1491" w:type="pct"/>
            <w:shd w:val="clear" w:color="auto" w:fill="auto"/>
            <w:vAlign w:val="center"/>
          </w:tcPr>
          <w:p w14:paraId="107492EC" w14:textId="77777777"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Progression free at 48 months (%)</w:t>
            </w:r>
          </w:p>
        </w:tc>
        <w:tc>
          <w:tcPr>
            <w:tcW w:w="944" w:type="pct"/>
            <w:shd w:val="clear" w:color="auto" w:fill="auto"/>
            <w:vAlign w:val="center"/>
          </w:tcPr>
          <w:p w14:paraId="63352B05"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82.7</w:t>
            </w:r>
          </w:p>
        </w:tc>
        <w:tc>
          <w:tcPr>
            <w:tcW w:w="943" w:type="pct"/>
            <w:shd w:val="clear" w:color="auto" w:fill="auto"/>
            <w:vAlign w:val="center"/>
          </w:tcPr>
          <w:p w14:paraId="09C05402"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75.4</w:t>
            </w:r>
          </w:p>
        </w:tc>
        <w:tc>
          <w:tcPr>
            <w:tcW w:w="865" w:type="pct"/>
            <w:shd w:val="clear" w:color="auto" w:fill="auto"/>
            <w:vAlign w:val="bottom"/>
          </w:tcPr>
          <w:p w14:paraId="32638780"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7.3</w:t>
            </w:r>
          </w:p>
        </w:tc>
        <w:tc>
          <w:tcPr>
            <w:tcW w:w="757" w:type="pct"/>
            <w:tcBorders>
              <w:top w:val="nil"/>
            </w:tcBorders>
            <w:shd w:val="clear" w:color="auto" w:fill="auto"/>
            <w:vAlign w:val="center"/>
          </w:tcPr>
          <w:p w14:paraId="2F520AE0" w14:textId="77777777" w:rsidR="00A37F23" w:rsidRPr="005F0CE8" w:rsidRDefault="00A37F23" w:rsidP="009E35C5">
            <w:pPr>
              <w:keepNext/>
              <w:rPr>
                <w:rFonts w:ascii="Arial Narrow" w:eastAsia="MS Gothic" w:hAnsi="Arial Narrow"/>
                <w:sz w:val="20"/>
                <w:szCs w:val="20"/>
              </w:rPr>
            </w:pPr>
          </w:p>
        </w:tc>
      </w:tr>
      <w:tr w:rsidR="00A37F23" w:rsidRPr="005F0CE8" w14:paraId="71E92D62" w14:textId="77777777">
        <w:trPr>
          <w:trHeight w:val="336"/>
        </w:trPr>
        <w:tc>
          <w:tcPr>
            <w:tcW w:w="5000" w:type="pct"/>
            <w:gridSpan w:val="5"/>
            <w:shd w:val="clear" w:color="auto" w:fill="auto"/>
            <w:vAlign w:val="center"/>
          </w:tcPr>
          <w:p w14:paraId="0961398B" w14:textId="77777777" w:rsidR="00A37F23" w:rsidRPr="005F0CE8" w:rsidRDefault="00A37F23" w:rsidP="009E35C5">
            <w:pPr>
              <w:keepNext/>
              <w:rPr>
                <w:rFonts w:ascii="Arial Narrow" w:eastAsia="MS Gothic" w:hAnsi="Arial Narrow"/>
                <w:b/>
                <w:bCs/>
                <w:sz w:val="20"/>
                <w:szCs w:val="20"/>
              </w:rPr>
            </w:pPr>
            <w:r w:rsidRPr="005F0CE8">
              <w:rPr>
                <w:rFonts w:ascii="Arial Narrow" w:hAnsi="Arial Narrow"/>
                <w:b/>
                <w:bCs/>
                <w:sz w:val="20"/>
                <w:szCs w:val="20"/>
              </w:rPr>
              <w:t xml:space="preserve">Overall survival </w:t>
            </w:r>
            <w:r w:rsidRPr="005F0CE8">
              <w:rPr>
                <w:rFonts w:ascii="Arial Narrow" w:eastAsia="MS Gothic" w:hAnsi="Arial Narrow"/>
                <w:b/>
                <w:bCs/>
                <w:sz w:val="20"/>
                <w:szCs w:val="20"/>
              </w:rPr>
              <w:t>(median duration of follow up 3.5 years for olaparib, 3.6 years for placebo)</w:t>
            </w:r>
          </w:p>
        </w:tc>
      </w:tr>
      <w:tr w:rsidR="00A37F23" w:rsidRPr="005F0CE8" w14:paraId="72E6DB2C" w14:textId="77777777" w:rsidTr="00A37F23">
        <w:trPr>
          <w:trHeight w:val="70"/>
        </w:trPr>
        <w:tc>
          <w:tcPr>
            <w:tcW w:w="1491" w:type="pct"/>
            <w:shd w:val="clear" w:color="auto" w:fill="auto"/>
            <w:vAlign w:val="center"/>
          </w:tcPr>
          <w:p w14:paraId="197F0908" w14:textId="77777777"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Deaths, n/N (%)</w:t>
            </w:r>
          </w:p>
        </w:tc>
        <w:tc>
          <w:tcPr>
            <w:tcW w:w="944" w:type="pct"/>
            <w:shd w:val="clear" w:color="auto" w:fill="auto"/>
            <w:vAlign w:val="center"/>
          </w:tcPr>
          <w:p w14:paraId="398A3845" w14:textId="1EDD6116"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75/921 (8.1)</w:t>
            </w:r>
          </w:p>
        </w:tc>
        <w:tc>
          <w:tcPr>
            <w:tcW w:w="943" w:type="pct"/>
            <w:shd w:val="clear" w:color="auto" w:fill="auto"/>
            <w:vAlign w:val="center"/>
          </w:tcPr>
          <w:p w14:paraId="069D8A08" w14:textId="2DE25A71"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109/915 (11.9)</w:t>
            </w:r>
          </w:p>
        </w:tc>
        <w:tc>
          <w:tcPr>
            <w:tcW w:w="865" w:type="pct"/>
            <w:shd w:val="clear" w:color="auto" w:fill="auto"/>
            <w:vAlign w:val="center"/>
          </w:tcPr>
          <w:p w14:paraId="64C51C03" w14:textId="08EEB783"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3.8</w:t>
            </w:r>
          </w:p>
        </w:tc>
        <w:tc>
          <w:tcPr>
            <w:tcW w:w="757" w:type="pct"/>
            <w:tcBorders>
              <w:bottom w:val="nil"/>
            </w:tcBorders>
            <w:shd w:val="clear" w:color="auto" w:fill="auto"/>
            <w:vAlign w:val="center"/>
          </w:tcPr>
          <w:p w14:paraId="78D08763"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0.68 (0.50, 0.91)</w:t>
            </w:r>
          </w:p>
        </w:tc>
      </w:tr>
      <w:tr w:rsidR="00A37F23" w:rsidRPr="005F0CE8" w14:paraId="1336E350" w14:textId="77777777" w:rsidTr="00A37F23">
        <w:trPr>
          <w:trHeight w:val="20"/>
        </w:trPr>
        <w:tc>
          <w:tcPr>
            <w:tcW w:w="1491" w:type="pct"/>
            <w:shd w:val="clear" w:color="auto" w:fill="auto"/>
            <w:vAlign w:val="center"/>
          </w:tcPr>
          <w:p w14:paraId="1D730AB7" w14:textId="77777777"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Alive at 12 months (%)</w:t>
            </w:r>
          </w:p>
        </w:tc>
        <w:tc>
          <w:tcPr>
            <w:tcW w:w="944" w:type="pct"/>
            <w:shd w:val="clear" w:color="auto" w:fill="auto"/>
            <w:vAlign w:val="center"/>
          </w:tcPr>
          <w:p w14:paraId="616EDF54"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98.0</w:t>
            </w:r>
          </w:p>
        </w:tc>
        <w:tc>
          <w:tcPr>
            <w:tcW w:w="943" w:type="pct"/>
            <w:shd w:val="clear" w:color="auto" w:fill="auto"/>
            <w:vAlign w:val="center"/>
          </w:tcPr>
          <w:p w14:paraId="757A72FA"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96.9</w:t>
            </w:r>
          </w:p>
        </w:tc>
        <w:tc>
          <w:tcPr>
            <w:tcW w:w="865" w:type="pct"/>
            <w:shd w:val="clear" w:color="auto" w:fill="auto"/>
            <w:vAlign w:val="bottom"/>
          </w:tcPr>
          <w:p w14:paraId="7599DC60"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1.1</w:t>
            </w:r>
          </w:p>
        </w:tc>
        <w:tc>
          <w:tcPr>
            <w:tcW w:w="757" w:type="pct"/>
            <w:tcBorders>
              <w:top w:val="nil"/>
              <w:bottom w:val="nil"/>
            </w:tcBorders>
            <w:shd w:val="clear" w:color="auto" w:fill="auto"/>
            <w:vAlign w:val="center"/>
          </w:tcPr>
          <w:p w14:paraId="2AA83CF2"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P=0.0091</w:t>
            </w:r>
          </w:p>
        </w:tc>
      </w:tr>
      <w:tr w:rsidR="00A37F23" w:rsidRPr="005F0CE8" w14:paraId="0E691ED0" w14:textId="77777777" w:rsidTr="00A37F23">
        <w:trPr>
          <w:trHeight w:val="20"/>
        </w:trPr>
        <w:tc>
          <w:tcPr>
            <w:tcW w:w="1491" w:type="pct"/>
            <w:shd w:val="clear" w:color="auto" w:fill="auto"/>
            <w:vAlign w:val="center"/>
          </w:tcPr>
          <w:p w14:paraId="3BBB2DE8" w14:textId="77777777" w:rsidR="00A37F23" w:rsidRPr="005F0CE8" w:rsidRDefault="00A37F23" w:rsidP="009E35C5">
            <w:pPr>
              <w:keepNext/>
              <w:rPr>
                <w:rFonts w:ascii="Arial Narrow" w:eastAsia="MS Gothic" w:hAnsi="Arial Narrow"/>
                <w:sz w:val="20"/>
                <w:szCs w:val="20"/>
              </w:rPr>
            </w:pPr>
            <w:r w:rsidRPr="005F0CE8">
              <w:rPr>
                <w:rFonts w:ascii="Arial Narrow" w:eastAsia="MS Gothic" w:hAnsi="Arial Narrow"/>
                <w:sz w:val="20"/>
                <w:szCs w:val="20"/>
              </w:rPr>
              <w:t>Alive at 24 months (%)</w:t>
            </w:r>
          </w:p>
        </w:tc>
        <w:tc>
          <w:tcPr>
            <w:tcW w:w="944" w:type="pct"/>
            <w:shd w:val="clear" w:color="auto" w:fill="auto"/>
            <w:vAlign w:val="center"/>
          </w:tcPr>
          <w:p w14:paraId="16DCFFD1"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95.0</w:t>
            </w:r>
          </w:p>
        </w:tc>
        <w:tc>
          <w:tcPr>
            <w:tcW w:w="943" w:type="pct"/>
            <w:shd w:val="clear" w:color="auto" w:fill="auto"/>
            <w:vAlign w:val="center"/>
          </w:tcPr>
          <w:p w14:paraId="374EA2EF"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92.8</w:t>
            </w:r>
          </w:p>
        </w:tc>
        <w:tc>
          <w:tcPr>
            <w:tcW w:w="865" w:type="pct"/>
            <w:shd w:val="clear" w:color="auto" w:fill="auto"/>
            <w:vAlign w:val="bottom"/>
          </w:tcPr>
          <w:p w14:paraId="5ECD7287" w14:textId="77777777" w:rsidR="00A37F23" w:rsidRPr="005F0CE8" w:rsidRDefault="00A37F23" w:rsidP="009E35C5">
            <w:pPr>
              <w:keepNext/>
              <w:rPr>
                <w:rFonts w:ascii="Arial Narrow" w:eastAsia="MS Gothic" w:hAnsi="Arial Narrow"/>
                <w:sz w:val="20"/>
                <w:szCs w:val="20"/>
              </w:rPr>
            </w:pPr>
            <w:r w:rsidRPr="005F0CE8">
              <w:rPr>
                <w:rFonts w:ascii="Arial Narrow" w:hAnsi="Arial Narrow"/>
                <w:sz w:val="20"/>
                <w:szCs w:val="20"/>
              </w:rPr>
              <w:t>2.2</w:t>
            </w:r>
          </w:p>
        </w:tc>
        <w:tc>
          <w:tcPr>
            <w:tcW w:w="757" w:type="pct"/>
            <w:tcBorders>
              <w:top w:val="nil"/>
              <w:bottom w:val="nil"/>
            </w:tcBorders>
            <w:shd w:val="clear" w:color="auto" w:fill="auto"/>
            <w:vAlign w:val="center"/>
          </w:tcPr>
          <w:p w14:paraId="0AAF9EBB" w14:textId="77777777" w:rsidR="00A37F23" w:rsidRPr="005F0CE8" w:rsidRDefault="00A37F23" w:rsidP="009E35C5">
            <w:pPr>
              <w:keepNext/>
              <w:rPr>
                <w:rFonts w:ascii="Arial Narrow" w:eastAsia="MS Gothic" w:hAnsi="Arial Narrow"/>
                <w:sz w:val="20"/>
                <w:szCs w:val="20"/>
              </w:rPr>
            </w:pPr>
          </w:p>
        </w:tc>
      </w:tr>
      <w:tr w:rsidR="00A37F23" w:rsidRPr="005F0CE8" w14:paraId="25CFB88B" w14:textId="77777777" w:rsidTr="00A37F23">
        <w:trPr>
          <w:trHeight w:val="20"/>
        </w:trPr>
        <w:tc>
          <w:tcPr>
            <w:tcW w:w="1491" w:type="pct"/>
            <w:shd w:val="clear" w:color="auto" w:fill="auto"/>
            <w:vAlign w:val="center"/>
          </w:tcPr>
          <w:p w14:paraId="71CFD1D9" w14:textId="77777777" w:rsidR="00A37F23" w:rsidRPr="005F0CE8" w:rsidRDefault="00A37F23">
            <w:pPr>
              <w:rPr>
                <w:rFonts w:ascii="Arial Narrow" w:eastAsia="MS Gothic" w:hAnsi="Arial Narrow"/>
                <w:sz w:val="20"/>
                <w:szCs w:val="20"/>
              </w:rPr>
            </w:pPr>
            <w:r w:rsidRPr="005F0CE8">
              <w:rPr>
                <w:rFonts w:ascii="Arial Narrow" w:eastAsia="MS Gothic" w:hAnsi="Arial Narrow"/>
                <w:sz w:val="20"/>
                <w:szCs w:val="20"/>
              </w:rPr>
              <w:t>Alive at 36 months (%)</w:t>
            </w:r>
          </w:p>
        </w:tc>
        <w:tc>
          <w:tcPr>
            <w:tcW w:w="944" w:type="pct"/>
            <w:shd w:val="clear" w:color="auto" w:fill="auto"/>
            <w:vAlign w:val="center"/>
          </w:tcPr>
          <w:p w14:paraId="4CB26C31"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92.8</w:t>
            </w:r>
          </w:p>
        </w:tc>
        <w:tc>
          <w:tcPr>
            <w:tcW w:w="943" w:type="pct"/>
            <w:shd w:val="clear" w:color="auto" w:fill="auto"/>
            <w:vAlign w:val="center"/>
          </w:tcPr>
          <w:p w14:paraId="73ED5F1A"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89.1</w:t>
            </w:r>
          </w:p>
        </w:tc>
        <w:tc>
          <w:tcPr>
            <w:tcW w:w="865" w:type="pct"/>
            <w:shd w:val="clear" w:color="auto" w:fill="auto"/>
            <w:vAlign w:val="bottom"/>
          </w:tcPr>
          <w:p w14:paraId="74665756"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3.7</w:t>
            </w:r>
          </w:p>
        </w:tc>
        <w:tc>
          <w:tcPr>
            <w:tcW w:w="757" w:type="pct"/>
            <w:tcBorders>
              <w:top w:val="nil"/>
              <w:bottom w:val="nil"/>
            </w:tcBorders>
            <w:shd w:val="clear" w:color="auto" w:fill="auto"/>
            <w:vAlign w:val="center"/>
          </w:tcPr>
          <w:p w14:paraId="153177DB" w14:textId="77777777" w:rsidR="00A37F23" w:rsidRPr="005F0CE8" w:rsidRDefault="00A37F23">
            <w:pPr>
              <w:rPr>
                <w:rFonts w:ascii="Arial Narrow" w:eastAsia="MS Gothic" w:hAnsi="Arial Narrow"/>
                <w:sz w:val="20"/>
                <w:szCs w:val="20"/>
              </w:rPr>
            </w:pPr>
          </w:p>
        </w:tc>
      </w:tr>
      <w:tr w:rsidR="00A37F23" w:rsidRPr="005F0CE8" w14:paraId="05B609AF" w14:textId="77777777" w:rsidTr="00A37F23">
        <w:trPr>
          <w:trHeight w:val="20"/>
        </w:trPr>
        <w:tc>
          <w:tcPr>
            <w:tcW w:w="1491" w:type="pct"/>
            <w:shd w:val="clear" w:color="auto" w:fill="auto"/>
            <w:vAlign w:val="center"/>
          </w:tcPr>
          <w:p w14:paraId="2CE777E0" w14:textId="77777777" w:rsidR="00A37F23" w:rsidRPr="005F0CE8" w:rsidRDefault="00A37F23">
            <w:pPr>
              <w:rPr>
                <w:rFonts w:ascii="Arial Narrow" w:eastAsia="MS Gothic" w:hAnsi="Arial Narrow"/>
                <w:sz w:val="20"/>
                <w:szCs w:val="20"/>
              </w:rPr>
            </w:pPr>
            <w:r w:rsidRPr="005F0CE8">
              <w:rPr>
                <w:rFonts w:ascii="Arial Narrow" w:eastAsia="MS Gothic" w:hAnsi="Arial Narrow"/>
                <w:sz w:val="20"/>
                <w:szCs w:val="20"/>
              </w:rPr>
              <w:t>Alive at 48 months (%)</w:t>
            </w:r>
          </w:p>
        </w:tc>
        <w:tc>
          <w:tcPr>
            <w:tcW w:w="944" w:type="pct"/>
            <w:shd w:val="clear" w:color="auto" w:fill="auto"/>
            <w:vAlign w:val="center"/>
          </w:tcPr>
          <w:p w14:paraId="46EE9BE0"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89.8</w:t>
            </w:r>
          </w:p>
        </w:tc>
        <w:tc>
          <w:tcPr>
            <w:tcW w:w="943" w:type="pct"/>
            <w:shd w:val="clear" w:color="auto" w:fill="auto"/>
            <w:vAlign w:val="center"/>
          </w:tcPr>
          <w:p w14:paraId="4ADEAF80"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86.4</w:t>
            </w:r>
          </w:p>
        </w:tc>
        <w:tc>
          <w:tcPr>
            <w:tcW w:w="865" w:type="pct"/>
            <w:shd w:val="clear" w:color="auto" w:fill="auto"/>
            <w:vAlign w:val="bottom"/>
          </w:tcPr>
          <w:p w14:paraId="5BFF9425"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3.4</w:t>
            </w:r>
          </w:p>
        </w:tc>
        <w:tc>
          <w:tcPr>
            <w:tcW w:w="757" w:type="pct"/>
            <w:tcBorders>
              <w:top w:val="nil"/>
            </w:tcBorders>
            <w:shd w:val="clear" w:color="auto" w:fill="auto"/>
            <w:vAlign w:val="center"/>
          </w:tcPr>
          <w:p w14:paraId="76E336B1" w14:textId="77777777" w:rsidR="00A37F23" w:rsidRPr="005F0CE8" w:rsidRDefault="00A37F23">
            <w:pPr>
              <w:rPr>
                <w:rFonts w:ascii="Arial Narrow" w:eastAsia="MS Gothic" w:hAnsi="Arial Narrow"/>
                <w:sz w:val="20"/>
                <w:szCs w:val="20"/>
              </w:rPr>
            </w:pPr>
          </w:p>
        </w:tc>
      </w:tr>
      <w:tr w:rsidR="00A37F23" w:rsidRPr="005F0CE8" w14:paraId="55943E2C" w14:textId="77777777">
        <w:trPr>
          <w:trHeight w:val="336"/>
        </w:trPr>
        <w:tc>
          <w:tcPr>
            <w:tcW w:w="5000" w:type="pct"/>
            <w:gridSpan w:val="5"/>
            <w:shd w:val="clear" w:color="auto" w:fill="auto"/>
            <w:vAlign w:val="center"/>
          </w:tcPr>
          <w:p w14:paraId="339E28E9" w14:textId="77777777" w:rsidR="00A37F23" w:rsidRPr="005F0CE8" w:rsidRDefault="00A37F23">
            <w:pPr>
              <w:rPr>
                <w:rFonts w:ascii="Arial Narrow" w:eastAsia="MS Gothic" w:hAnsi="Arial Narrow"/>
                <w:b/>
                <w:bCs/>
                <w:sz w:val="20"/>
                <w:szCs w:val="20"/>
              </w:rPr>
            </w:pPr>
            <w:r w:rsidRPr="005F0CE8">
              <w:rPr>
                <w:rFonts w:ascii="Arial Narrow" w:hAnsi="Arial Narrow"/>
                <w:b/>
                <w:bCs/>
                <w:sz w:val="20"/>
                <w:szCs w:val="20"/>
              </w:rPr>
              <w:t xml:space="preserve">Distant disease-free survival </w:t>
            </w:r>
            <w:r w:rsidRPr="005F0CE8">
              <w:rPr>
                <w:rFonts w:ascii="Arial Narrow" w:eastAsia="MS Gothic" w:hAnsi="Arial Narrow"/>
                <w:b/>
                <w:bCs/>
                <w:sz w:val="20"/>
                <w:szCs w:val="20"/>
              </w:rPr>
              <w:t>(median duration of follow up 3.5 years for olaparib, 3.6 years for placebo)</w:t>
            </w:r>
          </w:p>
        </w:tc>
      </w:tr>
      <w:tr w:rsidR="00A37F23" w:rsidRPr="005F0CE8" w14:paraId="3D63E2DB" w14:textId="77777777" w:rsidTr="00A37F23">
        <w:trPr>
          <w:trHeight w:val="70"/>
        </w:trPr>
        <w:tc>
          <w:tcPr>
            <w:tcW w:w="1491" w:type="pct"/>
            <w:shd w:val="clear" w:color="auto" w:fill="auto"/>
            <w:vAlign w:val="center"/>
          </w:tcPr>
          <w:p w14:paraId="3321FB6C" w14:textId="77777777" w:rsidR="00A37F23" w:rsidRPr="005F0CE8" w:rsidRDefault="00A37F23">
            <w:pPr>
              <w:rPr>
                <w:rFonts w:ascii="Arial Narrow" w:eastAsia="MS Gothic" w:hAnsi="Arial Narrow"/>
                <w:sz w:val="20"/>
                <w:szCs w:val="20"/>
              </w:rPr>
            </w:pPr>
            <w:r w:rsidRPr="005F0CE8">
              <w:rPr>
                <w:rFonts w:ascii="Arial Narrow" w:eastAsia="MS Gothic" w:hAnsi="Arial Narrow"/>
                <w:sz w:val="20"/>
                <w:szCs w:val="20"/>
              </w:rPr>
              <w:t>Progressed, n/N (%)</w:t>
            </w:r>
          </w:p>
        </w:tc>
        <w:tc>
          <w:tcPr>
            <w:tcW w:w="944" w:type="pct"/>
            <w:shd w:val="clear" w:color="auto" w:fill="auto"/>
            <w:vAlign w:val="center"/>
          </w:tcPr>
          <w:p w14:paraId="39B7251E" w14:textId="0D33FF7F" w:rsidR="00A37F23" w:rsidRPr="005F0CE8" w:rsidRDefault="00A37F23">
            <w:pPr>
              <w:rPr>
                <w:rFonts w:ascii="Arial Narrow" w:eastAsia="MS Gothic" w:hAnsi="Arial Narrow"/>
                <w:sz w:val="20"/>
                <w:szCs w:val="20"/>
              </w:rPr>
            </w:pPr>
            <w:r w:rsidRPr="005F0CE8">
              <w:rPr>
                <w:rFonts w:ascii="Arial Narrow" w:hAnsi="Arial Narrow"/>
                <w:sz w:val="20"/>
                <w:szCs w:val="20"/>
              </w:rPr>
              <w:t>107/921 (11.6)</w:t>
            </w:r>
          </w:p>
        </w:tc>
        <w:tc>
          <w:tcPr>
            <w:tcW w:w="943" w:type="pct"/>
            <w:shd w:val="clear" w:color="auto" w:fill="auto"/>
            <w:vAlign w:val="center"/>
          </w:tcPr>
          <w:p w14:paraId="4217C34B" w14:textId="4902D862" w:rsidR="00A37F23" w:rsidRPr="005F0CE8" w:rsidRDefault="00A37F23">
            <w:pPr>
              <w:rPr>
                <w:rFonts w:ascii="Arial Narrow" w:eastAsia="MS Gothic" w:hAnsi="Arial Narrow"/>
                <w:sz w:val="20"/>
                <w:szCs w:val="20"/>
              </w:rPr>
            </w:pPr>
            <w:r w:rsidRPr="005F0CE8">
              <w:rPr>
                <w:rFonts w:ascii="Arial Narrow" w:hAnsi="Arial Narrow"/>
                <w:sz w:val="20"/>
                <w:szCs w:val="20"/>
              </w:rPr>
              <w:t>172/ 915 (18.8)</w:t>
            </w:r>
          </w:p>
        </w:tc>
        <w:tc>
          <w:tcPr>
            <w:tcW w:w="865" w:type="pct"/>
            <w:shd w:val="clear" w:color="auto" w:fill="auto"/>
            <w:vAlign w:val="center"/>
          </w:tcPr>
          <w:p w14:paraId="24ABF475" w14:textId="7D9A9C9E" w:rsidR="00A37F23" w:rsidRPr="005F0CE8" w:rsidRDefault="009E35C5">
            <w:pPr>
              <w:rPr>
                <w:rFonts w:ascii="Arial Narrow" w:eastAsia="MS Gothic" w:hAnsi="Arial Narrow"/>
                <w:sz w:val="20"/>
                <w:szCs w:val="20"/>
              </w:rPr>
            </w:pPr>
            <w:r w:rsidRPr="005F0CE8">
              <w:rPr>
                <w:rFonts w:ascii="Arial Narrow" w:eastAsia="MS Gothic" w:hAnsi="Arial Narrow"/>
                <w:sz w:val="20"/>
                <w:szCs w:val="20"/>
              </w:rPr>
              <w:t>7.2</w:t>
            </w:r>
          </w:p>
        </w:tc>
        <w:tc>
          <w:tcPr>
            <w:tcW w:w="757" w:type="pct"/>
            <w:tcBorders>
              <w:bottom w:val="nil"/>
            </w:tcBorders>
            <w:shd w:val="clear" w:color="auto" w:fill="auto"/>
            <w:vAlign w:val="center"/>
          </w:tcPr>
          <w:p w14:paraId="73CDE8AB"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0.61 (0.48, 0.77)</w:t>
            </w:r>
          </w:p>
        </w:tc>
      </w:tr>
      <w:tr w:rsidR="00A37F23" w:rsidRPr="005F0CE8" w14:paraId="2658E2E4" w14:textId="77777777" w:rsidTr="00A37F23">
        <w:trPr>
          <w:trHeight w:val="20"/>
        </w:trPr>
        <w:tc>
          <w:tcPr>
            <w:tcW w:w="1491" w:type="pct"/>
            <w:shd w:val="clear" w:color="auto" w:fill="auto"/>
            <w:vAlign w:val="center"/>
          </w:tcPr>
          <w:p w14:paraId="3C02B36A" w14:textId="77777777" w:rsidR="00A37F23" w:rsidRPr="005F0CE8" w:rsidRDefault="00A37F23">
            <w:pPr>
              <w:rPr>
                <w:rFonts w:ascii="Arial Narrow" w:eastAsia="MS Gothic" w:hAnsi="Arial Narrow"/>
                <w:sz w:val="20"/>
                <w:szCs w:val="20"/>
              </w:rPr>
            </w:pPr>
            <w:r w:rsidRPr="005F0CE8">
              <w:rPr>
                <w:rFonts w:ascii="Arial Narrow" w:eastAsia="MS Gothic" w:hAnsi="Arial Narrow"/>
                <w:sz w:val="20"/>
                <w:szCs w:val="20"/>
              </w:rPr>
              <w:t>Progression free at 12 months (%)</w:t>
            </w:r>
          </w:p>
        </w:tc>
        <w:tc>
          <w:tcPr>
            <w:tcW w:w="944" w:type="pct"/>
            <w:shd w:val="clear" w:color="auto" w:fill="auto"/>
            <w:vAlign w:val="center"/>
          </w:tcPr>
          <w:p w14:paraId="4EA9CAC4"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94.4</w:t>
            </w:r>
          </w:p>
        </w:tc>
        <w:tc>
          <w:tcPr>
            <w:tcW w:w="943" w:type="pct"/>
            <w:shd w:val="clear" w:color="auto" w:fill="auto"/>
            <w:vAlign w:val="center"/>
          </w:tcPr>
          <w:p w14:paraId="62D49233"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90.3</w:t>
            </w:r>
          </w:p>
        </w:tc>
        <w:tc>
          <w:tcPr>
            <w:tcW w:w="865" w:type="pct"/>
            <w:shd w:val="clear" w:color="auto" w:fill="auto"/>
            <w:vAlign w:val="bottom"/>
          </w:tcPr>
          <w:p w14:paraId="0FF995EF"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4.1</w:t>
            </w:r>
          </w:p>
        </w:tc>
        <w:tc>
          <w:tcPr>
            <w:tcW w:w="757" w:type="pct"/>
            <w:tcBorders>
              <w:top w:val="nil"/>
              <w:bottom w:val="nil"/>
            </w:tcBorders>
            <w:shd w:val="clear" w:color="auto" w:fill="auto"/>
            <w:vAlign w:val="center"/>
          </w:tcPr>
          <w:p w14:paraId="74F99869"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P&lt;0.0001</w:t>
            </w:r>
          </w:p>
        </w:tc>
      </w:tr>
      <w:tr w:rsidR="00A37F23" w:rsidRPr="005F0CE8" w14:paraId="1A31EDC4" w14:textId="77777777" w:rsidTr="00A37F23">
        <w:trPr>
          <w:trHeight w:val="20"/>
        </w:trPr>
        <w:tc>
          <w:tcPr>
            <w:tcW w:w="1491" w:type="pct"/>
            <w:shd w:val="clear" w:color="auto" w:fill="auto"/>
            <w:vAlign w:val="center"/>
          </w:tcPr>
          <w:p w14:paraId="3B050A4A" w14:textId="77777777" w:rsidR="00A37F23" w:rsidRPr="005F0CE8" w:rsidRDefault="00A37F23">
            <w:pPr>
              <w:rPr>
                <w:rFonts w:ascii="Arial Narrow" w:eastAsia="MS Gothic" w:hAnsi="Arial Narrow"/>
                <w:sz w:val="20"/>
                <w:szCs w:val="20"/>
              </w:rPr>
            </w:pPr>
            <w:r w:rsidRPr="005F0CE8">
              <w:rPr>
                <w:rFonts w:ascii="Arial Narrow" w:eastAsia="MS Gothic" w:hAnsi="Arial Narrow"/>
                <w:sz w:val="20"/>
                <w:szCs w:val="20"/>
              </w:rPr>
              <w:t>Progression free at 24 months (%)</w:t>
            </w:r>
          </w:p>
        </w:tc>
        <w:tc>
          <w:tcPr>
            <w:tcW w:w="944" w:type="pct"/>
            <w:shd w:val="clear" w:color="auto" w:fill="auto"/>
            <w:vAlign w:val="center"/>
          </w:tcPr>
          <w:p w14:paraId="4B687AF8"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90.6</w:t>
            </w:r>
          </w:p>
        </w:tc>
        <w:tc>
          <w:tcPr>
            <w:tcW w:w="943" w:type="pct"/>
            <w:shd w:val="clear" w:color="auto" w:fill="auto"/>
            <w:vAlign w:val="center"/>
          </w:tcPr>
          <w:p w14:paraId="02425DE1"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84.0</w:t>
            </w:r>
          </w:p>
        </w:tc>
        <w:tc>
          <w:tcPr>
            <w:tcW w:w="865" w:type="pct"/>
            <w:shd w:val="clear" w:color="auto" w:fill="auto"/>
            <w:vAlign w:val="bottom"/>
          </w:tcPr>
          <w:p w14:paraId="471835CA"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6.6</w:t>
            </w:r>
          </w:p>
        </w:tc>
        <w:tc>
          <w:tcPr>
            <w:tcW w:w="757" w:type="pct"/>
            <w:tcBorders>
              <w:top w:val="nil"/>
              <w:bottom w:val="nil"/>
            </w:tcBorders>
            <w:shd w:val="clear" w:color="auto" w:fill="auto"/>
            <w:vAlign w:val="center"/>
          </w:tcPr>
          <w:p w14:paraId="06D450F1" w14:textId="77777777" w:rsidR="00A37F23" w:rsidRPr="005F0CE8" w:rsidRDefault="00A37F23">
            <w:pPr>
              <w:rPr>
                <w:rFonts w:ascii="Arial Narrow" w:eastAsia="MS Gothic" w:hAnsi="Arial Narrow"/>
                <w:sz w:val="20"/>
                <w:szCs w:val="20"/>
              </w:rPr>
            </w:pPr>
          </w:p>
        </w:tc>
      </w:tr>
      <w:tr w:rsidR="00A37F23" w:rsidRPr="005F0CE8" w14:paraId="567F1FF8" w14:textId="77777777" w:rsidTr="00A37F23">
        <w:trPr>
          <w:trHeight w:val="20"/>
        </w:trPr>
        <w:tc>
          <w:tcPr>
            <w:tcW w:w="1491" w:type="pct"/>
            <w:shd w:val="clear" w:color="auto" w:fill="auto"/>
            <w:vAlign w:val="center"/>
          </w:tcPr>
          <w:p w14:paraId="087B453C" w14:textId="77777777" w:rsidR="00A37F23" w:rsidRPr="005F0CE8" w:rsidRDefault="00A37F23">
            <w:pPr>
              <w:rPr>
                <w:rFonts w:ascii="Arial Narrow" w:eastAsia="MS Gothic" w:hAnsi="Arial Narrow"/>
                <w:sz w:val="20"/>
                <w:szCs w:val="20"/>
              </w:rPr>
            </w:pPr>
            <w:r w:rsidRPr="005F0CE8">
              <w:rPr>
                <w:rFonts w:ascii="Arial Narrow" w:eastAsia="MS Gothic" w:hAnsi="Arial Narrow"/>
                <w:sz w:val="20"/>
                <w:szCs w:val="20"/>
              </w:rPr>
              <w:t>Progression free at 36 months (%)</w:t>
            </w:r>
          </w:p>
        </w:tc>
        <w:tc>
          <w:tcPr>
            <w:tcW w:w="944" w:type="pct"/>
            <w:shd w:val="clear" w:color="auto" w:fill="auto"/>
            <w:vAlign w:val="center"/>
          </w:tcPr>
          <w:p w14:paraId="7C1BB7C8"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88.0</w:t>
            </w:r>
          </w:p>
        </w:tc>
        <w:tc>
          <w:tcPr>
            <w:tcW w:w="943" w:type="pct"/>
            <w:shd w:val="clear" w:color="auto" w:fill="auto"/>
            <w:vAlign w:val="center"/>
          </w:tcPr>
          <w:p w14:paraId="4E665B35"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81.0</w:t>
            </w:r>
          </w:p>
        </w:tc>
        <w:tc>
          <w:tcPr>
            <w:tcW w:w="865" w:type="pct"/>
            <w:shd w:val="clear" w:color="auto" w:fill="auto"/>
            <w:vAlign w:val="bottom"/>
          </w:tcPr>
          <w:p w14:paraId="47C5DB4B"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7.0</w:t>
            </w:r>
          </w:p>
        </w:tc>
        <w:tc>
          <w:tcPr>
            <w:tcW w:w="757" w:type="pct"/>
            <w:tcBorders>
              <w:top w:val="nil"/>
              <w:bottom w:val="nil"/>
            </w:tcBorders>
            <w:shd w:val="clear" w:color="auto" w:fill="auto"/>
            <w:vAlign w:val="center"/>
          </w:tcPr>
          <w:p w14:paraId="0C7A9A53" w14:textId="77777777" w:rsidR="00A37F23" w:rsidRPr="005F0CE8" w:rsidRDefault="00A37F23">
            <w:pPr>
              <w:rPr>
                <w:rFonts w:ascii="Arial Narrow" w:eastAsia="MS Gothic" w:hAnsi="Arial Narrow"/>
                <w:sz w:val="20"/>
                <w:szCs w:val="20"/>
              </w:rPr>
            </w:pPr>
          </w:p>
        </w:tc>
      </w:tr>
      <w:tr w:rsidR="00A37F23" w:rsidRPr="005F0CE8" w14:paraId="41A66A27" w14:textId="77777777" w:rsidTr="00A37F23">
        <w:trPr>
          <w:trHeight w:val="20"/>
        </w:trPr>
        <w:tc>
          <w:tcPr>
            <w:tcW w:w="1491" w:type="pct"/>
            <w:shd w:val="clear" w:color="auto" w:fill="auto"/>
            <w:vAlign w:val="center"/>
          </w:tcPr>
          <w:p w14:paraId="65FA4150" w14:textId="77777777" w:rsidR="00A37F23" w:rsidRPr="005F0CE8" w:rsidRDefault="00A37F23">
            <w:pPr>
              <w:rPr>
                <w:rFonts w:ascii="Arial Narrow" w:eastAsia="MS Gothic" w:hAnsi="Arial Narrow"/>
                <w:sz w:val="20"/>
                <w:szCs w:val="20"/>
              </w:rPr>
            </w:pPr>
            <w:r w:rsidRPr="005F0CE8">
              <w:rPr>
                <w:rFonts w:ascii="Arial Narrow" w:eastAsia="MS Gothic" w:hAnsi="Arial Narrow"/>
                <w:sz w:val="20"/>
                <w:szCs w:val="20"/>
              </w:rPr>
              <w:t>Progression free at 48 months (%)</w:t>
            </w:r>
          </w:p>
        </w:tc>
        <w:tc>
          <w:tcPr>
            <w:tcW w:w="944" w:type="pct"/>
            <w:shd w:val="clear" w:color="auto" w:fill="auto"/>
            <w:vAlign w:val="center"/>
          </w:tcPr>
          <w:p w14:paraId="4CA87A32"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86.5</w:t>
            </w:r>
          </w:p>
        </w:tc>
        <w:tc>
          <w:tcPr>
            <w:tcW w:w="943" w:type="pct"/>
            <w:shd w:val="clear" w:color="auto" w:fill="auto"/>
            <w:vAlign w:val="center"/>
          </w:tcPr>
          <w:p w14:paraId="7664ABB9"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79.1</w:t>
            </w:r>
          </w:p>
        </w:tc>
        <w:tc>
          <w:tcPr>
            <w:tcW w:w="865" w:type="pct"/>
            <w:shd w:val="clear" w:color="auto" w:fill="auto"/>
            <w:vAlign w:val="bottom"/>
          </w:tcPr>
          <w:p w14:paraId="0F1CD710" w14:textId="77777777" w:rsidR="00A37F23" w:rsidRPr="005F0CE8" w:rsidRDefault="00A37F23">
            <w:pPr>
              <w:rPr>
                <w:rFonts w:ascii="Arial Narrow" w:eastAsia="MS Gothic" w:hAnsi="Arial Narrow"/>
                <w:sz w:val="20"/>
                <w:szCs w:val="20"/>
              </w:rPr>
            </w:pPr>
            <w:r w:rsidRPr="005F0CE8">
              <w:rPr>
                <w:rFonts w:ascii="Arial Narrow" w:hAnsi="Arial Narrow"/>
                <w:sz w:val="20"/>
                <w:szCs w:val="20"/>
              </w:rPr>
              <w:t>7.4</w:t>
            </w:r>
          </w:p>
        </w:tc>
        <w:tc>
          <w:tcPr>
            <w:tcW w:w="757" w:type="pct"/>
            <w:tcBorders>
              <w:top w:val="nil"/>
            </w:tcBorders>
            <w:shd w:val="clear" w:color="auto" w:fill="auto"/>
            <w:vAlign w:val="center"/>
          </w:tcPr>
          <w:p w14:paraId="60734838" w14:textId="77777777" w:rsidR="00A37F23" w:rsidRPr="005F0CE8" w:rsidRDefault="00A37F23">
            <w:pPr>
              <w:rPr>
                <w:rFonts w:ascii="Arial Narrow" w:eastAsia="MS Gothic" w:hAnsi="Arial Narrow"/>
                <w:sz w:val="20"/>
                <w:szCs w:val="20"/>
              </w:rPr>
            </w:pPr>
          </w:p>
        </w:tc>
      </w:tr>
    </w:tbl>
    <w:tbl>
      <w:tblPr>
        <w:tblStyle w:val="Summarybox1"/>
        <w:tblW w:w="5000" w:type="pct"/>
        <w:tblLayout w:type="fixed"/>
        <w:tblLook w:val="04A0" w:firstRow="1" w:lastRow="0" w:firstColumn="1" w:lastColumn="0" w:noHBand="0" w:noVBand="1"/>
      </w:tblPr>
      <w:tblGrid>
        <w:gridCol w:w="1157"/>
        <w:gridCol w:w="1143"/>
        <w:gridCol w:w="70"/>
        <w:gridCol w:w="1214"/>
        <w:gridCol w:w="1555"/>
        <w:gridCol w:w="1133"/>
        <w:gridCol w:w="1239"/>
        <w:gridCol w:w="1506"/>
      </w:tblGrid>
      <w:tr w:rsidR="00E61F86" w:rsidRPr="005F0CE8" w14:paraId="066F814F" w14:textId="77777777" w:rsidTr="00A37F23">
        <w:tc>
          <w:tcPr>
            <w:tcW w:w="5000" w:type="pct"/>
            <w:gridSpan w:val="8"/>
          </w:tcPr>
          <w:p w14:paraId="0E6CFE96" w14:textId="77777777" w:rsidR="00E61F86" w:rsidRPr="005F0CE8" w:rsidRDefault="00E61F86" w:rsidP="00E61F86">
            <w:pPr>
              <w:pStyle w:val="In-tableHeading"/>
              <w:rPr>
                <w:lang w:val="en-AU"/>
              </w:rPr>
            </w:pPr>
            <w:r w:rsidRPr="005F0CE8">
              <w:rPr>
                <w:lang w:val="en-AU"/>
              </w:rPr>
              <w:t xml:space="preserve">Harms </w:t>
            </w:r>
          </w:p>
        </w:tc>
      </w:tr>
      <w:tr w:rsidR="00BF6F68" w:rsidRPr="005F0CE8" w14:paraId="0270B0C3" w14:textId="77777777" w:rsidTr="00A37F23">
        <w:trPr>
          <w:trHeight w:val="70"/>
        </w:trPr>
        <w:tc>
          <w:tcPr>
            <w:tcW w:w="642" w:type="pct"/>
            <w:vMerge w:val="restart"/>
          </w:tcPr>
          <w:p w14:paraId="7EC06BBE" w14:textId="77777777" w:rsidR="00BF6F68" w:rsidRPr="005F0CE8" w:rsidRDefault="00BF6F68" w:rsidP="00E61F86">
            <w:pPr>
              <w:pStyle w:val="In-tableHeading"/>
              <w:rPr>
                <w:lang w:val="en-AU"/>
              </w:rPr>
            </w:pPr>
          </w:p>
        </w:tc>
        <w:tc>
          <w:tcPr>
            <w:tcW w:w="1346" w:type="pct"/>
            <w:gridSpan w:val="3"/>
          </w:tcPr>
          <w:p w14:paraId="5280C729" w14:textId="79A7B306" w:rsidR="00BF6F68" w:rsidRPr="005F0CE8" w:rsidRDefault="00BF6F68" w:rsidP="00BF6F68">
            <w:pPr>
              <w:pStyle w:val="In-tableHeading"/>
              <w:jc w:val="center"/>
              <w:rPr>
                <w:lang w:val="en-AU"/>
              </w:rPr>
            </w:pPr>
            <w:r w:rsidRPr="005F0CE8">
              <w:rPr>
                <w:lang w:val="en-AU"/>
              </w:rPr>
              <w:t>Events</w:t>
            </w:r>
          </w:p>
        </w:tc>
        <w:tc>
          <w:tcPr>
            <w:tcW w:w="862" w:type="pct"/>
            <w:vMerge w:val="restart"/>
          </w:tcPr>
          <w:p w14:paraId="31654C6F" w14:textId="77777777" w:rsidR="00BF6F68" w:rsidRPr="005F0CE8" w:rsidRDefault="00BF6F68" w:rsidP="00E61F86">
            <w:pPr>
              <w:pStyle w:val="In-tableHeading"/>
              <w:jc w:val="center"/>
              <w:rPr>
                <w:lang w:val="en-AU"/>
              </w:rPr>
            </w:pPr>
            <w:r w:rsidRPr="005F0CE8">
              <w:rPr>
                <w:lang w:val="en-AU"/>
              </w:rPr>
              <w:t>RR</w:t>
            </w:r>
          </w:p>
          <w:p w14:paraId="1631FE51" w14:textId="77777777" w:rsidR="00BF6F68" w:rsidRPr="005F0CE8" w:rsidRDefault="00BF6F68" w:rsidP="00E61F86">
            <w:pPr>
              <w:pStyle w:val="In-tableHeading"/>
              <w:jc w:val="center"/>
              <w:rPr>
                <w:lang w:val="en-AU"/>
              </w:rPr>
            </w:pPr>
            <w:r w:rsidRPr="005F0CE8">
              <w:rPr>
                <w:lang w:val="en-AU"/>
              </w:rPr>
              <w:t>(95% CI)</w:t>
            </w:r>
          </w:p>
        </w:tc>
        <w:tc>
          <w:tcPr>
            <w:tcW w:w="1315" w:type="pct"/>
            <w:gridSpan w:val="2"/>
          </w:tcPr>
          <w:p w14:paraId="16F6218D" w14:textId="77777777" w:rsidR="00BF6F68" w:rsidRPr="005F0CE8" w:rsidRDefault="00BF6F68" w:rsidP="00E61F86">
            <w:pPr>
              <w:pStyle w:val="In-tableHeading"/>
              <w:jc w:val="center"/>
              <w:rPr>
                <w:lang w:val="en-AU"/>
              </w:rPr>
            </w:pPr>
            <w:r w:rsidRPr="005F0CE8">
              <w:rPr>
                <w:lang w:val="en-AU"/>
              </w:rPr>
              <w:t>Event rate/100 patients*</w:t>
            </w:r>
          </w:p>
        </w:tc>
        <w:tc>
          <w:tcPr>
            <w:tcW w:w="835" w:type="pct"/>
            <w:vMerge w:val="restart"/>
          </w:tcPr>
          <w:p w14:paraId="7B71D391" w14:textId="77777777" w:rsidR="00BF6F68" w:rsidRPr="005F0CE8" w:rsidRDefault="00BF6F68" w:rsidP="00E61F86">
            <w:pPr>
              <w:pStyle w:val="In-tableHeading"/>
              <w:jc w:val="center"/>
              <w:rPr>
                <w:lang w:val="en-AU"/>
              </w:rPr>
            </w:pPr>
            <w:r w:rsidRPr="005F0CE8">
              <w:rPr>
                <w:lang w:val="en-AU"/>
              </w:rPr>
              <w:t>RD</w:t>
            </w:r>
          </w:p>
          <w:p w14:paraId="58CE6E77" w14:textId="77777777" w:rsidR="00BF6F68" w:rsidRPr="005F0CE8" w:rsidRDefault="00BF6F68" w:rsidP="00E61F86">
            <w:pPr>
              <w:pStyle w:val="In-tableHeading"/>
              <w:jc w:val="center"/>
              <w:rPr>
                <w:lang w:val="en-AU"/>
              </w:rPr>
            </w:pPr>
            <w:r w:rsidRPr="005F0CE8">
              <w:rPr>
                <w:lang w:val="en-AU"/>
              </w:rPr>
              <w:t>(95% CI)</w:t>
            </w:r>
          </w:p>
        </w:tc>
      </w:tr>
      <w:tr w:rsidR="00BF6F68" w:rsidRPr="005F0CE8" w14:paraId="1C3D87FF" w14:textId="77777777" w:rsidTr="00A37F23">
        <w:trPr>
          <w:trHeight w:val="390"/>
        </w:trPr>
        <w:tc>
          <w:tcPr>
            <w:tcW w:w="642" w:type="pct"/>
            <w:vMerge/>
          </w:tcPr>
          <w:p w14:paraId="3839E109" w14:textId="77777777" w:rsidR="00BF6F68" w:rsidRPr="005F0CE8" w:rsidRDefault="00BF6F68" w:rsidP="00BF6F68">
            <w:pPr>
              <w:pStyle w:val="In-tableHeading"/>
              <w:rPr>
                <w:lang w:val="en-AU"/>
              </w:rPr>
            </w:pPr>
          </w:p>
        </w:tc>
        <w:tc>
          <w:tcPr>
            <w:tcW w:w="673" w:type="pct"/>
            <w:gridSpan w:val="2"/>
          </w:tcPr>
          <w:p w14:paraId="41FCA9B9" w14:textId="77777777" w:rsidR="00BF6F68" w:rsidRPr="005F0CE8" w:rsidRDefault="00BF6F68" w:rsidP="00BF6F68">
            <w:pPr>
              <w:pStyle w:val="In-tableHeading"/>
              <w:jc w:val="center"/>
              <w:rPr>
                <w:lang w:val="en-AU"/>
              </w:rPr>
            </w:pPr>
            <w:r w:rsidRPr="005F0CE8">
              <w:rPr>
                <w:lang w:val="en-AU"/>
              </w:rPr>
              <w:t>Olaparib</w:t>
            </w:r>
          </w:p>
          <w:p w14:paraId="0F88EECF" w14:textId="1507E6D1" w:rsidR="00BF6F68" w:rsidRPr="005F0CE8" w:rsidRDefault="00BF6F68" w:rsidP="00BF6F68">
            <w:pPr>
              <w:pStyle w:val="In-tableHeading"/>
              <w:jc w:val="center"/>
              <w:rPr>
                <w:lang w:val="en-AU"/>
              </w:rPr>
            </w:pPr>
            <w:r w:rsidRPr="005F0CE8">
              <w:rPr>
                <w:lang w:val="en-AU"/>
              </w:rPr>
              <w:t>n/N</w:t>
            </w:r>
          </w:p>
        </w:tc>
        <w:tc>
          <w:tcPr>
            <w:tcW w:w="673" w:type="pct"/>
          </w:tcPr>
          <w:p w14:paraId="6B2E93C6" w14:textId="77777777" w:rsidR="00BF6F68" w:rsidRPr="005F0CE8" w:rsidRDefault="00BF6F68" w:rsidP="00BF6F68">
            <w:pPr>
              <w:pStyle w:val="In-tableHeading"/>
              <w:jc w:val="center"/>
              <w:rPr>
                <w:lang w:val="en-AU"/>
              </w:rPr>
            </w:pPr>
            <w:r w:rsidRPr="005F0CE8">
              <w:rPr>
                <w:lang w:val="en-AU"/>
              </w:rPr>
              <w:t>Placebo</w:t>
            </w:r>
          </w:p>
          <w:p w14:paraId="4BAD7B96" w14:textId="74E80771" w:rsidR="00BF6F68" w:rsidRPr="005F0CE8" w:rsidRDefault="00BF6F68" w:rsidP="00BF6F68">
            <w:pPr>
              <w:pStyle w:val="In-tableHeading"/>
              <w:jc w:val="center"/>
              <w:rPr>
                <w:lang w:val="en-AU"/>
              </w:rPr>
            </w:pPr>
            <w:r w:rsidRPr="005F0CE8">
              <w:rPr>
                <w:lang w:val="en-AU"/>
              </w:rPr>
              <w:t>n/N</w:t>
            </w:r>
          </w:p>
        </w:tc>
        <w:tc>
          <w:tcPr>
            <w:tcW w:w="862" w:type="pct"/>
            <w:vMerge/>
          </w:tcPr>
          <w:p w14:paraId="596B0641" w14:textId="77777777" w:rsidR="00BF6F68" w:rsidRPr="005F0CE8" w:rsidRDefault="00BF6F68" w:rsidP="00BF6F68">
            <w:pPr>
              <w:pStyle w:val="In-tableHeading"/>
              <w:rPr>
                <w:lang w:val="en-AU"/>
              </w:rPr>
            </w:pPr>
          </w:p>
        </w:tc>
        <w:tc>
          <w:tcPr>
            <w:tcW w:w="628" w:type="pct"/>
          </w:tcPr>
          <w:p w14:paraId="79DBC081" w14:textId="204CC259" w:rsidR="00BF6F68" w:rsidRPr="005F0CE8" w:rsidRDefault="00BF6F68" w:rsidP="00BF6F68">
            <w:pPr>
              <w:pStyle w:val="In-tableHeading"/>
              <w:jc w:val="center"/>
              <w:rPr>
                <w:lang w:val="en-AU"/>
              </w:rPr>
            </w:pPr>
            <w:r w:rsidRPr="005F0CE8">
              <w:rPr>
                <w:lang w:val="en-AU"/>
              </w:rPr>
              <w:t>Olaparib</w:t>
            </w:r>
          </w:p>
        </w:tc>
        <w:tc>
          <w:tcPr>
            <w:tcW w:w="687" w:type="pct"/>
          </w:tcPr>
          <w:p w14:paraId="6B8DEC2A" w14:textId="738B5DC7" w:rsidR="00BF6F68" w:rsidRPr="005F0CE8" w:rsidRDefault="00BF6F68" w:rsidP="00BF6F68">
            <w:pPr>
              <w:pStyle w:val="In-tableHeading"/>
              <w:jc w:val="center"/>
              <w:rPr>
                <w:lang w:val="en-AU"/>
              </w:rPr>
            </w:pPr>
            <w:r w:rsidRPr="005F0CE8">
              <w:rPr>
                <w:lang w:val="en-AU"/>
              </w:rPr>
              <w:t>Placebo</w:t>
            </w:r>
          </w:p>
        </w:tc>
        <w:tc>
          <w:tcPr>
            <w:tcW w:w="835" w:type="pct"/>
            <w:vMerge/>
          </w:tcPr>
          <w:p w14:paraId="3EAA098F" w14:textId="77777777" w:rsidR="00BF6F68" w:rsidRPr="005F0CE8" w:rsidRDefault="00BF6F68" w:rsidP="00BF6F68">
            <w:pPr>
              <w:pStyle w:val="In-tableHeading"/>
              <w:rPr>
                <w:lang w:val="en-AU"/>
              </w:rPr>
            </w:pPr>
          </w:p>
        </w:tc>
      </w:tr>
      <w:tr w:rsidR="00BF6F68" w:rsidRPr="005F0CE8" w14:paraId="5E34C079" w14:textId="77777777" w:rsidTr="00A37F23">
        <w:tc>
          <w:tcPr>
            <w:tcW w:w="5000" w:type="pct"/>
            <w:gridSpan w:val="8"/>
          </w:tcPr>
          <w:p w14:paraId="7F96FB54" w14:textId="17A7E4F2" w:rsidR="00BF6F68" w:rsidRPr="005F0CE8" w:rsidRDefault="00BF6F68" w:rsidP="00BF6F68">
            <w:pPr>
              <w:pStyle w:val="In-tableHeading"/>
              <w:rPr>
                <w:lang w:val="en-AU"/>
              </w:rPr>
            </w:pPr>
            <w:r w:rsidRPr="005F0CE8">
              <w:rPr>
                <w:lang w:val="en-AU"/>
              </w:rPr>
              <w:t>OlympiA</w:t>
            </w:r>
          </w:p>
        </w:tc>
      </w:tr>
      <w:tr w:rsidR="00BF6F68" w:rsidRPr="005F0CE8" w14:paraId="71078159" w14:textId="77777777" w:rsidTr="00A37F23">
        <w:tc>
          <w:tcPr>
            <w:tcW w:w="642" w:type="pct"/>
          </w:tcPr>
          <w:p w14:paraId="28C8BEA5" w14:textId="4D1D5498" w:rsidR="00BF6F68" w:rsidRPr="005F0CE8" w:rsidRDefault="00BF6F68" w:rsidP="00BF6F68">
            <w:pPr>
              <w:pStyle w:val="TableText0"/>
            </w:pPr>
            <w:r w:rsidRPr="005F0CE8">
              <w:t>Any TEAE</w:t>
            </w:r>
          </w:p>
        </w:tc>
        <w:tc>
          <w:tcPr>
            <w:tcW w:w="634" w:type="pct"/>
          </w:tcPr>
          <w:p w14:paraId="38468DDE" w14:textId="49ACBB8D" w:rsidR="00BF6F68" w:rsidRPr="005F0CE8" w:rsidRDefault="00BF6F68" w:rsidP="00BF6F68">
            <w:pPr>
              <w:pStyle w:val="TableText0"/>
              <w:jc w:val="center"/>
            </w:pPr>
            <w:r w:rsidRPr="005F0CE8">
              <w:t>736/911 (80.8)</w:t>
            </w:r>
          </w:p>
        </w:tc>
        <w:tc>
          <w:tcPr>
            <w:tcW w:w="712" w:type="pct"/>
            <w:gridSpan w:val="2"/>
          </w:tcPr>
          <w:p w14:paraId="05BD53E5" w14:textId="02A3E5DF" w:rsidR="00BF6F68" w:rsidRPr="005F0CE8" w:rsidRDefault="00BF6F68" w:rsidP="00BF6F68">
            <w:pPr>
              <w:pStyle w:val="TableText0"/>
              <w:jc w:val="center"/>
            </w:pPr>
            <w:r w:rsidRPr="005F0CE8">
              <w:t>480/904 (53.1)</w:t>
            </w:r>
          </w:p>
        </w:tc>
        <w:tc>
          <w:tcPr>
            <w:tcW w:w="862" w:type="pct"/>
          </w:tcPr>
          <w:p w14:paraId="2B24AC45" w14:textId="3D50BBBC" w:rsidR="00BF6F68" w:rsidRPr="005F0CE8" w:rsidRDefault="00BF6F68" w:rsidP="00BF6F68">
            <w:pPr>
              <w:pStyle w:val="TableText0"/>
              <w:jc w:val="center"/>
              <w:rPr>
                <w:b/>
                <w:bCs w:val="0"/>
              </w:rPr>
            </w:pPr>
            <w:r w:rsidRPr="005F0CE8">
              <w:rPr>
                <w:b/>
                <w:bCs w:val="0"/>
              </w:rPr>
              <w:t>1.52 (1.42, 1.63)</w:t>
            </w:r>
          </w:p>
        </w:tc>
        <w:tc>
          <w:tcPr>
            <w:tcW w:w="628" w:type="pct"/>
          </w:tcPr>
          <w:p w14:paraId="38F18F4F" w14:textId="5BA53FB1" w:rsidR="00BF6F68" w:rsidRPr="005F0CE8" w:rsidRDefault="00BF6F68" w:rsidP="00BF6F68">
            <w:pPr>
              <w:pStyle w:val="TableText0"/>
              <w:jc w:val="center"/>
            </w:pPr>
            <w:r w:rsidRPr="005F0CE8">
              <w:t>81/100</w:t>
            </w:r>
          </w:p>
        </w:tc>
        <w:tc>
          <w:tcPr>
            <w:tcW w:w="687" w:type="pct"/>
          </w:tcPr>
          <w:p w14:paraId="2613A50A" w14:textId="51676D5D" w:rsidR="00BF6F68" w:rsidRPr="005F0CE8" w:rsidRDefault="00BF6F68" w:rsidP="00BF6F68">
            <w:pPr>
              <w:pStyle w:val="TableText0"/>
              <w:jc w:val="center"/>
            </w:pPr>
            <w:r w:rsidRPr="005F0CE8">
              <w:t>53/100</w:t>
            </w:r>
          </w:p>
        </w:tc>
        <w:tc>
          <w:tcPr>
            <w:tcW w:w="835" w:type="pct"/>
          </w:tcPr>
          <w:p w14:paraId="0E731C0B" w14:textId="7ED166B8" w:rsidR="00BF6F68" w:rsidRPr="005F0CE8" w:rsidRDefault="00BF6F68" w:rsidP="00BF6F68">
            <w:pPr>
              <w:pStyle w:val="TableText0"/>
              <w:jc w:val="center"/>
              <w:rPr>
                <w:b/>
                <w:bCs w:val="0"/>
              </w:rPr>
            </w:pPr>
            <w:r w:rsidRPr="005F0CE8">
              <w:rPr>
                <w:b/>
                <w:bCs w:val="0"/>
              </w:rPr>
              <w:t xml:space="preserve">-27.7 (-31.83, </w:t>
            </w:r>
            <w:r w:rsidRPr="005F0CE8">
              <w:rPr>
                <w:b/>
                <w:bCs w:val="0"/>
              </w:rPr>
              <w:br/>
              <w:t>-23.55,)</w:t>
            </w:r>
          </w:p>
        </w:tc>
      </w:tr>
      <w:tr w:rsidR="00BF6F68" w:rsidRPr="005F0CE8" w14:paraId="76177411" w14:textId="77777777" w:rsidTr="00A37F23">
        <w:tc>
          <w:tcPr>
            <w:tcW w:w="642" w:type="pct"/>
          </w:tcPr>
          <w:p w14:paraId="64F203AE" w14:textId="3F8DAEA7" w:rsidR="00BF6F68" w:rsidRPr="005F0CE8" w:rsidRDefault="00BF6F68" w:rsidP="00BF6F68">
            <w:pPr>
              <w:pStyle w:val="TableText0"/>
            </w:pPr>
            <w:r w:rsidRPr="005F0CE8">
              <w:t xml:space="preserve">AEs grade </w:t>
            </w:r>
            <w:r w:rsidRPr="005F0CE8">
              <w:rPr>
                <w:rFonts w:ascii="Symbol" w:eastAsia="Symbol" w:hAnsi="Symbol" w:cs="Symbol"/>
              </w:rPr>
              <w:t></w:t>
            </w:r>
            <w:r w:rsidRPr="005F0CE8">
              <w:t>3</w:t>
            </w:r>
          </w:p>
        </w:tc>
        <w:tc>
          <w:tcPr>
            <w:tcW w:w="634" w:type="pct"/>
          </w:tcPr>
          <w:p w14:paraId="33841A14" w14:textId="5645F208" w:rsidR="00BF6F68" w:rsidRPr="005F0CE8" w:rsidRDefault="00BF6F68" w:rsidP="00BF6F68">
            <w:pPr>
              <w:pStyle w:val="TableText0"/>
              <w:jc w:val="center"/>
            </w:pPr>
            <w:r w:rsidRPr="005F0CE8">
              <w:t>223/911 (24.5)</w:t>
            </w:r>
          </w:p>
        </w:tc>
        <w:tc>
          <w:tcPr>
            <w:tcW w:w="712" w:type="pct"/>
            <w:gridSpan w:val="2"/>
          </w:tcPr>
          <w:p w14:paraId="6DE9525F" w14:textId="5463013C" w:rsidR="00BF6F68" w:rsidRPr="005F0CE8" w:rsidRDefault="00BF6F68" w:rsidP="00BF6F68">
            <w:pPr>
              <w:pStyle w:val="TableText0"/>
              <w:jc w:val="center"/>
            </w:pPr>
            <w:r w:rsidRPr="005F0CE8">
              <w:t>102/904 (11.3)</w:t>
            </w:r>
          </w:p>
        </w:tc>
        <w:tc>
          <w:tcPr>
            <w:tcW w:w="862" w:type="pct"/>
          </w:tcPr>
          <w:p w14:paraId="3746938B" w14:textId="2CDD4BF2" w:rsidR="00BF6F68" w:rsidRPr="005F0CE8" w:rsidRDefault="00BF6F68" w:rsidP="00BF6F68">
            <w:pPr>
              <w:pStyle w:val="TableText0"/>
              <w:jc w:val="center"/>
              <w:rPr>
                <w:b/>
                <w:bCs w:val="0"/>
              </w:rPr>
            </w:pPr>
            <w:r w:rsidRPr="005F0CE8">
              <w:rPr>
                <w:b/>
                <w:bCs w:val="0"/>
              </w:rPr>
              <w:t>2.17 (1.75, 2.69)</w:t>
            </w:r>
          </w:p>
        </w:tc>
        <w:tc>
          <w:tcPr>
            <w:tcW w:w="628" w:type="pct"/>
          </w:tcPr>
          <w:p w14:paraId="29970EAB" w14:textId="53DA4A6D" w:rsidR="00BF6F68" w:rsidRPr="005F0CE8" w:rsidRDefault="00BF6F68" w:rsidP="00BF6F68">
            <w:pPr>
              <w:pStyle w:val="TableText0"/>
              <w:jc w:val="center"/>
            </w:pPr>
            <w:r w:rsidRPr="005F0CE8">
              <w:t>24/100</w:t>
            </w:r>
          </w:p>
        </w:tc>
        <w:tc>
          <w:tcPr>
            <w:tcW w:w="687" w:type="pct"/>
          </w:tcPr>
          <w:p w14:paraId="231A816D" w14:textId="4B0EE04F" w:rsidR="00BF6F68" w:rsidRPr="005F0CE8" w:rsidRDefault="00BF6F68" w:rsidP="00BF6F68">
            <w:pPr>
              <w:pStyle w:val="TableText0"/>
              <w:jc w:val="center"/>
            </w:pPr>
            <w:r w:rsidRPr="005F0CE8">
              <w:t>11/100</w:t>
            </w:r>
          </w:p>
        </w:tc>
        <w:tc>
          <w:tcPr>
            <w:tcW w:w="835" w:type="pct"/>
          </w:tcPr>
          <w:p w14:paraId="2725F43C" w14:textId="425EA2B2" w:rsidR="00BF6F68" w:rsidRPr="005F0CE8" w:rsidRDefault="00BF6F68" w:rsidP="00BF6F68">
            <w:pPr>
              <w:pStyle w:val="TableText0"/>
              <w:jc w:val="center"/>
              <w:rPr>
                <w:b/>
                <w:bCs w:val="0"/>
              </w:rPr>
            </w:pPr>
            <w:r w:rsidRPr="005F0CE8">
              <w:rPr>
                <w:b/>
                <w:bCs w:val="0"/>
              </w:rPr>
              <w:t xml:space="preserve">-13.2 (-16.67, </w:t>
            </w:r>
            <w:r w:rsidRPr="005F0CE8">
              <w:rPr>
                <w:b/>
                <w:bCs w:val="0"/>
              </w:rPr>
              <w:br/>
              <w:t>-9.72)</w:t>
            </w:r>
          </w:p>
        </w:tc>
      </w:tr>
      <w:tr w:rsidR="00BF6F68" w:rsidRPr="005F0CE8" w14:paraId="323360D1" w14:textId="77777777" w:rsidTr="00A37F23">
        <w:tc>
          <w:tcPr>
            <w:tcW w:w="642" w:type="pct"/>
          </w:tcPr>
          <w:p w14:paraId="4456AFC9" w14:textId="4F76B489" w:rsidR="00BF6F68" w:rsidRPr="005F0CE8" w:rsidRDefault="00BF6F68" w:rsidP="00BF6F68">
            <w:pPr>
              <w:pStyle w:val="TableText0"/>
            </w:pPr>
            <w:r w:rsidRPr="005F0CE8">
              <w:t xml:space="preserve">Grade </w:t>
            </w:r>
            <w:r w:rsidRPr="005F0CE8">
              <w:rPr>
                <w:rFonts w:ascii="Symbol" w:eastAsia="Symbol" w:hAnsi="Symbol" w:cs="Symbol"/>
              </w:rPr>
              <w:t></w:t>
            </w:r>
            <w:r w:rsidRPr="005F0CE8">
              <w:t>3 Anaemia</w:t>
            </w:r>
          </w:p>
        </w:tc>
        <w:tc>
          <w:tcPr>
            <w:tcW w:w="634" w:type="pct"/>
          </w:tcPr>
          <w:p w14:paraId="4CA28411" w14:textId="6039E9EC" w:rsidR="00BF6F68" w:rsidRPr="005F0CE8" w:rsidRDefault="00BF6F68" w:rsidP="00BF6F68">
            <w:pPr>
              <w:pStyle w:val="TableText0"/>
              <w:jc w:val="center"/>
            </w:pPr>
            <w:r w:rsidRPr="005F0CE8">
              <w:t>79/911 (8.7%)</w:t>
            </w:r>
          </w:p>
        </w:tc>
        <w:tc>
          <w:tcPr>
            <w:tcW w:w="712" w:type="pct"/>
            <w:gridSpan w:val="2"/>
          </w:tcPr>
          <w:p w14:paraId="11B1560C" w14:textId="28CFF022" w:rsidR="00BF6F68" w:rsidRPr="005F0CE8" w:rsidRDefault="00BF6F68" w:rsidP="00BF6F68">
            <w:pPr>
              <w:pStyle w:val="TableText0"/>
              <w:jc w:val="center"/>
            </w:pPr>
            <w:r w:rsidRPr="005F0CE8">
              <w:t>3/904 (0.3%)</w:t>
            </w:r>
          </w:p>
        </w:tc>
        <w:tc>
          <w:tcPr>
            <w:tcW w:w="862" w:type="pct"/>
          </w:tcPr>
          <w:p w14:paraId="5B3EC3FA" w14:textId="15005986" w:rsidR="00BF6F68" w:rsidRPr="005F0CE8" w:rsidRDefault="00BF6F68" w:rsidP="00BF6F68">
            <w:pPr>
              <w:pStyle w:val="TableText0"/>
              <w:jc w:val="center"/>
              <w:rPr>
                <w:b/>
                <w:bCs w:val="0"/>
              </w:rPr>
            </w:pPr>
            <w:r w:rsidRPr="005F0CE8">
              <w:rPr>
                <w:b/>
                <w:bCs w:val="0"/>
              </w:rPr>
              <w:t>26.13 (8.28, 82.46)</w:t>
            </w:r>
          </w:p>
        </w:tc>
        <w:tc>
          <w:tcPr>
            <w:tcW w:w="628" w:type="pct"/>
          </w:tcPr>
          <w:p w14:paraId="11F141D0" w14:textId="4E5B542E" w:rsidR="00BF6F68" w:rsidRPr="005F0CE8" w:rsidRDefault="00BF6F68" w:rsidP="00BF6F68">
            <w:pPr>
              <w:pStyle w:val="TableText0"/>
              <w:jc w:val="center"/>
            </w:pPr>
            <w:r w:rsidRPr="005F0CE8">
              <w:t>9/100</w:t>
            </w:r>
          </w:p>
        </w:tc>
        <w:tc>
          <w:tcPr>
            <w:tcW w:w="687" w:type="pct"/>
          </w:tcPr>
          <w:p w14:paraId="6F7682EE" w14:textId="359D46A9" w:rsidR="00BF6F68" w:rsidRPr="005F0CE8" w:rsidRDefault="00BF6F68" w:rsidP="00BF6F68">
            <w:pPr>
              <w:pStyle w:val="TableText0"/>
              <w:jc w:val="center"/>
            </w:pPr>
            <w:r w:rsidRPr="005F0CE8">
              <w:t>1/100</w:t>
            </w:r>
          </w:p>
        </w:tc>
        <w:tc>
          <w:tcPr>
            <w:tcW w:w="835" w:type="pct"/>
          </w:tcPr>
          <w:p w14:paraId="3089D168" w14:textId="79DFD69D" w:rsidR="00BF6F68" w:rsidRPr="005F0CE8" w:rsidRDefault="00BF6F68" w:rsidP="00BF6F68">
            <w:pPr>
              <w:pStyle w:val="TableText0"/>
              <w:jc w:val="center"/>
              <w:rPr>
                <w:b/>
                <w:bCs w:val="0"/>
              </w:rPr>
            </w:pPr>
            <w:r w:rsidRPr="005F0CE8">
              <w:rPr>
                <w:b/>
                <w:bCs w:val="0"/>
              </w:rPr>
              <w:t>-8.3 (-10.21, -6.47)</w:t>
            </w:r>
          </w:p>
        </w:tc>
      </w:tr>
      <w:tr w:rsidR="00BF6F68" w:rsidRPr="005F0CE8" w14:paraId="441A4130" w14:textId="77777777" w:rsidTr="00A37F23">
        <w:tc>
          <w:tcPr>
            <w:tcW w:w="642" w:type="pct"/>
          </w:tcPr>
          <w:p w14:paraId="3B7A3940" w14:textId="11D7B099" w:rsidR="00BF6F68" w:rsidRPr="005F0CE8" w:rsidRDefault="00BF6F68" w:rsidP="00BF6F68">
            <w:pPr>
              <w:pStyle w:val="TableText0"/>
            </w:pPr>
            <w:r w:rsidRPr="005F0CE8">
              <w:t xml:space="preserve">Grade </w:t>
            </w:r>
            <w:r w:rsidRPr="005F0CE8">
              <w:rPr>
                <w:rFonts w:ascii="Symbol" w:eastAsia="Symbol" w:hAnsi="Symbol" w:cs="Symbol"/>
              </w:rPr>
              <w:t></w:t>
            </w:r>
            <w:r w:rsidRPr="005F0CE8">
              <w:t>3 Neutrophil count decrease</w:t>
            </w:r>
          </w:p>
        </w:tc>
        <w:tc>
          <w:tcPr>
            <w:tcW w:w="634" w:type="pct"/>
          </w:tcPr>
          <w:p w14:paraId="5AF32543" w14:textId="05B0ED2A" w:rsidR="00BF6F68" w:rsidRPr="005F0CE8" w:rsidRDefault="00BF6F68" w:rsidP="00BF6F68">
            <w:pPr>
              <w:pStyle w:val="TableText0"/>
              <w:jc w:val="center"/>
            </w:pPr>
            <w:r w:rsidRPr="005F0CE8">
              <w:t>45/911 (4.9%)</w:t>
            </w:r>
          </w:p>
        </w:tc>
        <w:tc>
          <w:tcPr>
            <w:tcW w:w="712" w:type="pct"/>
            <w:gridSpan w:val="2"/>
          </w:tcPr>
          <w:p w14:paraId="3CE97373" w14:textId="4E210DDD" w:rsidR="00BF6F68" w:rsidRPr="005F0CE8" w:rsidRDefault="00BF6F68" w:rsidP="00BF6F68">
            <w:pPr>
              <w:pStyle w:val="TableText0"/>
              <w:jc w:val="center"/>
            </w:pPr>
            <w:r w:rsidRPr="005F0CE8">
              <w:t>7/904 (0.8%)</w:t>
            </w:r>
          </w:p>
        </w:tc>
        <w:tc>
          <w:tcPr>
            <w:tcW w:w="862" w:type="pct"/>
          </w:tcPr>
          <w:p w14:paraId="675C7FD1" w14:textId="04E1E79C" w:rsidR="00BF6F68" w:rsidRPr="005F0CE8" w:rsidRDefault="00BF6F68" w:rsidP="00BF6F68">
            <w:pPr>
              <w:pStyle w:val="TableText0"/>
              <w:jc w:val="center"/>
              <w:rPr>
                <w:b/>
                <w:bCs w:val="0"/>
              </w:rPr>
            </w:pPr>
            <w:r w:rsidRPr="005F0CE8">
              <w:rPr>
                <w:b/>
              </w:rPr>
              <w:t>6.38 (2.89, 14.07)</w:t>
            </w:r>
          </w:p>
        </w:tc>
        <w:tc>
          <w:tcPr>
            <w:tcW w:w="628" w:type="pct"/>
          </w:tcPr>
          <w:p w14:paraId="62A0676A" w14:textId="0DB0FD5E" w:rsidR="00BF6F68" w:rsidRPr="005F0CE8" w:rsidRDefault="00BF6F68" w:rsidP="00BF6F68">
            <w:pPr>
              <w:pStyle w:val="TableText0"/>
              <w:jc w:val="center"/>
            </w:pPr>
            <w:r w:rsidRPr="005F0CE8">
              <w:t>5/100</w:t>
            </w:r>
          </w:p>
        </w:tc>
        <w:tc>
          <w:tcPr>
            <w:tcW w:w="687" w:type="pct"/>
          </w:tcPr>
          <w:p w14:paraId="3EAC3C54" w14:textId="33DD57B1" w:rsidR="00BF6F68" w:rsidRPr="005F0CE8" w:rsidRDefault="00BF6F68" w:rsidP="00BF6F68">
            <w:pPr>
              <w:pStyle w:val="TableText0"/>
              <w:jc w:val="center"/>
            </w:pPr>
            <w:r w:rsidRPr="005F0CE8">
              <w:t>1/100</w:t>
            </w:r>
          </w:p>
        </w:tc>
        <w:tc>
          <w:tcPr>
            <w:tcW w:w="835" w:type="pct"/>
          </w:tcPr>
          <w:p w14:paraId="5976F823" w14:textId="46D8B472" w:rsidR="00BF6F68" w:rsidRPr="005F0CE8" w:rsidRDefault="00BF6F68" w:rsidP="00BF6F68">
            <w:pPr>
              <w:pStyle w:val="TableText0"/>
              <w:jc w:val="center"/>
              <w:rPr>
                <w:b/>
                <w:bCs w:val="0"/>
              </w:rPr>
            </w:pPr>
            <w:r w:rsidRPr="005F0CE8">
              <w:rPr>
                <w:b/>
                <w:bCs w:val="0"/>
              </w:rPr>
              <w:t>-4.1 (-5.68, -2.65)</w:t>
            </w:r>
          </w:p>
        </w:tc>
      </w:tr>
      <w:tr w:rsidR="00BF6F68" w:rsidRPr="005F0CE8" w14:paraId="79F6B6D5" w14:textId="77777777" w:rsidTr="00A37F23">
        <w:tc>
          <w:tcPr>
            <w:tcW w:w="642" w:type="pct"/>
          </w:tcPr>
          <w:p w14:paraId="6365F33B" w14:textId="1AB2CB45" w:rsidR="00BF6F68" w:rsidRPr="005F0CE8" w:rsidRDefault="00BF6F68" w:rsidP="00BF6F68">
            <w:pPr>
              <w:pStyle w:val="TableText0"/>
            </w:pPr>
            <w:r w:rsidRPr="005F0CE8">
              <w:t>AEs leading to drug discontinuation</w:t>
            </w:r>
          </w:p>
        </w:tc>
        <w:tc>
          <w:tcPr>
            <w:tcW w:w="634" w:type="pct"/>
          </w:tcPr>
          <w:p w14:paraId="5930FFEA" w14:textId="4BB23A59" w:rsidR="00BF6F68" w:rsidRPr="005F0CE8" w:rsidRDefault="00BF6F68" w:rsidP="00BF6F68">
            <w:pPr>
              <w:pStyle w:val="TableText0"/>
              <w:jc w:val="center"/>
            </w:pPr>
            <w:r w:rsidRPr="005F0CE8">
              <w:t>98/911 (10.8)</w:t>
            </w:r>
          </w:p>
        </w:tc>
        <w:tc>
          <w:tcPr>
            <w:tcW w:w="712" w:type="pct"/>
            <w:gridSpan w:val="2"/>
          </w:tcPr>
          <w:p w14:paraId="47D699E9" w14:textId="1F954DE0" w:rsidR="00BF6F68" w:rsidRPr="005F0CE8" w:rsidRDefault="00BF6F68" w:rsidP="00BF6F68">
            <w:pPr>
              <w:pStyle w:val="TableText0"/>
              <w:jc w:val="center"/>
            </w:pPr>
            <w:r w:rsidRPr="005F0CE8">
              <w:t>42/904 (4.6)</w:t>
            </w:r>
          </w:p>
        </w:tc>
        <w:tc>
          <w:tcPr>
            <w:tcW w:w="862" w:type="pct"/>
          </w:tcPr>
          <w:p w14:paraId="0EDB5AB0" w14:textId="15900AE0" w:rsidR="00BF6F68" w:rsidRPr="005F0CE8" w:rsidRDefault="00BF6F68" w:rsidP="00BF6F68">
            <w:pPr>
              <w:pStyle w:val="TableText0"/>
              <w:jc w:val="center"/>
              <w:rPr>
                <w:b/>
                <w:bCs w:val="0"/>
              </w:rPr>
            </w:pPr>
            <w:r w:rsidRPr="005F0CE8">
              <w:rPr>
                <w:b/>
                <w:bCs w:val="0"/>
              </w:rPr>
              <w:t>2.32 (1.63, 3.28)</w:t>
            </w:r>
          </w:p>
        </w:tc>
        <w:tc>
          <w:tcPr>
            <w:tcW w:w="628" w:type="pct"/>
          </w:tcPr>
          <w:p w14:paraId="1032B9A7" w14:textId="17DBE222" w:rsidR="00BF6F68" w:rsidRPr="005F0CE8" w:rsidRDefault="00BF6F68" w:rsidP="00BF6F68">
            <w:pPr>
              <w:pStyle w:val="TableText0"/>
              <w:jc w:val="center"/>
            </w:pPr>
            <w:r w:rsidRPr="005F0CE8">
              <w:t>11/100</w:t>
            </w:r>
          </w:p>
        </w:tc>
        <w:tc>
          <w:tcPr>
            <w:tcW w:w="687" w:type="pct"/>
          </w:tcPr>
          <w:p w14:paraId="0508F97D" w14:textId="4623D217" w:rsidR="00BF6F68" w:rsidRPr="005F0CE8" w:rsidRDefault="00BF6F68" w:rsidP="00BF6F68">
            <w:pPr>
              <w:pStyle w:val="TableText0"/>
              <w:jc w:val="center"/>
            </w:pPr>
            <w:r w:rsidRPr="005F0CE8">
              <w:t>5/100</w:t>
            </w:r>
          </w:p>
        </w:tc>
        <w:tc>
          <w:tcPr>
            <w:tcW w:w="835" w:type="pct"/>
          </w:tcPr>
          <w:p w14:paraId="4457DE44" w14:textId="15F83A93" w:rsidR="00BF6F68" w:rsidRPr="005F0CE8" w:rsidRDefault="00BF6F68" w:rsidP="00BF6F68">
            <w:pPr>
              <w:pStyle w:val="TableText0"/>
              <w:jc w:val="center"/>
              <w:rPr>
                <w:b/>
                <w:bCs w:val="0"/>
              </w:rPr>
            </w:pPr>
            <w:r w:rsidRPr="005F0CE8">
              <w:rPr>
                <w:b/>
                <w:bCs w:val="0"/>
              </w:rPr>
              <w:t>-6.1 (-8.55, -3.68)</w:t>
            </w:r>
          </w:p>
        </w:tc>
      </w:tr>
    </w:tbl>
    <w:p w14:paraId="35DCD933" w14:textId="4B8DA7BE" w:rsidR="000D6191" w:rsidRPr="005F0CE8" w:rsidRDefault="000D6191" w:rsidP="000D6191">
      <w:pPr>
        <w:pStyle w:val="FooterTableFigure"/>
        <w:rPr>
          <w:sz w:val="20"/>
        </w:rPr>
      </w:pPr>
      <w:r w:rsidRPr="005F0CE8">
        <w:t>Source: Table 2.16, p68, table 2.17, p69, and table 2.18, p71</w:t>
      </w:r>
      <w:r w:rsidR="00255139" w:rsidRPr="005F0CE8">
        <w:t>, Table 2.23, p77</w:t>
      </w:r>
      <w:r w:rsidRPr="005F0CE8">
        <w:t xml:space="preserve"> of the submission.</w:t>
      </w:r>
      <w:r w:rsidR="00255139" w:rsidRPr="005F0CE8">
        <w:t xml:space="preserve"> Table 14.3.2.18, p323 of the OlympiA trial CSR tfls part C</w:t>
      </w:r>
    </w:p>
    <w:p w14:paraId="0D580F2F" w14:textId="07CE45EC" w:rsidR="006D71C1" w:rsidRPr="005F0CE8" w:rsidRDefault="00255139" w:rsidP="000D6191">
      <w:pPr>
        <w:pStyle w:val="FooterTableFigure"/>
        <w:rPr>
          <w:rFonts w:eastAsia="Calibri"/>
        </w:rPr>
      </w:pPr>
      <w:r w:rsidRPr="005F0CE8">
        <w:t>AE = adverse event</w:t>
      </w:r>
      <w:r w:rsidR="00CF3B0C" w:rsidRPr="005F0CE8">
        <w:t>,</w:t>
      </w:r>
      <w:r w:rsidRPr="005F0CE8">
        <w:t xml:space="preserve"> </w:t>
      </w:r>
      <w:r w:rsidRPr="005F0CE8">
        <w:rPr>
          <w:rFonts w:eastAsia="Calibri"/>
        </w:rPr>
        <w:t>CTCAE = common terminology criteria for adverse events</w:t>
      </w:r>
      <w:r w:rsidR="00CF3B0C" w:rsidRPr="005F0CE8">
        <w:rPr>
          <w:rFonts w:eastAsia="Calibri"/>
        </w:rPr>
        <w:t>,</w:t>
      </w:r>
      <w:r w:rsidRPr="005F0CE8">
        <w:rPr>
          <w:rFonts w:eastAsia="Calibri"/>
        </w:rPr>
        <w:t xml:space="preserve"> CI = confidence interval</w:t>
      </w:r>
      <w:r w:rsidR="00CF3B0C" w:rsidRPr="005F0CE8">
        <w:rPr>
          <w:rFonts w:eastAsia="Calibri"/>
        </w:rPr>
        <w:t>,</w:t>
      </w:r>
      <w:r w:rsidRPr="005F0CE8">
        <w:rPr>
          <w:rFonts w:eastAsia="Calibri"/>
        </w:rPr>
        <w:t xml:space="preserve"> n = number of participants with event</w:t>
      </w:r>
      <w:r w:rsidR="00CF3B0C" w:rsidRPr="005F0CE8">
        <w:rPr>
          <w:rFonts w:eastAsia="Calibri"/>
        </w:rPr>
        <w:t>,</w:t>
      </w:r>
      <w:r w:rsidRPr="005F0CE8">
        <w:rPr>
          <w:rFonts w:eastAsia="Calibri"/>
        </w:rPr>
        <w:t xml:space="preserve"> N = total participants in group</w:t>
      </w:r>
      <w:r w:rsidR="00CF3B0C" w:rsidRPr="005F0CE8">
        <w:rPr>
          <w:rFonts w:eastAsia="Calibri"/>
        </w:rPr>
        <w:t>,</w:t>
      </w:r>
      <w:r w:rsidRPr="005F0CE8">
        <w:rPr>
          <w:rFonts w:eastAsia="Calibri"/>
        </w:rPr>
        <w:t xml:space="preserve"> RD = risk difference</w:t>
      </w:r>
      <w:r w:rsidR="00CF3B0C" w:rsidRPr="005F0CE8">
        <w:rPr>
          <w:rFonts w:eastAsia="Calibri"/>
        </w:rPr>
        <w:t>,</w:t>
      </w:r>
      <w:r w:rsidRPr="005F0CE8">
        <w:rPr>
          <w:rFonts w:eastAsia="Calibri"/>
        </w:rPr>
        <w:t xml:space="preserve"> RR = relative risk. </w:t>
      </w:r>
      <w:r w:rsidR="000D6191" w:rsidRPr="005F0CE8">
        <w:rPr>
          <w:rFonts w:eastAsia="Calibri"/>
          <w:b/>
          <w:bCs/>
        </w:rPr>
        <w:t>Bold</w:t>
      </w:r>
      <w:r w:rsidR="000D6191" w:rsidRPr="005F0CE8">
        <w:rPr>
          <w:rFonts w:eastAsia="Calibri"/>
        </w:rPr>
        <w:t xml:space="preserve"> indicates statistically significant results.</w:t>
      </w:r>
      <w:r w:rsidR="00E37E80" w:rsidRPr="005F0CE8">
        <w:rPr>
          <w:rFonts w:eastAsia="Calibri"/>
        </w:rPr>
        <w:t xml:space="preserve"> </w:t>
      </w:r>
    </w:p>
    <w:p w14:paraId="3FA0DF8E" w14:textId="4438168D" w:rsidR="003D4A30" w:rsidRPr="00DB2BE9" w:rsidRDefault="00E37E80" w:rsidP="00DB2BE9">
      <w:pPr>
        <w:pStyle w:val="FooterTableFigure"/>
        <w:rPr>
          <w:rFonts w:eastAsia="Calibri"/>
        </w:rPr>
      </w:pPr>
      <w:r w:rsidRPr="005F0CE8">
        <w:rPr>
          <w:rFonts w:eastAsia="Calibri"/>
        </w:rPr>
        <w:t xml:space="preserve">* </w:t>
      </w:r>
      <w:r w:rsidR="0096106F" w:rsidRPr="005F0CE8">
        <w:rPr>
          <w:rFonts w:eastAsia="Calibri"/>
        </w:rPr>
        <w:t>Median</w:t>
      </w:r>
      <w:r w:rsidRPr="005F0CE8">
        <w:rPr>
          <w:rFonts w:eastAsia="Calibri"/>
        </w:rPr>
        <w:t xml:space="preserve"> </w:t>
      </w:r>
      <w:r w:rsidR="0096106F" w:rsidRPr="005F0CE8">
        <w:rPr>
          <w:rFonts w:eastAsia="Calibri"/>
        </w:rPr>
        <w:t xml:space="preserve">duration </w:t>
      </w:r>
      <w:r w:rsidRPr="005F0CE8">
        <w:rPr>
          <w:rFonts w:eastAsia="Calibri"/>
        </w:rPr>
        <w:t>follow-of</w:t>
      </w:r>
      <w:r w:rsidR="0096106F" w:rsidRPr="005F0CE8">
        <w:rPr>
          <w:rFonts w:eastAsia="Calibri"/>
        </w:rPr>
        <w:t xml:space="preserve"> </w:t>
      </w:r>
      <w:r w:rsidRPr="005F0CE8">
        <w:rPr>
          <w:rFonts w:eastAsia="Calibri"/>
        </w:rPr>
        <w:t>3.5 years.</w:t>
      </w:r>
    </w:p>
    <w:p w14:paraId="5E01746B" w14:textId="71B3490D" w:rsidR="00FC1884" w:rsidRPr="005F0CE8" w:rsidRDefault="00C3514A" w:rsidP="00477BB3">
      <w:pPr>
        <w:pStyle w:val="3-BodyText"/>
      </w:pPr>
      <w:r w:rsidRPr="005F0CE8">
        <w:lastRenderedPageBreak/>
        <w:t>Based on</w:t>
      </w:r>
      <w:r w:rsidR="00EC00C9" w:rsidRPr="005F0CE8">
        <w:t xml:space="preserve"> </w:t>
      </w:r>
      <w:r w:rsidR="00FE2BC3" w:rsidRPr="005F0CE8">
        <w:t xml:space="preserve">the </w:t>
      </w:r>
      <w:r w:rsidR="00EC00C9" w:rsidRPr="005F0CE8">
        <w:t xml:space="preserve">direct evidence presented </w:t>
      </w:r>
      <w:r w:rsidR="00FE2BC3" w:rsidRPr="005F0CE8">
        <w:t>in</w:t>
      </w:r>
      <w:r w:rsidR="00EC00C9" w:rsidRPr="005F0CE8">
        <w:t xml:space="preserve"> the submission, for every 100 patients treated with </w:t>
      </w:r>
      <w:r w:rsidR="00CC7867" w:rsidRPr="005F0CE8">
        <w:t>olaparib</w:t>
      </w:r>
      <w:r w:rsidR="00EC00C9" w:rsidRPr="005F0CE8">
        <w:t xml:space="preserve"> in comparison </w:t>
      </w:r>
      <w:r w:rsidR="006D68FB" w:rsidRPr="005F0CE8">
        <w:t xml:space="preserve">with </w:t>
      </w:r>
      <w:r w:rsidRPr="005F0CE8">
        <w:t>placebo</w:t>
      </w:r>
      <w:r w:rsidR="00422260" w:rsidRPr="005F0CE8">
        <w:t xml:space="preserve"> over a media</w:t>
      </w:r>
      <w:r w:rsidRPr="005F0CE8">
        <w:t>n</w:t>
      </w:r>
      <w:r w:rsidR="00422260" w:rsidRPr="005F0CE8">
        <w:t xml:space="preserve"> duration of </w:t>
      </w:r>
      <w:r w:rsidR="001C2A9B" w:rsidRPr="005F0CE8">
        <w:t xml:space="preserve">follow-up of </w:t>
      </w:r>
      <w:r w:rsidR="009E35C5" w:rsidRPr="005F0CE8">
        <w:t xml:space="preserve">approximately </w:t>
      </w:r>
      <w:r w:rsidRPr="005F0CE8">
        <w:t>3.5 years</w:t>
      </w:r>
      <w:r w:rsidR="001C2A9B" w:rsidRPr="005F0CE8">
        <w:t>:</w:t>
      </w:r>
    </w:p>
    <w:p w14:paraId="78DC1ACA" w14:textId="31DC1729" w:rsidR="00FC1884" w:rsidRPr="00A428CF" w:rsidRDefault="00FC1884" w:rsidP="00477BB3">
      <w:pPr>
        <w:pStyle w:val="3-BodyText"/>
        <w:rPr>
          <w:rFonts w:eastAsia="Calibri"/>
        </w:rPr>
      </w:pPr>
      <w:r w:rsidRPr="00A428CF">
        <w:rPr>
          <w:rFonts w:eastAsia="Calibri"/>
        </w:rPr>
        <w:t xml:space="preserve">Approximately </w:t>
      </w:r>
      <w:r w:rsidR="00C3514A" w:rsidRPr="00A428CF">
        <w:rPr>
          <w:rFonts w:eastAsia="Calibri"/>
        </w:rPr>
        <w:t>8</w:t>
      </w:r>
      <w:r w:rsidRPr="00A428CF">
        <w:rPr>
          <w:rFonts w:eastAsia="Calibri"/>
        </w:rPr>
        <w:t xml:space="preserve"> additional patients would </w:t>
      </w:r>
      <w:r w:rsidR="00C3514A" w:rsidRPr="00A428CF">
        <w:rPr>
          <w:rFonts w:eastAsia="Calibri"/>
        </w:rPr>
        <w:t xml:space="preserve">remain </w:t>
      </w:r>
      <w:r w:rsidR="00FC4D57" w:rsidRPr="00A428CF">
        <w:rPr>
          <w:rFonts w:eastAsia="Calibri"/>
        </w:rPr>
        <w:t xml:space="preserve">free of </w:t>
      </w:r>
      <w:r w:rsidR="00C3514A" w:rsidRPr="00A428CF">
        <w:rPr>
          <w:rFonts w:eastAsia="Calibri"/>
        </w:rPr>
        <w:t>invasive disease</w:t>
      </w:r>
      <w:r w:rsidR="001C2A9B" w:rsidRPr="00A428CF">
        <w:rPr>
          <w:rFonts w:eastAsia="Calibri"/>
        </w:rPr>
        <w:t>.</w:t>
      </w:r>
    </w:p>
    <w:p w14:paraId="5D3D04ED" w14:textId="06C200A1" w:rsidR="00E10102" w:rsidRPr="00A428CF" w:rsidRDefault="00FC1884" w:rsidP="00477BB3">
      <w:pPr>
        <w:pStyle w:val="3-BodyText"/>
        <w:rPr>
          <w:rFonts w:eastAsia="Calibri"/>
        </w:rPr>
      </w:pPr>
      <w:r w:rsidRPr="00A428CF">
        <w:rPr>
          <w:rFonts w:eastAsia="Calibri"/>
        </w:rPr>
        <w:t xml:space="preserve">Approximately </w:t>
      </w:r>
      <w:r w:rsidR="002248CC" w:rsidRPr="00A428CF">
        <w:rPr>
          <w:rFonts w:eastAsia="Calibri"/>
        </w:rPr>
        <w:t>4</w:t>
      </w:r>
      <w:r w:rsidRPr="00A428CF">
        <w:rPr>
          <w:rFonts w:eastAsia="Calibri"/>
        </w:rPr>
        <w:t xml:space="preserve"> fewer patients woul</w:t>
      </w:r>
      <w:r w:rsidR="001C2A9B" w:rsidRPr="00A428CF">
        <w:rPr>
          <w:rFonts w:eastAsia="Calibri"/>
        </w:rPr>
        <w:t xml:space="preserve">d </w:t>
      </w:r>
      <w:r w:rsidR="00C3514A" w:rsidRPr="00A428CF">
        <w:rPr>
          <w:rFonts w:eastAsia="Calibri"/>
        </w:rPr>
        <w:t>die</w:t>
      </w:r>
      <w:r w:rsidR="001C2A9B" w:rsidRPr="00A428CF">
        <w:rPr>
          <w:rFonts w:eastAsia="Calibri"/>
        </w:rPr>
        <w:t>.</w:t>
      </w:r>
      <w:r w:rsidR="00E10102" w:rsidRPr="00A428CF">
        <w:rPr>
          <w:rFonts w:eastAsia="Calibri"/>
        </w:rPr>
        <w:t xml:space="preserve"> </w:t>
      </w:r>
    </w:p>
    <w:p w14:paraId="364FBB40" w14:textId="2C1D5E2C" w:rsidR="00E10102" w:rsidRPr="00A428CF" w:rsidRDefault="00E10102" w:rsidP="00477BB3">
      <w:pPr>
        <w:pStyle w:val="3-BodyText"/>
        <w:rPr>
          <w:rFonts w:eastAsia="Calibri"/>
        </w:rPr>
      </w:pPr>
      <w:r w:rsidRPr="00A428CF">
        <w:rPr>
          <w:rFonts w:eastAsia="Calibri"/>
        </w:rPr>
        <w:t>Approximately 7 additional patients would remain free of distant recurrence.</w:t>
      </w:r>
    </w:p>
    <w:p w14:paraId="2D0B0A9F" w14:textId="20A2EC2B" w:rsidR="00FC1884" w:rsidRPr="00A428CF" w:rsidRDefault="00FC1884" w:rsidP="00477BB3">
      <w:pPr>
        <w:pStyle w:val="3-BodyText"/>
        <w:rPr>
          <w:rFonts w:eastAsia="Calibri"/>
        </w:rPr>
      </w:pPr>
      <w:r w:rsidRPr="00A428CF">
        <w:rPr>
          <w:rFonts w:eastAsia="Calibri"/>
        </w:rPr>
        <w:t xml:space="preserve">Approximately </w:t>
      </w:r>
      <w:r w:rsidR="00C3514A" w:rsidRPr="00A428CF">
        <w:rPr>
          <w:rFonts w:eastAsia="Calibri"/>
        </w:rPr>
        <w:t>8</w:t>
      </w:r>
      <w:r w:rsidRPr="00A428CF">
        <w:rPr>
          <w:rFonts w:eastAsia="Calibri"/>
        </w:rPr>
        <w:t xml:space="preserve"> additional </w:t>
      </w:r>
      <w:r w:rsidR="00C41768" w:rsidRPr="00A428CF">
        <w:rPr>
          <w:rFonts w:eastAsia="Calibri"/>
        </w:rPr>
        <w:t xml:space="preserve">patients would experience </w:t>
      </w:r>
      <w:r w:rsidR="00C3514A" w:rsidRPr="00A428CF">
        <w:rPr>
          <w:rFonts w:eastAsia="Calibri"/>
        </w:rPr>
        <w:t>grade 3 or higher anaemia</w:t>
      </w:r>
      <w:r w:rsidR="001C2A9B" w:rsidRPr="00A428CF">
        <w:rPr>
          <w:rFonts w:eastAsia="Calibri"/>
        </w:rPr>
        <w:t>.</w:t>
      </w:r>
    </w:p>
    <w:p w14:paraId="1BA3433D" w14:textId="7F18A3BF" w:rsidR="00B60939" w:rsidRPr="00A428CF" w:rsidRDefault="00FC1884" w:rsidP="00477BB3">
      <w:pPr>
        <w:pStyle w:val="3-BodyText"/>
        <w:rPr>
          <w:rFonts w:eastAsia="Calibri"/>
        </w:rPr>
      </w:pPr>
      <w:r w:rsidRPr="00A428CF">
        <w:rPr>
          <w:rFonts w:eastAsia="Calibri"/>
        </w:rPr>
        <w:t>Approximately</w:t>
      </w:r>
      <w:r w:rsidR="001C2A9B" w:rsidRPr="00A428CF">
        <w:rPr>
          <w:rFonts w:eastAsia="Calibri"/>
        </w:rPr>
        <w:t xml:space="preserve"> </w:t>
      </w:r>
      <w:r w:rsidR="005E27D7" w:rsidRPr="00A428CF">
        <w:rPr>
          <w:rFonts w:eastAsia="Calibri"/>
        </w:rPr>
        <w:t>4</w:t>
      </w:r>
      <w:r w:rsidR="001C2A9B" w:rsidRPr="00A428CF">
        <w:rPr>
          <w:rFonts w:eastAsia="Calibri"/>
        </w:rPr>
        <w:t xml:space="preserve"> additional </w:t>
      </w:r>
      <w:r w:rsidR="00C41768" w:rsidRPr="00A428CF">
        <w:rPr>
          <w:rFonts w:eastAsia="Calibri"/>
        </w:rPr>
        <w:t>patients would</w:t>
      </w:r>
      <w:r w:rsidR="005E27D7" w:rsidRPr="00A428CF">
        <w:rPr>
          <w:rFonts w:eastAsia="Calibri"/>
        </w:rPr>
        <w:t xml:space="preserve"> experience grade 3 or higher neutrophil count decrease</w:t>
      </w:r>
      <w:r w:rsidR="00596AF8" w:rsidRPr="00A428CF">
        <w:rPr>
          <w:rFonts w:eastAsia="Calibri"/>
        </w:rPr>
        <w:t xml:space="preserve">. </w:t>
      </w:r>
    </w:p>
    <w:p w14:paraId="6F4ED144" w14:textId="2CD378CD" w:rsidR="0096106F" w:rsidRPr="005F0CE8" w:rsidRDefault="0096106F" w:rsidP="00477BB3">
      <w:pPr>
        <w:pStyle w:val="3-BodyText"/>
      </w:pPr>
      <w:r w:rsidRPr="00A428CF">
        <w:rPr>
          <w:rFonts w:eastAsia="Calibri"/>
        </w:rPr>
        <w:t>Approximately 1 to 2 patients may develop olaparib related MDS/AML over the long term</w:t>
      </w:r>
      <w:r w:rsidRPr="005F0CE8">
        <w:t>.</w:t>
      </w:r>
    </w:p>
    <w:p w14:paraId="5044719D" w14:textId="77777777" w:rsidR="00B60939" w:rsidRPr="005F0CE8" w:rsidRDefault="00B60939" w:rsidP="00E9094A">
      <w:pPr>
        <w:pStyle w:val="4-SubsectionHeading"/>
      </w:pPr>
      <w:bookmarkStart w:id="65" w:name="_Toc22897644"/>
      <w:bookmarkStart w:id="66" w:name="_Toc124883284"/>
      <w:r w:rsidRPr="005F0CE8">
        <w:t>Clinical claim</w:t>
      </w:r>
      <w:bookmarkEnd w:id="65"/>
      <w:bookmarkEnd w:id="66"/>
    </w:p>
    <w:p w14:paraId="69D05616" w14:textId="6E075838" w:rsidR="0066216F" w:rsidRPr="005F0CE8" w:rsidRDefault="005F7588" w:rsidP="00477BB3">
      <w:pPr>
        <w:pStyle w:val="3-BodyText"/>
        <w:rPr>
          <w:rFonts w:eastAsia="Calibri"/>
        </w:rPr>
      </w:pPr>
      <w:bookmarkStart w:id="67" w:name="_Ref127445929"/>
      <w:r w:rsidRPr="005F0CE8">
        <w:rPr>
          <w:rFonts w:eastAsia="Calibri"/>
        </w:rPr>
        <w:t xml:space="preserve">The submission described </w:t>
      </w:r>
      <w:r w:rsidR="0069456F" w:rsidRPr="005F0CE8">
        <w:rPr>
          <w:rFonts w:eastAsia="Calibri"/>
        </w:rPr>
        <w:t>olaparib</w:t>
      </w:r>
      <w:r w:rsidRPr="005F0CE8">
        <w:rPr>
          <w:rFonts w:eastAsia="Calibri"/>
        </w:rPr>
        <w:t xml:space="preserve"> as superior in terms of effectiveness compared to </w:t>
      </w:r>
      <w:r w:rsidR="0069456F" w:rsidRPr="005F0CE8">
        <w:rPr>
          <w:rFonts w:eastAsia="Calibri"/>
        </w:rPr>
        <w:t>placebo</w:t>
      </w:r>
      <w:r w:rsidRPr="005F0CE8">
        <w:rPr>
          <w:rFonts w:eastAsia="Calibri"/>
        </w:rPr>
        <w:t>.</w:t>
      </w:r>
      <w:r w:rsidR="00594FEB" w:rsidRPr="005F0CE8">
        <w:rPr>
          <w:rFonts w:eastAsia="Calibri"/>
        </w:rPr>
        <w:t xml:space="preserve"> The evaluation considered this claim was adequately supported. Statistically significant improvements were seen for IDFS, DDFS, and OS (Table 5).</w:t>
      </w:r>
      <w:r w:rsidR="004416C5">
        <w:rPr>
          <w:rFonts w:eastAsia="Calibri"/>
        </w:rPr>
        <w:t xml:space="preserve"> </w:t>
      </w:r>
      <w:r w:rsidR="007C70FF" w:rsidRPr="005F0CE8">
        <w:rPr>
          <w:rFonts w:eastAsia="Calibri"/>
        </w:rPr>
        <w:t xml:space="preserve">The key issues </w:t>
      </w:r>
      <w:r w:rsidR="00594FEB" w:rsidRPr="005F0CE8">
        <w:rPr>
          <w:rFonts w:eastAsia="Calibri"/>
        </w:rPr>
        <w:t xml:space="preserve">in relation to the claim </w:t>
      </w:r>
      <w:r w:rsidR="007C70FF" w:rsidRPr="005F0CE8">
        <w:rPr>
          <w:rFonts w:eastAsia="Calibri"/>
        </w:rPr>
        <w:t>were:</w:t>
      </w:r>
      <w:bookmarkEnd w:id="67"/>
      <w:r w:rsidR="00706454" w:rsidRPr="005F0CE8">
        <w:rPr>
          <w:rFonts w:eastAsia="Calibri"/>
        </w:rPr>
        <w:t xml:space="preserve"> </w:t>
      </w:r>
    </w:p>
    <w:p w14:paraId="46595EDB" w14:textId="353211F8" w:rsidR="0066216F" w:rsidRPr="005F0CE8" w:rsidRDefault="0069456F" w:rsidP="00477BB3">
      <w:pPr>
        <w:pStyle w:val="3-BodyText"/>
        <w:rPr>
          <w:rFonts w:eastAsia="Calibri"/>
        </w:rPr>
      </w:pPr>
      <w:r w:rsidRPr="005F0CE8">
        <w:rPr>
          <w:rFonts w:eastAsia="Calibri"/>
        </w:rPr>
        <w:t xml:space="preserve">The claim of superiority </w:t>
      </w:r>
      <w:r w:rsidR="005B0FE2" w:rsidRPr="005F0CE8">
        <w:rPr>
          <w:rFonts w:eastAsia="Calibri"/>
        </w:rPr>
        <w:t>was</w:t>
      </w:r>
      <w:r w:rsidRPr="005F0CE8">
        <w:rPr>
          <w:rFonts w:eastAsia="Calibri"/>
        </w:rPr>
        <w:t xml:space="preserve"> based </w:t>
      </w:r>
      <w:r w:rsidR="0066216F" w:rsidRPr="005F0CE8">
        <w:rPr>
          <w:rFonts w:eastAsia="Calibri"/>
        </w:rPr>
        <w:t>on</w:t>
      </w:r>
      <w:r w:rsidRPr="005F0CE8">
        <w:rPr>
          <w:rFonts w:eastAsia="Calibri"/>
        </w:rPr>
        <w:t xml:space="preserve"> IDFS data, which does not have an established relationship with OS</w:t>
      </w:r>
      <w:r w:rsidR="0066216F" w:rsidRPr="005F0CE8">
        <w:rPr>
          <w:rFonts w:eastAsia="Calibri"/>
        </w:rPr>
        <w:t xml:space="preserve"> or a minimally clinically relevant change in this population</w:t>
      </w:r>
      <w:r w:rsidR="00706454" w:rsidRPr="005F0CE8">
        <w:rPr>
          <w:rFonts w:eastAsia="Calibri"/>
        </w:rPr>
        <w:t xml:space="preserve">. </w:t>
      </w:r>
    </w:p>
    <w:p w14:paraId="3FE15EC0" w14:textId="1AFED7B8" w:rsidR="004B2813" w:rsidRPr="005F0CE8" w:rsidRDefault="00706454" w:rsidP="00477BB3">
      <w:pPr>
        <w:pStyle w:val="3-BodyText"/>
        <w:rPr>
          <w:rFonts w:eastAsia="Calibri"/>
        </w:rPr>
      </w:pPr>
      <w:r w:rsidRPr="005F0CE8">
        <w:rPr>
          <w:rFonts w:eastAsia="Calibri"/>
        </w:rPr>
        <w:t>The OS data</w:t>
      </w:r>
      <w:r w:rsidR="00FE2BC3" w:rsidRPr="005F0CE8">
        <w:rPr>
          <w:rFonts w:eastAsia="Calibri"/>
        </w:rPr>
        <w:t xml:space="preserve"> were</w:t>
      </w:r>
      <w:r w:rsidRPr="005F0CE8">
        <w:rPr>
          <w:rFonts w:eastAsia="Calibri"/>
        </w:rPr>
        <w:t xml:space="preserve"> immature</w:t>
      </w:r>
      <w:r w:rsidR="006276C9" w:rsidRPr="005F0CE8">
        <w:rPr>
          <w:rFonts w:eastAsia="Calibri"/>
        </w:rPr>
        <w:t>, even after 3.5 years follow-up</w:t>
      </w:r>
      <w:r w:rsidRPr="005F0CE8">
        <w:rPr>
          <w:rFonts w:eastAsia="Calibri"/>
        </w:rPr>
        <w:t xml:space="preserve">. </w:t>
      </w:r>
      <w:r w:rsidR="004B2813" w:rsidRPr="005F0CE8">
        <w:rPr>
          <w:rFonts w:eastAsia="Calibri"/>
        </w:rPr>
        <w:t>While OlympiA demonstrate</w:t>
      </w:r>
      <w:r w:rsidR="001B6331" w:rsidRPr="005F0CE8">
        <w:rPr>
          <w:rFonts w:eastAsia="Calibri"/>
        </w:rPr>
        <w:t>d</w:t>
      </w:r>
      <w:r w:rsidR="004B2813" w:rsidRPr="005F0CE8">
        <w:rPr>
          <w:rFonts w:eastAsia="Calibri"/>
        </w:rPr>
        <w:t xml:space="preserve"> a</w:t>
      </w:r>
      <w:r w:rsidR="00E94B70" w:rsidRPr="005F0CE8">
        <w:rPr>
          <w:rFonts w:eastAsia="Calibri"/>
        </w:rPr>
        <w:t>n</w:t>
      </w:r>
      <w:r w:rsidR="004B2813" w:rsidRPr="005F0CE8">
        <w:rPr>
          <w:rFonts w:eastAsia="Calibri"/>
        </w:rPr>
        <w:t xml:space="preserve"> </w:t>
      </w:r>
      <w:r w:rsidR="001B6331" w:rsidRPr="005F0CE8">
        <w:rPr>
          <w:rFonts w:eastAsia="Calibri"/>
        </w:rPr>
        <w:t>improvement</w:t>
      </w:r>
      <w:r w:rsidR="004B2813" w:rsidRPr="005F0CE8">
        <w:rPr>
          <w:rFonts w:eastAsia="Calibri"/>
        </w:rPr>
        <w:t xml:space="preserve"> in OS </w:t>
      </w:r>
      <w:r w:rsidR="001B6331" w:rsidRPr="005F0CE8">
        <w:rPr>
          <w:rFonts w:eastAsia="Calibri"/>
        </w:rPr>
        <w:t>for</w:t>
      </w:r>
      <w:r w:rsidR="004B2813" w:rsidRPr="005F0CE8">
        <w:rPr>
          <w:rFonts w:eastAsia="Calibri"/>
        </w:rPr>
        <w:t xml:space="preserve"> olaparib </w:t>
      </w:r>
      <w:r w:rsidR="001B6331" w:rsidRPr="005F0CE8">
        <w:rPr>
          <w:rFonts w:eastAsia="Calibri"/>
        </w:rPr>
        <w:t xml:space="preserve">compared with </w:t>
      </w:r>
      <w:r w:rsidR="004B2813" w:rsidRPr="005F0CE8">
        <w:rPr>
          <w:rFonts w:eastAsia="Calibri"/>
        </w:rPr>
        <w:t xml:space="preserve">placebo, the </w:t>
      </w:r>
      <w:r w:rsidR="004B2813" w:rsidRPr="005F0CE8">
        <w:t xml:space="preserve">event rates were low (8.1% for olaparib and 11.9% for placebo). </w:t>
      </w:r>
      <w:r w:rsidR="001B6331" w:rsidRPr="005F0CE8">
        <w:rPr>
          <w:snapToGrid/>
        </w:rPr>
        <w:t xml:space="preserve">The evaluation considered the OS data too immature for definitive conclusions to be drawn. </w:t>
      </w:r>
    </w:p>
    <w:p w14:paraId="47794A2F" w14:textId="4806A878" w:rsidR="00FE2BC3" w:rsidRPr="005F0CE8" w:rsidRDefault="001346E6" w:rsidP="00477BB3">
      <w:pPr>
        <w:pStyle w:val="3-BodyText"/>
        <w:rPr>
          <w:rFonts w:eastAsia="Calibri"/>
        </w:rPr>
      </w:pPr>
      <w:r w:rsidRPr="005F0CE8">
        <w:rPr>
          <w:rFonts w:eastAsia="Calibri"/>
        </w:rPr>
        <w:t>The m</w:t>
      </w:r>
      <w:r w:rsidR="0023504C" w:rsidRPr="005F0CE8">
        <w:rPr>
          <w:rFonts w:eastAsia="Calibri"/>
        </w:rPr>
        <w:t>ed</w:t>
      </w:r>
      <w:r w:rsidR="00843776" w:rsidRPr="005F0CE8">
        <w:rPr>
          <w:rFonts w:eastAsia="Calibri"/>
        </w:rPr>
        <w:t xml:space="preserve">ian </w:t>
      </w:r>
      <w:r w:rsidR="0023504C" w:rsidRPr="005F0CE8">
        <w:rPr>
          <w:rFonts w:eastAsia="Calibri"/>
        </w:rPr>
        <w:t xml:space="preserve">IDFS, DDFS, </w:t>
      </w:r>
      <w:r w:rsidR="00843776" w:rsidRPr="005F0CE8">
        <w:rPr>
          <w:rFonts w:eastAsia="Calibri"/>
        </w:rPr>
        <w:t>and</w:t>
      </w:r>
      <w:r w:rsidR="0023504C" w:rsidRPr="005F0CE8">
        <w:rPr>
          <w:rFonts w:eastAsia="Calibri"/>
        </w:rPr>
        <w:t xml:space="preserve"> OS</w:t>
      </w:r>
      <w:r w:rsidR="00843776" w:rsidRPr="005F0CE8">
        <w:rPr>
          <w:rFonts w:eastAsia="Calibri"/>
        </w:rPr>
        <w:t xml:space="preserve"> were not reached</w:t>
      </w:r>
      <w:r w:rsidR="0023504C" w:rsidRPr="005F0CE8">
        <w:rPr>
          <w:rFonts w:eastAsia="Calibri"/>
        </w:rPr>
        <w:t>.</w:t>
      </w:r>
      <w:r w:rsidR="006276C9" w:rsidRPr="005F0CE8">
        <w:rPr>
          <w:rFonts w:eastAsia="Calibri"/>
        </w:rPr>
        <w:t xml:space="preserve"> </w:t>
      </w:r>
    </w:p>
    <w:p w14:paraId="13503219" w14:textId="1DA9AE8F" w:rsidR="007040EB" w:rsidRPr="005F0CE8" w:rsidRDefault="00B632AB" w:rsidP="00477BB3">
      <w:pPr>
        <w:pStyle w:val="3-BodyText"/>
        <w:rPr>
          <w:rFonts w:eastAsia="Calibri"/>
        </w:rPr>
      </w:pPr>
      <w:r w:rsidRPr="005F0CE8">
        <w:t xml:space="preserve">The PSCR acknowledged that the </w:t>
      </w:r>
      <w:r w:rsidR="007916C2" w:rsidRPr="005F0CE8">
        <w:t xml:space="preserve">IDFS and </w:t>
      </w:r>
      <w:r w:rsidRPr="005F0CE8">
        <w:t xml:space="preserve">OS data from the OlympiA trial were immature however highlighted that after a median follow-up of 3.5 years for both outcomes, there was separation of KM curves (see </w:t>
      </w:r>
      <w:r w:rsidRPr="005F0CE8">
        <w:fldChar w:fldCharType="begin"/>
      </w:r>
      <w:r w:rsidRPr="005F0CE8">
        <w:instrText xml:space="preserve"> REF _Ref121058397 \h  \* MERGEFORMAT </w:instrText>
      </w:r>
      <w:r w:rsidRPr="005F0CE8">
        <w:fldChar w:fldCharType="separate"/>
      </w:r>
      <w:r w:rsidR="00AB6006" w:rsidRPr="005F0CE8">
        <w:t xml:space="preserve">Figure </w:t>
      </w:r>
      <w:r w:rsidR="00AB6006">
        <w:t>1</w:t>
      </w:r>
      <w:r w:rsidRPr="005F0CE8">
        <w:fldChar w:fldCharType="end"/>
      </w:r>
      <w:r w:rsidRPr="005F0CE8">
        <w:t xml:space="preserve"> and </w:t>
      </w:r>
      <w:r w:rsidRPr="005F0CE8">
        <w:fldChar w:fldCharType="begin"/>
      </w:r>
      <w:r w:rsidRPr="005F0CE8">
        <w:instrText xml:space="preserve"> REF _Ref121058384 \h  \* MERGEFORMAT </w:instrText>
      </w:r>
      <w:r w:rsidRPr="005F0CE8">
        <w:fldChar w:fldCharType="separate"/>
      </w:r>
      <w:r w:rsidR="00AB6006" w:rsidRPr="005F0CE8">
        <w:t xml:space="preserve">Figure </w:t>
      </w:r>
      <w:r w:rsidR="00AB6006">
        <w:t>2</w:t>
      </w:r>
      <w:r w:rsidRPr="005F0CE8">
        <w:fldChar w:fldCharType="end"/>
      </w:r>
      <w:r w:rsidRPr="005F0CE8">
        <w:t>) and statistically significant differences between the olaparib and placebo arms for IDFS (</w:t>
      </w:r>
      <w:r w:rsidRPr="005F0CE8">
        <w:rPr>
          <w:snapToGrid/>
        </w:rPr>
        <w:t>HR 0.63 (95% CI 0.50, 0.78))</w:t>
      </w:r>
      <w:r w:rsidR="00E94B70" w:rsidRPr="005F0CE8">
        <w:rPr>
          <w:snapToGrid/>
        </w:rPr>
        <w:t xml:space="preserve">. The results </w:t>
      </w:r>
      <w:r w:rsidRPr="005F0CE8">
        <w:t xml:space="preserve">for OS </w:t>
      </w:r>
      <w:r w:rsidR="00E94B70" w:rsidRPr="005F0CE8">
        <w:rPr>
          <w:snapToGrid/>
        </w:rPr>
        <w:t>were</w:t>
      </w:r>
      <w:r w:rsidR="0068448F" w:rsidRPr="005F0CE8">
        <w:rPr>
          <w:snapToGrid/>
        </w:rPr>
        <w:t xml:space="preserve"> </w:t>
      </w:r>
      <w:r w:rsidRPr="005F0CE8">
        <w:rPr>
          <w:snapToGrid/>
        </w:rPr>
        <w:t>HR 0.68 (95% CI 0.50, 0.91</w:t>
      </w:r>
      <w:r w:rsidRPr="005F0CE8">
        <w:t>. The PSCR noted that the OlympiA trial would require a significantly longer duration</w:t>
      </w:r>
      <w:r w:rsidR="006F5FD4" w:rsidRPr="005F0CE8">
        <w:t xml:space="preserve"> of follow-up</w:t>
      </w:r>
      <w:r w:rsidRPr="005F0CE8">
        <w:t xml:space="preserve"> for the data to reach maturity (i.e. reach median OS). </w:t>
      </w:r>
    </w:p>
    <w:p w14:paraId="33D87E04" w14:textId="398736DB" w:rsidR="00A84C4F" w:rsidRPr="005F0CE8" w:rsidRDefault="00A84C4F" w:rsidP="00477BB3">
      <w:pPr>
        <w:pStyle w:val="3-BodyText"/>
        <w:rPr>
          <w:rFonts w:eastAsia="Calibri"/>
        </w:rPr>
      </w:pPr>
      <w:r w:rsidRPr="005F0CE8">
        <w:rPr>
          <w:rFonts w:eastAsia="Calibri"/>
        </w:rPr>
        <w:t xml:space="preserve">The ESC </w:t>
      </w:r>
      <w:r w:rsidR="004A2DE0" w:rsidRPr="005F0CE8">
        <w:rPr>
          <w:rFonts w:eastAsia="Calibri"/>
        </w:rPr>
        <w:t>considered that the superiority claim was supported based on IDFS data, while noting th</w:t>
      </w:r>
      <w:r w:rsidR="002B407D" w:rsidRPr="005F0CE8">
        <w:rPr>
          <w:rFonts w:eastAsia="Calibri"/>
        </w:rPr>
        <w:t>at</w:t>
      </w:r>
      <w:r w:rsidR="004A2DE0" w:rsidRPr="005F0CE8">
        <w:rPr>
          <w:rFonts w:eastAsia="Calibri"/>
        </w:rPr>
        <w:t xml:space="preserve"> </w:t>
      </w:r>
      <w:r w:rsidR="002B407D" w:rsidRPr="005F0CE8">
        <w:rPr>
          <w:rFonts w:eastAsia="Calibri"/>
        </w:rPr>
        <w:t xml:space="preserve">OS </w:t>
      </w:r>
      <w:r w:rsidR="004A2DE0" w:rsidRPr="005F0CE8">
        <w:rPr>
          <w:rFonts w:eastAsia="Calibri"/>
        </w:rPr>
        <w:t>data remained immature</w:t>
      </w:r>
      <w:r w:rsidR="002B407D" w:rsidRPr="005F0CE8">
        <w:rPr>
          <w:rFonts w:eastAsia="Calibri"/>
        </w:rPr>
        <w:t>.</w:t>
      </w:r>
      <w:r w:rsidR="004A2DE0" w:rsidRPr="005F0CE8">
        <w:rPr>
          <w:rFonts w:eastAsia="Calibri"/>
        </w:rPr>
        <w:t xml:space="preserve"> </w:t>
      </w:r>
      <w:r w:rsidR="00AF15E0" w:rsidRPr="005F0CE8">
        <w:rPr>
          <w:rFonts w:eastAsia="Calibri"/>
        </w:rPr>
        <w:t xml:space="preserve">The </w:t>
      </w:r>
      <w:r w:rsidR="002B407D" w:rsidRPr="005F0CE8">
        <w:rPr>
          <w:rFonts w:eastAsia="Calibri"/>
        </w:rPr>
        <w:t xml:space="preserve">ESC noted that </w:t>
      </w:r>
      <w:r w:rsidR="002B407D" w:rsidRPr="005F0CE8">
        <w:t>IDFS is a composite endpoint and although it is a clinically relevant measure by itself and has been endorsed by expert working groups, its relationship to OS and its minimally clinically important difference are not known in this population.</w:t>
      </w:r>
    </w:p>
    <w:p w14:paraId="1D181702" w14:textId="337627B5" w:rsidR="005F7588" w:rsidRPr="005F0CE8" w:rsidRDefault="005F7588" w:rsidP="00477BB3">
      <w:pPr>
        <w:pStyle w:val="3-BodyText"/>
        <w:rPr>
          <w:rFonts w:eastAsia="Calibri"/>
        </w:rPr>
      </w:pPr>
      <w:r w:rsidRPr="005F0CE8">
        <w:rPr>
          <w:rFonts w:eastAsia="Calibri"/>
        </w:rPr>
        <w:t xml:space="preserve">The submission described </w:t>
      </w:r>
      <w:r w:rsidR="00706454" w:rsidRPr="005F0CE8">
        <w:rPr>
          <w:rFonts w:eastAsia="Calibri"/>
        </w:rPr>
        <w:t>olaparib</w:t>
      </w:r>
      <w:r w:rsidRPr="005F0CE8">
        <w:rPr>
          <w:rFonts w:eastAsia="Calibri"/>
        </w:rPr>
        <w:t xml:space="preserve"> as non-inferior in term</w:t>
      </w:r>
      <w:r w:rsidR="00156F8F" w:rsidRPr="005F0CE8">
        <w:rPr>
          <w:rFonts w:eastAsia="Calibri"/>
        </w:rPr>
        <w:t>s</w:t>
      </w:r>
      <w:r w:rsidRPr="005F0CE8">
        <w:rPr>
          <w:rFonts w:eastAsia="Calibri"/>
        </w:rPr>
        <w:t xml:space="preserve"> of safety compared to </w:t>
      </w:r>
      <w:r w:rsidR="00706454" w:rsidRPr="005F0CE8">
        <w:rPr>
          <w:rFonts w:eastAsia="Calibri"/>
        </w:rPr>
        <w:t>placebo</w:t>
      </w:r>
      <w:r w:rsidRPr="005F0CE8">
        <w:rPr>
          <w:rFonts w:eastAsia="Calibri"/>
        </w:rPr>
        <w:t xml:space="preserve">. This claim was </w:t>
      </w:r>
      <w:r w:rsidR="007C70FF" w:rsidRPr="005F0CE8">
        <w:rPr>
          <w:rFonts w:eastAsia="Calibri"/>
        </w:rPr>
        <w:t xml:space="preserve">not </w:t>
      </w:r>
      <w:r w:rsidRPr="005F0CE8">
        <w:rPr>
          <w:rFonts w:eastAsia="Calibri"/>
        </w:rPr>
        <w:t>adequately supported</w:t>
      </w:r>
      <w:r w:rsidR="007C70FF" w:rsidRPr="005F0CE8">
        <w:rPr>
          <w:rFonts w:eastAsia="Calibri"/>
        </w:rPr>
        <w:t xml:space="preserve">. </w:t>
      </w:r>
      <w:r w:rsidR="00706454" w:rsidRPr="005F0CE8">
        <w:rPr>
          <w:rFonts w:eastAsia="Calibri"/>
        </w:rPr>
        <w:t>The olaparib arm had a high</w:t>
      </w:r>
      <w:r w:rsidR="00E7615F" w:rsidRPr="005F0CE8">
        <w:rPr>
          <w:rFonts w:eastAsia="Calibri"/>
        </w:rPr>
        <w:t>er</w:t>
      </w:r>
      <w:r w:rsidR="00706454" w:rsidRPr="005F0CE8">
        <w:rPr>
          <w:rFonts w:eastAsia="Calibri"/>
        </w:rPr>
        <w:t xml:space="preserve"> </w:t>
      </w:r>
      <w:r w:rsidR="00706454" w:rsidRPr="005F0CE8">
        <w:rPr>
          <w:rFonts w:eastAsia="Calibri"/>
        </w:rPr>
        <w:lastRenderedPageBreak/>
        <w:t>incidence of all AEs, a high</w:t>
      </w:r>
      <w:r w:rsidR="00E7615F" w:rsidRPr="005F0CE8">
        <w:rPr>
          <w:rFonts w:eastAsia="Calibri"/>
        </w:rPr>
        <w:t>er</w:t>
      </w:r>
      <w:r w:rsidR="00706454" w:rsidRPr="005F0CE8">
        <w:rPr>
          <w:rFonts w:eastAsia="Calibri"/>
        </w:rPr>
        <w:t xml:space="preserve"> incidence of grade 3 or higher AEs, and a higher incidence of AEs leading to dose reduction, interruption, or discontinuation</w:t>
      </w:r>
      <w:r w:rsidR="00FE2BC3" w:rsidRPr="005F0CE8">
        <w:rPr>
          <w:rFonts w:eastAsia="Calibri"/>
        </w:rPr>
        <w:t>, compared to the placebo arm</w:t>
      </w:r>
      <w:r w:rsidR="00513BA4" w:rsidRPr="005F0CE8">
        <w:rPr>
          <w:rFonts w:eastAsia="Calibri"/>
        </w:rPr>
        <w:t xml:space="preserve"> and also the long-term risk of MDS/AML</w:t>
      </w:r>
    </w:p>
    <w:p w14:paraId="5EBDB536" w14:textId="55A730AB" w:rsidR="00971ED2" w:rsidRPr="005F0CE8" w:rsidRDefault="00971ED2" w:rsidP="00477BB3">
      <w:pPr>
        <w:pStyle w:val="3-BodyText"/>
        <w:rPr>
          <w:rFonts w:eastAsia="Calibri"/>
        </w:rPr>
      </w:pPr>
      <w:r w:rsidRPr="005F0CE8">
        <w:t xml:space="preserve">The PSCR acknowledged that a greater proportion of patients in the olaparib arm experienced AEs leading to dose reductions, interruption or discontinuation, but asserted that the rate of AEs resulting in death during study treatment or 30-day safety follow-up remained balanced between both treatment groups. </w:t>
      </w:r>
      <w:r w:rsidR="007040EB" w:rsidRPr="005F0CE8">
        <w:t xml:space="preserve">The </w:t>
      </w:r>
      <w:r w:rsidRPr="005F0CE8">
        <w:t xml:space="preserve">ESC noted that the adverse event profile of olaparib is well characterised and that no new types of adverse events were identified in the setting of early breast cancer. </w:t>
      </w:r>
      <w:r w:rsidR="006F5FD4" w:rsidRPr="005F0CE8">
        <w:t xml:space="preserve">The </w:t>
      </w:r>
      <w:r w:rsidRPr="005F0CE8">
        <w:t xml:space="preserve">ESC also noted that MDS/AML was a concern with PARPis and </w:t>
      </w:r>
      <w:r w:rsidR="007040EB" w:rsidRPr="005F0CE8">
        <w:rPr>
          <w:rFonts w:eastAsia="Calibri"/>
        </w:rPr>
        <w:t>agreed with the evaluation that the non</w:t>
      </w:r>
      <w:r w:rsidR="007040EB" w:rsidRPr="005F0CE8">
        <w:rPr>
          <w:rFonts w:eastAsia="Calibri"/>
        </w:rPr>
        <w:noBreakHyphen/>
        <w:t>inferiority claim was not supported.</w:t>
      </w:r>
    </w:p>
    <w:p w14:paraId="2EB65E71" w14:textId="01FDD8A7" w:rsidR="009B5832" w:rsidRPr="005F0CE8" w:rsidRDefault="009B5832" w:rsidP="009B5832">
      <w:pPr>
        <w:widowControl w:val="0"/>
        <w:numPr>
          <w:ilvl w:val="1"/>
          <w:numId w:val="1"/>
        </w:numPr>
        <w:spacing w:after="120"/>
        <w:ind w:left="720"/>
        <w:rPr>
          <w:rFonts w:asciiTheme="minorHAnsi" w:hAnsiTheme="minorHAnsi"/>
          <w:snapToGrid w:val="0"/>
          <w:szCs w:val="20"/>
        </w:rPr>
      </w:pPr>
      <w:bookmarkStart w:id="68" w:name="_Hlk76376200"/>
      <w:bookmarkStart w:id="69" w:name="_Hlk130314287"/>
      <w:r w:rsidRPr="005F0CE8">
        <w:rPr>
          <w:rFonts w:asciiTheme="minorHAnsi" w:hAnsiTheme="minorHAnsi"/>
          <w:iCs/>
          <w:snapToGrid w:val="0"/>
        </w:rPr>
        <w:t>The</w:t>
      </w:r>
      <w:r w:rsidRPr="005F0CE8">
        <w:rPr>
          <w:rFonts w:asciiTheme="minorHAnsi" w:hAnsiTheme="minorHAnsi"/>
          <w:snapToGrid w:val="0"/>
          <w:szCs w:val="20"/>
        </w:rPr>
        <w:t xml:space="preserve"> PBAC considered that the claim of superior comparative effectiveness </w:t>
      </w:r>
      <w:r w:rsidR="00295F01" w:rsidRPr="005F0CE8">
        <w:rPr>
          <w:rFonts w:asciiTheme="minorHAnsi" w:hAnsiTheme="minorHAnsi"/>
          <w:snapToGrid w:val="0"/>
          <w:szCs w:val="20"/>
        </w:rPr>
        <w:t>was reasonable based on</w:t>
      </w:r>
      <w:r w:rsidRPr="005F0CE8">
        <w:rPr>
          <w:rFonts w:asciiTheme="minorHAnsi" w:hAnsiTheme="minorHAnsi"/>
          <w:snapToGrid w:val="0"/>
          <w:szCs w:val="20"/>
        </w:rPr>
        <w:t xml:space="preserve"> the </w:t>
      </w:r>
      <w:r w:rsidR="00295F01" w:rsidRPr="005F0CE8">
        <w:rPr>
          <w:rFonts w:asciiTheme="minorHAnsi" w:hAnsiTheme="minorHAnsi"/>
          <w:snapToGrid w:val="0"/>
          <w:szCs w:val="20"/>
        </w:rPr>
        <w:t>OlympiA trial.</w:t>
      </w:r>
    </w:p>
    <w:p w14:paraId="0A02F67A" w14:textId="47008D71" w:rsidR="009B5832" w:rsidRPr="005F0CE8" w:rsidRDefault="009B5832" w:rsidP="009B5832">
      <w:pPr>
        <w:widowControl w:val="0"/>
        <w:numPr>
          <w:ilvl w:val="1"/>
          <w:numId w:val="1"/>
        </w:numPr>
        <w:spacing w:after="120"/>
        <w:ind w:left="720"/>
        <w:rPr>
          <w:rFonts w:asciiTheme="minorHAnsi" w:hAnsiTheme="minorHAnsi"/>
          <w:snapToGrid w:val="0"/>
          <w:szCs w:val="20"/>
        </w:rPr>
      </w:pPr>
      <w:r w:rsidRPr="005F0CE8">
        <w:rPr>
          <w:rFonts w:asciiTheme="minorHAnsi" w:hAnsiTheme="minorHAnsi"/>
          <w:snapToGrid w:val="0"/>
          <w:szCs w:val="20"/>
        </w:rPr>
        <w:t>The PBAC considered that the claim of non-inferior</w:t>
      </w:r>
      <w:r w:rsidR="00295F01" w:rsidRPr="005F0CE8">
        <w:rPr>
          <w:rFonts w:asciiTheme="minorHAnsi" w:hAnsiTheme="minorHAnsi"/>
          <w:snapToGrid w:val="0"/>
          <w:szCs w:val="20"/>
        </w:rPr>
        <w:t xml:space="preserve"> </w:t>
      </w:r>
      <w:r w:rsidRPr="005F0CE8">
        <w:rPr>
          <w:rFonts w:asciiTheme="minorHAnsi" w:hAnsiTheme="minorHAnsi"/>
          <w:snapToGrid w:val="0"/>
          <w:szCs w:val="20"/>
        </w:rPr>
        <w:t>comparative safety was not adequately supported by the dat</w:t>
      </w:r>
      <w:r w:rsidR="00295F01" w:rsidRPr="005F0CE8">
        <w:rPr>
          <w:rFonts w:asciiTheme="minorHAnsi" w:hAnsiTheme="minorHAnsi"/>
          <w:snapToGrid w:val="0"/>
          <w:szCs w:val="20"/>
        </w:rPr>
        <w:t>a, and that olaparib was inferior to placebo in terms of safety</w:t>
      </w:r>
      <w:r w:rsidRPr="005F0CE8">
        <w:rPr>
          <w:rFonts w:asciiTheme="minorHAnsi" w:hAnsiTheme="minorHAnsi"/>
          <w:snapToGrid w:val="0"/>
          <w:szCs w:val="20"/>
        </w:rPr>
        <w:t>.</w:t>
      </w:r>
      <w:bookmarkEnd w:id="68"/>
    </w:p>
    <w:p w14:paraId="5ED78EC1" w14:textId="77777777" w:rsidR="009C6A3A" w:rsidRPr="005F0CE8" w:rsidRDefault="009C6A3A" w:rsidP="009C6A3A">
      <w:pPr>
        <w:pStyle w:val="4-SubsectionHeading"/>
      </w:pPr>
      <w:bookmarkStart w:id="70" w:name="_Toc22897645"/>
      <w:bookmarkStart w:id="71" w:name="_Toc124883285"/>
      <w:bookmarkStart w:id="72" w:name="_Toc22897650"/>
      <w:bookmarkEnd w:id="69"/>
      <w:r w:rsidRPr="005F0CE8">
        <w:t>Economic analysis</w:t>
      </w:r>
      <w:bookmarkEnd w:id="70"/>
      <w:bookmarkEnd w:id="71"/>
      <w:r w:rsidRPr="005F0CE8">
        <w:t xml:space="preserve"> </w:t>
      </w:r>
    </w:p>
    <w:p w14:paraId="0E8C6EB0" w14:textId="3CF7037D" w:rsidR="009C6A3A" w:rsidRPr="005F0CE8" w:rsidRDefault="009C6A3A" w:rsidP="00477BB3">
      <w:pPr>
        <w:pStyle w:val="3-BodyText"/>
        <w:rPr>
          <w:b/>
        </w:rPr>
      </w:pPr>
      <w:r w:rsidRPr="005F0CE8">
        <w:t>The submission presented an economic evaluation based on the OlympiA</w:t>
      </w:r>
      <w:r w:rsidR="007916C2" w:rsidRPr="005F0CE8">
        <w:t xml:space="preserve"> trial</w:t>
      </w:r>
      <w:r w:rsidRPr="005F0CE8">
        <w:t xml:space="preserve">. The type of economic evaluation was a cost-utility analysis. The key components of the economic evaluation are presented in </w:t>
      </w:r>
      <w:r w:rsidRPr="005F0CE8">
        <w:fldChar w:fldCharType="begin"/>
      </w:r>
      <w:r w:rsidRPr="005F0CE8">
        <w:instrText xml:space="preserve"> REF _Ref121342901 \h </w:instrText>
      </w:r>
      <w:r w:rsidRPr="005F0CE8">
        <w:fldChar w:fldCharType="separate"/>
      </w:r>
      <w:r w:rsidR="00AB6006" w:rsidRPr="005F0CE8">
        <w:t xml:space="preserve">Table </w:t>
      </w:r>
      <w:r w:rsidR="00AB6006">
        <w:rPr>
          <w:noProof/>
        </w:rPr>
        <w:t>13</w:t>
      </w:r>
      <w:r w:rsidRPr="005F0CE8">
        <w:fldChar w:fldCharType="end"/>
      </w:r>
      <w:r w:rsidRPr="005F0CE8">
        <w:t>.</w:t>
      </w:r>
    </w:p>
    <w:p w14:paraId="3C7F10FB" w14:textId="308BCC9A" w:rsidR="009C6A3A" w:rsidRPr="005F0CE8" w:rsidRDefault="009C6A3A" w:rsidP="009C6A3A">
      <w:pPr>
        <w:pStyle w:val="Caption"/>
        <w:jc w:val="left"/>
        <w:rPr>
          <w:rStyle w:val="CommentReference"/>
          <w:b/>
          <w:szCs w:val="24"/>
        </w:rPr>
      </w:pPr>
      <w:bookmarkStart w:id="73" w:name="_Ref121342901"/>
      <w:r w:rsidRPr="005F0CE8">
        <w:t xml:space="preserve">Table </w:t>
      </w:r>
      <w:fldSimple w:instr=" SEQ Table \* ARABIC ">
        <w:r w:rsidR="00AB6006">
          <w:rPr>
            <w:noProof/>
          </w:rPr>
          <w:t>13</w:t>
        </w:r>
      </w:fldSimple>
      <w:bookmarkEnd w:id="73"/>
      <w:r w:rsidRPr="005F0CE8">
        <w:t>:</w:t>
      </w:r>
      <w:r w:rsidRPr="005F0CE8">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9C6A3A" w:rsidRPr="005F0CE8" w14:paraId="4B7CDF4D" w14:textId="77777777" w:rsidTr="005C473F">
        <w:trPr>
          <w:tblHeader/>
        </w:trPr>
        <w:tc>
          <w:tcPr>
            <w:tcW w:w="1396" w:type="pct"/>
            <w:shd w:val="clear" w:color="auto" w:fill="auto"/>
            <w:vAlign w:val="center"/>
          </w:tcPr>
          <w:p w14:paraId="71BB4C1D" w14:textId="77777777" w:rsidR="009C6A3A" w:rsidRPr="005F0CE8" w:rsidRDefault="009C6A3A" w:rsidP="005C473F">
            <w:pPr>
              <w:pStyle w:val="In-tableHeading"/>
              <w:keepNext w:val="0"/>
              <w:widowControl w:val="0"/>
              <w:rPr>
                <w:lang w:val="en-AU"/>
              </w:rPr>
            </w:pPr>
            <w:r w:rsidRPr="005F0CE8">
              <w:rPr>
                <w:lang w:val="en-AU"/>
              </w:rPr>
              <w:t>Component</w:t>
            </w:r>
          </w:p>
        </w:tc>
        <w:tc>
          <w:tcPr>
            <w:tcW w:w="3604" w:type="pct"/>
            <w:shd w:val="clear" w:color="auto" w:fill="auto"/>
            <w:vAlign w:val="center"/>
          </w:tcPr>
          <w:p w14:paraId="3963FA0F" w14:textId="77777777" w:rsidR="009C6A3A" w:rsidRPr="005F0CE8" w:rsidRDefault="009C6A3A" w:rsidP="005C473F">
            <w:pPr>
              <w:pStyle w:val="In-tableHeading"/>
              <w:keepNext w:val="0"/>
              <w:widowControl w:val="0"/>
              <w:rPr>
                <w:lang w:val="en-AU"/>
              </w:rPr>
            </w:pPr>
            <w:r w:rsidRPr="005F0CE8">
              <w:rPr>
                <w:lang w:val="en-AU"/>
              </w:rPr>
              <w:t>Summary</w:t>
            </w:r>
          </w:p>
        </w:tc>
      </w:tr>
      <w:tr w:rsidR="009C6A3A" w:rsidRPr="005F0CE8" w14:paraId="3DBB839A" w14:textId="77777777" w:rsidTr="005C473F">
        <w:tc>
          <w:tcPr>
            <w:tcW w:w="1396" w:type="pct"/>
            <w:shd w:val="clear" w:color="auto" w:fill="auto"/>
            <w:vAlign w:val="center"/>
          </w:tcPr>
          <w:p w14:paraId="108F5C40" w14:textId="77777777" w:rsidR="009C6A3A" w:rsidRPr="005F0CE8" w:rsidRDefault="009C6A3A" w:rsidP="005C473F">
            <w:pPr>
              <w:pStyle w:val="TableText0"/>
              <w:keepNext w:val="0"/>
              <w:widowControl w:val="0"/>
            </w:pPr>
            <w:r w:rsidRPr="005F0CE8">
              <w:t>Treatments</w:t>
            </w:r>
          </w:p>
        </w:tc>
        <w:tc>
          <w:tcPr>
            <w:tcW w:w="3604" w:type="pct"/>
            <w:shd w:val="clear" w:color="auto" w:fill="auto"/>
            <w:vAlign w:val="center"/>
          </w:tcPr>
          <w:p w14:paraId="66D2BD78" w14:textId="77777777" w:rsidR="009C6A3A" w:rsidRPr="005F0CE8" w:rsidRDefault="009C6A3A" w:rsidP="005C473F">
            <w:pPr>
              <w:pStyle w:val="TableText0"/>
              <w:keepNext w:val="0"/>
              <w:widowControl w:val="0"/>
            </w:pPr>
            <w:r w:rsidRPr="005F0CE8">
              <w:t>Adjuvant olaparib vs placebo (no treatment)</w:t>
            </w:r>
          </w:p>
        </w:tc>
      </w:tr>
      <w:tr w:rsidR="009C6A3A" w:rsidRPr="005F0CE8" w14:paraId="52AC09C2" w14:textId="77777777" w:rsidTr="005C473F">
        <w:tc>
          <w:tcPr>
            <w:tcW w:w="1396" w:type="pct"/>
            <w:shd w:val="clear" w:color="auto" w:fill="auto"/>
            <w:vAlign w:val="center"/>
          </w:tcPr>
          <w:p w14:paraId="5DB49112" w14:textId="77777777" w:rsidR="009C6A3A" w:rsidRPr="005F0CE8" w:rsidRDefault="009C6A3A" w:rsidP="005C473F">
            <w:pPr>
              <w:pStyle w:val="TableText0"/>
              <w:keepNext w:val="0"/>
              <w:widowControl w:val="0"/>
            </w:pPr>
            <w:r w:rsidRPr="005F0CE8">
              <w:t>Time horizon</w:t>
            </w:r>
          </w:p>
        </w:tc>
        <w:tc>
          <w:tcPr>
            <w:tcW w:w="3604" w:type="pct"/>
            <w:shd w:val="clear" w:color="auto" w:fill="auto"/>
            <w:vAlign w:val="center"/>
          </w:tcPr>
          <w:p w14:paraId="732E4F7B" w14:textId="77777777" w:rsidR="009C6A3A" w:rsidRPr="005F0CE8" w:rsidRDefault="009C6A3A" w:rsidP="005C473F">
            <w:pPr>
              <w:pStyle w:val="TableText0"/>
              <w:keepNext w:val="0"/>
              <w:widowControl w:val="0"/>
            </w:pPr>
            <w:r w:rsidRPr="005F0CE8">
              <w:t>40 years in the model base case versus a median of 3.5 years in the OlympiA trial.</w:t>
            </w:r>
          </w:p>
        </w:tc>
      </w:tr>
      <w:tr w:rsidR="009C6A3A" w:rsidRPr="005F0CE8" w14:paraId="4865C5A2" w14:textId="77777777" w:rsidTr="005C473F">
        <w:tc>
          <w:tcPr>
            <w:tcW w:w="1396" w:type="pct"/>
            <w:shd w:val="clear" w:color="auto" w:fill="auto"/>
            <w:vAlign w:val="center"/>
          </w:tcPr>
          <w:p w14:paraId="2CFF3CDB" w14:textId="77777777" w:rsidR="009C6A3A" w:rsidRPr="005F0CE8" w:rsidRDefault="009C6A3A" w:rsidP="005C473F">
            <w:pPr>
              <w:pStyle w:val="TableText0"/>
              <w:keepNext w:val="0"/>
              <w:widowControl w:val="0"/>
            </w:pPr>
            <w:r w:rsidRPr="005F0CE8">
              <w:t>Outcomes</w:t>
            </w:r>
          </w:p>
        </w:tc>
        <w:tc>
          <w:tcPr>
            <w:tcW w:w="3604" w:type="pct"/>
            <w:shd w:val="clear" w:color="auto" w:fill="auto"/>
            <w:vAlign w:val="center"/>
          </w:tcPr>
          <w:p w14:paraId="56CE6E2E" w14:textId="77777777" w:rsidR="009C6A3A" w:rsidRPr="005F0CE8" w:rsidRDefault="009C6A3A" w:rsidP="005C473F">
            <w:pPr>
              <w:pStyle w:val="TableText0"/>
              <w:keepNext w:val="0"/>
              <w:widowControl w:val="0"/>
            </w:pPr>
            <w:r w:rsidRPr="005F0CE8">
              <w:t>Life years gained, quality adjusted life years gained, and disease free years gained.</w:t>
            </w:r>
          </w:p>
        </w:tc>
      </w:tr>
      <w:tr w:rsidR="009C6A3A" w:rsidRPr="005F0CE8" w14:paraId="11665897" w14:textId="77777777" w:rsidTr="005C473F">
        <w:tc>
          <w:tcPr>
            <w:tcW w:w="1396" w:type="pct"/>
            <w:shd w:val="clear" w:color="auto" w:fill="auto"/>
            <w:vAlign w:val="center"/>
          </w:tcPr>
          <w:p w14:paraId="035BB96A" w14:textId="77777777" w:rsidR="009C6A3A" w:rsidRPr="005F0CE8" w:rsidRDefault="009C6A3A" w:rsidP="005C473F">
            <w:pPr>
              <w:pStyle w:val="TableText0"/>
              <w:keepNext w:val="0"/>
              <w:widowControl w:val="0"/>
            </w:pPr>
            <w:r w:rsidRPr="005F0CE8">
              <w:t>Methods used to generate results</w:t>
            </w:r>
          </w:p>
        </w:tc>
        <w:tc>
          <w:tcPr>
            <w:tcW w:w="3604" w:type="pct"/>
            <w:shd w:val="clear" w:color="auto" w:fill="auto"/>
            <w:vAlign w:val="center"/>
          </w:tcPr>
          <w:p w14:paraId="70E4B7A6" w14:textId="77777777" w:rsidR="009C6A3A" w:rsidRPr="005F0CE8" w:rsidRDefault="009C6A3A" w:rsidP="005C473F">
            <w:pPr>
              <w:pStyle w:val="TableText0"/>
              <w:keepNext w:val="0"/>
              <w:widowControl w:val="0"/>
            </w:pPr>
            <w:r w:rsidRPr="005F0CE8">
              <w:t>Markov model (semi-Markov with time varying transition probabilities)</w:t>
            </w:r>
          </w:p>
        </w:tc>
      </w:tr>
      <w:tr w:rsidR="009C6A3A" w:rsidRPr="005F0CE8" w14:paraId="28305D3C" w14:textId="77777777" w:rsidTr="005C473F">
        <w:tc>
          <w:tcPr>
            <w:tcW w:w="1396" w:type="pct"/>
            <w:shd w:val="clear" w:color="auto" w:fill="auto"/>
            <w:vAlign w:val="center"/>
          </w:tcPr>
          <w:p w14:paraId="1E6140F2" w14:textId="77777777" w:rsidR="009C6A3A" w:rsidRPr="005F0CE8" w:rsidRDefault="009C6A3A" w:rsidP="005C473F">
            <w:pPr>
              <w:pStyle w:val="TableText0"/>
              <w:keepNext w:val="0"/>
              <w:widowControl w:val="0"/>
            </w:pPr>
            <w:r w:rsidRPr="005F0CE8">
              <w:t>Health states</w:t>
            </w:r>
          </w:p>
        </w:tc>
        <w:tc>
          <w:tcPr>
            <w:tcW w:w="3604" w:type="pct"/>
            <w:shd w:val="clear" w:color="auto" w:fill="auto"/>
            <w:vAlign w:val="center"/>
          </w:tcPr>
          <w:p w14:paraId="14053E36" w14:textId="77777777" w:rsidR="009C6A3A" w:rsidRPr="005F0CE8" w:rsidRDefault="009C6A3A" w:rsidP="005C473F">
            <w:pPr>
              <w:pStyle w:val="TableText0"/>
              <w:keepNext w:val="0"/>
              <w:widowControl w:val="0"/>
            </w:pPr>
            <w:r w:rsidRPr="005F0CE8">
              <w:t>Invasive disease-free survival, Non-metastatic recurrence, Early-onset metastatic recurrence, Late-onset metastatic recurrence, and Dead</w:t>
            </w:r>
          </w:p>
        </w:tc>
      </w:tr>
      <w:tr w:rsidR="009C6A3A" w:rsidRPr="005F0CE8" w14:paraId="6B8C51EA" w14:textId="77777777" w:rsidTr="005C473F">
        <w:tc>
          <w:tcPr>
            <w:tcW w:w="1396" w:type="pct"/>
            <w:shd w:val="clear" w:color="auto" w:fill="auto"/>
            <w:vAlign w:val="center"/>
          </w:tcPr>
          <w:p w14:paraId="62758270" w14:textId="77777777" w:rsidR="009C6A3A" w:rsidRPr="005F0CE8" w:rsidRDefault="009C6A3A" w:rsidP="005C473F">
            <w:pPr>
              <w:pStyle w:val="TableText0"/>
              <w:keepNext w:val="0"/>
              <w:widowControl w:val="0"/>
            </w:pPr>
            <w:r w:rsidRPr="005F0CE8">
              <w:t>Cycle length</w:t>
            </w:r>
          </w:p>
        </w:tc>
        <w:tc>
          <w:tcPr>
            <w:tcW w:w="3604" w:type="pct"/>
            <w:shd w:val="clear" w:color="auto" w:fill="auto"/>
            <w:vAlign w:val="center"/>
          </w:tcPr>
          <w:p w14:paraId="5119F301" w14:textId="77777777" w:rsidR="009C6A3A" w:rsidRPr="005F0CE8" w:rsidRDefault="009C6A3A" w:rsidP="005C473F">
            <w:pPr>
              <w:pStyle w:val="TableText0"/>
              <w:keepNext w:val="0"/>
              <w:widowControl w:val="0"/>
            </w:pPr>
            <w:r w:rsidRPr="005F0CE8">
              <w:t>1 month (365/12=30.417 days)</w:t>
            </w:r>
          </w:p>
        </w:tc>
      </w:tr>
      <w:tr w:rsidR="009C6A3A" w:rsidRPr="005F0CE8" w14:paraId="1848A0B3" w14:textId="77777777" w:rsidTr="005C473F">
        <w:tc>
          <w:tcPr>
            <w:tcW w:w="1396" w:type="pct"/>
            <w:shd w:val="clear" w:color="auto" w:fill="auto"/>
            <w:vAlign w:val="center"/>
          </w:tcPr>
          <w:p w14:paraId="012F7513" w14:textId="77777777" w:rsidR="009C6A3A" w:rsidRPr="005F0CE8" w:rsidRDefault="009C6A3A" w:rsidP="005C473F">
            <w:pPr>
              <w:pStyle w:val="TableText0"/>
              <w:keepNext w:val="0"/>
              <w:widowControl w:val="0"/>
            </w:pPr>
            <w:r w:rsidRPr="005F0CE8">
              <w:t>Transition probabilities</w:t>
            </w:r>
          </w:p>
          <w:p w14:paraId="14AAFF25" w14:textId="77777777" w:rsidR="009C6A3A" w:rsidRPr="005F0CE8" w:rsidRDefault="009C6A3A" w:rsidP="005C473F">
            <w:pPr>
              <w:pStyle w:val="TableText0"/>
              <w:keepNext w:val="0"/>
              <w:widowControl w:val="0"/>
            </w:pPr>
          </w:p>
        </w:tc>
        <w:tc>
          <w:tcPr>
            <w:tcW w:w="3604" w:type="pct"/>
            <w:shd w:val="clear" w:color="auto" w:fill="auto"/>
            <w:vAlign w:val="center"/>
          </w:tcPr>
          <w:p w14:paraId="7F0AEC7B" w14:textId="03E1CE5D" w:rsidR="009C6A3A" w:rsidRPr="005F0CE8" w:rsidRDefault="009C6A3A" w:rsidP="005C473F">
            <w:pPr>
              <w:pStyle w:val="TableText0"/>
              <w:keepNext w:val="0"/>
              <w:widowControl w:val="0"/>
            </w:pPr>
            <w:r w:rsidRPr="005F0CE8">
              <w:t xml:space="preserve">The model has 7 transition probabilities. Transition probabilities are largely </w:t>
            </w:r>
            <w:r w:rsidR="00F563C9" w:rsidRPr="005F0CE8">
              <w:t>time varying</w:t>
            </w:r>
            <w:r w:rsidRPr="005F0CE8">
              <w:t xml:space="preserve"> and are calculated from survival curves.</w:t>
            </w:r>
          </w:p>
          <w:p w14:paraId="611F1F4F" w14:textId="77777777" w:rsidR="009C6A3A" w:rsidRPr="005F0CE8" w:rsidRDefault="009C6A3A" w:rsidP="005C473F">
            <w:pPr>
              <w:pStyle w:val="TableText0"/>
              <w:keepNext w:val="0"/>
              <w:widowControl w:val="0"/>
            </w:pPr>
            <w:r w:rsidRPr="005F0CE8">
              <w:rPr>
                <w:b/>
              </w:rPr>
              <w:t>TP1 – IDFS to non-mBC</w:t>
            </w:r>
            <w:r w:rsidRPr="005F0CE8">
              <w:t xml:space="preserve"> (approx. 25% of all recurrences)</w:t>
            </w:r>
          </w:p>
          <w:p w14:paraId="0200FC3C" w14:textId="77777777" w:rsidR="009C6A3A" w:rsidRPr="005F0CE8" w:rsidRDefault="009C6A3A" w:rsidP="00BA51B7">
            <w:pPr>
              <w:pStyle w:val="TableText0"/>
              <w:keepNext w:val="0"/>
              <w:widowControl w:val="0"/>
              <w:numPr>
                <w:ilvl w:val="0"/>
                <w:numId w:val="9"/>
              </w:numPr>
            </w:pPr>
            <w:r w:rsidRPr="005F0CE8">
              <w:t>Before 42 months – OlympiA IDFS survival curve (KM data)</w:t>
            </w:r>
          </w:p>
          <w:p w14:paraId="7AD937CD" w14:textId="77777777" w:rsidR="009C6A3A" w:rsidRPr="005F0CE8" w:rsidRDefault="009C6A3A" w:rsidP="00BA51B7">
            <w:pPr>
              <w:pStyle w:val="TableText0"/>
              <w:keepNext w:val="0"/>
              <w:widowControl w:val="0"/>
              <w:numPr>
                <w:ilvl w:val="0"/>
                <w:numId w:val="9"/>
              </w:numPr>
            </w:pPr>
            <w:r w:rsidRPr="005F0CE8">
              <w:t>To 60 months – parametric extrapolation of the OlympiA IDFS survival curve</w:t>
            </w:r>
          </w:p>
          <w:p w14:paraId="7A3EA18B" w14:textId="77777777" w:rsidR="009C6A3A" w:rsidRPr="005F0CE8" w:rsidRDefault="009C6A3A" w:rsidP="00BA51B7">
            <w:pPr>
              <w:pStyle w:val="TableText0"/>
              <w:keepNext w:val="0"/>
              <w:widowControl w:val="0"/>
              <w:numPr>
                <w:ilvl w:val="0"/>
                <w:numId w:val="9"/>
              </w:numPr>
            </w:pPr>
            <w:r w:rsidRPr="005F0CE8">
              <w:t>To 10 years – externally sourced recurrence rate</w:t>
            </w:r>
          </w:p>
          <w:p w14:paraId="4FC83BD2" w14:textId="77777777" w:rsidR="009C6A3A" w:rsidRPr="005F0CE8" w:rsidRDefault="009C6A3A" w:rsidP="00BA51B7">
            <w:pPr>
              <w:pStyle w:val="TableText0"/>
              <w:keepNext w:val="0"/>
              <w:widowControl w:val="0"/>
              <w:numPr>
                <w:ilvl w:val="0"/>
                <w:numId w:val="9"/>
              </w:numPr>
            </w:pPr>
            <w:r w:rsidRPr="005F0CE8">
              <w:t>After 10 years – no recurrences</w:t>
            </w:r>
          </w:p>
          <w:p w14:paraId="4FABB789" w14:textId="77777777" w:rsidR="009C6A3A" w:rsidRPr="005F0CE8" w:rsidRDefault="009C6A3A" w:rsidP="005C473F">
            <w:pPr>
              <w:pStyle w:val="TableText0"/>
              <w:keepNext w:val="0"/>
              <w:widowControl w:val="0"/>
            </w:pPr>
            <w:r w:rsidRPr="005F0CE8">
              <w:rPr>
                <w:b/>
              </w:rPr>
              <w:t>TP2 – IDFS to mBC</w:t>
            </w:r>
            <w:r w:rsidRPr="005F0CE8">
              <w:t xml:space="preserve"> (approx. 75% of all recurrences). Before 24 months, metastatic recurrences move to the early-onset mBC health state. After 24 months, metastatic recurrences move to the late-onset mBC health state. Derivation of transition probabilities as for TP1.</w:t>
            </w:r>
          </w:p>
          <w:p w14:paraId="09ACF138" w14:textId="6BBACCC5" w:rsidR="009C6A3A" w:rsidRPr="005F0CE8" w:rsidRDefault="009C6A3A" w:rsidP="005C473F">
            <w:pPr>
              <w:pStyle w:val="TableText0"/>
              <w:keepNext w:val="0"/>
              <w:widowControl w:val="0"/>
            </w:pPr>
            <w:r w:rsidRPr="005F0CE8">
              <w:rPr>
                <w:b/>
              </w:rPr>
              <w:t>TP3 – IDFS to death</w:t>
            </w:r>
            <w:r w:rsidRPr="005F0CE8">
              <w:t>. ABS life tables adjusted to reflect higher mortality in patients with g</w:t>
            </w:r>
            <w:r w:rsidR="009E092C" w:rsidRPr="009E092C">
              <w:rPr>
                <w:i/>
              </w:rPr>
              <w:t xml:space="preserve">BRCA </w:t>
            </w:r>
            <w:r w:rsidRPr="005F0CE8">
              <w:t>mutations.</w:t>
            </w:r>
          </w:p>
          <w:p w14:paraId="4AAE9AC7" w14:textId="77777777" w:rsidR="009C6A3A" w:rsidRPr="005F0CE8" w:rsidRDefault="009C6A3A" w:rsidP="005C473F">
            <w:pPr>
              <w:pStyle w:val="TableText0"/>
              <w:keepNext w:val="0"/>
              <w:widowControl w:val="0"/>
            </w:pPr>
            <w:r w:rsidRPr="005F0CE8">
              <w:rPr>
                <w:b/>
              </w:rPr>
              <w:t>TP4 – non-mBC to mBC</w:t>
            </w:r>
            <w:r w:rsidRPr="005F0CE8">
              <w:t>. OlympiA survival curve from local recurrence to distant recurrence with fitted parametric function.</w:t>
            </w:r>
          </w:p>
          <w:p w14:paraId="2774AF4B" w14:textId="77777777" w:rsidR="009C6A3A" w:rsidRPr="005F0CE8" w:rsidRDefault="009C6A3A" w:rsidP="005C473F">
            <w:pPr>
              <w:pStyle w:val="TableText0"/>
              <w:keepNext w:val="0"/>
              <w:widowControl w:val="0"/>
            </w:pPr>
            <w:r w:rsidRPr="005F0CE8">
              <w:rPr>
                <w:b/>
              </w:rPr>
              <w:t>TP5 – non-mBC to death</w:t>
            </w:r>
            <w:r w:rsidRPr="005F0CE8">
              <w:t>. OlympiA survival curve from local recurrence to death with fitted parametric function.</w:t>
            </w:r>
          </w:p>
          <w:p w14:paraId="42759268" w14:textId="77777777" w:rsidR="009C6A3A" w:rsidRPr="005F0CE8" w:rsidRDefault="009C6A3A" w:rsidP="005C473F">
            <w:pPr>
              <w:pStyle w:val="TableText0"/>
              <w:keepNext w:val="0"/>
              <w:widowControl w:val="0"/>
            </w:pPr>
            <w:r w:rsidRPr="005F0CE8">
              <w:rPr>
                <w:b/>
              </w:rPr>
              <w:lastRenderedPageBreak/>
              <w:t>TP6 – early-onset mBC to death</w:t>
            </w:r>
            <w:r w:rsidRPr="005F0CE8">
              <w:t>. OlympiA survival curve for the olaparib arm from metastatic disease to death with fitted parametric function.</w:t>
            </w:r>
          </w:p>
          <w:p w14:paraId="337E8888" w14:textId="77777777" w:rsidR="009C6A3A" w:rsidRPr="005F0CE8" w:rsidRDefault="009C6A3A" w:rsidP="005C473F">
            <w:pPr>
              <w:pStyle w:val="TableText0"/>
              <w:keepNext w:val="0"/>
              <w:widowControl w:val="0"/>
            </w:pPr>
            <w:r w:rsidRPr="005F0CE8">
              <w:rPr>
                <w:b/>
              </w:rPr>
              <w:t>TP7 – late-onset mBC to death</w:t>
            </w:r>
            <w:r w:rsidRPr="005F0CE8">
              <w:t>. Pooled survival curves from three treatments used in the metastatic setting. Each survival curve is first fitted with a parametric function.</w:t>
            </w:r>
          </w:p>
        </w:tc>
      </w:tr>
      <w:tr w:rsidR="009C6A3A" w:rsidRPr="005F0CE8" w14:paraId="23FE17DB" w14:textId="77777777" w:rsidTr="005C473F">
        <w:tc>
          <w:tcPr>
            <w:tcW w:w="1396" w:type="pct"/>
            <w:shd w:val="clear" w:color="auto" w:fill="auto"/>
            <w:vAlign w:val="center"/>
          </w:tcPr>
          <w:p w14:paraId="3549BDF5" w14:textId="77777777" w:rsidR="009C6A3A" w:rsidRPr="005F0CE8" w:rsidRDefault="009C6A3A" w:rsidP="005C473F">
            <w:pPr>
              <w:pStyle w:val="TableText0"/>
              <w:keepNext w:val="0"/>
              <w:widowControl w:val="0"/>
            </w:pPr>
            <w:r w:rsidRPr="005F0CE8">
              <w:lastRenderedPageBreak/>
              <w:t>Extrapolation method</w:t>
            </w:r>
          </w:p>
        </w:tc>
        <w:tc>
          <w:tcPr>
            <w:tcW w:w="3604" w:type="pct"/>
            <w:shd w:val="clear" w:color="auto" w:fill="auto"/>
            <w:vAlign w:val="center"/>
          </w:tcPr>
          <w:p w14:paraId="69092C0E" w14:textId="77777777" w:rsidR="009C6A3A" w:rsidRPr="005F0CE8" w:rsidRDefault="009C6A3A" w:rsidP="005C473F">
            <w:pPr>
              <w:pStyle w:val="TableText0"/>
              <w:keepNext w:val="0"/>
              <w:widowControl w:val="0"/>
            </w:pPr>
            <w:r w:rsidRPr="005F0CE8">
              <w:t xml:space="preserve">The observed data for the IDFS survival curve is used until 42 months. A parametric function of best statistical fit is applied to the olaparib curve from 42 months to 60 months. The same function (despite not being the best fit) is applied to the placebo arm. This is TP1 and TP2. </w:t>
            </w:r>
          </w:p>
          <w:p w14:paraId="1FEBFCF0" w14:textId="77777777" w:rsidR="009C6A3A" w:rsidRPr="005F0CE8" w:rsidRDefault="009C6A3A" w:rsidP="005C473F">
            <w:pPr>
              <w:pStyle w:val="TableText0"/>
              <w:keepNext w:val="0"/>
              <w:widowControl w:val="0"/>
            </w:pPr>
          </w:p>
          <w:p w14:paraId="3B535396" w14:textId="77777777" w:rsidR="009C6A3A" w:rsidRPr="005F0CE8" w:rsidRDefault="009C6A3A" w:rsidP="005C473F">
            <w:pPr>
              <w:pStyle w:val="TableText0"/>
              <w:keepNext w:val="0"/>
              <w:widowControl w:val="0"/>
            </w:pPr>
            <w:r w:rsidRPr="005F0CE8">
              <w:t>Extrapolation following 5 years occurs as a consequence of an assumed recurrence rate until 10 years, then no recurrences. This approach maintains the initial divergence of the IDFS curve for the lifetime of the model (except for the impact of background mortality, ie, TP3).</w:t>
            </w:r>
          </w:p>
          <w:p w14:paraId="06BA7784" w14:textId="77777777" w:rsidR="009C6A3A" w:rsidRPr="005F0CE8" w:rsidRDefault="009C6A3A" w:rsidP="005C473F">
            <w:pPr>
              <w:pStyle w:val="TableText0"/>
              <w:keepNext w:val="0"/>
              <w:widowControl w:val="0"/>
            </w:pPr>
          </w:p>
          <w:p w14:paraId="3A87A426" w14:textId="77777777" w:rsidR="009C6A3A" w:rsidRPr="005F0CE8" w:rsidRDefault="009C6A3A" w:rsidP="005C473F">
            <w:pPr>
              <w:pStyle w:val="TableText0"/>
              <w:keepNext w:val="0"/>
              <w:widowControl w:val="0"/>
            </w:pPr>
            <w:r w:rsidRPr="005F0CE8">
              <w:t>Other survival curves (TP4, TP5, TP6 and TP7) are extrapolated using parametric functions. Each of these transition probabilities are common across the arms, therefore convergence is not required.</w:t>
            </w:r>
          </w:p>
          <w:p w14:paraId="00B10B31" w14:textId="77777777" w:rsidR="009C6A3A" w:rsidRPr="005F0CE8" w:rsidRDefault="009C6A3A" w:rsidP="005C473F">
            <w:pPr>
              <w:pStyle w:val="TableText0"/>
              <w:keepNext w:val="0"/>
              <w:widowControl w:val="0"/>
            </w:pPr>
          </w:p>
          <w:p w14:paraId="230711EC" w14:textId="77777777" w:rsidR="009C6A3A" w:rsidRPr="005F0CE8" w:rsidRDefault="009C6A3A" w:rsidP="005C473F">
            <w:pPr>
              <w:pStyle w:val="TableText0"/>
              <w:keepNext w:val="0"/>
              <w:widowControl w:val="0"/>
            </w:pPr>
            <w:r w:rsidRPr="005F0CE8">
              <w:t>Overall survival is not ‘extrapolated’. It is a product of all of the transition probabilities applied in the model.</w:t>
            </w:r>
          </w:p>
          <w:p w14:paraId="61474A46" w14:textId="77777777" w:rsidR="009C6A3A" w:rsidRPr="005F0CE8" w:rsidRDefault="009C6A3A" w:rsidP="005C473F">
            <w:pPr>
              <w:pStyle w:val="TableText0"/>
              <w:keepNext w:val="0"/>
              <w:widowControl w:val="0"/>
            </w:pPr>
          </w:p>
          <w:p w14:paraId="06F945F9" w14:textId="77777777" w:rsidR="009C6A3A" w:rsidRPr="005F0CE8" w:rsidRDefault="009C6A3A" w:rsidP="005C473F">
            <w:pPr>
              <w:pStyle w:val="TableText0"/>
              <w:keepNext w:val="0"/>
              <w:widowControl w:val="0"/>
            </w:pPr>
            <w:r w:rsidRPr="005F0CE8">
              <w:t xml:space="preserve">Approximately 80% of the life years (undiscounted) occur following the extent of trial data (79 months) in both arms. Almost 90% of the incremental life years (undiscounted) are accrued following 79 months. </w:t>
            </w:r>
          </w:p>
        </w:tc>
      </w:tr>
      <w:tr w:rsidR="009C6A3A" w:rsidRPr="005F0CE8" w14:paraId="6648E52E" w14:textId="77777777" w:rsidTr="005C473F">
        <w:tc>
          <w:tcPr>
            <w:tcW w:w="1396" w:type="pct"/>
            <w:shd w:val="clear" w:color="auto" w:fill="auto"/>
            <w:vAlign w:val="center"/>
          </w:tcPr>
          <w:p w14:paraId="65E60173" w14:textId="77777777" w:rsidR="009C6A3A" w:rsidRPr="005F0CE8" w:rsidRDefault="009C6A3A" w:rsidP="005C473F">
            <w:pPr>
              <w:pStyle w:val="TableText0"/>
              <w:keepNext w:val="0"/>
              <w:widowControl w:val="0"/>
            </w:pPr>
            <w:r w:rsidRPr="005F0CE8">
              <w:t>Health related quality of life</w:t>
            </w:r>
          </w:p>
        </w:tc>
        <w:tc>
          <w:tcPr>
            <w:tcW w:w="3604" w:type="pct"/>
            <w:shd w:val="clear" w:color="auto" w:fill="auto"/>
            <w:vAlign w:val="center"/>
          </w:tcPr>
          <w:p w14:paraId="43D29143" w14:textId="77777777" w:rsidR="009C6A3A" w:rsidRPr="005F0CE8" w:rsidRDefault="009C6A3A" w:rsidP="005C473F">
            <w:pPr>
              <w:pStyle w:val="TableText0"/>
              <w:keepNext w:val="0"/>
              <w:widowControl w:val="0"/>
            </w:pPr>
            <w:r w:rsidRPr="005F0CE8">
              <w:t>Utilities are applied to the IDFS, non-mBC, early-onset mBC and late-onset mBC health states.</w:t>
            </w:r>
          </w:p>
          <w:p w14:paraId="001B942E" w14:textId="7EA54BB8" w:rsidR="009C6A3A" w:rsidRPr="005F0CE8" w:rsidRDefault="009C6A3A" w:rsidP="00BA51B7">
            <w:pPr>
              <w:pStyle w:val="TableText0"/>
              <w:keepNext w:val="0"/>
              <w:widowControl w:val="0"/>
              <w:numPr>
                <w:ilvl w:val="0"/>
                <w:numId w:val="10"/>
              </w:numPr>
            </w:pPr>
            <w:r w:rsidRPr="005F0CE8">
              <w:t>IDFS: 0.869 – OlympiA EORTC QLQ-C30 mapped to EQ-5D and then to utilities using a mapping algorithm (Crott and Briggs 2010</w:t>
            </w:r>
            <w:r w:rsidRPr="005F0CE8">
              <w:rPr>
                <w:rStyle w:val="FootnoteReference"/>
              </w:rPr>
              <w:footnoteReference w:id="20"/>
            </w:r>
            <w:r w:rsidRPr="005F0CE8">
              <w:t xml:space="preserve">). </w:t>
            </w:r>
          </w:p>
          <w:p w14:paraId="3D105E36" w14:textId="77777777" w:rsidR="009C6A3A" w:rsidRPr="005F0CE8" w:rsidRDefault="009C6A3A" w:rsidP="00BA51B7">
            <w:pPr>
              <w:pStyle w:val="TableText0"/>
              <w:keepNext w:val="0"/>
              <w:widowControl w:val="0"/>
              <w:numPr>
                <w:ilvl w:val="0"/>
                <w:numId w:val="10"/>
              </w:numPr>
            </w:pPr>
            <w:r w:rsidRPr="005F0CE8">
              <w:t>Non-mBC: 0.7875 – midway between IDFS and early-onset mBC (assumption)</w:t>
            </w:r>
          </w:p>
          <w:p w14:paraId="37FB0B9F" w14:textId="77777777" w:rsidR="009C6A3A" w:rsidRPr="005F0CE8" w:rsidRDefault="009C6A3A" w:rsidP="00BA51B7">
            <w:pPr>
              <w:pStyle w:val="TableText0"/>
              <w:keepNext w:val="0"/>
              <w:widowControl w:val="0"/>
              <w:numPr>
                <w:ilvl w:val="0"/>
                <w:numId w:val="10"/>
              </w:numPr>
            </w:pPr>
            <w:r w:rsidRPr="005F0CE8">
              <w:t>Early-onset mBC: 0.706 – Olympi</w:t>
            </w:r>
            <w:r w:rsidRPr="005F0CE8">
              <w:rPr>
                <w:u w:val="single"/>
              </w:rPr>
              <w:t>AD (mBC)</w:t>
            </w:r>
            <w:r w:rsidRPr="005F0CE8">
              <w:t xml:space="preserve"> EORTC QLQ-C30 from pre-progression state mapped to EQ-5D and then to utilities using a mapping algorithm.</w:t>
            </w:r>
          </w:p>
          <w:p w14:paraId="34F997FF" w14:textId="77777777" w:rsidR="009C6A3A" w:rsidRPr="005F0CE8" w:rsidRDefault="009C6A3A" w:rsidP="00BA51B7">
            <w:pPr>
              <w:pStyle w:val="TableText0"/>
              <w:keepNext w:val="0"/>
              <w:widowControl w:val="0"/>
              <w:numPr>
                <w:ilvl w:val="0"/>
                <w:numId w:val="10"/>
              </w:numPr>
            </w:pPr>
            <w:r w:rsidRPr="005F0CE8">
              <w:t>Late-onset mBC: 0.678 – as for early-onset mBC but from the post-progression state.</w:t>
            </w:r>
          </w:p>
        </w:tc>
      </w:tr>
      <w:tr w:rsidR="009C6A3A" w:rsidRPr="005F0CE8" w14:paraId="0614D3F4" w14:textId="77777777" w:rsidTr="005C473F">
        <w:tc>
          <w:tcPr>
            <w:tcW w:w="1396" w:type="pct"/>
            <w:shd w:val="clear" w:color="auto" w:fill="auto"/>
            <w:vAlign w:val="center"/>
          </w:tcPr>
          <w:p w14:paraId="158D03DC" w14:textId="77777777" w:rsidR="009C6A3A" w:rsidRPr="005F0CE8" w:rsidRDefault="009C6A3A" w:rsidP="005C473F">
            <w:pPr>
              <w:pStyle w:val="TableText0"/>
              <w:keepNext w:val="0"/>
              <w:widowControl w:val="0"/>
            </w:pPr>
            <w:r w:rsidRPr="005F0CE8">
              <w:t xml:space="preserve">Costs </w:t>
            </w:r>
          </w:p>
        </w:tc>
        <w:tc>
          <w:tcPr>
            <w:tcW w:w="3604" w:type="pct"/>
            <w:shd w:val="clear" w:color="auto" w:fill="auto"/>
            <w:vAlign w:val="center"/>
          </w:tcPr>
          <w:p w14:paraId="5DD9C2D8" w14:textId="09B64074" w:rsidR="009C6A3A" w:rsidRPr="005F0CE8" w:rsidRDefault="009C6A3A" w:rsidP="005C473F">
            <w:pPr>
              <w:pStyle w:val="TableText0"/>
              <w:keepNext w:val="0"/>
              <w:widowControl w:val="0"/>
            </w:pPr>
            <w:r w:rsidRPr="005F0CE8">
              <w:t>Testing costs are estimated based on the increment between the assumed current testing rate of 74% and the assumed uptake rate of 95%.</w:t>
            </w:r>
          </w:p>
        </w:tc>
      </w:tr>
    </w:tbl>
    <w:p w14:paraId="6813F84D" w14:textId="11A8B54E" w:rsidR="009C6A3A" w:rsidRPr="005F0CE8" w:rsidRDefault="009C6A3A" w:rsidP="009C6A3A">
      <w:pPr>
        <w:pStyle w:val="FooterTableFigure"/>
      </w:pPr>
      <w:r w:rsidRPr="005F0CE8">
        <w:t>Source: Generated during the evaluation.</w:t>
      </w:r>
    </w:p>
    <w:p w14:paraId="612998CF" w14:textId="303DF25F" w:rsidR="009C6A3A" w:rsidRPr="005F0CE8" w:rsidRDefault="009C6A3A" w:rsidP="009C6A3A">
      <w:pPr>
        <w:pStyle w:val="FooterTableFigure"/>
      </w:pPr>
      <w:r w:rsidRPr="005F0CE8">
        <w:t>ABS = Australian Bureau of Statistics; EORTC QLQ-C30 = European Organisation For Research and Treatment - Quality of Life Questionnaire for cancer patients; EQ-5D = EuroQol five dimension scale questionnaire ; g</w:t>
      </w:r>
      <w:r w:rsidR="009E092C" w:rsidRPr="009E092C">
        <w:rPr>
          <w:i/>
        </w:rPr>
        <w:t>BRCAm</w:t>
      </w:r>
      <w:r w:rsidRPr="005F0CE8">
        <w:t xml:space="preserve"> = germline pathogenic variant in germline breast cancer gene; IDFS = invasive disease free survival; KM = Kaplan-Meier; mBC = metastatic breast cancer recurrence; non-mBC = non-metastatic breast cancer recurrence; TP = transition probability.</w:t>
      </w:r>
    </w:p>
    <w:p w14:paraId="13D81A30" w14:textId="7B087B3D" w:rsidR="009C6A3A" w:rsidRPr="005F0CE8" w:rsidRDefault="009C6A3A" w:rsidP="00477BB3">
      <w:pPr>
        <w:pStyle w:val="3-BodyText"/>
      </w:pPr>
      <w:r w:rsidRPr="005F0CE8">
        <w:t>The average age of patients in the model is 43 years. This may be younger than the average age of patients in the Australian setting. An Australian study of patients with TNBC who are g</w:t>
      </w:r>
      <w:r w:rsidR="009E092C" w:rsidRPr="009E092C">
        <w:rPr>
          <w:i/>
        </w:rPr>
        <w:t xml:space="preserve">BRCA </w:t>
      </w:r>
      <w:r w:rsidRPr="005F0CE8">
        <w:t>mutation positive reported the average age to be 50.3 years</w:t>
      </w:r>
      <w:r w:rsidRPr="005F0CE8">
        <w:rPr>
          <w:rStyle w:val="FootnoteReference"/>
        </w:rPr>
        <w:footnoteReference w:id="21"/>
      </w:r>
      <w:r w:rsidRPr="005F0CE8">
        <w:t>. The model is sensitive to the starting age.</w:t>
      </w:r>
    </w:p>
    <w:p w14:paraId="74F18EEC" w14:textId="37C148D4" w:rsidR="00905EBB" w:rsidRPr="005F0CE8" w:rsidRDefault="009C6A3A" w:rsidP="00477BB3">
      <w:pPr>
        <w:pStyle w:val="3-BodyText"/>
      </w:pPr>
      <w:bookmarkStart w:id="74" w:name="_Ref127475235"/>
      <w:r w:rsidRPr="005F0CE8">
        <w:lastRenderedPageBreak/>
        <w:t>The model uses observed data from OlympiA, which implicitly assumes the same proportion of TNBC:</w:t>
      </w:r>
      <w:r w:rsidR="004D7116" w:rsidRPr="005F0CE8">
        <w:t xml:space="preserve"> </w:t>
      </w:r>
      <w:r w:rsidRPr="005F0CE8">
        <w:t>HR+ patients for estimating transitions from IDFS. 82.3% of patients in OlympiA were TNBC</w:t>
      </w:r>
      <w:r w:rsidR="007916C2" w:rsidRPr="005F0CE8">
        <w:t>, however</w:t>
      </w:r>
      <w:r w:rsidRPr="005F0CE8">
        <w:t xml:space="preserve"> </w:t>
      </w:r>
      <w:r w:rsidR="007916C2" w:rsidRPr="005F0CE8">
        <w:t>t</w:t>
      </w:r>
      <w:r w:rsidRPr="005F0CE8">
        <w:t>he proportion of patients with g</w:t>
      </w:r>
      <w:r w:rsidR="009E092C" w:rsidRPr="009E092C">
        <w:rPr>
          <w:i/>
        </w:rPr>
        <w:t xml:space="preserve">BRCA </w:t>
      </w:r>
      <w:r w:rsidRPr="005F0CE8">
        <w:t>mutations who are TNBC in the Australian setting is unknown. As olaparib appeared to perform better in patients with TNBC (HR for OS = 0.64 95% CI 0.</w:t>
      </w:r>
      <w:r w:rsidR="007916C2" w:rsidRPr="005F0CE8">
        <w:t>46</w:t>
      </w:r>
      <w:r w:rsidRPr="005F0CE8">
        <w:t>, 0.88) compared with HR+ (HR for OS = 0.</w:t>
      </w:r>
      <w:r w:rsidR="007916C2" w:rsidRPr="005F0CE8">
        <w:t xml:space="preserve">90 </w:t>
      </w:r>
      <w:r w:rsidRPr="005F0CE8">
        <w:t>95% CI 0.</w:t>
      </w:r>
      <w:r w:rsidR="007916C2" w:rsidRPr="005F0CE8">
        <w:t>45</w:t>
      </w:r>
      <w:r w:rsidRPr="005F0CE8">
        <w:t xml:space="preserve">, 1.78), if the Australian setting differs from the OlympiA </w:t>
      </w:r>
      <w:r w:rsidR="00192645">
        <w:t>trial</w:t>
      </w:r>
      <w:r w:rsidRPr="005F0CE8">
        <w:t xml:space="preserve"> on this characteristic, it may represent an applicability issue. The model does not permit changes to the TNBC:HR+ proportion in a way that varies the treatment effect of olaparib.</w:t>
      </w:r>
      <w:bookmarkEnd w:id="74"/>
      <w:r w:rsidRPr="005F0CE8">
        <w:t xml:space="preserve"> </w:t>
      </w:r>
    </w:p>
    <w:p w14:paraId="6D846521" w14:textId="7782F32C" w:rsidR="009C6A3A" w:rsidRPr="005F0CE8" w:rsidRDefault="009C6A3A" w:rsidP="00477BB3">
      <w:pPr>
        <w:pStyle w:val="3-BodyText"/>
      </w:pPr>
      <w:r w:rsidRPr="005F0CE8">
        <w:t xml:space="preserve">The model time horizon is 40 years. If olaparib results in avoided recurrences, then the IDFS curves will remain separated for the lifetime of a patient. At the end of the model lifetime, with a higher </w:t>
      </w:r>
      <w:r w:rsidR="009E092C" w:rsidRPr="009E092C">
        <w:rPr>
          <w:i/>
        </w:rPr>
        <w:t xml:space="preserve">BRCA </w:t>
      </w:r>
      <w:r w:rsidRPr="005F0CE8">
        <w:t xml:space="preserve">specific mortality rate applied, more than 40% of patients remain alive in both arms of the model. Therefore, the model time horizon is insufficient to capture the differences between the curves in the base case. If the goal of the model is to capture the differences in costs and outcomes associated with the use of olaparib, a shorter time horizon would not be reasonable. However, extrapolating costs and outcomes over a 40-year time horizon is associated with uncertainty which may be reduced over shorter time horizons. </w:t>
      </w:r>
      <w:r w:rsidR="00B7057E" w:rsidRPr="005F0CE8">
        <w:rPr>
          <w:iCs/>
        </w:rPr>
        <w:t>The ESC considered a time horizon of 30 years would be appropriate for consistency with other models in this setting.</w:t>
      </w:r>
    </w:p>
    <w:p w14:paraId="0B28A751" w14:textId="2DDC0A32" w:rsidR="009C6A3A" w:rsidRPr="005F0CE8" w:rsidRDefault="009C6A3A" w:rsidP="00477BB3">
      <w:pPr>
        <w:pStyle w:val="3-BodyText"/>
      </w:pPr>
      <w:r w:rsidRPr="005F0CE8">
        <w:t xml:space="preserve">The model structure is complex, and contains 5 health states. The submission has adopted a semi-Markov method (an approach that permits time varying transition probabilities) to calculate health state membership. </w:t>
      </w:r>
      <w:r w:rsidR="007916C2" w:rsidRPr="005F0CE8">
        <w:t>The submission</w:t>
      </w:r>
      <w:r w:rsidRPr="005F0CE8">
        <w:t xml:space="preserve"> stated this </w:t>
      </w:r>
      <w:r w:rsidR="007916C2" w:rsidRPr="005F0CE8">
        <w:t>wa</w:t>
      </w:r>
      <w:r w:rsidRPr="005F0CE8">
        <w:t xml:space="preserve">s required because trial data </w:t>
      </w:r>
      <w:r w:rsidR="007916C2" w:rsidRPr="005F0CE8">
        <w:t>were</w:t>
      </w:r>
      <w:r w:rsidRPr="005F0CE8">
        <w:t xml:space="preserve"> immature, </w:t>
      </w:r>
      <w:r w:rsidR="007916C2" w:rsidRPr="005F0CE8">
        <w:t xml:space="preserve">and </w:t>
      </w:r>
      <w:r w:rsidRPr="005F0CE8">
        <w:t xml:space="preserve">extrapolation of the trial survival curves </w:t>
      </w:r>
      <w:r w:rsidR="007916C2" w:rsidRPr="005F0CE8">
        <w:t>was</w:t>
      </w:r>
      <w:r w:rsidRPr="005F0CE8">
        <w:t xml:space="preserve"> uncertain and therefore a partitioned survival analysis </w:t>
      </w:r>
      <w:r w:rsidR="007916C2" w:rsidRPr="005F0CE8">
        <w:t>was</w:t>
      </w:r>
      <w:r w:rsidRPr="005F0CE8">
        <w:t xml:space="preserve"> not possible. However, five of the seven transition probabilities applied in the model </w:t>
      </w:r>
      <w:r w:rsidR="007916C2" w:rsidRPr="005F0CE8">
        <w:t>were</w:t>
      </w:r>
      <w:r w:rsidRPr="005F0CE8">
        <w:t xml:space="preserve"> derived from the key trial. A more pragmatic approach may have been achievable and would likely have made some of the implicit assumptions more transparent.</w:t>
      </w:r>
    </w:p>
    <w:p w14:paraId="31A77983" w14:textId="72E8717B" w:rsidR="009C6A3A" w:rsidRPr="005F0CE8" w:rsidRDefault="009C6A3A" w:rsidP="00477BB3">
      <w:pPr>
        <w:pStyle w:val="3-BodyText"/>
      </w:pPr>
      <w:r w:rsidRPr="005F0CE8">
        <w:t xml:space="preserve">The model functions to direct recurrences, initially derived from the IDFS curve of the OlympiA trial, to recurrence health states. </w:t>
      </w:r>
      <w:r w:rsidR="001B2FD5" w:rsidRPr="005F0CE8">
        <w:t>T</w:t>
      </w:r>
      <w:r w:rsidRPr="005F0CE8">
        <w:t>he key assumptions driving the model results relate to the early modelled recurrence rates – particularly in the period immediately following the observed trial data.</w:t>
      </w:r>
    </w:p>
    <w:p w14:paraId="00ED5B14" w14:textId="66D6527E" w:rsidR="009C6A3A" w:rsidRPr="005F0CE8" w:rsidRDefault="009C6A3A" w:rsidP="00477BB3">
      <w:pPr>
        <w:pStyle w:val="3-BodyText"/>
      </w:pPr>
      <w:r w:rsidRPr="005F0CE8">
        <w:t xml:space="preserve">Except for the transition from IDFS (TP3) and late-onset mBC to death (TP7), health state membership </w:t>
      </w:r>
      <w:r w:rsidR="001B2FD5" w:rsidRPr="005F0CE8">
        <w:t xml:space="preserve">was </w:t>
      </w:r>
      <w:r w:rsidRPr="005F0CE8">
        <w:t xml:space="preserve">largely informed by curves derived from the OlympiA </w:t>
      </w:r>
      <w:r w:rsidR="00192645">
        <w:t>trial</w:t>
      </w:r>
      <w:r w:rsidRPr="005F0CE8">
        <w:t xml:space="preserve">. However, following 5 years, transitions from IDFS to recurrence health states are calculated from external data and applied equally across the curves. </w:t>
      </w:r>
      <w:r w:rsidR="001B2FD5" w:rsidRPr="005F0CE8">
        <w:t>The submission assumed t</w:t>
      </w:r>
      <w:r w:rsidRPr="005F0CE8">
        <w:t xml:space="preserve">hat the rates </w:t>
      </w:r>
      <w:r w:rsidR="001B2FD5" w:rsidRPr="005F0CE8">
        <w:t>were</w:t>
      </w:r>
      <w:r w:rsidRPr="005F0CE8">
        <w:t xml:space="preserve"> equal across the model arms</w:t>
      </w:r>
      <w:r w:rsidR="001B2FD5" w:rsidRPr="005F0CE8">
        <w:t xml:space="preserve"> (applied the olaparib trial data to both arms)</w:t>
      </w:r>
      <w:r w:rsidRPr="005F0CE8">
        <w:t xml:space="preserve">, </w:t>
      </w:r>
      <w:r w:rsidR="001B2FD5" w:rsidRPr="005F0CE8">
        <w:t>which was</w:t>
      </w:r>
      <w:r w:rsidRPr="005F0CE8">
        <w:t xml:space="preserve"> not justified. Using arm specific transition probabilities from early-onset mBC to death has been applied in the evaluation alternative base case (</w:t>
      </w:r>
      <w:r w:rsidRPr="005F0CE8">
        <w:fldChar w:fldCharType="begin"/>
      </w:r>
      <w:r w:rsidRPr="005F0CE8">
        <w:instrText xml:space="preserve"> REF _Ref124154495 \h  \* MERGEFORMAT </w:instrText>
      </w:r>
      <w:r w:rsidRPr="005F0CE8">
        <w:fldChar w:fldCharType="separate"/>
      </w:r>
      <w:r w:rsidR="00AB6006" w:rsidRPr="005F0CE8">
        <w:t xml:space="preserve">Table </w:t>
      </w:r>
      <w:r w:rsidR="00AB6006">
        <w:t>17</w:t>
      </w:r>
      <w:r w:rsidRPr="005F0CE8">
        <w:fldChar w:fldCharType="end"/>
      </w:r>
      <w:r w:rsidRPr="005F0CE8">
        <w:t>). Changing the year at which the olaparib arm is exposed to approximately 1% per year recurrence from year 5 to year 6 is explored in sensitivity analyses.</w:t>
      </w:r>
    </w:p>
    <w:p w14:paraId="3137FCF6" w14:textId="049BDE42" w:rsidR="00B8730B" w:rsidRPr="005F0CE8" w:rsidRDefault="009C6A3A" w:rsidP="00477BB3">
      <w:pPr>
        <w:pStyle w:val="3-BodyText"/>
      </w:pPr>
      <w:r w:rsidRPr="005F0CE8">
        <w:lastRenderedPageBreak/>
        <w:t xml:space="preserve">The submission uses a 2-year cut-off point to sort early-onset metastatic recurrences from late-onset metastatic recurrences. The submission notes that early-onset metastatic recurrences are likely to be those that are less amenable to subsequent therapies and are therefore at higher risk of death. This may be reasonable. However, the application of the same 2-year time point for the olaparib arm and the placebo arm of the model implies that recurrence within 2 years of the start of adjuvant therapy means the same thing as recurrence within 2 years of no treatment. </w:t>
      </w:r>
      <w:r w:rsidR="00B8730B" w:rsidRPr="005F0CE8">
        <w:rPr>
          <w:rFonts w:cs="Calibri"/>
        </w:rPr>
        <w:t xml:space="preserve">During the OlympiA trial 105 patients in the olaparib arm and 169 patients in the placebo arm developed metastatic disease. Of these patients 70 in the olaparib arm and 103 in the placebo arm then died during the time frame of the study. </w:t>
      </w:r>
    </w:p>
    <w:p w14:paraId="45571A40" w14:textId="05069C7E" w:rsidR="00B8730B" w:rsidRPr="005F0CE8" w:rsidRDefault="009C6A3A" w:rsidP="00477BB3">
      <w:pPr>
        <w:pStyle w:val="3-BodyText"/>
        <w:rPr>
          <w:rFonts w:cs="Calibri"/>
        </w:rPr>
      </w:pPr>
      <w:r w:rsidRPr="005F0CE8">
        <w:t xml:space="preserve">The submission presented the time from metastatic disease to death from the OlympiA </w:t>
      </w:r>
      <w:r w:rsidR="005F5C2A" w:rsidRPr="005F0CE8">
        <w:t>trial</w:t>
      </w:r>
      <w:r w:rsidRPr="005F0CE8">
        <w:t xml:space="preserve"> (</w:t>
      </w:r>
      <w:r w:rsidRPr="005F0CE8">
        <w:fldChar w:fldCharType="begin"/>
      </w:r>
      <w:r w:rsidRPr="005F0CE8">
        <w:instrText xml:space="preserve"> REF _Ref122692161 \h  \* MERGEFORMAT </w:instrText>
      </w:r>
      <w:r w:rsidRPr="005F0CE8">
        <w:fldChar w:fldCharType="separate"/>
      </w:r>
      <w:r w:rsidR="00AB6006" w:rsidRPr="005F0CE8">
        <w:t xml:space="preserve">Figure </w:t>
      </w:r>
      <w:r w:rsidR="00AB6006">
        <w:t>3</w:t>
      </w:r>
      <w:r w:rsidRPr="005F0CE8">
        <w:fldChar w:fldCharType="end"/>
      </w:r>
      <w:r w:rsidRPr="005F0CE8">
        <w:t xml:space="preserve">). While the number of patients with metastatic disease </w:t>
      </w:r>
      <w:r w:rsidR="00610387" w:rsidRPr="005F0CE8">
        <w:t>w</w:t>
      </w:r>
      <w:r w:rsidR="005F5C2A" w:rsidRPr="005F0CE8">
        <w:t>as</w:t>
      </w:r>
      <w:r w:rsidRPr="005F0CE8">
        <w:t xml:space="preserve"> higher in the placebo arm, they </w:t>
      </w:r>
      <w:r w:rsidR="005F5C2A" w:rsidRPr="005F0CE8">
        <w:t>we</w:t>
      </w:r>
      <w:r w:rsidRPr="005F0CE8">
        <w:t xml:space="preserve">re, on average, at a lower risk of death than those patients who were diagnosed with metastatic disease while receiving, or soon after receiving, olaparib. The model </w:t>
      </w:r>
      <w:r w:rsidR="005F5C2A" w:rsidRPr="005F0CE8">
        <w:t>was</w:t>
      </w:r>
      <w:r w:rsidRPr="005F0CE8">
        <w:t xml:space="preserve"> moderately sensitive to the use of the same transition probability from early-onset mBC to death.</w:t>
      </w:r>
      <w:r w:rsidR="00B8730B" w:rsidRPr="005F0CE8">
        <w:rPr>
          <w:rFonts w:cs="Calibri"/>
        </w:rPr>
        <w:t xml:space="preserve"> </w:t>
      </w:r>
    </w:p>
    <w:p w14:paraId="015B1F77" w14:textId="0C0C1E7E" w:rsidR="009C6A3A" w:rsidRPr="005F0CE8" w:rsidRDefault="009C6A3A" w:rsidP="00B62755">
      <w:pPr>
        <w:pStyle w:val="Caption"/>
        <w:spacing w:before="120"/>
      </w:pPr>
      <w:bookmarkStart w:id="75" w:name="_Ref122692161"/>
      <w:r w:rsidRPr="005F0CE8">
        <w:t xml:space="preserve">Figure </w:t>
      </w:r>
      <w:fldSimple w:instr=" SEQ Figure \* ARABIC ">
        <w:r w:rsidR="00AB6006">
          <w:rPr>
            <w:noProof/>
          </w:rPr>
          <w:t>3</w:t>
        </w:r>
      </w:fldSimple>
      <w:bookmarkEnd w:id="75"/>
      <w:r w:rsidRPr="005F0CE8">
        <w:t xml:space="preserve">: Kaplan-Meier data for time from metastatic disease to death in the OlympiA </w:t>
      </w:r>
      <w:r w:rsidR="00192645">
        <w:t>trial</w:t>
      </w:r>
      <w:r w:rsidRPr="005F0CE8">
        <w:t xml:space="preserve"> (by arm), DCO2</w:t>
      </w:r>
    </w:p>
    <w:p w14:paraId="1FD2D27D" w14:textId="529F0D5F" w:rsidR="009C6A3A" w:rsidRPr="005F0CE8" w:rsidRDefault="003B428B" w:rsidP="009C6A3A">
      <w:r>
        <w:rPr>
          <w:noProof/>
        </w:rPr>
        <w:drawing>
          <wp:inline distT="0" distB="0" distL="0" distR="0" wp14:anchorId="3AD0CFCD" wp14:editId="77C0C097">
            <wp:extent cx="5334000" cy="3556000"/>
            <wp:effectExtent l="0" t="0" r="0" b="6350"/>
            <wp:docPr id="28" name="Picture" descr="Figure 3: Kaplan-Meier data for time from metastatic disease to death in the OlympiA trial (by arm), DCO2"/>
            <wp:cNvGraphicFramePr/>
            <a:graphic xmlns:a="http://schemas.openxmlformats.org/drawingml/2006/main">
              <a:graphicData uri="http://schemas.openxmlformats.org/drawingml/2006/picture">
                <pic:pic xmlns:pic="http://schemas.openxmlformats.org/drawingml/2006/picture">
                  <pic:nvPicPr>
                    <pic:cNvPr id="28" name="Picture" descr="Figure 3: Kaplan-Meier data for time from metastatic disease to death in the OlympiA trial (by arm), DCO2"/>
                    <pic:cNvPicPr/>
                  </pic:nvPicPr>
                  <pic:blipFill>
                    <a:blip r:embed="rId10"/>
                    <a:stretch>
                      <a:fillRect/>
                    </a:stretch>
                  </pic:blipFill>
                  <pic:spPr bwMode="auto">
                    <a:xfrm>
                      <a:off x="0" y="0"/>
                      <a:ext cx="5334000" cy="3556000"/>
                    </a:xfrm>
                    <a:prstGeom prst="rect">
                      <a:avLst/>
                    </a:prstGeom>
                    <a:noFill/>
                    <a:ln w="9525">
                      <a:noFill/>
                      <a:headEnd/>
                      <a:tailEnd/>
                    </a:ln>
                  </pic:spPr>
                </pic:pic>
              </a:graphicData>
            </a:graphic>
          </wp:inline>
        </w:drawing>
      </w:r>
    </w:p>
    <w:p w14:paraId="75E1D4B8" w14:textId="199EE80F" w:rsidR="009C6A3A" w:rsidRPr="005F0CE8" w:rsidRDefault="009C6A3A" w:rsidP="009C6A3A">
      <w:pPr>
        <w:pStyle w:val="TableFooter"/>
      </w:pPr>
      <w:r w:rsidRPr="005F0CE8">
        <w:t>Source: Attachment 3.2</w:t>
      </w:r>
      <w:r w:rsidR="00237ADF" w:rsidRPr="005F0CE8">
        <w:t xml:space="preserve"> of the submission</w:t>
      </w:r>
      <w:r w:rsidRPr="005F0CE8">
        <w:t>, Parametric reports from OlympiA, “Parametric-survival-analysis-OlympiA_DM_to_Death_ITT _population”.</w:t>
      </w:r>
    </w:p>
    <w:p w14:paraId="72D334B5" w14:textId="36C5F88A" w:rsidR="009C6A3A" w:rsidRPr="005F0CE8" w:rsidRDefault="009C6A3A" w:rsidP="00DB2BE9">
      <w:pPr>
        <w:pStyle w:val="TableFooter"/>
        <w:spacing w:after="120"/>
      </w:pPr>
      <w:r w:rsidRPr="005F0CE8">
        <w:t>DCO2 = data cut-off 2 in the OlympiA trial.</w:t>
      </w:r>
    </w:p>
    <w:p w14:paraId="4BD37F90" w14:textId="1D654875" w:rsidR="009C6A3A" w:rsidRPr="005F0CE8" w:rsidRDefault="009C6A3A" w:rsidP="009C6A3A">
      <w:pPr>
        <w:pStyle w:val="3-BodyText"/>
      </w:pPr>
      <w:r w:rsidRPr="005F0CE8">
        <w:t>The submission nominated 42 months (median follow up in the OlympiA trial) as the data truncation point for using observed data. Following this time point, the submission use</w:t>
      </w:r>
      <w:r w:rsidR="005F5C2A" w:rsidRPr="005F0CE8">
        <w:t>d</w:t>
      </w:r>
      <w:r w:rsidRPr="005F0CE8">
        <w:t xml:space="preserve"> a parametric function until 5 years. This </w:t>
      </w:r>
      <w:r w:rsidR="005F5C2A" w:rsidRPr="005F0CE8">
        <w:t>was</w:t>
      </w:r>
      <w:r w:rsidRPr="005F0CE8">
        <w:t xml:space="preserve"> not well justified. </w:t>
      </w:r>
      <w:r w:rsidR="005F5C2A" w:rsidRPr="005F0CE8">
        <w:t xml:space="preserve">The </w:t>
      </w:r>
      <w:r w:rsidRPr="005F0CE8">
        <w:t xml:space="preserve">difference in the IDFS Kaplan-Meier curves </w:t>
      </w:r>
      <w:r w:rsidR="005F5C2A" w:rsidRPr="005F0CE8">
        <w:t>was</w:t>
      </w:r>
      <w:r w:rsidRPr="005F0CE8">
        <w:t xml:space="preserve"> substantially larger </w:t>
      </w:r>
      <w:r w:rsidR="005F5C2A" w:rsidRPr="005F0CE8">
        <w:t xml:space="preserve">at this truncation </w:t>
      </w:r>
      <w:r w:rsidR="005F5C2A" w:rsidRPr="005F0CE8">
        <w:lastRenderedPageBreak/>
        <w:t xml:space="preserve">point </w:t>
      </w:r>
      <w:r w:rsidRPr="005F0CE8">
        <w:t>than later data cut points (</w:t>
      </w:r>
      <w:r w:rsidRPr="005F0CE8">
        <w:fldChar w:fldCharType="begin"/>
      </w:r>
      <w:r w:rsidRPr="005F0CE8">
        <w:instrText xml:space="preserve"> REF _Ref124155072 \h  \* MERGEFORMAT </w:instrText>
      </w:r>
      <w:r w:rsidRPr="005F0CE8">
        <w:fldChar w:fldCharType="separate"/>
      </w:r>
      <w:r w:rsidR="00AB6006" w:rsidRPr="005F0CE8">
        <w:t xml:space="preserve">Figure </w:t>
      </w:r>
      <w:r w:rsidR="00AB6006">
        <w:t>4</w:t>
      </w:r>
      <w:r w:rsidRPr="005F0CE8">
        <w:fldChar w:fldCharType="end"/>
      </w:r>
      <w:r w:rsidRPr="005F0CE8">
        <w:t xml:space="preserve">). There </w:t>
      </w:r>
      <w:r w:rsidR="005F5C2A" w:rsidRPr="005F0CE8">
        <w:t>were</w:t>
      </w:r>
      <w:r w:rsidRPr="005F0CE8">
        <w:t xml:space="preserve"> adequate numbers at risk in the OlympiA trial to extend the use of observed data to 5 years. The nominated parametric functions for this extrapolation do not accurately reflect the IDFS Kaplan-Meier curve for the placebo arm between 42 months and 60 months. The model results </w:t>
      </w:r>
      <w:r w:rsidR="005F5C2A" w:rsidRPr="005F0CE8">
        <w:t>were</w:t>
      </w:r>
      <w:r w:rsidRPr="005F0CE8">
        <w:t xml:space="preserve"> highly sensitive to the nominated data truncation point as this largely </w:t>
      </w:r>
      <w:r w:rsidR="005F5C2A" w:rsidRPr="005F0CE8">
        <w:t xml:space="preserve">generated </w:t>
      </w:r>
      <w:r w:rsidRPr="005F0CE8">
        <w:t>the increment of long-term survivors modelled for the lifetime of the model.</w:t>
      </w:r>
    </w:p>
    <w:p w14:paraId="0BD1A802" w14:textId="0DEC9552" w:rsidR="009C6A3A" w:rsidRPr="005F0CE8" w:rsidRDefault="009C6A3A" w:rsidP="009C6A3A">
      <w:pPr>
        <w:pStyle w:val="Caption"/>
      </w:pPr>
      <w:bookmarkStart w:id="76" w:name="_Ref124155072"/>
      <w:r w:rsidRPr="005F0CE8">
        <w:t xml:space="preserve">Figure </w:t>
      </w:r>
      <w:fldSimple w:instr=" SEQ Figure \* ARABIC ">
        <w:r w:rsidR="00AB6006">
          <w:rPr>
            <w:noProof/>
          </w:rPr>
          <w:t>4</w:t>
        </w:r>
      </w:fldSimple>
      <w:bookmarkEnd w:id="76"/>
      <w:r w:rsidRPr="005F0CE8">
        <w:t>: Observed invasive disease-free survival curves and difference between the curves, with data truncation points</w:t>
      </w:r>
    </w:p>
    <w:p w14:paraId="05270F66" w14:textId="77777777" w:rsidR="009C6A3A" w:rsidRPr="005F0CE8" w:rsidRDefault="009C6A3A" w:rsidP="00D529A9">
      <w:pPr>
        <w:pStyle w:val="TableFigureFooter"/>
        <w:spacing w:after="0"/>
      </w:pPr>
      <w:r w:rsidRPr="005F0CE8">
        <w:rPr>
          <w:noProof/>
        </w:rPr>
        <w:drawing>
          <wp:inline distT="0" distB="0" distL="0" distR="0" wp14:anchorId="4D786A94" wp14:editId="77C6262F">
            <wp:extent cx="5762625" cy="3136900"/>
            <wp:effectExtent l="0" t="0" r="9525" b="6350"/>
            <wp:docPr id="39" name="Picture 39" descr="Figure 4: Observed invasive disease-free survival curves and difference between the curves, with data truncation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Figure 4: Observed invasive disease-free survival curves and difference between the curves, with data truncation points"/>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762947" cy="3137075"/>
                    </a:xfrm>
                    <a:prstGeom prst="rect">
                      <a:avLst/>
                    </a:prstGeom>
                    <a:noFill/>
                    <a:ln>
                      <a:noFill/>
                    </a:ln>
                    <a:extLst>
                      <a:ext uri="{53640926-AAD7-44D8-BBD7-CCE9431645EC}">
                        <a14:shadowObscured xmlns:a14="http://schemas.microsoft.com/office/drawing/2010/main"/>
                      </a:ext>
                    </a:extLst>
                  </pic:spPr>
                </pic:pic>
              </a:graphicData>
            </a:graphic>
          </wp:inline>
        </w:drawing>
      </w:r>
    </w:p>
    <w:p w14:paraId="46867826" w14:textId="77777777" w:rsidR="009C6A3A" w:rsidRPr="005F0CE8" w:rsidRDefault="009C6A3A" w:rsidP="009C6A3A">
      <w:pPr>
        <w:pStyle w:val="TableFigureFooter"/>
      </w:pPr>
      <w:r w:rsidRPr="005F0CE8">
        <w:t>Source: generated during the submission from the economic evaluation spreadsheet.</w:t>
      </w:r>
    </w:p>
    <w:p w14:paraId="2FBC1735" w14:textId="77777777" w:rsidR="009C6A3A" w:rsidRPr="005F0CE8" w:rsidRDefault="009C6A3A" w:rsidP="009C6A3A">
      <w:pPr>
        <w:pStyle w:val="TableFigureFooter"/>
      </w:pPr>
      <w:r w:rsidRPr="005F0CE8">
        <w:t>Note, IDFS axis starts at 40%.</w:t>
      </w:r>
    </w:p>
    <w:p w14:paraId="5DD31814" w14:textId="77777777" w:rsidR="009C6A3A" w:rsidRPr="005F0CE8" w:rsidRDefault="009C6A3A" w:rsidP="009C6A3A">
      <w:pPr>
        <w:pStyle w:val="TableFigureFooter"/>
      </w:pPr>
      <w:r w:rsidRPr="005F0CE8">
        <w:t>IDFS = invasive disease free survival.</w:t>
      </w:r>
    </w:p>
    <w:p w14:paraId="064FB094" w14:textId="3181B962" w:rsidR="009C6A3A" w:rsidRPr="005F0CE8" w:rsidRDefault="009C6A3A" w:rsidP="00477BB3">
      <w:pPr>
        <w:pStyle w:val="3-BodyText"/>
      </w:pPr>
      <w:r w:rsidRPr="005F0CE8">
        <w:t xml:space="preserve">The modelled </w:t>
      </w:r>
      <w:r w:rsidR="00176C9B">
        <w:t>OS</w:t>
      </w:r>
      <w:r w:rsidRPr="005F0CE8">
        <w:t xml:space="preserve"> curve</w:t>
      </w:r>
      <w:r w:rsidR="005F5C2A" w:rsidRPr="005F0CE8">
        <w:t>s</w:t>
      </w:r>
      <w:r w:rsidRPr="005F0CE8">
        <w:t xml:space="preserve"> </w:t>
      </w:r>
      <w:r w:rsidR="005F5C2A" w:rsidRPr="005F0CE8">
        <w:t>were</w:t>
      </w:r>
      <w:r w:rsidRPr="005F0CE8">
        <w:t xml:space="preserve"> not based on the observed </w:t>
      </w:r>
      <w:r w:rsidR="00176C9B">
        <w:t>OS</w:t>
      </w:r>
      <w:r w:rsidRPr="005F0CE8">
        <w:t xml:space="preserve"> Kaplan-Meier curves from the OlympiA trial, but </w:t>
      </w:r>
      <w:r w:rsidR="005F5C2A" w:rsidRPr="005F0CE8">
        <w:t>were</w:t>
      </w:r>
      <w:r w:rsidRPr="005F0CE8">
        <w:t xml:space="preserve"> a product of the transition probabilities in the model. While the survival curve appear</w:t>
      </w:r>
      <w:r w:rsidR="005F5C2A" w:rsidRPr="005F0CE8">
        <w:t>ed</w:t>
      </w:r>
      <w:r w:rsidRPr="005F0CE8">
        <w:t xml:space="preserve"> to reasonably fit the olaparib arm observed data, it </w:t>
      </w:r>
      <w:r w:rsidR="005F5C2A" w:rsidRPr="005F0CE8">
        <w:t>was</w:t>
      </w:r>
      <w:r w:rsidRPr="005F0CE8">
        <w:t xml:space="preserve"> considerably below the placebo arm. The model appear</w:t>
      </w:r>
      <w:r w:rsidR="005F5C2A" w:rsidRPr="005F0CE8">
        <w:t>ed</w:t>
      </w:r>
      <w:r w:rsidRPr="005F0CE8">
        <w:t xml:space="preserve"> to overestimate the difference in survival across the arms compared with the observed KM data (</w:t>
      </w:r>
      <w:r w:rsidRPr="005F0CE8">
        <w:fldChar w:fldCharType="begin"/>
      </w:r>
      <w:r w:rsidRPr="005F0CE8">
        <w:instrText xml:space="preserve"> REF _Ref124155165 \h  \* MERGEFORMAT </w:instrText>
      </w:r>
      <w:r w:rsidRPr="005F0CE8">
        <w:fldChar w:fldCharType="separate"/>
      </w:r>
      <w:r w:rsidR="00AB6006" w:rsidRPr="005F0CE8">
        <w:t xml:space="preserve">Figure </w:t>
      </w:r>
      <w:r w:rsidR="00AB6006">
        <w:t>5</w:t>
      </w:r>
      <w:r w:rsidRPr="005F0CE8">
        <w:fldChar w:fldCharType="end"/>
      </w:r>
      <w:r w:rsidRPr="005F0CE8">
        <w:t xml:space="preserve">). Partly, this </w:t>
      </w:r>
      <w:r w:rsidR="005F5C2A" w:rsidRPr="005F0CE8">
        <w:t>was</w:t>
      </w:r>
      <w:r w:rsidRPr="005F0CE8">
        <w:t xml:space="preserve"> due to the application of the same transition probability for the transition from early-onset metastatic breast cancer to death. However, correcting this only lift</w:t>
      </w:r>
      <w:r w:rsidR="00672153" w:rsidRPr="005F0CE8">
        <w:t>ed</w:t>
      </w:r>
      <w:r w:rsidRPr="005F0CE8">
        <w:t xml:space="preserve"> the start of the placebo OS curve, and by about 8 years</w:t>
      </w:r>
      <w:r w:rsidR="00672153" w:rsidRPr="005F0CE8">
        <w:t xml:space="preserve"> into the model</w:t>
      </w:r>
      <w:r w:rsidRPr="005F0CE8">
        <w:t xml:space="preserve">, the </w:t>
      </w:r>
      <w:r w:rsidR="00DB2BE9">
        <w:t>‘</w:t>
      </w:r>
      <w:r w:rsidR="00672153" w:rsidRPr="005F0CE8">
        <w:t>corrected</w:t>
      </w:r>
      <w:r w:rsidR="00DB2BE9">
        <w:t>’</w:t>
      </w:r>
      <w:r w:rsidR="00672153" w:rsidRPr="005F0CE8">
        <w:t xml:space="preserve"> </w:t>
      </w:r>
      <w:r w:rsidR="00176C9B">
        <w:t>OS</w:t>
      </w:r>
      <w:r w:rsidR="00672153" w:rsidRPr="005F0CE8">
        <w:t xml:space="preserve"> curve merges with the modelled base-case OS curve (i.e. the </w:t>
      </w:r>
      <w:r w:rsidRPr="005F0CE8">
        <w:t>same proportion of patients have died</w:t>
      </w:r>
      <w:r w:rsidR="00672153" w:rsidRPr="005F0CE8">
        <w:t>)</w:t>
      </w:r>
      <w:r w:rsidRPr="005F0CE8">
        <w:t>.</w:t>
      </w:r>
    </w:p>
    <w:p w14:paraId="3A35D42A" w14:textId="77777777" w:rsidR="009C6A3A" w:rsidRPr="005F0CE8" w:rsidRDefault="009C6A3A" w:rsidP="009C6A3A"/>
    <w:p w14:paraId="3E192427" w14:textId="137A1080" w:rsidR="009C6A3A" w:rsidRPr="005F0CE8" w:rsidRDefault="009C6A3A" w:rsidP="009C6A3A">
      <w:pPr>
        <w:pStyle w:val="Caption"/>
      </w:pPr>
      <w:bookmarkStart w:id="77" w:name="_Ref124155165"/>
      <w:r w:rsidRPr="005F0CE8">
        <w:lastRenderedPageBreak/>
        <w:t xml:space="preserve">Figure </w:t>
      </w:r>
      <w:fldSimple w:instr=" SEQ Figure \* ARABIC ">
        <w:r w:rsidR="00AB6006">
          <w:rPr>
            <w:noProof/>
          </w:rPr>
          <w:t>5</w:t>
        </w:r>
      </w:fldSimple>
      <w:bookmarkEnd w:id="77"/>
      <w:r w:rsidRPr="005F0CE8">
        <w:t xml:space="preserve">: Modelled OS curves for </w:t>
      </w:r>
      <w:r w:rsidRPr="005F0CE8">
        <w:rPr>
          <w:i/>
        </w:rPr>
        <w:t>BRCA</w:t>
      </w:r>
      <w:r w:rsidRPr="005F0CE8">
        <w:t xml:space="preserve">-mutated patients (with background mortality in </w:t>
      </w:r>
      <w:r w:rsidR="009E092C" w:rsidRPr="009E092C">
        <w:rPr>
          <w:i/>
        </w:rPr>
        <w:t>BRCAm</w:t>
      </w:r>
      <w:r w:rsidRPr="005F0CE8">
        <w:t xml:space="preserve"> patients)</w:t>
      </w:r>
    </w:p>
    <w:p w14:paraId="658CBE4A" w14:textId="77777777" w:rsidR="009C6A3A" w:rsidRPr="005F0CE8" w:rsidRDefault="009C6A3A" w:rsidP="009C6A3A">
      <w:r w:rsidRPr="00FB5D10">
        <w:rPr>
          <w:noProof/>
        </w:rPr>
        <w:drawing>
          <wp:inline distT="0" distB="0" distL="0" distR="0" wp14:anchorId="7927F750" wp14:editId="590E273B">
            <wp:extent cx="5724000" cy="3627003"/>
            <wp:effectExtent l="0" t="0" r="0" b="0"/>
            <wp:docPr id="33" name="Picture 33" descr="Figure 5: Modelled OS curves for BRCA-mutated patients (with background mortality in BRCAm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igure 5: Modelled OS curves for BRCA-mutated patients (with background mortality in BRCAm patients)"/>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724000" cy="3627003"/>
                    </a:xfrm>
                    <a:prstGeom prst="rect">
                      <a:avLst/>
                    </a:prstGeom>
                    <a:noFill/>
                    <a:ln>
                      <a:noFill/>
                    </a:ln>
                    <a:extLst>
                      <a:ext uri="{53640926-AAD7-44D8-BBD7-CCE9431645EC}">
                        <a14:shadowObscured xmlns:a14="http://schemas.microsoft.com/office/drawing/2010/main"/>
                      </a:ext>
                    </a:extLst>
                  </pic:spPr>
                </pic:pic>
              </a:graphicData>
            </a:graphic>
          </wp:inline>
        </w:drawing>
      </w:r>
    </w:p>
    <w:p w14:paraId="636CF9B8" w14:textId="77777777" w:rsidR="009C6A3A" w:rsidRPr="005F0CE8" w:rsidRDefault="009C6A3A" w:rsidP="009C6A3A">
      <w:pPr>
        <w:pStyle w:val="TableFigureFooter"/>
      </w:pPr>
      <w:r w:rsidRPr="005F0CE8">
        <w:t>Source: Adapted from Figure 3.29, p228 of the submission.</w:t>
      </w:r>
    </w:p>
    <w:p w14:paraId="449064C1" w14:textId="63DC8D63" w:rsidR="009C6A3A" w:rsidRPr="005F0CE8" w:rsidRDefault="009E092C" w:rsidP="00DB2BE9">
      <w:pPr>
        <w:pStyle w:val="TableFigureFooter"/>
      </w:pPr>
      <w:r w:rsidRPr="009E092C">
        <w:rPr>
          <w:i/>
        </w:rPr>
        <w:t>BRCAm</w:t>
      </w:r>
      <w:r w:rsidR="009C6A3A" w:rsidRPr="005F0CE8">
        <w:t xml:space="preserve"> = Pathogenic variant in the breast cancer gene; OS = overall survival.</w:t>
      </w:r>
    </w:p>
    <w:p w14:paraId="72761D52" w14:textId="060E2050" w:rsidR="009C6A3A" w:rsidRPr="005F0CE8" w:rsidRDefault="009C6A3A" w:rsidP="00477BB3">
      <w:pPr>
        <w:pStyle w:val="3-BodyText"/>
      </w:pPr>
      <w:bookmarkStart w:id="78" w:name="_Ref127475571"/>
      <w:r w:rsidRPr="005F0CE8">
        <w:t>The submission estimated utilities for the IDFS health state by mapping EORTC QLQ-C30 questionnaire results to the EQ-5D instrument using a mapping algorithm. This result</w:t>
      </w:r>
      <w:r w:rsidR="00672153" w:rsidRPr="005F0CE8">
        <w:t>ed</w:t>
      </w:r>
      <w:r w:rsidRPr="005F0CE8">
        <w:t xml:space="preserve"> in an estimate of 0.869 for the IDFS health state when estimated using a UK value set. The resulting utility estimate </w:t>
      </w:r>
      <w:r w:rsidR="00672153" w:rsidRPr="005F0CE8">
        <w:t>was</w:t>
      </w:r>
      <w:r w:rsidRPr="005F0CE8">
        <w:t xml:space="preserve"> higher than other published estimates, and possibly higher than the age-specific general population estimate of utility. </w:t>
      </w:r>
      <w:r w:rsidR="00672153" w:rsidRPr="005F0CE8">
        <w:t xml:space="preserve">The evaluation considered it was </w:t>
      </w:r>
      <w:r w:rsidRPr="005F0CE8">
        <w:t>unlikely that patients would retain a general population utility estimate of a 43 year old for the full 40 years of the model.</w:t>
      </w:r>
      <w:bookmarkEnd w:id="78"/>
    </w:p>
    <w:p w14:paraId="384FD17E" w14:textId="3DC6763A" w:rsidR="009C6A3A" w:rsidRPr="005F0CE8" w:rsidRDefault="009C6A3A" w:rsidP="00477BB3">
      <w:pPr>
        <w:pStyle w:val="3-BodyText"/>
      </w:pPr>
      <w:bookmarkStart w:id="79" w:name="_Ref127708131"/>
      <w:r w:rsidRPr="005F0CE8">
        <w:t xml:space="preserve">Utilities </w:t>
      </w:r>
      <w:r w:rsidR="00672153" w:rsidRPr="005F0CE8">
        <w:t>were</w:t>
      </w:r>
      <w:r w:rsidRPr="005F0CE8">
        <w:t xml:space="preserve"> assumed to be the same across arms. No disutility is applied during treatment with olaparib. Th</w:t>
      </w:r>
      <w:r w:rsidR="00E23AFF" w:rsidRPr="005F0CE8">
        <w:t xml:space="preserve">e evaluation considered </w:t>
      </w:r>
      <w:r w:rsidR="0063228C" w:rsidRPr="005F0CE8">
        <w:t>this may</w:t>
      </w:r>
      <w:r w:rsidRPr="005F0CE8">
        <w:t xml:space="preserve"> not be reasonable given the higher rates of Grade 3 and 4 AEs in the olaparib arms, and some clear differences in EORTC QLQ-C30 results during the 12 months in which patients receive olaparib.</w:t>
      </w:r>
      <w:bookmarkEnd w:id="79"/>
    </w:p>
    <w:p w14:paraId="6924AE9B" w14:textId="60FDE1D2" w:rsidR="009C6A3A" w:rsidRPr="005F0CE8" w:rsidRDefault="009C6A3A" w:rsidP="00477BB3">
      <w:pPr>
        <w:pStyle w:val="3-BodyText"/>
      </w:pPr>
      <w:r w:rsidRPr="005F0CE8">
        <w:t xml:space="preserve">Utility estimates for the metastatic health states </w:t>
      </w:r>
      <w:r w:rsidR="00E47056" w:rsidRPr="005F0CE8">
        <w:t xml:space="preserve">were </w:t>
      </w:r>
      <w:r w:rsidRPr="005F0CE8">
        <w:t xml:space="preserve">derived from the OlympiAD study (olaparib vs chemotherapy in the metastatic setting). Pre-progression utilities </w:t>
      </w:r>
      <w:r w:rsidR="00E47056" w:rsidRPr="005F0CE8">
        <w:t>were</w:t>
      </w:r>
      <w:r w:rsidRPr="005F0CE8">
        <w:t xml:space="preserve"> used for the early-onset metastatic disease health state and post-progression utilities </w:t>
      </w:r>
      <w:r w:rsidR="00E47056" w:rsidRPr="005F0CE8">
        <w:t>were</w:t>
      </w:r>
      <w:r w:rsidRPr="005F0CE8">
        <w:t xml:space="preserve"> used for the late-onset metastatic disease health state</w:t>
      </w:r>
      <w:r w:rsidR="00D912B7" w:rsidRPr="005F0CE8">
        <w:t>, which may not be reasonable</w:t>
      </w:r>
      <w:r w:rsidRPr="005F0CE8">
        <w:t xml:space="preserve">. </w:t>
      </w:r>
    </w:p>
    <w:p w14:paraId="483CF065" w14:textId="7A9EB120" w:rsidR="009C6A3A" w:rsidRPr="005F0CE8" w:rsidRDefault="009C6A3A" w:rsidP="00477BB3">
      <w:pPr>
        <w:pStyle w:val="3-BodyText"/>
      </w:pPr>
      <w:r w:rsidRPr="005F0CE8">
        <w:t xml:space="preserve">The model applied costs for </w:t>
      </w:r>
      <w:r w:rsidR="009E092C" w:rsidRPr="009E092C">
        <w:rPr>
          <w:i/>
        </w:rPr>
        <w:t xml:space="preserve">BRCA </w:t>
      </w:r>
      <w:r w:rsidRPr="005F0CE8">
        <w:t xml:space="preserve">testing, managing adverse events (in both the IDFS and subsequent health states), disease monitoring, treatments in non-mBC and mBC health states and for terminal care (upon transition to dead). The estimates of unit costs </w:t>
      </w:r>
      <w:r w:rsidR="000E7D8A" w:rsidRPr="005F0CE8">
        <w:t>were</w:t>
      </w:r>
      <w:r w:rsidRPr="005F0CE8">
        <w:t xml:space="preserve"> mostly reasonable, and d</w:t>
      </w:r>
      <w:r w:rsidR="000E7D8A" w:rsidRPr="005F0CE8">
        <w:t>id</w:t>
      </w:r>
      <w:r w:rsidRPr="005F0CE8">
        <w:t xml:space="preserve"> not have a marked impact on the model. The </w:t>
      </w:r>
      <w:r w:rsidRPr="005F0CE8">
        <w:lastRenderedPageBreak/>
        <w:t>costs resulting in the largest increment between the arms relate</w:t>
      </w:r>
      <w:r w:rsidR="000E7D8A" w:rsidRPr="005F0CE8">
        <w:t>d</w:t>
      </w:r>
      <w:r w:rsidRPr="005F0CE8">
        <w:t xml:space="preserve"> to the cost of olaparib, testing costs and subsequent anti-cancer treatment. </w:t>
      </w:r>
    </w:p>
    <w:p w14:paraId="64DF3EE3" w14:textId="15EE4A5F" w:rsidR="009C6A3A" w:rsidRPr="005F0CE8" w:rsidRDefault="009C6A3A" w:rsidP="009C6A3A">
      <w:pPr>
        <w:pStyle w:val="Caption"/>
      </w:pPr>
      <w:r w:rsidRPr="005F0CE8">
        <w:t xml:space="preserve">Table </w:t>
      </w:r>
      <w:fldSimple w:instr=" SEQ Table \* ARABIC ">
        <w:r w:rsidR="00AB6006">
          <w:rPr>
            <w:noProof/>
          </w:rPr>
          <w:t>14</w:t>
        </w:r>
      </w:fldSimple>
      <w:r w:rsidRPr="005F0CE8">
        <w:t xml:space="preserve">: </w:t>
      </w:r>
      <w:r w:rsidRPr="005F0CE8">
        <w:rPr>
          <w:rStyle w:val="CommentReference"/>
          <w:b/>
          <w:szCs w:val="24"/>
        </w:rPr>
        <w:t>Incremental costs (discounted) disaggregated across resource type (for the trial based comparison</w:t>
      </w:r>
      <w:r w:rsidRPr="005F0CE8">
        <w:rPr>
          <w:rStyle w:val="CommentReference"/>
          <w:b/>
          <w:szCs w:val="24"/>
          <w:vertAlign w:val="superscript"/>
        </w:rPr>
        <w:t>a</w:t>
      </w:r>
      <w:r w:rsidRPr="005F0CE8">
        <w:rPr>
          <w:rStyle w:val="CommentReference"/>
          <w:b/>
          <w:szCs w:val="24"/>
        </w:rPr>
        <w:t>)</w:t>
      </w:r>
    </w:p>
    <w:tbl>
      <w:tblPr>
        <w:tblStyle w:val="TableGrid"/>
        <w:tblW w:w="0" w:type="auto"/>
        <w:tblLook w:val="04A0" w:firstRow="1" w:lastRow="0" w:firstColumn="1" w:lastColumn="0" w:noHBand="0" w:noVBand="1"/>
      </w:tblPr>
      <w:tblGrid>
        <w:gridCol w:w="3256"/>
        <w:gridCol w:w="1440"/>
        <w:gridCol w:w="1440"/>
        <w:gridCol w:w="1230"/>
        <w:gridCol w:w="1651"/>
      </w:tblGrid>
      <w:tr w:rsidR="009C6A3A" w:rsidRPr="005F0CE8" w14:paraId="2750C75F" w14:textId="77777777" w:rsidTr="005C473F">
        <w:tc>
          <w:tcPr>
            <w:tcW w:w="3256" w:type="dxa"/>
            <w:vAlign w:val="center"/>
          </w:tcPr>
          <w:p w14:paraId="637C6F64" w14:textId="77777777" w:rsidR="009C6A3A" w:rsidRPr="005F0CE8" w:rsidRDefault="009C6A3A" w:rsidP="005C473F">
            <w:pPr>
              <w:pStyle w:val="Tabletext"/>
              <w:rPr>
                <w:b/>
              </w:rPr>
            </w:pPr>
            <w:r w:rsidRPr="005F0CE8">
              <w:rPr>
                <w:b/>
              </w:rPr>
              <w:t>Resource item</w:t>
            </w:r>
          </w:p>
        </w:tc>
        <w:tc>
          <w:tcPr>
            <w:tcW w:w="1440" w:type="dxa"/>
            <w:vAlign w:val="center"/>
          </w:tcPr>
          <w:p w14:paraId="37CA42DE" w14:textId="77777777" w:rsidR="009C6A3A" w:rsidRPr="005F0CE8" w:rsidRDefault="009C6A3A" w:rsidP="005C473F">
            <w:pPr>
              <w:pStyle w:val="Tabletext"/>
              <w:jc w:val="center"/>
              <w:rPr>
                <w:b/>
              </w:rPr>
            </w:pPr>
            <w:r w:rsidRPr="005F0CE8">
              <w:rPr>
                <w:b/>
              </w:rPr>
              <w:t>Olaparib</w:t>
            </w:r>
          </w:p>
        </w:tc>
        <w:tc>
          <w:tcPr>
            <w:tcW w:w="1440" w:type="dxa"/>
            <w:vAlign w:val="center"/>
          </w:tcPr>
          <w:p w14:paraId="65741BEF" w14:textId="77777777" w:rsidR="009C6A3A" w:rsidRPr="005F0CE8" w:rsidRDefault="009C6A3A" w:rsidP="005C473F">
            <w:pPr>
              <w:pStyle w:val="Tabletext"/>
              <w:jc w:val="center"/>
              <w:rPr>
                <w:b/>
              </w:rPr>
            </w:pPr>
            <w:r w:rsidRPr="005F0CE8">
              <w:rPr>
                <w:b/>
              </w:rPr>
              <w:t>Placebo</w:t>
            </w:r>
          </w:p>
        </w:tc>
        <w:tc>
          <w:tcPr>
            <w:tcW w:w="1230" w:type="dxa"/>
            <w:vAlign w:val="center"/>
          </w:tcPr>
          <w:p w14:paraId="32607F22" w14:textId="77777777" w:rsidR="009C6A3A" w:rsidRPr="005F0CE8" w:rsidRDefault="009C6A3A" w:rsidP="005C473F">
            <w:pPr>
              <w:pStyle w:val="Tabletext"/>
              <w:jc w:val="center"/>
              <w:rPr>
                <w:b/>
              </w:rPr>
            </w:pPr>
            <w:r w:rsidRPr="005F0CE8">
              <w:rPr>
                <w:b/>
              </w:rPr>
              <w:t>Incremental</w:t>
            </w:r>
          </w:p>
        </w:tc>
        <w:tc>
          <w:tcPr>
            <w:tcW w:w="1651" w:type="dxa"/>
            <w:vAlign w:val="center"/>
          </w:tcPr>
          <w:p w14:paraId="3AFA16FD" w14:textId="77777777" w:rsidR="009C6A3A" w:rsidRPr="005F0CE8" w:rsidRDefault="009C6A3A" w:rsidP="005C473F">
            <w:pPr>
              <w:pStyle w:val="Tabletext"/>
              <w:jc w:val="center"/>
              <w:rPr>
                <w:b/>
              </w:rPr>
            </w:pPr>
            <w:r w:rsidRPr="005F0CE8">
              <w:rPr>
                <w:b/>
              </w:rPr>
              <w:t>% of incremental</w:t>
            </w:r>
          </w:p>
        </w:tc>
      </w:tr>
      <w:tr w:rsidR="009C6A3A" w:rsidRPr="005F0CE8" w14:paraId="463CA978" w14:textId="77777777" w:rsidTr="005C473F">
        <w:tc>
          <w:tcPr>
            <w:tcW w:w="3256" w:type="dxa"/>
            <w:vAlign w:val="center"/>
          </w:tcPr>
          <w:p w14:paraId="60FD4AB9" w14:textId="77777777" w:rsidR="009C6A3A" w:rsidRPr="005F0CE8" w:rsidRDefault="009C6A3A" w:rsidP="005C473F">
            <w:pPr>
              <w:pStyle w:val="Tabletext"/>
            </w:pPr>
            <w:r w:rsidRPr="005F0CE8">
              <w:t>Olaparib</w:t>
            </w:r>
          </w:p>
        </w:tc>
        <w:tc>
          <w:tcPr>
            <w:tcW w:w="1440" w:type="dxa"/>
            <w:vAlign w:val="center"/>
          </w:tcPr>
          <w:p w14:paraId="7028726C" w14:textId="14F50DB7" w:rsidR="009C6A3A" w:rsidRPr="005F0CE8" w:rsidRDefault="009C6A3A" w:rsidP="005C473F">
            <w:pPr>
              <w:pStyle w:val="Tabletext"/>
              <w:jc w:val="center"/>
            </w:pPr>
            <w:r w:rsidRPr="005F0CE8">
              <w:t>$</w:t>
            </w:r>
            <w:r w:rsidR="003A26A8" w:rsidRPr="003A26A8">
              <w:rPr>
                <w:rFonts w:hint="eastAsia"/>
                <w:color w:val="000000"/>
                <w:w w:val="33"/>
                <w:shd w:val="solid" w:color="000000" w:fill="000000"/>
                <w:fitText w:val="150" w:id="-1234443258"/>
                <w14:textFill>
                  <w14:solidFill>
                    <w14:srgbClr w14:val="000000">
                      <w14:alpha w14:val="100000"/>
                    </w14:srgbClr>
                  </w14:solidFill>
                </w14:textFill>
              </w:rPr>
              <w:t xml:space="preserve">　</w:t>
            </w:r>
            <w:r w:rsidR="003A26A8" w:rsidRPr="003A26A8">
              <w:rPr>
                <w:color w:val="000000"/>
                <w:w w:val="33"/>
                <w:shd w:val="solid" w:color="000000" w:fill="000000"/>
                <w:fitText w:val="150" w:id="-1234443258"/>
                <w14:textFill>
                  <w14:solidFill>
                    <w14:srgbClr w14:val="000000">
                      <w14:alpha w14:val="100000"/>
                    </w14:srgbClr>
                  </w14:solidFill>
                </w14:textFill>
              </w:rPr>
              <w:t>|</w:t>
            </w:r>
            <w:r w:rsidR="003A26A8" w:rsidRPr="003A26A8">
              <w:rPr>
                <w:rFonts w:hint="eastAsia"/>
                <w:color w:val="000000"/>
                <w:spacing w:val="4"/>
                <w:w w:val="33"/>
                <w:shd w:val="solid" w:color="000000" w:fill="000000"/>
                <w:fitText w:val="150" w:id="-1234443258"/>
                <w14:textFill>
                  <w14:solidFill>
                    <w14:srgbClr w14:val="000000">
                      <w14:alpha w14:val="100000"/>
                    </w14:srgbClr>
                  </w14:solidFill>
                </w14:textFill>
              </w:rPr>
              <w:t xml:space="preserve">　</w:t>
            </w:r>
          </w:p>
        </w:tc>
        <w:tc>
          <w:tcPr>
            <w:tcW w:w="1440" w:type="dxa"/>
            <w:vAlign w:val="center"/>
          </w:tcPr>
          <w:p w14:paraId="5ABA838E" w14:textId="77777777" w:rsidR="009C6A3A" w:rsidRPr="005F0CE8" w:rsidRDefault="009C6A3A" w:rsidP="005C473F">
            <w:pPr>
              <w:pStyle w:val="Tabletext"/>
              <w:jc w:val="center"/>
            </w:pPr>
            <w:r w:rsidRPr="005F0CE8">
              <w:t>$0</w:t>
            </w:r>
          </w:p>
        </w:tc>
        <w:tc>
          <w:tcPr>
            <w:tcW w:w="1230" w:type="dxa"/>
            <w:vAlign w:val="center"/>
          </w:tcPr>
          <w:p w14:paraId="4055D533" w14:textId="5D505099" w:rsidR="009C6A3A" w:rsidRPr="005F0CE8" w:rsidRDefault="009C6A3A" w:rsidP="005C473F">
            <w:pPr>
              <w:pStyle w:val="Tabletext"/>
              <w:jc w:val="center"/>
              <w:rPr>
                <w:rFonts w:eastAsiaTheme="majorEastAsia"/>
              </w:rPr>
            </w:pPr>
            <w:r w:rsidRPr="005F0CE8">
              <w:t>$</w:t>
            </w:r>
            <w:r w:rsidR="003A26A8" w:rsidRPr="003A26A8">
              <w:rPr>
                <w:color w:val="000000"/>
                <w:spacing w:val="167"/>
                <w:shd w:val="solid" w:color="000000" w:fill="000000"/>
                <w:fitText w:val="253" w:id="-1234443257"/>
                <w14:textFill>
                  <w14:solidFill>
                    <w14:srgbClr w14:val="000000">
                      <w14:alpha w14:val="100000"/>
                    </w14:srgbClr>
                  </w14:solidFill>
                </w14:textFill>
              </w:rPr>
              <w:t>|</w:t>
            </w:r>
            <w:r w:rsidR="003A26A8" w:rsidRPr="003A26A8">
              <w:rPr>
                <w:color w:val="000000"/>
                <w:spacing w:val="1"/>
                <w:shd w:val="solid" w:color="000000" w:fill="000000"/>
                <w:fitText w:val="253" w:id="-1234443257"/>
                <w14:textFill>
                  <w14:solidFill>
                    <w14:srgbClr w14:val="000000">
                      <w14:alpha w14:val="100000"/>
                    </w14:srgbClr>
                  </w14:solidFill>
                </w14:textFill>
              </w:rPr>
              <w:t>|</w:t>
            </w:r>
          </w:p>
        </w:tc>
        <w:tc>
          <w:tcPr>
            <w:tcW w:w="1651" w:type="dxa"/>
            <w:vAlign w:val="center"/>
          </w:tcPr>
          <w:p w14:paraId="37E0CD9C" w14:textId="77777777" w:rsidR="009C6A3A" w:rsidRPr="005F0CE8" w:rsidRDefault="009C6A3A" w:rsidP="005C473F">
            <w:pPr>
              <w:pStyle w:val="Tabletext"/>
              <w:jc w:val="center"/>
              <w:rPr>
                <w:rFonts w:eastAsiaTheme="majorEastAsia"/>
              </w:rPr>
            </w:pPr>
            <w:r w:rsidRPr="005F0CE8">
              <w:t>107.3%</w:t>
            </w:r>
          </w:p>
        </w:tc>
      </w:tr>
      <w:tr w:rsidR="009C6A3A" w:rsidRPr="005F0CE8" w14:paraId="13CD76CF" w14:textId="77777777" w:rsidTr="005C473F">
        <w:tc>
          <w:tcPr>
            <w:tcW w:w="3256" w:type="dxa"/>
            <w:vAlign w:val="center"/>
          </w:tcPr>
          <w:p w14:paraId="203E4B98" w14:textId="77777777" w:rsidR="009C6A3A" w:rsidRPr="005F0CE8" w:rsidRDefault="009C6A3A" w:rsidP="005C473F">
            <w:pPr>
              <w:pStyle w:val="Tabletext"/>
            </w:pPr>
            <w:r w:rsidRPr="005F0CE8">
              <w:t>Subsequent anti-cancer treatment (local and metastatic recurrence)</w:t>
            </w:r>
            <w:r w:rsidRPr="005F0CE8">
              <w:rPr>
                <w:vertAlign w:val="superscript"/>
              </w:rPr>
              <w:t>b</w:t>
            </w:r>
          </w:p>
        </w:tc>
        <w:tc>
          <w:tcPr>
            <w:tcW w:w="1440" w:type="dxa"/>
            <w:vAlign w:val="center"/>
          </w:tcPr>
          <w:p w14:paraId="10E6C862" w14:textId="77777777" w:rsidR="009C6A3A" w:rsidRPr="005F0CE8" w:rsidRDefault="009C6A3A" w:rsidP="005C473F">
            <w:pPr>
              <w:pStyle w:val="Tabletext"/>
              <w:jc w:val="center"/>
            </w:pPr>
            <w:r w:rsidRPr="005F0CE8">
              <w:t>$9,264</w:t>
            </w:r>
          </w:p>
        </w:tc>
        <w:tc>
          <w:tcPr>
            <w:tcW w:w="1440" w:type="dxa"/>
            <w:vAlign w:val="center"/>
          </w:tcPr>
          <w:p w14:paraId="00A219FE" w14:textId="77777777" w:rsidR="009C6A3A" w:rsidRPr="005F0CE8" w:rsidRDefault="009C6A3A" w:rsidP="005C473F">
            <w:pPr>
              <w:pStyle w:val="Tabletext"/>
              <w:jc w:val="center"/>
            </w:pPr>
            <w:r w:rsidRPr="005F0CE8">
              <w:t>$12,999</w:t>
            </w:r>
          </w:p>
        </w:tc>
        <w:tc>
          <w:tcPr>
            <w:tcW w:w="1230" w:type="dxa"/>
            <w:vAlign w:val="center"/>
          </w:tcPr>
          <w:p w14:paraId="65CBD633" w14:textId="77777777" w:rsidR="009C6A3A" w:rsidRPr="005F0CE8" w:rsidRDefault="009C6A3A" w:rsidP="005C473F">
            <w:pPr>
              <w:pStyle w:val="Tabletext"/>
              <w:jc w:val="center"/>
            </w:pPr>
            <w:r w:rsidRPr="005F0CE8">
              <w:t>-$3,735</w:t>
            </w:r>
          </w:p>
        </w:tc>
        <w:tc>
          <w:tcPr>
            <w:tcW w:w="1651" w:type="dxa"/>
            <w:vAlign w:val="center"/>
          </w:tcPr>
          <w:p w14:paraId="57E553D2" w14:textId="77777777" w:rsidR="009C6A3A" w:rsidRPr="005F0CE8" w:rsidRDefault="009C6A3A" w:rsidP="005C473F">
            <w:pPr>
              <w:pStyle w:val="Tabletext"/>
              <w:jc w:val="center"/>
            </w:pPr>
            <w:r w:rsidRPr="005F0CE8">
              <w:t>-7.4%</w:t>
            </w:r>
          </w:p>
        </w:tc>
      </w:tr>
      <w:tr w:rsidR="009C6A3A" w:rsidRPr="005F0CE8" w14:paraId="5FF067C1" w14:textId="77777777" w:rsidTr="005C473F">
        <w:tc>
          <w:tcPr>
            <w:tcW w:w="3256" w:type="dxa"/>
            <w:vAlign w:val="center"/>
          </w:tcPr>
          <w:p w14:paraId="4C539CAB" w14:textId="77777777" w:rsidR="009C6A3A" w:rsidRPr="005F0CE8" w:rsidRDefault="009C6A3A" w:rsidP="005C473F">
            <w:pPr>
              <w:pStyle w:val="Tabletext"/>
            </w:pPr>
            <w:r w:rsidRPr="005F0CE8">
              <w:t>Surgery /radiotherapy post recurrence</w:t>
            </w:r>
          </w:p>
        </w:tc>
        <w:tc>
          <w:tcPr>
            <w:tcW w:w="1440" w:type="dxa"/>
            <w:vAlign w:val="center"/>
          </w:tcPr>
          <w:p w14:paraId="3EAE322D" w14:textId="77777777" w:rsidR="009C6A3A" w:rsidRPr="005F0CE8" w:rsidRDefault="009C6A3A" w:rsidP="005C473F">
            <w:pPr>
              <w:pStyle w:val="Tabletext"/>
              <w:jc w:val="center"/>
            </w:pPr>
            <w:r w:rsidRPr="005F0CE8">
              <w:t>$1,135</w:t>
            </w:r>
          </w:p>
        </w:tc>
        <w:tc>
          <w:tcPr>
            <w:tcW w:w="1440" w:type="dxa"/>
            <w:vAlign w:val="center"/>
          </w:tcPr>
          <w:p w14:paraId="3BC7AAF6" w14:textId="77777777" w:rsidR="009C6A3A" w:rsidRPr="005F0CE8" w:rsidRDefault="009C6A3A" w:rsidP="005C473F">
            <w:pPr>
              <w:pStyle w:val="Tabletext"/>
              <w:jc w:val="center"/>
            </w:pPr>
            <w:r w:rsidRPr="005F0CE8">
              <w:t>$1,560</w:t>
            </w:r>
          </w:p>
        </w:tc>
        <w:tc>
          <w:tcPr>
            <w:tcW w:w="1230" w:type="dxa"/>
            <w:vAlign w:val="center"/>
          </w:tcPr>
          <w:p w14:paraId="75F66533" w14:textId="77777777" w:rsidR="009C6A3A" w:rsidRPr="005F0CE8" w:rsidRDefault="009C6A3A" w:rsidP="005C473F">
            <w:pPr>
              <w:pStyle w:val="Tabletext"/>
              <w:jc w:val="center"/>
            </w:pPr>
            <w:r w:rsidRPr="005F0CE8">
              <w:t>-$425</w:t>
            </w:r>
          </w:p>
        </w:tc>
        <w:tc>
          <w:tcPr>
            <w:tcW w:w="1651" w:type="dxa"/>
            <w:vAlign w:val="center"/>
          </w:tcPr>
          <w:p w14:paraId="08953A76" w14:textId="77777777" w:rsidR="009C6A3A" w:rsidRPr="005F0CE8" w:rsidRDefault="009C6A3A" w:rsidP="005C473F">
            <w:pPr>
              <w:pStyle w:val="Tabletext"/>
              <w:jc w:val="center"/>
            </w:pPr>
            <w:r w:rsidRPr="005F0CE8">
              <w:t>-0.8%</w:t>
            </w:r>
          </w:p>
        </w:tc>
      </w:tr>
      <w:tr w:rsidR="009C6A3A" w:rsidRPr="005F0CE8" w14:paraId="34F2AAC3" w14:textId="77777777" w:rsidTr="005C473F">
        <w:tc>
          <w:tcPr>
            <w:tcW w:w="3256" w:type="dxa"/>
            <w:vAlign w:val="center"/>
          </w:tcPr>
          <w:p w14:paraId="24C93B5F" w14:textId="77777777" w:rsidR="009C6A3A" w:rsidRPr="005F0CE8" w:rsidRDefault="009C6A3A" w:rsidP="005C473F">
            <w:pPr>
              <w:pStyle w:val="Tabletext"/>
            </w:pPr>
            <w:r w:rsidRPr="005F0CE8">
              <w:t>Adverse events</w:t>
            </w:r>
          </w:p>
        </w:tc>
        <w:tc>
          <w:tcPr>
            <w:tcW w:w="1440" w:type="dxa"/>
            <w:vAlign w:val="center"/>
          </w:tcPr>
          <w:p w14:paraId="56F76056" w14:textId="77777777" w:rsidR="009C6A3A" w:rsidRPr="005F0CE8" w:rsidRDefault="009C6A3A" w:rsidP="005C473F">
            <w:pPr>
              <w:pStyle w:val="Tabletext"/>
              <w:jc w:val="center"/>
            </w:pPr>
            <w:r w:rsidRPr="005F0CE8">
              <w:t>$978</w:t>
            </w:r>
          </w:p>
        </w:tc>
        <w:tc>
          <w:tcPr>
            <w:tcW w:w="1440" w:type="dxa"/>
            <w:vAlign w:val="center"/>
          </w:tcPr>
          <w:p w14:paraId="6B379F40" w14:textId="77777777" w:rsidR="009C6A3A" w:rsidRPr="005F0CE8" w:rsidRDefault="009C6A3A" w:rsidP="005C473F">
            <w:pPr>
              <w:pStyle w:val="Tabletext"/>
              <w:jc w:val="center"/>
            </w:pPr>
            <w:r w:rsidRPr="005F0CE8">
              <w:t>$805</w:t>
            </w:r>
          </w:p>
        </w:tc>
        <w:tc>
          <w:tcPr>
            <w:tcW w:w="1230" w:type="dxa"/>
            <w:vAlign w:val="center"/>
          </w:tcPr>
          <w:p w14:paraId="4FE55C8D" w14:textId="77777777" w:rsidR="009C6A3A" w:rsidRPr="005F0CE8" w:rsidRDefault="009C6A3A" w:rsidP="005C473F">
            <w:pPr>
              <w:pStyle w:val="Tabletext"/>
              <w:jc w:val="center"/>
            </w:pPr>
            <w:r w:rsidRPr="005F0CE8">
              <w:t>$173</w:t>
            </w:r>
          </w:p>
        </w:tc>
        <w:tc>
          <w:tcPr>
            <w:tcW w:w="1651" w:type="dxa"/>
            <w:vAlign w:val="center"/>
          </w:tcPr>
          <w:p w14:paraId="2D1C6245" w14:textId="77777777" w:rsidR="009C6A3A" w:rsidRPr="005F0CE8" w:rsidRDefault="009C6A3A" w:rsidP="005C473F">
            <w:pPr>
              <w:pStyle w:val="Tabletext"/>
              <w:jc w:val="center"/>
            </w:pPr>
            <w:r w:rsidRPr="005F0CE8">
              <w:t>0.3%</w:t>
            </w:r>
          </w:p>
        </w:tc>
      </w:tr>
      <w:tr w:rsidR="009C6A3A" w:rsidRPr="005F0CE8" w14:paraId="252756B7" w14:textId="77777777" w:rsidTr="005C473F">
        <w:tc>
          <w:tcPr>
            <w:tcW w:w="3256" w:type="dxa"/>
            <w:vAlign w:val="center"/>
          </w:tcPr>
          <w:p w14:paraId="5C8DCF6F" w14:textId="77777777" w:rsidR="009C6A3A" w:rsidRPr="005F0CE8" w:rsidRDefault="009C6A3A" w:rsidP="005C473F">
            <w:pPr>
              <w:pStyle w:val="Tabletext"/>
            </w:pPr>
            <w:r w:rsidRPr="005F0CE8">
              <w:t>Disease monitoring</w:t>
            </w:r>
          </w:p>
        </w:tc>
        <w:tc>
          <w:tcPr>
            <w:tcW w:w="1440" w:type="dxa"/>
            <w:vAlign w:val="center"/>
          </w:tcPr>
          <w:p w14:paraId="475BB1EF" w14:textId="77777777" w:rsidR="009C6A3A" w:rsidRPr="005F0CE8" w:rsidRDefault="009C6A3A" w:rsidP="005C473F">
            <w:pPr>
              <w:pStyle w:val="Tabletext"/>
              <w:jc w:val="center"/>
            </w:pPr>
            <w:r w:rsidRPr="005F0CE8">
              <w:t>$5,556</w:t>
            </w:r>
          </w:p>
        </w:tc>
        <w:tc>
          <w:tcPr>
            <w:tcW w:w="1440" w:type="dxa"/>
            <w:vAlign w:val="center"/>
          </w:tcPr>
          <w:p w14:paraId="23C60B26" w14:textId="77777777" w:rsidR="009C6A3A" w:rsidRPr="005F0CE8" w:rsidRDefault="009C6A3A" w:rsidP="005C473F">
            <w:pPr>
              <w:pStyle w:val="Tabletext"/>
              <w:jc w:val="center"/>
            </w:pPr>
            <w:r w:rsidRPr="005F0CE8">
              <w:t>$5,773</w:t>
            </w:r>
          </w:p>
        </w:tc>
        <w:tc>
          <w:tcPr>
            <w:tcW w:w="1230" w:type="dxa"/>
            <w:vAlign w:val="center"/>
          </w:tcPr>
          <w:p w14:paraId="7FA664CD" w14:textId="77777777" w:rsidR="009C6A3A" w:rsidRPr="005F0CE8" w:rsidRDefault="009C6A3A" w:rsidP="005C473F">
            <w:pPr>
              <w:pStyle w:val="Tabletext"/>
              <w:jc w:val="center"/>
            </w:pPr>
            <w:r w:rsidRPr="005F0CE8">
              <w:t>-$217</w:t>
            </w:r>
          </w:p>
        </w:tc>
        <w:tc>
          <w:tcPr>
            <w:tcW w:w="1651" w:type="dxa"/>
            <w:vAlign w:val="center"/>
          </w:tcPr>
          <w:p w14:paraId="2D760EED" w14:textId="77777777" w:rsidR="009C6A3A" w:rsidRPr="005F0CE8" w:rsidRDefault="009C6A3A" w:rsidP="005C473F">
            <w:pPr>
              <w:pStyle w:val="Tabletext"/>
              <w:jc w:val="center"/>
            </w:pPr>
            <w:r w:rsidRPr="005F0CE8">
              <w:t>-0.4%</w:t>
            </w:r>
          </w:p>
        </w:tc>
      </w:tr>
      <w:tr w:rsidR="009C6A3A" w:rsidRPr="005F0CE8" w14:paraId="583FEEA5" w14:textId="77777777" w:rsidTr="005C473F">
        <w:tc>
          <w:tcPr>
            <w:tcW w:w="3256" w:type="dxa"/>
            <w:vAlign w:val="center"/>
          </w:tcPr>
          <w:p w14:paraId="7136824B" w14:textId="77777777" w:rsidR="009C6A3A" w:rsidRPr="005F0CE8" w:rsidRDefault="009C6A3A" w:rsidP="005C473F">
            <w:pPr>
              <w:pStyle w:val="Tabletext"/>
            </w:pPr>
            <w:r w:rsidRPr="005F0CE8">
              <w:t>Terminal care</w:t>
            </w:r>
          </w:p>
        </w:tc>
        <w:tc>
          <w:tcPr>
            <w:tcW w:w="1440" w:type="dxa"/>
            <w:vAlign w:val="center"/>
          </w:tcPr>
          <w:p w14:paraId="533172F4" w14:textId="77777777" w:rsidR="009C6A3A" w:rsidRPr="005F0CE8" w:rsidRDefault="009C6A3A" w:rsidP="005C473F">
            <w:pPr>
              <w:pStyle w:val="Tabletext"/>
              <w:jc w:val="center"/>
            </w:pPr>
            <w:r w:rsidRPr="005F0CE8">
              <w:t>$7,120</w:t>
            </w:r>
          </w:p>
        </w:tc>
        <w:tc>
          <w:tcPr>
            <w:tcW w:w="1440" w:type="dxa"/>
            <w:vAlign w:val="center"/>
          </w:tcPr>
          <w:p w14:paraId="2B13D049" w14:textId="77777777" w:rsidR="009C6A3A" w:rsidRPr="005F0CE8" w:rsidRDefault="009C6A3A" w:rsidP="005C473F">
            <w:pPr>
              <w:pStyle w:val="Tabletext"/>
              <w:jc w:val="center"/>
            </w:pPr>
            <w:r w:rsidRPr="005F0CE8">
              <w:t>$8,854</w:t>
            </w:r>
          </w:p>
        </w:tc>
        <w:tc>
          <w:tcPr>
            <w:tcW w:w="1230" w:type="dxa"/>
            <w:vAlign w:val="center"/>
          </w:tcPr>
          <w:p w14:paraId="322A4B99" w14:textId="77777777" w:rsidR="009C6A3A" w:rsidRPr="005F0CE8" w:rsidRDefault="009C6A3A" w:rsidP="005C473F">
            <w:pPr>
              <w:pStyle w:val="Tabletext"/>
              <w:jc w:val="center"/>
            </w:pPr>
            <w:r w:rsidRPr="005F0CE8">
              <w:t>-$1,734</w:t>
            </w:r>
          </w:p>
        </w:tc>
        <w:tc>
          <w:tcPr>
            <w:tcW w:w="1651" w:type="dxa"/>
            <w:vAlign w:val="center"/>
          </w:tcPr>
          <w:p w14:paraId="1BA30693" w14:textId="77777777" w:rsidR="009C6A3A" w:rsidRPr="005F0CE8" w:rsidRDefault="009C6A3A" w:rsidP="005C473F">
            <w:pPr>
              <w:pStyle w:val="Tabletext"/>
              <w:jc w:val="center"/>
            </w:pPr>
            <w:r w:rsidRPr="005F0CE8">
              <w:t>-3.4%</w:t>
            </w:r>
          </w:p>
        </w:tc>
      </w:tr>
      <w:tr w:rsidR="009C6A3A" w:rsidRPr="005F0CE8" w14:paraId="056A621E" w14:textId="77777777" w:rsidTr="005C473F">
        <w:tc>
          <w:tcPr>
            <w:tcW w:w="3256" w:type="dxa"/>
            <w:vAlign w:val="center"/>
          </w:tcPr>
          <w:p w14:paraId="27B32774" w14:textId="77777777" w:rsidR="009C6A3A" w:rsidRPr="005F0CE8" w:rsidRDefault="009C6A3A" w:rsidP="005C473F">
            <w:pPr>
              <w:pStyle w:val="Tabletext"/>
            </w:pPr>
            <w:r w:rsidRPr="005F0CE8">
              <w:t>Testing costs</w:t>
            </w:r>
            <w:r w:rsidRPr="005F0CE8">
              <w:rPr>
                <w:vertAlign w:val="superscript"/>
              </w:rPr>
              <w:t>c</w:t>
            </w:r>
          </w:p>
        </w:tc>
        <w:tc>
          <w:tcPr>
            <w:tcW w:w="1440" w:type="dxa"/>
            <w:vAlign w:val="center"/>
          </w:tcPr>
          <w:p w14:paraId="1EFD5C1E" w14:textId="77777777" w:rsidR="009C6A3A" w:rsidRPr="005F0CE8" w:rsidRDefault="009C6A3A" w:rsidP="005C473F">
            <w:pPr>
              <w:pStyle w:val="Tabletext"/>
              <w:jc w:val="center"/>
            </w:pPr>
            <w:r w:rsidRPr="005F0CE8">
              <w:t>$10,191</w:t>
            </w:r>
          </w:p>
        </w:tc>
        <w:tc>
          <w:tcPr>
            <w:tcW w:w="1440" w:type="dxa"/>
            <w:vAlign w:val="center"/>
          </w:tcPr>
          <w:p w14:paraId="78C3AF9B" w14:textId="77777777" w:rsidR="009C6A3A" w:rsidRPr="005F0CE8" w:rsidRDefault="009C6A3A" w:rsidP="005C473F">
            <w:pPr>
              <w:pStyle w:val="Tabletext"/>
              <w:jc w:val="center"/>
            </w:pPr>
            <w:r w:rsidRPr="005F0CE8">
              <w:t>$7,938</w:t>
            </w:r>
          </w:p>
        </w:tc>
        <w:tc>
          <w:tcPr>
            <w:tcW w:w="1230" w:type="dxa"/>
            <w:vAlign w:val="center"/>
          </w:tcPr>
          <w:p w14:paraId="0634BCCE" w14:textId="77777777" w:rsidR="009C6A3A" w:rsidRPr="005F0CE8" w:rsidRDefault="009C6A3A" w:rsidP="005C473F">
            <w:pPr>
              <w:pStyle w:val="Tabletext"/>
              <w:jc w:val="center"/>
            </w:pPr>
            <w:r w:rsidRPr="005F0CE8">
              <w:t>$2,253</w:t>
            </w:r>
          </w:p>
        </w:tc>
        <w:tc>
          <w:tcPr>
            <w:tcW w:w="1651" w:type="dxa"/>
            <w:vAlign w:val="center"/>
          </w:tcPr>
          <w:p w14:paraId="303BE91A" w14:textId="77777777" w:rsidR="009C6A3A" w:rsidRPr="005F0CE8" w:rsidRDefault="009C6A3A" w:rsidP="005C473F">
            <w:pPr>
              <w:pStyle w:val="Tabletext"/>
              <w:jc w:val="center"/>
            </w:pPr>
            <w:r w:rsidRPr="005F0CE8">
              <w:t>4.5%</w:t>
            </w:r>
          </w:p>
        </w:tc>
      </w:tr>
      <w:tr w:rsidR="009C6A3A" w:rsidRPr="005F0CE8" w14:paraId="79455EE4" w14:textId="77777777" w:rsidTr="005C473F">
        <w:tc>
          <w:tcPr>
            <w:tcW w:w="3256" w:type="dxa"/>
            <w:vAlign w:val="center"/>
          </w:tcPr>
          <w:p w14:paraId="5D42B9F1" w14:textId="77777777" w:rsidR="009C6A3A" w:rsidRPr="005F0CE8" w:rsidRDefault="009C6A3A" w:rsidP="005C473F">
            <w:pPr>
              <w:pStyle w:val="Tabletext"/>
            </w:pPr>
            <w:r w:rsidRPr="005F0CE8">
              <w:t>Total</w:t>
            </w:r>
          </w:p>
        </w:tc>
        <w:tc>
          <w:tcPr>
            <w:tcW w:w="1440" w:type="dxa"/>
            <w:vAlign w:val="center"/>
          </w:tcPr>
          <w:p w14:paraId="63E4305C" w14:textId="0E7A1207" w:rsidR="009C6A3A" w:rsidRPr="005F0CE8" w:rsidRDefault="009C6A3A" w:rsidP="005C473F">
            <w:pPr>
              <w:pStyle w:val="Tabletext"/>
              <w:jc w:val="center"/>
            </w:pPr>
            <w:r w:rsidRPr="005F0CE8">
              <w:t>$</w:t>
            </w:r>
            <w:r w:rsidR="003A26A8" w:rsidRPr="003A26A8">
              <w:rPr>
                <w:rFonts w:hint="eastAsia"/>
                <w:color w:val="000000"/>
                <w:w w:val="33"/>
                <w:shd w:val="solid" w:color="000000" w:fill="000000"/>
                <w:fitText w:val="150" w:id="-1234443256"/>
                <w14:textFill>
                  <w14:solidFill>
                    <w14:srgbClr w14:val="000000">
                      <w14:alpha w14:val="100000"/>
                    </w14:srgbClr>
                  </w14:solidFill>
                </w14:textFill>
              </w:rPr>
              <w:t xml:space="preserve">　</w:t>
            </w:r>
            <w:r w:rsidR="003A26A8" w:rsidRPr="003A26A8">
              <w:rPr>
                <w:color w:val="000000"/>
                <w:w w:val="33"/>
                <w:shd w:val="solid" w:color="000000" w:fill="000000"/>
                <w:fitText w:val="150" w:id="-1234443256"/>
                <w14:textFill>
                  <w14:solidFill>
                    <w14:srgbClr w14:val="000000">
                      <w14:alpha w14:val="100000"/>
                    </w14:srgbClr>
                  </w14:solidFill>
                </w14:textFill>
              </w:rPr>
              <w:t>|</w:t>
            </w:r>
            <w:r w:rsidR="003A26A8" w:rsidRPr="003A26A8">
              <w:rPr>
                <w:rFonts w:hint="eastAsia"/>
                <w:color w:val="000000"/>
                <w:spacing w:val="4"/>
                <w:w w:val="33"/>
                <w:shd w:val="solid" w:color="000000" w:fill="000000"/>
                <w:fitText w:val="150" w:id="-1234443256"/>
                <w14:textFill>
                  <w14:solidFill>
                    <w14:srgbClr w14:val="000000">
                      <w14:alpha w14:val="100000"/>
                    </w14:srgbClr>
                  </w14:solidFill>
                </w14:textFill>
              </w:rPr>
              <w:t xml:space="preserve">　</w:t>
            </w:r>
          </w:p>
        </w:tc>
        <w:tc>
          <w:tcPr>
            <w:tcW w:w="1440" w:type="dxa"/>
            <w:vAlign w:val="center"/>
          </w:tcPr>
          <w:p w14:paraId="44202325" w14:textId="77777777" w:rsidR="009C6A3A" w:rsidRPr="005F0CE8" w:rsidRDefault="009C6A3A" w:rsidP="005C473F">
            <w:pPr>
              <w:pStyle w:val="Tabletext"/>
              <w:jc w:val="center"/>
            </w:pPr>
            <w:r w:rsidRPr="005F0CE8">
              <w:t>$37,929</w:t>
            </w:r>
          </w:p>
        </w:tc>
        <w:tc>
          <w:tcPr>
            <w:tcW w:w="1230" w:type="dxa"/>
            <w:vAlign w:val="center"/>
          </w:tcPr>
          <w:p w14:paraId="1FF12799" w14:textId="506D250B" w:rsidR="009C6A3A" w:rsidRPr="005F0CE8" w:rsidRDefault="009C6A3A" w:rsidP="005C473F">
            <w:pPr>
              <w:pStyle w:val="Tabletext"/>
              <w:jc w:val="center"/>
            </w:pPr>
            <w:r w:rsidRPr="005F0CE8">
              <w:t>$</w:t>
            </w:r>
            <w:r w:rsidR="003A26A8" w:rsidRPr="003A26A8">
              <w:rPr>
                <w:color w:val="000000"/>
                <w:spacing w:val="167"/>
                <w:shd w:val="solid" w:color="000000" w:fill="000000"/>
                <w:fitText w:val="253" w:id="-1234443255"/>
                <w14:textFill>
                  <w14:solidFill>
                    <w14:srgbClr w14:val="000000">
                      <w14:alpha w14:val="100000"/>
                    </w14:srgbClr>
                  </w14:solidFill>
                </w14:textFill>
              </w:rPr>
              <w:t>|</w:t>
            </w:r>
            <w:r w:rsidR="003A26A8" w:rsidRPr="003A26A8">
              <w:rPr>
                <w:color w:val="000000"/>
                <w:spacing w:val="1"/>
                <w:shd w:val="solid" w:color="000000" w:fill="000000"/>
                <w:fitText w:val="253" w:id="-1234443255"/>
                <w14:textFill>
                  <w14:solidFill>
                    <w14:srgbClr w14:val="000000">
                      <w14:alpha w14:val="100000"/>
                    </w14:srgbClr>
                  </w14:solidFill>
                </w14:textFill>
              </w:rPr>
              <w:t>|</w:t>
            </w:r>
          </w:p>
        </w:tc>
        <w:tc>
          <w:tcPr>
            <w:tcW w:w="1651" w:type="dxa"/>
            <w:vAlign w:val="center"/>
          </w:tcPr>
          <w:p w14:paraId="0188D44E" w14:textId="77777777" w:rsidR="009C6A3A" w:rsidRPr="005F0CE8" w:rsidRDefault="009C6A3A" w:rsidP="005C473F">
            <w:pPr>
              <w:pStyle w:val="Tabletext"/>
              <w:jc w:val="center"/>
            </w:pPr>
            <w:r w:rsidRPr="005F0CE8">
              <w:t>100.0%</w:t>
            </w:r>
          </w:p>
        </w:tc>
      </w:tr>
    </w:tbl>
    <w:p w14:paraId="7556579F" w14:textId="27DF2AF8" w:rsidR="009C6A3A" w:rsidRPr="005F0CE8" w:rsidRDefault="009C6A3A" w:rsidP="009C6A3A">
      <w:pPr>
        <w:pStyle w:val="TableFooter"/>
      </w:pPr>
      <w:r w:rsidRPr="005F0CE8">
        <w:t xml:space="preserve">Source: generated during the evaluation from the </w:t>
      </w:r>
      <w:r w:rsidR="00DB2BE9">
        <w:t>‘</w:t>
      </w:r>
      <w:r w:rsidRPr="005F0CE8">
        <w:t>ICER results</w:t>
      </w:r>
      <w:r w:rsidR="00DB2BE9">
        <w:t>’</w:t>
      </w:r>
      <w:r w:rsidRPr="005F0CE8">
        <w:t xml:space="preserve"> worksheet of the economic evaluation spreadsheet.</w:t>
      </w:r>
    </w:p>
    <w:p w14:paraId="0C6C71D1" w14:textId="1BC42280" w:rsidR="009C6A3A" w:rsidRPr="005F0CE8" w:rsidRDefault="009C6A3A" w:rsidP="009C6A3A">
      <w:pPr>
        <w:pStyle w:val="TableFooter"/>
      </w:pPr>
      <w:r w:rsidRPr="005F0CE8">
        <w:rPr>
          <w:vertAlign w:val="superscript"/>
        </w:rPr>
        <w:t>a</w:t>
      </w:r>
      <w:r w:rsidRPr="005F0CE8">
        <w:t xml:space="preserve">A trial-based comparison is generated by setting the prevalence of </w:t>
      </w:r>
      <w:r w:rsidR="009E092C" w:rsidRPr="009E092C">
        <w:rPr>
          <w:i/>
        </w:rPr>
        <w:t xml:space="preserve">BRCA </w:t>
      </w:r>
      <w:r w:rsidRPr="005F0CE8">
        <w:t>to 100% and testing proportion to 100%. This results in an estimate of the cost per patient treated with olaparib. The trial based comparison is modelled over 40 years, but excludes all non</w:t>
      </w:r>
      <w:r w:rsidR="009E092C" w:rsidRPr="009E092C">
        <w:rPr>
          <w:i/>
        </w:rPr>
        <w:t xml:space="preserve">BRCA </w:t>
      </w:r>
      <w:r w:rsidRPr="005F0CE8">
        <w:t xml:space="preserve">populations. </w:t>
      </w:r>
    </w:p>
    <w:p w14:paraId="37570690" w14:textId="77777777" w:rsidR="009C6A3A" w:rsidRPr="005F0CE8" w:rsidRDefault="009C6A3A" w:rsidP="009C6A3A">
      <w:pPr>
        <w:pStyle w:val="TableFooter"/>
      </w:pPr>
      <w:r w:rsidRPr="005F0CE8">
        <w:rPr>
          <w:vertAlign w:val="superscript"/>
        </w:rPr>
        <w:t>b</w:t>
      </w:r>
      <w:r w:rsidRPr="005F0CE8">
        <w:t>Including administration costs</w:t>
      </w:r>
    </w:p>
    <w:p w14:paraId="402BB005" w14:textId="34FE08CB" w:rsidR="009C6A3A" w:rsidRPr="005F0CE8" w:rsidRDefault="009C6A3A" w:rsidP="00DB2BE9">
      <w:pPr>
        <w:pStyle w:val="TableFooter"/>
        <w:spacing w:after="120"/>
      </w:pPr>
      <w:r w:rsidRPr="005F0CE8">
        <w:rPr>
          <w:vertAlign w:val="superscript"/>
        </w:rPr>
        <w:t>c</w:t>
      </w:r>
      <w:r w:rsidRPr="005F0CE8">
        <w:t>Although the testing proportion is set to 100% (to prevent the model costing false negatives), the costs are based on the difference between the current rate (74%) and assumed rate (95%).</w:t>
      </w:r>
    </w:p>
    <w:p w14:paraId="670C8F93" w14:textId="5110FE0B" w:rsidR="009C6A3A" w:rsidRPr="005F0CE8" w:rsidRDefault="009C6A3A" w:rsidP="00477BB3">
      <w:pPr>
        <w:pStyle w:val="3-BodyText"/>
      </w:pPr>
      <w:r w:rsidRPr="005F0CE8">
        <w:t xml:space="preserve">The </w:t>
      </w:r>
      <w:r w:rsidR="000E7D8A" w:rsidRPr="005F0CE8">
        <w:t xml:space="preserve">evaluation proposed that </w:t>
      </w:r>
      <w:r w:rsidRPr="005F0CE8">
        <w:t>following costs may need to be revised:</w:t>
      </w:r>
    </w:p>
    <w:p w14:paraId="67ECD97C" w14:textId="18203F99" w:rsidR="009C6A3A" w:rsidRPr="005F0CE8" w:rsidRDefault="009C6A3A" w:rsidP="001B189E">
      <w:pPr>
        <w:pStyle w:val="BulletBodyText"/>
      </w:pPr>
      <w:r w:rsidRPr="005F0CE8">
        <w:t>The model ha</w:t>
      </w:r>
      <w:r w:rsidR="000E7D8A" w:rsidRPr="005F0CE8">
        <w:t>d</w:t>
      </w:r>
      <w:r w:rsidRPr="005F0CE8">
        <w:t xml:space="preserve"> costed only the incremental difference in testing rates from the current rate (assumed to be 74%) to the forecast rate (assumed to be 95%). The rate of g</w:t>
      </w:r>
      <w:r w:rsidR="009E092C" w:rsidRPr="00A428CF">
        <w:t xml:space="preserve">BRCA </w:t>
      </w:r>
      <w:r w:rsidRPr="005F0CE8">
        <w:t xml:space="preserve">testing </w:t>
      </w:r>
      <w:r w:rsidR="000E7D8A" w:rsidRPr="005F0CE8">
        <w:t xml:space="preserve">was </w:t>
      </w:r>
      <w:r w:rsidRPr="005F0CE8">
        <w:t xml:space="preserve">taken from IpSOS data, and </w:t>
      </w:r>
      <w:r w:rsidR="000E7D8A" w:rsidRPr="005F0CE8">
        <w:t>was</w:t>
      </w:r>
      <w:r w:rsidRPr="005F0CE8">
        <w:t xml:space="preserve"> based on patients with TNBC only. Rates of g</w:t>
      </w:r>
      <w:r w:rsidR="009E092C" w:rsidRPr="00A428CF">
        <w:t xml:space="preserve">BRCA </w:t>
      </w:r>
      <w:r w:rsidRPr="005F0CE8">
        <w:t>testing are likely to be lower in patients with HR+ disease. The submission state</w:t>
      </w:r>
      <w:r w:rsidR="000E7D8A" w:rsidRPr="005F0CE8">
        <w:t>d</w:t>
      </w:r>
      <w:r w:rsidRPr="005F0CE8">
        <w:t xml:space="preserve"> that testing rates in patients with HR-positive, HER2-negative disease </w:t>
      </w:r>
      <w:r w:rsidR="000E7D8A" w:rsidRPr="005F0CE8">
        <w:t>was</w:t>
      </w:r>
      <w:r w:rsidRPr="005F0CE8">
        <w:t xml:space="preserve"> about 10%. </w:t>
      </w:r>
    </w:p>
    <w:p w14:paraId="04605725" w14:textId="4A0E98B8" w:rsidR="009C6A3A" w:rsidRPr="005F0CE8" w:rsidRDefault="009C6A3A" w:rsidP="001B189E">
      <w:pPr>
        <w:pStyle w:val="BulletBodyText"/>
      </w:pPr>
      <w:r w:rsidRPr="005F0CE8">
        <w:t xml:space="preserve">The model assumed 100% of patients entering the mBC health state will be treated. This </w:t>
      </w:r>
      <w:r w:rsidR="000E7D8A" w:rsidRPr="005F0CE8">
        <w:t>was</w:t>
      </w:r>
      <w:r w:rsidRPr="005F0CE8">
        <w:t xml:space="preserve"> inconsistent with the rate of treatment observed </w:t>
      </w:r>
      <w:r w:rsidR="000E7D8A" w:rsidRPr="005F0CE8">
        <w:t xml:space="preserve">in </w:t>
      </w:r>
      <w:r w:rsidRPr="005F0CE8">
        <w:t xml:space="preserve">the OlympiA </w:t>
      </w:r>
      <w:r w:rsidR="000E7D8A" w:rsidRPr="005F0CE8">
        <w:t>trial</w:t>
      </w:r>
      <w:r w:rsidRPr="005F0CE8">
        <w:t>, which was about 70% of all patients with a recurrence event.</w:t>
      </w:r>
    </w:p>
    <w:p w14:paraId="7EFBEBE5" w14:textId="77777777" w:rsidR="009C6A3A" w:rsidRPr="005F0CE8" w:rsidRDefault="009C6A3A" w:rsidP="001B189E">
      <w:pPr>
        <w:pStyle w:val="BulletBodyText"/>
      </w:pPr>
      <w:r w:rsidRPr="005F0CE8">
        <w:t>Sacituzumab govitecan and palbociclib are subject to a special pricing arrangements.</w:t>
      </w:r>
    </w:p>
    <w:p w14:paraId="2195BF02" w14:textId="667F9392" w:rsidR="009C6A3A" w:rsidRPr="005F0CE8" w:rsidRDefault="009C6A3A" w:rsidP="001B189E">
      <w:pPr>
        <w:pStyle w:val="BulletBodyText"/>
      </w:pPr>
      <w:r w:rsidRPr="005F0CE8">
        <w:t xml:space="preserve">The model assumed 100% of the proposed dose for </w:t>
      </w:r>
      <w:bookmarkStart w:id="80" w:name="_Hlk130316795"/>
      <w:r w:rsidRPr="005F0CE8">
        <w:t>sacituzumab</w:t>
      </w:r>
      <w:bookmarkEnd w:id="80"/>
      <w:r w:rsidRPr="005F0CE8">
        <w:t xml:space="preserve"> govitecan, however the relative dose intensity is likely between 70-80%</w:t>
      </w:r>
      <w:r w:rsidR="000E7D8A" w:rsidRPr="005F0CE8">
        <w:t xml:space="preserve"> (paragraph 7.18, 5.11 sacituzumab govitecan, public summary document</w:t>
      </w:r>
      <w:r w:rsidR="001602B4">
        <w:t xml:space="preserve"> [PSD]</w:t>
      </w:r>
      <w:r w:rsidR="000E7D8A" w:rsidRPr="005F0CE8">
        <w:t>, November 2021 PBAC meeting)</w:t>
      </w:r>
      <w:r w:rsidRPr="005F0CE8">
        <w:t>.</w:t>
      </w:r>
    </w:p>
    <w:p w14:paraId="4B9A0598" w14:textId="0807169F" w:rsidR="009C6A3A" w:rsidRPr="005F0CE8" w:rsidRDefault="009C6A3A" w:rsidP="00477BB3">
      <w:pPr>
        <w:pStyle w:val="3-BodyText"/>
      </w:pPr>
      <w:r w:rsidRPr="005F0CE8">
        <w:t xml:space="preserve">The </w:t>
      </w:r>
      <w:r w:rsidR="000E7D8A" w:rsidRPr="005F0CE8">
        <w:t xml:space="preserve">evaluation stated that </w:t>
      </w:r>
      <w:r w:rsidRPr="005F0CE8">
        <w:t xml:space="preserve">key drivers of the model </w:t>
      </w:r>
      <w:r w:rsidR="000E7D8A" w:rsidRPr="005F0CE8">
        <w:t>were</w:t>
      </w:r>
      <w:r w:rsidRPr="005F0CE8">
        <w:t xml:space="preserve"> difficult to ascertain, as some of the possible drivers </w:t>
      </w:r>
      <w:r w:rsidR="000E7D8A" w:rsidRPr="005F0CE8">
        <w:t xml:space="preserve">were </w:t>
      </w:r>
      <w:r w:rsidRPr="005F0CE8">
        <w:t xml:space="preserve">structural (such as the time point at which the recurrence rate is reduced to approximately 1% per year, and the cut-off for early-onset vs late-onset mBC). </w:t>
      </w:r>
    </w:p>
    <w:p w14:paraId="6ED580E4" w14:textId="1B23F470" w:rsidR="009C6A3A" w:rsidRPr="005F0CE8" w:rsidRDefault="009C6A3A" w:rsidP="009C6A3A">
      <w:pPr>
        <w:pStyle w:val="Caption"/>
      </w:pPr>
      <w:bookmarkStart w:id="81" w:name="_Ref127475147"/>
      <w:r w:rsidRPr="005F0CE8">
        <w:lastRenderedPageBreak/>
        <w:t xml:space="preserve">Table </w:t>
      </w:r>
      <w:fldSimple w:instr=" SEQ Table \* ARABIC ">
        <w:r w:rsidR="00AB6006">
          <w:rPr>
            <w:noProof/>
          </w:rPr>
          <w:t>15</w:t>
        </w:r>
      </w:fldSimple>
      <w:bookmarkEnd w:id="81"/>
      <w:r w:rsidRPr="005F0CE8">
        <w:t>: Key drivers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5"/>
        <w:gridCol w:w="2411"/>
        <w:gridCol w:w="4911"/>
      </w:tblGrid>
      <w:tr w:rsidR="009C6A3A" w:rsidRPr="005F0CE8" w14:paraId="0D03505F" w14:textId="77777777" w:rsidTr="005C473F">
        <w:trPr>
          <w:tblHeader/>
        </w:trPr>
        <w:tc>
          <w:tcPr>
            <w:tcW w:w="940" w:type="pct"/>
            <w:tcBorders>
              <w:top w:val="single" w:sz="4" w:space="0" w:color="auto"/>
              <w:left w:val="single" w:sz="4" w:space="0" w:color="auto"/>
              <w:bottom w:val="single" w:sz="4" w:space="0" w:color="auto"/>
              <w:right w:val="single" w:sz="4" w:space="0" w:color="auto"/>
            </w:tcBorders>
            <w:vAlign w:val="center"/>
            <w:hideMark/>
          </w:tcPr>
          <w:p w14:paraId="0FBEA185" w14:textId="77777777" w:rsidR="009C6A3A" w:rsidRPr="005F0CE8" w:rsidRDefault="009C6A3A" w:rsidP="005C473F">
            <w:pPr>
              <w:pStyle w:val="In-tableHeading"/>
              <w:keepNext w:val="0"/>
              <w:widowControl w:val="0"/>
              <w:jc w:val="center"/>
              <w:rPr>
                <w:iCs/>
                <w:lang w:val="en-AU"/>
              </w:rPr>
            </w:pPr>
            <w:r w:rsidRPr="005F0CE8">
              <w:rPr>
                <w:iCs/>
                <w:lang w:val="en-AU"/>
              </w:rPr>
              <w:t>Description</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F471401" w14:textId="77777777" w:rsidR="009C6A3A" w:rsidRPr="005F0CE8" w:rsidRDefault="009C6A3A" w:rsidP="005C473F">
            <w:pPr>
              <w:pStyle w:val="In-tableHeading"/>
              <w:jc w:val="center"/>
              <w:rPr>
                <w:iCs/>
                <w:lang w:val="en-AU"/>
              </w:rPr>
            </w:pPr>
            <w:r w:rsidRPr="005F0CE8">
              <w:rPr>
                <w:iCs/>
                <w:lang w:val="en-AU"/>
              </w:rPr>
              <w:t>Method/Value</w:t>
            </w:r>
          </w:p>
        </w:tc>
        <w:tc>
          <w:tcPr>
            <w:tcW w:w="2723" w:type="pct"/>
            <w:tcBorders>
              <w:top w:val="single" w:sz="4" w:space="0" w:color="auto"/>
              <w:left w:val="single" w:sz="4" w:space="0" w:color="auto"/>
              <w:bottom w:val="single" w:sz="4" w:space="0" w:color="auto"/>
              <w:right w:val="single" w:sz="4" w:space="0" w:color="auto"/>
            </w:tcBorders>
            <w:vAlign w:val="center"/>
            <w:hideMark/>
          </w:tcPr>
          <w:p w14:paraId="04D7360B" w14:textId="77777777" w:rsidR="009C6A3A" w:rsidRPr="005F0CE8" w:rsidRDefault="009C6A3A" w:rsidP="005C473F">
            <w:pPr>
              <w:pStyle w:val="In-tableHeading"/>
              <w:jc w:val="center"/>
              <w:rPr>
                <w:iCs/>
                <w:lang w:val="en-AU"/>
              </w:rPr>
            </w:pPr>
            <w:r w:rsidRPr="005F0CE8">
              <w:rPr>
                <w:iCs/>
                <w:lang w:val="en-AU"/>
              </w:rPr>
              <w:t>Impact</w:t>
            </w:r>
          </w:p>
          <w:p w14:paraId="4F410901" w14:textId="6C27C211" w:rsidR="009C6A3A" w:rsidRPr="005F0CE8" w:rsidRDefault="009C6A3A" w:rsidP="005C473F">
            <w:pPr>
              <w:pStyle w:val="In-tableHeading"/>
              <w:jc w:val="center"/>
              <w:rPr>
                <w:iCs/>
                <w:lang w:val="en-AU"/>
              </w:rPr>
            </w:pPr>
            <w:r w:rsidRPr="005F0CE8">
              <w:rPr>
                <w:iCs/>
                <w:lang w:val="en-AU"/>
              </w:rPr>
              <w:t>Base case ICER $</w:t>
            </w:r>
            <w:r w:rsidR="003A26A8" w:rsidRPr="003A26A8">
              <w:rPr>
                <w:iCs/>
                <w:color w:val="000000"/>
                <w:shd w:val="solid" w:color="000000" w:fill="000000"/>
                <w:lang w:val="en-AU"/>
                <w14:textFill>
                  <w14:solidFill>
                    <w14:srgbClr w14:val="000000">
                      <w14:alpha w14:val="100000"/>
                    </w14:srgbClr>
                  </w14:solidFill>
                </w14:textFill>
              </w:rPr>
              <w:t>|</w:t>
            </w:r>
            <w:r w:rsidR="005245EE">
              <w:rPr>
                <w:iCs/>
                <w:vertAlign w:val="superscript"/>
                <w:lang w:val="en-AU"/>
              </w:rPr>
              <w:t>1</w:t>
            </w:r>
            <w:r w:rsidRPr="005F0CE8">
              <w:rPr>
                <w:iCs/>
                <w:lang w:val="en-AU"/>
              </w:rPr>
              <w:t>/QALY</w:t>
            </w:r>
          </w:p>
        </w:tc>
      </w:tr>
      <w:tr w:rsidR="009C6A3A" w:rsidRPr="005F0CE8" w14:paraId="2076E157" w14:textId="77777777" w:rsidTr="005C473F">
        <w:tc>
          <w:tcPr>
            <w:tcW w:w="940" w:type="pct"/>
            <w:tcBorders>
              <w:top w:val="single" w:sz="4" w:space="0" w:color="auto"/>
              <w:left w:val="single" w:sz="4" w:space="0" w:color="auto"/>
              <w:bottom w:val="single" w:sz="4" w:space="0" w:color="auto"/>
              <w:right w:val="single" w:sz="4" w:space="0" w:color="auto"/>
            </w:tcBorders>
            <w:vAlign w:val="center"/>
            <w:hideMark/>
          </w:tcPr>
          <w:p w14:paraId="532EFA4B" w14:textId="77777777" w:rsidR="009C6A3A" w:rsidRPr="005F0CE8" w:rsidRDefault="009C6A3A" w:rsidP="005C473F">
            <w:pPr>
              <w:pStyle w:val="TableText0"/>
              <w:keepNext w:val="0"/>
              <w:widowControl w:val="0"/>
              <w:rPr>
                <w:iCs/>
              </w:rPr>
            </w:pPr>
            <w:r w:rsidRPr="005F0CE8">
              <w:rPr>
                <w:iCs/>
              </w:rPr>
              <w:t>Truncation point for observed data</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C44E869" w14:textId="0915F06C" w:rsidR="009C6A3A" w:rsidRPr="005F0CE8" w:rsidRDefault="009C6A3A" w:rsidP="005C473F">
            <w:pPr>
              <w:pStyle w:val="TableText0"/>
              <w:rPr>
                <w:iCs/>
              </w:rPr>
            </w:pPr>
            <w:r w:rsidRPr="005F0CE8">
              <w:rPr>
                <w:iCs/>
              </w:rPr>
              <w:t>The model use</w:t>
            </w:r>
            <w:r w:rsidR="00945A82" w:rsidRPr="005F0CE8">
              <w:rPr>
                <w:iCs/>
              </w:rPr>
              <w:t>d</w:t>
            </w:r>
            <w:r w:rsidRPr="005F0CE8">
              <w:rPr>
                <w:iCs/>
              </w:rPr>
              <w:t xml:space="preserve"> observed data up to 42 months for the IDFS curve (median follow up in the OlympiA trial, 41% of patients remain at risk). A parametric function </w:t>
            </w:r>
            <w:r w:rsidR="00945A82" w:rsidRPr="005F0CE8">
              <w:rPr>
                <w:iCs/>
              </w:rPr>
              <w:t>was</w:t>
            </w:r>
            <w:r w:rsidRPr="005F0CE8">
              <w:rPr>
                <w:iCs/>
              </w:rPr>
              <w:t xml:space="preserve"> used to extrapolate the data to 60 months before </w:t>
            </w:r>
            <w:r w:rsidR="00945A82" w:rsidRPr="005F0CE8">
              <w:rPr>
                <w:iCs/>
              </w:rPr>
              <w:t xml:space="preserve">adopting </w:t>
            </w:r>
            <w:r w:rsidRPr="005F0CE8">
              <w:rPr>
                <w:iCs/>
              </w:rPr>
              <w:t xml:space="preserve">a common recurrence rate for both arms. </w:t>
            </w:r>
          </w:p>
        </w:tc>
        <w:tc>
          <w:tcPr>
            <w:tcW w:w="2723" w:type="pct"/>
            <w:tcBorders>
              <w:top w:val="single" w:sz="4" w:space="0" w:color="auto"/>
              <w:left w:val="single" w:sz="4" w:space="0" w:color="auto"/>
              <w:bottom w:val="single" w:sz="4" w:space="0" w:color="auto"/>
              <w:right w:val="single" w:sz="4" w:space="0" w:color="auto"/>
            </w:tcBorders>
            <w:vAlign w:val="center"/>
            <w:hideMark/>
          </w:tcPr>
          <w:p w14:paraId="0A94E3D5" w14:textId="7204D9DC" w:rsidR="009C6A3A" w:rsidRPr="005F0CE8" w:rsidRDefault="002B0837" w:rsidP="005C473F">
            <w:pPr>
              <w:pStyle w:val="TableText0"/>
              <w:rPr>
                <w:iCs/>
              </w:rPr>
            </w:pPr>
            <w:r w:rsidRPr="005F0CE8">
              <w:rPr>
                <w:iCs/>
              </w:rPr>
              <w:t>H</w:t>
            </w:r>
            <w:r w:rsidR="009C6A3A" w:rsidRPr="005F0CE8">
              <w:rPr>
                <w:iCs/>
              </w:rPr>
              <w:t>igh, favours olaparib.</w:t>
            </w:r>
          </w:p>
          <w:p w14:paraId="0CF51422" w14:textId="21FE48A7" w:rsidR="009C6A3A" w:rsidRPr="005F0CE8" w:rsidRDefault="009C6A3A" w:rsidP="005C473F">
            <w:pPr>
              <w:pStyle w:val="TableText0"/>
              <w:rPr>
                <w:iCs/>
              </w:rPr>
            </w:pPr>
            <w:r w:rsidRPr="005F0CE8">
              <w:rPr>
                <w:iCs/>
              </w:rPr>
              <w:t xml:space="preserve">There </w:t>
            </w:r>
            <w:r w:rsidR="00945A82" w:rsidRPr="005F0CE8">
              <w:rPr>
                <w:iCs/>
              </w:rPr>
              <w:t>were</w:t>
            </w:r>
            <w:r w:rsidRPr="005F0CE8">
              <w:rPr>
                <w:iCs/>
              </w:rPr>
              <w:t xml:space="preserve"> adequate data available to extend the truncation point. At 60 months, the trial has 151 patients, or 14% of the trial population at risk. There </w:t>
            </w:r>
            <w:r w:rsidR="00945A82" w:rsidRPr="005F0CE8">
              <w:rPr>
                <w:iCs/>
              </w:rPr>
              <w:t>was</w:t>
            </w:r>
            <w:r w:rsidRPr="005F0CE8">
              <w:rPr>
                <w:iCs/>
              </w:rPr>
              <w:t xml:space="preserve"> no indication in the KM curves at 5 years that small numbers </w:t>
            </w:r>
            <w:r w:rsidR="00945A82" w:rsidRPr="005F0CE8">
              <w:rPr>
                <w:iCs/>
              </w:rPr>
              <w:t>were</w:t>
            </w:r>
            <w:r w:rsidRPr="005F0CE8">
              <w:rPr>
                <w:iCs/>
              </w:rPr>
              <w:t xml:space="preserve"> causing instability. The KM curves start converging from approximately 40 months onwards.</w:t>
            </w:r>
          </w:p>
          <w:p w14:paraId="31122735" w14:textId="55583430" w:rsidR="009C6A3A" w:rsidRPr="005F0CE8" w:rsidRDefault="009C6A3A" w:rsidP="005C473F">
            <w:pPr>
              <w:pStyle w:val="TableText0"/>
              <w:rPr>
                <w:iCs/>
              </w:rPr>
            </w:pPr>
            <w:r w:rsidRPr="005F0CE8">
              <w:rPr>
                <w:iCs/>
              </w:rPr>
              <w:t>Applying a data truncation point for the IDFS curve increases the ICER by 40% to $</w:t>
            </w:r>
            <w:r w:rsidR="003A26A8" w:rsidRPr="003A26A8">
              <w:rPr>
                <w:iCs/>
                <w:color w:val="000000"/>
                <w:spacing w:val="36"/>
                <w:shd w:val="solid" w:color="000000" w:fill="000000"/>
                <w:fitText w:val="437" w:id="-1234443254"/>
                <w14:textFill>
                  <w14:solidFill>
                    <w14:srgbClr w14:val="000000">
                      <w14:alpha w14:val="100000"/>
                    </w14:srgbClr>
                  </w14:solidFill>
                </w14:textFill>
              </w:rPr>
              <w:t>|||||</w:t>
            </w:r>
            <w:r w:rsidR="003A26A8" w:rsidRPr="003A26A8">
              <w:rPr>
                <w:iCs/>
                <w:color w:val="000000"/>
                <w:spacing w:val="2"/>
                <w:shd w:val="solid" w:color="000000" w:fill="000000"/>
                <w:fitText w:val="437" w:id="-1234443254"/>
                <w14:textFill>
                  <w14:solidFill>
                    <w14:srgbClr w14:val="000000">
                      <w14:alpha w14:val="100000"/>
                    </w14:srgbClr>
                  </w14:solidFill>
                </w14:textFill>
              </w:rPr>
              <w:t>|</w:t>
            </w:r>
            <w:r w:rsidR="005245EE">
              <w:rPr>
                <w:iCs/>
                <w:vertAlign w:val="superscript"/>
              </w:rPr>
              <w:t>2</w:t>
            </w:r>
            <w:r w:rsidRPr="005F0CE8">
              <w:rPr>
                <w:iCs/>
              </w:rPr>
              <w:t>.</w:t>
            </w:r>
          </w:p>
        </w:tc>
      </w:tr>
      <w:tr w:rsidR="009C6A3A" w:rsidRPr="005F0CE8" w14:paraId="4C68A5CE" w14:textId="77777777" w:rsidTr="005C473F">
        <w:tc>
          <w:tcPr>
            <w:tcW w:w="940" w:type="pct"/>
            <w:tcBorders>
              <w:top w:val="single" w:sz="4" w:space="0" w:color="auto"/>
              <w:left w:val="single" w:sz="4" w:space="0" w:color="auto"/>
              <w:bottom w:val="single" w:sz="4" w:space="0" w:color="auto"/>
              <w:right w:val="single" w:sz="4" w:space="0" w:color="auto"/>
            </w:tcBorders>
            <w:vAlign w:val="center"/>
            <w:hideMark/>
          </w:tcPr>
          <w:p w14:paraId="0BAF8C38" w14:textId="018187B6" w:rsidR="009C6A3A" w:rsidRPr="005F0CE8" w:rsidRDefault="009C6A3A" w:rsidP="005C473F">
            <w:pPr>
              <w:pStyle w:val="TableText0"/>
              <w:keepNext w:val="0"/>
              <w:widowControl w:val="0"/>
              <w:rPr>
                <w:iCs/>
              </w:rPr>
            </w:pPr>
            <w:r w:rsidRPr="005F0CE8">
              <w:rPr>
                <w:iCs/>
              </w:rPr>
              <w:t>Current rate of g</w:t>
            </w:r>
            <w:r w:rsidR="009E092C" w:rsidRPr="009E092C">
              <w:rPr>
                <w:i/>
                <w:iCs/>
              </w:rPr>
              <w:t xml:space="preserve">BRCA </w:t>
            </w:r>
            <w:r w:rsidRPr="005F0CE8">
              <w:rPr>
                <w:iCs/>
              </w:rPr>
              <w:t>testing</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8A2EA00" w14:textId="70C643D6" w:rsidR="009C6A3A" w:rsidRPr="005F0CE8" w:rsidRDefault="009C6A3A" w:rsidP="005C473F">
            <w:pPr>
              <w:pStyle w:val="TableText0"/>
              <w:rPr>
                <w:iCs/>
              </w:rPr>
            </w:pPr>
            <w:r w:rsidRPr="005F0CE8">
              <w:rPr>
                <w:iCs/>
              </w:rPr>
              <w:t>The model assume</w:t>
            </w:r>
            <w:r w:rsidR="00945A82" w:rsidRPr="005F0CE8">
              <w:rPr>
                <w:iCs/>
              </w:rPr>
              <w:t>d</w:t>
            </w:r>
            <w:r w:rsidRPr="005F0CE8">
              <w:rPr>
                <w:iCs/>
              </w:rPr>
              <w:t xml:space="preserve"> 74% of all patients with high-risk eBC will have been tested for germline </w:t>
            </w:r>
            <w:r w:rsidR="009E092C" w:rsidRPr="009E092C">
              <w:rPr>
                <w:i/>
                <w:iCs/>
              </w:rPr>
              <w:t xml:space="preserve">BRCA </w:t>
            </w:r>
            <w:r w:rsidRPr="005F0CE8">
              <w:rPr>
                <w:iCs/>
              </w:rPr>
              <w:t>mutations.</w:t>
            </w:r>
          </w:p>
        </w:tc>
        <w:tc>
          <w:tcPr>
            <w:tcW w:w="2723" w:type="pct"/>
            <w:tcBorders>
              <w:top w:val="single" w:sz="4" w:space="0" w:color="auto"/>
              <w:left w:val="single" w:sz="4" w:space="0" w:color="auto"/>
              <w:bottom w:val="single" w:sz="4" w:space="0" w:color="auto"/>
              <w:right w:val="single" w:sz="4" w:space="0" w:color="auto"/>
            </w:tcBorders>
            <w:vAlign w:val="center"/>
            <w:hideMark/>
          </w:tcPr>
          <w:p w14:paraId="4CF801E7" w14:textId="77777777" w:rsidR="009C6A3A" w:rsidRPr="005F0CE8" w:rsidRDefault="009C6A3A" w:rsidP="005C473F">
            <w:pPr>
              <w:pStyle w:val="TableText0"/>
              <w:rPr>
                <w:iCs/>
              </w:rPr>
            </w:pPr>
            <w:r w:rsidRPr="005F0CE8">
              <w:rPr>
                <w:iCs/>
              </w:rPr>
              <w:t>Moderate, favours olaparib.</w:t>
            </w:r>
          </w:p>
          <w:p w14:paraId="616DD714" w14:textId="11E1CCFB" w:rsidR="009C6A3A" w:rsidRPr="005F0CE8" w:rsidRDefault="009C6A3A" w:rsidP="005C473F">
            <w:pPr>
              <w:pStyle w:val="TableText0"/>
              <w:rPr>
                <w:iCs/>
              </w:rPr>
            </w:pPr>
            <w:r w:rsidRPr="005F0CE8">
              <w:rPr>
                <w:iCs/>
              </w:rPr>
              <w:t>The rate of g</w:t>
            </w:r>
            <w:r w:rsidR="009E092C" w:rsidRPr="009E092C">
              <w:rPr>
                <w:i/>
                <w:iCs/>
              </w:rPr>
              <w:t xml:space="preserve">BRCA </w:t>
            </w:r>
            <w:r w:rsidRPr="005F0CE8">
              <w:rPr>
                <w:iCs/>
              </w:rPr>
              <w:t xml:space="preserve">testing in TNBC patients is reported to be 74%. This has rapidly increased over the 2 years of IpSOS data from 38% in 2020 to 74% in 2022. The cause of this rapid increase is unknown. Data for HR+ patients </w:t>
            </w:r>
            <w:r w:rsidR="00945A82" w:rsidRPr="005F0CE8">
              <w:rPr>
                <w:iCs/>
              </w:rPr>
              <w:t xml:space="preserve">was </w:t>
            </w:r>
            <w:r w:rsidRPr="005F0CE8">
              <w:rPr>
                <w:iCs/>
              </w:rPr>
              <w:t>not presented, however the submission note</w:t>
            </w:r>
            <w:r w:rsidR="00945A82" w:rsidRPr="005F0CE8">
              <w:rPr>
                <w:iCs/>
              </w:rPr>
              <w:t>d</w:t>
            </w:r>
            <w:r w:rsidRPr="005F0CE8">
              <w:rPr>
                <w:iCs/>
              </w:rPr>
              <w:t xml:space="preserve"> that it was approximately 10%, but also that this included low risk patients.</w:t>
            </w:r>
          </w:p>
          <w:p w14:paraId="4DE10424" w14:textId="1BC74E81" w:rsidR="009C6A3A" w:rsidRPr="005F0CE8" w:rsidRDefault="009C6A3A" w:rsidP="005C473F">
            <w:pPr>
              <w:pStyle w:val="TableText0"/>
              <w:rPr>
                <w:iCs/>
              </w:rPr>
            </w:pPr>
            <w:r w:rsidRPr="005F0CE8">
              <w:rPr>
                <w:iCs/>
              </w:rPr>
              <w:t>Assuming that 20% of HR+ patients receive testing, and 74% of TNBC patients receive testing increases the ICER by 8.6% to $</w:t>
            </w:r>
            <w:r w:rsidR="003A26A8" w:rsidRPr="003A26A8">
              <w:rPr>
                <w:iCs/>
                <w:color w:val="000000"/>
                <w:spacing w:val="36"/>
                <w:shd w:val="solid" w:color="000000" w:fill="000000"/>
                <w:fitText w:val="437" w:id="-1234443253"/>
                <w14:textFill>
                  <w14:solidFill>
                    <w14:srgbClr w14:val="000000">
                      <w14:alpha w14:val="100000"/>
                    </w14:srgbClr>
                  </w14:solidFill>
                </w14:textFill>
              </w:rPr>
              <w:t>|||||</w:t>
            </w:r>
            <w:r w:rsidR="003A26A8" w:rsidRPr="003A26A8">
              <w:rPr>
                <w:iCs/>
                <w:color w:val="000000"/>
                <w:spacing w:val="2"/>
                <w:shd w:val="solid" w:color="000000" w:fill="000000"/>
                <w:fitText w:val="437" w:id="-1234443253"/>
                <w14:textFill>
                  <w14:solidFill>
                    <w14:srgbClr w14:val="000000">
                      <w14:alpha w14:val="100000"/>
                    </w14:srgbClr>
                  </w14:solidFill>
                </w14:textFill>
              </w:rPr>
              <w:t>|</w:t>
            </w:r>
            <w:r w:rsidR="005245EE">
              <w:rPr>
                <w:iCs/>
                <w:vertAlign w:val="superscript"/>
              </w:rPr>
              <w:t>1</w:t>
            </w:r>
            <w:r w:rsidRPr="005F0CE8">
              <w:rPr>
                <w:iCs/>
              </w:rPr>
              <w:t>.</w:t>
            </w:r>
          </w:p>
        </w:tc>
      </w:tr>
      <w:tr w:rsidR="009C6A3A" w:rsidRPr="005F0CE8" w14:paraId="4853163D" w14:textId="77777777" w:rsidTr="005C473F">
        <w:tc>
          <w:tcPr>
            <w:tcW w:w="940" w:type="pct"/>
            <w:tcBorders>
              <w:top w:val="single" w:sz="4" w:space="0" w:color="auto"/>
              <w:left w:val="single" w:sz="4" w:space="0" w:color="auto"/>
              <w:bottom w:val="single" w:sz="4" w:space="0" w:color="auto"/>
              <w:right w:val="single" w:sz="4" w:space="0" w:color="auto"/>
            </w:tcBorders>
            <w:vAlign w:val="center"/>
            <w:hideMark/>
          </w:tcPr>
          <w:p w14:paraId="65ADA9AC" w14:textId="77777777" w:rsidR="009C6A3A" w:rsidRPr="005F0CE8" w:rsidRDefault="009C6A3A" w:rsidP="005C473F">
            <w:pPr>
              <w:pStyle w:val="TableText0"/>
              <w:keepNext w:val="0"/>
              <w:widowControl w:val="0"/>
              <w:rPr>
                <w:iCs/>
              </w:rPr>
            </w:pPr>
            <w:r w:rsidRPr="005F0CE8">
              <w:rPr>
                <w:iCs/>
              </w:rPr>
              <w:t>Age in the model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52532385" w14:textId="77777777" w:rsidR="009C6A3A" w:rsidRPr="005F0CE8" w:rsidRDefault="009C6A3A" w:rsidP="005C473F">
            <w:pPr>
              <w:pStyle w:val="TableText0"/>
              <w:rPr>
                <w:iCs/>
              </w:rPr>
            </w:pPr>
            <w:r w:rsidRPr="005F0CE8">
              <w:rPr>
                <w:iCs/>
              </w:rPr>
              <w:t>Patients enter the model at age 43 years. This is the mean age in the OlympiA trial.</w:t>
            </w:r>
          </w:p>
        </w:tc>
        <w:tc>
          <w:tcPr>
            <w:tcW w:w="2723" w:type="pct"/>
            <w:tcBorders>
              <w:top w:val="single" w:sz="4" w:space="0" w:color="auto"/>
              <w:left w:val="single" w:sz="4" w:space="0" w:color="auto"/>
              <w:bottom w:val="single" w:sz="4" w:space="0" w:color="auto"/>
              <w:right w:val="single" w:sz="4" w:space="0" w:color="auto"/>
            </w:tcBorders>
            <w:vAlign w:val="center"/>
            <w:hideMark/>
          </w:tcPr>
          <w:p w14:paraId="5A867EB4" w14:textId="77777777" w:rsidR="009C6A3A" w:rsidRPr="005F0CE8" w:rsidRDefault="009C6A3A" w:rsidP="005C473F">
            <w:pPr>
              <w:pStyle w:val="TableText0"/>
              <w:rPr>
                <w:iCs/>
              </w:rPr>
            </w:pPr>
            <w:r w:rsidRPr="005F0CE8">
              <w:rPr>
                <w:iCs/>
              </w:rPr>
              <w:t>Moderate, favours olaparib.</w:t>
            </w:r>
          </w:p>
          <w:p w14:paraId="74B7B3FA" w14:textId="48DB97CD" w:rsidR="009C6A3A" w:rsidRPr="005F0CE8" w:rsidRDefault="009C6A3A" w:rsidP="005C473F">
            <w:pPr>
              <w:pStyle w:val="TableText0"/>
              <w:rPr>
                <w:iCs/>
              </w:rPr>
            </w:pPr>
          </w:p>
          <w:p w14:paraId="45BE1C4A" w14:textId="4BC1CE7E" w:rsidR="00B14163" w:rsidRPr="005F0CE8" w:rsidRDefault="0003165F" w:rsidP="005C473F">
            <w:pPr>
              <w:pStyle w:val="TableText0"/>
            </w:pPr>
            <w:r w:rsidRPr="005F0CE8">
              <w:t>T</w:t>
            </w:r>
            <w:r w:rsidR="00B14163" w:rsidRPr="005F0CE8">
              <w:t>he mean age of g</w:t>
            </w:r>
            <w:r w:rsidR="009E092C" w:rsidRPr="009E092C">
              <w:rPr>
                <w:i/>
              </w:rPr>
              <w:t xml:space="preserve">BRCA </w:t>
            </w:r>
            <w:r w:rsidR="00B14163" w:rsidRPr="005F0CE8">
              <w:t xml:space="preserve">mutation positive, </w:t>
            </w:r>
            <w:r w:rsidR="00D6541C">
              <w:t>high-risk</w:t>
            </w:r>
            <w:r w:rsidR="00B14163" w:rsidRPr="005F0CE8">
              <w:t xml:space="preserve"> early breast cancer </w:t>
            </w:r>
            <w:r w:rsidRPr="005F0CE8">
              <w:t xml:space="preserve">patients </w:t>
            </w:r>
            <w:r w:rsidR="00B14163" w:rsidRPr="005F0CE8">
              <w:t xml:space="preserve">in the Australian setting </w:t>
            </w:r>
            <w:r w:rsidRPr="005F0CE8">
              <w:t xml:space="preserve">may be </w:t>
            </w:r>
            <w:r w:rsidR="00B14163" w:rsidRPr="005F0CE8">
              <w:t>higher (</w:t>
            </w:r>
            <w:r w:rsidR="00680324" w:rsidRPr="005F0CE8">
              <w:t>a</w:t>
            </w:r>
            <w:r w:rsidR="00B14163" w:rsidRPr="005F0CE8">
              <w:t>n Australian study of patients with TNBC who are g</w:t>
            </w:r>
            <w:r w:rsidR="009E092C" w:rsidRPr="009E092C">
              <w:rPr>
                <w:i/>
              </w:rPr>
              <w:t xml:space="preserve">BRCA </w:t>
            </w:r>
            <w:r w:rsidR="00B14163" w:rsidRPr="005F0CE8">
              <w:t>mutation positive reported the average age to be 50.3 years). Average age alters the influence of background mortality, which is the primary mechanism that reduces the incremental difference in the IDFS curves across the arms. The ESC considered an average age of 50 years was appropriate for the economic model consistent with the Australian study publish</w:t>
            </w:r>
            <w:r w:rsidR="00AE1F42" w:rsidRPr="005F0CE8">
              <w:t>e</w:t>
            </w:r>
            <w:r w:rsidR="00B14163" w:rsidRPr="005F0CE8">
              <w:t>d by Wong et al (2015)</w:t>
            </w:r>
            <w:r w:rsidR="00B14163" w:rsidRPr="005F0CE8">
              <w:rPr>
                <w:vertAlign w:val="superscript"/>
              </w:rPr>
              <w:t>a</w:t>
            </w:r>
            <w:r w:rsidR="00B14163" w:rsidRPr="005F0CE8">
              <w:t>.</w:t>
            </w:r>
          </w:p>
          <w:p w14:paraId="019B94AF" w14:textId="77777777" w:rsidR="00B14163" w:rsidRPr="005F0CE8" w:rsidRDefault="00B14163" w:rsidP="005C473F">
            <w:pPr>
              <w:pStyle w:val="TableText0"/>
            </w:pPr>
          </w:p>
          <w:p w14:paraId="46806FF0" w14:textId="1FE142CA" w:rsidR="00B14163" w:rsidRPr="005F0CE8" w:rsidRDefault="009C6A3A" w:rsidP="005C473F">
            <w:pPr>
              <w:pStyle w:val="TableText0"/>
              <w:rPr>
                <w:i/>
              </w:rPr>
            </w:pPr>
            <w:r w:rsidRPr="005F0CE8">
              <w:rPr>
                <w:iCs/>
              </w:rPr>
              <w:t>Changing the average age in the model to 50 years of age increases the ICER by 6.35% to $</w:t>
            </w:r>
            <w:r w:rsidR="003A26A8" w:rsidRPr="003A26A8">
              <w:rPr>
                <w:iCs/>
                <w:color w:val="000000"/>
                <w:spacing w:val="36"/>
                <w:shd w:val="solid" w:color="000000" w:fill="000000"/>
                <w:fitText w:val="437" w:id="-1234443252"/>
                <w14:textFill>
                  <w14:solidFill>
                    <w14:srgbClr w14:val="000000">
                      <w14:alpha w14:val="100000"/>
                    </w14:srgbClr>
                  </w14:solidFill>
                </w14:textFill>
              </w:rPr>
              <w:t>|||||</w:t>
            </w:r>
            <w:r w:rsidR="003A26A8" w:rsidRPr="003A26A8">
              <w:rPr>
                <w:iCs/>
                <w:color w:val="000000"/>
                <w:spacing w:val="2"/>
                <w:shd w:val="solid" w:color="000000" w:fill="000000"/>
                <w:fitText w:val="437" w:id="-1234443252"/>
                <w14:textFill>
                  <w14:solidFill>
                    <w14:srgbClr w14:val="000000">
                      <w14:alpha w14:val="100000"/>
                    </w14:srgbClr>
                  </w14:solidFill>
                </w14:textFill>
              </w:rPr>
              <w:t>|</w:t>
            </w:r>
            <w:r w:rsidR="005245EE">
              <w:rPr>
                <w:iCs/>
                <w:vertAlign w:val="superscript"/>
              </w:rPr>
              <w:t>1</w:t>
            </w:r>
            <w:r w:rsidRPr="005F0CE8">
              <w:rPr>
                <w:iCs/>
              </w:rPr>
              <w:t>.</w:t>
            </w:r>
          </w:p>
        </w:tc>
      </w:tr>
      <w:tr w:rsidR="009C6A3A" w:rsidRPr="005F0CE8" w14:paraId="2A2FBDBB" w14:textId="77777777" w:rsidTr="005C473F">
        <w:tc>
          <w:tcPr>
            <w:tcW w:w="940" w:type="pct"/>
            <w:tcBorders>
              <w:top w:val="single" w:sz="4" w:space="0" w:color="auto"/>
              <w:left w:val="single" w:sz="4" w:space="0" w:color="auto"/>
              <w:bottom w:val="single" w:sz="4" w:space="0" w:color="auto"/>
              <w:right w:val="single" w:sz="4" w:space="0" w:color="auto"/>
            </w:tcBorders>
            <w:vAlign w:val="center"/>
          </w:tcPr>
          <w:p w14:paraId="36890A03" w14:textId="77777777" w:rsidR="009C6A3A" w:rsidRPr="005F0CE8" w:rsidRDefault="009C6A3A" w:rsidP="005C473F">
            <w:pPr>
              <w:pStyle w:val="TableText0"/>
              <w:keepNext w:val="0"/>
              <w:widowControl w:val="0"/>
              <w:rPr>
                <w:iCs/>
              </w:rPr>
            </w:pPr>
            <w:r w:rsidRPr="005F0CE8">
              <w:rPr>
                <w:iCs/>
              </w:rPr>
              <w:t xml:space="preserve">Health state utilities </w:t>
            </w:r>
          </w:p>
        </w:tc>
        <w:tc>
          <w:tcPr>
            <w:tcW w:w="1337" w:type="pct"/>
            <w:tcBorders>
              <w:top w:val="single" w:sz="4" w:space="0" w:color="auto"/>
              <w:left w:val="single" w:sz="4" w:space="0" w:color="auto"/>
              <w:bottom w:val="single" w:sz="4" w:space="0" w:color="auto"/>
              <w:right w:val="single" w:sz="4" w:space="0" w:color="auto"/>
            </w:tcBorders>
            <w:vAlign w:val="center"/>
          </w:tcPr>
          <w:p w14:paraId="4251E57D" w14:textId="77777777" w:rsidR="009C6A3A" w:rsidRPr="005F0CE8" w:rsidRDefault="009C6A3A" w:rsidP="005C473F">
            <w:pPr>
              <w:pStyle w:val="TableText0"/>
              <w:rPr>
                <w:iCs/>
              </w:rPr>
            </w:pPr>
            <w:r w:rsidRPr="005F0CE8">
              <w:rPr>
                <w:iCs/>
              </w:rPr>
              <w:t>IDFS: 0.869</w:t>
            </w:r>
          </w:p>
          <w:p w14:paraId="5ADDC26D" w14:textId="77777777" w:rsidR="009C6A3A" w:rsidRPr="005F0CE8" w:rsidRDefault="009C6A3A" w:rsidP="005C473F">
            <w:pPr>
              <w:pStyle w:val="TableText0"/>
              <w:rPr>
                <w:iCs/>
              </w:rPr>
            </w:pPr>
            <w:r w:rsidRPr="005F0CE8">
              <w:rPr>
                <w:iCs/>
              </w:rPr>
              <w:t>non-mBC: 0.7875</w:t>
            </w:r>
          </w:p>
          <w:p w14:paraId="0878BD85" w14:textId="77777777" w:rsidR="009C6A3A" w:rsidRPr="005F0CE8" w:rsidRDefault="009C6A3A" w:rsidP="005C473F">
            <w:pPr>
              <w:pStyle w:val="TableText0"/>
              <w:rPr>
                <w:iCs/>
              </w:rPr>
            </w:pPr>
            <w:r w:rsidRPr="005F0CE8">
              <w:rPr>
                <w:iCs/>
              </w:rPr>
              <w:t>early-onset mBC: 0.706</w:t>
            </w:r>
          </w:p>
          <w:p w14:paraId="1B0B5CB4" w14:textId="2656CA2E" w:rsidR="009C6A3A" w:rsidRPr="005F0CE8" w:rsidRDefault="009C6A3A" w:rsidP="005C473F">
            <w:pPr>
              <w:pStyle w:val="TableText0"/>
              <w:rPr>
                <w:iCs/>
              </w:rPr>
            </w:pPr>
            <w:r w:rsidRPr="005F0CE8">
              <w:rPr>
                <w:iCs/>
              </w:rPr>
              <w:t>late-onset mBC: 0.678</w:t>
            </w:r>
          </w:p>
          <w:p w14:paraId="1DF02083" w14:textId="0D7A4F62" w:rsidR="009C6A3A" w:rsidRPr="005F0CE8" w:rsidRDefault="009C6A3A" w:rsidP="005C473F">
            <w:pPr>
              <w:pStyle w:val="TableText0"/>
              <w:rPr>
                <w:iCs/>
              </w:rPr>
            </w:pPr>
            <w:r w:rsidRPr="005F0CE8">
              <w:rPr>
                <w:iCs/>
              </w:rPr>
              <w:t xml:space="preserve">The utilities applied in the model are uncertain. They </w:t>
            </w:r>
            <w:r w:rsidR="0003165F" w:rsidRPr="005F0CE8">
              <w:rPr>
                <w:iCs/>
              </w:rPr>
              <w:t xml:space="preserve">were </w:t>
            </w:r>
            <w:r w:rsidRPr="005F0CE8">
              <w:rPr>
                <w:iCs/>
              </w:rPr>
              <w:t xml:space="preserve">derived using a mapping algorithm that converts EORTC QLQ-C30 results to EQ-5D results, which are then converted to utilities using UK value sets. </w:t>
            </w:r>
          </w:p>
        </w:tc>
        <w:tc>
          <w:tcPr>
            <w:tcW w:w="2723" w:type="pct"/>
            <w:tcBorders>
              <w:top w:val="single" w:sz="4" w:space="0" w:color="auto"/>
              <w:left w:val="single" w:sz="4" w:space="0" w:color="auto"/>
              <w:bottom w:val="single" w:sz="4" w:space="0" w:color="auto"/>
              <w:right w:val="single" w:sz="4" w:space="0" w:color="auto"/>
            </w:tcBorders>
            <w:vAlign w:val="center"/>
          </w:tcPr>
          <w:p w14:paraId="201C0122" w14:textId="77777777" w:rsidR="009C6A3A" w:rsidRPr="005F0CE8" w:rsidRDefault="009C6A3A" w:rsidP="005C473F">
            <w:pPr>
              <w:pStyle w:val="TableText0"/>
              <w:rPr>
                <w:iCs/>
              </w:rPr>
            </w:pPr>
            <w:r w:rsidRPr="005F0CE8">
              <w:rPr>
                <w:iCs/>
              </w:rPr>
              <w:t>Moderate, favours olaparib.</w:t>
            </w:r>
          </w:p>
          <w:p w14:paraId="6D642A06" w14:textId="231FAAF7" w:rsidR="009C6A3A" w:rsidRPr="005F0CE8" w:rsidRDefault="009C6A3A" w:rsidP="005C473F">
            <w:pPr>
              <w:pStyle w:val="TableText0"/>
              <w:rPr>
                <w:iCs/>
              </w:rPr>
            </w:pPr>
            <w:r w:rsidRPr="005F0CE8">
              <w:rPr>
                <w:iCs/>
              </w:rPr>
              <w:t xml:space="preserve">The utilities </w:t>
            </w:r>
            <w:r w:rsidR="0003165F" w:rsidRPr="005F0CE8">
              <w:rPr>
                <w:iCs/>
              </w:rPr>
              <w:t xml:space="preserve">were </w:t>
            </w:r>
            <w:r w:rsidRPr="005F0CE8">
              <w:rPr>
                <w:iCs/>
              </w:rPr>
              <w:t xml:space="preserve">high compared with some estimates in the literature. The utility value for IDFS is approximately the same as the age-specific general population estimate for a 43 year old. </w:t>
            </w:r>
          </w:p>
          <w:p w14:paraId="77BF297A" w14:textId="2BDEBAC4" w:rsidR="00C62BA0" w:rsidRPr="005F0CE8" w:rsidRDefault="009C6A3A" w:rsidP="005C473F">
            <w:pPr>
              <w:pStyle w:val="TableText0"/>
              <w:rPr>
                <w:iCs/>
              </w:rPr>
            </w:pPr>
            <w:r w:rsidRPr="005F0CE8">
              <w:rPr>
                <w:iCs/>
              </w:rPr>
              <w:t>Applying literature based utility estimates for IDFS (0.805), non-mBC (0.708) and mBC (0.604) results in an increase in the ICER of 7.3% to $</w:t>
            </w:r>
            <w:r w:rsidR="003A26A8" w:rsidRPr="003A26A8">
              <w:rPr>
                <w:iCs/>
                <w:color w:val="000000"/>
                <w:spacing w:val="36"/>
                <w:shd w:val="solid" w:color="000000" w:fill="000000"/>
                <w:fitText w:val="438" w:id="-1234443251"/>
                <w14:textFill>
                  <w14:solidFill>
                    <w14:srgbClr w14:val="000000">
                      <w14:alpha w14:val="100000"/>
                    </w14:srgbClr>
                  </w14:solidFill>
                </w14:textFill>
              </w:rPr>
              <w:t>|||||</w:t>
            </w:r>
            <w:r w:rsidR="003A26A8" w:rsidRPr="003A26A8">
              <w:rPr>
                <w:iCs/>
                <w:color w:val="000000"/>
                <w:spacing w:val="3"/>
                <w:shd w:val="solid" w:color="000000" w:fill="000000"/>
                <w:fitText w:val="438" w:id="-1234443251"/>
                <w14:textFill>
                  <w14:solidFill>
                    <w14:srgbClr w14:val="000000">
                      <w14:alpha w14:val="100000"/>
                    </w14:srgbClr>
                  </w14:solidFill>
                </w14:textFill>
              </w:rPr>
              <w:t>|</w:t>
            </w:r>
            <w:r w:rsidR="005245EE">
              <w:rPr>
                <w:iCs/>
                <w:vertAlign w:val="superscript"/>
              </w:rPr>
              <w:t>1</w:t>
            </w:r>
            <w:r w:rsidRPr="005F0CE8">
              <w:rPr>
                <w:iCs/>
              </w:rPr>
              <w:t>.</w:t>
            </w:r>
            <w:r w:rsidR="00F907C8" w:rsidRPr="005F0CE8">
              <w:rPr>
                <w:iCs/>
              </w:rPr>
              <w:t xml:space="preserve"> </w:t>
            </w:r>
          </w:p>
          <w:p w14:paraId="44A90C00" w14:textId="77777777" w:rsidR="00C62BA0" w:rsidRPr="005F0CE8" w:rsidRDefault="00C62BA0" w:rsidP="005C473F">
            <w:pPr>
              <w:pStyle w:val="TableText0"/>
            </w:pPr>
          </w:p>
          <w:p w14:paraId="36AD1C9F" w14:textId="79B132B8" w:rsidR="009C6A3A" w:rsidRPr="005F0CE8" w:rsidRDefault="00C62BA0" w:rsidP="005C473F">
            <w:pPr>
              <w:pStyle w:val="TableText0"/>
              <w:rPr>
                <w:iCs/>
              </w:rPr>
            </w:pPr>
            <w:r w:rsidRPr="005F0CE8">
              <w:t xml:space="preserve">The PSCR noted that use of published utility estimates in </w:t>
            </w:r>
            <w:r w:rsidR="0003165F" w:rsidRPr="005F0CE8">
              <w:t xml:space="preserve">the </w:t>
            </w:r>
            <w:r w:rsidRPr="005F0CE8">
              <w:t>commentary (Seferina 2017) come from a smaller population than OlympiA and may not be directly comparable to the proposed PBS population (non-</w:t>
            </w:r>
            <w:r w:rsidR="009E092C" w:rsidRPr="009E092C">
              <w:rPr>
                <w:i/>
              </w:rPr>
              <w:t xml:space="preserve">BRCA </w:t>
            </w:r>
            <w:r w:rsidRPr="005F0CE8">
              <w:t>HER2-positive). The ESC considered that utility values remain an area of uncertainty, however it proposed to revert to the health state utilities used in the submission’s base case for the ESC respecified base case as the revised estimates were not considered to be more reliable than the trial based values.</w:t>
            </w:r>
          </w:p>
        </w:tc>
      </w:tr>
      <w:tr w:rsidR="009C6A3A" w:rsidRPr="005F0CE8" w14:paraId="5B884761" w14:textId="77777777" w:rsidTr="005C473F">
        <w:tc>
          <w:tcPr>
            <w:tcW w:w="940" w:type="pct"/>
            <w:tcBorders>
              <w:top w:val="single" w:sz="4" w:space="0" w:color="auto"/>
              <w:left w:val="single" w:sz="4" w:space="0" w:color="auto"/>
              <w:bottom w:val="single" w:sz="4" w:space="0" w:color="auto"/>
              <w:right w:val="single" w:sz="4" w:space="0" w:color="auto"/>
            </w:tcBorders>
            <w:vAlign w:val="center"/>
          </w:tcPr>
          <w:p w14:paraId="048E6ABB" w14:textId="77777777" w:rsidR="009C6A3A" w:rsidRPr="005F0CE8" w:rsidRDefault="009C6A3A" w:rsidP="005C473F">
            <w:pPr>
              <w:pStyle w:val="TableText0"/>
              <w:keepNext w:val="0"/>
              <w:widowControl w:val="0"/>
              <w:rPr>
                <w:iCs/>
              </w:rPr>
            </w:pPr>
            <w:r w:rsidRPr="005F0CE8">
              <w:rPr>
                <w:iCs/>
              </w:rPr>
              <w:lastRenderedPageBreak/>
              <w:t>Risk of death in the early-onset mBC health state</w:t>
            </w:r>
          </w:p>
        </w:tc>
        <w:tc>
          <w:tcPr>
            <w:tcW w:w="1337" w:type="pct"/>
            <w:tcBorders>
              <w:top w:val="single" w:sz="4" w:space="0" w:color="auto"/>
              <w:left w:val="single" w:sz="4" w:space="0" w:color="auto"/>
              <w:bottom w:val="single" w:sz="4" w:space="0" w:color="auto"/>
              <w:right w:val="single" w:sz="4" w:space="0" w:color="auto"/>
            </w:tcBorders>
            <w:vAlign w:val="center"/>
          </w:tcPr>
          <w:p w14:paraId="66A13976" w14:textId="32CBDCF9" w:rsidR="009C6A3A" w:rsidRPr="005F0CE8" w:rsidRDefault="009C6A3A" w:rsidP="005C473F">
            <w:pPr>
              <w:pStyle w:val="TableText0"/>
              <w:rPr>
                <w:iCs/>
              </w:rPr>
            </w:pPr>
            <w:r w:rsidRPr="005F0CE8">
              <w:rPr>
                <w:iCs/>
              </w:rPr>
              <w:t xml:space="preserve">The risk of death </w:t>
            </w:r>
            <w:r w:rsidR="0003165F" w:rsidRPr="005F0CE8">
              <w:rPr>
                <w:iCs/>
              </w:rPr>
              <w:t xml:space="preserve">was </w:t>
            </w:r>
            <w:r w:rsidRPr="005F0CE8">
              <w:rPr>
                <w:iCs/>
              </w:rPr>
              <w:t xml:space="preserve">derived from the olaparib metastatic disease to death survival curve, and applied to both arms of the model. </w:t>
            </w:r>
          </w:p>
        </w:tc>
        <w:tc>
          <w:tcPr>
            <w:tcW w:w="2723" w:type="pct"/>
            <w:tcBorders>
              <w:top w:val="single" w:sz="4" w:space="0" w:color="auto"/>
              <w:left w:val="single" w:sz="4" w:space="0" w:color="auto"/>
              <w:bottom w:val="single" w:sz="4" w:space="0" w:color="auto"/>
              <w:right w:val="single" w:sz="4" w:space="0" w:color="auto"/>
            </w:tcBorders>
            <w:vAlign w:val="center"/>
          </w:tcPr>
          <w:p w14:paraId="5226402E" w14:textId="77777777" w:rsidR="009C6A3A" w:rsidRPr="005F0CE8" w:rsidRDefault="009C6A3A" w:rsidP="005C473F">
            <w:pPr>
              <w:pStyle w:val="TableText0"/>
              <w:rPr>
                <w:iCs/>
              </w:rPr>
            </w:pPr>
            <w:r w:rsidRPr="005F0CE8">
              <w:rPr>
                <w:iCs/>
              </w:rPr>
              <w:t>Moderate, favours olaparib.</w:t>
            </w:r>
          </w:p>
          <w:p w14:paraId="2078F629" w14:textId="0838A58D" w:rsidR="009C6A3A" w:rsidRPr="005F0CE8" w:rsidRDefault="009C6A3A" w:rsidP="005C473F">
            <w:pPr>
              <w:pStyle w:val="TableText0"/>
              <w:rPr>
                <w:iCs/>
              </w:rPr>
            </w:pPr>
            <w:r w:rsidRPr="005F0CE8">
              <w:rPr>
                <w:iCs/>
              </w:rPr>
              <w:t xml:space="preserve">The risk of death following diagnosis of metastatic disease </w:t>
            </w:r>
            <w:r w:rsidR="0003165F" w:rsidRPr="005F0CE8">
              <w:rPr>
                <w:iCs/>
              </w:rPr>
              <w:t>was</w:t>
            </w:r>
            <w:r w:rsidRPr="005F0CE8">
              <w:rPr>
                <w:iCs/>
              </w:rPr>
              <w:t xml:space="preserve"> substantially higher in the olaparib arm. Applying the trial based hazard ratio to the placebo arm (HR = 0.668) result</w:t>
            </w:r>
            <w:r w:rsidR="0003165F" w:rsidRPr="005F0CE8">
              <w:rPr>
                <w:iCs/>
              </w:rPr>
              <w:t>ed</w:t>
            </w:r>
            <w:r w:rsidRPr="005F0CE8">
              <w:rPr>
                <w:iCs/>
              </w:rPr>
              <w:t xml:space="preserve"> in an increase in the ICER of 5.14% to $</w:t>
            </w:r>
            <w:r w:rsidR="003A26A8" w:rsidRPr="003A26A8">
              <w:rPr>
                <w:iCs/>
                <w:color w:val="000000"/>
                <w:spacing w:val="36"/>
                <w:shd w:val="solid" w:color="000000" w:fill="000000"/>
                <w:fitText w:val="438" w:id="-1234443250"/>
                <w14:textFill>
                  <w14:solidFill>
                    <w14:srgbClr w14:val="000000">
                      <w14:alpha w14:val="100000"/>
                    </w14:srgbClr>
                  </w14:solidFill>
                </w14:textFill>
              </w:rPr>
              <w:t>|||||</w:t>
            </w:r>
            <w:r w:rsidR="003A26A8" w:rsidRPr="003A26A8">
              <w:rPr>
                <w:iCs/>
                <w:color w:val="000000"/>
                <w:spacing w:val="3"/>
                <w:shd w:val="solid" w:color="000000" w:fill="000000"/>
                <w:fitText w:val="438" w:id="-1234443250"/>
                <w14:textFill>
                  <w14:solidFill>
                    <w14:srgbClr w14:val="000000">
                      <w14:alpha w14:val="100000"/>
                    </w14:srgbClr>
                  </w14:solidFill>
                </w14:textFill>
              </w:rPr>
              <w:t>|</w:t>
            </w:r>
            <w:r w:rsidR="005245EE">
              <w:rPr>
                <w:iCs/>
                <w:vertAlign w:val="superscript"/>
              </w:rPr>
              <w:t>1</w:t>
            </w:r>
            <w:r w:rsidRPr="005F0CE8">
              <w:rPr>
                <w:iCs/>
              </w:rPr>
              <w:t>.</w:t>
            </w:r>
          </w:p>
        </w:tc>
      </w:tr>
      <w:tr w:rsidR="009C6A3A" w:rsidRPr="005F0CE8" w14:paraId="4D5554A0" w14:textId="77777777" w:rsidTr="005C473F">
        <w:tc>
          <w:tcPr>
            <w:tcW w:w="940" w:type="pct"/>
            <w:tcBorders>
              <w:top w:val="single" w:sz="4" w:space="0" w:color="auto"/>
              <w:left w:val="single" w:sz="4" w:space="0" w:color="auto"/>
              <w:bottom w:val="single" w:sz="4" w:space="0" w:color="auto"/>
              <w:right w:val="single" w:sz="4" w:space="0" w:color="auto"/>
            </w:tcBorders>
            <w:vAlign w:val="center"/>
          </w:tcPr>
          <w:p w14:paraId="16272ED4" w14:textId="77777777" w:rsidR="009C6A3A" w:rsidRPr="005F0CE8" w:rsidRDefault="009C6A3A" w:rsidP="005C473F">
            <w:pPr>
              <w:pStyle w:val="TableText0"/>
              <w:keepNext w:val="0"/>
              <w:widowControl w:val="0"/>
              <w:rPr>
                <w:iCs/>
              </w:rPr>
            </w:pPr>
            <w:r w:rsidRPr="005F0CE8">
              <w:rPr>
                <w:iCs/>
              </w:rPr>
              <w:t>Structural uncertainty relating to the 5-year reduction in recurrence risk assumption</w:t>
            </w:r>
          </w:p>
        </w:tc>
        <w:tc>
          <w:tcPr>
            <w:tcW w:w="1337" w:type="pct"/>
            <w:tcBorders>
              <w:top w:val="single" w:sz="4" w:space="0" w:color="auto"/>
              <w:left w:val="single" w:sz="4" w:space="0" w:color="auto"/>
              <w:bottom w:val="single" w:sz="4" w:space="0" w:color="auto"/>
              <w:right w:val="single" w:sz="4" w:space="0" w:color="auto"/>
            </w:tcBorders>
            <w:vAlign w:val="center"/>
          </w:tcPr>
          <w:p w14:paraId="783C45A4" w14:textId="7E7F7025" w:rsidR="009C6A3A" w:rsidRPr="005F0CE8" w:rsidRDefault="009C6A3A" w:rsidP="005C473F">
            <w:pPr>
              <w:pStyle w:val="TableText0"/>
              <w:rPr>
                <w:iCs/>
              </w:rPr>
            </w:pPr>
            <w:r w:rsidRPr="005F0CE8">
              <w:rPr>
                <w:iCs/>
              </w:rPr>
              <w:t>Following 5 years of IDFS (informed by observed data to 42 months, then parametric functions to 5 years), the model applie</w:t>
            </w:r>
            <w:r w:rsidR="0003165F" w:rsidRPr="005F0CE8">
              <w:rPr>
                <w:iCs/>
              </w:rPr>
              <w:t>d</w:t>
            </w:r>
            <w:r w:rsidRPr="005F0CE8">
              <w:rPr>
                <w:iCs/>
              </w:rPr>
              <w:t xml:space="preserve"> the same risk of recurrence across the arms (approximately 1% per year).</w:t>
            </w:r>
          </w:p>
        </w:tc>
        <w:tc>
          <w:tcPr>
            <w:tcW w:w="2723" w:type="pct"/>
            <w:tcBorders>
              <w:top w:val="single" w:sz="4" w:space="0" w:color="auto"/>
              <w:left w:val="single" w:sz="4" w:space="0" w:color="auto"/>
              <w:bottom w:val="single" w:sz="4" w:space="0" w:color="auto"/>
              <w:right w:val="single" w:sz="4" w:space="0" w:color="auto"/>
            </w:tcBorders>
            <w:vAlign w:val="center"/>
          </w:tcPr>
          <w:p w14:paraId="3B48A17C" w14:textId="77777777" w:rsidR="009C6A3A" w:rsidRPr="005F0CE8" w:rsidRDefault="009C6A3A" w:rsidP="005C473F">
            <w:pPr>
              <w:pStyle w:val="TableText0"/>
              <w:rPr>
                <w:iCs/>
              </w:rPr>
            </w:pPr>
            <w:r w:rsidRPr="005F0CE8">
              <w:rPr>
                <w:iCs/>
              </w:rPr>
              <w:t>High to very high, favours olaparib.</w:t>
            </w:r>
          </w:p>
          <w:p w14:paraId="6C67E417" w14:textId="7C4ECBC2" w:rsidR="009C6A3A" w:rsidRPr="005F0CE8" w:rsidRDefault="009C6A3A" w:rsidP="005C473F">
            <w:pPr>
              <w:pStyle w:val="TableText0"/>
              <w:rPr>
                <w:iCs/>
              </w:rPr>
            </w:pPr>
            <w:r w:rsidRPr="005F0CE8">
              <w:rPr>
                <w:iCs/>
              </w:rPr>
              <w:t xml:space="preserve">The validity of this assumption </w:t>
            </w:r>
            <w:r w:rsidR="0003165F" w:rsidRPr="005F0CE8">
              <w:rPr>
                <w:iCs/>
              </w:rPr>
              <w:t>was</w:t>
            </w:r>
            <w:r w:rsidRPr="005F0CE8">
              <w:rPr>
                <w:iCs/>
              </w:rPr>
              <w:t xml:space="preserve"> difficult to test. If olaparib both avoids and delays recurrence, it may not be reasonable to assume the same recurrence rate at 5 years for both arms. However, no alternative cut-off for the olaparib arm </w:t>
            </w:r>
            <w:r w:rsidR="0003165F" w:rsidRPr="005F0CE8">
              <w:rPr>
                <w:iCs/>
              </w:rPr>
              <w:t>was</w:t>
            </w:r>
            <w:r w:rsidRPr="005F0CE8">
              <w:rPr>
                <w:iCs/>
              </w:rPr>
              <w:t xml:space="preserve"> available. </w:t>
            </w:r>
          </w:p>
          <w:p w14:paraId="68A64296" w14:textId="083E1465" w:rsidR="009C6A3A" w:rsidRPr="005F0CE8" w:rsidRDefault="009C6A3A" w:rsidP="005C473F">
            <w:pPr>
              <w:pStyle w:val="TableText0"/>
              <w:rPr>
                <w:iCs/>
              </w:rPr>
            </w:pPr>
            <w:r w:rsidRPr="005F0CE8">
              <w:rPr>
                <w:iCs/>
              </w:rPr>
              <w:t>Delaying the application of a 1% per year recurrence rate in the olaparib arm to 6 years, while retaining it at 5 years for the placebo arm increases the ICER by 17.2% to $</w:t>
            </w:r>
            <w:r w:rsidR="003A26A8" w:rsidRPr="003A26A8">
              <w:rPr>
                <w:iCs/>
                <w:color w:val="000000"/>
                <w:spacing w:val="36"/>
                <w:shd w:val="solid" w:color="000000" w:fill="000000"/>
                <w:fitText w:val="437" w:id="-1234443249"/>
                <w14:textFill>
                  <w14:solidFill>
                    <w14:srgbClr w14:val="000000">
                      <w14:alpha w14:val="100000"/>
                    </w14:srgbClr>
                  </w14:solidFill>
                </w14:textFill>
              </w:rPr>
              <w:t>|||||</w:t>
            </w:r>
            <w:r w:rsidR="003A26A8" w:rsidRPr="003A26A8">
              <w:rPr>
                <w:iCs/>
                <w:color w:val="000000"/>
                <w:spacing w:val="2"/>
                <w:shd w:val="solid" w:color="000000" w:fill="000000"/>
                <w:fitText w:val="437" w:id="-1234443249"/>
                <w14:textFill>
                  <w14:solidFill>
                    <w14:srgbClr w14:val="000000">
                      <w14:alpha w14:val="100000"/>
                    </w14:srgbClr>
                  </w14:solidFill>
                </w14:textFill>
              </w:rPr>
              <w:t>|</w:t>
            </w:r>
            <w:r w:rsidR="005245EE">
              <w:rPr>
                <w:iCs/>
                <w:vertAlign w:val="superscript"/>
              </w:rPr>
              <w:t>2</w:t>
            </w:r>
            <w:r w:rsidRPr="005F0CE8">
              <w:rPr>
                <w:iCs/>
              </w:rPr>
              <w:t>.</w:t>
            </w:r>
          </w:p>
        </w:tc>
      </w:tr>
      <w:tr w:rsidR="009C6A3A" w:rsidRPr="005F0CE8" w14:paraId="2F2FD9D7" w14:textId="77777777" w:rsidTr="005C473F">
        <w:tc>
          <w:tcPr>
            <w:tcW w:w="940" w:type="pct"/>
            <w:tcBorders>
              <w:top w:val="single" w:sz="4" w:space="0" w:color="auto"/>
              <w:left w:val="single" w:sz="4" w:space="0" w:color="auto"/>
              <w:bottom w:val="single" w:sz="4" w:space="0" w:color="auto"/>
              <w:right w:val="single" w:sz="4" w:space="0" w:color="auto"/>
            </w:tcBorders>
            <w:vAlign w:val="center"/>
          </w:tcPr>
          <w:p w14:paraId="5D9C59B0" w14:textId="77777777" w:rsidR="009C6A3A" w:rsidRPr="005F0CE8" w:rsidRDefault="009C6A3A" w:rsidP="005C473F">
            <w:pPr>
              <w:pStyle w:val="TableText0"/>
              <w:keepNext w:val="0"/>
              <w:widowControl w:val="0"/>
              <w:rPr>
                <w:iCs/>
              </w:rPr>
            </w:pPr>
            <w:r w:rsidRPr="005F0CE8">
              <w:rPr>
                <w:iCs/>
              </w:rPr>
              <w:t>Model time horizon</w:t>
            </w:r>
          </w:p>
        </w:tc>
        <w:tc>
          <w:tcPr>
            <w:tcW w:w="1337" w:type="pct"/>
            <w:tcBorders>
              <w:top w:val="single" w:sz="4" w:space="0" w:color="auto"/>
              <w:left w:val="single" w:sz="4" w:space="0" w:color="auto"/>
              <w:bottom w:val="single" w:sz="4" w:space="0" w:color="auto"/>
              <w:right w:val="single" w:sz="4" w:space="0" w:color="auto"/>
            </w:tcBorders>
            <w:vAlign w:val="center"/>
          </w:tcPr>
          <w:p w14:paraId="52298D6D" w14:textId="7424FC8B" w:rsidR="009C6A3A" w:rsidRPr="005F0CE8" w:rsidRDefault="009C6A3A" w:rsidP="005C473F">
            <w:pPr>
              <w:pStyle w:val="TableText0"/>
              <w:rPr>
                <w:iCs/>
              </w:rPr>
            </w:pPr>
            <w:r w:rsidRPr="005F0CE8">
              <w:rPr>
                <w:iCs/>
              </w:rPr>
              <w:t xml:space="preserve">The average age entering the model </w:t>
            </w:r>
            <w:r w:rsidR="00C216F4" w:rsidRPr="005F0CE8">
              <w:rPr>
                <w:iCs/>
              </w:rPr>
              <w:t>was</w:t>
            </w:r>
            <w:r w:rsidRPr="005F0CE8">
              <w:rPr>
                <w:iCs/>
              </w:rPr>
              <w:t xml:space="preserve"> 43 years. At the end of the 40 year time horizon, a substantial proportion of both arms (&gt;40%) remain alive. </w:t>
            </w:r>
          </w:p>
        </w:tc>
        <w:tc>
          <w:tcPr>
            <w:tcW w:w="2723" w:type="pct"/>
            <w:tcBorders>
              <w:top w:val="single" w:sz="4" w:space="0" w:color="auto"/>
              <w:left w:val="single" w:sz="4" w:space="0" w:color="auto"/>
              <w:bottom w:val="single" w:sz="4" w:space="0" w:color="auto"/>
              <w:right w:val="single" w:sz="4" w:space="0" w:color="auto"/>
            </w:tcBorders>
            <w:vAlign w:val="center"/>
          </w:tcPr>
          <w:p w14:paraId="1F237C4C" w14:textId="77777777" w:rsidR="009C6A3A" w:rsidRPr="005F0CE8" w:rsidRDefault="009C6A3A" w:rsidP="005C473F">
            <w:pPr>
              <w:pStyle w:val="TableText0"/>
              <w:rPr>
                <w:iCs/>
              </w:rPr>
            </w:pPr>
            <w:r w:rsidRPr="005F0CE8">
              <w:rPr>
                <w:iCs/>
              </w:rPr>
              <w:t>Moderate, favours placebo.</w:t>
            </w:r>
          </w:p>
          <w:p w14:paraId="2F642017" w14:textId="76955E98" w:rsidR="009C6A3A" w:rsidRPr="005F0CE8" w:rsidRDefault="009C6A3A" w:rsidP="005C473F">
            <w:pPr>
              <w:pStyle w:val="TableText0"/>
              <w:rPr>
                <w:iCs/>
              </w:rPr>
            </w:pPr>
            <w:r w:rsidRPr="005F0CE8">
              <w:rPr>
                <w:iCs/>
              </w:rPr>
              <w:t xml:space="preserve">Data </w:t>
            </w:r>
            <w:r w:rsidR="00C216F4" w:rsidRPr="005F0CE8">
              <w:rPr>
                <w:iCs/>
              </w:rPr>
              <w:t xml:space="preserve">were </w:t>
            </w:r>
            <w:r w:rsidRPr="005F0CE8">
              <w:rPr>
                <w:iCs/>
              </w:rPr>
              <w:t xml:space="preserve">not provided in the model to permit a longer time horizon to be used. However, only 10% of the discounted life years were accrued in the final 10 years of the model. As the proportion surviving beyond 40 years will likely reduce rapidly, and due to discounting, extending the model time horizon may not have a large impact on the ICER. </w:t>
            </w:r>
            <w:r w:rsidRPr="005F0CE8">
              <w:t>A time horizon of 30 years increases the ICER by approximately 10% to $</w:t>
            </w:r>
            <w:r w:rsidR="003A26A8" w:rsidRPr="003A26A8">
              <w:rPr>
                <w:color w:val="000000"/>
                <w:spacing w:val="36"/>
                <w:shd w:val="solid" w:color="000000" w:fill="000000"/>
                <w:fitText w:val="438" w:id="-1234443248"/>
                <w14:textFill>
                  <w14:solidFill>
                    <w14:srgbClr w14:val="000000">
                      <w14:alpha w14:val="100000"/>
                    </w14:srgbClr>
                  </w14:solidFill>
                </w14:textFill>
              </w:rPr>
              <w:t>|||||</w:t>
            </w:r>
            <w:r w:rsidR="003A26A8" w:rsidRPr="003A26A8">
              <w:rPr>
                <w:color w:val="000000"/>
                <w:spacing w:val="3"/>
                <w:shd w:val="solid" w:color="000000" w:fill="000000"/>
                <w:fitText w:val="438" w:id="-1234443248"/>
                <w14:textFill>
                  <w14:solidFill>
                    <w14:srgbClr w14:val="000000">
                      <w14:alpha w14:val="100000"/>
                    </w14:srgbClr>
                  </w14:solidFill>
                </w14:textFill>
              </w:rPr>
              <w:t>|</w:t>
            </w:r>
            <w:r w:rsidR="005245EE">
              <w:rPr>
                <w:vertAlign w:val="superscript"/>
              </w:rPr>
              <w:t>1</w:t>
            </w:r>
            <w:r w:rsidRPr="005F0CE8">
              <w:t xml:space="preserve"> in the submission base case, and by approximately 7.7% in the commentary alternative base case from $</w:t>
            </w:r>
            <w:r w:rsidR="003A26A8" w:rsidRPr="003A26A8">
              <w:rPr>
                <w:color w:val="000000"/>
                <w:spacing w:val="36"/>
                <w:shd w:val="solid" w:color="000000" w:fill="000000"/>
                <w:fitText w:val="437" w:id="-1234443264"/>
                <w14:textFill>
                  <w14:solidFill>
                    <w14:srgbClr w14:val="000000">
                      <w14:alpha w14:val="100000"/>
                    </w14:srgbClr>
                  </w14:solidFill>
                </w14:textFill>
              </w:rPr>
              <w:t>|||||</w:t>
            </w:r>
            <w:r w:rsidR="003A26A8" w:rsidRPr="003A26A8">
              <w:rPr>
                <w:color w:val="000000"/>
                <w:spacing w:val="2"/>
                <w:shd w:val="solid" w:color="000000" w:fill="000000"/>
                <w:fitText w:val="437" w:id="-1234443264"/>
                <w14:textFill>
                  <w14:solidFill>
                    <w14:srgbClr w14:val="000000">
                      <w14:alpha w14:val="100000"/>
                    </w14:srgbClr>
                  </w14:solidFill>
                </w14:textFill>
              </w:rPr>
              <w:t>|</w:t>
            </w:r>
            <w:r w:rsidR="005245EE">
              <w:rPr>
                <w:vertAlign w:val="superscript"/>
              </w:rPr>
              <w:t>3</w:t>
            </w:r>
            <w:r w:rsidRPr="005F0CE8">
              <w:t xml:space="preserve"> to $</w:t>
            </w:r>
            <w:r w:rsidR="003A26A8" w:rsidRPr="003A26A8">
              <w:rPr>
                <w:color w:val="000000"/>
                <w:spacing w:val="36"/>
                <w:shd w:val="solid" w:color="000000" w:fill="000000"/>
                <w:fitText w:val="438" w:id="-1234443263"/>
                <w14:textFill>
                  <w14:solidFill>
                    <w14:srgbClr w14:val="000000">
                      <w14:alpha w14:val="100000"/>
                    </w14:srgbClr>
                  </w14:solidFill>
                </w14:textFill>
              </w:rPr>
              <w:t>|||||</w:t>
            </w:r>
            <w:r w:rsidR="003A26A8" w:rsidRPr="003A26A8">
              <w:rPr>
                <w:color w:val="000000"/>
                <w:spacing w:val="3"/>
                <w:shd w:val="solid" w:color="000000" w:fill="000000"/>
                <w:fitText w:val="438" w:id="-1234443263"/>
                <w14:textFill>
                  <w14:solidFill>
                    <w14:srgbClr w14:val="000000">
                      <w14:alpha w14:val="100000"/>
                    </w14:srgbClr>
                  </w14:solidFill>
                </w14:textFill>
              </w:rPr>
              <w:t>|</w:t>
            </w:r>
            <w:r w:rsidR="005245EE">
              <w:rPr>
                <w:vertAlign w:val="superscript"/>
              </w:rPr>
              <w:t>3</w:t>
            </w:r>
            <w:r w:rsidRPr="005F0CE8">
              <w:t>.</w:t>
            </w:r>
          </w:p>
        </w:tc>
      </w:tr>
      <w:tr w:rsidR="009C6A3A" w:rsidRPr="005F0CE8" w14:paraId="68CE3D2D" w14:textId="77777777" w:rsidTr="005C473F">
        <w:tc>
          <w:tcPr>
            <w:tcW w:w="940" w:type="pct"/>
            <w:tcBorders>
              <w:top w:val="single" w:sz="4" w:space="0" w:color="auto"/>
              <w:left w:val="single" w:sz="4" w:space="0" w:color="auto"/>
              <w:bottom w:val="single" w:sz="4" w:space="0" w:color="auto"/>
              <w:right w:val="single" w:sz="4" w:space="0" w:color="auto"/>
            </w:tcBorders>
            <w:vAlign w:val="center"/>
          </w:tcPr>
          <w:p w14:paraId="59C4CB85" w14:textId="77777777" w:rsidR="009C6A3A" w:rsidRPr="005F0CE8" w:rsidRDefault="009C6A3A" w:rsidP="005C473F">
            <w:pPr>
              <w:pStyle w:val="TableText0"/>
              <w:keepNext w:val="0"/>
              <w:widowControl w:val="0"/>
              <w:rPr>
                <w:iCs/>
              </w:rPr>
            </w:pPr>
            <w:r w:rsidRPr="005F0CE8">
              <w:rPr>
                <w:iCs/>
              </w:rPr>
              <w:t>Discount rate</w:t>
            </w:r>
          </w:p>
        </w:tc>
        <w:tc>
          <w:tcPr>
            <w:tcW w:w="1337" w:type="pct"/>
            <w:tcBorders>
              <w:top w:val="single" w:sz="4" w:space="0" w:color="auto"/>
              <w:left w:val="single" w:sz="4" w:space="0" w:color="auto"/>
              <w:bottom w:val="single" w:sz="4" w:space="0" w:color="auto"/>
              <w:right w:val="single" w:sz="4" w:space="0" w:color="auto"/>
            </w:tcBorders>
            <w:vAlign w:val="center"/>
          </w:tcPr>
          <w:p w14:paraId="6DC092EB" w14:textId="77777777" w:rsidR="009C6A3A" w:rsidRPr="005F0CE8" w:rsidRDefault="009C6A3A" w:rsidP="005C473F">
            <w:pPr>
              <w:pStyle w:val="TableText0"/>
              <w:rPr>
                <w:iCs/>
              </w:rPr>
            </w:pPr>
            <w:r w:rsidRPr="005F0CE8">
              <w:rPr>
                <w:iCs/>
              </w:rPr>
              <w:t>5% for costs and outcomes.</w:t>
            </w:r>
          </w:p>
        </w:tc>
        <w:tc>
          <w:tcPr>
            <w:tcW w:w="2723" w:type="pct"/>
            <w:tcBorders>
              <w:top w:val="single" w:sz="4" w:space="0" w:color="auto"/>
              <w:left w:val="single" w:sz="4" w:space="0" w:color="auto"/>
              <w:bottom w:val="single" w:sz="4" w:space="0" w:color="auto"/>
              <w:right w:val="single" w:sz="4" w:space="0" w:color="auto"/>
            </w:tcBorders>
            <w:vAlign w:val="center"/>
          </w:tcPr>
          <w:p w14:paraId="0FD126E7" w14:textId="77777777" w:rsidR="009C6A3A" w:rsidRPr="005F0CE8" w:rsidRDefault="009C6A3A" w:rsidP="005C473F">
            <w:pPr>
              <w:pStyle w:val="TableText0"/>
              <w:rPr>
                <w:iCs/>
              </w:rPr>
            </w:pPr>
            <w:r w:rsidRPr="005F0CE8">
              <w:rPr>
                <w:iCs/>
              </w:rPr>
              <w:t>High, favours placebo</w:t>
            </w:r>
          </w:p>
          <w:p w14:paraId="65CE2430" w14:textId="77777777" w:rsidR="009C6A3A" w:rsidRPr="005F0CE8" w:rsidRDefault="009C6A3A" w:rsidP="005C473F">
            <w:pPr>
              <w:pStyle w:val="TableText0"/>
              <w:rPr>
                <w:iCs/>
              </w:rPr>
            </w:pPr>
            <w:r w:rsidRPr="005F0CE8">
              <w:rPr>
                <w:iCs/>
              </w:rPr>
              <w:t xml:space="preserve">The goal of treatment with olaparib is to delay recurrence and to avoid recurrence. In those patients for whom recurrence is avoided, some may expect to live up to, or beyond, the model time horizon. However, the cost of olaparib is entirely undiscounted. </w:t>
            </w:r>
          </w:p>
          <w:p w14:paraId="304F2F16" w14:textId="059A89AF" w:rsidR="009C6A3A" w:rsidRPr="005F0CE8" w:rsidRDefault="009C6A3A" w:rsidP="005C473F">
            <w:pPr>
              <w:pStyle w:val="TableText0"/>
              <w:rPr>
                <w:iCs/>
              </w:rPr>
            </w:pPr>
            <w:r w:rsidRPr="005F0CE8">
              <w:rPr>
                <w:iCs/>
              </w:rPr>
              <w:t>Reducing the discount rate to 3.5% for both costs and outcomes reduces the ICER by 19% to $</w:t>
            </w:r>
            <w:r w:rsidR="003A26A8" w:rsidRPr="003A26A8">
              <w:rPr>
                <w:iCs/>
                <w:color w:val="000000"/>
                <w:spacing w:val="36"/>
                <w:shd w:val="solid" w:color="000000" w:fill="000000"/>
                <w:fitText w:val="438" w:id="-1234443262"/>
                <w14:textFill>
                  <w14:solidFill>
                    <w14:srgbClr w14:val="000000">
                      <w14:alpha w14:val="100000"/>
                    </w14:srgbClr>
                  </w14:solidFill>
                </w14:textFill>
              </w:rPr>
              <w:t>|||||</w:t>
            </w:r>
            <w:r w:rsidR="003A26A8" w:rsidRPr="003A26A8">
              <w:rPr>
                <w:iCs/>
                <w:color w:val="000000"/>
                <w:spacing w:val="3"/>
                <w:shd w:val="solid" w:color="000000" w:fill="000000"/>
                <w:fitText w:val="438" w:id="-1234443262"/>
                <w14:textFill>
                  <w14:solidFill>
                    <w14:srgbClr w14:val="000000">
                      <w14:alpha w14:val="100000"/>
                    </w14:srgbClr>
                  </w14:solidFill>
                </w14:textFill>
              </w:rPr>
              <w:t>|</w:t>
            </w:r>
            <w:r w:rsidR="005245EE">
              <w:rPr>
                <w:iCs/>
                <w:vertAlign w:val="superscript"/>
              </w:rPr>
              <w:t>4</w:t>
            </w:r>
            <w:r w:rsidRPr="005F0CE8">
              <w:rPr>
                <w:iCs/>
              </w:rPr>
              <w:t xml:space="preserve">. </w:t>
            </w:r>
          </w:p>
        </w:tc>
      </w:tr>
    </w:tbl>
    <w:p w14:paraId="4B0DCD8D" w14:textId="77777777" w:rsidR="009C6A3A" w:rsidRPr="005F0CE8" w:rsidRDefault="009C6A3A" w:rsidP="009C6A3A">
      <w:pPr>
        <w:pStyle w:val="TableFigureFooter"/>
      </w:pPr>
      <w:r w:rsidRPr="005F0CE8">
        <w:t>Compiled during evaluation based on Section 3.9 of the submission and the economic evaluation spreadsheet.</w:t>
      </w:r>
    </w:p>
    <w:p w14:paraId="6B936AC5" w14:textId="5F317129" w:rsidR="009C6A3A" w:rsidRPr="005F0CE8" w:rsidRDefault="009C6A3A" w:rsidP="009C6A3A">
      <w:pPr>
        <w:pStyle w:val="TableFigureFooter"/>
      </w:pPr>
      <w:r w:rsidRPr="005F0CE8">
        <w:rPr>
          <w:vertAlign w:val="superscript"/>
        </w:rPr>
        <w:t>a</w:t>
      </w:r>
      <w:r w:rsidRPr="005F0CE8">
        <w:t xml:space="preserve"> Wong-Brown MW, Meldrum CJ, Carpenter JE, Clarke CL, Narod SA, Jakubowska A, et al. Prevalence of </w:t>
      </w:r>
      <w:r w:rsidR="009E092C" w:rsidRPr="009E092C">
        <w:rPr>
          <w:i/>
        </w:rPr>
        <w:t>BRCA1</w:t>
      </w:r>
      <w:r w:rsidRPr="005F0CE8">
        <w:t xml:space="preserve"> and </w:t>
      </w:r>
      <w:r w:rsidR="009E092C" w:rsidRPr="009E092C">
        <w:rPr>
          <w:i/>
        </w:rPr>
        <w:t>BRCA2</w:t>
      </w:r>
      <w:r w:rsidRPr="005F0CE8">
        <w:t xml:space="preserve"> germline mutations in patients with triple-negative breast cancer. Breast cancer research and treatment. 2015;150(1):71-80.</w:t>
      </w:r>
    </w:p>
    <w:p w14:paraId="271F3325" w14:textId="72D66238" w:rsidR="009C6A3A" w:rsidRDefault="009C6A3A" w:rsidP="005245EE">
      <w:pPr>
        <w:pStyle w:val="TableFigureFooter"/>
        <w:spacing w:after="0"/>
      </w:pPr>
      <w:r w:rsidRPr="005F0CE8">
        <w:t>eBC = early breast cancer; EORTC QLQ-C30 = European Organisation For Research and Treatment - Quality of Life Questionnaire for cancer patients; EQ-5D = EuroQol five dimension scale questionnaire ; g</w:t>
      </w:r>
      <w:r w:rsidR="009E092C" w:rsidRPr="009E092C">
        <w:rPr>
          <w:i/>
        </w:rPr>
        <w:t xml:space="preserve">BRCA </w:t>
      </w:r>
      <w:r w:rsidRPr="005F0CE8">
        <w:t>= germline breast cancer gene; HR+ = hormone receptor positive; HR = hazard ratio; ICER = incremental cost-effectiveness ratio; IDFS = invasive disease free survival; KM = Kaplan-Meier; mBC = metastatic breast cancer recurrence; non-mBC = non-metastatic breast cancer recurrence; QALY = quality-adjusted life years; TNBC = triple-negative breast cancer.</w:t>
      </w:r>
    </w:p>
    <w:p w14:paraId="556EC3A3" w14:textId="77777777" w:rsidR="005245EE" w:rsidRPr="009A6D58" w:rsidRDefault="005245EE" w:rsidP="005245E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5541B22" w14:textId="59A07CB8" w:rsidR="005245EE" w:rsidRPr="009A6D58" w:rsidRDefault="005245EE" w:rsidP="005245E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245EE">
        <w:rPr>
          <w:rFonts w:ascii="Arial Narrow" w:hAnsi="Arial Narrow"/>
          <w:i/>
          <w:sz w:val="18"/>
          <w:szCs w:val="18"/>
        </w:rPr>
        <w:t>$45,000 to &lt; $55,000</w:t>
      </w:r>
    </w:p>
    <w:p w14:paraId="5E6AE76A" w14:textId="77777777" w:rsidR="00942345" w:rsidRDefault="005245EE" w:rsidP="005245E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82" w:name="_Hlk134786018"/>
      <w:r w:rsidR="00942345" w:rsidRPr="00942345">
        <w:rPr>
          <w:rFonts w:ascii="Arial Narrow" w:hAnsi="Arial Narrow"/>
          <w:i/>
          <w:sz w:val="18"/>
          <w:szCs w:val="18"/>
        </w:rPr>
        <w:t>$55,000 to &lt; $75,000</w:t>
      </w:r>
      <w:bookmarkEnd w:id="82"/>
    </w:p>
    <w:p w14:paraId="14C85A22" w14:textId="6F79CB81" w:rsidR="005245EE" w:rsidRDefault="005245EE" w:rsidP="005245E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942345" w:rsidRPr="00942345">
        <w:rPr>
          <w:rFonts w:ascii="Arial Narrow" w:hAnsi="Arial Narrow"/>
          <w:i/>
          <w:sz w:val="18"/>
          <w:szCs w:val="18"/>
        </w:rPr>
        <w:t>$95,000 to &lt; $115,000</w:t>
      </w:r>
    </w:p>
    <w:p w14:paraId="653689F7" w14:textId="129AFAA9" w:rsidR="005245EE" w:rsidRDefault="005245EE" w:rsidP="00942345">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942345">
        <w:rPr>
          <w:rFonts w:ascii="Arial Narrow" w:hAnsi="Arial Narrow"/>
          <w:i/>
          <w:sz w:val="18"/>
          <w:szCs w:val="18"/>
        </w:rPr>
        <w:t>$</w:t>
      </w:r>
      <w:r w:rsidR="00942345" w:rsidRPr="00942345">
        <w:rPr>
          <w:rFonts w:ascii="Arial Narrow" w:hAnsi="Arial Narrow"/>
          <w:i/>
          <w:sz w:val="18"/>
          <w:szCs w:val="18"/>
        </w:rPr>
        <w:t>35,000 to &lt; $45,000</w:t>
      </w:r>
    </w:p>
    <w:p w14:paraId="72F9E682" w14:textId="6E0A0191" w:rsidR="009C6A3A" w:rsidRPr="005F0CE8" w:rsidRDefault="009C6A3A" w:rsidP="00477BB3">
      <w:pPr>
        <w:pStyle w:val="3-BodyText"/>
      </w:pPr>
      <w:r w:rsidRPr="005F0CE8">
        <w:t>The submission present</w:t>
      </w:r>
      <w:r w:rsidR="00351972" w:rsidRPr="005F0CE8">
        <w:t xml:space="preserve">ed a stepped </w:t>
      </w:r>
      <w:r w:rsidRPr="005F0CE8">
        <w:t xml:space="preserve">economic evaluation. The first </w:t>
      </w:r>
      <w:r w:rsidR="00351972" w:rsidRPr="005F0CE8">
        <w:t xml:space="preserve">step </w:t>
      </w:r>
      <w:r w:rsidRPr="005F0CE8">
        <w:t>present</w:t>
      </w:r>
      <w:r w:rsidR="00643144" w:rsidRPr="005F0CE8">
        <w:t>ed</w:t>
      </w:r>
      <w:r w:rsidRPr="005F0CE8">
        <w:t xml:space="preserve"> the results of an analysis </w:t>
      </w:r>
      <w:r w:rsidR="00643144" w:rsidRPr="005F0CE8">
        <w:t xml:space="preserve">at </w:t>
      </w:r>
      <w:r w:rsidRPr="005F0CE8">
        <w:t>79 months (the extent of the observed trial data). The analysis report</w:t>
      </w:r>
      <w:r w:rsidR="00643144" w:rsidRPr="005F0CE8">
        <w:t>ed</w:t>
      </w:r>
      <w:r w:rsidRPr="005F0CE8">
        <w:t xml:space="preserve"> on invasive disease-free years, and the costs of olaparib, g</w:t>
      </w:r>
      <w:r w:rsidR="009E092C" w:rsidRPr="009E092C">
        <w:rPr>
          <w:i/>
        </w:rPr>
        <w:t xml:space="preserve">BRCA </w:t>
      </w:r>
      <w:r w:rsidRPr="005F0CE8">
        <w:t xml:space="preserve">testing, and the management of adverse events for olaparib or placebo. The second </w:t>
      </w:r>
      <w:r w:rsidR="00351972" w:rsidRPr="005F0CE8">
        <w:t xml:space="preserve">step </w:t>
      </w:r>
      <w:r w:rsidRPr="005F0CE8">
        <w:t>present</w:t>
      </w:r>
      <w:r w:rsidR="00643144" w:rsidRPr="005F0CE8">
        <w:t>ed</w:t>
      </w:r>
      <w:r w:rsidRPr="005F0CE8">
        <w:t xml:space="preserve"> the total model costs</w:t>
      </w:r>
      <w:r w:rsidR="00351972" w:rsidRPr="005F0CE8">
        <w:t xml:space="preserve"> and</w:t>
      </w:r>
      <w:r w:rsidRPr="005F0CE8">
        <w:t xml:space="preserve"> life-years</w:t>
      </w:r>
      <w:r w:rsidR="00351972" w:rsidRPr="005F0CE8">
        <w:t>. The third step present</w:t>
      </w:r>
      <w:r w:rsidR="00643144" w:rsidRPr="005F0CE8">
        <w:t>ed</w:t>
      </w:r>
      <w:r w:rsidR="00351972" w:rsidRPr="005F0CE8">
        <w:t xml:space="preserve"> </w:t>
      </w:r>
      <w:r w:rsidRPr="005F0CE8">
        <w:t>quality-adjusted life-years</w:t>
      </w:r>
      <w:r w:rsidR="00351972" w:rsidRPr="005F0CE8">
        <w:t xml:space="preserve"> after </w:t>
      </w:r>
      <w:r w:rsidRPr="005F0CE8">
        <w:t>application of utilities to the health states.</w:t>
      </w:r>
    </w:p>
    <w:p w14:paraId="780D01C8" w14:textId="0F67968E" w:rsidR="009C6A3A" w:rsidRPr="005F0CE8" w:rsidRDefault="00BD4DA1" w:rsidP="009C6A3A">
      <w:pPr>
        <w:pStyle w:val="3-BodyText"/>
      </w:pPr>
      <w:r w:rsidRPr="005F0CE8">
        <w:lastRenderedPageBreak/>
        <w:t>For additional information, the incremental cost per avoided recurrence was calculated during the evaluation (Step 1a), based on the increment reported at the extent of trial data (79 months).</w:t>
      </w:r>
    </w:p>
    <w:p w14:paraId="260A5FE7" w14:textId="4B75BB0E" w:rsidR="009C6A3A" w:rsidRPr="005F0CE8" w:rsidRDefault="009C6A3A" w:rsidP="009C6A3A">
      <w:pPr>
        <w:pStyle w:val="Caption"/>
      </w:pPr>
      <w:r w:rsidRPr="005F0CE8">
        <w:t xml:space="preserve">Table </w:t>
      </w:r>
      <w:fldSimple w:instr=" SEQ Table \* ARABIC ">
        <w:r w:rsidR="00AB6006">
          <w:rPr>
            <w:noProof/>
          </w:rPr>
          <w:t>16</w:t>
        </w:r>
      </w:fldSimple>
      <w:r w:rsidRPr="005F0CE8">
        <w:t xml:space="preserve">: </w:t>
      </w:r>
      <w:r w:rsidRPr="005F0CE8">
        <w:rPr>
          <w:rStyle w:val="CommentReference"/>
          <w:b/>
          <w:szCs w:val="24"/>
        </w:rPr>
        <w:t>Results of the stepped economic evaluation</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1345"/>
        <w:gridCol w:w="966"/>
        <w:gridCol w:w="1247"/>
        <w:gridCol w:w="1127"/>
        <w:gridCol w:w="1043"/>
        <w:gridCol w:w="1157"/>
        <w:gridCol w:w="1330"/>
        <w:gridCol w:w="1161"/>
      </w:tblGrid>
      <w:tr w:rsidR="009C6A3A" w:rsidRPr="005F0CE8" w14:paraId="4FAADE82" w14:textId="77777777" w:rsidTr="005C473F">
        <w:trPr>
          <w:cantSplit/>
          <w:tblHeader/>
        </w:trPr>
        <w:tc>
          <w:tcPr>
            <w:tcW w:w="717" w:type="pct"/>
            <w:vMerge w:val="restart"/>
            <w:shd w:val="clear" w:color="auto" w:fill="FFFFFF" w:themeFill="background1"/>
            <w:vAlign w:val="center"/>
          </w:tcPr>
          <w:p w14:paraId="770DD956" w14:textId="77777777" w:rsidR="009C6A3A" w:rsidRPr="005F0CE8" w:rsidRDefault="009C6A3A" w:rsidP="005C473F">
            <w:pPr>
              <w:pStyle w:val="Tabletext"/>
              <w:jc w:val="center"/>
              <w:rPr>
                <w:b/>
              </w:rPr>
            </w:pPr>
            <w:r w:rsidRPr="005F0CE8">
              <w:rPr>
                <w:b/>
              </w:rPr>
              <w:t>Data</w:t>
            </w:r>
          </w:p>
        </w:tc>
        <w:tc>
          <w:tcPr>
            <w:tcW w:w="1781" w:type="pct"/>
            <w:gridSpan w:val="3"/>
            <w:shd w:val="clear" w:color="auto" w:fill="FFFFFF" w:themeFill="background1"/>
            <w:vAlign w:val="center"/>
          </w:tcPr>
          <w:p w14:paraId="6957AFD3" w14:textId="77777777" w:rsidR="009C6A3A" w:rsidRPr="005F0CE8" w:rsidRDefault="009C6A3A" w:rsidP="005C473F">
            <w:pPr>
              <w:pStyle w:val="Tabletext"/>
              <w:jc w:val="center"/>
              <w:rPr>
                <w:b/>
              </w:rPr>
            </w:pPr>
            <w:r w:rsidRPr="005F0CE8">
              <w:rPr>
                <w:b/>
              </w:rPr>
              <w:t>Costs</w:t>
            </w:r>
          </w:p>
        </w:tc>
        <w:tc>
          <w:tcPr>
            <w:tcW w:w="1882" w:type="pct"/>
            <w:gridSpan w:val="3"/>
            <w:shd w:val="clear" w:color="auto" w:fill="FFFFFF" w:themeFill="background1"/>
            <w:vAlign w:val="center"/>
          </w:tcPr>
          <w:p w14:paraId="64012DF5" w14:textId="77777777" w:rsidR="009C6A3A" w:rsidRPr="005F0CE8" w:rsidRDefault="009C6A3A" w:rsidP="005C473F">
            <w:pPr>
              <w:pStyle w:val="Tabletext"/>
              <w:jc w:val="center"/>
              <w:rPr>
                <w:b/>
              </w:rPr>
            </w:pPr>
            <w:r w:rsidRPr="005F0CE8">
              <w:rPr>
                <w:b/>
              </w:rPr>
              <w:t>Health outcomes</w:t>
            </w:r>
          </w:p>
        </w:tc>
        <w:tc>
          <w:tcPr>
            <w:tcW w:w="619" w:type="pct"/>
            <w:vMerge w:val="restart"/>
            <w:shd w:val="clear" w:color="auto" w:fill="FFFFFF" w:themeFill="background1"/>
            <w:vAlign w:val="center"/>
          </w:tcPr>
          <w:p w14:paraId="1C4CF6F5" w14:textId="77777777" w:rsidR="009C6A3A" w:rsidRPr="005F0CE8" w:rsidRDefault="009C6A3A" w:rsidP="005C473F">
            <w:pPr>
              <w:pStyle w:val="Tabletext"/>
              <w:jc w:val="center"/>
              <w:rPr>
                <w:b/>
              </w:rPr>
            </w:pPr>
            <w:r w:rsidRPr="005F0CE8">
              <w:rPr>
                <w:b/>
              </w:rPr>
              <w:t>Incremental cost-effectiveness ratio</w:t>
            </w:r>
          </w:p>
        </w:tc>
      </w:tr>
      <w:tr w:rsidR="009C6A3A" w:rsidRPr="005F0CE8" w14:paraId="06811482" w14:textId="77777777" w:rsidTr="005C473F">
        <w:trPr>
          <w:cantSplit/>
          <w:tblHeader/>
        </w:trPr>
        <w:tc>
          <w:tcPr>
            <w:tcW w:w="717" w:type="pct"/>
            <w:vMerge/>
            <w:shd w:val="clear" w:color="auto" w:fill="FFFFFF" w:themeFill="background1"/>
            <w:vAlign w:val="center"/>
          </w:tcPr>
          <w:p w14:paraId="69270255" w14:textId="77777777" w:rsidR="009C6A3A" w:rsidRPr="005F0CE8" w:rsidRDefault="009C6A3A" w:rsidP="005C473F">
            <w:pPr>
              <w:pStyle w:val="Tabletext"/>
              <w:jc w:val="center"/>
              <w:rPr>
                <w:b/>
              </w:rPr>
            </w:pPr>
          </w:p>
        </w:tc>
        <w:tc>
          <w:tcPr>
            <w:tcW w:w="515" w:type="pct"/>
            <w:shd w:val="clear" w:color="auto" w:fill="FFFFFF" w:themeFill="background1"/>
            <w:vAlign w:val="center"/>
          </w:tcPr>
          <w:p w14:paraId="1891604E" w14:textId="77777777" w:rsidR="009C6A3A" w:rsidRPr="005F0CE8" w:rsidRDefault="009C6A3A" w:rsidP="005C473F">
            <w:pPr>
              <w:pStyle w:val="Tabletext"/>
              <w:jc w:val="center"/>
              <w:rPr>
                <w:rFonts w:ascii="Times" w:hAnsi="Times"/>
                <w:b/>
              </w:rPr>
            </w:pPr>
            <w:r w:rsidRPr="005F0CE8">
              <w:rPr>
                <w:b/>
              </w:rPr>
              <w:t>Proposed medicine</w:t>
            </w:r>
          </w:p>
        </w:tc>
        <w:tc>
          <w:tcPr>
            <w:tcW w:w="665" w:type="pct"/>
            <w:shd w:val="clear" w:color="auto" w:fill="FFFFFF" w:themeFill="background1"/>
            <w:vAlign w:val="center"/>
          </w:tcPr>
          <w:p w14:paraId="1C28599E" w14:textId="77777777" w:rsidR="009C6A3A" w:rsidRPr="005F0CE8" w:rsidRDefault="009C6A3A" w:rsidP="005C473F">
            <w:pPr>
              <w:pStyle w:val="Tabletext"/>
              <w:jc w:val="center"/>
              <w:rPr>
                <w:rFonts w:ascii="Times" w:hAnsi="Times"/>
                <w:b/>
              </w:rPr>
            </w:pPr>
            <w:r w:rsidRPr="005F0CE8">
              <w:rPr>
                <w:b/>
              </w:rPr>
              <w:t>Comparator</w:t>
            </w:r>
          </w:p>
        </w:tc>
        <w:tc>
          <w:tcPr>
            <w:tcW w:w="601" w:type="pct"/>
            <w:shd w:val="clear" w:color="auto" w:fill="FFFFFF" w:themeFill="background1"/>
            <w:vAlign w:val="center"/>
          </w:tcPr>
          <w:p w14:paraId="5302CE9A" w14:textId="77777777" w:rsidR="009C6A3A" w:rsidRPr="005F0CE8" w:rsidRDefault="009C6A3A" w:rsidP="005C473F">
            <w:pPr>
              <w:pStyle w:val="Tabletext"/>
              <w:jc w:val="center"/>
              <w:rPr>
                <w:rFonts w:ascii="Times" w:hAnsi="Times"/>
                <w:b/>
              </w:rPr>
            </w:pPr>
            <w:r w:rsidRPr="005F0CE8">
              <w:rPr>
                <w:b/>
              </w:rPr>
              <w:t>Incremental</w:t>
            </w:r>
          </w:p>
        </w:tc>
        <w:tc>
          <w:tcPr>
            <w:tcW w:w="556" w:type="pct"/>
            <w:shd w:val="clear" w:color="auto" w:fill="FFFFFF" w:themeFill="background1"/>
            <w:vAlign w:val="center"/>
          </w:tcPr>
          <w:p w14:paraId="2DBCB95F" w14:textId="77777777" w:rsidR="009C6A3A" w:rsidRPr="005F0CE8" w:rsidRDefault="009C6A3A" w:rsidP="005C473F">
            <w:pPr>
              <w:pStyle w:val="Tabletext"/>
              <w:jc w:val="center"/>
              <w:rPr>
                <w:rFonts w:ascii="Times" w:hAnsi="Times"/>
                <w:b/>
              </w:rPr>
            </w:pPr>
            <w:r w:rsidRPr="005F0CE8">
              <w:rPr>
                <w:b/>
              </w:rPr>
              <w:t>Proposed medicine</w:t>
            </w:r>
          </w:p>
        </w:tc>
        <w:tc>
          <w:tcPr>
            <w:tcW w:w="617" w:type="pct"/>
            <w:shd w:val="clear" w:color="auto" w:fill="FFFFFF" w:themeFill="background1"/>
            <w:vAlign w:val="center"/>
          </w:tcPr>
          <w:p w14:paraId="3C2039AB" w14:textId="77777777" w:rsidR="009C6A3A" w:rsidRPr="005F0CE8" w:rsidRDefault="009C6A3A" w:rsidP="005C473F">
            <w:pPr>
              <w:pStyle w:val="Tabletext"/>
              <w:jc w:val="center"/>
              <w:rPr>
                <w:b/>
              </w:rPr>
            </w:pPr>
            <w:r w:rsidRPr="005F0CE8">
              <w:rPr>
                <w:b/>
              </w:rPr>
              <w:t>Comparator</w:t>
            </w:r>
          </w:p>
        </w:tc>
        <w:tc>
          <w:tcPr>
            <w:tcW w:w="709" w:type="pct"/>
            <w:shd w:val="clear" w:color="auto" w:fill="FFFFFF" w:themeFill="background1"/>
            <w:vAlign w:val="center"/>
          </w:tcPr>
          <w:p w14:paraId="3B512BE3" w14:textId="77777777" w:rsidR="009C6A3A" w:rsidRPr="005F0CE8" w:rsidRDefault="009C6A3A" w:rsidP="005C473F">
            <w:pPr>
              <w:pStyle w:val="Tabletext"/>
              <w:jc w:val="center"/>
              <w:rPr>
                <w:b/>
              </w:rPr>
            </w:pPr>
            <w:r w:rsidRPr="005F0CE8">
              <w:rPr>
                <w:b/>
              </w:rPr>
              <w:t>Incremental</w:t>
            </w:r>
          </w:p>
        </w:tc>
        <w:tc>
          <w:tcPr>
            <w:tcW w:w="619" w:type="pct"/>
            <w:vMerge/>
            <w:shd w:val="clear" w:color="auto" w:fill="FFFFFF" w:themeFill="background1"/>
            <w:vAlign w:val="center"/>
          </w:tcPr>
          <w:p w14:paraId="340D8A58" w14:textId="77777777" w:rsidR="009C6A3A" w:rsidRPr="005F0CE8" w:rsidRDefault="009C6A3A" w:rsidP="005C473F">
            <w:pPr>
              <w:pStyle w:val="Tabletext"/>
              <w:jc w:val="center"/>
            </w:pPr>
          </w:p>
        </w:tc>
      </w:tr>
      <w:tr w:rsidR="009C6A3A" w:rsidRPr="005F0CE8" w14:paraId="20943FBE" w14:textId="77777777" w:rsidTr="005C473F">
        <w:trPr>
          <w:cantSplit/>
        </w:trPr>
        <w:tc>
          <w:tcPr>
            <w:tcW w:w="717" w:type="pct"/>
            <w:shd w:val="clear" w:color="auto" w:fill="FFFFFF" w:themeFill="background1"/>
            <w:vAlign w:val="center"/>
          </w:tcPr>
          <w:p w14:paraId="20FC7E18" w14:textId="77777777" w:rsidR="009C6A3A" w:rsidRPr="005F0CE8" w:rsidRDefault="009C6A3A" w:rsidP="005C473F">
            <w:pPr>
              <w:pStyle w:val="Tabletext"/>
              <w:jc w:val="center"/>
            </w:pPr>
          </w:p>
        </w:tc>
        <w:tc>
          <w:tcPr>
            <w:tcW w:w="1781" w:type="pct"/>
            <w:gridSpan w:val="3"/>
            <w:shd w:val="clear" w:color="auto" w:fill="FFFFFF" w:themeFill="background1"/>
            <w:vAlign w:val="center"/>
          </w:tcPr>
          <w:p w14:paraId="117E2168" w14:textId="77777777" w:rsidR="009C6A3A" w:rsidRPr="005F0CE8" w:rsidRDefault="009C6A3A" w:rsidP="005C473F">
            <w:pPr>
              <w:pStyle w:val="Tabletext"/>
              <w:jc w:val="center"/>
            </w:pPr>
            <w:r w:rsidRPr="005F0CE8">
              <w:t>Test costs, olaparib costs and adverse events costs</w:t>
            </w:r>
          </w:p>
        </w:tc>
        <w:tc>
          <w:tcPr>
            <w:tcW w:w="1882" w:type="pct"/>
            <w:gridSpan w:val="3"/>
            <w:shd w:val="clear" w:color="auto" w:fill="FFFFFF" w:themeFill="background1"/>
            <w:vAlign w:val="center"/>
          </w:tcPr>
          <w:p w14:paraId="2ED45F96" w14:textId="77777777" w:rsidR="009C6A3A" w:rsidRPr="005F0CE8" w:rsidRDefault="009C6A3A" w:rsidP="005C473F">
            <w:pPr>
              <w:pStyle w:val="Tabletext"/>
              <w:jc w:val="center"/>
            </w:pPr>
            <w:r w:rsidRPr="005F0CE8">
              <w:t>Invasive disease-free years</w:t>
            </w:r>
          </w:p>
        </w:tc>
        <w:tc>
          <w:tcPr>
            <w:tcW w:w="619" w:type="pct"/>
            <w:shd w:val="clear" w:color="auto" w:fill="FFFFFF" w:themeFill="background1"/>
            <w:vAlign w:val="center"/>
          </w:tcPr>
          <w:p w14:paraId="2463B7F0" w14:textId="77777777" w:rsidR="009C6A3A" w:rsidRPr="005F0CE8" w:rsidRDefault="009C6A3A" w:rsidP="005C473F">
            <w:pPr>
              <w:pStyle w:val="Tabletext"/>
              <w:jc w:val="center"/>
            </w:pPr>
          </w:p>
        </w:tc>
      </w:tr>
      <w:tr w:rsidR="009C6A3A" w:rsidRPr="005F0CE8" w14:paraId="5B0B3210" w14:textId="77777777" w:rsidTr="005C473F">
        <w:trPr>
          <w:cantSplit/>
        </w:trPr>
        <w:tc>
          <w:tcPr>
            <w:tcW w:w="717" w:type="pct"/>
            <w:shd w:val="clear" w:color="auto" w:fill="FFFFFF" w:themeFill="background1"/>
            <w:vAlign w:val="center"/>
          </w:tcPr>
          <w:p w14:paraId="725E0F6C" w14:textId="77777777" w:rsidR="009C6A3A" w:rsidRPr="005F0CE8" w:rsidRDefault="009C6A3A" w:rsidP="005C473F">
            <w:pPr>
              <w:pStyle w:val="Tabletext"/>
              <w:jc w:val="center"/>
              <w:rPr>
                <w:b/>
              </w:rPr>
            </w:pPr>
            <w:r w:rsidRPr="005F0CE8">
              <w:rPr>
                <w:b/>
              </w:rPr>
              <w:t>Step 1: Trial based analysis</w:t>
            </w:r>
          </w:p>
        </w:tc>
        <w:tc>
          <w:tcPr>
            <w:tcW w:w="515" w:type="pct"/>
            <w:shd w:val="clear" w:color="auto" w:fill="FFFFFF" w:themeFill="background1"/>
            <w:vAlign w:val="center"/>
          </w:tcPr>
          <w:p w14:paraId="1D82934E" w14:textId="5A54DA01" w:rsidR="009C6A3A" w:rsidRPr="005F0CE8" w:rsidRDefault="009C6A3A" w:rsidP="005C473F">
            <w:pPr>
              <w:pStyle w:val="Tabletext"/>
              <w:jc w:val="center"/>
              <w:rPr>
                <w:rFonts w:ascii="Times" w:hAnsi="Times"/>
              </w:rPr>
            </w:pPr>
            <w:r w:rsidRPr="005F0CE8">
              <w:t>$</w:t>
            </w:r>
            <w:r w:rsidR="003A26A8" w:rsidRPr="003A26A8">
              <w:rPr>
                <w:color w:val="000000"/>
                <w:spacing w:val="214"/>
                <w:shd w:val="solid" w:color="000000" w:fill="000000"/>
                <w:fitText w:val="300" w:id="-1234443261"/>
                <w14:textFill>
                  <w14:solidFill>
                    <w14:srgbClr w14:val="000000">
                      <w14:alpha w14:val="100000"/>
                    </w14:srgbClr>
                  </w14:solidFill>
                </w14:textFill>
              </w:rPr>
              <w:t>|</w:t>
            </w:r>
            <w:r w:rsidR="003A26A8" w:rsidRPr="003A26A8">
              <w:rPr>
                <w:color w:val="000000"/>
                <w:spacing w:val="1"/>
                <w:shd w:val="solid" w:color="000000" w:fill="000000"/>
                <w:fitText w:val="300" w:id="-1234443261"/>
                <w14:textFill>
                  <w14:solidFill>
                    <w14:srgbClr w14:val="000000">
                      <w14:alpha w14:val="100000"/>
                    </w14:srgbClr>
                  </w14:solidFill>
                </w14:textFill>
              </w:rPr>
              <w:t>|</w:t>
            </w:r>
          </w:p>
        </w:tc>
        <w:tc>
          <w:tcPr>
            <w:tcW w:w="665" w:type="pct"/>
            <w:shd w:val="clear" w:color="auto" w:fill="FFFFFF" w:themeFill="background1"/>
            <w:vAlign w:val="center"/>
          </w:tcPr>
          <w:p w14:paraId="3559CE8F" w14:textId="77777777" w:rsidR="009C6A3A" w:rsidRPr="005F0CE8" w:rsidRDefault="009C6A3A" w:rsidP="005C473F">
            <w:pPr>
              <w:pStyle w:val="Tabletext"/>
              <w:jc w:val="center"/>
              <w:rPr>
                <w:rFonts w:ascii="Times" w:hAnsi="Times"/>
              </w:rPr>
            </w:pPr>
            <w:r w:rsidRPr="005F0CE8">
              <w:t>$1,693</w:t>
            </w:r>
          </w:p>
        </w:tc>
        <w:tc>
          <w:tcPr>
            <w:tcW w:w="601" w:type="pct"/>
            <w:shd w:val="clear" w:color="auto" w:fill="FFFFFF" w:themeFill="background1"/>
            <w:vAlign w:val="center"/>
          </w:tcPr>
          <w:p w14:paraId="515618C4" w14:textId="39AAAA70" w:rsidR="009C6A3A" w:rsidRPr="005F0CE8" w:rsidRDefault="009C6A3A" w:rsidP="005C473F">
            <w:pPr>
              <w:pStyle w:val="Tabletext"/>
              <w:jc w:val="center"/>
              <w:rPr>
                <w:rFonts w:ascii="Times" w:hAnsi="Times"/>
              </w:rPr>
            </w:pPr>
            <w:r w:rsidRPr="005F0CE8">
              <w:t>$</w:t>
            </w:r>
            <w:r w:rsidR="003A26A8" w:rsidRPr="003A26A8">
              <w:rPr>
                <w:color w:val="000000"/>
                <w:spacing w:val="45"/>
                <w:shd w:val="solid" w:color="000000" w:fill="000000"/>
                <w:fitText w:val="219" w:id="-1234443260"/>
                <w14:textFill>
                  <w14:solidFill>
                    <w14:srgbClr w14:val="000000">
                      <w14:alpha w14:val="100000"/>
                    </w14:srgbClr>
                  </w14:solidFill>
                </w14:textFill>
              </w:rPr>
              <w:t>||</w:t>
            </w:r>
            <w:r w:rsidR="003A26A8" w:rsidRPr="003A26A8">
              <w:rPr>
                <w:color w:val="000000"/>
                <w:spacing w:val="2"/>
                <w:shd w:val="solid" w:color="000000" w:fill="000000"/>
                <w:fitText w:val="219" w:id="-1234443260"/>
                <w14:textFill>
                  <w14:solidFill>
                    <w14:srgbClr w14:val="000000">
                      <w14:alpha w14:val="100000"/>
                    </w14:srgbClr>
                  </w14:solidFill>
                </w14:textFill>
              </w:rPr>
              <w:t>|</w:t>
            </w:r>
          </w:p>
        </w:tc>
        <w:tc>
          <w:tcPr>
            <w:tcW w:w="556" w:type="pct"/>
            <w:shd w:val="clear" w:color="auto" w:fill="FFFFFF" w:themeFill="background1"/>
            <w:vAlign w:val="center"/>
          </w:tcPr>
          <w:p w14:paraId="6F0108B8" w14:textId="77777777" w:rsidR="009C6A3A" w:rsidRPr="005F0CE8" w:rsidRDefault="009C6A3A" w:rsidP="005C473F">
            <w:pPr>
              <w:pStyle w:val="Tabletext"/>
              <w:jc w:val="center"/>
            </w:pPr>
            <w:r w:rsidRPr="005F0CE8">
              <w:t>5.71</w:t>
            </w:r>
          </w:p>
        </w:tc>
        <w:tc>
          <w:tcPr>
            <w:tcW w:w="617" w:type="pct"/>
            <w:shd w:val="clear" w:color="auto" w:fill="FFFFFF" w:themeFill="background1"/>
            <w:vAlign w:val="center"/>
          </w:tcPr>
          <w:p w14:paraId="15B85BCE" w14:textId="77777777" w:rsidR="009C6A3A" w:rsidRPr="005F0CE8" w:rsidRDefault="009C6A3A" w:rsidP="005C473F">
            <w:pPr>
              <w:pStyle w:val="Tabletext"/>
              <w:jc w:val="center"/>
            </w:pPr>
            <w:r w:rsidRPr="005F0CE8">
              <w:t>5.24</w:t>
            </w:r>
          </w:p>
        </w:tc>
        <w:tc>
          <w:tcPr>
            <w:tcW w:w="709" w:type="pct"/>
            <w:shd w:val="clear" w:color="auto" w:fill="FFFFFF" w:themeFill="background1"/>
            <w:vAlign w:val="center"/>
          </w:tcPr>
          <w:p w14:paraId="5CA6A31C" w14:textId="77777777" w:rsidR="009C6A3A" w:rsidRPr="005F0CE8" w:rsidRDefault="009C6A3A" w:rsidP="005C473F">
            <w:pPr>
              <w:pStyle w:val="Tabletext"/>
              <w:jc w:val="center"/>
              <w:rPr>
                <w:rFonts w:ascii="Times" w:hAnsi="Times"/>
              </w:rPr>
            </w:pPr>
            <w:r w:rsidRPr="005F0CE8">
              <w:t>0.47</w:t>
            </w:r>
          </w:p>
        </w:tc>
        <w:tc>
          <w:tcPr>
            <w:tcW w:w="619" w:type="pct"/>
            <w:shd w:val="clear" w:color="auto" w:fill="FFFFFF" w:themeFill="background1"/>
            <w:vAlign w:val="center"/>
          </w:tcPr>
          <w:p w14:paraId="7FCC48A0" w14:textId="0C5DC262" w:rsidR="009C6A3A" w:rsidRPr="005F0CE8" w:rsidRDefault="009C6A3A" w:rsidP="005C473F">
            <w:pPr>
              <w:pStyle w:val="Tabletext"/>
              <w:jc w:val="center"/>
              <w:rPr>
                <w:rFonts w:ascii="Times" w:hAnsi="Times"/>
              </w:rPr>
            </w:pPr>
            <w:r w:rsidRPr="005F0CE8">
              <w:t>$</w:t>
            </w:r>
            <w:r w:rsidR="003A26A8" w:rsidRPr="003A26A8">
              <w:rPr>
                <w:color w:val="000000"/>
                <w:spacing w:val="69"/>
                <w:shd w:val="solid" w:color="000000" w:fill="000000"/>
                <w:fitText w:val="380" w:id="-1234443259"/>
                <w14:textFill>
                  <w14:solidFill>
                    <w14:srgbClr w14:val="000000">
                      <w14:alpha w14:val="100000"/>
                    </w14:srgbClr>
                  </w14:solidFill>
                </w14:textFill>
              </w:rPr>
              <w:t>|||</w:t>
            </w:r>
            <w:r w:rsidR="003A26A8" w:rsidRPr="003A26A8">
              <w:rPr>
                <w:color w:val="000000"/>
                <w:spacing w:val="3"/>
                <w:shd w:val="solid" w:color="000000" w:fill="000000"/>
                <w:fitText w:val="380" w:id="-1234443259"/>
                <w14:textFill>
                  <w14:solidFill>
                    <w14:srgbClr w14:val="000000">
                      <w14:alpha w14:val="100000"/>
                    </w14:srgbClr>
                  </w14:solidFill>
                </w14:textFill>
              </w:rPr>
              <w:t>|</w:t>
            </w:r>
            <w:r w:rsidR="006940C6">
              <w:rPr>
                <w:vertAlign w:val="superscript"/>
              </w:rPr>
              <w:t>1</w:t>
            </w:r>
            <w:r w:rsidRPr="005F0CE8">
              <w:t xml:space="preserve"> per disease-free year gained</w:t>
            </w:r>
          </w:p>
        </w:tc>
      </w:tr>
      <w:tr w:rsidR="009C6A3A" w:rsidRPr="005F0CE8" w14:paraId="6D62844D" w14:textId="77777777" w:rsidTr="005C473F">
        <w:trPr>
          <w:cantSplit/>
        </w:trPr>
        <w:tc>
          <w:tcPr>
            <w:tcW w:w="717" w:type="pct"/>
            <w:shd w:val="clear" w:color="auto" w:fill="FFFFFF" w:themeFill="background1"/>
            <w:vAlign w:val="center"/>
          </w:tcPr>
          <w:p w14:paraId="578C671A" w14:textId="77777777" w:rsidR="009C6A3A" w:rsidRPr="005F0CE8" w:rsidRDefault="009C6A3A" w:rsidP="005C473F">
            <w:pPr>
              <w:pStyle w:val="Tabletext"/>
              <w:jc w:val="center"/>
              <w:rPr>
                <w:b/>
              </w:rPr>
            </w:pPr>
          </w:p>
        </w:tc>
        <w:tc>
          <w:tcPr>
            <w:tcW w:w="515" w:type="pct"/>
            <w:shd w:val="clear" w:color="auto" w:fill="FFFFFF" w:themeFill="background1"/>
            <w:vAlign w:val="center"/>
          </w:tcPr>
          <w:p w14:paraId="405C41BD" w14:textId="77777777" w:rsidR="009C6A3A" w:rsidRPr="005F0CE8" w:rsidRDefault="009C6A3A" w:rsidP="005C473F">
            <w:pPr>
              <w:pStyle w:val="Tabletext"/>
              <w:jc w:val="center"/>
            </w:pPr>
          </w:p>
        </w:tc>
        <w:tc>
          <w:tcPr>
            <w:tcW w:w="665" w:type="pct"/>
            <w:shd w:val="clear" w:color="auto" w:fill="FFFFFF" w:themeFill="background1"/>
            <w:vAlign w:val="center"/>
          </w:tcPr>
          <w:p w14:paraId="2E52BBB7" w14:textId="77777777" w:rsidR="009C6A3A" w:rsidRPr="005F0CE8" w:rsidRDefault="009C6A3A" w:rsidP="005C473F">
            <w:pPr>
              <w:pStyle w:val="Tabletext"/>
              <w:jc w:val="center"/>
            </w:pPr>
          </w:p>
        </w:tc>
        <w:tc>
          <w:tcPr>
            <w:tcW w:w="601" w:type="pct"/>
            <w:shd w:val="clear" w:color="auto" w:fill="FFFFFF" w:themeFill="background1"/>
            <w:vAlign w:val="center"/>
          </w:tcPr>
          <w:p w14:paraId="36F81CF8" w14:textId="77777777" w:rsidR="009C6A3A" w:rsidRPr="005F0CE8" w:rsidRDefault="009C6A3A" w:rsidP="005C473F">
            <w:pPr>
              <w:pStyle w:val="Tabletext"/>
              <w:jc w:val="center"/>
            </w:pPr>
          </w:p>
        </w:tc>
        <w:tc>
          <w:tcPr>
            <w:tcW w:w="1882" w:type="pct"/>
            <w:gridSpan w:val="3"/>
            <w:shd w:val="clear" w:color="auto" w:fill="FFFFFF" w:themeFill="background1"/>
            <w:vAlign w:val="center"/>
          </w:tcPr>
          <w:p w14:paraId="677C267D" w14:textId="644D9BD1" w:rsidR="009C6A3A" w:rsidRPr="005F0CE8" w:rsidRDefault="00351972" w:rsidP="005C473F">
            <w:pPr>
              <w:pStyle w:val="Tabletext"/>
              <w:jc w:val="center"/>
            </w:pPr>
            <w:r w:rsidRPr="005F0CE8">
              <w:t>R</w:t>
            </w:r>
            <w:r w:rsidR="009C6A3A" w:rsidRPr="005F0CE8">
              <w:t>ecurrence at 79 months (per modelled data)</w:t>
            </w:r>
          </w:p>
        </w:tc>
        <w:tc>
          <w:tcPr>
            <w:tcW w:w="619" w:type="pct"/>
            <w:shd w:val="clear" w:color="auto" w:fill="FFFFFF" w:themeFill="background1"/>
            <w:vAlign w:val="center"/>
          </w:tcPr>
          <w:p w14:paraId="20DD85CB" w14:textId="77777777" w:rsidR="009C6A3A" w:rsidRPr="005F0CE8" w:rsidRDefault="009C6A3A" w:rsidP="005C473F">
            <w:pPr>
              <w:pStyle w:val="Tabletext"/>
              <w:jc w:val="center"/>
            </w:pPr>
          </w:p>
        </w:tc>
      </w:tr>
      <w:tr w:rsidR="009C6A3A" w:rsidRPr="005F0CE8" w14:paraId="79883195" w14:textId="77777777" w:rsidTr="00F163DE">
        <w:trPr>
          <w:cantSplit/>
        </w:trPr>
        <w:tc>
          <w:tcPr>
            <w:tcW w:w="717" w:type="pct"/>
            <w:shd w:val="clear" w:color="auto" w:fill="FFFFFF" w:themeFill="background1"/>
            <w:vAlign w:val="center"/>
          </w:tcPr>
          <w:p w14:paraId="777A69B7" w14:textId="77777777" w:rsidR="009C6A3A" w:rsidRPr="005F0CE8" w:rsidRDefault="009C6A3A" w:rsidP="005C473F">
            <w:pPr>
              <w:pStyle w:val="Tabletext"/>
              <w:jc w:val="center"/>
              <w:rPr>
                <w:b/>
              </w:rPr>
            </w:pPr>
            <w:r w:rsidRPr="005F0CE8">
              <w:rPr>
                <w:b/>
              </w:rPr>
              <w:t xml:space="preserve">Step 1a: Trial based analysis </w:t>
            </w:r>
          </w:p>
        </w:tc>
        <w:tc>
          <w:tcPr>
            <w:tcW w:w="1781" w:type="pct"/>
            <w:gridSpan w:val="3"/>
            <w:shd w:val="clear" w:color="auto" w:fill="FFFFFF" w:themeFill="background1"/>
            <w:vAlign w:val="center"/>
          </w:tcPr>
          <w:p w14:paraId="2E36997A" w14:textId="77777777" w:rsidR="009C6A3A" w:rsidRPr="005F0CE8" w:rsidRDefault="009C6A3A" w:rsidP="005C473F">
            <w:pPr>
              <w:pStyle w:val="Tabletext"/>
              <w:jc w:val="center"/>
            </w:pPr>
            <w:r w:rsidRPr="005F0CE8">
              <w:t>As above</w:t>
            </w:r>
          </w:p>
        </w:tc>
        <w:tc>
          <w:tcPr>
            <w:tcW w:w="556" w:type="pct"/>
            <w:shd w:val="clear" w:color="auto" w:fill="FFFFFF" w:themeFill="background1"/>
            <w:vAlign w:val="center"/>
          </w:tcPr>
          <w:p w14:paraId="7FAAAADE" w14:textId="77777777" w:rsidR="009C6A3A" w:rsidRPr="005F0CE8" w:rsidRDefault="009C6A3A" w:rsidP="005C473F">
            <w:pPr>
              <w:pStyle w:val="Tabletext"/>
              <w:jc w:val="center"/>
            </w:pPr>
            <w:r w:rsidRPr="005F0CE8">
              <w:t>78.0%</w:t>
            </w:r>
          </w:p>
        </w:tc>
        <w:tc>
          <w:tcPr>
            <w:tcW w:w="617" w:type="pct"/>
            <w:shd w:val="clear" w:color="auto" w:fill="FFFFFF" w:themeFill="background1"/>
            <w:vAlign w:val="center"/>
          </w:tcPr>
          <w:p w14:paraId="516A06C6" w14:textId="77777777" w:rsidR="009C6A3A" w:rsidRPr="005F0CE8" w:rsidRDefault="009C6A3A" w:rsidP="005C473F">
            <w:pPr>
              <w:pStyle w:val="Tabletext"/>
              <w:jc w:val="center"/>
            </w:pPr>
            <w:r w:rsidRPr="005F0CE8">
              <w:t>69.7%</w:t>
            </w:r>
          </w:p>
        </w:tc>
        <w:tc>
          <w:tcPr>
            <w:tcW w:w="709" w:type="pct"/>
            <w:shd w:val="clear" w:color="auto" w:fill="FFFFFF" w:themeFill="background1"/>
            <w:vAlign w:val="center"/>
          </w:tcPr>
          <w:p w14:paraId="6B92CB25" w14:textId="77777777" w:rsidR="009C6A3A" w:rsidRPr="005F0CE8" w:rsidRDefault="009C6A3A" w:rsidP="005C473F">
            <w:pPr>
              <w:pStyle w:val="Tabletext"/>
              <w:jc w:val="center"/>
            </w:pPr>
            <w:r w:rsidRPr="005F0CE8">
              <w:t>8.3%</w:t>
            </w:r>
          </w:p>
        </w:tc>
        <w:tc>
          <w:tcPr>
            <w:tcW w:w="619" w:type="pct"/>
            <w:shd w:val="clear" w:color="auto" w:fill="FFFFFF" w:themeFill="background1"/>
            <w:vAlign w:val="center"/>
          </w:tcPr>
          <w:p w14:paraId="798835E3" w14:textId="66F908E9" w:rsidR="009C6A3A" w:rsidRPr="005F0CE8" w:rsidRDefault="009C6A3A" w:rsidP="005C473F">
            <w:pPr>
              <w:pStyle w:val="Tabletext"/>
              <w:jc w:val="center"/>
            </w:pPr>
            <w:r w:rsidRPr="005F0CE8">
              <w:t>$</w:t>
            </w:r>
            <w:r w:rsidR="003A26A8" w:rsidRPr="003A26A8">
              <w:rPr>
                <w:color w:val="000000"/>
                <w:spacing w:val="69"/>
                <w:shd w:val="solid" w:color="000000" w:fill="000000"/>
                <w:fitText w:val="380" w:id="-1234443258"/>
                <w14:textFill>
                  <w14:solidFill>
                    <w14:srgbClr w14:val="000000">
                      <w14:alpha w14:val="100000"/>
                    </w14:srgbClr>
                  </w14:solidFill>
                </w14:textFill>
              </w:rPr>
              <w:t>|||</w:t>
            </w:r>
            <w:r w:rsidR="003A26A8" w:rsidRPr="003A26A8">
              <w:rPr>
                <w:color w:val="000000"/>
                <w:spacing w:val="3"/>
                <w:shd w:val="solid" w:color="000000" w:fill="000000"/>
                <w:fitText w:val="380" w:id="-1234443258"/>
                <w14:textFill>
                  <w14:solidFill>
                    <w14:srgbClr w14:val="000000">
                      <w14:alpha w14:val="100000"/>
                    </w14:srgbClr>
                  </w14:solidFill>
                </w14:textFill>
              </w:rPr>
              <w:t>|</w:t>
            </w:r>
            <w:r w:rsidR="006940C6">
              <w:rPr>
                <w:vertAlign w:val="superscript"/>
              </w:rPr>
              <w:t>2</w:t>
            </w:r>
            <w:r w:rsidRPr="005F0CE8">
              <w:t xml:space="preserve"> per avoided recurrence</w:t>
            </w:r>
          </w:p>
        </w:tc>
      </w:tr>
      <w:tr w:rsidR="009C6A3A" w:rsidRPr="005F0CE8" w14:paraId="660D8ED9" w14:textId="77777777" w:rsidTr="005C473F">
        <w:trPr>
          <w:cantSplit/>
        </w:trPr>
        <w:tc>
          <w:tcPr>
            <w:tcW w:w="717" w:type="pct"/>
            <w:shd w:val="clear" w:color="auto" w:fill="FFFFFF" w:themeFill="background1"/>
            <w:vAlign w:val="center"/>
          </w:tcPr>
          <w:p w14:paraId="78E32586" w14:textId="77777777" w:rsidR="009C6A3A" w:rsidRPr="005F0CE8" w:rsidRDefault="009C6A3A" w:rsidP="005C473F">
            <w:pPr>
              <w:pStyle w:val="Tabletext"/>
              <w:jc w:val="center"/>
            </w:pPr>
          </w:p>
        </w:tc>
        <w:tc>
          <w:tcPr>
            <w:tcW w:w="1781" w:type="pct"/>
            <w:gridSpan w:val="3"/>
            <w:shd w:val="clear" w:color="auto" w:fill="FFFFFF" w:themeFill="background1"/>
            <w:vAlign w:val="center"/>
          </w:tcPr>
          <w:p w14:paraId="3D238462" w14:textId="77777777" w:rsidR="009C6A3A" w:rsidRPr="005F0CE8" w:rsidRDefault="009C6A3A" w:rsidP="005C473F">
            <w:pPr>
              <w:pStyle w:val="Tabletext"/>
              <w:jc w:val="center"/>
            </w:pPr>
            <w:r w:rsidRPr="005F0CE8">
              <w:t>As above plus cost of disease monitoring, subsequent therapies, and palliative care</w:t>
            </w:r>
          </w:p>
        </w:tc>
        <w:tc>
          <w:tcPr>
            <w:tcW w:w="1882" w:type="pct"/>
            <w:gridSpan w:val="3"/>
            <w:shd w:val="clear" w:color="auto" w:fill="FFFFFF" w:themeFill="background1"/>
            <w:vAlign w:val="center"/>
          </w:tcPr>
          <w:p w14:paraId="169A8370" w14:textId="77777777" w:rsidR="009C6A3A" w:rsidRPr="005F0CE8" w:rsidRDefault="009C6A3A" w:rsidP="005C473F">
            <w:pPr>
              <w:pStyle w:val="Tabletext"/>
              <w:jc w:val="center"/>
            </w:pPr>
            <w:r w:rsidRPr="005F0CE8">
              <w:t>Discounted life years</w:t>
            </w:r>
          </w:p>
        </w:tc>
        <w:tc>
          <w:tcPr>
            <w:tcW w:w="619" w:type="pct"/>
            <w:shd w:val="clear" w:color="auto" w:fill="FFFFFF" w:themeFill="background1"/>
            <w:vAlign w:val="center"/>
          </w:tcPr>
          <w:p w14:paraId="40B11F60" w14:textId="77777777" w:rsidR="009C6A3A" w:rsidRPr="005F0CE8" w:rsidRDefault="009C6A3A" w:rsidP="005C473F">
            <w:pPr>
              <w:pStyle w:val="Tabletext"/>
              <w:jc w:val="center"/>
            </w:pPr>
          </w:p>
        </w:tc>
      </w:tr>
      <w:tr w:rsidR="009C6A3A" w:rsidRPr="005F0CE8" w14:paraId="5716B110" w14:textId="77777777" w:rsidTr="005C473F">
        <w:trPr>
          <w:cantSplit/>
        </w:trPr>
        <w:tc>
          <w:tcPr>
            <w:tcW w:w="717" w:type="pct"/>
            <w:shd w:val="clear" w:color="auto" w:fill="FFFFFF" w:themeFill="background1"/>
            <w:vAlign w:val="center"/>
          </w:tcPr>
          <w:p w14:paraId="312E0708" w14:textId="77777777" w:rsidR="009C6A3A" w:rsidRPr="005F0CE8" w:rsidRDefault="009C6A3A" w:rsidP="005C473F">
            <w:pPr>
              <w:pStyle w:val="Tabletext"/>
              <w:jc w:val="center"/>
              <w:rPr>
                <w:b/>
              </w:rPr>
            </w:pPr>
            <w:r w:rsidRPr="005F0CE8">
              <w:rPr>
                <w:b/>
              </w:rPr>
              <w:t>Step 2: Modelled analysis (LYs)</w:t>
            </w:r>
            <w:r w:rsidRPr="005F0CE8">
              <w:rPr>
                <w:b/>
                <w:vertAlign w:val="superscript"/>
              </w:rPr>
              <w:t>a</w:t>
            </w:r>
          </w:p>
        </w:tc>
        <w:tc>
          <w:tcPr>
            <w:tcW w:w="515" w:type="pct"/>
            <w:shd w:val="clear" w:color="auto" w:fill="FFFFFF" w:themeFill="background1"/>
            <w:vAlign w:val="center"/>
          </w:tcPr>
          <w:p w14:paraId="4DD07C79" w14:textId="1F18F49A" w:rsidR="009C6A3A" w:rsidRPr="005F0CE8" w:rsidRDefault="009C6A3A" w:rsidP="005C473F">
            <w:pPr>
              <w:pStyle w:val="Tabletext"/>
              <w:jc w:val="center"/>
              <w:rPr>
                <w:rFonts w:ascii="Times" w:hAnsi="Times"/>
              </w:rPr>
            </w:pPr>
            <w:r w:rsidRPr="005F0CE8">
              <w:t>$</w:t>
            </w:r>
            <w:r w:rsidR="003A26A8" w:rsidRPr="003A26A8">
              <w:rPr>
                <w:color w:val="000000"/>
                <w:spacing w:val="214"/>
                <w:shd w:val="solid" w:color="000000" w:fill="000000"/>
                <w:fitText w:val="300" w:id="-1234443257"/>
                <w14:textFill>
                  <w14:solidFill>
                    <w14:srgbClr w14:val="000000">
                      <w14:alpha w14:val="100000"/>
                    </w14:srgbClr>
                  </w14:solidFill>
                </w14:textFill>
              </w:rPr>
              <w:t>|</w:t>
            </w:r>
            <w:r w:rsidR="003A26A8" w:rsidRPr="003A26A8">
              <w:rPr>
                <w:color w:val="000000"/>
                <w:spacing w:val="1"/>
                <w:shd w:val="solid" w:color="000000" w:fill="000000"/>
                <w:fitText w:val="300" w:id="-1234443257"/>
                <w14:textFill>
                  <w14:solidFill>
                    <w14:srgbClr w14:val="000000">
                      <w14:alpha w14:val="100000"/>
                    </w14:srgbClr>
                  </w14:solidFill>
                </w14:textFill>
              </w:rPr>
              <w:t>|</w:t>
            </w:r>
          </w:p>
        </w:tc>
        <w:tc>
          <w:tcPr>
            <w:tcW w:w="665" w:type="pct"/>
            <w:shd w:val="clear" w:color="auto" w:fill="FFFFFF" w:themeFill="background1"/>
            <w:vAlign w:val="center"/>
          </w:tcPr>
          <w:p w14:paraId="5243FB22" w14:textId="77777777" w:rsidR="009C6A3A" w:rsidRPr="005F0CE8" w:rsidRDefault="009C6A3A" w:rsidP="005C473F">
            <w:pPr>
              <w:pStyle w:val="Tabletext"/>
              <w:jc w:val="center"/>
              <w:rPr>
                <w:rFonts w:ascii="Times" w:hAnsi="Times"/>
              </w:rPr>
            </w:pPr>
            <w:r w:rsidRPr="005F0CE8">
              <w:t>$37,929</w:t>
            </w:r>
          </w:p>
        </w:tc>
        <w:tc>
          <w:tcPr>
            <w:tcW w:w="601" w:type="pct"/>
            <w:shd w:val="clear" w:color="auto" w:fill="FFFFFF" w:themeFill="background1"/>
            <w:vAlign w:val="center"/>
          </w:tcPr>
          <w:p w14:paraId="150624A4" w14:textId="27097DF0" w:rsidR="009C6A3A" w:rsidRPr="005F0CE8" w:rsidRDefault="009C6A3A" w:rsidP="005C473F">
            <w:pPr>
              <w:pStyle w:val="Tabletext"/>
              <w:jc w:val="center"/>
              <w:rPr>
                <w:rFonts w:ascii="Times" w:hAnsi="Times"/>
              </w:rPr>
            </w:pPr>
            <w:r w:rsidRPr="005F0CE8">
              <w:t>$</w:t>
            </w:r>
            <w:r w:rsidR="003A26A8" w:rsidRPr="003A26A8">
              <w:rPr>
                <w:color w:val="000000"/>
                <w:spacing w:val="45"/>
                <w:shd w:val="solid" w:color="000000" w:fill="000000"/>
                <w:fitText w:val="219" w:id="-1234443008"/>
                <w14:textFill>
                  <w14:solidFill>
                    <w14:srgbClr w14:val="000000">
                      <w14:alpha w14:val="100000"/>
                    </w14:srgbClr>
                  </w14:solidFill>
                </w14:textFill>
              </w:rPr>
              <w:t>||</w:t>
            </w:r>
            <w:r w:rsidR="003A26A8" w:rsidRPr="003A26A8">
              <w:rPr>
                <w:color w:val="000000"/>
                <w:spacing w:val="2"/>
                <w:shd w:val="solid" w:color="000000" w:fill="000000"/>
                <w:fitText w:val="219" w:id="-1234443008"/>
                <w14:textFill>
                  <w14:solidFill>
                    <w14:srgbClr w14:val="000000">
                      <w14:alpha w14:val="100000"/>
                    </w14:srgbClr>
                  </w14:solidFill>
                </w14:textFill>
              </w:rPr>
              <w:t>|</w:t>
            </w:r>
          </w:p>
        </w:tc>
        <w:tc>
          <w:tcPr>
            <w:tcW w:w="556" w:type="pct"/>
            <w:shd w:val="clear" w:color="auto" w:fill="FFFFFF" w:themeFill="background1"/>
            <w:vAlign w:val="center"/>
          </w:tcPr>
          <w:p w14:paraId="27B86087" w14:textId="77777777" w:rsidR="009C6A3A" w:rsidRPr="005F0CE8" w:rsidRDefault="009C6A3A" w:rsidP="005C473F">
            <w:pPr>
              <w:pStyle w:val="Tabletext"/>
              <w:jc w:val="center"/>
              <w:rPr>
                <w:rFonts w:ascii="Times" w:hAnsi="Times"/>
              </w:rPr>
            </w:pPr>
            <w:r w:rsidRPr="005F0CE8">
              <w:t>14.32</w:t>
            </w:r>
          </w:p>
        </w:tc>
        <w:tc>
          <w:tcPr>
            <w:tcW w:w="617" w:type="pct"/>
            <w:shd w:val="clear" w:color="auto" w:fill="FFFFFF" w:themeFill="background1"/>
            <w:vAlign w:val="center"/>
          </w:tcPr>
          <w:p w14:paraId="675BD051" w14:textId="77777777" w:rsidR="009C6A3A" w:rsidRPr="005F0CE8" w:rsidRDefault="009C6A3A" w:rsidP="005C473F">
            <w:pPr>
              <w:pStyle w:val="Tabletext"/>
              <w:jc w:val="center"/>
              <w:rPr>
                <w:rFonts w:ascii="Times" w:hAnsi="Times"/>
              </w:rPr>
            </w:pPr>
            <w:r w:rsidRPr="005F0CE8">
              <w:t>13.15</w:t>
            </w:r>
          </w:p>
        </w:tc>
        <w:tc>
          <w:tcPr>
            <w:tcW w:w="709" w:type="pct"/>
            <w:shd w:val="clear" w:color="auto" w:fill="FFFFFF" w:themeFill="background1"/>
            <w:vAlign w:val="center"/>
          </w:tcPr>
          <w:p w14:paraId="485392E2" w14:textId="77777777" w:rsidR="009C6A3A" w:rsidRPr="005F0CE8" w:rsidRDefault="009C6A3A" w:rsidP="005C473F">
            <w:pPr>
              <w:pStyle w:val="Tabletext"/>
              <w:jc w:val="center"/>
              <w:rPr>
                <w:rFonts w:ascii="Times" w:hAnsi="Times"/>
              </w:rPr>
            </w:pPr>
            <w:r w:rsidRPr="005F0CE8">
              <w:t>1.169</w:t>
            </w:r>
          </w:p>
        </w:tc>
        <w:tc>
          <w:tcPr>
            <w:tcW w:w="619" w:type="pct"/>
            <w:shd w:val="clear" w:color="auto" w:fill="FFFFFF" w:themeFill="background1"/>
            <w:vAlign w:val="center"/>
          </w:tcPr>
          <w:p w14:paraId="4936D1AD" w14:textId="2E4603C5" w:rsidR="009C6A3A" w:rsidRPr="005F0CE8" w:rsidRDefault="009C6A3A" w:rsidP="005C473F">
            <w:pPr>
              <w:pStyle w:val="Tabletext"/>
              <w:jc w:val="center"/>
              <w:rPr>
                <w:rFonts w:ascii="Times" w:hAnsi="Times"/>
              </w:rPr>
            </w:pPr>
            <w:r w:rsidRPr="005F0CE8">
              <w:t>$</w:t>
            </w:r>
            <w:r w:rsidR="003A26A8" w:rsidRPr="003A26A8">
              <w:rPr>
                <w:color w:val="000000"/>
                <w:spacing w:val="34"/>
                <w:shd w:val="solid" w:color="000000" w:fill="000000"/>
                <w:fitText w:val="426" w:id="-1234443007"/>
                <w14:textFill>
                  <w14:solidFill>
                    <w14:srgbClr w14:val="000000">
                      <w14:alpha w14:val="100000"/>
                    </w14:srgbClr>
                  </w14:solidFill>
                </w14:textFill>
              </w:rPr>
              <w:t>|||||</w:t>
            </w:r>
            <w:r w:rsidR="003A26A8" w:rsidRPr="003A26A8">
              <w:rPr>
                <w:color w:val="000000"/>
                <w:spacing w:val="1"/>
                <w:shd w:val="solid" w:color="000000" w:fill="000000"/>
                <w:fitText w:val="426" w:id="-1234443007"/>
                <w14:textFill>
                  <w14:solidFill>
                    <w14:srgbClr w14:val="000000">
                      <w14:alpha w14:val="100000"/>
                    </w14:srgbClr>
                  </w14:solidFill>
                </w14:textFill>
              </w:rPr>
              <w:t>|</w:t>
            </w:r>
            <w:r w:rsidR="006940C6">
              <w:rPr>
                <w:vertAlign w:val="superscript"/>
              </w:rPr>
              <w:t>3</w:t>
            </w:r>
            <w:r w:rsidRPr="005F0CE8">
              <w:t>/LYG</w:t>
            </w:r>
          </w:p>
        </w:tc>
      </w:tr>
      <w:tr w:rsidR="009C6A3A" w:rsidRPr="005F0CE8" w14:paraId="14FA6938" w14:textId="77777777" w:rsidTr="005C473F">
        <w:trPr>
          <w:cantSplit/>
        </w:trPr>
        <w:tc>
          <w:tcPr>
            <w:tcW w:w="717" w:type="pct"/>
            <w:shd w:val="clear" w:color="auto" w:fill="FFFFFF" w:themeFill="background1"/>
            <w:vAlign w:val="center"/>
          </w:tcPr>
          <w:p w14:paraId="1C939D23" w14:textId="77777777" w:rsidR="009C6A3A" w:rsidRPr="005F0CE8" w:rsidRDefault="009C6A3A" w:rsidP="005C473F">
            <w:pPr>
              <w:pStyle w:val="Tabletext"/>
              <w:jc w:val="center"/>
            </w:pPr>
          </w:p>
        </w:tc>
        <w:tc>
          <w:tcPr>
            <w:tcW w:w="1781" w:type="pct"/>
            <w:gridSpan w:val="3"/>
            <w:shd w:val="clear" w:color="auto" w:fill="FFFFFF" w:themeFill="background1"/>
            <w:vAlign w:val="center"/>
          </w:tcPr>
          <w:p w14:paraId="660017E3" w14:textId="77777777" w:rsidR="009C6A3A" w:rsidRPr="005F0CE8" w:rsidRDefault="009C6A3A" w:rsidP="005C473F">
            <w:pPr>
              <w:pStyle w:val="Tabletext"/>
              <w:jc w:val="center"/>
            </w:pPr>
            <w:r w:rsidRPr="005F0CE8">
              <w:t>As above</w:t>
            </w:r>
          </w:p>
        </w:tc>
        <w:tc>
          <w:tcPr>
            <w:tcW w:w="1882" w:type="pct"/>
            <w:gridSpan w:val="3"/>
            <w:shd w:val="clear" w:color="auto" w:fill="FFFFFF" w:themeFill="background1"/>
            <w:vAlign w:val="center"/>
          </w:tcPr>
          <w:p w14:paraId="2CA146F1" w14:textId="77777777" w:rsidR="009C6A3A" w:rsidRPr="005F0CE8" w:rsidRDefault="009C6A3A" w:rsidP="005C473F">
            <w:pPr>
              <w:pStyle w:val="Tabletext"/>
              <w:jc w:val="center"/>
            </w:pPr>
            <w:r w:rsidRPr="005F0CE8">
              <w:t>Transformation using utility values for IDFS, non-mBC and mBC health states</w:t>
            </w:r>
          </w:p>
        </w:tc>
        <w:tc>
          <w:tcPr>
            <w:tcW w:w="619" w:type="pct"/>
            <w:shd w:val="clear" w:color="auto" w:fill="FFFFFF" w:themeFill="background1"/>
            <w:vAlign w:val="center"/>
          </w:tcPr>
          <w:p w14:paraId="422B5F78" w14:textId="77777777" w:rsidR="009C6A3A" w:rsidRPr="005F0CE8" w:rsidRDefault="009C6A3A" w:rsidP="005C473F">
            <w:pPr>
              <w:pStyle w:val="Tabletext"/>
              <w:jc w:val="center"/>
            </w:pPr>
          </w:p>
        </w:tc>
      </w:tr>
      <w:tr w:rsidR="009C6A3A" w:rsidRPr="005F0CE8" w14:paraId="4ECDF5C6" w14:textId="77777777" w:rsidTr="005C473F">
        <w:trPr>
          <w:cantSplit/>
        </w:trPr>
        <w:tc>
          <w:tcPr>
            <w:tcW w:w="717" w:type="pct"/>
            <w:shd w:val="clear" w:color="auto" w:fill="FFFFFF" w:themeFill="background1"/>
            <w:vAlign w:val="center"/>
          </w:tcPr>
          <w:p w14:paraId="65A34F06" w14:textId="77777777" w:rsidR="009C6A3A" w:rsidRPr="005F0CE8" w:rsidRDefault="009C6A3A" w:rsidP="005C473F">
            <w:pPr>
              <w:pStyle w:val="Tabletext"/>
              <w:jc w:val="center"/>
              <w:rPr>
                <w:b/>
              </w:rPr>
            </w:pPr>
            <w:r w:rsidRPr="005F0CE8">
              <w:rPr>
                <w:b/>
              </w:rPr>
              <w:t>Step 3: Modelled analysis (QALYs)</w:t>
            </w:r>
            <w:r w:rsidRPr="005F0CE8">
              <w:rPr>
                <w:b/>
                <w:vertAlign w:val="superscript"/>
              </w:rPr>
              <w:t>a</w:t>
            </w:r>
          </w:p>
        </w:tc>
        <w:tc>
          <w:tcPr>
            <w:tcW w:w="515" w:type="pct"/>
            <w:shd w:val="clear" w:color="auto" w:fill="FFFFFF" w:themeFill="background1"/>
            <w:vAlign w:val="center"/>
          </w:tcPr>
          <w:p w14:paraId="451B9689" w14:textId="6C3D9F0E" w:rsidR="009C6A3A" w:rsidRPr="005F0CE8" w:rsidRDefault="009C6A3A" w:rsidP="005C473F">
            <w:pPr>
              <w:pStyle w:val="Tabletext"/>
              <w:jc w:val="center"/>
              <w:rPr>
                <w:rFonts w:ascii="Times" w:hAnsi="Times"/>
              </w:rPr>
            </w:pPr>
            <w:r w:rsidRPr="005F0CE8">
              <w:t>$</w:t>
            </w:r>
            <w:r w:rsidR="003A26A8" w:rsidRPr="003A26A8">
              <w:rPr>
                <w:color w:val="000000"/>
                <w:spacing w:val="214"/>
                <w:shd w:val="solid" w:color="000000" w:fill="000000"/>
                <w:fitText w:val="300" w:id="-1234443006"/>
                <w14:textFill>
                  <w14:solidFill>
                    <w14:srgbClr w14:val="000000">
                      <w14:alpha w14:val="100000"/>
                    </w14:srgbClr>
                  </w14:solidFill>
                </w14:textFill>
              </w:rPr>
              <w:t>|</w:t>
            </w:r>
            <w:r w:rsidR="003A26A8" w:rsidRPr="003A26A8">
              <w:rPr>
                <w:color w:val="000000"/>
                <w:spacing w:val="1"/>
                <w:shd w:val="solid" w:color="000000" w:fill="000000"/>
                <w:fitText w:val="300" w:id="-1234443006"/>
                <w14:textFill>
                  <w14:solidFill>
                    <w14:srgbClr w14:val="000000">
                      <w14:alpha w14:val="100000"/>
                    </w14:srgbClr>
                  </w14:solidFill>
                </w14:textFill>
              </w:rPr>
              <w:t>|</w:t>
            </w:r>
          </w:p>
        </w:tc>
        <w:tc>
          <w:tcPr>
            <w:tcW w:w="665" w:type="pct"/>
            <w:shd w:val="clear" w:color="auto" w:fill="FFFFFF" w:themeFill="background1"/>
            <w:vAlign w:val="center"/>
          </w:tcPr>
          <w:p w14:paraId="4E6ADB30" w14:textId="77777777" w:rsidR="009C6A3A" w:rsidRPr="005F0CE8" w:rsidRDefault="009C6A3A" w:rsidP="005C473F">
            <w:pPr>
              <w:pStyle w:val="Tabletext"/>
              <w:jc w:val="center"/>
              <w:rPr>
                <w:rFonts w:ascii="Times" w:hAnsi="Times"/>
              </w:rPr>
            </w:pPr>
            <w:r w:rsidRPr="005F0CE8">
              <w:t>$37,929</w:t>
            </w:r>
          </w:p>
        </w:tc>
        <w:tc>
          <w:tcPr>
            <w:tcW w:w="601" w:type="pct"/>
            <w:shd w:val="clear" w:color="auto" w:fill="FFFFFF" w:themeFill="background1"/>
            <w:vAlign w:val="center"/>
          </w:tcPr>
          <w:p w14:paraId="74679CF9" w14:textId="5FF3E3F0" w:rsidR="009C6A3A" w:rsidRPr="005F0CE8" w:rsidRDefault="009C6A3A" w:rsidP="005C473F">
            <w:pPr>
              <w:pStyle w:val="Tabletext"/>
              <w:jc w:val="center"/>
              <w:rPr>
                <w:rFonts w:ascii="Times" w:hAnsi="Times"/>
              </w:rPr>
            </w:pPr>
            <w:r w:rsidRPr="005F0CE8">
              <w:t>$</w:t>
            </w:r>
            <w:r w:rsidR="003A26A8" w:rsidRPr="003A26A8">
              <w:rPr>
                <w:color w:val="000000"/>
                <w:spacing w:val="45"/>
                <w:shd w:val="solid" w:color="000000" w:fill="000000"/>
                <w:fitText w:val="219" w:id="-1234443005"/>
                <w14:textFill>
                  <w14:solidFill>
                    <w14:srgbClr w14:val="000000">
                      <w14:alpha w14:val="100000"/>
                    </w14:srgbClr>
                  </w14:solidFill>
                </w14:textFill>
              </w:rPr>
              <w:t>||</w:t>
            </w:r>
            <w:r w:rsidR="003A26A8" w:rsidRPr="003A26A8">
              <w:rPr>
                <w:color w:val="000000"/>
                <w:spacing w:val="2"/>
                <w:shd w:val="solid" w:color="000000" w:fill="000000"/>
                <w:fitText w:val="219" w:id="-1234443005"/>
                <w14:textFill>
                  <w14:solidFill>
                    <w14:srgbClr w14:val="000000">
                      <w14:alpha w14:val="100000"/>
                    </w14:srgbClr>
                  </w14:solidFill>
                </w14:textFill>
              </w:rPr>
              <w:t>|</w:t>
            </w:r>
          </w:p>
        </w:tc>
        <w:tc>
          <w:tcPr>
            <w:tcW w:w="556" w:type="pct"/>
            <w:shd w:val="clear" w:color="auto" w:fill="FFFFFF" w:themeFill="background1"/>
            <w:vAlign w:val="center"/>
          </w:tcPr>
          <w:p w14:paraId="45FDE2CF" w14:textId="77777777" w:rsidR="009C6A3A" w:rsidRPr="005F0CE8" w:rsidRDefault="009C6A3A" w:rsidP="005C473F">
            <w:pPr>
              <w:pStyle w:val="Tabletext"/>
              <w:jc w:val="center"/>
            </w:pPr>
            <w:r w:rsidRPr="005F0CE8">
              <w:t>12.360</w:t>
            </w:r>
          </w:p>
        </w:tc>
        <w:tc>
          <w:tcPr>
            <w:tcW w:w="617" w:type="pct"/>
            <w:shd w:val="clear" w:color="auto" w:fill="FFFFFF" w:themeFill="background1"/>
            <w:vAlign w:val="center"/>
          </w:tcPr>
          <w:p w14:paraId="37F2FDD6" w14:textId="77777777" w:rsidR="009C6A3A" w:rsidRPr="005F0CE8" w:rsidRDefault="009C6A3A" w:rsidP="005C473F">
            <w:pPr>
              <w:pStyle w:val="Tabletext"/>
              <w:jc w:val="center"/>
            </w:pPr>
            <w:r w:rsidRPr="005F0CE8">
              <w:t>11.321</w:t>
            </w:r>
          </w:p>
        </w:tc>
        <w:tc>
          <w:tcPr>
            <w:tcW w:w="709" w:type="pct"/>
            <w:shd w:val="clear" w:color="auto" w:fill="FFFFFF" w:themeFill="background1"/>
            <w:vAlign w:val="center"/>
          </w:tcPr>
          <w:p w14:paraId="0000BE08" w14:textId="77777777" w:rsidR="009C6A3A" w:rsidRPr="005F0CE8" w:rsidRDefault="009C6A3A" w:rsidP="005C473F">
            <w:pPr>
              <w:pStyle w:val="Tabletext"/>
              <w:jc w:val="center"/>
            </w:pPr>
            <w:r w:rsidRPr="005F0CE8">
              <w:t>1.039</w:t>
            </w:r>
          </w:p>
        </w:tc>
        <w:tc>
          <w:tcPr>
            <w:tcW w:w="619" w:type="pct"/>
            <w:shd w:val="clear" w:color="auto" w:fill="FFFFFF" w:themeFill="background1"/>
            <w:vAlign w:val="center"/>
          </w:tcPr>
          <w:p w14:paraId="3786F0BB" w14:textId="65BF1B3F" w:rsidR="009C6A3A" w:rsidRPr="005F0CE8" w:rsidRDefault="009C6A3A" w:rsidP="005C473F">
            <w:pPr>
              <w:pStyle w:val="Tabletext"/>
              <w:jc w:val="center"/>
              <w:rPr>
                <w:rFonts w:ascii="Times" w:hAnsi="Times"/>
              </w:rPr>
            </w:pPr>
            <w:r w:rsidRPr="005F0CE8">
              <w:t>$</w:t>
            </w:r>
            <w:r w:rsidR="003A26A8" w:rsidRPr="003A26A8">
              <w:rPr>
                <w:color w:val="000000"/>
                <w:spacing w:val="168"/>
                <w:shd w:val="solid" w:color="000000" w:fill="000000"/>
                <w:fitText w:val="254" w:id="-1234443004"/>
                <w14:textFill>
                  <w14:solidFill>
                    <w14:srgbClr w14:val="000000">
                      <w14:alpha w14:val="100000"/>
                    </w14:srgbClr>
                  </w14:solidFill>
                </w14:textFill>
              </w:rPr>
              <w:t>|</w:t>
            </w:r>
            <w:r w:rsidR="003A26A8" w:rsidRPr="003A26A8">
              <w:rPr>
                <w:color w:val="000000"/>
                <w:spacing w:val="1"/>
                <w:shd w:val="solid" w:color="000000" w:fill="000000"/>
                <w:fitText w:val="254" w:id="-1234443004"/>
                <w14:textFill>
                  <w14:solidFill>
                    <w14:srgbClr w14:val="000000">
                      <w14:alpha w14:val="100000"/>
                    </w14:srgbClr>
                  </w14:solidFill>
                </w14:textFill>
              </w:rPr>
              <w:t>|</w:t>
            </w:r>
            <w:r w:rsidR="006940C6">
              <w:rPr>
                <w:vertAlign w:val="superscript"/>
              </w:rPr>
              <w:t>4</w:t>
            </w:r>
            <w:r w:rsidRPr="006940C6">
              <w:t>/</w:t>
            </w:r>
            <w:r w:rsidR="006940C6">
              <w:t xml:space="preserve"> </w:t>
            </w:r>
            <w:r w:rsidRPr="005F0CE8">
              <w:t>QALY</w:t>
            </w:r>
          </w:p>
        </w:tc>
      </w:tr>
    </w:tbl>
    <w:p w14:paraId="4E5A8B44" w14:textId="77777777" w:rsidR="009C6A3A" w:rsidRPr="005F0CE8" w:rsidRDefault="009C6A3A" w:rsidP="009C6A3A">
      <w:pPr>
        <w:pStyle w:val="FooterTableFigure"/>
      </w:pPr>
      <w:r w:rsidRPr="005F0CE8">
        <w:t>Source: Generated during the evaluation from the economic evaluation spreadsheet.</w:t>
      </w:r>
    </w:p>
    <w:p w14:paraId="029D7D7C" w14:textId="53CF8433" w:rsidR="009C6A3A" w:rsidRPr="005F0CE8" w:rsidRDefault="009C6A3A" w:rsidP="009C6A3A">
      <w:pPr>
        <w:pStyle w:val="FooterTableFigure"/>
      </w:pPr>
      <w:r w:rsidRPr="005F0CE8">
        <w:rPr>
          <w:vertAlign w:val="superscript"/>
        </w:rPr>
        <w:t>a</w:t>
      </w:r>
      <w:r w:rsidRPr="005F0CE8">
        <w:t xml:space="preserve">Modelled costs and outcomes are for the ‘trial population’ and do not include patients without </w:t>
      </w:r>
      <w:r w:rsidR="009E092C" w:rsidRPr="009E092C">
        <w:rPr>
          <w:i/>
        </w:rPr>
        <w:t xml:space="preserve">BRCA </w:t>
      </w:r>
      <w:r w:rsidRPr="005F0CE8">
        <w:t>mutations. This has been done so that the costs relate to a full course of olaparib per patient vs a full course of placebo per patient. The cost per patient in the testing population relates to only 12.6% of the cost of olaparib. The ICER remains the same as the benefits are also only 12.6% of the whole population. However, the numbers are not intuitive.</w:t>
      </w:r>
    </w:p>
    <w:p w14:paraId="2D7D919E" w14:textId="272175E8" w:rsidR="009C6A3A" w:rsidRDefault="009C6A3A" w:rsidP="006940C6">
      <w:pPr>
        <w:pStyle w:val="FooterTableFigure"/>
        <w:spacing w:after="0"/>
      </w:pPr>
      <w:r w:rsidRPr="005F0CE8">
        <w:t>IDFS = invasive disease free survival; LY = life years; LYG = life years gained; mBC = metastatic breast cancer recurrence; non-mBC = non-metastatic breast cancer recurrence; QALY = quality-adjusted life years.</w:t>
      </w:r>
    </w:p>
    <w:p w14:paraId="04A90D8A" w14:textId="77777777" w:rsidR="006940C6" w:rsidRPr="009A6D58" w:rsidRDefault="006940C6" w:rsidP="006940C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4790E3E" w14:textId="5D1F1142" w:rsidR="006940C6" w:rsidRPr="009A6D58" w:rsidRDefault="006940C6" w:rsidP="006940C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6940C6">
        <w:rPr>
          <w:rFonts w:ascii="Arial Narrow" w:hAnsi="Arial Narrow"/>
          <w:i/>
          <w:sz w:val="18"/>
          <w:szCs w:val="18"/>
        </w:rPr>
        <w:t>$115,000 to &lt; $135,000</w:t>
      </w:r>
    </w:p>
    <w:p w14:paraId="132459AF" w14:textId="7F15F5A0" w:rsidR="006940C6" w:rsidRDefault="006940C6" w:rsidP="006940C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6940C6">
        <w:rPr>
          <w:rFonts w:ascii="Arial Narrow" w:hAnsi="Arial Narrow"/>
          <w:i/>
          <w:sz w:val="18"/>
          <w:szCs w:val="18"/>
        </w:rPr>
        <w:t>$655,000 to &lt; $755,000</w:t>
      </w:r>
    </w:p>
    <w:p w14:paraId="74915D65" w14:textId="6ADE5177" w:rsidR="006940C6" w:rsidRDefault="006940C6" w:rsidP="006940C6">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942345">
        <w:rPr>
          <w:rFonts w:ascii="Arial Narrow" w:hAnsi="Arial Narrow"/>
          <w:i/>
          <w:sz w:val="18"/>
          <w:szCs w:val="18"/>
        </w:rPr>
        <w:t>35,000 to &lt; $45,000</w:t>
      </w:r>
    </w:p>
    <w:p w14:paraId="49B50545" w14:textId="6077E963" w:rsidR="006940C6" w:rsidRPr="006940C6" w:rsidRDefault="006940C6" w:rsidP="006940C6">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245EE">
        <w:rPr>
          <w:rFonts w:ascii="Arial Narrow" w:hAnsi="Arial Narrow"/>
          <w:i/>
          <w:sz w:val="18"/>
          <w:szCs w:val="18"/>
        </w:rPr>
        <w:t>$45,000 to &lt; $55,000</w:t>
      </w:r>
    </w:p>
    <w:p w14:paraId="220A2B7E" w14:textId="435DC51D" w:rsidR="007D4F5A" w:rsidRPr="005F0CE8" w:rsidRDefault="007D4F5A" w:rsidP="00477BB3">
      <w:pPr>
        <w:pStyle w:val="3-BodyText"/>
      </w:pPr>
      <w:bookmarkStart w:id="83" w:name="_Ref127890873"/>
      <w:r w:rsidRPr="005F0CE8">
        <w:t xml:space="preserve">The </w:t>
      </w:r>
      <w:r w:rsidR="00696DEA" w:rsidRPr="005F0CE8">
        <w:t xml:space="preserve">commentary stated that </w:t>
      </w:r>
      <w:r w:rsidRPr="005F0CE8">
        <w:t>key uncertainties in the model relate</w:t>
      </w:r>
      <w:r w:rsidR="00696DEA" w:rsidRPr="005F0CE8">
        <w:t>d</w:t>
      </w:r>
      <w:r w:rsidRPr="005F0CE8">
        <w:t xml:space="preserve"> to assumptions implicit in the structure of the model. Briefly, there </w:t>
      </w:r>
      <w:r w:rsidR="00696DEA" w:rsidRPr="005F0CE8">
        <w:t>was</w:t>
      </w:r>
      <w:r w:rsidRPr="005F0CE8">
        <w:t xml:space="preserve"> an assumption that, at 5 years following the initiation of adjuvant therapy (or placebo), the recurrence rate </w:t>
      </w:r>
      <w:r w:rsidR="00696DEA" w:rsidRPr="005F0CE8">
        <w:t xml:space="preserve">was </w:t>
      </w:r>
      <w:r w:rsidRPr="005F0CE8">
        <w:t xml:space="preserve">reduced and </w:t>
      </w:r>
      <w:r w:rsidR="00696DEA" w:rsidRPr="005F0CE8">
        <w:t>was</w:t>
      </w:r>
      <w:r w:rsidRPr="005F0CE8">
        <w:t xml:space="preserve"> equivalent across the arms. By 10 years into the model, no recurrences </w:t>
      </w:r>
      <w:r w:rsidR="00696DEA" w:rsidRPr="005F0CE8">
        <w:t>were</w:t>
      </w:r>
      <w:r w:rsidRPr="005F0CE8">
        <w:t xml:space="preserve"> modelled. This result</w:t>
      </w:r>
      <w:r w:rsidR="00696DEA" w:rsidRPr="005F0CE8">
        <w:t>ed</w:t>
      </w:r>
      <w:r w:rsidRPr="005F0CE8">
        <w:t xml:space="preserve"> in two major concerns. Firstly, it assume</w:t>
      </w:r>
      <w:r w:rsidR="00696DEA" w:rsidRPr="005F0CE8">
        <w:t>d</w:t>
      </w:r>
      <w:r w:rsidRPr="005F0CE8">
        <w:t xml:space="preserve"> that the entire difference between the olaparib IDFS curve and the placebo IDFS curve at 5 years </w:t>
      </w:r>
      <w:r w:rsidR="00696DEA" w:rsidRPr="005F0CE8">
        <w:t>was</w:t>
      </w:r>
      <w:r w:rsidRPr="005F0CE8">
        <w:t xml:space="preserve"> a consequence of people being cured of eBC by olaparib, rather than being delayed. Secondly, by applying a lower rate of recurrence and then no recurrence, the opportunity for recurrences to narrow the distance between the olaparib IDFS curve and the placebo IDFS curve </w:t>
      </w:r>
      <w:r w:rsidR="00944062" w:rsidRPr="005F0CE8">
        <w:t>was</w:t>
      </w:r>
      <w:r w:rsidRPr="005F0CE8">
        <w:t xml:space="preserve"> limited. Increasing recurrence </w:t>
      </w:r>
      <w:r w:rsidRPr="005F0CE8">
        <w:lastRenderedPageBreak/>
        <w:t xml:space="preserve">rates during this time, even if set to equivalent across the arms, would affect the olaparib curve more </w:t>
      </w:r>
      <w:r w:rsidR="00944062" w:rsidRPr="005F0CE8">
        <w:t>due to the</w:t>
      </w:r>
      <w:r w:rsidRPr="005F0CE8">
        <w:t xml:space="preserve"> greater proportion of patients in the IDFS health state.</w:t>
      </w:r>
      <w:bookmarkEnd w:id="83"/>
      <w:r w:rsidRPr="005F0CE8">
        <w:t xml:space="preserve"> </w:t>
      </w:r>
    </w:p>
    <w:p w14:paraId="7B333ED0" w14:textId="10EB06A6" w:rsidR="007D4F5A" w:rsidRPr="005F0CE8" w:rsidRDefault="009C79DC" w:rsidP="00477BB3">
      <w:pPr>
        <w:pStyle w:val="3-BodyText"/>
      </w:pPr>
      <w:r w:rsidRPr="005F0CE8">
        <w:t>T</w:t>
      </w:r>
      <w:r w:rsidR="007D4F5A" w:rsidRPr="005F0CE8">
        <w:t xml:space="preserve">he application of a reduced recurrence at 5 years in both arms </w:t>
      </w:r>
      <w:r w:rsidRPr="005F0CE8">
        <w:t xml:space="preserve">may not be </w:t>
      </w:r>
      <w:r w:rsidR="007D4F5A" w:rsidRPr="005F0CE8">
        <w:t xml:space="preserve">justified. The application of a 1% (approx.) recurrence rate from 5 years to 10 years </w:t>
      </w:r>
      <w:r w:rsidRPr="005F0CE8">
        <w:t>was</w:t>
      </w:r>
      <w:r w:rsidR="007D4F5A" w:rsidRPr="005F0CE8">
        <w:t xml:space="preserve"> based on published data in which adjuvant therapy was unlikely used, and no comparison of the rates between a population that received adjuvant therapy with a PARP inhibitor versus no treatment have been provided. It is possible that the use of olaparib could result in a recurrence occurring at for example, 6 years in a patient that would have otherwise recurred at 4 years. That recurrences could have been substantially delayed, rather than avoided altogether, might be evidenced by the reducing increment between the IDFS curves of the olaparib and placebo arms towards the end of the trial period.</w:t>
      </w:r>
    </w:p>
    <w:p w14:paraId="77FD9AAF" w14:textId="40803D42" w:rsidR="007D4F5A" w:rsidRPr="005F0CE8" w:rsidRDefault="007D4F5A" w:rsidP="00477BB3">
      <w:pPr>
        <w:pStyle w:val="3-BodyText"/>
      </w:pPr>
      <w:bookmarkStart w:id="84" w:name="_Ref127707004"/>
      <w:r w:rsidRPr="005F0CE8">
        <w:t xml:space="preserve">There </w:t>
      </w:r>
      <w:r w:rsidR="007B708B" w:rsidRPr="005F0CE8">
        <w:t xml:space="preserve">were </w:t>
      </w:r>
      <w:r w:rsidRPr="005F0CE8">
        <w:t xml:space="preserve">no data to support the use of a 5 year cut-off beyond which recurrences are uninfluenced by olaparib, and there </w:t>
      </w:r>
      <w:r w:rsidR="007B708B" w:rsidRPr="005F0CE8">
        <w:t>were</w:t>
      </w:r>
      <w:r w:rsidRPr="005F0CE8">
        <w:t xml:space="preserve"> no data to support the use of alternative cut-off points that may be different across the arms. However, the model is substantially sensitive to extending the cut-off in the olaparib arm to 6 years.</w:t>
      </w:r>
      <w:bookmarkEnd w:id="84"/>
    </w:p>
    <w:p w14:paraId="0BB1CB1B" w14:textId="165FAE88" w:rsidR="006940C6" w:rsidRPr="009B4CC6" w:rsidRDefault="009C6A3A" w:rsidP="009B4CC6">
      <w:pPr>
        <w:pStyle w:val="3-BodyText"/>
      </w:pPr>
      <w:bookmarkStart w:id="85" w:name="_Hlk124528115"/>
      <w:r w:rsidRPr="005F0CE8">
        <w:t>The commentary proposed an alternative base case</w:t>
      </w:r>
      <w:r w:rsidR="003B6065" w:rsidRPr="005F0CE8">
        <w:t xml:space="preserve"> as shown in </w:t>
      </w:r>
      <w:r w:rsidR="003B6065" w:rsidRPr="005F0CE8">
        <w:fldChar w:fldCharType="begin"/>
      </w:r>
      <w:r w:rsidR="003B6065" w:rsidRPr="005F0CE8">
        <w:instrText xml:space="preserve"> REF _Ref124154495 \h </w:instrText>
      </w:r>
      <w:r w:rsidR="003B6065" w:rsidRPr="005F0CE8">
        <w:fldChar w:fldCharType="separate"/>
      </w:r>
      <w:r w:rsidR="00AB6006" w:rsidRPr="005F0CE8">
        <w:t xml:space="preserve">Table </w:t>
      </w:r>
      <w:r w:rsidR="00AB6006">
        <w:rPr>
          <w:noProof/>
        </w:rPr>
        <w:t>17</w:t>
      </w:r>
      <w:r w:rsidR="003B6065" w:rsidRPr="005F0CE8">
        <w:fldChar w:fldCharType="end"/>
      </w:r>
      <w:r w:rsidRPr="005F0CE8">
        <w:t>.</w:t>
      </w:r>
      <w:bookmarkEnd w:id="85"/>
    </w:p>
    <w:p w14:paraId="6617B113" w14:textId="4189A323" w:rsidR="009C6A3A" w:rsidRPr="005F0CE8" w:rsidRDefault="009C6A3A" w:rsidP="009B4CC6">
      <w:pPr>
        <w:pStyle w:val="Caption"/>
      </w:pPr>
      <w:bookmarkStart w:id="86" w:name="_Ref124154495"/>
      <w:r w:rsidRPr="005F0CE8">
        <w:lastRenderedPageBreak/>
        <w:t xml:space="preserve">Table </w:t>
      </w:r>
      <w:fldSimple w:instr=" SEQ Table \* ARABIC ">
        <w:r w:rsidR="00AB6006">
          <w:rPr>
            <w:noProof/>
          </w:rPr>
          <w:t>17</w:t>
        </w:r>
      </w:fldSimple>
      <w:bookmarkEnd w:id="86"/>
      <w:r w:rsidRPr="005F0CE8">
        <w:t>: Stepwise multivariate sensitivity analyses to generate the evaluation alternative base case</w:t>
      </w:r>
    </w:p>
    <w:tbl>
      <w:tblPr>
        <w:tblStyle w:val="TableGrid"/>
        <w:tblW w:w="0" w:type="auto"/>
        <w:tblLook w:val="04A0" w:firstRow="1" w:lastRow="0" w:firstColumn="1" w:lastColumn="0" w:noHBand="0" w:noVBand="1"/>
      </w:tblPr>
      <w:tblGrid>
        <w:gridCol w:w="2830"/>
        <w:gridCol w:w="1985"/>
        <w:gridCol w:w="2155"/>
        <w:gridCol w:w="1183"/>
        <w:gridCol w:w="864"/>
      </w:tblGrid>
      <w:tr w:rsidR="009C6A3A" w:rsidRPr="005F0CE8" w14:paraId="5C9B17E3" w14:textId="77777777" w:rsidTr="00D529A9">
        <w:tc>
          <w:tcPr>
            <w:tcW w:w="2830" w:type="dxa"/>
          </w:tcPr>
          <w:p w14:paraId="35F10C7B" w14:textId="77777777" w:rsidR="009C6A3A" w:rsidRPr="005F0CE8" w:rsidRDefault="009C6A3A" w:rsidP="009B4CC6">
            <w:pPr>
              <w:pStyle w:val="TableText0"/>
              <w:rPr>
                <w:b/>
                <w:bCs w:val="0"/>
              </w:rPr>
            </w:pPr>
            <w:r w:rsidRPr="005F0CE8">
              <w:rPr>
                <w:b/>
                <w:bCs w:val="0"/>
              </w:rPr>
              <w:t>Description of change</w:t>
            </w:r>
          </w:p>
        </w:tc>
        <w:tc>
          <w:tcPr>
            <w:tcW w:w="1985" w:type="dxa"/>
          </w:tcPr>
          <w:p w14:paraId="7B7897B5" w14:textId="77777777" w:rsidR="009C6A3A" w:rsidRPr="005F0CE8" w:rsidRDefault="009C6A3A" w:rsidP="009B4CC6">
            <w:pPr>
              <w:pStyle w:val="TableText0"/>
              <w:rPr>
                <w:b/>
                <w:bCs w:val="0"/>
              </w:rPr>
            </w:pPr>
            <w:r w:rsidRPr="005F0CE8">
              <w:rPr>
                <w:b/>
                <w:bCs w:val="0"/>
              </w:rPr>
              <w:t>Base case value</w:t>
            </w:r>
          </w:p>
        </w:tc>
        <w:tc>
          <w:tcPr>
            <w:tcW w:w="2155" w:type="dxa"/>
          </w:tcPr>
          <w:p w14:paraId="5C60F077" w14:textId="77777777" w:rsidR="009C6A3A" w:rsidRPr="005F0CE8" w:rsidRDefault="009C6A3A" w:rsidP="009B4CC6">
            <w:pPr>
              <w:pStyle w:val="TableText0"/>
              <w:rPr>
                <w:b/>
                <w:bCs w:val="0"/>
              </w:rPr>
            </w:pPr>
            <w:r w:rsidRPr="005F0CE8">
              <w:rPr>
                <w:b/>
                <w:bCs w:val="0"/>
              </w:rPr>
              <w:t>Alternative value</w:t>
            </w:r>
          </w:p>
        </w:tc>
        <w:tc>
          <w:tcPr>
            <w:tcW w:w="1183" w:type="dxa"/>
          </w:tcPr>
          <w:p w14:paraId="0DF5ECDC" w14:textId="77777777" w:rsidR="009C6A3A" w:rsidRPr="005F0CE8" w:rsidRDefault="009C6A3A" w:rsidP="009B4CC6">
            <w:pPr>
              <w:pStyle w:val="TableText0"/>
              <w:jc w:val="center"/>
              <w:rPr>
                <w:b/>
                <w:bCs w:val="0"/>
              </w:rPr>
            </w:pPr>
            <w:r w:rsidRPr="005F0CE8">
              <w:rPr>
                <w:b/>
                <w:bCs w:val="0"/>
              </w:rPr>
              <w:t>ICER (cumulative)</w:t>
            </w:r>
          </w:p>
        </w:tc>
        <w:tc>
          <w:tcPr>
            <w:tcW w:w="864" w:type="dxa"/>
          </w:tcPr>
          <w:p w14:paraId="2E8C6F6B" w14:textId="77777777" w:rsidR="009C6A3A" w:rsidRPr="005F0CE8" w:rsidRDefault="009C6A3A" w:rsidP="009B4CC6">
            <w:pPr>
              <w:pStyle w:val="TableText0"/>
              <w:jc w:val="center"/>
              <w:rPr>
                <w:b/>
                <w:bCs w:val="0"/>
              </w:rPr>
            </w:pPr>
            <w:r w:rsidRPr="005F0CE8">
              <w:rPr>
                <w:b/>
                <w:bCs w:val="0"/>
              </w:rPr>
              <w:t>Change in ICER</w:t>
            </w:r>
          </w:p>
        </w:tc>
      </w:tr>
      <w:tr w:rsidR="009C6A3A" w:rsidRPr="005F0CE8" w14:paraId="67EA698B" w14:textId="77777777" w:rsidTr="00D529A9">
        <w:tc>
          <w:tcPr>
            <w:tcW w:w="2830" w:type="dxa"/>
            <w:shd w:val="clear" w:color="auto" w:fill="auto"/>
          </w:tcPr>
          <w:p w14:paraId="44F04C43" w14:textId="77777777" w:rsidR="009C6A3A" w:rsidRPr="005F0CE8" w:rsidRDefault="009C6A3A" w:rsidP="009B4CC6">
            <w:pPr>
              <w:pStyle w:val="TableText0"/>
              <w:rPr>
                <w:b/>
                <w:bCs w:val="0"/>
              </w:rPr>
            </w:pPr>
            <w:r w:rsidRPr="005F0CE8">
              <w:rPr>
                <w:b/>
                <w:bCs w:val="0"/>
              </w:rPr>
              <w:t>Base case</w:t>
            </w:r>
          </w:p>
        </w:tc>
        <w:tc>
          <w:tcPr>
            <w:tcW w:w="1985" w:type="dxa"/>
            <w:shd w:val="clear" w:color="auto" w:fill="auto"/>
          </w:tcPr>
          <w:p w14:paraId="51AA764A" w14:textId="77777777" w:rsidR="009C6A3A" w:rsidRPr="005F0CE8" w:rsidRDefault="009C6A3A" w:rsidP="009B4CC6">
            <w:pPr>
              <w:pStyle w:val="TableText0"/>
              <w:rPr>
                <w:b/>
                <w:bCs w:val="0"/>
              </w:rPr>
            </w:pPr>
          </w:p>
        </w:tc>
        <w:tc>
          <w:tcPr>
            <w:tcW w:w="2155" w:type="dxa"/>
            <w:shd w:val="clear" w:color="auto" w:fill="auto"/>
          </w:tcPr>
          <w:p w14:paraId="1388C775" w14:textId="77777777" w:rsidR="009C6A3A" w:rsidRPr="005F0CE8" w:rsidRDefault="009C6A3A" w:rsidP="009B4CC6">
            <w:pPr>
              <w:pStyle w:val="TableText0"/>
              <w:rPr>
                <w:b/>
                <w:bCs w:val="0"/>
              </w:rPr>
            </w:pPr>
          </w:p>
        </w:tc>
        <w:tc>
          <w:tcPr>
            <w:tcW w:w="1183" w:type="dxa"/>
            <w:shd w:val="clear" w:color="auto" w:fill="auto"/>
          </w:tcPr>
          <w:p w14:paraId="01588D6D" w14:textId="52EB8816" w:rsidR="009C6A3A" w:rsidRPr="006940C6" w:rsidRDefault="009C6A3A" w:rsidP="009B4CC6">
            <w:pPr>
              <w:pStyle w:val="TableText0"/>
              <w:jc w:val="center"/>
              <w:rPr>
                <w:b/>
                <w:bCs w:val="0"/>
                <w:vertAlign w:val="superscript"/>
              </w:rPr>
            </w:pPr>
            <w:r w:rsidRPr="005F0CE8">
              <w:rPr>
                <w:b/>
                <w:bCs w:val="0"/>
              </w:rPr>
              <w:t>$</w:t>
            </w:r>
            <w:r w:rsidR="003A26A8" w:rsidRPr="003A26A8">
              <w:rPr>
                <w:b/>
                <w:bCs w:val="0"/>
                <w:color w:val="000000"/>
                <w:spacing w:val="57"/>
                <w:shd w:val="solid" w:color="000000" w:fill="000000"/>
                <w:fitText w:val="357" w:id="-1234443003"/>
                <w14:textFill>
                  <w14:solidFill>
                    <w14:srgbClr w14:val="000000">
                      <w14:alpha w14:val="100000"/>
                    </w14:srgbClr>
                  </w14:solidFill>
                </w14:textFill>
              </w:rPr>
              <w:t>|||</w:t>
            </w:r>
            <w:r w:rsidR="003A26A8" w:rsidRPr="003A26A8">
              <w:rPr>
                <w:b/>
                <w:bCs w:val="0"/>
                <w:color w:val="000000"/>
                <w:spacing w:val="3"/>
                <w:shd w:val="solid" w:color="000000" w:fill="000000"/>
                <w:fitText w:val="357" w:id="-1234443003"/>
                <w14:textFill>
                  <w14:solidFill>
                    <w14:srgbClr w14:val="000000">
                      <w14:alpha w14:val="100000"/>
                    </w14:srgbClr>
                  </w14:solidFill>
                </w14:textFill>
              </w:rPr>
              <w:t>|</w:t>
            </w:r>
            <w:r w:rsidR="006940C6" w:rsidRPr="006940C6">
              <w:rPr>
                <w:b/>
                <w:bCs w:val="0"/>
                <w:vertAlign w:val="superscript"/>
              </w:rPr>
              <w:t>1</w:t>
            </w:r>
          </w:p>
        </w:tc>
        <w:tc>
          <w:tcPr>
            <w:tcW w:w="864" w:type="dxa"/>
            <w:shd w:val="clear" w:color="auto" w:fill="auto"/>
          </w:tcPr>
          <w:p w14:paraId="3D3651BC" w14:textId="77777777" w:rsidR="009C6A3A" w:rsidRPr="005F0CE8" w:rsidRDefault="009C6A3A" w:rsidP="009B4CC6">
            <w:pPr>
              <w:pStyle w:val="TableText0"/>
              <w:jc w:val="center"/>
              <w:rPr>
                <w:b/>
                <w:bCs w:val="0"/>
              </w:rPr>
            </w:pPr>
            <w:r w:rsidRPr="005F0CE8">
              <w:rPr>
                <w:b/>
                <w:bCs w:val="0"/>
              </w:rPr>
              <w:t>0%</w:t>
            </w:r>
          </w:p>
        </w:tc>
      </w:tr>
      <w:tr w:rsidR="009C6A3A" w:rsidRPr="005F0CE8" w14:paraId="2D780978" w14:textId="77777777" w:rsidTr="00D529A9">
        <w:tc>
          <w:tcPr>
            <w:tcW w:w="2830" w:type="dxa"/>
            <w:shd w:val="clear" w:color="auto" w:fill="auto"/>
          </w:tcPr>
          <w:p w14:paraId="26DFF368" w14:textId="77777777" w:rsidR="009C6A3A" w:rsidRPr="005F0CE8" w:rsidRDefault="009C6A3A" w:rsidP="009B4CC6">
            <w:pPr>
              <w:pStyle w:val="TableText0"/>
            </w:pPr>
            <w:r w:rsidRPr="005F0CE8">
              <w:t>Increase the average age</w:t>
            </w:r>
          </w:p>
        </w:tc>
        <w:tc>
          <w:tcPr>
            <w:tcW w:w="1985" w:type="dxa"/>
            <w:shd w:val="clear" w:color="auto" w:fill="auto"/>
          </w:tcPr>
          <w:p w14:paraId="7889A48F" w14:textId="77777777" w:rsidR="009C6A3A" w:rsidRPr="005F0CE8" w:rsidRDefault="009C6A3A" w:rsidP="009B4CC6">
            <w:pPr>
              <w:pStyle w:val="TableText0"/>
            </w:pPr>
            <w:r w:rsidRPr="005F0CE8">
              <w:t>43 years</w:t>
            </w:r>
          </w:p>
        </w:tc>
        <w:tc>
          <w:tcPr>
            <w:tcW w:w="2155" w:type="dxa"/>
            <w:shd w:val="clear" w:color="auto" w:fill="auto"/>
          </w:tcPr>
          <w:p w14:paraId="537B029A" w14:textId="77777777" w:rsidR="009C6A3A" w:rsidRPr="005F0CE8" w:rsidRDefault="009C6A3A" w:rsidP="009B4CC6">
            <w:pPr>
              <w:pStyle w:val="TableText0"/>
            </w:pPr>
            <w:r w:rsidRPr="005F0CE8">
              <w:t>50 years</w:t>
            </w:r>
          </w:p>
        </w:tc>
        <w:tc>
          <w:tcPr>
            <w:tcW w:w="1183" w:type="dxa"/>
            <w:shd w:val="clear" w:color="auto" w:fill="auto"/>
          </w:tcPr>
          <w:p w14:paraId="311FA324" w14:textId="2B85606F" w:rsidR="009C6A3A" w:rsidRPr="006940C6" w:rsidRDefault="009C6A3A" w:rsidP="009B4CC6">
            <w:pPr>
              <w:pStyle w:val="TableText0"/>
              <w:jc w:val="center"/>
              <w:rPr>
                <w:vertAlign w:val="superscript"/>
              </w:rPr>
            </w:pPr>
            <w:r w:rsidRPr="005F0CE8">
              <w:t>$</w:t>
            </w:r>
            <w:r w:rsidR="003A26A8" w:rsidRPr="003A26A8">
              <w:rPr>
                <w:color w:val="000000"/>
                <w:spacing w:val="213"/>
                <w:shd w:val="solid" w:color="000000" w:fill="000000"/>
                <w:fitText w:val="299" w:id="-1234443002"/>
                <w14:textFill>
                  <w14:solidFill>
                    <w14:srgbClr w14:val="000000">
                      <w14:alpha w14:val="100000"/>
                    </w14:srgbClr>
                  </w14:solidFill>
                </w14:textFill>
              </w:rPr>
              <w:t>|</w:t>
            </w:r>
            <w:r w:rsidR="003A26A8" w:rsidRPr="003A26A8">
              <w:rPr>
                <w:color w:val="000000"/>
                <w:spacing w:val="1"/>
                <w:shd w:val="solid" w:color="000000" w:fill="000000"/>
                <w:fitText w:val="299" w:id="-1234443002"/>
                <w14:textFill>
                  <w14:solidFill>
                    <w14:srgbClr w14:val="000000">
                      <w14:alpha w14:val="100000"/>
                    </w14:srgbClr>
                  </w14:solidFill>
                </w14:textFill>
              </w:rPr>
              <w:t>|</w:t>
            </w:r>
            <w:r w:rsidR="006940C6">
              <w:rPr>
                <w:vertAlign w:val="superscript"/>
              </w:rPr>
              <w:t>1</w:t>
            </w:r>
          </w:p>
        </w:tc>
        <w:tc>
          <w:tcPr>
            <w:tcW w:w="864" w:type="dxa"/>
            <w:shd w:val="clear" w:color="auto" w:fill="auto"/>
          </w:tcPr>
          <w:p w14:paraId="25C263B6" w14:textId="77777777" w:rsidR="009C6A3A" w:rsidRPr="005F0CE8" w:rsidRDefault="009C6A3A" w:rsidP="009B4CC6">
            <w:pPr>
              <w:pStyle w:val="TableText0"/>
              <w:jc w:val="center"/>
            </w:pPr>
            <w:r w:rsidRPr="005F0CE8">
              <w:t>6.35%</w:t>
            </w:r>
          </w:p>
        </w:tc>
      </w:tr>
      <w:tr w:rsidR="009C6A3A" w:rsidRPr="005F0CE8" w14:paraId="1AFAEBDE" w14:textId="77777777" w:rsidTr="00D529A9">
        <w:tc>
          <w:tcPr>
            <w:tcW w:w="2830" w:type="dxa"/>
          </w:tcPr>
          <w:p w14:paraId="71101DF4" w14:textId="7BA04670" w:rsidR="009C6A3A" w:rsidRPr="005F0CE8" w:rsidRDefault="009C6A3A" w:rsidP="009B4CC6">
            <w:pPr>
              <w:pStyle w:val="TableText0"/>
            </w:pPr>
            <w:r w:rsidRPr="005F0CE8">
              <w:t>Change the rate of g</w:t>
            </w:r>
            <w:r w:rsidR="009E092C" w:rsidRPr="009E092C">
              <w:rPr>
                <w:i/>
              </w:rPr>
              <w:t xml:space="preserve">BRCA </w:t>
            </w:r>
            <w:r w:rsidRPr="005F0CE8">
              <w:t>testing</w:t>
            </w:r>
          </w:p>
        </w:tc>
        <w:tc>
          <w:tcPr>
            <w:tcW w:w="1985" w:type="dxa"/>
          </w:tcPr>
          <w:p w14:paraId="1259FFEC" w14:textId="77777777" w:rsidR="009C6A3A" w:rsidRPr="005F0CE8" w:rsidRDefault="009C6A3A" w:rsidP="009B4CC6">
            <w:pPr>
              <w:pStyle w:val="TableText0"/>
            </w:pPr>
            <w:r w:rsidRPr="005F0CE8">
              <w:t>74%</w:t>
            </w:r>
          </w:p>
        </w:tc>
        <w:tc>
          <w:tcPr>
            <w:tcW w:w="2155" w:type="dxa"/>
          </w:tcPr>
          <w:p w14:paraId="21BBB1F7" w14:textId="77777777" w:rsidR="009C6A3A" w:rsidRPr="005F0CE8" w:rsidRDefault="009C6A3A" w:rsidP="009B4CC6">
            <w:pPr>
              <w:pStyle w:val="TableText0"/>
            </w:pPr>
            <w:r w:rsidRPr="005F0CE8">
              <w:t>33.5%</w:t>
            </w:r>
          </w:p>
          <w:p w14:paraId="38A7112B" w14:textId="77777777" w:rsidR="009C6A3A" w:rsidRPr="005F0CE8" w:rsidRDefault="009C6A3A" w:rsidP="009B4CC6">
            <w:pPr>
              <w:pStyle w:val="TableText0"/>
            </w:pPr>
            <w:r w:rsidRPr="005F0CE8">
              <w:t>Weighted average of 74% for TNBC, 20% for HR+</w:t>
            </w:r>
          </w:p>
        </w:tc>
        <w:tc>
          <w:tcPr>
            <w:tcW w:w="1183" w:type="dxa"/>
          </w:tcPr>
          <w:p w14:paraId="7C4A808D" w14:textId="1738EF79" w:rsidR="009C6A3A" w:rsidRPr="006940C6" w:rsidRDefault="009C6A3A" w:rsidP="009B4CC6">
            <w:pPr>
              <w:pStyle w:val="TableText0"/>
              <w:jc w:val="center"/>
              <w:rPr>
                <w:vertAlign w:val="superscript"/>
              </w:rPr>
            </w:pPr>
            <w:r w:rsidRPr="005F0CE8">
              <w:t>$</w:t>
            </w:r>
            <w:r w:rsidR="003A26A8" w:rsidRPr="003A26A8">
              <w:rPr>
                <w:color w:val="000000"/>
                <w:spacing w:val="213"/>
                <w:shd w:val="solid" w:color="000000" w:fill="000000"/>
                <w:fitText w:val="299" w:id="-1234443001"/>
                <w14:textFill>
                  <w14:solidFill>
                    <w14:srgbClr w14:val="000000">
                      <w14:alpha w14:val="100000"/>
                    </w14:srgbClr>
                  </w14:solidFill>
                </w14:textFill>
              </w:rPr>
              <w:t>|</w:t>
            </w:r>
            <w:r w:rsidR="003A26A8" w:rsidRPr="003A26A8">
              <w:rPr>
                <w:color w:val="000000"/>
                <w:spacing w:val="1"/>
                <w:shd w:val="solid" w:color="000000" w:fill="000000"/>
                <w:fitText w:val="299" w:id="-1234443001"/>
                <w14:textFill>
                  <w14:solidFill>
                    <w14:srgbClr w14:val="000000">
                      <w14:alpha w14:val="100000"/>
                    </w14:srgbClr>
                  </w14:solidFill>
                </w14:textFill>
              </w:rPr>
              <w:t>|</w:t>
            </w:r>
            <w:r w:rsidR="006940C6">
              <w:rPr>
                <w:vertAlign w:val="superscript"/>
              </w:rPr>
              <w:t>2</w:t>
            </w:r>
          </w:p>
        </w:tc>
        <w:tc>
          <w:tcPr>
            <w:tcW w:w="864" w:type="dxa"/>
          </w:tcPr>
          <w:p w14:paraId="51328A92" w14:textId="77777777" w:rsidR="009C6A3A" w:rsidRPr="005F0CE8" w:rsidRDefault="009C6A3A" w:rsidP="009B4CC6">
            <w:pPr>
              <w:pStyle w:val="TableText0"/>
              <w:jc w:val="center"/>
            </w:pPr>
            <w:r w:rsidRPr="005F0CE8">
              <w:t>15.51%</w:t>
            </w:r>
          </w:p>
        </w:tc>
      </w:tr>
      <w:tr w:rsidR="009C6A3A" w:rsidRPr="005F0CE8" w14:paraId="21FA0D7F" w14:textId="77777777" w:rsidTr="00D529A9">
        <w:tc>
          <w:tcPr>
            <w:tcW w:w="2830" w:type="dxa"/>
            <w:vAlign w:val="center"/>
          </w:tcPr>
          <w:p w14:paraId="27375B8C" w14:textId="77777777" w:rsidR="009C6A3A" w:rsidRPr="005F0CE8" w:rsidRDefault="009C6A3A" w:rsidP="009B4CC6">
            <w:pPr>
              <w:pStyle w:val="TableText0"/>
            </w:pPr>
            <w:r w:rsidRPr="005F0CE8">
              <w:t>Proportion of recurrences that are metastatic</w:t>
            </w:r>
          </w:p>
        </w:tc>
        <w:tc>
          <w:tcPr>
            <w:tcW w:w="1985" w:type="dxa"/>
          </w:tcPr>
          <w:p w14:paraId="11BFD0AB" w14:textId="77777777" w:rsidR="009C6A3A" w:rsidRPr="005F0CE8" w:rsidRDefault="009C6A3A" w:rsidP="009B4CC6">
            <w:pPr>
              <w:pStyle w:val="TableText0"/>
            </w:pPr>
            <w:r w:rsidRPr="005F0CE8">
              <w:t>Placebo: 76.8% mBC</w:t>
            </w:r>
          </w:p>
          <w:p w14:paraId="06B4FC8D" w14:textId="77777777" w:rsidR="009C6A3A" w:rsidRPr="005F0CE8" w:rsidRDefault="009C6A3A" w:rsidP="009B4CC6">
            <w:pPr>
              <w:pStyle w:val="TableText0"/>
            </w:pPr>
            <w:r w:rsidRPr="005F0CE8">
              <w:t>Olaparib: 75.4% mBC</w:t>
            </w:r>
          </w:p>
        </w:tc>
        <w:tc>
          <w:tcPr>
            <w:tcW w:w="2155" w:type="dxa"/>
          </w:tcPr>
          <w:p w14:paraId="68496B30" w14:textId="77777777" w:rsidR="009C6A3A" w:rsidRPr="005F0CE8" w:rsidRDefault="009C6A3A" w:rsidP="009B4CC6">
            <w:pPr>
              <w:pStyle w:val="TableText0"/>
            </w:pPr>
            <w:r w:rsidRPr="005F0CE8">
              <w:t>76.2% mBC for both arms</w:t>
            </w:r>
          </w:p>
          <w:p w14:paraId="63A1F297" w14:textId="77777777" w:rsidR="009C6A3A" w:rsidRPr="005F0CE8" w:rsidRDefault="009C6A3A" w:rsidP="009B4CC6">
            <w:pPr>
              <w:pStyle w:val="TableText0"/>
            </w:pPr>
            <w:r w:rsidRPr="005F0CE8">
              <w:t>23.8% non-mBC for both arms</w:t>
            </w:r>
          </w:p>
        </w:tc>
        <w:tc>
          <w:tcPr>
            <w:tcW w:w="1183" w:type="dxa"/>
            <w:vAlign w:val="center"/>
          </w:tcPr>
          <w:p w14:paraId="56E4891C" w14:textId="5DE900A5" w:rsidR="009C6A3A" w:rsidRPr="005F0CE8" w:rsidRDefault="009C6A3A" w:rsidP="009B4CC6">
            <w:pPr>
              <w:pStyle w:val="TableText0"/>
              <w:jc w:val="center"/>
            </w:pPr>
            <w:r w:rsidRPr="005F0CE8">
              <w:t>$</w:t>
            </w:r>
            <w:r w:rsidR="003A26A8" w:rsidRPr="003A26A8">
              <w:rPr>
                <w:color w:val="000000"/>
                <w:spacing w:val="213"/>
                <w:shd w:val="solid" w:color="000000" w:fill="000000"/>
                <w:fitText w:val="299" w:id="-1234443000"/>
                <w14:textFill>
                  <w14:solidFill>
                    <w14:srgbClr w14:val="000000">
                      <w14:alpha w14:val="100000"/>
                    </w14:srgbClr>
                  </w14:solidFill>
                </w14:textFill>
              </w:rPr>
              <w:t>|</w:t>
            </w:r>
            <w:r w:rsidR="003A26A8" w:rsidRPr="003A26A8">
              <w:rPr>
                <w:color w:val="000000"/>
                <w:spacing w:val="1"/>
                <w:shd w:val="solid" w:color="000000" w:fill="000000"/>
                <w:fitText w:val="299" w:id="-1234443000"/>
                <w14:textFill>
                  <w14:solidFill>
                    <w14:srgbClr w14:val="000000">
                      <w14:alpha w14:val="100000"/>
                    </w14:srgbClr>
                  </w14:solidFill>
                </w14:textFill>
              </w:rPr>
              <w:t>|</w:t>
            </w:r>
            <w:r w:rsidR="006940C6">
              <w:rPr>
                <w:vertAlign w:val="superscript"/>
              </w:rPr>
              <w:t>2</w:t>
            </w:r>
          </w:p>
        </w:tc>
        <w:tc>
          <w:tcPr>
            <w:tcW w:w="864" w:type="dxa"/>
            <w:vAlign w:val="center"/>
          </w:tcPr>
          <w:p w14:paraId="186CD37C" w14:textId="77777777" w:rsidR="009C6A3A" w:rsidRPr="005F0CE8" w:rsidRDefault="009C6A3A" w:rsidP="009B4CC6">
            <w:pPr>
              <w:pStyle w:val="TableText0"/>
              <w:jc w:val="center"/>
            </w:pPr>
            <w:r w:rsidRPr="005F0CE8">
              <w:t>17.53%</w:t>
            </w:r>
          </w:p>
        </w:tc>
      </w:tr>
      <w:tr w:rsidR="009C6A3A" w:rsidRPr="005F0CE8" w14:paraId="18E28A1E" w14:textId="77777777" w:rsidTr="00D529A9">
        <w:tc>
          <w:tcPr>
            <w:tcW w:w="2830" w:type="dxa"/>
            <w:vAlign w:val="center"/>
          </w:tcPr>
          <w:p w14:paraId="10E485A0" w14:textId="77777777" w:rsidR="009C6A3A" w:rsidRPr="005F0CE8" w:rsidRDefault="009C6A3A" w:rsidP="009B4CC6">
            <w:pPr>
              <w:pStyle w:val="TableText0"/>
            </w:pPr>
            <w:r w:rsidRPr="005F0CE8">
              <w:t>Observed data truncation point</w:t>
            </w:r>
          </w:p>
        </w:tc>
        <w:tc>
          <w:tcPr>
            <w:tcW w:w="1985" w:type="dxa"/>
          </w:tcPr>
          <w:p w14:paraId="29E6FF5A" w14:textId="77777777" w:rsidR="009C6A3A" w:rsidRPr="005F0CE8" w:rsidRDefault="009C6A3A" w:rsidP="009B4CC6">
            <w:pPr>
              <w:pStyle w:val="TableText0"/>
            </w:pPr>
            <w:r w:rsidRPr="005F0CE8">
              <w:t>42 months</w:t>
            </w:r>
          </w:p>
        </w:tc>
        <w:tc>
          <w:tcPr>
            <w:tcW w:w="2155" w:type="dxa"/>
          </w:tcPr>
          <w:p w14:paraId="1DDEEA54" w14:textId="77777777" w:rsidR="009C6A3A" w:rsidRPr="005F0CE8" w:rsidRDefault="009C6A3A" w:rsidP="009B4CC6">
            <w:pPr>
              <w:pStyle w:val="TableText0"/>
            </w:pPr>
            <w:r w:rsidRPr="005F0CE8">
              <w:t>60 months</w:t>
            </w:r>
          </w:p>
        </w:tc>
        <w:tc>
          <w:tcPr>
            <w:tcW w:w="1183" w:type="dxa"/>
            <w:vAlign w:val="center"/>
          </w:tcPr>
          <w:p w14:paraId="0BD048B3" w14:textId="199BB2F0" w:rsidR="009C6A3A" w:rsidRPr="006940C6" w:rsidRDefault="009C6A3A" w:rsidP="009B4CC6">
            <w:pPr>
              <w:pStyle w:val="TableText0"/>
              <w:jc w:val="center"/>
              <w:rPr>
                <w:vertAlign w:val="superscript"/>
              </w:rPr>
            </w:pPr>
            <w:r w:rsidRPr="005F0CE8">
              <w:t>$</w:t>
            </w:r>
            <w:r w:rsidR="003A26A8" w:rsidRPr="003A26A8">
              <w:rPr>
                <w:color w:val="000000"/>
                <w:spacing w:val="213"/>
                <w:shd w:val="solid" w:color="000000" w:fill="000000"/>
                <w:fitText w:val="299" w:id="-1234442999"/>
                <w14:textFill>
                  <w14:solidFill>
                    <w14:srgbClr w14:val="000000">
                      <w14:alpha w14:val="100000"/>
                    </w14:srgbClr>
                  </w14:solidFill>
                </w14:textFill>
              </w:rPr>
              <w:t>|</w:t>
            </w:r>
            <w:r w:rsidR="003A26A8" w:rsidRPr="003A26A8">
              <w:rPr>
                <w:color w:val="000000"/>
                <w:spacing w:val="1"/>
                <w:shd w:val="solid" w:color="000000" w:fill="000000"/>
                <w:fitText w:val="299" w:id="-1234442999"/>
                <w14:textFill>
                  <w14:solidFill>
                    <w14:srgbClr w14:val="000000">
                      <w14:alpha w14:val="100000"/>
                    </w14:srgbClr>
                  </w14:solidFill>
                </w14:textFill>
              </w:rPr>
              <w:t>|</w:t>
            </w:r>
            <w:r w:rsidR="006940C6">
              <w:rPr>
                <w:vertAlign w:val="superscript"/>
              </w:rPr>
              <w:t>3</w:t>
            </w:r>
          </w:p>
        </w:tc>
        <w:tc>
          <w:tcPr>
            <w:tcW w:w="864" w:type="dxa"/>
            <w:vAlign w:val="center"/>
          </w:tcPr>
          <w:p w14:paraId="5081A6A3" w14:textId="77777777" w:rsidR="009C6A3A" w:rsidRPr="005F0CE8" w:rsidRDefault="009C6A3A" w:rsidP="009B4CC6">
            <w:pPr>
              <w:pStyle w:val="TableText0"/>
              <w:jc w:val="center"/>
            </w:pPr>
            <w:r w:rsidRPr="005F0CE8">
              <w:t>64.97%</w:t>
            </w:r>
          </w:p>
        </w:tc>
      </w:tr>
      <w:tr w:rsidR="009C6A3A" w:rsidRPr="005F0CE8" w14:paraId="19823FEF" w14:textId="77777777" w:rsidTr="00D529A9">
        <w:tc>
          <w:tcPr>
            <w:tcW w:w="2830" w:type="dxa"/>
            <w:vAlign w:val="center"/>
          </w:tcPr>
          <w:p w14:paraId="45D95EA4" w14:textId="77777777" w:rsidR="009C6A3A" w:rsidRPr="005F0CE8" w:rsidRDefault="009C6A3A" w:rsidP="009B4CC6">
            <w:pPr>
              <w:pStyle w:val="TableText0"/>
            </w:pPr>
            <w:r w:rsidRPr="005F0CE8">
              <w:t>Risk of death from early-onset mBC</w:t>
            </w:r>
          </w:p>
        </w:tc>
        <w:tc>
          <w:tcPr>
            <w:tcW w:w="1985" w:type="dxa"/>
          </w:tcPr>
          <w:p w14:paraId="3F1086D4" w14:textId="77777777" w:rsidR="009C6A3A" w:rsidRPr="005F0CE8" w:rsidRDefault="009C6A3A" w:rsidP="009B4CC6">
            <w:pPr>
              <w:pStyle w:val="TableText0"/>
            </w:pPr>
            <w:r w:rsidRPr="005F0CE8">
              <w:t>Olaparib survival curve</w:t>
            </w:r>
          </w:p>
        </w:tc>
        <w:tc>
          <w:tcPr>
            <w:tcW w:w="2155" w:type="dxa"/>
          </w:tcPr>
          <w:p w14:paraId="78115744" w14:textId="77777777" w:rsidR="009C6A3A" w:rsidRPr="005F0CE8" w:rsidRDefault="009C6A3A" w:rsidP="009B4CC6">
            <w:pPr>
              <w:pStyle w:val="TableText0"/>
            </w:pPr>
            <w:r w:rsidRPr="005F0CE8">
              <w:t>Arm specific</w:t>
            </w:r>
          </w:p>
        </w:tc>
        <w:tc>
          <w:tcPr>
            <w:tcW w:w="1183" w:type="dxa"/>
            <w:vAlign w:val="center"/>
          </w:tcPr>
          <w:p w14:paraId="4C4DCD41" w14:textId="4369B695" w:rsidR="009C6A3A" w:rsidRPr="005F0CE8" w:rsidRDefault="009C6A3A" w:rsidP="009B4CC6">
            <w:pPr>
              <w:pStyle w:val="TableText0"/>
              <w:jc w:val="center"/>
            </w:pPr>
            <w:r w:rsidRPr="005F0CE8">
              <w:t>$</w:t>
            </w:r>
            <w:r w:rsidR="003A26A8" w:rsidRPr="003A26A8">
              <w:rPr>
                <w:color w:val="000000"/>
                <w:spacing w:val="213"/>
                <w:shd w:val="solid" w:color="000000" w:fill="000000"/>
                <w:fitText w:val="299" w:id="-1234442998"/>
                <w14:textFill>
                  <w14:solidFill>
                    <w14:srgbClr w14:val="000000">
                      <w14:alpha w14:val="100000"/>
                    </w14:srgbClr>
                  </w14:solidFill>
                </w14:textFill>
              </w:rPr>
              <w:t>|</w:t>
            </w:r>
            <w:r w:rsidR="003A26A8" w:rsidRPr="003A26A8">
              <w:rPr>
                <w:color w:val="000000"/>
                <w:spacing w:val="1"/>
                <w:shd w:val="solid" w:color="000000" w:fill="000000"/>
                <w:fitText w:val="299" w:id="-1234442998"/>
                <w14:textFill>
                  <w14:solidFill>
                    <w14:srgbClr w14:val="000000">
                      <w14:alpha w14:val="100000"/>
                    </w14:srgbClr>
                  </w14:solidFill>
                </w14:textFill>
              </w:rPr>
              <w:t>|</w:t>
            </w:r>
            <w:r w:rsidR="006940C6">
              <w:rPr>
                <w:vertAlign w:val="superscript"/>
              </w:rPr>
              <w:t>3</w:t>
            </w:r>
          </w:p>
        </w:tc>
        <w:tc>
          <w:tcPr>
            <w:tcW w:w="864" w:type="dxa"/>
            <w:vAlign w:val="center"/>
          </w:tcPr>
          <w:p w14:paraId="5FC812B3" w14:textId="77777777" w:rsidR="009C6A3A" w:rsidRPr="005F0CE8" w:rsidRDefault="009C6A3A" w:rsidP="009B4CC6">
            <w:pPr>
              <w:pStyle w:val="TableText0"/>
              <w:jc w:val="center"/>
            </w:pPr>
            <w:r w:rsidRPr="005F0CE8">
              <w:t>78.04%</w:t>
            </w:r>
          </w:p>
        </w:tc>
      </w:tr>
      <w:tr w:rsidR="009C6A3A" w:rsidRPr="005F0CE8" w14:paraId="0C43969E" w14:textId="77777777" w:rsidTr="00D529A9">
        <w:tc>
          <w:tcPr>
            <w:tcW w:w="2830" w:type="dxa"/>
            <w:vAlign w:val="center"/>
          </w:tcPr>
          <w:p w14:paraId="34DB84AC" w14:textId="77777777" w:rsidR="009C6A3A" w:rsidRPr="005F0CE8" w:rsidRDefault="009C6A3A" w:rsidP="009B4CC6">
            <w:pPr>
              <w:pStyle w:val="TableText0"/>
            </w:pPr>
            <w:r w:rsidRPr="005F0CE8">
              <w:t>Rate of treatment in metastatic health state</w:t>
            </w:r>
          </w:p>
        </w:tc>
        <w:tc>
          <w:tcPr>
            <w:tcW w:w="1985" w:type="dxa"/>
          </w:tcPr>
          <w:p w14:paraId="647D93F2" w14:textId="77777777" w:rsidR="009C6A3A" w:rsidRPr="005F0CE8" w:rsidRDefault="009C6A3A" w:rsidP="009B4CC6">
            <w:pPr>
              <w:pStyle w:val="TableText0"/>
            </w:pPr>
            <w:r w:rsidRPr="005F0CE8">
              <w:t>100%</w:t>
            </w:r>
          </w:p>
        </w:tc>
        <w:tc>
          <w:tcPr>
            <w:tcW w:w="2155" w:type="dxa"/>
          </w:tcPr>
          <w:p w14:paraId="40A1A679" w14:textId="77777777" w:rsidR="009C6A3A" w:rsidRPr="005F0CE8" w:rsidRDefault="009C6A3A" w:rsidP="009B4CC6">
            <w:pPr>
              <w:pStyle w:val="TableText0"/>
            </w:pPr>
            <w:r w:rsidRPr="005F0CE8">
              <w:t>70%</w:t>
            </w:r>
          </w:p>
        </w:tc>
        <w:tc>
          <w:tcPr>
            <w:tcW w:w="1183" w:type="dxa"/>
            <w:vAlign w:val="center"/>
          </w:tcPr>
          <w:p w14:paraId="147C3797" w14:textId="480C26B1" w:rsidR="009C6A3A" w:rsidRPr="005F0CE8" w:rsidRDefault="009C6A3A" w:rsidP="009B4CC6">
            <w:pPr>
              <w:pStyle w:val="TableText0"/>
              <w:jc w:val="center"/>
            </w:pPr>
            <w:r w:rsidRPr="005F0CE8">
              <w:t>$</w:t>
            </w:r>
            <w:r w:rsidR="003A26A8" w:rsidRPr="003A26A8">
              <w:rPr>
                <w:color w:val="000000"/>
                <w:spacing w:val="213"/>
                <w:shd w:val="solid" w:color="000000" w:fill="000000"/>
                <w:fitText w:val="299" w:id="-1234442997"/>
                <w14:textFill>
                  <w14:solidFill>
                    <w14:srgbClr w14:val="000000">
                      <w14:alpha w14:val="100000"/>
                    </w14:srgbClr>
                  </w14:solidFill>
                </w14:textFill>
              </w:rPr>
              <w:t>|</w:t>
            </w:r>
            <w:r w:rsidR="003A26A8" w:rsidRPr="003A26A8">
              <w:rPr>
                <w:color w:val="000000"/>
                <w:spacing w:val="1"/>
                <w:shd w:val="solid" w:color="000000" w:fill="000000"/>
                <w:fitText w:val="299" w:id="-1234442997"/>
                <w14:textFill>
                  <w14:solidFill>
                    <w14:srgbClr w14:val="000000">
                      <w14:alpha w14:val="100000"/>
                    </w14:srgbClr>
                  </w14:solidFill>
                </w14:textFill>
              </w:rPr>
              <w:t>|</w:t>
            </w:r>
            <w:r w:rsidR="006940C6">
              <w:rPr>
                <w:vertAlign w:val="superscript"/>
              </w:rPr>
              <w:t>3</w:t>
            </w:r>
          </w:p>
        </w:tc>
        <w:tc>
          <w:tcPr>
            <w:tcW w:w="864" w:type="dxa"/>
            <w:vAlign w:val="center"/>
          </w:tcPr>
          <w:p w14:paraId="7C6D6834" w14:textId="77777777" w:rsidR="009C6A3A" w:rsidRPr="005F0CE8" w:rsidRDefault="009C6A3A" w:rsidP="009B4CC6">
            <w:pPr>
              <w:pStyle w:val="TableText0"/>
              <w:jc w:val="center"/>
            </w:pPr>
            <w:r w:rsidRPr="005F0CE8">
              <w:t>80.64%</w:t>
            </w:r>
          </w:p>
        </w:tc>
      </w:tr>
      <w:tr w:rsidR="009C6A3A" w:rsidRPr="005F0CE8" w14:paraId="7B03B2A9" w14:textId="77777777" w:rsidTr="00D529A9">
        <w:tc>
          <w:tcPr>
            <w:tcW w:w="2830" w:type="dxa"/>
            <w:vAlign w:val="center"/>
          </w:tcPr>
          <w:p w14:paraId="17F5EB77" w14:textId="77777777" w:rsidR="009C6A3A" w:rsidRPr="005F0CE8" w:rsidRDefault="009C6A3A" w:rsidP="009B4CC6">
            <w:pPr>
              <w:pStyle w:val="TableText0"/>
            </w:pPr>
            <w:r w:rsidRPr="005F0CE8">
              <w:t>RDI applied to sacituzumab govitecan treatment</w:t>
            </w:r>
          </w:p>
        </w:tc>
        <w:tc>
          <w:tcPr>
            <w:tcW w:w="1985" w:type="dxa"/>
          </w:tcPr>
          <w:p w14:paraId="5056F352" w14:textId="77777777" w:rsidR="009C6A3A" w:rsidRPr="005F0CE8" w:rsidRDefault="009C6A3A" w:rsidP="009B4CC6">
            <w:pPr>
              <w:pStyle w:val="TableText0"/>
            </w:pPr>
            <w:r w:rsidRPr="005F0CE8">
              <w:t>100%</w:t>
            </w:r>
          </w:p>
        </w:tc>
        <w:tc>
          <w:tcPr>
            <w:tcW w:w="2155" w:type="dxa"/>
          </w:tcPr>
          <w:p w14:paraId="32C16862" w14:textId="77777777" w:rsidR="009C6A3A" w:rsidRPr="005F0CE8" w:rsidRDefault="009C6A3A" w:rsidP="009B4CC6">
            <w:pPr>
              <w:pStyle w:val="TableText0"/>
            </w:pPr>
            <w:r w:rsidRPr="005F0CE8">
              <w:t>75%</w:t>
            </w:r>
          </w:p>
        </w:tc>
        <w:tc>
          <w:tcPr>
            <w:tcW w:w="1183" w:type="dxa"/>
            <w:vAlign w:val="center"/>
          </w:tcPr>
          <w:p w14:paraId="40CE380A" w14:textId="118224E1" w:rsidR="009C6A3A" w:rsidRPr="005F0CE8" w:rsidRDefault="009C6A3A" w:rsidP="009B4CC6">
            <w:pPr>
              <w:pStyle w:val="TableText0"/>
              <w:jc w:val="center"/>
            </w:pPr>
            <w:r w:rsidRPr="005F0CE8">
              <w:t>$</w:t>
            </w:r>
            <w:r w:rsidR="003A26A8" w:rsidRPr="003A26A8">
              <w:rPr>
                <w:color w:val="000000"/>
                <w:spacing w:val="213"/>
                <w:shd w:val="solid" w:color="000000" w:fill="000000"/>
                <w:fitText w:val="299" w:id="-1234442996"/>
                <w14:textFill>
                  <w14:solidFill>
                    <w14:srgbClr w14:val="000000">
                      <w14:alpha w14:val="100000"/>
                    </w14:srgbClr>
                  </w14:solidFill>
                </w14:textFill>
              </w:rPr>
              <w:t>|</w:t>
            </w:r>
            <w:r w:rsidR="003A26A8" w:rsidRPr="003A26A8">
              <w:rPr>
                <w:color w:val="000000"/>
                <w:spacing w:val="1"/>
                <w:shd w:val="solid" w:color="000000" w:fill="000000"/>
                <w:fitText w:val="299" w:id="-1234442996"/>
                <w14:textFill>
                  <w14:solidFill>
                    <w14:srgbClr w14:val="000000">
                      <w14:alpha w14:val="100000"/>
                    </w14:srgbClr>
                  </w14:solidFill>
                </w14:textFill>
              </w:rPr>
              <w:t>|</w:t>
            </w:r>
            <w:r w:rsidR="006940C6">
              <w:rPr>
                <w:vertAlign w:val="superscript"/>
              </w:rPr>
              <w:t>3</w:t>
            </w:r>
          </w:p>
        </w:tc>
        <w:tc>
          <w:tcPr>
            <w:tcW w:w="864" w:type="dxa"/>
            <w:vAlign w:val="center"/>
          </w:tcPr>
          <w:p w14:paraId="4248B990" w14:textId="77777777" w:rsidR="009C6A3A" w:rsidRPr="005F0CE8" w:rsidRDefault="009C6A3A" w:rsidP="009B4CC6">
            <w:pPr>
              <w:pStyle w:val="TableText0"/>
              <w:jc w:val="center"/>
            </w:pPr>
            <w:r w:rsidRPr="005F0CE8">
              <w:t>81.37%</w:t>
            </w:r>
          </w:p>
        </w:tc>
      </w:tr>
      <w:tr w:rsidR="009C6A3A" w:rsidRPr="005F0CE8" w14:paraId="0768DE8D" w14:textId="77777777" w:rsidTr="00D529A9">
        <w:tc>
          <w:tcPr>
            <w:tcW w:w="2830" w:type="dxa"/>
            <w:vAlign w:val="center"/>
          </w:tcPr>
          <w:p w14:paraId="57E9E611" w14:textId="77777777" w:rsidR="009C6A3A" w:rsidRPr="005F0CE8" w:rsidRDefault="009C6A3A" w:rsidP="009B4CC6">
            <w:pPr>
              <w:pStyle w:val="TableText0"/>
            </w:pPr>
            <w:r w:rsidRPr="005F0CE8">
              <w:t>Echo scans during follow up</w:t>
            </w:r>
          </w:p>
        </w:tc>
        <w:tc>
          <w:tcPr>
            <w:tcW w:w="1985" w:type="dxa"/>
          </w:tcPr>
          <w:p w14:paraId="432C10F0" w14:textId="77777777" w:rsidR="009C6A3A" w:rsidRPr="005F0CE8" w:rsidRDefault="009C6A3A" w:rsidP="009B4CC6">
            <w:pPr>
              <w:pStyle w:val="TableText0"/>
            </w:pPr>
            <w:r w:rsidRPr="005F0CE8">
              <w:t>Quarterly</w:t>
            </w:r>
          </w:p>
        </w:tc>
        <w:tc>
          <w:tcPr>
            <w:tcW w:w="2155" w:type="dxa"/>
          </w:tcPr>
          <w:p w14:paraId="0C929D35" w14:textId="77777777" w:rsidR="009C6A3A" w:rsidRPr="005F0CE8" w:rsidRDefault="009C6A3A" w:rsidP="009B4CC6">
            <w:pPr>
              <w:pStyle w:val="TableText0"/>
            </w:pPr>
            <w:r w:rsidRPr="005F0CE8">
              <w:t>Removed</w:t>
            </w:r>
          </w:p>
        </w:tc>
        <w:tc>
          <w:tcPr>
            <w:tcW w:w="1183" w:type="dxa"/>
            <w:vAlign w:val="center"/>
          </w:tcPr>
          <w:p w14:paraId="6FA5C1CF" w14:textId="24751573" w:rsidR="009C6A3A" w:rsidRPr="005F0CE8" w:rsidRDefault="009C6A3A" w:rsidP="009B4CC6">
            <w:pPr>
              <w:pStyle w:val="TableText0"/>
              <w:jc w:val="center"/>
            </w:pPr>
            <w:r w:rsidRPr="005F0CE8">
              <w:t>$</w:t>
            </w:r>
            <w:r w:rsidR="003A26A8" w:rsidRPr="003A26A8">
              <w:rPr>
                <w:color w:val="000000"/>
                <w:spacing w:val="213"/>
                <w:shd w:val="solid" w:color="000000" w:fill="000000"/>
                <w:fitText w:val="299" w:id="-1234442995"/>
                <w14:textFill>
                  <w14:solidFill>
                    <w14:srgbClr w14:val="000000">
                      <w14:alpha w14:val="100000"/>
                    </w14:srgbClr>
                  </w14:solidFill>
                </w14:textFill>
              </w:rPr>
              <w:t>|</w:t>
            </w:r>
            <w:r w:rsidR="003A26A8" w:rsidRPr="003A26A8">
              <w:rPr>
                <w:color w:val="000000"/>
                <w:spacing w:val="1"/>
                <w:shd w:val="solid" w:color="000000" w:fill="000000"/>
                <w:fitText w:val="299" w:id="-1234442995"/>
                <w14:textFill>
                  <w14:solidFill>
                    <w14:srgbClr w14:val="000000">
                      <w14:alpha w14:val="100000"/>
                    </w14:srgbClr>
                  </w14:solidFill>
                </w14:textFill>
              </w:rPr>
              <w:t>|</w:t>
            </w:r>
            <w:r w:rsidR="006940C6">
              <w:rPr>
                <w:vertAlign w:val="superscript"/>
              </w:rPr>
              <w:t>3</w:t>
            </w:r>
          </w:p>
        </w:tc>
        <w:tc>
          <w:tcPr>
            <w:tcW w:w="864" w:type="dxa"/>
            <w:vAlign w:val="center"/>
          </w:tcPr>
          <w:p w14:paraId="45090DF2" w14:textId="77777777" w:rsidR="009C6A3A" w:rsidRPr="005F0CE8" w:rsidRDefault="009C6A3A" w:rsidP="009B4CC6">
            <w:pPr>
              <w:pStyle w:val="TableText0"/>
              <w:jc w:val="center"/>
            </w:pPr>
            <w:r w:rsidRPr="005F0CE8">
              <w:t>81.99%</w:t>
            </w:r>
          </w:p>
        </w:tc>
      </w:tr>
      <w:tr w:rsidR="009C6A3A" w:rsidRPr="005F0CE8" w14:paraId="723FE127" w14:textId="77777777" w:rsidTr="00D529A9">
        <w:tc>
          <w:tcPr>
            <w:tcW w:w="2830" w:type="dxa"/>
            <w:vAlign w:val="center"/>
          </w:tcPr>
          <w:p w14:paraId="5D2E6E55" w14:textId="77777777" w:rsidR="009C6A3A" w:rsidRPr="005F0CE8" w:rsidRDefault="009C6A3A" w:rsidP="009B4CC6">
            <w:pPr>
              <w:pStyle w:val="TableText0"/>
            </w:pPr>
            <w:r w:rsidRPr="005F0CE8">
              <w:t>Disutility applied to treatment with olaparib</w:t>
            </w:r>
          </w:p>
        </w:tc>
        <w:tc>
          <w:tcPr>
            <w:tcW w:w="1985" w:type="dxa"/>
          </w:tcPr>
          <w:p w14:paraId="594BAC09" w14:textId="77777777" w:rsidR="009C6A3A" w:rsidRPr="005F0CE8" w:rsidRDefault="009C6A3A" w:rsidP="009B4CC6">
            <w:pPr>
              <w:pStyle w:val="TableText0"/>
            </w:pPr>
            <w:r w:rsidRPr="005F0CE8">
              <w:t>0%</w:t>
            </w:r>
          </w:p>
        </w:tc>
        <w:tc>
          <w:tcPr>
            <w:tcW w:w="2155" w:type="dxa"/>
          </w:tcPr>
          <w:p w14:paraId="4713CA75" w14:textId="77777777" w:rsidR="009C6A3A" w:rsidRPr="005F0CE8" w:rsidRDefault="009C6A3A" w:rsidP="009B4CC6">
            <w:pPr>
              <w:pStyle w:val="TableText0"/>
            </w:pPr>
            <w:r w:rsidRPr="005F0CE8">
              <w:t>5% to the IDFS health state for 12 months</w:t>
            </w:r>
          </w:p>
        </w:tc>
        <w:tc>
          <w:tcPr>
            <w:tcW w:w="1183" w:type="dxa"/>
            <w:vAlign w:val="center"/>
          </w:tcPr>
          <w:p w14:paraId="5D4AC7A3" w14:textId="74DC5FF5" w:rsidR="009C6A3A" w:rsidRPr="005F0CE8" w:rsidRDefault="009C6A3A" w:rsidP="009B4CC6">
            <w:pPr>
              <w:pStyle w:val="TableText0"/>
              <w:jc w:val="center"/>
            </w:pPr>
            <w:r w:rsidRPr="005F0CE8">
              <w:t>$</w:t>
            </w:r>
            <w:r w:rsidR="003A26A8" w:rsidRPr="003A26A8">
              <w:rPr>
                <w:color w:val="000000"/>
                <w:spacing w:val="213"/>
                <w:shd w:val="solid" w:color="000000" w:fill="000000"/>
                <w:fitText w:val="299" w:id="-1234442994"/>
                <w14:textFill>
                  <w14:solidFill>
                    <w14:srgbClr w14:val="000000">
                      <w14:alpha w14:val="100000"/>
                    </w14:srgbClr>
                  </w14:solidFill>
                </w14:textFill>
              </w:rPr>
              <w:t>|</w:t>
            </w:r>
            <w:r w:rsidR="003A26A8" w:rsidRPr="003A26A8">
              <w:rPr>
                <w:color w:val="000000"/>
                <w:spacing w:val="1"/>
                <w:shd w:val="solid" w:color="000000" w:fill="000000"/>
                <w:fitText w:val="299" w:id="-1234442994"/>
                <w14:textFill>
                  <w14:solidFill>
                    <w14:srgbClr w14:val="000000">
                      <w14:alpha w14:val="100000"/>
                    </w14:srgbClr>
                  </w14:solidFill>
                </w14:textFill>
              </w:rPr>
              <w:t>|</w:t>
            </w:r>
            <w:r w:rsidR="006940C6">
              <w:rPr>
                <w:vertAlign w:val="superscript"/>
              </w:rPr>
              <w:t>3</w:t>
            </w:r>
          </w:p>
        </w:tc>
        <w:tc>
          <w:tcPr>
            <w:tcW w:w="864" w:type="dxa"/>
            <w:vAlign w:val="center"/>
          </w:tcPr>
          <w:p w14:paraId="18D9AFF4" w14:textId="77777777" w:rsidR="009C6A3A" w:rsidRPr="005F0CE8" w:rsidRDefault="009C6A3A" w:rsidP="009B4CC6">
            <w:pPr>
              <w:pStyle w:val="TableText0"/>
              <w:jc w:val="center"/>
            </w:pPr>
            <w:r w:rsidRPr="005F0CE8">
              <w:t>94.62%</w:t>
            </w:r>
          </w:p>
        </w:tc>
      </w:tr>
      <w:tr w:rsidR="009C6A3A" w:rsidRPr="005F0CE8" w14:paraId="7B2FAF1E" w14:textId="77777777" w:rsidTr="00D529A9">
        <w:tc>
          <w:tcPr>
            <w:tcW w:w="2830" w:type="dxa"/>
            <w:vAlign w:val="center"/>
          </w:tcPr>
          <w:p w14:paraId="17AD9A3E" w14:textId="77777777" w:rsidR="009C6A3A" w:rsidRPr="005F0CE8" w:rsidRDefault="009C6A3A" w:rsidP="009B4CC6">
            <w:pPr>
              <w:pStyle w:val="TableText0"/>
            </w:pPr>
            <w:r w:rsidRPr="005F0CE8">
              <w:t>Health state utilities applied using real-world EQ-5D results for patients receiving adjuvant treatments</w:t>
            </w:r>
          </w:p>
        </w:tc>
        <w:tc>
          <w:tcPr>
            <w:tcW w:w="1985" w:type="dxa"/>
          </w:tcPr>
          <w:p w14:paraId="7A0306C6" w14:textId="77777777" w:rsidR="009C6A3A" w:rsidRPr="005F0CE8" w:rsidRDefault="009C6A3A" w:rsidP="009B4CC6">
            <w:pPr>
              <w:pStyle w:val="TableText0"/>
            </w:pPr>
            <w:r w:rsidRPr="005F0CE8">
              <w:t>IDFS: 0.869</w:t>
            </w:r>
          </w:p>
          <w:p w14:paraId="6127DA5B" w14:textId="77777777" w:rsidR="009C6A3A" w:rsidRPr="005F0CE8" w:rsidRDefault="009C6A3A" w:rsidP="009B4CC6">
            <w:pPr>
              <w:pStyle w:val="TableText0"/>
            </w:pPr>
            <w:r w:rsidRPr="005F0CE8">
              <w:t>non-mBC: 0.7875</w:t>
            </w:r>
          </w:p>
          <w:p w14:paraId="50F0BBC9" w14:textId="77777777" w:rsidR="009C6A3A" w:rsidRPr="005F0CE8" w:rsidRDefault="009C6A3A" w:rsidP="009B4CC6">
            <w:pPr>
              <w:pStyle w:val="TableText0"/>
            </w:pPr>
            <w:r w:rsidRPr="005F0CE8">
              <w:t>early-onset mBC: 0.706</w:t>
            </w:r>
          </w:p>
          <w:p w14:paraId="3E60E8FC" w14:textId="6A9715C2" w:rsidR="009C6A3A" w:rsidRPr="005F0CE8" w:rsidRDefault="009C6A3A" w:rsidP="009B4CC6">
            <w:pPr>
              <w:pStyle w:val="TableText0"/>
            </w:pPr>
            <w:r w:rsidRPr="005F0CE8">
              <w:t>late-onset mBC: 0.678</w:t>
            </w:r>
          </w:p>
        </w:tc>
        <w:tc>
          <w:tcPr>
            <w:tcW w:w="2155" w:type="dxa"/>
          </w:tcPr>
          <w:p w14:paraId="26D6D2A8" w14:textId="77777777" w:rsidR="009C6A3A" w:rsidRPr="005F0CE8" w:rsidRDefault="009C6A3A" w:rsidP="009B4CC6">
            <w:pPr>
              <w:pStyle w:val="TableText0"/>
            </w:pPr>
            <w:r w:rsidRPr="005F0CE8">
              <w:t>IDFS: 0.805</w:t>
            </w:r>
          </w:p>
          <w:p w14:paraId="1A5C38F9" w14:textId="77777777" w:rsidR="009C6A3A" w:rsidRPr="005F0CE8" w:rsidRDefault="009C6A3A" w:rsidP="009B4CC6">
            <w:pPr>
              <w:pStyle w:val="TableText0"/>
            </w:pPr>
            <w:r w:rsidRPr="005F0CE8">
              <w:t>non-mBC: 0.708</w:t>
            </w:r>
          </w:p>
          <w:p w14:paraId="5F0255F0" w14:textId="77777777" w:rsidR="009C6A3A" w:rsidRPr="005F0CE8" w:rsidRDefault="009C6A3A" w:rsidP="009B4CC6">
            <w:pPr>
              <w:pStyle w:val="TableText0"/>
            </w:pPr>
            <w:r w:rsidRPr="005F0CE8">
              <w:t>mBC: 0.604</w:t>
            </w:r>
          </w:p>
        </w:tc>
        <w:tc>
          <w:tcPr>
            <w:tcW w:w="1183" w:type="dxa"/>
            <w:vAlign w:val="center"/>
          </w:tcPr>
          <w:p w14:paraId="77A7BBD7" w14:textId="3AD8C4F2" w:rsidR="009C6A3A" w:rsidRPr="006940C6" w:rsidRDefault="009C6A3A" w:rsidP="009B4CC6">
            <w:pPr>
              <w:pStyle w:val="TableText0"/>
              <w:jc w:val="center"/>
              <w:rPr>
                <w:vertAlign w:val="superscript"/>
              </w:rPr>
            </w:pPr>
            <w:r w:rsidRPr="005F0CE8">
              <w:t>$</w:t>
            </w:r>
            <w:r w:rsidR="003A26A8" w:rsidRPr="003A26A8">
              <w:rPr>
                <w:color w:val="000000"/>
                <w:spacing w:val="213"/>
                <w:shd w:val="solid" w:color="000000" w:fill="000000"/>
                <w:fitText w:val="299" w:id="-1234442993"/>
                <w14:textFill>
                  <w14:solidFill>
                    <w14:srgbClr w14:val="000000">
                      <w14:alpha w14:val="100000"/>
                    </w14:srgbClr>
                  </w14:solidFill>
                </w14:textFill>
              </w:rPr>
              <w:t>|</w:t>
            </w:r>
            <w:r w:rsidR="003A26A8" w:rsidRPr="003A26A8">
              <w:rPr>
                <w:color w:val="000000"/>
                <w:spacing w:val="1"/>
                <w:shd w:val="solid" w:color="000000" w:fill="000000"/>
                <w:fitText w:val="299" w:id="-1234442993"/>
                <w14:textFill>
                  <w14:solidFill>
                    <w14:srgbClr w14:val="000000">
                      <w14:alpha w14:val="100000"/>
                    </w14:srgbClr>
                  </w14:solidFill>
                </w14:textFill>
              </w:rPr>
              <w:t>|</w:t>
            </w:r>
            <w:r w:rsidR="006940C6">
              <w:rPr>
                <w:vertAlign w:val="superscript"/>
              </w:rPr>
              <w:t>4</w:t>
            </w:r>
          </w:p>
        </w:tc>
        <w:tc>
          <w:tcPr>
            <w:tcW w:w="864" w:type="dxa"/>
            <w:vAlign w:val="center"/>
          </w:tcPr>
          <w:p w14:paraId="78DE1745" w14:textId="77777777" w:rsidR="009C6A3A" w:rsidRPr="005F0CE8" w:rsidRDefault="009C6A3A" w:rsidP="009B4CC6">
            <w:pPr>
              <w:pStyle w:val="TableText0"/>
              <w:jc w:val="center"/>
            </w:pPr>
            <w:r w:rsidRPr="005F0CE8">
              <w:t>106.90%</w:t>
            </w:r>
          </w:p>
        </w:tc>
      </w:tr>
      <w:tr w:rsidR="000D71CD" w:rsidRPr="005F0CE8" w14:paraId="39DA4B4C" w14:textId="77777777" w:rsidTr="00D529A9">
        <w:tc>
          <w:tcPr>
            <w:tcW w:w="2830" w:type="dxa"/>
            <w:vAlign w:val="center"/>
          </w:tcPr>
          <w:p w14:paraId="45375C95" w14:textId="1CC0D55F" w:rsidR="000D71CD" w:rsidRPr="005F0CE8" w:rsidRDefault="000D71CD" w:rsidP="009B4CC6">
            <w:pPr>
              <w:pStyle w:val="TableText0"/>
              <w:rPr>
                <w:b/>
                <w:bCs w:val="0"/>
              </w:rPr>
            </w:pPr>
            <w:bookmarkStart w:id="87" w:name="_Hlk127706822"/>
            <w:r w:rsidRPr="005F0CE8">
              <w:rPr>
                <w:b/>
                <w:bCs w:val="0"/>
              </w:rPr>
              <w:t>Evaluation alternative base case</w:t>
            </w:r>
            <w:bookmarkEnd w:id="87"/>
          </w:p>
        </w:tc>
        <w:tc>
          <w:tcPr>
            <w:tcW w:w="1985" w:type="dxa"/>
          </w:tcPr>
          <w:p w14:paraId="77E788BB" w14:textId="454F85D0" w:rsidR="000D71CD" w:rsidRPr="005F0CE8" w:rsidRDefault="000D71CD" w:rsidP="009B4CC6">
            <w:pPr>
              <w:pStyle w:val="TableText0"/>
              <w:rPr>
                <w:b/>
                <w:bCs w:val="0"/>
              </w:rPr>
            </w:pPr>
            <w:r w:rsidRPr="005F0CE8">
              <w:rPr>
                <w:b/>
                <w:bCs w:val="0"/>
              </w:rPr>
              <w:t>All steps above</w:t>
            </w:r>
          </w:p>
        </w:tc>
        <w:tc>
          <w:tcPr>
            <w:tcW w:w="2155" w:type="dxa"/>
          </w:tcPr>
          <w:p w14:paraId="08756E84" w14:textId="217C1ED9" w:rsidR="000D71CD" w:rsidRPr="005F0CE8" w:rsidRDefault="000D71CD" w:rsidP="009B4CC6">
            <w:pPr>
              <w:pStyle w:val="TableText0"/>
              <w:rPr>
                <w:b/>
                <w:bCs w:val="0"/>
              </w:rPr>
            </w:pPr>
            <w:r w:rsidRPr="005F0CE8">
              <w:rPr>
                <w:b/>
                <w:bCs w:val="0"/>
              </w:rPr>
              <w:t>See above</w:t>
            </w:r>
          </w:p>
        </w:tc>
        <w:tc>
          <w:tcPr>
            <w:tcW w:w="1183" w:type="dxa"/>
            <w:vAlign w:val="center"/>
          </w:tcPr>
          <w:p w14:paraId="1C1D65BE" w14:textId="76390E58" w:rsidR="00ED792A" w:rsidRPr="00D529A9" w:rsidRDefault="000D71CD" w:rsidP="00D529A9">
            <w:pPr>
              <w:pStyle w:val="TableText0"/>
              <w:jc w:val="center"/>
              <w:rPr>
                <w:b/>
                <w:bCs w:val="0"/>
                <w:vertAlign w:val="superscript"/>
              </w:rPr>
            </w:pPr>
            <w:r w:rsidRPr="005F0CE8">
              <w:rPr>
                <w:b/>
                <w:bCs w:val="0"/>
              </w:rPr>
              <w:t>$</w:t>
            </w:r>
            <w:r w:rsidR="003A26A8" w:rsidRPr="003A26A8">
              <w:rPr>
                <w:b/>
                <w:bCs w:val="0"/>
                <w:color w:val="000000"/>
                <w:spacing w:val="57"/>
                <w:shd w:val="solid" w:color="000000" w:fill="000000"/>
                <w:fitText w:val="357" w:id="-1234442992"/>
                <w14:textFill>
                  <w14:solidFill>
                    <w14:srgbClr w14:val="000000">
                      <w14:alpha w14:val="100000"/>
                    </w14:srgbClr>
                  </w14:solidFill>
                </w14:textFill>
              </w:rPr>
              <w:t>|||</w:t>
            </w:r>
            <w:r w:rsidR="003A26A8" w:rsidRPr="003A26A8">
              <w:rPr>
                <w:b/>
                <w:bCs w:val="0"/>
                <w:color w:val="000000"/>
                <w:spacing w:val="3"/>
                <w:shd w:val="solid" w:color="000000" w:fill="000000"/>
                <w:fitText w:val="357" w:id="-1234442992"/>
                <w14:textFill>
                  <w14:solidFill>
                    <w14:srgbClr w14:val="000000">
                      <w14:alpha w14:val="100000"/>
                    </w14:srgbClr>
                  </w14:solidFill>
                </w14:textFill>
              </w:rPr>
              <w:t>|</w:t>
            </w:r>
            <w:r w:rsidR="006940C6">
              <w:rPr>
                <w:b/>
                <w:bCs w:val="0"/>
                <w:vertAlign w:val="superscript"/>
              </w:rPr>
              <w:t>4</w:t>
            </w:r>
          </w:p>
        </w:tc>
        <w:tc>
          <w:tcPr>
            <w:tcW w:w="864" w:type="dxa"/>
            <w:vAlign w:val="center"/>
          </w:tcPr>
          <w:p w14:paraId="2ED4EECF" w14:textId="05E82BA6" w:rsidR="00ED792A" w:rsidRPr="005F0CE8" w:rsidRDefault="000D71CD" w:rsidP="00D529A9">
            <w:pPr>
              <w:pStyle w:val="TableText0"/>
              <w:jc w:val="center"/>
              <w:rPr>
                <w:b/>
                <w:bCs w:val="0"/>
              </w:rPr>
            </w:pPr>
            <w:r w:rsidRPr="005F0CE8">
              <w:rPr>
                <w:b/>
                <w:bCs w:val="0"/>
              </w:rPr>
              <w:t>106.90%</w:t>
            </w:r>
          </w:p>
        </w:tc>
      </w:tr>
    </w:tbl>
    <w:p w14:paraId="6F5E183E" w14:textId="77777777" w:rsidR="009C6A3A" w:rsidRPr="005F0CE8" w:rsidRDefault="009C6A3A" w:rsidP="009B4CC6">
      <w:pPr>
        <w:pStyle w:val="TableFigureFooter"/>
        <w:keepNext/>
      </w:pPr>
      <w:r w:rsidRPr="005F0CE8">
        <w:t>Source: generated during the evaluation from the economic evaluation spreadsheet.</w:t>
      </w:r>
    </w:p>
    <w:p w14:paraId="1A5BC065" w14:textId="43DD907D" w:rsidR="0021692E" w:rsidRDefault="009C6A3A" w:rsidP="009B4CC6">
      <w:pPr>
        <w:pStyle w:val="TableFigureFooter"/>
        <w:keepNext/>
        <w:spacing w:after="0"/>
      </w:pPr>
      <w:r w:rsidRPr="005F0CE8">
        <w:t>EQ-5D = EuroQol five dimension scale questionnaire ; g</w:t>
      </w:r>
      <w:r w:rsidR="009E092C" w:rsidRPr="009E092C">
        <w:rPr>
          <w:i/>
        </w:rPr>
        <w:t xml:space="preserve">BRCA </w:t>
      </w:r>
      <w:r w:rsidRPr="005F0CE8">
        <w:t>= germline breast cancer gene; ICER = incremental cost-effectiveness ratio; IDFS = invasive disease free survival; mBC = metastatic breast cancer recurrence; non-mBC = non-metastatic breast cancer recurrence; RDI = relative dose intensity.</w:t>
      </w:r>
      <w:bookmarkStart w:id="88" w:name="_Hlk124528186"/>
    </w:p>
    <w:p w14:paraId="221C7926" w14:textId="77777777" w:rsidR="006940C6" w:rsidRPr="009A6D58" w:rsidRDefault="006940C6" w:rsidP="009B4CC6">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9606EBD" w14:textId="4C440E33" w:rsidR="006940C6" w:rsidRPr="009A6D58" w:rsidRDefault="006940C6" w:rsidP="009B4CC6">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245EE">
        <w:rPr>
          <w:rFonts w:ascii="Arial Narrow" w:hAnsi="Arial Narrow"/>
          <w:i/>
          <w:sz w:val="18"/>
          <w:szCs w:val="18"/>
        </w:rPr>
        <w:t>$45,000 to &lt; $55,000</w:t>
      </w:r>
    </w:p>
    <w:p w14:paraId="43850A86" w14:textId="70D43175" w:rsidR="006940C6" w:rsidRDefault="006940C6" w:rsidP="009B4CC6">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6940C6">
        <w:rPr>
          <w:rFonts w:ascii="Arial Narrow" w:hAnsi="Arial Narrow"/>
          <w:i/>
          <w:sz w:val="18"/>
          <w:szCs w:val="18"/>
        </w:rPr>
        <w:t>$55,000 to &lt; $75,000</w:t>
      </w:r>
    </w:p>
    <w:p w14:paraId="61F1838E" w14:textId="0E884EF4" w:rsidR="006940C6" w:rsidRDefault="006940C6" w:rsidP="009B4CC6">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6940C6">
        <w:rPr>
          <w:rFonts w:ascii="Arial Narrow" w:hAnsi="Arial Narrow"/>
          <w:i/>
          <w:sz w:val="18"/>
          <w:szCs w:val="18"/>
        </w:rPr>
        <w:t>$75,000 to &lt; $95,000</w:t>
      </w:r>
    </w:p>
    <w:p w14:paraId="25FCD9F0" w14:textId="51F6CA90" w:rsidR="006940C6" w:rsidRPr="006940C6" w:rsidRDefault="006940C6" w:rsidP="00D529A9">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bookmarkStart w:id="89" w:name="_Hlk134796352"/>
      <w:r w:rsidRPr="006940C6">
        <w:rPr>
          <w:rFonts w:ascii="Arial Narrow" w:hAnsi="Arial Narrow"/>
          <w:i/>
          <w:sz w:val="18"/>
          <w:szCs w:val="18"/>
        </w:rPr>
        <w:t>$95,000 to &lt; $115,000</w:t>
      </w:r>
      <w:bookmarkEnd w:id="89"/>
    </w:p>
    <w:p w14:paraId="66223F1D" w14:textId="151A2103" w:rsidR="00D0778D" w:rsidRPr="005F0CE8" w:rsidRDefault="00D0778D" w:rsidP="00477BB3">
      <w:pPr>
        <w:pStyle w:val="3-BodyText"/>
      </w:pPr>
      <w:bookmarkStart w:id="90" w:name="_Ref127476463"/>
      <w:r w:rsidRPr="005F0CE8">
        <w:t xml:space="preserve">The evaluation alternative base case resulted in a doubling of the ICER. The ESC noted the stepwise MSA presented in the commentary generated an ICER of </w:t>
      </w:r>
      <w:r w:rsidR="006940C6" w:rsidRPr="006940C6">
        <w:t>$95,000</w:t>
      </w:r>
      <w:r w:rsidR="006940C6">
        <w:t xml:space="preserve"> </w:t>
      </w:r>
      <w:r w:rsidR="006940C6" w:rsidRPr="006940C6">
        <w:t>to</w:t>
      </w:r>
      <w:r w:rsidR="006940C6">
        <w:t xml:space="preserve"> </w:t>
      </w:r>
      <w:r w:rsidR="006940C6" w:rsidRPr="006940C6">
        <w:t>&lt; $115,000</w:t>
      </w:r>
      <w:r w:rsidRPr="005F0CE8">
        <w:t>/QALY as shown in Table 17, however considered that additional alterations were required as described below.</w:t>
      </w:r>
    </w:p>
    <w:p w14:paraId="6C4760F4" w14:textId="236AC23B" w:rsidR="002F20FB" w:rsidRPr="005F0CE8" w:rsidRDefault="002F20FB" w:rsidP="00477BB3">
      <w:pPr>
        <w:pStyle w:val="3-BodyText"/>
      </w:pPr>
      <w:r w:rsidRPr="005F0CE8">
        <w:t xml:space="preserve">The PSCR noted that use of published utility estimates in </w:t>
      </w:r>
      <w:r w:rsidR="00F56F57" w:rsidRPr="005F0CE8">
        <w:t xml:space="preserve">the </w:t>
      </w:r>
      <w:r w:rsidRPr="005F0CE8">
        <w:t>commentary (Seferina 2017) come from a smaller population than OlympiA and may not be directly comparable to the proposed PBS population (non-</w:t>
      </w:r>
      <w:r w:rsidR="009E092C" w:rsidRPr="009E092C">
        <w:rPr>
          <w:i/>
        </w:rPr>
        <w:t xml:space="preserve">BRCA </w:t>
      </w:r>
      <w:r w:rsidRPr="005F0CE8">
        <w:t>HER2-positive). The ESC considered that utility values remain an area of uncertainty, however it proposed to revert to the health state utilities used in the submission’s base case for the ESC respecified base case</w:t>
      </w:r>
      <w:r w:rsidR="00C62BA0" w:rsidRPr="005F0CE8">
        <w:t xml:space="preserve"> as the revised estimates were not considered to be more reliable than the trial based values</w:t>
      </w:r>
      <w:r w:rsidRPr="005F0CE8">
        <w:t>.</w:t>
      </w:r>
      <w:bookmarkEnd w:id="90"/>
    </w:p>
    <w:p w14:paraId="331FC64F" w14:textId="3DD5CC9A" w:rsidR="006E2305" w:rsidRPr="005F0CE8" w:rsidRDefault="00B974B9" w:rsidP="00477BB3">
      <w:pPr>
        <w:pStyle w:val="3-BodyText"/>
      </w:pPr>
      <w:bookmarkStart w:id="91" w:name="_Ref127887658"/>
      <w:r w:rsidRPr="005F0CE8">
        <w:t xml:space="preserve">The ESC advised that an additional step should be conducted in the ESC alternative base case in relation to the </w:t>
      </w:r>
      <w:r w:rsidR="009E092C" w:rsidRPr="009E092C">
        <w:rPr>
          <w:i/>
        </w:rPr>
        <w:t xml:space="preserve">BRCA </w:t>
      </w:r>
      <w:r w:rsidRPr="005F0CE8">
        <w:t xml:space="preserve">mortality ratio. </w:t>
      </w:r>
      <w:r w:rsidR="006E2305" w:rsidRPr="005F0CE8">
        <w:t xml:space="preserve">The ESC considered </w:t>
      </w:r>
      <w:r w:rsidRPr="005F0CE8">
        <w:t>the</w:t>
      </w:r>
      <w:r w:rsidR="006E2305" w:rsidRPr="005F0CE8">
        <w:t xml:space="preserve"> </w:t>
      </w:r>
      <w:r w:rsidRPr="005F0CE8">
        <w:t xml:space="preserve">reliability of the model would be improved if the standardised mortality ratio (SMR) was adjusted as </w:t>
      </w:r>
      <w:r w:rsidR="00F56F57" w:rsidRPr="005F0CE8">
        <w:t xml:space="preserve">proposed </w:t>
      </w:r>
      <w:r w:rsidRPr="005F0CE8">
        <w:t xml:space="preserve">in the commentary. </w:t>
      </w:r>
      <w:r w:rsidR="006E2305" w:rsidRPr="005F0CE8">
        <w:t>The SMR in the submission was derived from a study that removed all cancer deaths. Patients with g</w:t>
      </w:r>
      <w:r w:rsidR="009E092C" w:rsidRPr="009E092C">
        <w:rPr>
          <w:i/>
        </w:rPr>
        <w:t xml:space="preserve">BRCA </w:t>
      </w:r>
      <w:r w:rsidR="006E2305" w:rsidRPr="005F0CE8">
        <w:t xml:space="preserve">mutations have a substantially </w:t>
      </w:r>
      <w:r w:rsidR="006E2305" w:rsidRPr="005F0CE8">
        <w:lastRenderedPageBreak/>
        <w:t>higher rate of ovarian (and other cancers), and may experience an increased mortality due to new cancers.</w:t>
      </w:r>
      <w:r w:rsidR="00231AE0">
        <w:t xml:space="preserve"> </w:t>
      </w:r>
      <w:r w:rsidR="006E2305" w:rsidRPr="005F0CE8">
        <w:t xml:space="preserve">The submission base case used a standardised mortality ratio (SMR) of 1.46 which was assumed to be constant over time. The commentary </w:t>
      </w:r>
      <w:r w:rsidR="00AE4A0A" w:rsidRPr="005F0CE8">
        <w:t>considered</w:t>
      </w:r>
      <w:r w:rsidR="006E2305" w:rsidRPr="005F0CE8">
        <w:t xml:space="preserve"> that </w:t>
      </w:r>
      <w:r w:rsidR="00C71817" w:rsidRPr="005F0CE8">
        <w:t>a more likely</w:t>
      </w:r>
      <w:r w:rsidR="00AE4A0A" w:rsidRPr="005F0CE8">
        <w:t xml:space="preserve"> </w:t>
      </w:r>
      <w:r w:rsidR="006E2305" w:rsidRPr="005F0CE8">
        <w:t>SMR, to capture death from non-breast cancer malignancies, should be higher than that which has been proposed, and proposed a sensitivity analysis applying an SMR=2.</w:t>
      </w:r>
      <w:bookmarkEnd w:id="91"/>
    </w:p>
    <w:p w14:paraId="1004C045" w14:textId="1BDED8E3" w:rsidR="009C6A3A" w:rsidRPr="005F0CE8" w:rsidRDefault="00233A77" w:rsidP="00477BB3">
      <w:pPr>
        <w:pStyle w:val="3-BodyText"/>
      </w:pPr>
      <w:bookmarkStart w:id="92" w:name="_Ref127905171"/>
      <w:bookmarkStart w:id="93" w:name="_Hlk127886404"/>
      <w:r w:rsidRPr="005F0CE8">
        <w:t>The ESC advised that the following changes should be made to the economic model</w:t>
      </w:r>
      <w:r w:rsidR="00AE4A0A" w:rsidRPr="005F0CE8">
        <w:t xml:space="preserve"> as compared with the evaluation alternative base case</w:t>
      </w:r>
      <w:r w:rsidR="00D0778D" w:rsidRPr="005F0CE8">
        <w:t>, while noting that uncertainties remain</w:t>
      </w:r>
      <w:r w:rsidR="008036AB" w:rsidRPr="005F0CE8">
        <w:t>ed</w:t>
      </w:r>
      <w:r w:rsidR="00D0778D" w:rsidRPr="005F0CE8">
        <w:t xml:space="preserve"> with respect to assumptions implicit in the structure of the model (paragraph </w:t>
      </w:r>
      <w:r w:rsidR="00D0778D" w:rsidRPr="005F0CE8">
        <w:fldChar w:fldCharType="begin"/>
      </w:r>
      <w:r w:rsidR="00D0778D" w:rsidRPr="005F0CE8">
        <w:instrText xml:space="preserve"> REF _Ref127890873 \r \h </w:instrText>
      </w:r>
      <w:r w:rsidR="00D0778D" w:rsidRPr="005F0CE8">
        <w:fldChar w:fldCharType="separate"/>
      </w:r>
      <w:r w:rsidR="00AB6006">
        <w:t>6.69</w:t>
      </w:r>
      <w:r w:rsidR="00D0778D" w:rsidRPr="005F0CE8">
        <w:fldChar w:fldCharType="end"/>
      </w:r>
      <w:r w:rsidR="00D0778D" w:rsidRPr="005F0CE8">
        <w:t xml:space="preserve">). </w:t>
      </w:r>
      <w:r w:rsidR="00C71817" w:rsidRPr="005F0CE8">
        <w:t xml:space="preserve">The ESC noted the ESC alternative base case generated an ICER of </w:t>
      </w:r>
      <w:r w:rsidR="006940C6" w:rsidRPr="006940C6">
        <w:t>$95,000 to &lt; $115,000</w:t>
      </w:r>
      <w:r w:rsidR="00C71817" w:rsidRPr="005F0CE8">
        <w:t xml:space="preserve">/QALY as shown in </w:t>
      </w:r>
      <w:r w:rsidR="00C71817" w:rsidRPr="005F0CE8">
        <w:fldChar w:fldCharType="begin"/>
      </w:r>
      <w:r w:rsidR="00C71817" w:rsidRPr="005F0CE8">
        <w:instrText xml:space="preserve"> REF _Ref127477391 \h  \* MERGEFORMAT </w:instrText>
      </w:r>
      <w:r w:rsidR="00C71817" w:rsidRPr="005F0CE8">
        <w:fldChar w:fldCharType="separate"/>
      </w:r>
      <w:r w:rsidR="00AB6006" w:rsidRPr="005F0CE8">
        <w:t xml:space="preserve">Table </w:t>
      </w:r>
      <w:r w:rsidR="00AB6006">
        <w:t>18</w:t>
      </w:r>
      <w:r w:rsidR="00C71817" w:rsidRPr="005F0CE8">
        <w:fldChar w:fldCharType="end"/>
      </w:r>
      <w:r w:rsidR="00C71817" w:rsidRPr="005F0CE8">
        <w:t>.</w:t>
      </w:r>
      <w:bookmarkEnd w:id="92"/>
    </w:p>
    <w:bookmarkEnd w:id="93"/>
    <w:p w14:paraId="25EB5A08" w14:textId="7D3E1A21" w:rsidR="00F25084" w:rsidRPr="00AF5FC8" w:rsidRDefault="00F25084" w:rsidP="00AF5FC8">
      <w:pPr>
        <w:pStyle w:val="BulletBodyText"/>
      </w:pPr>
      <w:r w:rsidRPr="00AF5FC8">
        <w:t xml:space="preserve">Revert to </w:t>
      </w:r>
      <w:r w:rsidR="000D71CD" w:rsidRPr="00AF5FC8">
        <w:t xml:space="preserve">health state </w:t>
      </w:r>
      <w:r w:rsidRPr="00AF5FC8">
        <w:t>utilities used in the submission’s base case (</w:t>
      </w:r>
      <w:r w:rsidR="000D71CD" w:rsidRPr="00AF5FC8">
        <w:t>see</w:t>
      </w:r>
      <w:r w:rsidR="002F20FB" w:rsidRPr="00AF5FC8">
        <w:t xml:space="preserve"> paragraph </w:t>
      </w:r>
      <w:r w:rsidR="002F20FB" w:rsidRPr="00AF5FC8">
        <w:fldChar w:fldCharType="begin"/>
      </w:r>
      <w:r w:rsidR="002F20FB" w:rsidRPr="00AF5FC8">
        <w:instrText xml:space="preserve"> REF _Ref127476463 \r \h </w:instrText>
      </w:r>
      <w:r w:rsidR="005B0497" w:rsidRPr="00AF5FC8">
        <w:instrText xml:space="preserve"> \* MERGEFORMAT </w:instrText>
      </w:r>
      <w:r w:rsidR="002F20FB" w:rsidRPr="00AF5FC8">
        <w:fldChar w:fldCharType="separate"/>
      </w:r>
      <w:r w:rsidR="00AB6006">
        <w:t>6.73</w:t>
      </w:r>
      <w:r w:rsidR="002F20FB" w:rsidRPr="00AF5FC8">
        <w:fldChar w:fldCharType="end"/>
      </w:r>
      <w:r w:rsidR="002F20FB" w:rsidRPr="00AF5FC8">
        <w:t>)</w:t>
      </w:r>
    </w:p>
    <w:p w14:paraId="77D44A5C" w14:textId="2DAD923E" w:rsidR="002007D0" w:rsidRPr="00AF5FC8" w:rsidRDefault="002007D0" w:rsidP="00AF5FC8">
      <w:pPr>
        <w:pStyle w:val="BulletBodyText"/>
      </w:pPr>
      <w:r w:rsidRPr="00AF5FC8">
        <w:t>Time horizon of 30 years</w:t>
      </w:r>
      <w:r w:rsidR="00F25084" w:rsidRPr="00AF5FC8">
        <w:t xml:space="preserve"> consiste</w:t>
      </w:r>
      <w:r w:rsidR="00AE4A0A" w:rsidRPr="00AF5FC8">
        <w:t xml:space="preserve">nt </w:t>
      </w:r>
      <w:r w:rsidR="00F25084" w:rsidRPr="00AF5FC8">
        <w:t>with other models in this setting</w:t>
      </w:r>
      <w:r w:rsidR="00B7057E" w:rsidRPr="00AF5FC8">
        <w:t xml:space="preserve"> (paragraph </w:t>
      </w:r>
      <w:r w:rsidR="00B7057E" w:rsidRPr="00AF5FC8">
        <w:fldChar w:fldCharType="begin"/>
      </w:r>
      <w:r w:rsidR="00B7057E" w:rsidRPr="00AF5FC8">
        <w:instrText xml:space="preserve"> REF _Ref127475235 \r \h </w:instrText>
      </w:r>
      <w:r w:rsidR="002F0F5F" w:rsidRPr="00AF5FC8">
        <w:instrText xml:space="preserve"> \* MERGEFORMAT </w:instrText>
      </w:r>
      <w:r w:rsidR="00B7057E" w:rsidRPr="00AF5FC8">
        <w:fldChar w:fldCharType="separate"/>
      </w:r>
      <w:r w:rsidR="00AB6006">
        <w:t>6.52</w:t>
      </w:r>
      <w:r w:rsidR="00B7057E" w:rsidRPr="00AF5FC8">
        <w:fldChar w:fldCharType="end"/>
      </w:r>
      <w:r w:rsidR="00B7057E" w:rsidRPr="00AF5FC8">
        <w:t>)</w:t>
      </w:r>
    </w:p>
    <w:p w14:paraId="6DB8A726" w14:textId="27DDC202" w:rsidR="004D4C0E" w:rsidRPr="00AF5FC8" w:rsidRDefault="006933DB" w:rsidP="00AF5FC8">
      <w:pPr>
        <w:pStyle w:val="BulletBodyText"/>
      </w:pPr>
      <w:r w:rsidRPr="00AF5FC8">
        <w:t>Increasing the background mortality for g</w:t>
      </w:r>
      <w:r w:rsidR="009E092C" w:rsidRPr="00AF5FC8">
        <w:t>BRCAm</w:t>
      </w:r>
      <w:r w:rsidRPr="00AF5FC8">
        <w:t xml:space="preserve"> patients to account for other cancer deaths </w:t>
      </w:r>
      <w:r w:rsidR="00AE4A0A" w:rsidRPr="00AF5FC8">
        <w:t xml:space="preserve">(paragraph </w:t>
      </w:r>
      <w:r w:rsidR="00AE4A0A" w:rsidRPr="00AF5FC8">
        <w:fldChar w:fldCharType="begin"/>
      </w:r>
      <w:r w:rsidR="00AE4A0A" w:rsidRPr="00AF5FC8">
        <w:instrText xml:space="preserve"> REF _Ref127887658 \r \h </w:instrText>
      </w:r>
      <w:r w:rsidR="005B0497" w:rsidRPr="00AF5FC8">
        <w:instrText xml:space="preserve"> \* MERGEFORMAT </w:instrText>
      </w:r>
      <w:r w:rsidR="00AE4A0A" w:rsidRPr="00AF5FC8">
        <w:fldChar w:fldCharType="separate"/>
      </w:r>
      <w:r w:rsidR="00AB6006">
        <w:t>6.75</w:t>
      </w:r>
      <w:r w:rsidR="00AE4A0A" w:rsidRPr="00AF5FC8">
        <w:fldChar w:fldCharType="end"/>
      </w:r>
      <w:r w:rsidR="00AE4A0A" w:rsidRPr="00AF5FC8">
        <w:t>)</w:t>
      </w:r>
    </w:p>
    <w:p w14:paraId="0F2CC55E" w14:textId="5B4DA364" w:rsidR="00155A17" w:rsidRPr="00DB2BE9" w:rsidRDefault="00CB77CF" w:rsidP="00477BB3">
      <w:pPr>
        <w:pStyle w:val="3-BodyText"/>
        <w:rPr>
          <w:iCs/>
        </w:rPr>
      </w:pPr>
      <w:bookmarkStart w:id="94" w:name="_Ref130333210"/>
      <w:r w:rsidRPr="00C344F6">
        <w:rPr>
          <w:iCs/>
        </w:rPr>
        <w:t xml:space="preserve">The Pre-PBAC response </w:t>
      </w:r>
      <w:r w:rsidR="00490A68" w:rsidRPr="00C344F6">
        <w:rPr>
          <w:iCs/>
        </w:rPr>
        <w:t xml:space="preserve">stated that </w:t>
      </w:r>
      <w:r w:rsidRPr="00C344F6">
        <w:t>g</w:t>
      </w:r>
      <w:r w:rsidR="009E092C" w:rsidRPr="009E092C">
        <w:rPr>
          <w:i/>
        </w:rPr>
        <w:t>BRCAm</w:t>
      </w:r>
      <w:r w:rsidRPr="00C344F6">
        <w:t xml:space="preserve"> patients are significantly younger at diagnosis than sporadic breast cancer patients</w:t>
      </w:r>
      <w:r w:rsidR="00532DCB" w:rsidRPr="00C344F6">
        <w:t xml:space="preserve"> and stated that the population reported in the Wong-Brown 2015 study may have more advanced disease than the proposed PBS population. </w:t>
      </w:r>
      <w:r w:rsidRPr="00C344F6">
        <w:rPr>
          <w:iCs/>
        </w:rPr>
        <w:t xml:space="preserve">The PBAC </w:t>
      </w:r>
      <w:r w:rsidR="00490A68" w:rsidRPr="00C344F6">
        <w:rPr>
          <w:iCs/>
        </w:rPr>
        <w:t>considered that the average age of patients diagnosed with breast cancer is substantially lower if they harbour g</w:t>
      </w:r>
      <w:r w:rsidR="009E092C" w:rsidRPr="009E092C">
        <w:rPr>
          <w:i/>
          <w:iCs/>
        </w:rPr>
        <w:t xml:space="preserve">BRCA </w:t>
      </w:r>
      <w:r w:rsidR="00490A68" w:rsidRPr="00C344F6">
        <w:rPr>
          <w:iCs/>
        </w:rPr>
        <w:t>mutations than if they do not have g</w:t>
      </w:r>
      <w:r w:rsidR="009E092C" w:rsidRPr="009E092C">
        <w:rPr>
          <w:i/>
          <w:iCs/>
        </w:rPr>
        <w:t xml:space="preserve">BRCA </w:t>
      </w:r>
      <w:r w:rsidR="00490A68" w:rsidRPr="00C344F6">
        <w:rPr>
          <w:iCs/>
        </w:rPr>
        <w:t xml:space="preserve">mutations, and </w:t>
      </w:r>
      <w:r w:rsidRPr="00C344F6">
        <w:rPr>
          <w:iCs/>
        </w:rPr>
        <w:t xml:space="preserve">noted that a starting age of 43 years would reflect the mean age in the OlympiA </w:t>
      </w:r>
      <w:r w:rsidR="00192645">
        <w:rPr>
          <w:iCs/>
        </w:rPr>
        <w:t>trial</w:t>
      </w:r>
      <w:r w:rsidR="00490A68" w:rsidRPr="00C344F6">
        <w:rPr>
          <w:iCs/>
        </w:rPr>
        <w:t xml:space="preserve">. </w:t>
      </w:r>
      <w:r w:rsidR="00C344F6" w:rsidRPr="00C344F6">
        <w:rPr>
          <w:iCs/>
        </w:rPr>
        <w:t xml:space="preserve">The Pre-PBAC response stated that </w:t>
      </w:r>
      <w:r w:rsidR="00C344F6" w:rsidRPr="00C344F6">
        <w:t xml:space="preserve">the maximum disutility applied to olaparib should be 0.6% as per trial-based utility scores presented in the submission. </w:t>
      </w:r>
      <w:r w:rsidR="00490A68" w:rsidRPr="00C344F6">
        <w:rPr>
          <w:iCs/>
        </w:rPr>
        <w:t>The PBAC considered it would be appropriate to apply a starting age of 43 in the economic model</w:t>
      </w:r>
      <w:r w:rsidR="00C344F6" w:rsidRPr="00C344F6">
        <w:rPr>
          <w:iCs/>
        </w:rPr>
        <w:t>, a disutility of 0.6% applied to treatment with olaparib,</w:t>
      </w:r>
      <w:r w:rsidR="00490A68" w:rsidRPr="00C344F6">
        <w:rPr>
          <w:iCs/>
        </w:rPr>
        <w:t xml:space="preserve"> and </w:t>
      </w:r>
      <w:r w:rsidR="00EA1338" w:rsidRPr="00C344F6">
        <w:rPr>
          <w:iCs/>
        </w:rPr>
        <w:t>apply all other</w:t>
      </w:r>
      <w:r w:rsidR="00490A68" w:rsidRPr="00C344F6">
        <w:rPr>
          <w:iCs/>
        </w:rPr>
        <w:t xml:space="preserve"> inputs as advised by the ESC</w:t>
      </w:r>
      <w:r w:rsidR="00EA1338" w:rsidRPr="00C344F6">
        <w:rPr>
          <w:iCs/>
        </w:rPr>
        <w:t xml:space="preserve">, which </w:t>
      </w:r>
      <w:r w:rsidR="00490A68" w:rsidRPr="00C344F6">
        <w:rPr>
          <w:iCs/>
        </w:rPr>
        <w:t xml:space="preserve">generated an ICER of </w:t>
      </w:r>
      <w:bookmarkStart w:id="95" w:name="_Hlk134798000"/>
      <w:r w:rsidR="00055F21" w:rsidRPr="00055F21">
        <w:rPr>
          <w:iCs/>
        </w:rPr>
        <w:t>$75,000 to &lt; $95,000</w:t>
      </w:r>
      <w:bookmarkEnd w:id="95"/>
      <w:r w:rsidR="00490A68" w:rsidRPr="00C344F6">
        <w:rPr>
          <w:iCs/>
        </w:rPr>
        <w:t xml:space="preserve">/QALY </w:t>
      </w:r>
      <w:r w:rsidR="00EA1338" w:rsidRPr="00C344F6">
        <w:rPr>
          <w:iCs/>
        </w:rPr>
        <w:t>(</w:t>
      </w:r>
      <w:r w:rsidR="00490A68" w:rsidRPr="00C344F6">
        <w:rPr>
          <w:iCs/>
        </w:rPr>
        <w:fldChar w:fldCharType="begin"/>
      </w:r>
      <w:r w:rsidR="00490A68" w:rsidRPr="00C344F6">
        <w:rPr>
          <w:iCs/>
        </w:rPr>
        <w:instrText xml:space="preserve"> REF _Ref127477391 \h  \* MERGEFORMAT </w:instrText>
      </w:r>
      <w:r w:rsidR="00490A68" w:rsidRPr="00C344F6">
        <w:rPr>
          <w:iCs/>
        </w:rPr>
      </w:r>
      <w:r w:rsidR="00490A68" w:rsidRPr="00C344F6">
        <w:rPr>
          <w:iCs/>
        </w:rPr>
        <w:fldChar w:fldCharType="separate"/>
      </w:r>
      <w:r w:rsidR="00AB6006" w:rsidRPr="00AB6006">
        <w:rPr>
          <w:iCs/>
        </w:rPr>
        <w:t>Table 18</w:t>
      </w:r>
      <w:r w:rsidR="00490A68" w:rsidRPr="00C344F6">
        <w:rPr>
          <w:iCs/>
        </w:rPr>
        <w:fldChar w:fldCharType="end"/>
      </w:r>
      <w:r w:rsidR="00EA1338" w:rsidRPr="00C344F6">
        <w:rPr>
          <w:iCs/>
        </w:rPr>
        <w:t>).</w:t>
      </w:r>
      <w:bookmarkEnd w:id="94"/>
    </w:p>
    <w:p w14:paraId="6566F7D3" w14:textId="1665E068" w:rsidR="005752A5" w:rsidRPr="005F0CE8" w:rsidRDefault="005752A5" w:rsidP="005752A5">
      <w:pPr>
        <w:pStyle w:val="Caption"/>
      </w:pPr>
      <w:bookmarkStart w:id="96" w:name="_Ref127477391"/>
      <w:r w:rsidRPr="005F0CE8">
        <w:lastRenderedPageBreak/>
        <w:t xml:space="preserve">Table </w:t>
      </w:r>
      <w:fldSimple w:instr=" SEQ Table \* ARABIC ">
        <w:r w:rsidR="00AB6006">
          <w:rPr>
            <w:noProof/>
          </w:rPr>
          <w:t>18</w:t>
        </w:r>
      </w:fldSimple>
      <w:bookmarkEnd w:id="96"/>
      <w:r w:rsidRPr="005F0CE8">
        <w:t xml:space="preserve">: Stepwise multivariate sensitivity analyses to generate the ESC </w:t>
      </w:r>
      <w:r w:rsidR="0020268E" w:rsidRPr="005F0CE8">
        <w:t>respecified</w:t>
      </w:r>
      <w:r w:rsidRPr="005F0CE8">
        <w:t xml:space="preserve"> base case</w:t>
      </w:r>
      <w:r w:rsidR="00E5664D" w:rsidRPr="005F0CE8">
        <w:t xml:space="preserve"> and PBAC analysis</w:t>
      </w:r>
      <w:r w:rsidRPr="005F0CE8">
        <w:t xml:space="preserve"> </w:t>
      </w:r>
    </w:p>
    <w:tbl>
      <w:tblPr>
        <w:tblStyle w:val="AZTable"/>
        <w:tblW w:w="5000" w:type="pct"/>
        <w:tblLook w:val="04A0" w:firstRow="1" w:lastRow="0" w:firstColumn="1" w:lastColumn="0" w:noHBand="0" w:noVBand="1"/>
      </w:tblPr>
      <w:tblGrid>
        <w:gridCol w:w="572"/>
        <w:gridCol w:w="5460"/>
        <w:gridCol w:w="2121"/>
        <w:gridCol w:w="864"/>
      </w:tblGrid>
      <w:tr w:rsidR="00176C9B" w:rsidRPr="005F0CE8" w14:paraId="42C76278" w14:textId="77777777" w:rsidTr="00C7643A">
        <w:trPr>
          <w:cnfStyle w:val="100000000000" w:firstRow="1" w:lastRow="0" w:firstColumn="0" w:lastColumn="0" w:oddVBand="0" w:evenVBand="0" w:oddHBand="0" w:evenHBand="0" w:firstRowFirstColumn="0" w:firstRowLastColumn="0" w:lastRowFirstColumn="0" w:lastRowLastColumn="0"/>
          <w:tblHeader/>
        </w:trPr>
        <w:tc>
          <w:tcPr>
            <w:tcW w:w="317" w:type="pct"/>
          </w:tcPr>
          <w:p w14:paraId="3A3E3AE9" w14:textId="77777777" w:rsidR="005752A5" w:rsidRPr="005F0CE8" w:rsidRDefault="005752A5" w:rsidP="007C1102">
            <w:pPr>
              <w:pStyle w:val="Tabletext"/>
              <w:keepNext/>
              <w:keepLines/>
              <w:rPr>
                <w:b/>
              </w:rPr>
            </w:pPr>
            <w:r w:rsidRPr="005F0CE8">
              <w:rPr>
                <w:b/>
              </w:rPr>
              <w:t>Step</w:t>
            </w:r>
          </w:p>
        </w:tc>
        <w:tc>
          <w:tcPr>
            <w:tcW w:w="3028" w:type="pct"/>
          </w:tcPr>
          <w:p w14:paraId="0066CDA5" w14:textId="77777777" w:rsidR="005752A5" w:rsidRPr="005F0CE8" w:rsidRDefault="005752A5" w:rsidP="007C1102">
            <w:pPr>
              <w:pStyle w:val="Tabletext"/>
              <w:keepNext/>
              <w:keepLines/>
              <w:rPr>
                <w:b/>
              </w:rPr>
            </w:pPr>
            <w:r w:rsidRPr="005F0CE8">
              <w:rPr>
                <w:b/>
              </w:rPr>
              <w:t>Variable or assumption</w:t>
            </w:r>
          </w:p>
        </w:tc>
        <w:tc>
          <w:tcPr>
            <w:tcW w:w="1176" w:type="pct"/>
          </w:tcPr>
          <w:p w14:paraId="375DA1A9" w14:textId="45C88B23" w:rsidR="006A674C" w:rsidRDefault="005752A5" w:rsidP="007C1102">
            <w:pPr>
              <w:pStyle w:val="Tabletext"/>
              <w:keepNext/>
              <w:keepLines/>
              <w:jc w:val="center"/>
              <w:rPr>
                <w:b/>
              </w:rPr>
            </w:pPr>
            <w:r w:rsidRPr="005F0CE8">
              <w:rPr>
                <w:b/>
              </w:rPr>
              <w:t>ICER</w:t>
            </w:r>
          </w:p>
          <w:p w14:paraId="02EBF3FC" w14:textId="043D1BBC" w:rsidR="005752A5" w:rsidRPr="005F0CE8" w:rsidRDefault="006A674C" w:rsidP="007C1102">
            <w:pPr>
              <w:pStyle w:val="Tabletext"/>
              <w:keepNext/>
              <w:keepLines/>
              <w:jc w:val="center"/>
              <w:rPr>
                <w:b/>
              </w:rPr>
            </w:pPr>
            <w:r>
              <w:rPr>
                <w:b/>
              </w:rPr>
              <w:t>($)</w:t>
            </w:r>
          </w:p>
        </w:tc>
        <w:tc>
          <w:tcPr>
            <w:tcW w:w="479" w:type="pct"/>
          </w:tcPr>
          <w:p w14:paraId="30FBB123" w14:textId="77777777" w:rsidR="005752A5" w:rsidRPr="005F0CE8" w:rsidRDefault="005752A5" w:rsidP="007C1102">
            <w:pPr>
              <w:pStyle w:val="Tabletext"/>
              <w:keepNext/>
              <w:keepLines/>
              <w:jc w:val="center"/>
              <w:rPr>
                <w:b/>
              </w:rPr>
            </w:pPr>
            <w:r w:rsidRPr="005F0CE8">
              <w:rPr>
                <w:b/>
              </w:rPr>
              <w:t>Percent change from base case</w:t>
            </w:r>
          </w:p>
        </w:tc>
      </w:tr>
      <w:tr w:rsidR="00176C9B" w:rsidRPr="005F0CE8" w14:paraId="2137BEAE" w14:textId="77777777" w:rsidTr="00C7643A">
        <w:tc>
          <w:tcPr>
            <w:tcW w:w="317" w:type="pct"/>
            <w:shd w:val="clear" w:color="auto" w:fill="auto"/>
            <w:vAlign w:val="center"/>
          </w:tcPr>
          <w:p w14:paraId="76197C94" w14:textId="77777777" w:rsidR="005752A5" w:rsidRPr="005F0CE8" w:rsidRDefault="005752A5" w:rsidP="007C1102">
            <w:pPr>
              <w:pStyle w:val="Tabletext"/>
              <w:keepNext/>
              <w:keepLines/>
              <w:rPr>
                <w:b/>
                <w:bCs/>
              </w:rPr>
            </w:pPr>
          </w:p>
        </w:tc>
        <w:tc>
          <w:tcPr>
            <w:tcW w:w="3028" w:type="pct"/>
            <w:shd w:val="clear" w:color="auto" w:fill="auto"/>
            <w:vAlign w:val="center"/>
          </w:tcPr>
          <w:p w14:paraId="4ACD4056" w14:textId="4768C700" w:rsidR="005752A5" w:rsidRPr="005F0CE8" w:rsidRDefault="00E5664D" w:rsidP="007C1102">
            <w:pPr>
              <w:pStyle w:val="Tabletext"/>
              <w:keepNext/>
              <w:keepLines/>
              <w:rPr>
                <w:b/>
                <w:bCs/>
              </w:rPr>
            </w:pPr>
            <w:r w:rsidRPr="005F0CE8">
              <w:rPr>
                <w:b/>
                <w:bCs/>
              </w:rPr>
              <w:t xml:space="preserve">Submission </w:t>
            </w:r>
            <w:r w:rsidR="005752A5" w:rsidRPr="005F0CE8">
              <w:rPr>
                <w:b/>
                <w:bCs/>
              </w:rPr>
              <w:t>Base case</w:t>
            </w:r>
          </w:p>
        </w:tc>
        <w:tc>
          <w:tcPr>
            <w:tcW w:w="1176" w:type="pct"/>
            <w:shd w:val="clear" w:color="auto" w:fill="auto"/>
            <w:vAlign w:val="center"/>
          </w:tcPr>
          <w:p w14:paraId="3F2A05C6" w14:textId="51CB7B84" w:rsidR="005752A5" w:rsidRPr="00055F21" w:rsidRDefault="003A26A8" w:rsidP="007C1102">
            <w:pPr>
              <w:pStyle w:val="Tabletext"/>
              <w:keepNext/>
              <w:keepLines/>
              <w:jc w:val="center"/>
              <w:rPr>
                <w:b/>
                <w:bCs/>
                <w:szCs w:val="20"/>
                <w:vertAlign w:val="superscript"/>
              </w:rPr>
            </w:pPr>
            <w:r w:rsidRPr="003A26A8">
              <w:rPr>
                <w:b/>
                <w:bCs/>
                <w:color w:val="000000"/>
                <w:szCs w:val="20"/>
                <w:shd w:val="solid" w:color="000000" w:fill="000000"/>
                <w14:textFill>
                  <w14:solidFill>
                    <w14:srgbClr w14:val="000000">
                      <w14:alpha w14:val="100000"/>
                    </w14:srgbClr>
                  </w14:solidFill>
                </w14:textFill>
              </w:rPr>
              <w:t>|</w:t>
            </w:r>
            <w:r w:rsidR="00055F21" w:rsidRPr="00055F21">
              <w:rPr>
                <w:b/>
                <w:bCs/>
                <w:szCs w:val="20"/>
                <w:vertAlign w:val="superscript"/>
              </w:rPr>
              <w:t>1</w:t>
            </w:r>
          </w:p>
        </w:tc>
        <w:tc>
          <w:tcPr>
            <w:tcW w:w="479" w:type="pct"/>
            <w:shd w:val="clear" w:color="auto" w:fill="auto"/>
            <w:vAlign w:val="center"/>
          </w:tcPr>
          <w:p w14:paraId="4A2C514C" w14:textId="77777777" w:rsidR="005752A5" w:rsidRPr="00055F21" w:rsidRDefault="005752A5" w:rsidP="007C1102">
            <w:pPr>
              <w:pStyle w:val="Tabletext"/>
              <w:keepNext/>
              <w:keepLines/>
              <w:jc w:val="center"/>
              <w:rPr>
                <w:b/>
                <w:bCs/>
                <w:szCs w:val="20"/>
              </w:rPr>
            </w:pPr>
            <w:r w:rsidRPr="00055F21">
              <w:rPr>
                <w:b/>
                <w:bCs/>
                <w:szCs w:val="20"/>
              </w:rPr>
              <w:t>0.0%</w:t>
            </w:r>
          </w:p>
        </w:tc>
      </w:tr>
      <w:tr w:rsidR="00176C9B" w:rsidRPr="005F0CE8" w14:paraId="565C3019" w14:textId="77777777" w:rsidTr="00C7643A">
        <w:tc>
          <w:tcPr>
            <w:tcW w:w="317" w:type="pct"/>
            <w:shd w:val="clear" w:color="auto" w:fill="auto"/>
            <w:vAlign w:val="center"/>
          </w:tcPr>
          <w:p w14:paraId="729AEC87" w14:textId="77777777" w:rsidR="005752A5" w:rsidRPr="005F0CE8" w:rsidRDefault="005752A5" w:rsidP="007C1102">
            <w:pPr>
              <w:pStyle w:val="Tabletext"/>
              <w:keepNext/>
              <w:keepLines/>
              <w:rPr>
                <w:b/>
                <w:bCs/>
              </w:rPr>
            </w:pPr>
          </w:p>
        </w:tc>
        <w:tc>
          <w:tcPr>
            <w:tcW w:w="3028" w:type="pct"/>
            <w:shd w:val="clear" w:color="auto" w:fill="auto"/>
            <w:vAlign w:val="center"/>
          </w:tcPr>
          <w:p w14:paraId="3C70F6A5" w14:textId="15DDB981" w:rsidR="005752A5" w:rsidRPr="005F0CE8" w:rsidRDefault="006933DB" w:rsidP="007C1102">
            <w:pPr>
              <w:pStyle w:val="Tabletext"/>
              <w:keepNext/>
              <w:keepLines/>
              <w:rPr>
                <w:b/>
                <w:bCs/>
              </w:rPr>
            </w:pPr>
            <w:r w:rsidRPr="005F0CE8">
              <w:rPr>
                <w:b/>
                <w:bCs/>
              </w:rPr>
              <w:t xml:space="preserve">ESC </w:t>
            </w:r>
            <w:r w:rsidR="005B0497" w:rsidRPr="005F0CE8">
              <w:rPr>
                <w:b/>
                <w:bCs/>
              </w:rPr>
              <w:t>RESPECIFIED</w:t>
            </w:r>
            <w:r w:rsidR="005752A5" w:rsidRPr="005F0CE8">
              <w:rPr>
                <w:b/>
                <w:bCs/>
              </w:rPr>
              <w:t xml:space="preserve"> BASE CASE</w:t>
            </w:r>
          </w:p>
        </w:tc>
        <w:tc>
          <w:tcPr>
            <w:tcW w:w="1176" w:type="pct"/>
            <w:shd w:val="clear" w:color="auto" w:fill="auto"/>
            <w:vAlign w:val="center"/>
          </w:tcPr>
          <w:p w14:paraId="54B2FEAB" w14:textId="77777777" w:rsidR="005752A5" w:rsidRPr="00055F21" w:rsidRDefault="005752A5" w:rsidP="007C1102">
            <w:pPr>
              <w:pStyle w:val="Tabletext"/>
              <w:keepNext/>
              <w:keepLines/>
              <w:jc w:val="center"/>
              <w:rPr>
                <w:b/>
                <w:bCs/>
                <w:szCs w:val="20"/>
              </w:rPr>
            </w:pPr>
          </w:p>
        </w:tc>
        <w:tc>
          <w:tcPr>
            <w:tcW w:w="479" w:type="pct"/>
            <w:shd w:val="clear" w:color="auto" w:fill="auto"/>
            <w:vAlign w:val="center"/>
          </w:tcPr>
          <w:p w14:paraId="71E0C115" w14:textId="77777777" w:rsidR="005752A5" w:rsidRPr="00055F21" w:rsidRDefault="005752A5" w:rsidP="007C1102">
            <w:pPr>
              <w:pStyle w:val="Tabletext"/>
              <w:keepNext/>
              <w:keepLines/>
              <w:jc w:val="center"/>
              <w:rPr>
                <w:b/>
                <w:bCs/>
                <w:szCs w:val="20"/>
              </w:rPr>
            </w:pPr>
          </w:p>
        </w:tc>
      </w:tr>
      <w:tr w:rsidR="00176C9B" w:rsidRPr="005F0CE8" w14:paraId="6663C0F4" w14:textId="77777777" w:rsidTr="00C7643A">
        <w:tc>
          <w:tcPr>
            <w:tcW w:w="317" w:type="pct"/>
            <w:shd w:val="clear" w:color="auto" w:fill="D9D9D9" w:themeFill="background1" w:themeFillShade="D9"/>
            <w:vAlign w:val="center"/>
          </w:tcPr>
          <w:p w14:paraId="29AE1775" w14:textId="77777777" w:rsidR="005752A5" w:rsidRPr="005F0CE8" w:rsidRDefault="005752A5" w:rsidP="007C1102">
            <w:pPr>
              <w:pStyle w:val="Tabletext"/>
              <w:keepNext/>
              <w:keepLines/>
            </w:pPr>
            <w:bookmarkStart w:id="97" w:name="_Hlk127905315"/>
            <w:r w:rsidRPr="005F0CE8">
              <w:t>1</w:t>
            </w:r>
          </w:p>
        </w:tc>
        <w:tc>
          <w:tcPr>
            <w:tcW w:w="3028" w:type="pct"/>
            <w:shd w:val="clear" w:color="auto" w:fill="D9D9D9" w:themeFill="background1" w:themeFillShade="D9"/>
            <w:vAlign w:val="center"/>
          </w:tcPr>
          <w:p w14:paraId="16C6BE52" w14:textId="77777777" w:rsidR="005752A5" w:rsidRPr="005F0CE8" w:rsidRDefault="005752A5" w:rsidP="007C1102">
            <w:pPr>
              <w:pStyle w:val="Tabletext"/>
              <w:keepNext/>
              <w:keepLines/>
            </w:pPr>
            <w:r w:rsidRPr="005F0CE8">
              <w:t>Increase the age in the model to 50</w:t>
            </w:r>
          </w:p>
        </w:tc>
        <w:tc>
          <w:tcPr>
            <w:tcW w:w="1176" w:type="pct"/>
            <w:shd w:val="clear" w:color="auto" w:fill="D9D9D9" w:themeFill="background1" w:themeFillShade="D9"/>
            <w:vAlign w:val="center"/>
          </w:tcPr>
          <w:p w14:paraId="618008F5" w14:textId="7AC9E868" w:rsidR="005752A5" w:rsidRPr="00055F21" w:rsidRDefault="003A26A8" w:rsidP="007C1102">
            <w:pPr>
              <w:pStyle w:val="Tabletext"/>
              <w:keepNext/>
              <w:keepLines/>
              <w:jc w:val="center"/>
              <w:rPr>
                <w:szCs w:val="20"/>
                <w:vertAlign w:val="superscript"/>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1</w:t>
            </w:r>
          </w:p>
        </w:tc>
        <w:tc>
          <w:tcPr>
            <w:tcW w:w="479" w:type="pct"/>
            <w:shd w:val="clear" w:color="auto" w:fill="D9D9D9" w:themeFill="background1" w:themeFillShade="D9"/>
            <w:vAlign w:val="center"/>
          </w:tcPr>
          <w:p w14:paraId="07E48F8D" w14:textId="77777777" w:rsidR="005752A5" w:rsidRPr="00055F21" w:rsidRDefault="005752A5" w:rsidP="007C1102">
            <w:pPr>
              <w:pStyle w:val="Tabletext"/>
              <w:keepNext/>
              <w:keepLines/>
              <w:jc w:val="center"/>
              <w:rPr>
                <w:szCs w:val="20"/>
              </w:rPr>
            </w:pPr>
            <w:r w:rsidRPr="00055F21">
              <w:rPr>
                <w:szCs w:val="20"/>
              </w:rPr>
              <w:t>6.35%</w:t>
            </w:r>
          </w:p>
        </w:tc>
      </w:tr>
      <w:tr w:rsidR="00176C9B" w:rsidRPr="005F0CE8" w14:paraId="2919C424" w14:textId="77777777" w:rsidTr="00C7643A">
        <w:tc>
          <w:tcPr>
            <w:tcW w:w="317" w:type="pct"/>
            <w:shd w:val="clear" w:color="auto" w:fill="D9D9D9" w:themeFill="background1" w:themeFillShade="D9"/>
            <w:vAlign w:val="center"/>
          </w:tcPr>
          <w:p w14:paraId="1BEE3B57" w14:textId="77777777" w:rsidR="005752A5" w:rsidRPr="005F0CE8" w:rsidRDefault="005752A5" w:rsidP="007C1102">
            <w:pPr>
              <w:pStyle w:val="Tabletext"/>
              <w:keepNext/>
              <w:keepLines/>
            </w:pPr>
            <w:r w:rsidRPr="005F0CE8">
              <w:t>2</w:t>
            </w:r>
          </w:p>
        </w:tc>
        <w:tc>
          <w:tcPr>
            <w:tcW w:w="3028" w:type="pct"/>
            <w:shd w:val="clear" w:color="auto" w:fill="D9D9D9" w:themeFill="background1" w:themeFillShade="D9"/>
            <w:vAlign w:val="center"/>
          </w:tcPr>
          <w:p w14:paraId="1D674542" w14:textId="77777777" w:rsidR="005752A5" w:rsidRPr="005F0CE8" w:rsidRDefault="005752A5" w:rsidP="007C1102">
            <w:pPr>
              <w:pStyle w:val="Tabletext"/>
              <w:keepNext/>
              <w:keepLines/>
            </w:pPr>
            <w:r w:rsidRPr="005F0CE8">
              <w:t>Apply a lower rate of current testing for HR+ patients (33.5% weighted average)</w:t>
            </w:r>
          </w:p>
        </w:tc>
        <w:tc>
          <w:tcPr>
            <w:tcW w:w="1176" w:type="pct"/>
            <w:shd w:val="clear" w:color="auto" w:fill="D9D9D9" w:themeFill="background1" w:themeFillShade="D9"/>
            <w:vAlign w:val="center"/>
          </w:tcPr>
          <w:p w14:paraId="1DD8C7DA" w14:textId="2FD2DC59" w:rsidR="005752A5" w:rsidRPr="00055F21" w:rsidRDefault="003A26A8" w:rsidP="007C1102">
            <w:pPr>
              <w:pStyle w:val="Tabletext"/>
              <w:keepNext/>
              <w:keepLines/>
              <w:jc w:val="center"/>
              <w:rPr>
                <w:szCs w:val="20"/>
                <w:vertAlign w:val="superscript"/>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2</w:t>
            </w:r>
          </w:p>
        </w:tc>
        <w:tc>
          <w:tcPr>
            <w:tcW w:w="479" w:type="pct"/>
            <w:shd w:val="clear" w:color="auto" w:fill="D9D9D9" w:themeFill="background1" w:themeFillShade="D9"/>
            <w:vAlign w:val="center"/>
          </w:tcPr>
          <w:p w14:paraId="2077A5A1" w14:textId="77777777" w:rsidR="005752A5" w:rsidRPr="00055F21" w:rsidRDefault="005752A5" w:rsidP="007C1102">
            <w:pPr>
              <w:pStyle w:val="Tabletext"/>
              <w:keepNext/>
              <w:keepLines/>
              <w:jc w:val="center"/>
              <w:rPr>
                <w:szCs w:val="20"/>
              </w:rPr>
            </w:pPr>
            <w:r w:rsidRPr="00055F21">
              <w:rPr>
                <w:szCs w:val="20"/>
              </w:rPr>
              <w:t>15.51%</w:t>
            </w:r>
          </w:p>
        </w:tc>
      </w:tr>
      <w:tr w:rsidR="00176C9B" w:rsidRPr="005F0CE8" w14:paraId="5159D1B3" w14:textId="77777777" w:rsidTr="00C7643A">
        <w:tc>
          <w:tcPr>
            <w:tcW w:w="317" w:type="pct"/>
            <w:shd w:val="clear" w:color="auto" w:fill="D9D9D9" w:themeFill="background1" w:themeFillShade="D9"/>
            <w:vAlign w:val="center"/>
          </w:tcPr>
          <w:p w14:paraId="5C866AD3" w14:textId="77777777" w:rsidR="005752A5" w:rsidRPr="005F0CE8" w:rsidRDefault="005752A5" w:rsidP="007C1102">
            <w:pPr>
              <w:pStyle w:val="Tabletext"/>
              <w:keepNext/>
              <w:keepLines/>
            </w:pPr>
            <w:r w:rsidRPr="005F0CE8">
              <w:t>3</w:t>
            </w:r>
          </w:p>
        </w:tc>
        <w:tc>
          <w:tcPr>
            <w:tcW w:w="3028" w:type="pct"/>
            <w:shd w:val="clear" w:color="auto" w:fill="D9D9D9" w:themeFill="background1" w:themeFillShade="D9"/>
            <w:vAlign w:val="center"/>
          </w:tcPr>
          <w:p w14:paraId="2BBD0103" w14:textId="77777777" w:rsidR="005752A5" w:rsidRPr="005F0CE8" w:rsidRDefault="005752A5" w:rsidP="007C1102">
            <w:pPr>
              <w:pStyle w:val="Tabletext"/>
              <w:keepNext/>
              <w:keepLines/>
            </w:pPr>
            <w:r w:rsidRPr="005F0CE8">
              <w:t>Type of recurrence equal across the arms in the model</w:t>
            </w:r>
          </w:p>
        </w:tc>
        <w:tc>
          <w:tcPr>
            <w:tcW w:w="1176" w:type="pct"/>
            <w:shd w:val="clear" w:color="auto" w:fill="D9D9D9" w:themeFill="background1" w:themeFillShade="D9"/>
            <w:vAlign w:val="center"/>
          </w:tcPr>
          <w:p w14:paraId="0CDC9A33" w14:textId="647011EF" w:rsidR="005752A5" w:rsidRPr="00055F21" w:rsidRDefault="003A26A8" w:rsidP="007C1102">
            <w:pPr>
              <w:pStyle w:val="Tabletext"/>
              <w:keepNext/>
              <w:keepLines/>
              <w:jc w:val="center"/>
              <w:rPr>
                <w:szCs w:val="20"/>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2</w:t>
            </w:r>
          </w:p>
        </w:tc>
        <w:tc>
          <w:tcPr>
            <w:tcW w:w="479" w:type="pct"/>
            <w:shd w:val="clear" w:color="auto" w:fill="D9D9D9" w:themeFill="background1" w:themeFillShade="D9"/>
            <w:vAlign w:val="center"/>
          </w:tcPr>
          <w:p w14:paraId="06143C4C" w14:textId="77777777" w:rsidR="005752A5" w:rsidRPr="00055F21" w:rsidRDefault="005752A5" w:rsidP="007C1102">
            <w:pPr>
              <w:pStyle w:val="Tabletext"/>
              <w:keepNext/>
              <w:keepLines/>
              <w:jc w:val="center"/>
              <w:rPr>
                <w:szCs w:val="20"/>
              </w:rPr>
            </w:pPr>
            <w:r w:rsidRPr="00055F21">
              <w:rPr>
                <w:szCs w:val="20"/>
              </w:rPr>
              <w:t>17.53%</w:t>
            </w:r>
          </w:p>
        </w:tc>
      </w:tr>
      <w:tr w:rsidR="00176C9B" w:rsidRPr="005F0CE8" w14:paraId="70E7FFD6" w14:textId="77777777" w:rsidTr="00C7643A">
        <w:tc>
          <w:tcPr>
            <w:tcW w:w="317" w:type="pct"/>
            <w:shd w:val="clear" w:color="auto" w:fill="D9D9D9" w:themeFill="background1" w:themeFillShade="D9"/>
            <w:vAlign w:val="center"/>
          </w:tcPr>
          <w:p w14:paraId="7DCEB2AA" w14:textId="77777777" w:rsidR="005752A5" w:rsidRPr="005F0CE8" w:rsidRDefault="005752A5" w:rsidP="007C1102">
            <w:pPr>
              <w:pStyle w:val="Tabletext"/>
              <w:keepNext/>
              <w:keepLines/>
            </w:pPr>
            <w:r w:rsidRPr="005F0CE8">
              <w:t>4</w:t>
            </w:r>
          </w:p>
        </w:tc>
        <w:tc>
          <w:tcPr>
            <w:tcW w:w="3028" w:type="pct"/>
            <w:shd w:val="clear" w:color="auto" w:fill="D9D9D9" w:themeFill="background1" w:themeFillShade="D9"/>
            <w:vAlign w:val="center"/>
          </w:tcPr>
          <w:p w14:paraId="7DA92083" w14:textId="77777777" w:rsidR="005752A5" w:rsidRPr="005F0CE8" w:rsidRDefault="005752A5" w:rsidP="007C1102">
            <w:pPr>
              <w:pStyle w:val="Tabletext"/>
              <w:keepNext/>
              <w:keepLines/>
            </w:pPr>
            <w:r w:rsidRPr="005F0CE8">
              <w:t>60 month truncation point for the use of observed data</w:t>
            </w:r>
          </w:p>
        </w:tc>
        <w:tc>
          <w:tcPr>
            <w:tcW w:w="1176" w:type="pct"/>
            <w:shd w:val="clear" w:color="auto" w:fill="D9D9D9" w:themeFill="background1" w:themeFillShade="D9"/>
            <w:vAlign w:val="center"/>
          </w:tcPr>
          <w:p w14:paraId="5C512C10" w14:textId="126DC690" w:rsidR="005752A5" w:rsidRPr="00055F21" w:rsidRDefault="003A26A8" w:rsidP="007C1102">
            <w:pPr>
              <w:pStyle w:val="Tabletext"/>
              <w:keepNext/>
              <w:keepLines/>
              <w:jc w:val="center"/>
              <w:rPr>
                <w:szCs w:val="20"/>
                <w:vertAlign w:val="superscript"/>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3</w:t>
            </w:r>
          </w:p>
        </w:tc>
        <w:tc>
          <w:tcPr>
            <w:tcW w:w="479" w:type="pct"/>
            <w:shd w:val="clear" w:color="auto" w:fill="D9D9D9" w:themeFill="background1" w:themeFillShade="D9"/>
            <w:vAlign w:val="center"/>
          </w:tcPr>
          <w:p w14:paraId="31144000" w14:textId="77777777" w:rsidR="005752A5" w:rsidRPr="00055F21" w:rsidRDefault="005752A5" w:rsidP="007C1102">
            <w:pPr>
              <w:pStyle w:val="Tabletext"/>
              <w:keepNext/>
              <w:keepLines/>
              <w:jc w:val="center"/>
              <w:rPr>
                <w:szCs w:val="20"/>
              </w:rPr>
            </w:pPr>
            <w:r w:rsidRPr="00055F21">
              <w:rPr>
                <w:szCs w:val="20"/>
              </w:rPr>
              <w:t>64.97%</w:t>
            </w:r>
          </w:p>
        </w:tc>
      </w:tr>
      <w:tr w:rsidR="00176C9B" w:rsidRPr="005F0CE8" w14:paraId="5F0764B7" w14:textId="77777777" w:rsidTr="00C7643A">
        <w:tc>
          <w:tcPr>
            <w:tcW w:w="317" w:type="pct"/>
            <w:shd w:val="clear" w:color="auto" w:fill="D9D9D9" w:themeFill="background1" w:themeFillShade="D9"/>
            <w:vAlign w:val="center"/>
          </w:tcPr>
          <w:p w14:paraId="0F4EABA8" w14:textId="77777777" w:rsidR="005752A5" w:rsidRPr="005F0CE8" w:rsidRDefault="005752A5" w:rsidP="007C1102">
            <w:pPr>
              <w:pStyle w:val="Tabletext"/>
              <w:keepNext/>
              <w:keepLines/>
            </w:pPr>
            <w:r w:rsidRPr="005F0CE8">
              <w:t>5</w:t>
            </w:r>
          </w:p>
        </w:tc>
        <w:tc>
          <w:tcPr>
            <w:tcW w:w="3028" w:type="pct"/>
            <w:shd w:val="clear" w:color="auto" w:fill="D9D9D9" w:themeFill="background1" w:themeFillShade="D9"/>
            <w:vAlign w:val="center"/>
          </w:tcPr>
          <w:p w14:paraId="581C09B2" w14:textId="77777777" w:rsidR="005752A5" w:rsidRPr="005F0CE8" w:rsidRDefault="005752A5" w:rsidP="007C1102">
            <w:pPr>
              <w:pStyle w:val="Tabletext"/>
              <w:keepNext/>
              <w:keepLines/>
            </w:pPr>
            <w:r w:rsidRPr="005F0CE8">
              <w:t>Risk of death from early-onset mBC different across arms</w:t>
            </w:r>
          </w:p>
        </w:tc>
        <w:tc>
          <w:tcPr>
            <w:tcW w:w="1176" w:type="pct"/>
            <w:shd w:val="clear" w:color="auto" w:fill="D9D9D9" w:themeFill="background1" w:themeFillShade="D9"/>
            <w:vAlign w:val="center"/>
          </w:tcPr>
          <w:p w14:paraId="46ACDE4F" w14:textId="4273F578" w:rsidR="005752A5" w:rsidRPr="00055F21" w:rsidRDefault="003A26A8" w:rsidP="007C1102">
            <w:pPr>
              <w:pStyle w:val="Tabletext"/>
              <w:keepNext/>
              <w:keepLines/>
              <w:jc w:val="center"/>
              <w:rPr>
                <w:szCs w:val="20"/>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3</w:t>
            </w:r>
          </w:p>
        </w:tc>
        <w:tc>
          <w:tcPr>
            <w:tcW w:w="479" w:type="pct"/>
            <w:shd w:val="clear" w:color="auto" w:fill="D9D9D9" w:themeFill="background1" w:themeFillShade="D9"/>
            <w:vAlign w:val="center"/>
          </w:tcPr>
          <w:p w14:paraId="70D96512" w14:textId="77777777" w:rsidR="005752A5" w:rsidRPr="00055F21" w:rsidRDefault="005752A5" w:rsidP="007C1102">
            <w:pPr>
              <w:pStyle w:val="Tabletext"/>
              <w:keepNext/>
              <w:keepLines/>
              <w:jc w:val="center"/>
              <w:rPr>
                <w:szCs w:val="20"/>
              </w:rPr>
            </w:pPr>
            <w:r w:rsidRPr="00055F21">
              <w:rPr>
                <w:szCs w:val="20"/>
              </w:rPr>
              <w:t>78.04%</w:t>
            </w:r>
          </w:p>
        </w:tc>
      </w:tr>
      <w:tr w:rsidR="00176C9B" w:rsidRPr="005F0CE8" w14:paraId="7AC839AF" w14:textId="77777777" w:rsidTr="00C7643A">
        <w:tc>
          <w:tcPr>
            <w:tcW w:w="317" w:type="pct"/>
            <w:shd w:val="clear" w:color="auto" w:fill="D9D9D9" w:themeFill="background1" w:themeFillShade="D9"/>
            <w:vAlign w:val="center"/>
          </w:tcPr>
          <w:p w14:paraId="39AFA004" w14:textId="77777777" w:rsidR="005752A5" w:rsidRPr="005F0CE8" w:rsidRDefault="005752A5" w:rsidP="007C1102">
            <w:pPr>
              <w:pStyle w:val="Tabletext"/>
              <w:keepNext/>
              <w:keepLines/>
            </w:pPr>
            <w:r w:rsidRPr="005F0CE8">
              <w:t>6</w:t>
            </w:r>
          </w:p>
        </w:tc>
        <w:tc>
          <w:tcPr>
            <w:tcW w:w="3028" w:type="pct"/>
            <w:shd w:val="clear" w:color="auto" w:fill="D9D9D9" w:themeFill="background1" w:themeFillShade="D9"/>
            <w:vAlign w:val="center"/>
          </w:tcPr>
          <w:p w14:paraId="219A83A2" w14:textId="77777777" w:rsidR="005752A5" w:rsidRPr="005F0CE8" w:rsidRDefault="005752A5" w:rsidP="007C1102">
            <w:pPr>
              <w:pStyle w:val="Tabletext"/>
              <w:keepNext/>
              <w:keepLines/>
            </w:pPr>
            <w:r w:rsidRPr="005F0CE8">
              <w:t>Reduced rate of treatment in the mBC health state</w:t>
            </w:r>
          </w:p>
        </w:tc>
        <w:tc>
          <w:tcPr>
            <w:tcW w:w="1176" w:type="pct"/>
            <w:shd w:val="clear" w:color="auto" w:fill="D9D9D9" w:themeFill="background1" w:themeFillShade="D9"/>
            <w:vAlign w:val="center"/>
          </w:tcPr>
          <w:p w14:paraId="3FB8B0F3" w14:textId="3780EC85" w:rsidR="005752A5" w:rsidRPr="00055F21" w:rsidRDefault="003A26A8" w:rsidP="007C1102">
            <w:pPr>
              <w:pStyle w:val="Tabletext"/>
              <w:keepNext/>
              <w:keepLines/>
              <w:jc w:val="center"/>
              <w:rPr>
                <w:szCs w:val="20"/>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3</w:t>
            </w:r>
          </w:p>
        </w:tc>
        <w:tc>
          <w:tcPr>
            <w:tcW w:w="479" w:type="pct"/>
            <w:shd w:val="clear" w:color="auto" w:fill="D9D9D9" w:themeFill="background1" w:themeFillShade="D9"/>
            <w:vAlign w:val="center"/>
          </w:tcPr>
          <w:p w14:paraId="2B691E9D" w14:textId="77777777" w:rsidR="005752A5" w:rsidRPr="00055F21" w:rsidRDefault="005752A5" w:rsidP="007C1102">
            <w:pPr>
              <w:pStyle w:val="Tabletext"/>
              <w:keepNext/>
              <w:keepLines/>
              <w:jc w:val="center"/>
              <w:rPr>
                <w:szCs w:val="20"/>
              </w:rPr>
            </w:pPr>
            <w:r w:rsidRPr="00055F21">
              <w:rPr>
                <w:szCs w:val="20"/>
              </w:rPr>
              <w:t>80.64%</w:t>
            </w:r>
          </w:p>
        </w:tc>
      </w:tr>
      <w:tr w:rsidR="00176C9B" w:rsidRPr="005F0CE8" w14:paraId="57A31D24" w14:textId="77777777" w:rsidTr="00C7643A">
        <w:tc>
          <w:tcPr>
            <w:tcW w:w="317" w:type="pct"/>
            <w:shd w:val="clear" w:color="auto" w:fill="D9D9D9" w:themeFill="background1" w:themeFillShade="D9"/>
            <w:vAlign w:val="center"/>
          </w:tcPr>
          <w:p w14:paraId="6E59E7CE" w14:textId="77777777" w:rsidR="005752A5" w:rsidRPr="005F0CE8" w:rsidRDefault="005752A5" w:rsidP="007C1102">
            <w:pPr>
              <w:pStyle w:val="Tabletext"/>
              <w:keepNext/>
              <w:keepLines/>
            </w:pPr>
            <w:r w:rsidRPr="005F0CE8">
              <w:t>7</w:t>
            </w:r>
          </w:p>
        </w:tc>
        <w:tc>
          <w:tcPr>
            <w:tcW w:w="3028" w:type="pct"/>
            <w:shd w:val="clear" w:color="auto" w:fill="D9D9D9" w:themeFill="background1" w:themeFillShade="D9"/>
            <w:vAlign w:val="center"/>
          </w:tcPr>
          <w:p w14:paraId="0A1EC625" w14:textId="77777777" w:rsidR="005752A5" w:rsidRPr="005F0CE8" w:rsidRDefault="005752A5" w:rsidP="007C1102">
            <w:pPr>
              <w:pStyle w:val="Tabletext"/>
              <w:keepNext/>
              <w:keepLines/>
            </w:pPr>
            <w:r w:rsidRPr="005F0CE8">
              <w:t>Relative dose intensity applied to sacituzumab govitecan (TNBC, mBC)</w:t>
            </w:r>
          </w:p>
        </w:tc>
        <w:tc>
          <w:tcPr>
            <w:tcW w:w="1176" w:type="pct"/>
            <w:shd w:val="clear" w:color="auto" w:fill="D9D9D9" w:themeFill="background1" w:themeFillShade="D9"/>
            <w:vAlign w:val="center"/>
          </w:tcPr>
          <w:p w14:paraId="59A43A1A" w14:textId="00A85C90" w:rsidR="005752A5" w:rsidRPr="00055F21" w:rsidRDefault="003A26A8" w:rsidP="007C1102">
            <w:pPr>
              <w:pStyle w:val="Tabletext"/>
              <w:keepNext/>
              <w:keepLines/>
              <w:jc w:val="center"/>
              <w:rPr>
                <w:szCs w:val="20"/>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3</w:t>
            </w:r>
          </w:p>
        </w:tc>
        <w:tc>
          <w:tcPr>
            <w:tcW w:w="479" w:type="pct"/>
            <w:shd w:val="clear" w:color="auto" w:fill="D9D9D9" w:themeFill="background1" w:themeFillShade="D9"/>
            <w:vAlign w:val="center"/>
          </w:tcPr>
          <w:p w14:paraId="0C55EE49" w14:textId="77777777" w:rsidR="005752A5" w:rsidRPr="00055F21" w:rsidRDefault="005752A5" w:rsidP="007C1102">
            <w:pPr>
              <w:pStyle w:val="Tabletext"/>
              <w:keepNext/>
              <w:keepLines/>
              <w:jc w:val="center"/>
              <w:rPr>
                <w:szCs w:val="20"/>
              </w:rPr>
            </w:pPr>
            <w:r w:rsidRPr="00055F21">
              <w:rPr>
                <w:szCs w:val="20"/>
              </w:rPr>
              <w:t>81.37%</w:t>
            </w:r>
          </w:p>
        </w:tc>
      </w:tr>
      <w:tr w:rsidR="00176C9B" w:rsidRPr="005F0CE8" w14:paraId="118B4427" w14:textId="77777777" w:rsidTr="00C7643A">
        <w:tc>
          <w:tcPr>
            <w:tcW w:w="317" w:type="pct"/>
            <w:shd w:val="clear" w:color="auto" w:fill="D9D9D9" w:themeFill="background1" w:themeFillShade="D9"/>
            <w:vAlign w:val="center"/>
          </w:tcPr>
          <w:p w14:paraId="27A1D7E1" w14:textId="77777777" w:rsidR="005752A5" w:rsidRPr="005F0CE8" w:rsidRDefault="005752A5" w:rsidP="007C1102">
            <w:pPr>
              <w:pStyle w:val="Tabletext"/>
              <w:keepNext/>
              <w:keepLines/>
            </w:pPr>
            <w:r w:rsidRPr="005F0CE8">
              <w:t>8</w:t>
            </w:r>
          </w:p>
        </w:tc>
        <w:tc>
          <w:tcPr>
            <w:tcW w:w="3028" w:type="pct"/>
            <w:shd w:val="clear" w:color="auto" w:fill="D9D9D9" w:themeFill="background1" w:themeFillShade="D9"/>
            <w:vAlign w:val="center"/>
          </w:tcPr>
          <w:p w14:paraId="06E39880" w14:textId="77777777" w:rsidR="005752A5" w:rsidRPr="005F0CE8" w:rsidRDefault="005752A5" w:rsidP="007C1102">
            <w:pPr>
              <w:pStyle w:val="Tabletext"/>
              <w:keepNext/>
              <w:keepLines/>
            </w:pPr>
            <w:r w:rsidRPr="005F0CE8">
              <w:t>Cost of echocardiography removed from monitoring costs</w:t>
            </w:r>
          </w:p>
        </w:tc>
        <w:tc>
          <w:tcPr>
            <w:tcW w:w="1176" w:type="pct"/>
            <w:shd w:val="clear" w:color="auto" w:fill="D9D9D9" w:themeFill="background1" w:themeFillShade="D9"/>
            <w:vAlign w:val="center"/>
          </w:tcPr>
          <w:p w14:paraId="645E1E18" w14:textId="357663BF" w:rsidR="005752A5" w:rsidRPr="00055F21" w:rsidRDefault="003A26A8" w:rsidP="007C1102">
            <w:pPr>
              <w:pStyle w:val="Tabletext"/>
              <w:keepNext/>
              <w:keepLines/>
              <w:jc w:val="center"/>
              <w:rPr>
                <w:szCs w:val="20"/>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3</w:t>
            </w:r>
          </w:p>
        </w:tc>
        <w:tc>
          <w:tcPr>
            <w:tcW w:w="479" w:type="pct"/>
            <w:shd w:val="clear" w:color="auto" w:fill="D9D9D9" w:themeFill="background1" w:themeFillShade="D9"/>
            <w:vAlign w:val="center"/>
          </w:tcPr>
          <w:p w14:paraId="09B57662" w14:textId="77777777" w:rsidR="005752A5" w:rsidRPr="00055F21" w:rsidRDefault="005752A5" w:rsidP="007C1102">
            <w:pPr>
              <w:pStyle w:val="Tabletext"/>
              <w:keepNext/>
              <w:keepLines/>
              <w:jc w:val="center"/>
              <w:rPr>
                <w:szCs w:val="20"/>
              </w:rPr>
            </w:pPr>
            <w:r w:rsidRPr="00055F21">
              <w:rPr>
                <w:szCs w:val="20"/>
              </w:rPr>
              <w:t>81.99%</w:t>
            </w:r>
          </w:p>
        </w:tc>
      </w:tr>
      <w:tr w:rsidR="00176C9B" w:rsidRPr="005F0CE8" w14:paraId="68CDE032" w14:textId="77777777" w:rsidTr="00C7643A">
        <w:tc>
          <w:tcPr>
            <w:tcW w:w="317" w:type="pct"/>
            <w:shd w:val="clear" w:color="auto" w:fill="D9D9D9" w:themeFill="background1" w:themeFillShade="D9"/>
            <w:vAlign w:val="center"/>
          </w:tcPr>
          <w:p w14:paraId="446420D1" w14:textId="0AE55E58" w:rsidR="00155A17" w:rsidRPr="005F0CE8" w:rsidRDefault="00155A17" w:rsidP="00155A17">
            <w:pPr>
              <w:pStyle w:val="Tabletext"/>
              <w:keepNext/>
              <w:keepLines/>
            </w:pPr>
            <w:r w:rsidRPr="005F0CE8">
              <w:t>9</w:t>
            </w:r>
          </w:p>
        </w:tc>
        <w:tc>
          <w:tcPr>
            <w:tcW w:w="3028" w:type="pct"/>
            <w:shd w:val="clear" w:color="auto" w:fill="D9D9D9" w:themeFill="background1" w:themeFillShade="D9"/>
            <w:vAlign w:val="center"/>
          </w:tcPr>
          <w:p w14:paraId="504BDB33" w14:textId="75CE2F32" w:rsidR="00155A17" w:rsidRPr="005F0CE8" w:rsidRDefault="00155A17" w:rsidP="00155A17">
            <w:pPr>
              <w:pStyle w:val="Tabletext"/>
              <w:keepNext/>
              <w:keepLines/>
            </w:pPr>
            <w:r w:rsidRPr="005F0CE8">
              <w:t>Disutility applied to treatment with olaparib (5%)</w:t>
            </w:r>
            <w:r w:rsidR="00870929" w:rsidRPr="005F0CE8">
              <w:rPr>
                <w:vertAlign w:val="superscript"/>
              </w:rPr>
              <w:t>a</w:t>
            </w:r>
          </w:p>
        </w:tc>
        <w:tc>
          <w:tcPr>
            <w:tcW w:w="1176" w:type="pct"/>
            <w:shd w:val="clear" w:color="auto" w:fill="D9D9D9" w:themeFill="background1" w:themeFillShade="D9"/>
            <w:vAlign w:val="center"/>
          </w:tcPr>
          <w:p w14:paraId="0925153D" w14:textId="25C98AE3" w:rsidR="00155A17" w:rsidRPr="00055F21" w:rsidRDefault="003A26A8" w:rsidP="00155A17">
            <w:pPr>
              <w:pStyle w:val="Tabletext"/>
              <w:keepNext/>
              <w:keepLines/>
              <w:jc w:val="center"/>
              <w:rPr>
                <w:szCs w:val="20"/>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3</w:t>
            </w:r>
          </w:p>
        </w:tc>
        <w:tc>
          <w:tcPr>
            <w:tcW w:w="479" w:type="pct"/>
            <w:shd w:val="clear" w:color="auto" w:fill="D9D9D9" w:themeFill="background1" w:themeFillShade="D9"/>
            <w:vAlign w:val="center"/>
          </w:tcPr>
          <w:p w14:paraId="6EAC733D" w14:textId="706532A5" w:rsidR="00155A17" w:rsidRPr="00055F21" w:rsidRDefault="00155A17" w:rsidP="00155A17">
            <w:pPr>
              <w:pStyle w:val="Tabletext"/>
              <w:keepNext/>
              <w:keepLines/>
              <w:jc w:val="center"/>
              <w:rPr>
                <w:szCs w:val="20"/>
              </w:rPr>
            </w:pPr>
            <w:r w:rsidRPr="00055F21">
              <w:rPr>
                <w:szCs w:val="20"/>
              </w:rPr>
              <w:t>94.62%</w:t>
            </w:r>
          </w:p>
        </w:tc>
      </w:tr>
      <w:tr w:rsidR="00176C9B" w:rsidRPr="005F0CE8" w14:paraId="470A9BAF" w14:textId="77777777" w:rsidTr="00C7643A">
        <w:tc>
          <w:tcPr>
            <w:tcW w:w="317" w:type="pct"/>
            <w:vAlign w:val="center"/>
          </w:tcPr>
          <w:p w14:paraId="26C248A3" w14:textId="5AF3B198" w:rsidR="006933DB" w:rsidRPr="005F0CE8" w:rsidRDefault="006933DB" w:rsidP="006933DB">
            <w:pPr>
              <w:pStyle w:val="Tabletext"/>
              <w:keepNext/>
              <w:keepLines/>
            </w:pPr>
            <w:r w:rsidRPr="005F0CE8">
              <w:t>10</w:t>
            </w:r>
          </w:p>
        </w:tc>
        <w:tc>
          <w:tcPr>
            <w:tcW w:w="3028" w:type="pct"/>
            <w:vAlign w:val="center"/>
          </w:tcPr>
          <w:p w14:paraId="06695F19" w14:textId="0AC2C062" w:rsidR="006933DB" w:rsidRPr="005F0CE8" w:rsidRDefault="006933DB" w:rsidP="006933DB">
            <w:pPr>
              <w:pStyle w:val="Tabletext"/>
              <w:keepNext/>
              <w:keepLines/>
            </w:pPr>
            <w:r w:rsidRPr="005F0CE8">
              <w:t>Time horizon set to 30 years</w:t>
            </w:r>
          </w:p>
        </w:tc>
        <w:tc>
          <w:tcPr>
            <w:tcW w:w="1176" w:type="pct"/>
            <w:vAlign w:val="center"/>
          </w:tcPr>
          <w:p w14:paraId="1371F94F" w14:textId="2247BAE1" w:rsidR="006933DB" w:rsidRPr="00055F21" w:rsidRDefault="003A26A8" w:rsidP="006933DB">
            <w:pPr>
              <w:pStyle w:val="Tabletext"/>
              <w:keepNext/>
              <w:keepLines/>
              <w:jc w:val="center"/>
              <w:rPr>
                <w:szCs w:val="20"/>
                <w:vertAlign w:val="superscript"/>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4</w:t>
            </w:r>
          </w:p>
        </w:tc>
        <w:tc>
          <w:tcPr>
            <w:tcW w:w="479" w:type="pct"/>
            <w:vAlign w:val="center"/>
          </w:tcPr>
          <w:p w14:paraId="1675FA28" w14:textId="1DD3330E" w:rsidR="006933DB" w:rsidRPr="00055F21" w:rsidRDefault="00870929" w:rsidP="00870929">
            <w:pPr>
              <w:pStyle w:val="Tabletext"/>
              <w:keepNext/>
              <w:keepLines/>
              <w:jc w:val="center"/>
              <w:rPr>
                <w:szCs w:val="20"/>
              </w:rPr>
            </w:pPr>
            <w:r w:rsidRPr="00055F21">
              <w:rPr>
                <w:szCs w:val="20"/>
              </w:rPr>
              <w:t>109.80%</w:t>
            </w:r>
          </w:p>
        </w:tc>
      </w:tr>
      <w:tr w:rsidR="00176C9B" w:rsidRPr="005F0CE8" w14:paraId="78889861" w14:textId="77777777" w:rsidTr="00C7643A">
        <w:tc>
          <w:tcPr>
            <w:tcW w:w="317" w:type="pct"/>
            <w:vAlign w:val="center"/>
          </w:tcPr>
          <w:p w14:paraId="3C26E35B" w14:textId="2F0EEBED" w:rsidR="006933DB" w:rsidRPr="005F0CE8" w:rsidRDefault="006933DB" w:rsidP="006933DB">
            <w:pPr>
              <w:pStyle w:val="Tabletext"/>
              <w:keepNext/>
              <w:keepLines/>
            </w:pPr>
            <w:r w:rsidRPr="005F0CE8">
              <w:t>11</w:t>
            </w:r>
          </w:p>
        </w:tc>
        <w:tc>
          <w:tcPr>
            <w:tcW w:w="3028" w:type="pct"/>
            <w:vAlign w:val="center"/>
          </w:tcPr>
          <w:p w14:paraId="3AECEB82" w14:textId="528E2B1F" w:rsidR="006933DB" w:rsidRPr="005F0CE8" w:rsidRDefault="0063228C" w:rsidP="006933DB">
            <w:pPr>
              <w:pStyle w:val="Tabletext"/>
              <w:keepNext/>
              <w:keepLines/>
            </w:pPr>
            <w:r w:rsidRPr="005F0CE8">
              <w:rPr>
                <w:iCs/>
              </w:rPr>
              <w:t>Increase background</w:t>
            </w:r>
            <w:r w:rsidR="006933DB" w:rsidRPr="005F0CE8">
              <w:rPr>
                <w:iCs/>
              </w:rPr>
              <w:t xml:space="preserve"> mortality for g</w:t>
            </w:r>
            <w:r w:rsidR="009E092C" w:rsidRPr="009E092C">
              <w:rPr>
                <w:i/>
                <w:iCs/>
              </w:rPr>
              <w:t>BRCAm</w:t>
            </w:r>
            <w:r w:rsidR="006933DB" w:rsidRPr="005F0CE8">
              <w:rPr>
                <w:iCs/>
              </w:rPr>
              <w:t xml:space="preserve"> patients to account for other cancer deaths</w:t>
            </w:r>
          </w:p>
        </w:tc>
        <w:tc>
          <w:tcPr>
            <w:tcW w:w="1176" w:type="pct"/>
            <w:vAlign w:val="center"/>
          </w:tcPr>
          <w:p w14:paraId="20ACEC21" w14:textId="49A3C02F" w:rsidR="006933DB" w:rsidRPr="00055F21" w:rsidRDefault="003A26A8" w:rsidP="006933DB">
            <w:pPr>
              <w:pStyle w:val="Tabletext"/>
              <w:keepNext/>
              <w:keepLines/>
              <w:jc w:val="center"/>
              <w:rPr>
                <w:szCs w:val="20"/>
              </w:rPr>
            </w:pPr>
            <w:r w:rsidRPr="003A26A8">
              <w:rPr>
                <w:color w:val="000000"/>
                <w:szCs w:val="20"/>
                <w:shd w:val="solid" w:color="000000" w:fill="000000"/>
                <w14:textFill>
                  <w14:solidFill>
                    <w14:srgbClr w14:val="000000">
                      <w14:alpha w14:val="100000"/>
                    </w14:srgbClr>
                  </w14:solidFill>
                </w14:textFill>
              </w:rPr>
              <w:t>|</w:t>
            </w:r>
            <w:r w:rsidR="00055F21" w:rsidRPr="00055F21">
              <w:rPr>
                <w:szCs w:val="20"/>
                <w:vertAlign w:val="superscript"/>
              </w:rPr>
              <w:t>4</w:t>
            </w:r>
          </w:p>
          <w:p w14:paraId="2E139EB6" w14:textId="0B6E472B" w:rsidR="00E92945" w:rsidRPr="00055F21" w:rsidRDefault="00E92945" w:rsidP="006933DB">
            <w:pPr>
              <w:pStyle w:val="Tabletext"/>
              <w:keepNext/>
              <w:keepLines/>
              <w:jc w:val="center"/>
              <w:rPr>
                <w:szCs w:val="20"/>
              </w:rPr>
            </w:pPr>
          </w:p>
        </w:tc>
        <w:tc>
          <w:tcPr>
            <w:tcW w:w="479" w:type="pct"/>
            <w:vAlign w:val="center"/>
          </w:tcPr>
          <w:p w14:paraId="4E60E215" w14:textId="37776831" w:rsidR="006933DB" w:rsidRPr="00055F21" w:rsidRDefault="00870929" w:rsidP="006933DB">
            <w:pPr>
              <w:pStyle w:val="Tabletext"/>
              <w:keepNext/>
              <w:keepLines/>
              <w:jc w:val="center"/>
              <w:rPr>
                <w:szCs w:val="20"/>
              </w:rPr>
            </w:pPr>
            <w:r w:rsidRPr="00055F21">
              <w:rPr>
                <w:szCs w:val="20"/>
              </w:rPr>
              <w:t>115.9</w:t>
            </w:r>
            <w:r w:rsidR="00A87F7B" w:rsidRPr="00055F21">
              <w:rPr>
                <w:szCs w:val="20"/>
              </w:rPr>
              <w:t>9</w:t>
            </w:r>
            <w:r w:rsidRPr="00055F21">
              <w:rPr>
                <w:szCs w:val="20"/>
              </w:rPr>
              <w:t>%</w:t>
            </w:r>
          </w:p>
          <w:p w14:paraId="41BC86B5" w14:textId="5165EDCE" w:rsidR="00870929" w:rsidRPr="00055F21" w:rsidRDefault="00870929" w:rsidP="006933DB">
            <w:pPr>
              <w:pStyle w:val="Tabletext"/>
              <w:keepNext/>
              <w:keepLines/>
              <w:jc w:val="center"/>
              <w:rPr>
                <w:szCs w:val="20"/>
              </w:rPr>
            </w:pPr>
          </w:p>
        </w:tc>
      </w:tr>
      <w:bookmarkEnd w:id="97"/>
      <w:tr w:rsidR="00176C9B" w:rsidRPr="005F0CE8" w14:paraId="175D8126" w14:textId="77777777" w:rsidTr="00C7643A">
        <w:tc>
          <w:tcPr>
            <w:tcW w:w="317" w:type="pct"/>
            <w:vAlign w:val="center"/>
          </w:tcPr>
          <w:p w14:paraId="0F524E4B" w14:textId="77777777" w:rsidR="00E5664D" w:rsidRPr="005F0CE8" w:rsidDel="00436B85" w:rsidRDefault="00E5664D" w:rsidP="00870929">
            <w:pPr>
              <w:pStyle w:val="Tabletext"/>
              <w:keepNext/>
              <w:keepLines/>
              <w:rPr>
                <w:iCs/>
              </w:rPr>
            </w:pPr>
          </w:p>
        </w:tc>
        <w:tc>
          <w:tcPr>
            <w:tcW w:w="3028" w:type="pct"/>
            <w:vAlign w:val="center"/>
          </w:tcPr>
          <w:p w14:paraId="63924A9E" w14:textId="7962F2B7" w:rsidR="00E5664D" w:rsidRPr="005F0CE8" w:rsidDel="00436B85" w:rsidRDefault="00E5664D" w:rsidP="00870929">
            <w:pPr>
              <w:pStyle w:val="Tabletext"/>
              <w:keepNext/>
              <w:keepLines/>
              <w:rPr>
                <w:iCs/>
              </w:rPr>
            </w:pPr>
            <w:r w:rsidRPr="005F0CE8">
              <w:rPr>
                <w:b/>
                <w:bCs/>
              </w:rPr>
              <w:t>PBAC RESPECIFIED BASE CASE</w:t>
            </w:r>
          </w:p>
        </w:tc>
        <w:tc>
          <w:tcPr>
            <w:tcW w:w="1176" w:type="pct"/>
          </w:tcPr>
          <w:p w14:paraId="7E457227" w14:textId="77777777" w:rsidR="00E5664D" w:rsidRPr="00055F21" w:rsidDel="00436B85" w:rsidRDefault="00E5664D" w:rsidP="00870929">
            <w:pPr>
              <w:pStyle w:val="Tabletext"/>
              <w:keepNext/>
              <w:keepLines/>
              <w:jc w:val="center"/>
              <w:rPr>
                <w:iCs/>
                <w:szCs w:val="20"/>
              </w:rPr>
            </w:pPr>
          </w:p>
        </w:tc>
        <w:tc>
          <w:tcPr>
            <w:tcW w:w="479" w:type="pct"/>
          </w:tcPr>
          <w:p w14:paraId="49392B71" w14:textId="77777777" w:rsidR="00E5664D" w:rsidRPr="00055F21" w:rsidDel="00436B85" w:rsidRDefault="00E5664D" w:rsidP="00CA3BF4">
            <w:pPr>
              <w:pStyle w:val="Tabletext"/>
              <w:keepNext/>
              <w:keepLines/>
              <w:jc w:val="center"/>
              <w:rPr>
                <w:iCs/>
                <w:szCs w:val="20"/>
              </w:rPr>
            </w:pPr>
          </w:p>
        </w:tc>
      </w:tr>
      <w:tr w:rsidR="00176C9B" w:rsidRPr="005F0CE8" w14:paraId="0306284C" w14:textId="77777777" w:rsidTr="00C7643A">
        <w:tc>
          <w:tcPr>
            <w:tcW w:w="317" w:type="pct"/>
            <w:vAlign w:val="center"/>
          </w:tcPr>
          <w:p w14:paraId="6B5BBB55" w14:textId="64065B7A" w:rsidR="00E5664D" w:rsidRPr="005F0CE8" w:rsidDel="00436B85" w:rsidRDefault="00E5664D" w:rsidP="00870929">
            <w:pPr>
              <w:pStyle w:val="Tabletext"/>
              <w:keepNext/>
              <w:keepLines/>
              <w:rPr>
                <w:iCs/>
              </w:rPr>
            </w:pPr>
            <w:r w:rsidRPr="005F0CE8">
              <w:rPr>
                <w:iCs/>
              </w:rPr>
              <w:t>1</w:t>
            </w:r>
          </w:p>
        </w:tc>
        <w:tc>
          <w:tcPr>
            <w:tcW w:w="3028" w:type="pct"/>
            <w:vAlign w:val="center"/>
          </w:tcPr>
          <w:p w14:paraId="392E9C46" w14:textId="25B80D4F" w:rsidR="00E5664D" w:rsidRPr="005F0CE8" w:rsidDel="00436B85" w:rsidRDefault="00E5664D" w:rsidP="00870929">
            <w:pPr>
              <w:pStyle w:val="Tabletext"/>
              <w:keepNext/>
              <w:keepLines/>
              <w:rPr>
                <w:iCs/>
              </w:rPr>
            </w:pPr>
            <w:r w:rsidRPr="005F0CE8">
              <w:rPr>
                <w:iCs/>
              </w:rPr>
              <w:t>Reset age to 43 years</w:t>
            </w:r>
          </w:p>
        </w:tc>
        <w:tc>
          <w:tcPr>
            <w:tcW w:w="1176" w:type="pct"/>
          </w:tcPr>
          <w:p w14:paraId="4C2DEE97" w14:textId="0DAC8509" w:rsidR="00E5664D" w:rsidRPr="00055F21" w:rsidDel="00436B85" w:rsidRDefault="003A26A8" w:rsidP="00E84129">
            <w:pPr>
              <w:jc w:val="center"/>
              <w:rPr>
                <w:rFonts w:ascii="Arial Narrow" w:hAnsi="Arial Narrow" w:cstheme="minorHAnsi"/>
                <w:sz w:val="20"/>
                <w:szCs w:val="20"/>
              </w:rPr>
            </w:pPr>
            <w:r w:rsidRPr="003A26A8">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055F21" w:rsidRPr="00055F21">
              <w:rPr>
                <w:rFonts w:ascii="Arial Narrow" w:hAnsi="Arial Narrow"/>
                <w:sz w:val="20"/>
                <w:szCs w:val="20"/>
                <w:vertAlign w:val="superscript"/>
              </w:rPr>
              <w:t>4</w:t>
            </w:r>
          </w:p>
        </w:tc>
        <w:tc>
          <w:tcPr>
            <w:tcW w:w="479" w:type="pct"/>
          </w:tcPr>
          <w:p w14:paraId="1926E36F" w14:textId="5610F485" w:rsidR="00E5664D" w:rsidRPr="00055F21" w:rsidDel="00436B85" w:rsidRDefault="00A87F7B" w:rsidP="00E84129">
            <w:pPr>
              <w:pStyle w:val="Tabletext"/>
              <w:keepNext/>
              <w:keepLines/>
              <w:jc w:val="center"/>
              <w:rPr>
                <w:iCs/>
                <w:szCs w:val="20"/>
              </w:rPr>
            </w:pPr>
            <w:r w:rsidRPr="00055F21">
              <w:rPr>
                <w:iCs/>
                <w:szCs w:val="20"/>
              </w:rPr>
              <w:t>105.65%</w:t>
            </w:r>
          </w:p>
        </w:tc>
      </w:tr>
      <w:tr w:rsidR="00176C9B" w:rsidRPr="005F0CE8" w14:paraId="6FC46F33" w14:textId="77777777" w:rsidTr="00C7643A">
        <w:tc>
          <w:tcPr>
            <w:tcW w:w="317" w:type="pct"/>
            <w:vAlign w:val="center"/>
          </w:tcPr>
          <w:p w14:paraId="4D748632" w14:textId="31BC11E7" w:rsidR="00C7643A" w:rsidRPr="005F0CE8" w:rsidRDefault="00C7643A" w:rsidP="00C7643A">
            <w:pPr>
              <w:pStyle w:val="Tabletext"/>
              <w:keepNext/>
              <w:keepLines/>
              <w:rPr>
                <w:iCs/>
              </w:rPr>
            </w:pPr>
            <w:r>
              <w:rPr>
                <w:iCs/>
              </w:rPr>
              <w:t>2</w:t>
            </w:r>
          </w:p>
        </w:tc>
        <w:tc>
          <w:tcPr>
            <w:tcW w:w="3028" w:type="pct"/>
            <w:vAlign w:val="center"/>
          </w:tcPr>
          <w:p w14:paraId="0A4D08B4" w14:textId="145FDC79" w:rsidR="00C7643A" w:rsidRPr="005F0CE8" w:rsidRDefault="00C7643A" w:rsidP="00C7643A">
            <w:pPr>
              <w:pStyle w:val="Tabletext"/>
              <w:keepNext/>
              <w:keepLines/>
              <w:rPr>
                <w:iCs/>
              </w:rPr>
            </w:pPr>
            <w:r>
              <w:rPr>
                <w:iCs/>
              </w:rPr>
              <w:t>Adjust disutility applied to treatment with olaparib (0.6%)</w:t>
            </w:r>
            <w:r w:rsidRPr="002005CE">
              <w:rPr>
                <w:iCs/>
                <w:vertAlign w:val="superscript"/>
              </w:rPr>
              <w:t>b</w:t>
            </w:r>
          </w:p>
        </w:tc>
        <w:tc>
          <w:tcPr>
            <w:tcW w:w="1176" w:type="pct"/>
          </w:tcPr>
          <w:p w14:paraId="4853A161" w14:textId="0C25A05D" w:rsidR="00C7643A" w:rsidRPr="00055F21" w:rsidRDefault="003A26A8" w:rsidP="00C7643A">
            <w:pPr>
              <w:jc w:val="center"/>
              <w:rPr>
                <w:rFonts w:ascii="Arial Narrow" w:hAnsi="Arial Narrow" w:cstheme="minorHAnsi"/>
                <w:sz w:val="20"/>
                <w:szCs w:val="20"/>
              </w:rPr>
            </w:pPr>
            <w:r w:rsidRPr="003A26A8">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055F21" w:rsidRPr="00055F21">
              <w:rPr>
                <w:rFonts w:ascii="Arial Narrow" w:hAnsi="Arial Narrow"/>
                <w:sz w:val="20"/>
                <w:szCs w:val="20"/>
                <w:vertAlign w:val="superscript"/>
              </w:rPr>
              <w:t>3</w:t>
            </w:r>
          </w:p>
        </w:tc>
        <w:tc>
          <w:tcPr>
            <w:tcW w:w="479" w:type="pct"/>
          </w:tcPr>
          <w:p w14:paraId="4B62E4B9" w14:textId="45337A30" w:rsidR="00C7643A" w:rsidRPr="00055F21" w:rsidRDefault="00C7643A" w:rsidP="00C7643A">
            <w:pPr>
              <w:pStyle w:val="Tabletext"/>
              <w:keepNext/>
              <w:keepLines/>
              <w:jc w:val="center"/>
              <w:rPr>
                <w:iCs/>
                <w:szCs w:val="20"/>
              </w:rPr>
            </w:pPr>
            <w:r w:rsidRPr="00055F21">
              <w:rPr>
                <w:iCs/>
                <w:szCs w:val="20"/>
              </w:rPr>
              <w:t>93.14%</w:t>
            </w:r>
          </w:p>
        </w:tc>
      </w:tr>
    </w:tbl>
    <w:p w14:paraId="6B8BACEC" w14:textId="760C23A5" w:rsidR="006E2305" w:rsidRDefault="006E2305" w:rsidP="005752A5">
      <w:pPr>
        <w:pStyle w:val="FooterTableFigure"/>
        <w:keepNext/>
        <w:rPr>
          <w:iCs/>
        </w:rPr>
      </w:pPr>
      <w:r w:rsidRPr="005F0CE8">
        <w:rPr>
          <w:iCs/>
        </w:rPr>
        <w:t xml:space="preserve">a. </w:t>
      </w:r>
      <w:r w:rsidR="002005CE">
        <w:rPr>
          <w:iCs/>
        </w:rPr>
        <w:t>A</w:t>
      </w:r>
      <w:r w:rsidR="009666D7" w:rsidRPr="005F0CE8">
        <w:rPr>
          <w:iCs/>
        </w:rPr>
        <w:t xml:space="preserve">pplies </w:t>
      </w:r>
      <w:r w:rsidRPr="005F0CE8">
        <w:t xml:space="preserve">5% </w:t>
      </w:r>
      <w:r w:rsidR="009666D7" w:rsidRPr="005F0CE8">
        <w:t xml:space="preserve">disutility </w:t>
      </w:r>
      <w:r w:rsidRPr="005F0CE8">
        <w:t xml:space="preserve">to the </w:t>
      </w:r>
      <w:r w:rsidR="009666D7" w:rsidRPr="005F0CE8">
        <w:t xml:space="preserve">olaparib arm in the </w:t>
      </w:r>
      <w:r w:rsidRPr="005F0CE8">
        <w:t>IDFS health state for 12 months</w:t>
      </w:r>
      <w:r w:rsidRPr="005F0CE8">
        <w:rPr>
          <w:iCs/>
        </w:rPr>
        <w:t>, compared with 0%.</w:t>
      </w:r>
    </w:p>
    <w:p w14:paraId="742E046A" w14:textId="4989393B" w:rsidR="00ED792A" w:rsidRPr="005F0CE8" w:rsidRDefault="002005CE" w:rsidP="005752A5">
      <w:pPr>
        <w:pStyle w:val="FooterTableFigure"/>
        <w:keepNext/>
        <w:rPr>
          <w:iCs/>
        </w:rPr>
      </w:pPr>
      <w:r>
        <w:rPr>
          <w:iCs/>
        </w:rPr>
        <w:t>b</w:t>
      </w:r>
      <w:r w:rsidRPr="005F0CE8">
        <w:rPr>
          <w:iCs/>
        </w:rPr>
        <w:t xml:space="preserve">. </w:t>
      </w:r>
      <w:r>
        <w:rPr>
          <w:iCs/>
        </w:rPr>
        <w:t>A</w:t>
      </w:r>
      <w:r w:rsidRPr="005F0CE8">
        <w:rPr>
          <w:iCs/>
        </w:rPr>
        <w:t xml:space="preserve">pplies </w:t>
      </w:r>
      <w:r>
        <w:t>0.6</w:t>
      </w:r>
      <w:r w:rsidRPr="005F0CE8">
        <w:t xml:space="preserve">% disutility to the olaparib arm </w:t>
      </w:r>
      <w:r>
        <w:t xml:space="preserve">(as described in pre-PBAC response) </w:t>
      </w:r>
      <w:r w:rsidRPr="005F0CE8">
        <w:t xml:space="preserve">in the IDFS health state for 12 </w:t>
      </w:r>
      <w:r w:rsidR="004B5B94" w:rsidRPr="005F0CE8">
        <w:t>months</w:t>
      </w:r>
      <w:r w:rsidR="004B5B94" w:rsidRPr="005F0CE8">
        <w:rPr>
          <w:iCs/>
        </w:rPr>
        <w:t>. Shading</w:t>
      </w:r>
      <w:r w:rsidR="00ED792A" w:rsidRPr="005F0CE8">
        <w:rPr>
          <w:iCs/>
        </w:rPr>
        <w:t xml:space="preserve"> indicates consistent with the Evaluation alternative base case (</w:t>
      </w:r>
      <w:r w:rsidR="00ED792A" w:rsidRPr="005F0CE8">
        <w:rPr>
          <w:iCs/>
        </w:rPr>
        <w:fldChar w:fldCharType="begin"/>
      </w:r>
      <w:r w:rsidR="00ED792A" w:rsidRPr="005F0CE8">
        <w:rPr>
          <w:iCs/>
        </w:rPr>
        <w:instrText xml:space="preserve"> REF _Ref124154495 \h  \* MERGEFORMAT </w:instrText>
      </w:r>
      <w:r w:rsidR="00ED792A" w:rsidRPr="005F0CE8">
        <w:rPr>
          <w:iCs/>
        </w:rPr>
      </w:r>
      <w:r w:rsidR="00ED792A" w:rsidRPr="005F0CE8">
        <w:rPr>
          <w:iCs/>
        </w:rPr>
        <w:fldChar w:fldCharType="separate"/>
      </w:r>
      <w:r w:rsidR="00AB6006" w:rsidRPr="00AB6006">
        <w:rPr>
          <w:iCs/>
        </w:rPr>
        <w:t>Table 17</w:t>
      </w:r>
      <w:r w:rsidR="00ED792A" w:rsidRPr="005F0CE8">
        <w:rPr>
          <w:iCs/>
        </w:rPr>
        <w:fldChar w:fldCharType="end"/>
      </w:r>
      <w:r w:rsidR="00ED792A" w:rsidRPr="005F0CE8">
        <w:rPr>
          <w:iCs/>
        </w:rPr>
        <w:t>).</w:t>
      </w:r>
    </w:p>
    <w:p w14:paraId="2422BD25" w14:textId="1FFAD0EE" w:rsidR="005752A5" w:rsidRPr="005F0CE8" w:rsidRDefault="005752A5" w:rsidP="005752A5">
      <w:pPr>
        <w:pStyle w:val="FooterTableFigure"/>
        <w:keepNext/>
        <w:rPr>
          <w:iCs/>
        </w:rPr>
      </w:pPr>
      <w:r w:rsidRPr="005F0CE8">
        <w:rPr>
          <w:iCs/>
        </w:rPr>
        <w:t xml:space="preserve">Source: Generated from the economic evaluation spreadsheet. </w:t>
      </w:r>
    </w:p>
    <w:p w14:paraId="63BEF421" w14:textId="0FC152F4" w:rsidR="005752A5" w:rsidRDefault="005752A5" w:rsidP="00055F21">
      <w:pPr>
        <w:pStyle w:val="FooterTableFigure"/>
        <w:keepNext/>
        <w:spacing w:after="0"/>
      </w:pPr>
      <w:r w:rsidRPr="005F0CE8">
        <w:t>EQ-5D = EuroQol five dimension scale questionnaire ; g</w:t>
      </w:r>
      <w:r w:rsidR="009E092C" w:rsidRPr="009E092C">
        <w:rPr>
          <w:i/>
        </w:rPr>
        <w:t xml:space="preserve">BRCA </w:t>
      </w:r>
      <w:r w:rsidRPr="005F0CE8">
        <w:t>= germline breast cancer gene; HR+ = hormone receptor positive; ICER = incremental cost-effectiveness ratio; mBC = metastatic breast cancer recurrence; TNBC = triple-negative breast cancer.</w:t>
      </w:r>
    </w:p>
    <w:p w14:paraId="05154624" w14:textId="77777777" w:rsidR="00055F21" w:rsidRPr="009A6D58" w:rsidRDefault="00055F21" w:rsidP="00055F2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C308702" w14:textId="77777777" w:rsidR="00055F21" w:rsidRPr="009A6D58" w:rsidRDefault="00055F21" w:rsidP="00055F2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245EE">
        <w:rPr>
          <w:rFonts w:ascii="Arial Narrow" w:hAnsi="Arial Narrow"/>
          <w:i/>
          <w:sz w:val="18"/>
          <w:szCs w:val="18"/>
        </w:rPr>
        <w:t>$45,000 to &lt; $55,000</w:t>
      </w:r>
    </w:p>
    <w:p w14:paraId="0CB8067C" w14:textId="77777777" w:rsidR="00055F21" w:rsidRDefault="00055F21" w:rsidP="00055F2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6940C6">
        <w:rPr>
          <w:rFonts w:ascii="Arial Narrow" w:hAnsi="Arial Narrow"/>
          <w:i/>
          <w:sz w:val="18"/>
          <w:szCs w:val="18"/>
        </w:rPr>
        <w:t>$55,000 to &lt; $75,000</w:t>
      </w:r>
    </w:p>
    <w:p w14:paraId="0ADD83B7" w14:textId="77777777" w:rsidR="00055F21" w:rsidRDefault="00055F21" w:rsidP="00055F2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6940C6">
        <w:rPr>
          <w:rFonts w:ascii="Arial Narrow" w:hAnsi="Arial Narrow"/>
          <w:i/>
          <w:sz w:val="18"/>
          <w:szCs w:val="18"/>
        </w:rPr>
        <w:t>$75,000 to &lt; $95,000</w:t>
      </w:r>
    </w:p>
    <w:p w14:paraId="6F12AD96" w14:textId="77777777" w:rsidR="00055F21" w:rsidRPr="006940C6" w:rsidRDefault="00055F21" w:rsidP="00055F21">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6940C6">
        <w:rPr>
          <w:rFonts w:ascii="Arial Narrow" w:hAnsi="Arial Narrow"/>
          <w:i/>
          <w:sz w:val="18"/>
          <w:szCs w:val="18"/>
        </w:rPr>
        <w:t>$95,000 to &lt; $115,000</w:t>
      </w:r>
    </w:p>
    <w:p w14:paraId="6E3EAD13" w14:textId="0FE05505" w:rsidR="009C6A3A" w:rsidRPr="005F0CE8" w:rsidRDefault="009C6A3A" w:rsidP="006A674C">
      <w:pPr>
        <w:pStyle w:val="4-SubsectionHeading"/>
      </w:pPr>
      <w:bookmarkStart w:id="98" w:name="_Toc22897646"/>
      <w:bookmarkStart w:id="99" w:name="_Toc124883286"/>
      <w:bookmarkEnd w:id="88"/>
      <w:r w:rsidRPr="005F0CE8">
        <w:lastRenderedPageBreak/>
        <w:t>Olaparib cost/patient/course</w:t>
      </w:r>
      <w:bookmarkEnd w:id="98"/>
      <w:r w:rsidRPr="005F0CE8">
        <w:t xml:space="preserve"> </w:t>
      </w:r>
      <w:bookmarkEnd w:id="99"/>
    </w:p>
    <w:p w14:paraId="75829A46" w14:textId="166D0344" w:rsidR="009C6A3A" w:rsidRPr="005F0CE8" w:rsidRDefault="009C6A3A" w:rsidP="006A674C">
      <w:pPr>
        <w:pStyle w:val="Caption"/>
        <w:rPr>
          <w:rStyle w:val="CommentReference"/>
          <w:b/>
          <w:szCs w:val="24"/>
        </w:rPr>
      </w:pPr>
      <w:r w:rsidRPr="005F0CE8">
        <w:t xml:space="preserve">Table </w:t>
      </w:r>
      <w:fldSimple w:instr=" SEQ Table \* ARABIC ">
        <w:r w:rsidR="00AB6006">
          <w:rPr>
            <w:noProof/>
          </w:rPr>
          <w:t>19</w:t>
        </w:r>
      </w:fldSimple>
      <w:r w:rsidRPr="005F0CE8">
        <w:t xml:space="preserve">: </w:t>
      </w:r>
      <w:r w:rsidRPr="005F0CE8">
        <w:rPr>
          <w:rStyle w:val="CommentReference"/>
          <w:b/>
          <w:szCs w:val="24"/>
        </w:rPr>
        <w:t>Drug cost per patient for olaparib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7"/>
        <w:gridCol w:w="2752"/>
        <w:gridCol w:w="1758"/>
        <w:gridCol w:w="2310"/>
      </w:tblGrid>
      <w:tr w:rsidR="00E12576" w:rsidRPr="005F0CE8" w14:paraId="21BCA0C3" w14:textId="77777777" w:rsidTr="00E12576">
        <w:trPr>
          <w:cantSplit/>
          <w:tblHeader/>
          <w:jc w:val="center"/>
        </w:trPr>
        <w:tc>
          <w:tcPr>
            <w:tcW w:w="1218" w:type="pct"/>
            <w:shd w:val="clear" w:color="auto" w:fill="auto"/>
            <w:vAlign w:val="center"/>
          </w:tcPr>
          <w:p w14:paraId="3FC329BC" w14:textId="77777777" w:rsidR="00E12576" w:rsidRPr="005F0CE8" w:rsidRDefault="00E12576" w:rsidP="006A674C">
            <w:pPr>
              <w:pStyle w:val="In-tableHeading"/>
              <w:jc w:val="center"/>
              <w:rPr>
                <w:lang w:val="en-AU"/>
              </w:rPr>
            </w:pPr>
          </w:p>
        </w:tc>
        <w:tc>
          <w:tcPr>
            <w:tcW w:w="1526" w:type="pct"/>
            <w:shd w:val="clear" w:color="auto" w:fill="auto"/>
            <w:vAlign w:val="center"/>
          </w:tcPr>
          <w:p w14:paraId="3D24EBE3" w14:textId="77777777" w:rsidR="00E12576" w:rsidRPr="005F0CE8" w:rsidRDefault="00E12576" w:rsidP="006A674C">
            <w:pPr>
              <w:pStyle w:val="In-tableHeading"/>
              <w:jc w:val="center"/>
              <w:rPr>
                <w:lang w:val="en-AU"/>
              </w:rPr>
            </w:pPr>
            <w:r w:rsidRPr="005F0CE8">
              <w:rPr>
                <w:lang w:val="en-AU"/>
              </w:rPr>
              <w:t>Trial dose and duration</w:t>
            </w:r>
          </w:p>
        </w:tc>
        <w:tc>
          <w:tcPr>
            <w:tcW w:w="975" w:type="pct"/>
            <w:shd w:val="clear" w:color="auto" w:fill="auto"/>
            <w:vAlign w:val="center"/>
          </w:tcPr>
          <w:p w14:paraId="4C7A2E18" w14:textId="77777777" w:rsidR="00E12576" w:rsidRPr="005F0CE8" w:rsidRDefault="00E12576" w:rsidP="006A674C">
            <w:pPr>
              <w:pStyle w:val="In-tableHeading"/>
              <w:jc w:val="center"/>
              <w:rPr>
                <w:lang w:val="en-AU"/>
              </w:rPr>
            </w:pPr>
            <w:r w:rsidRPr="005F0CE8">
              <w:rPr>
                <w:lang w:val="en-AU"/>
              </w:rPr>
              <w:t>Model</w:t>
            </w:r>
          </w:p>
        </w:tc>
        <w:tc>
          <w:tcPr>
            <w:tcW w:w="1281" w:type="pct"/>
            <w:shd w:val="clear" w:color="auto" w:fill="auto"/>
            <w:vAlign w:val="center"/>
          </w:tcPr>
          <w:p w14:paraId="06472544" w14:textId="77777777" w:rsidR="00E12576" w:rsidRPr="005F0CE8" w:rsidRDefault="00E12576" w:rsidP="006A674C">
            <w:pPr>
              <w:pStyle w:val="In-tableHeading"/>
              <w:jc w:val="center"/>
              <w:rPr>
                <w:lang w:val="en-AU"/>
              </w:rPr>
            </w:pPr>
            <w:r w:rsidRPr="005F0CE8">
              <w:rPr>
                <w:lang w:val="en-AU"/>
              </w:rPr>
              <w:t>Financial estimates</w:t>
            </w:r>
          </w:p>
        </w:tc>
      </w:tr>
      <w:tr w:rsidR="00E12576" w:rsidRPr="005F0CE8" w14:paraId="4D6F227D" w14:textId="77777777" w:rsidTr="00E12576">
        <w:trPr>
          <w:cantSplit/>
          <w:jc w:val="center"/>
        </w:trPr>
        <w:tc>
          <w:tcPr>
            <w:tcW w:w="1218" w:type="pct"/>
            <w:shd w:val="clear" w:color="auto" w:fill="auto"/>
            <w:vAlign w:val="center"/>
          </w:tcPr>
          <w:p w14:paraId="5C701C33" w14:textId="77777777" w:rsidR="00E12576" w:rsidRPr="005F0CE8" w:rsidRDefault="00E12576" w:rsidP="006A674C">
            <w:pPr>
              <w:pStyle w:val="TableText0"/>
            </w:pPr>
            <w:r w:rsidRPr="005F0CE8">
              <w:t>Mean dose</w:t>
            </w:r>
          </w:p>
        </w:tc>
        <w:tc>
          <w:tcPr>
            <w:tcW w:w="1526" w:type="pct"/>
            <w:shd w:val="clear" w:color="auto" w:fill="auto"/>
            <w:vAlign w:val="center"/>
          </w:tcPr>
          <w:p w14:paraId="53F6B5AE" w14:textId="2C1CD8E1" w:rsidR="00E12576" w:rsidRPr="005F0CE8" w:rsidRDefault="006A674C" w:rsidP="006A674C">
            <w:pPr>
              <w:pStyle w:val="TableText0"/>
              <w:jc w:val="center"/>
            </w:pPr>
            <w:r w:rsidRPr="005F0CE8">
              <w:t>565</w:t>
            </w:r>
            <w:r>
              <w:t> </w:t>
            </w:r>
            <w:r w:rsidR="00E12576" w:rsidRPr="005F0CE8">
              <w:t>mg/day</w:t>
            </w:r>
            <w:r w:rsidR="00E12576" w:rsidRPr="005F0CE8">
              <w:rPr>
                <w:vertAlign w:val="superscript"/>
              </w:rPr>
              <w:t>a</w:t>
            </w:r>
          </w:p>
        </w:tc>
        <w:tc>
          <w:tcPr>
            <w:tcW w:w="975" w:type="pct"/>
            <w:shd w:val="clear" w:color="auto" w:fill="auto"/>
            <w:vAlign w:val="center"/>
          </w:tcPr>
          <w:p w14:paraId="3AA4B64B" w14:textId="1F04F97D" w:rsidR="00E12576" w:rsidRPr="005F0CE8" w:rsidRDefault="00E12576" w:rsidP="006A674C">
            <w:pPr>
              <w:pStyle w:val="TableText0"/>
              <w:jc w:val="center"/>
            </w:pPr>
            <w:r w:rsidRPr="005F0CE8">
              <w:t>600</w:t>
            </w:r>
            <w:r w:rsidR="006A674C">
              <w:t> </w:t>
            </w:r>
            <w:r w:rsidRPr="005F0CE8">
              <w:t>mg</w:t>
            </w:r>
            <w:r w:rsidRPr="005F0CE8">
              <w:rPr>
                <w:vertAlign w:val="superscript"/>
              </w:rPr>
              <w:t>b</w:t>
            </w:r>
          </w:p>
        </w:tc>
        <w:tc>
          <w:tcPr>
            <w:tcW w:w="1281" w:type="pct"/>
            <w:shd w:val="clear" w:color="auto" w:fill="auto"/>
            <w:vAlign w:val="center"/>
          </w:tcPr>
          <w:p w14:paraId="5BF22C2B" w14:textId="75262243" w:rsidR="00E12576" w:rsidRPr="005F0CE8" w:rsidRDefault="00E12576" w:rsidP="006A674C">
            <w:pPr>
              <w:pStyle w:val="TableText0"/>
              <w:jc w:val="center"/>
            </w:pPr>
            <w:r w:rsidRPr="005F0CE8">
              <w:t>600</w:t>
            </w:r>
            <w:r w:rsidR="006A674C">
              <w:t> </w:t>
            </w:r>
            <w:r w:rsidRPr="005F0CE8">
              <w:t>mg</w:t>
            </w:r>
            <w:r w:rsidRPr="005F0CE8">
              <w:rPr>
                <w:vertAlign w:val="superscript"/>
              </w:rPr>
              <w:t>b</w:t>
            </w:r>
          </w:p>
        </w:tc>
      </w:tr>
      <w:tr w:rsidR="00E12576" w:rsidRPr="005F0CE8" w14:paraId="6F18802A" w14:textId="77777777" w:rsidTr="00E12576">
        <w:trPr>
          <w:cantSplit/>
          <w:jc w:val="center"/>
        </w:trPr>
        <w:tc>
          <w:tcPr>
            <w:tcW w:w="1218" w:type="pct"/>
            <w:shd w:val="clear" w:color="auto" w:fill="auto"/>
            <w:vAlign w:val="center"/>
          </w:tcPr>
          <w:p w14:paraId="3B8AFC4A" w14:textId="77777777" w:rsidR="00E12576" w:rsidRPr="005F0CE8" w:rsidRDefault="00E12576" w:rsidP="006A674C">
            <w:pPr>
              <w:pStyle w:val="TableText0"/>
            </w:pPr>
            <w:r w:rsidRPr="005F0CE8">
              <w:t>Mean duration</w:t>
            </w:r>
          </w:p>
        </w:tc>
        <w:tc>
          <w:tcPr>
            <w:tcW w:w="1526" w:type="pct"/>
            <w:shd w:val="clear" w:color="auto" w:fill="auto"/>
            <w:vAlign w:val="center"/>
          </w:tcPr>
          <w:p w14:paraId="5DFD656B" w14:textId="77777777" w:rsidR="00E12576" w:rsidRPr="005F0CE8" w:rsidRDefault="00E12576" w:rsidP="006A674C">
            <w:pPr>
              <w:pStyle w:val="TableText0"/>
              <w:jc w:val="center"/>
            </w:pPr>
            <w:r w:rsidRPr="005F0CE8">
              <w:t>9.7 months</w:t>
            </w:r>
          </w:p>
        </w:tc>
        <w:tc>
          <w:tcPr>
            <w:tcW w:w="975" w:type="pct"/>
            <w:shd w:val="clear" w:color="auto" w:fill="auto"/>
            <w:vAlign w:val="center"/>
          </w:tcPr>
          <w:p w14:paraId="5D289F19" w14:textId="77777777" w:rsidR="00E12576" w:rsidRPr="005F0CE8" w:rsidRDefault="00E12576" w:rsidP="006A674C">
            <w:pPr>
              <w:pStyle w:val="TableText0"/>
              <w:jc w:val="center"/>
              <w:rPr>
                <w:vertAlign w:val="superscript"/>
              </w:rPr>
            </w:pPr>
            <w:r w:rsidRPr="005F0CE8">
              <w:t>10.267 months</w:t>
            </w:r>
            <w:r w:rsidRPr="005F0CE8">
              <w:rPr>
                <w:vertAlign w:val="superscript"/>
              </w:rPr>
              <w:t>c</w:t>
            </w:r>
          </w:p>
        </w:tc>
        <w:tc>
          <w:tcPr>
            <w:tcW w:w="1281" w:type="pct"/>
            <w:shd w:val="clear" w:color="auto" w:fill="auto"/>
            <w:vAlign w:val="center"/>
          </w:tcPr>
          <w:p w14:paraId="7A6C6B21" w14:textId="412AA585" w:rsidR="00E12576" w:rsidRPr="005F0CE8" w:rsidRDefault="00E12576" w:rsidP="006A674C">
            <w:pPr>
              <w:pStyle w:val="TableText0"/>
              <w:jc w:val="center"/>
              <w:rPr>
                <w:vertAlign w:val="superscript"/>
              </w:rPr>
            </w:pPr>
            <w:r w:rsidRPr="005F0CE8">
              <w:t>11.5 months</w:t>
            </w:r>
            <w:r w:rsidRPr="005F0CE8">
              <w:rPr>
                <w:vertAlign w:val="superscript"/>
              </w:rPr>
              <w:t>d</w:t>
            </w:r>
          </w:p>
        </w:tc>
      </w:tr>
      <w:tr w:rsidR="00E12576" w:rsidRPr="005F0CE8" w14:paraId="6553967D" w14:textId="77777777" w:rsidTr="00E12576">
        <w:trPr>
          <w:cantSplit/>
          <w:jc w:val="center"/>
        </w:trPr>
        <w:tc>
          <w:tcPr>
            <w:tcW w:w="1218" w:type="pct"/>
            <w:tcBorders>
              <w:bottom w:val="single" w:sz="4" w:space="0" w:color="auto"/>
            </w:tcBorders>
            <w:shd w:val="clear" w:color="auto" w:fill="auto"/>
            <w:vAlign w:val="center"/>
          </w:tcPr>
          <w:p w14:paraId="19F9BCB4" w14:textId="77777777" w:rsidR="00E12576" w:rsidRPr="005F0CE8" w:rsidRDefault="00E12576" w:rsidP="006A674C">
            <w:pPr>
              <w:pStyle w:val="TableText0"/>
            </w:pPr>
            <w:r w:rsidRPr="005F0CE8">
              <w:t>Cost/patient/month</w:t>
            </w:r>
            <w:r w:rsidRPr="005F0CE8">
              <w:rPr>
                <w:vertAlign w:val="superscript"/>
              </w:rPr>
              <w:t>a</w:t>
            </w:r>
          </w:p>
        </w:tc>
        <w:tc>
          <w:tcPr>
            <w:tcW w:w="1526" w:type="pct"/>
            <w:tcBorders>
              <w:bottom w:val="single" w:sz="4" w:space="0" w:color="auto"/>
            </w:tcBorders>
            <w:shd w:val="clear" w:color="auto" w:fill="auto"/>
            <w:vAlign w:val="center"/>
          </w:tcPr>
          <w:p w14:paraId="1CC8F92B" w14:textId="7C6CDE1A" w:rsidR="00E12576" w:rsidRPr="005F0CE8" w:rsidRDefault="00E12576" w:rsidP="006A674C">
            <w:pPr>
              <w:pStyle w:val="TableText0"/>
              <w:jc w:val="center"/>
            </w:pPr>
            <w:r w:rsidRPr="005F0CE8">
              <w:t>NA</w:t>
            </w:r>
          </w:p>
        </w:tc>
        <w:tc>
          <w:tcPr>
            <w:tcW w:w="975" w:type="pct"/>
            <w:tcBorders>
              <w:bottom w:val="single" w:sz="4" w:space="0" w:color="auto"/>
            </w:tcBorders>
            <w:shd w:val="clear" w:color="auto" w:fill="auto"/>
            <w:vAlign w:val="center"/>
          </w:tcPr>
          <w:p w14:paraId="650BADCD" w14:textId="311B625E" w:rsidR="00E12576" w:rsidRPr="005F0CE8" w:rsidRDefault="00E12576" w:rsidP="006A674C">
            <w:pPr>
              <w:pStyle w:val="TableText0"/>
              <w:jc w:val="center"/>
            </w:pPr>
            <w:r w:rsidRPr="005F0CE8">
              <w:t>$</w:t>
            </w:r>
            <w:r w:rsidR="003A26A8" w:rsidRPr="003A26A8">
              <w:rPr>
                <w:color w:val="000000"/>
                <w:shd w:val="solid" w:color="000000" w:fill="000000"/>
                <w14:textFill>
                  <w14:solidFill>
                    <w14:srgbClr w14:val="000000">
                      <w14:alpha w14:val="100000"/>
                    </w14:srgbClr>
                  </w14:solidFill>
                </w14:textFill>
              </w:rPr>
              <w:t>|</w:t>
            </w:r>
          </w:p>
        </w:tc>
        <w:tc>
          <w:tcPr>
            <w:tcW w:w="1281" w:type="pct"/>
            <w:tcBorders>
              <w:bottom w:val="single" w:sz="4" w:space="0" w:color="auto"/>
            </w:tcBorders>
            <w:shd w:val="clear" w:color="auto" w:fill="auto"/>
            <w:vAlign w:val="center"/>
          </w:tcPr>
          <w:p w14:paraId="0C1780BF" w14:textId="613A895E" w:rsidR="00E12576" w:rsidRPr="005F0CE8" w:rsidRDefault="00E12576" w:rsidP="006A674C">
            <w:pPr>
              <w:pStyle w:val="TableText0"/>
              <w:jc w:val="center"/>
            </w:pPr>
            <w:r w:rsidRPr="005F0CE8">
              <w:t>$</w:t>
            </w:r>
            <w:r w:rsidR="003A26A8" w:rsidRPr="003A26A8">
              <w:rPr>
                <w:color w:val="000000"/>
                <w:shd w:val="solid" w:color="000000" w:fill="000000"/>
                <w14:textFill>
                  <w14:solidFill>
                    <w14:srgbClr w14:val="000000">
                      <w14:alpha w14:val="100000"/>
                    </w14:srgbClr>
                  </w14:solidFill>
                </w14:textFill>
              </w:rPr>
              <w:t>|</w:t>
            </w:r>
            <w:r w:rsidRPr="005F0CE8">
              <w:rPr>
                <w:vertAlign w:val="superscript"/>
              </w:rPr>
              <w:t>e</w:t>
            </w:r>
          </w:p>
        </w:tc>
      </w:tr>
      <w:tr w:rsidR="00E12576" w:rsidRPr="005F0CE8" w14:paraId="102344F1" w14:textId="77777777" w:rsidTr="00E12576">
        <w:trPr>
          <w:cantSplit/>
          <w:jc w:val="center"/>
        </w:trPr>
        <w:tc>
          <w:tcPr>
            <w:tcW w:w="1218" w:type="pct"/>
            <w:tcBorders>
              <w:bottom w:val="single" w:sz="4" w:space="0" w:color="auto"/>
            </w:tcBorders>
            <w:shd w:val="clear" w:color="auto" w:fill="auto"/>
            <w:vAlign w:val="center"/>
          </w:tcPr>
          <w:p w14:paraId="52C11712" w14:textId="77777777" w:rsidR="00E12576" w:rsidRPr="005F0CE8" w:rsidRDefault="00E12576" w:rsidP="006A674C">
            <w:pPr>
              <w:pStyle w:val="TableText0"/>
            </w:pPr>
            <w:r w:rsidRPr="005F0CE8">
              <w:t>Revised</w:t>
            </w:r>
          </w:p>
        </w:tc>
        <w:tc>
          <w:tcPr>
            <w:tcW w:w="1526" w:type="pct"/>
            <w:tcBorders>
              <w:bottom w:val="single" w:sz="4" w:space="0" w:color="auto"/>
            </w:tcBorders>
            <w:shd w:val="clear" w:color="auto" w:fill="auto"/>
            <w:vAlign w:val="center"/>
          </w:tcPr>
          <w:p w14:paraId="549EE953" w14:textId="77777777" w:rsidR="00E12576" w:rsidRPr="005F0CE8" w:rsidRDefault="00E12576" w:rsidP="006A674C">
            <w:pPr>
              <w:pStyle w:val="TableText0"/>
              <w:jc w:val="center"/>
            </w:pPr>
          </w:p>
        </w:tc>
        <w:tc>
          <w:tcPr>
            <w:tcW w:w="975" w:type="pct"/>
            <w:tcBorders>
              <w:bottom w:val="single" w:sz="4" w:space="0" w:color="auto"/>
            </w:tcBorders>
            <w:shd w:val="clear" w:color="auto" w:fill="auto"/>
            <w:vAlign w:val="center"/>
          </w:tcPr>
          <w:p w14:paraId="6F6A028C" w14:textId="77777777" w:rsidR="00E12576" w:rsidRPr="005F0CE8" w:rsidRDefault="00E12576" w:rsidP="006A674C">
            <w:pPr>
              <w:pStyle w:val="TableText0"/>
              <w:jc w:val="center"/>
            </w:pPr>
          </w:p>
        </w:tc>
        <w:tc>
          <w:tcPr>
            <w:tcW w:w="1281" w:type="pct"/>
            <w:tcBorders>
              <w:bottom w:val="single" w:sz="4" w:space="0" w:color="auto"/>
            </w:tcBorders>
            <w:shd w:val="clear" w:color="auto" w:fill="auto"/>
            <w:vAlign w:val="center"/>
          </w:tcPr>
          <w:p w14:paraId="50F09631" w14:textId="24F988A9" w:rsidR="00E12576" w:rsidRPr="005F0CE8" w:rsidRDefault="00E12576" w:rsidP="006A674C">
            <w:pPr>
              <w:pStyle w:val="TableText0"/>
              <w:jc w:val="center"/>
            </w:pPr>
            <w:r w:rsidRPr="005F0CE8">
              <w:t>$</w:t>
            </w:r>
            <w:r w:rsidR="003A26A8" w:rsidRPr="003A26A8">
              <w:rPr>
                <w:color w:val="000000"/>
                <w:shd w:val="solid" w:color="000000" w:fill="000000"/>
                <w14:textFill>
                  <w14:solidFill>
                    <w14:srgbClr w14:val="000000">
                      <w14:alpha w14:val="100000"/>
                    </w14:srgbClr>
                  </w14:solidFill>
                </w14:textFill>
              </w:rPr>
              <w:t>|</w:t>
            </w:r>
            <w:r w:rsidRPr="005F0CE8">
              <w:rPr>
                <w:vertAlign w:val="superscript"/>
              </w:rPr>
              <w:t xml:space="preserve"> f</w:t>
            </w:r>
          </w:p>
        </w:tc>
      </w:tr>
      <w:tr w:rsidR="00E12576" w:rsidRPr="005F0CE8" w14:paraId="325B8271" w14:textId="77777777" w:rsidTr="00E12576">
        <w:trPr>
          <w:cantSplit/>
          <w:jc w:val="center"/>
        </w:trPr>
        <w:tc>
          <w:tcPr>
            <w:tcW w:w="1218" w:type="pct"/>
            <w:tcBorders>
              <w:bottom w:val="nil"/>
            </w:tcBorders>
            <w:shd w:val="clear" w:color="auto" w:fill="auto"/>
            <w:vAlign w:val="center"/>
          </w:tcPr>
          <w:p w14:paraId="34187EBC" w14:textId="77777777" w:rsidR="00E12576" w:rsidRPr="005F0CE8" w:rsidRDefault="00E12576" w:rsidP="006A674C">
            <w:pPr>
              <w:pStyle w:val="TableText0"/>
            </w:pPr>
            <w:r w:rsidRPr="005F0CE8">
              <w:t>Cost/patient/course</w:t>
            </w:r>
          </w:p>
        </w:tc>
        <w:tc>
          <w:tcPr>
            <w:tcW w:w="1526" w:type="pct"/>
            <w:tcBorders>
              <w:bottom w:val="nil"/>
            </w:tcBorders>
            <w:shd w:val="clear" w:color="auto" w:fill="auto"/>
            <w:vAlign w:val="center"/>
          </w:tcPr>
          <w:p w14:paraId="2AC2BA14" w14:textId="779175D7" w:rsidR="00E12576" w:rsidRPr="005F0CE8" w:rsidRDefault="00E12576" w:rsidP="006A674C">
            <w:pPr>
              <w:pStyle w:val="TableText0"/>
              <w:jc w:val="center"/>
            </w:pPr>
            <w:r w:rsidRPr="005F0CE8">
              <w:t>NA</w:t>
            </w:r>
          </w:p>
        </w:tc>
        <w:tc>
          <w:tcPr>
            <w:tcW w:w="975" w:type="pct"/>
            <w:tcBorders>
              <w:bottom w:val="nil"/>
            </w:tcBorders>
            <w:shd w:val="clear" w:color="auto" w:fill="auto"/>
            <w:vAlign w:val="center"/>
          </w:tcPr>
          <w:p w14:paraId="0B696B8F" w14:textId="146F2906" w:rsidR="00E12576" w:rsidRPr="005F0CE8" w:rsidRDefault="00E12576" w:rsidP="006A674C">
            <w:pPr>
              <w:pStyle w:val="TableText0"/>
              <w:jc w:val="center"/>
            </w:pPr>
            <w:r w:rsidRPr="005F0CE8">
              <w:t>$</w:t>
            </w:r>
            <w:r w:rsidR="003A26A8" w:rsidRPr="003A26A8">
              <w:rPr>
                <w:color w:val="000000"/>
                <w:shd w:val="solid" w:color="000000" w:fill="000000"/>
                <w14:textFill>
                  <w14:solidFill>
                    <w14:srgbClr w14:val="000000">
                      <w14:alpha w14:val="100000"/>
                    </w14:srgbClr>
                  </w14:solidFill>
                </w14:textFill>
              </w:rPr>
              <w:t>|</w:t>
            </w:r>
          </w:p>
        </w:tc>
        <w:tc>
          <w:tcPr>
            <w:tcW w:w="1281" w:type="pct"/>
            <w:tcBorders>
              <w:bottom w:val="nil"/>
            </w:tcBorders>
            <w:shd w:val="clear" w:color="auto" w:fill="auto"/>
            <w:vAlign w:val="center"/>
          </w:tcPr>
          <w:p w14:paraId="664FFBB4" w14:textId="37D24FD3" w:rsidR="00E12576" w:rsidRPr="005F0CE8" w:rsidRDefault="00E12576" w:rsidP="006A674C">
            <w:pPr>
              <w:pStyle w:val="TableText0"/>
              <w:jc w:val="center"/>
            </w:pPr>
            <w:r w:rsidRPr="005F0CE8">
              <w:t>$</w:t>
            </w:r>
            <w:r w:rsidR="003A26A8" w:rsidRPr="003A26A8">
              <w:rPr>
                <w:color w:val="000000"/>
                <w:shd w:val="solid" w:color="000000" w:fill="000000"/>
                <w14:textFill>
                  <w14:solidFill>
                    <w14:srgbClr w14:val="000000">
                      <w14:alpha w14:val="100000"/>
                    </w14:srgbClr>
                  </w14:solidFill>
                </w14:textFill>
              </w:rPr>
              <w:t>|</w:t>
            </w:r>
            <w:r w:rsidRPr="005F0CE8">
              <w:rPr>
                <w:vertAlign w:val="superscript"/>
              </w:rPr>
              <w:t>g</w:t>
            </w:r>
          </w:p>
        </w:tc>
      </w:tr>
      <w:tr w:rsidR="00E12576" w:rsidRPr="005F0CE8" w14:paraId="50A11BE6" w14:textId="77777777" w:rsidTr="00E12576">
        <w:trPr>
          <w:cantSplit/>
          <w:jc w:val="center"/>
        </w:trPr>
        <w:tc>
          <w:tcPr>
            <w:tcW w:w="1218" w:type="pct"/>
            <w:tcBorders>
              <w:top w:val="nil"/>
            </w:tcBorders>
            <w:shd w:val="clear" w:color="auto" w:fill="auto"/>
            <w:vAlign w:val="center"/>
          </w:tcPr>
          <w:p w14:paraId="7BA7EECE" w14:textId="77777777" w:rsidR="00E12576" w:rsidRPr="005F0CE8" w:rsidRDefault="00E12576" w:rsidP="006A674C">
            <w:pPr>
              <w:pStyle w:val="TableText0"/>
            </w:pPr>
            <w:r w:rsidRPr="005F0CE8">
              <w:t>Revised</w:t>
            </w:r>
          </w:p>
        </w:tc>
        <w:tc>
          <w:tcPr>
            <w:tcW w:w="1526" w:type="pct"/>
            <w:tcBorders>
              <w:top w:val="nil"/>
            </w:tcBorders>
            <w:shd w:val="clear" w:color="auto" w:fill="auto"/>
            <w:vAlign w:val="center"/>
          </w:tcPr>
          <w:p w14:paraId="74815928" w14:textId="77777777" w:rsidR="00E12576" w:rsidRPr="005F0CE8" w:rsidRDefault="00E12576" w:rsidP="006A674C">
            <w:pPr>
              <w:pStyle w:val="TableText0"/>
              <w:jc w:val="center"/>
            </w:pPr>
          </w:p>
        </w:tc>
        <w:tc>
          <w:tcPr>
            <w:tcW w:w="975" w:type="pct"/>
            <w:tcBorders>
              <w:top w:val="nil"/>
            </w:tcBorders>
            <w:shd w:val="clear" w:color="auto" w:fill="auto"/>
            <w:vAlign w:val="center"/>
          </w:tcPr>
          <w:p w14:paraId="21464B58" w14:textId="77777777" w:rsidR="00E12576" w:rsidRPr="005F0CE8" w:rsidRDefault="00E12576" w:rsidP="006A674C">
            <w:pPr>
              <w:pStyle w:val="TableText0"/>
              <w:jc w:val="center"/>
            </w:pPr>
          </w:p>
        </w:tc>
        <w:tc>
          <w:tcPr>
            <w:tcW w:w="1281" w:type="pct"/>
            <w:tcBorders>
              <w:top w:val="nil"/>
            </w:tcBorders>
            <w:shd w:val="clear" w:color="auto" w:fill="auto"/>
            <w:vAlign w:val="center"/>
          </w:tcPr>
          <w:p w14:paraId="20C53388" w14:textId="1F37498D" w:rsidR="00E12576" w:rsidRPr="005F0CE8" w:rsidRDefault="00E12576" w:rsidP="006A674C">
            <w:pPr>
              <w:pStyle w:val="TableText0"/>
              <w:jc w:val="center"/>
            </w:pPr>
            <w:r w:rsidRPr="005F0CE8">
              <w:t>$</w:t>
            </w:r>
            <w:r w:rsidR="003A26A8" w:rsidRPr="003A26A8">
              <w:rPr>
                <w:color w:val="000000"/>
                <w:shd w:val="solid" w:color="000000" w:fill="000000"/>
                <w14:textFill>
                  <w14:solidFill>
                    <w14:srgbClr w14:val="000000">
                      <w14:alpha w14:val="100000"/>
                    </w14:srgbClr>
                  </w14:solidFill>
                </w14:textFill>
              </w:rPr>
              <w:t>|</w:t>
            </w:r>
            <w:r w:rsidRPr="006A674C">
              <w:rPr>
                <w:vertAlign w:val="superscript"/>
              </w:rPr>
              <w:t>h</w:t>
            </w:r>
          </w:p>
        </w:tc>
      </w:tr>
    </w:tbl>
    <w:p w14:paraId="410DA1EA" w14:textId="6313AD3C" w:rsidR="009C6A3A" w:rsidRPr="005F0CE8" w:rsidRDefault="009C6A3A" w:rsidP="006A674C">
      <w:pPr>
        <w:pStyle w:val="FooterTableFigure"/>
        <w:keepNext/>
      </w:pPr>
      <w:r w:rsidRPr="005F0CE8">
        <w:t>Source: Table 14.3.1.1, Attachment 2.4 to the submission, Section 3 workbook, sheet ‘Markov – P1 (</w:t>
      </w:r>
      <w:r w:rsidR="00BA3A25" w:rsidRPr="005F0CE8">
        <w:rPr>
          <w:i/>
        </w:rPr>
        <w:t>BRCA</w:t>
      </w:r>
      <w:r w:rsidRPr="005F0CE8">
        <w:t xml:space="preserve">)’, Section 4 workbook. </w:t>
      </w:r>
    </w:p>
    <w:p w14:paraId="43097123" w14:textId="77777777" w:rsidR="009C6A3A" w:rsidRPr="005F0CE8" w:rsidRDefault="009C6A3A" w:rsidP="006A674C">
      <w:pPr>
        <w:pStyle w:val="FooterTableFigure"/>
        <w:keepNext/>
      </w:pPr>
      <w:r w:rsidRPr="005F0CE8">
        <w:rPr>
          <w:vertAlign w:val="superscript"/>
        </w:rPr>
        <w:t>a</w:t>
      </w:r>
      <w:r w:rsidRPr="005F0CE8">
        <w:t xml:space="preserve"> Based on effective DPMQ</w:t>
      </w:r>
    </w:p>
    <w:p w14:paraId="5C463177" w14:textId="35BFBD36" w:rsidR="009C6A3A" w:rsidRPr="005F0CE8" w:rsidRDefault="009C6A3A" w:rsidP="006A674C">
      <w:pPr>
        <w:pStyle w:val="FooterTableFigure"/>
        <w:keepNext/>
      </w:pPr>
      <w:r w:rsidRPr="005F0CE8">
        <w:rPr>
          <w:vertAlign w:val="superscript"/>
        </w:rPr>
        <w:t>b</w:t>
      </w:r>
      <w:r w:rsidRPr="005F0CE8">
        <w:t xml:space="preserve"> The mean daily dose of olaparib in the economic model is 600</w:t>
      </w:r>
      <w:r w:rsidR="006A674C">
        <w:t> </w:t>
      </w:r>
      <w:r w:rsidRPr="005F0CE8">
        <w:t>mg (full prescribed dose). This is achieved using 4 x 150</w:t>
      </w:r>
      <w:r w:rsidR="006A674C">
        <w:t> </w:t>
      </w:r>
      <w:r w:rsidRPr="005F0CE8">
        <w:t>mg tablets. The relative dose intensity of 91.8% is not relevant as the reduction in dose is managed with 100</w:t>
      </w:r>
      <w:r w:rsidR="006A674C">
        <w:t> </w:t>
      </w:r>
      <w:r w:rsidRPr="005F0CE8">
        <w:t>mg tablets, which are priced the same as 150</w:t>
      </w:r>
      <w:r w:rsidR="006A674C">
        <w:t> </w:t>
      </w:r>
      <w:r w:rsidRPr="005F0CE8">
        <w:t>mg tablets.</w:t>
      </w:r>
    </w:p>
    <w:p w14:paraId="0BE495B3" w14:textId="0D2F01EA" w:rsidR="009C6A3A" w:rsidRPr="005F0CE8" w:rsidRDefault="009C6A3A" w:rsidP="006A674C">
      <w:pPr>
        <w:pStyle w:val="FooterTableFigure"/>
        <w:keepNext/>
      </w:pPr>
      <w:r w:rsidRPr="005F0CE8">
        <w:rPr>
          <w:vertAlign w:val="superscript"/>
        </w:rPr>
        <w:t>c</w:t>
      </w:r>
      <w:r w:rsidRPr="005F0CE8">
        <w:t xml:space="preserve"> The mean duration of treatment </w:t>
      </w:r>
      <w:r w:rsidR="00B2228E" w:rsidRPr="005F0CE8">
        <w:t xml:space="preserve">derived from OlympiA time on treatment curve, adjusted down by 12 days to </w:t>
      </w:r>
      <w:r w:rsidRPr="005F0CE8">
        <w:t xml:space="preserve">account for treatment interruptions. </w:t>
      </w:r>
    </w:p>
    <w:p w14:paraId="1C55E216" w14:textId="237D7A9F" w:rsidR="00276089" w:rsidRPr="005F0CE8" w:rsidRDefault="00276089" w:rsidP="006A674C">
      <w:pPr>
        <w:pStyle w:val="FooterTableFigure"/>
        <w:keepNext/>
      </w:pPr>
      <w:r w:rsidRPr="005F0CE8">
        <w:rPr>
          <w:vertAlign w:val="superscript"/>
        </w:rPr>
        <w:t>d</w:t>
      </w:r>
      <w:r w:rsidRPr="005F0CE8">
        <w:t xml:space="preserve"> </w:t>
      </w:r>
      <w:r w:rsidR="00B2228E" w:rsidRPr="005F0CE8">
        <w:t>D</w:t>
      </w:r>
      <w:r w:rsidRPr="005F0CE8">
        <w:t>uration of treatment adjusted for compliance (96.15%)</w:t>
      </w:r>
    </w:p>
    <w:p w14:paraId="25CF3412" w14:textId="2C688785" w:rsidR="00276089" w:rsidRPr="005F0CE8" w:rsidRDefault="00276089" w:rsidP="006A674C">
      <w:pPr>
        <w:pStyle w:val="FooterTableFigure"/>
        <w:keepNext/>
      </w:pPr>
      <w:r w:rsidRPr="005F0CE8">
        <w:rPr>
          <w:vertAlign w:val="superscript"/>
        </w:rPr>
        <w:t xml:space="preserve">e </w:t>
      </w:r>
      <w:r w:rsidRPr="005F0CE8">
        <w:t>This is based on submission’s estimate for net olaparib cost to the PBS/RPBS (</w:t>
      </w:r>
      <w:r w:rsidR="006A674C" w:rsidRPr="006A674C">
        <w:t xml:space="preserve">$30 million to &lt; $40 million </w:t>
      </w:r>
      <w:r w:rsidRPr="005F0CE8">
        <w:t xml:space="preserve">in Year 1), for a total of </w:t>
      </w:r>
      <w:bookmarkStart w:id="100" w:name="_Hlk134799026"/>
      <w:r w:rsidR="006A674C" w:rsidRPr="006A674C">
        <w:t>500 to &lt; 5,000</w:t>
      </w:r>
      <w:r w:rsidRPr="005F0CE8">
        <w:t xml:space="preserve"> </w:t>
      </w:r>
      <w:bookmarkEnd w:id="100"/>
      <w:r w:rsidRPr="005F0CE8">
        <w:t>patients estimated in Year 1 for the 12 months of maximum treatment duration at a compliance of 96.15%.</w:t>
      </w:r>
    </w:p>
    <w:p w14:paraId="190D545C" w14:textId="16659756" w:rsidR="00276089" w:rsidRPr="005F0CE8" w:rsidRDefault="00276089" w:rsidP="006A674C">
      <w:pPr>
        <w:pStyle w:val="FooterTableFigure"/>
        <w:keepNext/>
      </w:pPr>
      <w:r w:rsidRPr="005F0CE8">
        <w:rPr>
          <w:vertAlign w:val="superscript"/>
        </w:rPr>
        <w:t>f</w:t>
      </w:r>
      <w:r w:rsidRPr="005F0CE8">
        <w:t xml:space="preserve"> This is based on revised estimate for net olaparib cost to the PBS/RPBS (</w:t>
      </w:r>
      <w:r w:rsidR="006A674C" w:rsidRPr="006A674C">
        <w:t>$60 million to &lt; $70 million</w:t>
      </w:r>
      <w:r w:rsidR="006A674C" w:rsidRPr="006A674C" w:rsidDel="006A674C">
        <w:t xml:space="preserve"> </w:t>
      </w:r>
      <w:r w:rsidRPr="005F0CE8">
        <w:t xml:space="preserve">in Year 1) for a total of </w:t>
      </w:r>
      <w:r w:rsidR="006A674C" w:rsidRPr="006A674C">
        <w:t>500 to &lt; 5,000</w:t>
      </w:r>
      <w:r w:rsidRPr="005F0CE8">
        <w:t xml:space="preserve"> patients estimated in Year 1 for the 12 months of maximum treatment duration at a compliance of 96.15%.</w:t>
      </w:r>
    </w:p>
    <w:p w14:paraId="2F69FB48" w14:textId="076661AD" w:rsidR="00276089" w:rsidRPr="005F0CE8" w:rsidRDefault="00276089" w:rsidP="006A674C">
      <w:pPr>
        <w:pStyle w:val="FooterTableFigure"/>
        <w:keepNext/>
      </w:pPr>
      <w:r w:rsidRPr="005F0CE8">
        <w:rPr>
          <w:vertAlign w:val="superscript"/>
        </w:rPr>
        <w:t>g</w:t>
      </w:r>
      <w:r w:rsidRPr="005F0CE8">
        <w:t xml:space="preserve"> This is calculated by multiplying the submission’s estimate for net olaparib cost to the PBS/RPBS </w:t>
      </w:r>
      <w:r w:rsidR="006A674C">
        <w:t>(</w:t>
      </w:r>
      <w:r w:rsidR="006A674C" w:rsidRPr="006A674C">
        <w:t xml:space="preserve">$30 million to &lt; $40 million </w:t>
      </w:r>
      <w:r w:rsidRPr="005F0CE8">
        <w:t>in Year 1) by the estimated total number of patients (</w:t>
      </w:r>
      <w:r w:rsidR="006A674C" w:rsidRPr="006A674C">
        <w:t>500 to &lt; 5,000</w:t>
      </w:r>
      <w:r w:rsidRPr="005F0CE8">
        <w:t xml:space="preserve"> in Year 1).</w:t>
      </w:r>
    </w:p>
    <w:p w14:paraId="5B851A7C" w14:textId="7724A066" w:rsidR="00276089" w:rsidRPr="005F0CE8" w:rsidRDefault="00276089" w:rsidP="006A674C">
      <w:pPr>
        <w:pStyle w:val="FooterTableFigure"/>
        <w:keepNext/>
      </w:pPr>
      <w:r w:rsidRPr="005F0CE8">
        <w:rPr>
          <w:vertAlign w:val="superscript"/>
        </w:rPr>
        <w:t>h</w:t>
      </w:r>
      <w:r w:rsidRPr="005F0CE8">
        <w:t xml:space="preserve"> This is calculated by multiplying the revised estimate for net olaparib cost to the PBS/RPBS </w:t>
      </w:r>
      <w:r w:rsidR="006A674C">
        <w:t>(</w:t>
      </w:r>
      <w:r w:rsidR="006A674C" w:rsidRPr="006A674C">
        <w:t>$60 million to &lt; $70 million</w:t>
      </w:r>
      <w:r w:rsidRPr="005F0CE8">
        <w:t xml:space="preserve"> in Year 1) by the estimated total number of patients (</w:t>
      </w:r>
      <w:r w:rsidR="006A674C" w:rsidRPr="006A674C">
        <w:t>500 to &lt; 5,000</w:t>
      </w:r>
      <w:r w:rsidRPr="005F0CE8">
        <w:t xml:space="preserve"> in Year 1).</w:t>
      </w:r>
    </w:p>
    <w:p w14:paraId="4E2F8B63" w14:textId="77777777" w:rsidR="00672D16" w:rsidRPr="005F0CE8" w:rsidRDefault="00672D16" w:rsidP="00672D16">
      <w:pPr>
        <w:pStyle w:val="4-SubsectionHeading"/>
      </w:pPr>
      <w:bookmarkStart w:id="101" w:name="_Toc22897649"/>
      <w:r w:rsidRPr="005F0CE8">
        <w:t>Estimated PBS usage &amp; financial implications</w:t>
      </w:r>
    </w:p>
    <w:p w14:paraId="20BE9F2C" w14:textId="72379664" w:rsidR="0004248C" w:rsidRPr="005F0CE8" w:rsidRDefault="0004248C" w:rsidP="00477BB3">
      <w:pPr>
        <w:pStyle w:val="3-BodyText"/>
      </w:pPr>
      <w:r w:rsidRPr="005F0CE8">
        <w:t>This submission was considered by DUSC.</w:t>
      </w:r>
    </w:p>
    <w:p w14:paraId="41D6EA21" w14:textId="2CC2DD1C" w:rsidR="00672D16" w:rsidRPr="005F0CE8" w:rsidRDefault="00672D16" w:rsidP="00477BB3">
      <w:pPr>
        <w:pStyle w:val="3-BodyText"/>
      </w:pPr>
      <w:r w:rsidRPr="005F0CE8">
        <w:t xml:space="preserve">The submission used an epidemiological approach to estimate utilisation and financial implications of the proposed co-dependent technologies: olaparib + germline </w:t>
      </w:r>
      <w:r w:rsidR="009E092C" w:rsidRPr="009E092C">
        <w:rPr>
          <w:i/>
        </w:rPr>
        <w:t xml:space="preserve">BRCA </w:t>
      </w:r>
      <w:r w:rsidRPr="005F0CE8">
        <w:t xml:space="preserve">mutation test to identify </w:t>
      </w:r>
      <w:r w:rsidR="009E092C" w:rsidRPr="009E092C">
        <w:rPr>
          <w:i/>
        </w:rPr>
        <w:t>BRCA1</w:t>
      </w:r>
      <w:r w:rsidRPr="005F0CE8">
        <w:t xml:space="preserve"> or </w:t>
      </w:r>
      <w:r w:rsidR="009E092C" w:rsidRPr="009E092C">
        <w:rPr>
          <w:i/>
        </w:rPr>
        <w:t>BRCA2</w:t>
      </w:r>
      <w:r w:rsidRPr="005F0CE8">
        <w:t xml:space="preserve"> mutations in patients with HER2-negative, </w:t>
      </w:r>
      <w:r w:rsidR="00D6541C">
        <w:t>high-risk</w:t>
      </w:r>
      <w:r w:rsidRPr="005F0CE8">
        <w:t xml:space="preserve">, early breast cancer. To estimate the number of germline </w:t>
      </w:r>
      <w:r w:rsidRPr="005F0CE8">
        <w:rPr>
          <w:i/>
        </w:rPr>
        <w:t>BRCA</w:t>
      </w:r>
      <w:r w:rsidRPr="005F0CE8">
        <w:t xml:space="preserve">-mutated HER2-negative </w:t>
      </w:r>
      <w:r w:rsidR="00D6541C">
        <w:t>high-risk</w:t>
      </w:r>
      <w:r w:rsidRPr="005F0CE8">
        <w:t xml:space="preserve"> eBC patients eligible for adjuvant olaparib treatment, </w:t>
      </w:r>
      <w:r w:rsidR="007B52CD" w:rsidRPr="005F0CE8">
        <w:t xml:space="preserve">the </w:t>
      </w:r>
      <w:r w:rsidRPr="005F0CE8">
        <w:t>financial analysis encapsulated two subgroups: TNBC, and HR-positive, HER2-negative BC.</w:t>
      </w:r>
      <w:r w:rsidR="008C6E28" w:rsidRPr="005F0CE8">
        <w:t xml:space="preserve"> The DUSC noted that the submission estimates contained an error which underestimated the number of scripts per patient, and that the sponsor provided revised estimates with the PSCR</w:t>
      </w:r>
      <w:r w:rsidR="00CD5C85" w:rsidRPr="005F0CE8">
        <w:t xml:space="preserve"> </w:t>
      </w:r>
      <w:r w:rsidR="008C6E28" w:rsidRPr="005F0CE8">
        <w:t>(see paragraph</w:t>
      </w:r>
      <w:r w:rsidR="003909CD" w:rsidRPr="005F0CE8">
        <w:t xml:space="preserve"> </w:t>
      </w:r>
      <w:r w:rsidR="003909CD" w:rsidRPr="005F0CE8">
        <w:fldChar w:fldCharType="begin"/>
      </w:r>
      <w:r w:rsidR="003909CD" w:rsidRPr="005F0CE8">
        <w:instrText xml:space="preserve"> REF _Ref130333308 \r \h </w:instrText>
      </w:r>
      <w:r w:rsidR="003909CD" w:rsidRPr="005F0CE8">
        <w:fldChar w:fldCharType="separate"/>
      </w:r>
      <w:r w:rsidR="00AB6006">
        <w:t>6.82</w:t>
      </w:r>
      <w:r w:rsidR="003909CD" w:rsidRPr="005F0CE8">
        <w:fldChar w:fldCharType="end"/>
      </w:r>
      <w:r w:rsidR="003909CD" w:rsidRPr="005F0CE8">
        <w:t>)</w:t>
      </w:r>
      <w:r w:rsidR="008C6E28" w:rsidRPr="005F0CE8">
        <w:t>.</w:t>
      </w:r>
    </w:p>
    <w:p w14:paraId="6CE0CDAD" w14:textId="7B7FBFD3" w:rsidR="00672D16" w:rsidRPr="005F0CE8" w:rsidRDefault="00672D16" w:rsidP="00477BB3">
      <w:pPr>
        <w:pStyle w:val="3-BodyText"/>
        <w:rPr>
          <w:color w:val="0066FF"/>
        </w:rPr>
      </w:pPr>
      <w:r w:rsidRPr="005F0CE8">
        <w:t xml:space="preserve">The key inputs in the financial analysis are summarised in </w:t>
      </w:r>
      <w:r w:rsidRPr="005F0CE8">
        <w:fldChar w:fldCharType="begin"/>
      </w:r>
      <w:r w:rsidRPr="005F0CE8">
        <w:instrText xml:space="preserve"> REF _Ref104805262 \h </w:instrText>
      </w:r>
      <w:r w:rsidRPr="005F0CE8">
        <w:fldChar w:fldCharType="separate"/>
      </w:r>
      <w:r w:rsidR="00AB6006" w:rsidRPr="005F0CE8">
        <w:t xml:space="preserve">Table </w:t>
      </w:r>
      <w:r w:rsidR="00AB6006">
        <w:rPr>
          <w:noProof/>
        </w:rPr>
        <w:t>20</w:t>
      </w:r>
      <w:r w:rsidRPr="005F0CE8">
        <w:fldChar w:fldCharType="end"/>
      </w:r>
      <w:r w:rsidRPr="005F0CE8">
        <w:t xml:space="preserve">. </w:t>
      </w:r>
    </w:p>
    <w:p w14:paraId="073F4FF3" w14:textId="78A1A101" w:rsidR="00672D16" w:rsidRPr="005F0CE8" w:rsidRDefault="00672D16" w:rsidP="00672D16">
      <w:pPr>
        <w:pStyle w:val="Caption"/>
        <w:keepLines w:val="0"/>
        <w:rPr>
          <w:rStyle w:val="CommentReference"/>
          <w:b/>
          <w:szCs w:val="24"/>
        </w:rPr>
      </w:pPr>
      <w:bookmarkStart w:id="102" w:name="_Ref104805262"/>
      <w:bookmarkStart w:id="103" w:name="_Hlk129950482"/>
      <w:r w:rsidRPr="005F0CE8">
        <w:t xml:space="preserve">Table </w:t>
      </w:r>
      <w:fldSimple w:instr=" SEQ Table \* ARABIC ">
        <w:r w:rsidR="00AB6006">
          <w:rPr>
            <w:noProof/>
          </w:rPr>
          <w:t>20</w:t>
        </w:r>
      </w:fldSimple>
      <w:bookmarkEnd w:id="102"/>
      <w:r w:rsidRPr="005F0CE8">
        <w:t>:</w:t>
      </w:r>
      <w:r w:rsidRPr="005F0CE8">
        <w:rPr>
          <w:rStyle w:val="CommentReference"/>
          <w:b/>
          <w:szCs w:val="24"/>
        </w:rPr>
        <w:t xml:space="preserve"> K</w:t>
      </w:r>
      <w:bookmarkEnd w:id="103"/>
      <w:r w:rsidRPr="005F0CE8">
        <w:rPr>
          <w:rStyle w:val="CommentReference"/>
          <w:b/>
          <w:szCs w:val="24"/>
        </w:rPr>
        <w:t>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4"/>
        <w:gridCol w:w="2747"/>
        <w:gridCol w:w="2518"/>
        <w:gridCol w:w="2518"/>
      </w:tblGrid>
      <w:tr w:rsidR="001338DA" w:rsidRPr="005F0CE8" w14:paraId="69EDAC75" w14:textId="14F30041" w:rsidTr="001338DA">
        <w:trPr>
          <w:cantSplit/>
          <w:tblHeader/>
        </w:trPr>
        <w:tc>
          <w:tcPr>
            <w:tcW w:w="685" w:type="pct"/>
            <w:shd w:val="clear" w:color="auto" w:fill="auto"/>
            <w:vAlign w:val="center"/>
          </w:tcPr>
          <w:p w14:paraId="22EAD88C" w14:textId="77777777" w:rsidR="001338DA" w:rsidRPr="005F0CE8" w:rsidRDefault="001338DA">
            <w:pPr>
              <w:pStyle w:val="In-tableHeading"/>
              <w:keepNext w:val="0"/>
              <w:widowControl w:val="0"/>
              <w:rPr>
                <w:lang w:val="en-AU"/>
              </w:rPr>
            </w:pPr>
            <w:bookmarkStart w:id="104" w:name="_Hlk130328005"/>
            <w:r w:rsidRPr="005F0CE8">
              <w:rPr>
                <w:lang w:val="en-AU"/>
              </w:rPr>
              <w:t>Parameter</w:t>
            </w:r>
          </w:p>
        </w:tc>
        <w:tc>
          <w:tcPr>
            <w:tcW w:w="1523" w:type="pct"/>
            <w:shd w:val="clear" w:color="auto" w:fill="auto"/>
            <w:vAlign w:val="center"/>
          </w:tcPr>
          <w:p w14:paraId="26824056" w14:textId="77777777" w:rsidR="001338DA" w:rsidRPr="005F0CE8" w:rsidRDefault="001338DA">
            <w:pPr>
              <w:pStyle w:val="In-tableHeading"/>
              <w:keepNext w:val="0"/>
              <w:widowControl w:val="0"/>
              <w:rPr>
                <w:lang w:val="en-AU"/>
              </w:rPr>
            </w:pPr>
            <w:r w:rsidRPr="005F0CE8">
              <w:rPr>
                <w:lang w:val="en-AU"/>
              </w:rPr>
              <w:t>Value applied and (source)</w:t>
            </w:r>
          </w:p>
        </w:tc>
        <w:tc>
          <w:tcPr>
            <w:tcW w:w="1396" w:type="pct"/>
            <w:shd w:val="clear" w:color="auto" w:fill="auto"/>
            <w:vAlign w:val="center"/>
          </w:tcPr>
          <w:p w14:paraId="6DEAF609" w14:textId="77777777" w:rsidR="001338DA" w:rsidRPr="005F0CE8" w:rsidRDefault="001338DA">
            <w:pPr>
              <w:pStyle w:val="In-tableHeading"/>
              <w:keepNext w:val="0"/>
              <w:widowControl w:val="0"/>
              <w:rPr>
                <w:lang w:val="en-AU"/>
              </w:rPr>
            </w:pPr>
            <w:r w:rsidRPr="005F0CE8">
              <w:rPr>
                <w:lang w:val="en-AU"/>
              </w:rPr>
              <w:t>Comment</w:t>
            </w:r>
          </w:p>
        </w:tc>
        <w:tc>
          <w:tcPr>
            <w:tcW w:w="1396" w:type="pct"/>
          </w:tcPr>
          <w:p w14:paraId="495D7968" w14:textId="772E1A9C" w:rsidR="001338DA" w:rsidRPr="005F0CE8" w:rsidRDefault="001338DA">
            <w:pPr>
              <w:pStyle w:val="In-tableHeading"/>
              <w:keepNext w:val="0"/>
              <w:widowControl w:val="0"/>
              <w:rPr>
                <w:lang w:val="en-AU"/>
              </w:rPr>
            </w:pPr>
            <w:r w:rsidRPr="005F0CE8">
              <w:rPr>
                <w:lang w:val="en-AU"/>
              </w:rPr>
              <w:t>PBAC advice for amendment</w:t>
            </w:r>
          </w:p>
        </w:tc>
      </w:tr>
      <w:tr w:rsidR="001338DA" w:rsidRPr="005F0CE8" w14:paraId="757D1C50" w14:textId="220762AD" w:rsidTr="001338DA">
        <w:trPr>
          <w:cantSplit/>
        </w:trPr>
        <w:tc>
          <w:tcPr>
            <w:tcW w:w="685" w:type="pct"/>
            <w:shd w:val="clear" w:color="auto" w:fill="auto"/>
            <w:vAlign w:val="center"/>
          </w:tcPr>
          <w:p w14:paraId="5DFDE1A3" w14:textId="77777777" w:rsidR="001338DA" w:rsidRPr="005F0CE8" w:rsidRDefault="001338DA">
            <w:pPr>
              <w:pStyle w:val="TableText0"/>
              <w:keepNext w:val="0"/>
            </w:pPr>
            <w:r w:rsidRPr="005F0CE8">
              <w:t xml:space="preserve">Incident cases of breast cancer </w:t>
            </w:r>
          </w:p>
        </w:tc>
        <w:tc>
          <w:tcPr>
            <w:tcW w:w="1523" w:type="pct"/>
            <w:shd w:val="clear" w:color="auto" w:fill="auto"/>
            <w:vAlign w:val="center"/>
          </w:tcPr>
          <w:p w14:paraId="6FC621F3" w14:textId="7A92C8C4" w:rsidR="001338DA" w:rsidRPr="005F0CE8" w:rsidRDefault="001338DA">
            <w:pPr>
              <w:pStyle w:val="TableText0"/>
              <w:keepNext w:val="0"/>
            </w:pPr>
            <w:r w:rsidRPr="005F0CE8">
              <w:t xml:space="preserve">21,233 in Year 1 of listing, increasing to 23,678 in Year 6 (AIHW Cancer </w:t>
            </w:r>
            <w:r w:rsidR="0063228C" w:rsidRPr="005F0CE8">
              <w:t>in</w:t>
            </w:r>
            <w:r w:rsidRPr="005F0CE8">
              <w:t xml:space="preserve"> Australia 2021 report)</w:t>
            </w:r>
          </w:p>
        </w:tc>
        <w:tc>
          <w:tcPr>
            <w:tcW w:w="1396" w:type="pct"/>
            <w:shd w:val="clear" w:color="auto" w:fill="auto"/>
            <w:vAlign w:val="center"/>
          </w:tcPr>
          <w:p w14:paraId="1F114B29" w14:textId="2CA2C9A6" w:rsidR="001338DA" w:rsidRPr="005F0CE8" w:rsidRDefault="001338DA">
            <w:pPr>
              <w:pStyle w:val="TableText0"/>
              <w:keepNext w:val="0"/>
            </w:pPr>
            <w:r w:rsidRPr="005F0CE8">
              <w:t xml:space="preserve">DUSC agreed with the commentary that the incidence projections were appropriately sourced. </w:t>
            </w:r>
          </w:p>
        </w:tc>
        <w:tc>
          <w:tcPr>
            <w:tcW w:w="1396" w:type="pct"/>
          </w:tcPr>
          <w:p w14:paraId="10613CCD" w14:textId="77777777" w:rsidR="001338DA" w:rsidRPr="005F0CE8" w:rsidRDefault="001338DA">
            <w:pPr>
              <w:pStyle w:val="TableText0"/>
              <w:keepNext w:val="0"/>
            </w:pPr>
          </w:p>
        </w:tc>
      </w:tr>
      <w:tr w:rsidR="001338DA" w:rsidRPr="005F0CE8" w14:paraId="18B3229D" w14:textId="7D662F8E" w:rsidTr="001338DA">
        <w:trPr>
          <w:cantSplit/>
        </w:trPr>
        <w:tc>
          <w:tcPr>
            <w:tcW w:w="685" w:type="pct"/>
            <w:shd w:val="clear" w:color="auto" w:fill="auto"/>
            <w:vAlign w:val="center"/>
          </w:tcPr>
          <w:p w14:paraId="5BB420A6" w14:textId="77777777" w:rsidR="001338DA" w:rsidRPr="005F0CE8" w:rsidRDefault="001338DA">
            <w:pPr>
              <w:pStyle w:val="TableText0"/>
              <w:keepNext w:val="0"/>
            </w:pPr>
            <w:r w:rsidRPr="005F0CE8">
              <w:lastRenderedPageBreak/>
              <w:t>Incidence of early (Stage I-III) breast cancer</w:t>
            </w:r>
          </w:p>
        </w:tc>
        <w:tc>
          <w:tcPr>
            <w:tcW w:w="1523" w:type="pct"/>
            <w:shd w:val="clear" w:color="auto" w:fill="auto"/>
            <w:vAlign w:val="center"/>
          </w:tcPr>
          <w:p w14:paraId="28555640" w14:textId="77777777" w:rsidR="001338DA" w:rsidRPr="005F0CE8" w:rsidRDefault="001338DA">
            <w:pPr>
              <w:pStyle w:val="TableText0"/>
              <w:keepNext w:val="0"/>
            </w:pPr>
            <w:r w:rsidRPr="005F0CE8">
              <w:t>89.81% (AIHW Australian Cancer Database 2014 Table S3.1)</w:t>
            </w:r>
          </w:p>
        </w:tc>
        <w:tc>
          <w:tcPr>
            <w:tcW w:w="1396" w:type="pct"/>
            <w:shd w:val="clear" w:color="auto" w:fill="auto"/>
            <w:vAlign w:val="center"/>
          </w:tcPr>
          <w:p w14:paraId="6CDA95D6" w14:textId="211214C6" w:rsidR="001338DA" w:rsidRPr="005F0CE8" w:rsidRDefault="001338DA">
            <w:pPr>
              <w:pStyle w:val="TableText0"/>
              <w:keepNext w:val="0"/>
            </w:pPr>
            <w:r w:rsidRPr="005F0CE8">
              <w:t xml:space="preserve">This data for staging distribution based on patients diagnosed in 2011 was not adjusted for patients of unknown disease stage (5.5%). </w:t>
            </w:r>
            <w:r w:rsidRPr="005F0CE8">
              <w:rPr>
                <w:szCs w:val="20"/>
              </w:rPr>
              <w:t>DUSC agreed with the commentary and considered the sponsor’s approach in the PSCR to be more appropriate.</w:t>
            </w:r>
          </w:p>
        </w:tc>
        <w:tc>
          <w:tcPr>
            <w:tcW w:w="1396" w:type="pct"/>
          </w:tcPr>
          <w:p w14:paraId="543B456F" w14:textId="09F238D1" w:rsidR="001338DA" w:rsidRPr="005F0CE8" w:rsidRDefault="001338DA">
            <w:pPr>
              <w:pStyle w:val="TableText0"/>
              <w:keepNext w:val="0"/>
            </w:pPr>
            <w:r w:rsidRPr="005F0CE8">
              <w:rPr>
                <w:szCs w:val="20"/>
              </w:rPr>
              <w:t>The PBAC agreed with DUSC that the estimate should be adjusted to 95.08% as in the commentary and PSCR.</w:t>
            </w:r>
          </w:p>
        </w:tc>
      </w:tr>
      <w:tr w:rsidR="001338DA" w:rsidRPr="005F0CE8" w14:paraId="49B52E08" w14:textId="00E38E11" w:rsidTr="001338DA">
        <w:trPr>
          <w:cantSplit/>
        </w:trPr>
        <w:tc>
          <w:tcPr>
            <w:tcW w:w="685" w:type="pct"/>
            <w:shd w:val="clear" w:color="auto" w:fill="auto"/>
            <w:vAlign w:val="center"/>
          </w:tcPr>
          <w:p w14:paraId="2B439BDB" w14:textId="77777777" w:rsidR="001338DA" w:rsidRPr="005F0CE8" w:rsidRDefault="001338DA">
            <w:pPr>
              <w:pStyle w:val="TableText0"/>
              <w:keepNext w:val="0"/>
            </w:pPr>
            <w:r w:rsidRPr="005F0CE8">
              <w:t>Proportion of patients with TNBC</w:t>
            </w:r>
          </w:p>
        </w:tc>
        <w:tc>
          <w:tcPr>
            <w:tcW w:w="1523" w:type="pct"/>
            <w:shd w:val="clear" w:color="auto" w:fill="auto"/>
            <w:vAlign w:val="center"/>
          </w:tcPr>
          <w:p w14:paraId="5BBEEA96" w14:textId="77777777" w:rsidR="001338DA" w:rsidRPr="005F0CE8" w:rsidRDefault="001338DA">
            <w:pPr>
              <w:pStyle w:val="TableText0"/>
              <w:keepNext w:val="0"/>
            </w:pPr>
            <w:r w:rsidRPr="005F0CE8">
              <w:t>12.10% (Stuart-Harris et.al. 2019)</w:t>
            </w:r>
          </w:p>
        </w:tc>
        <w:tc>
          <w:tcPr>
            <w:tcW w:w="1396" w:type="pct"/>
            <w:shd w:val="clear" w:color="auto" w:fill="auto"/>
            <w:vAlign w:val="center"/>
          </w:tcPr>
          <w:p w14:paraId="463A6804" w14:textId="1DB338E4" w:rsidR="001338DA" w:rsidRPr="005F0CE8" w:rsidRDefault="001338DA">
            <w:pPr>
              <w:pStyle w:val="TableText0"/>
              <w:keepNext w:val="0"/>
            </w:pPr>
            <w:r w:rsidRPr="005F0CE8">
              <w:t xml:space="preserve">Lower than the estimate (15%) previously used for PBAC decision making for atezolizumab submissions in March 2020, and March 2021 resubmission. </w:t>
            </w:r>
            <w:r w:rsidRPr="005F0CE8">
              <w:rPr>
                <w:szCs w:val="20"/>
              </w:rPr>
              <w:t>DUSC agreed with the commentary in that 12.10% is likely an underestimate.</w:t>
            </w:r>
          </w:p>
        </w:tc>
        <w:tc>
          <w:tcPr>
            <w:tcW w:w="1396" w:type="pct"/>
          </w:tcPr>
          <w:p w14:paraId="34CDD461" w14:textId="7C1EBA32" w:rsidR="001338DA" w:rsidRPr="005F0CE8" w:rsidRDefault="001338DA" w:rsidP="00C01D2D">
            <w:pPr>
              <w:pStyle w:val="TableText0"/>
              <w:keepNext w:val="0"/>
            </w:pPr>
            <w:r w:rsidRPr="005F0CE8">
              <w:rPr>
                <w:szCs w:val="20"/>
              </w:rPr>
              <w:t>PBAC considered an estimate of 15% would be appropriate, consistent with previous considerations which had assumed 15% based on an estimate sourced from Cancer Council Australia (</w:t>
            </w:r>
            <w:r w:rsidR="00C01D2D" w:rsidRPr="005F0CE8">
              <w:t>Table 16, atezolizumab PSD, March 2021 PBAC meeting</w:t>
            </w:r>
            <w:r w:rsidRPr="005F0CE8">
              <w:rPr>
                <w:szCs w:val="20"/>
              </w:rPr>
              <w:t>).</w:t>
            </w:r>
          </w:p>
        </w:tc>
      </w:tr>
      <w:tr w:rsidR="0004248C" w:rsidRPr="005F0CE8" w14:paraId="6D14EFD9" w14:textId="77777777" w:rsidTr="001338DA">
        <w:trPr>
          <w:cantSplit/>
        </w:trPr>
        <w:tc>
          <w:tcPr>
            <w:tcW w:w="685" w:type="pct"/>
            <w:shd w:val="clear" w:color="auto" w:fill="auto"/>
            <w:vAlign w:val="center"/>
          </w:tcPr>
          <w:p w14:paraId="7715F5B7" w14:textId="0447ECA3" w:rsidR="001338DA" w:rsidRPr="005F0CE8" w:rsidRDefault="001338DA">
            <w:pPr>
              <w:pStyle w:val="TableText0"/>
              <w:keepNext w:val="0"/>
            </w:pPr>
            <w:r w:rsidRPr="005F0CE8">
              <w:t xml:space="preserve">Proportion of </w:t>
            </w:r>
            <w:r w:rsidR="00D6541C">
              <w:t>high-risk</w:t>
            </w:r>
            <w:r w:rsidRPr="005F0CE8">
              <w:t xml:space="preserve"> TNBC patients </w:t>
            </w:r>
          </w:p>
        </w:tc>
        <w:tc>
          <w:tcPr>
            <w:tcW w:w="1523" w:type="pct"/>
            <w:shd w:val="clear" w:color="auto" w:fill="auto"/>
            <w:vAlign w:val="center"/>
          </w:tcPr>
          <w:p w14:paraId="20806B83" w14:textId="3D6A2221" w:rsidR="001338DA" w:rsidRPr="005F0CE8" w:rsidRDefault="001338DA">
            <w:pPr>
              <w:pStyle w:val="TableText0"/>
              <w:keepNext w:val="0"/>
            </w:pPr>
            <w:r w:rsidRPr="005F0CE8">
              <w:t>The submission did not estimate the proportion of TNBC patients that would be considered high risk, which is an eligibility requirement for the proposed PBS listing.</w:t>
            </w:r>
          </w:p>
        </w:tc>
        <w:tc>
          <w:tcPr>
            <w:tcW w:w="1396" w:type="pct"/>
            <w:shd w:val="clear" w:color="auto" w:fill="auto"/>
            <w:vAlign w:val="center"/>
          </w:tcPr>
          <w:p w14:paraId="79A94825" w14:textId="3B93CC33" w:rsidR="001338DA" w:rsidRPr="005F0CE8" w:rsidRDefault="001338DA">
            <w:pPr>
              <w:pStyle w:val="TableText0"/>
              <w:keepNext w:val="0"/>
            </w:pPr>
            <w:r w:rsidRPr="005F0CE8">
              <w:t>Pathologic</w:t>
            </w:r>
            <w:r w:rsidR="001D4DC9" w:rsidRPr="005F0CE8">
              <w:t>al</w:t>
            </w:r>
            <w:r w:rsidRPr="005F0CE8">
              <w:t xml:space="preserve"> complete response (pCR) may occur after chemotherapy and that patients with pCR are not eligible for olaparib under the proposed listing.</w:t>
            </w:r>
          </w:p>
        </w:tc>
        <w:tc>
          <w:tcPr>
            <w:tcW w:w="1396" w:type="pct"/>
          </w:tcPr>
          <w:p w14:paraId="5BD3910D" w14:textId="2ABAC22E" w:rsidR="001D4DC9" w:rsidRPr="005F0CE8" w:rsidRDefault="001338DA" w:rsidP="001338DA">
            <w:pPr>
              <w:pStyle w:val="TableText0"/>
              <w:keepNext w:val="0"/>
            </w:pPr>
            <w:r w:rsidRPr="005F0CE8">
              <w:t xml:space="preserve">The PBAC considered that an estimate of 40% </w:t>
            </w:r>
            <w:r w:rsidR="00D6541C">
              <w:t>high-risk</w:t>
            </w:r>
            <w:r w:rsidRPr="005F0CE8">
              <w:t xml:space="preserve"> (eligible) </w:t>
            </w:r>
            <w:r w:rsidR="00C60C31">
              <w:t>sh</w:t>
            </w:r>
            <w:r w:rsidRPr="005F0CE8">
              <w:t xml:space="preserve">ould be used, on the basis of trial data in the neoadjuvant setting indicating a pCR rate </w:t>
            </w:r>
            <w:r w:rsidR="001D4DC9" w:rsidRPr="005F0CE8">
              <w:t>between 5</w:t>
            </w:r>
            <w:r w:rsidR="00E04A69" w:rsidRPr="005F0CE8">
              <w:t>0</w:t>
            </w:r>
            <w:r w:rsidR="001D4DC9" w:rsidRPr="005F0CE8">
              <w:t xml:space="preserve"> and 65</w:t>
            </w:r>
            <w:r w:rsidR="00225328" w:rsidRPr="005F0CE8">
              <w:t>%</w:t>
            </w:r>
            <w:r w:rsidR="001D4DC9" w:rsidRPr="005F0CE8">
              <w:t xml:space="preserve">. </w:t>
            </w:r>
          </w:p>
          <w:p w14:paraId="1A199B5C" w14:textId="300D8E3B" w:rsidR="001338DA" w:rsidRPr="005F0CE8" w:rsidRDefault="00E04A69" w:rsidP="00E04A69">
            <w:pPr>
              <w:pStyle w:val="TableText0"/>
              <w:keepNext w:val="0"/>
            </w:pPr>
            <w:r w:rsidRPr="005F0CE8">
              <w:t>(Schmid et al 2020</w:t>
            </w:r>
            <w:r w:rsidRPr="005F0CE8">
              <w:rPr>
                <w:rStyle w:val="FootnoteReference"/>
              </w:rPr>
              <w:footnoteReference w:id="22"/>
            </w:r>
            <w:r w:rsidRPr="005F0CE8">
              <w:t>)</w:t>
            </w:r>
          </w:p>
        </w:tc>
      </w:tr>
      <w:tr w:rsidR="001338DA" w:rsidRPr="005F0CE8" w14:paraId="7AF78AF1" w14:textId="6369C886" w:rsidTr="001338DA">
        <w:trPr>
          <w:cantSplit/>
        </w:trPr>
        <w:tc>
          <w:tcPr>
            <w:tcW w:w="685" w:type="pct"/>
            <w:shd w:val="clear" w:color="auto" w:fill="auto"/>
            <w:vAlign w:val="center"/>
          </w:tcPr>
          <w:p w14:paraId="46B3B4CF" w14:textId="77777777" w:rsidR="001338DA" w:rsidRPr="005F0CE8" w:rsidRDefault="001338DA">
            <w:pPr>
              <w:pStyle w:val="TableText0"/>
              <w:keepNext w:val="0"/>
            </w:pPr>
            <w:r w:rsidRPr="005F0CE8">
              <w:t>Proportion of HR-positive, HER2-negative breast cancer</w:t>
            </w:r>
          </w:p>
        </w:tc>
        <w:tc>
          <w:tcPr>
            <w:tcW w:w="1523" w:type="pct"/>
            <w:shd w:val="clear" w:color="auto" w:fill="auto"/>
            <w:vAlign w:val="center"/>
          </w:tcPr>
          <w:p w14:paraId="772C431C" w14:textId="77777777" w:rsidR="001338DA" w:rsidRPr="005F0CE8" w:rsidRDefault="001338DA">
            <w:pPr>
              <w:pStyle w:val="TableText0"/>
              <w:keepNext w:val="0"/>
            </w:pPr>
            <w:r w:rsidRPr="005F0CE8">
              <w:t>69.3% = 81.8% x 84.7%</w:t>
            </w:r>
          </w:p>
          <w:p w14:paraId="7817882C" w14:textId="77777777" w:rsidR="001338DA" w:rsidRPr="005F0CE8" w:rsidRDefault="001338DA">
            <w:pPr>
              <w:pStyle w:val="TableText0"/>
              <w:keepNext w:val="0"/>
            </w:pPr>
            <w:r w:rsidRPr="005F0CE8">
              <w:t>(The combined probability was calculated by multiplying the proportions of patients with HR-positive breast cancer and patients with HER2-negative breast cancer reported in study by Stuart-Harris et.al. 2019)</w:t>
            </w:r>
          </w:p>
        </w:tc>
        <w:tc>
          <w:tcPr>
            <w:tcW w:w="1396" w:type="pct"/>
            <w:shd w:val="clear" w:color="auto" w:fill="auto"/>
            <w:vAlign w:val="center"/>
          </w:tcPr>
          <w:p w14:paraId="229CE7EC" w14:textId="41A3CCEF" w:rsidR="001338DA" w:rsidRPr="005F0CE8" w:rsidRDefault="001338DA">
            <w:pPr>
              <w:pStyle w:val="TableText0"/>
              <w:keepNext w:val="0"/>
            </w:pPr>
            <w:r w:rsidRPr="005F0CE8">
              <w:t>The source and calculation were reasonable.</w:t>
            </w:r>
          </w:p>
          <w:p w14:paraId="39CFFBB1" w14:textId="2F8C7C92" w:rsidR="001338DA" w:rsidRPr="005F0CE8" w:rsidRDefault="001338DA">
            <w:pPr>
              <w:pStyle w:val="TableText0"/>
              <w:keepNext w:val="0"/>
            </w:pPr>
            <w:r w:rsidRPr="005F0CE8">
              <w:rPr>
                <w:szCs w:val="20"/>
              </w:rPr>
              <w:t>DUSC considered this to be appropriate.</w:t>
            </w:r>
          </w:p>
        </w:tc>
        <w:tc>
          <w:tcPr>
            <w:tcW w:w="1396" w:type="pct"/>
          </w:tcPr>
          <w:p w14:paraId="19E8ADE9" w14:textId="77777777" w:rsidR="001338DA" w:rsidRPr="005F0CE8" w:rsidRDefault="001338DA">
            <w:pPr>
              <w:pStyle w:val="TableText0"/>
              <w:keepNext w:val="0"/>
            </w:pPr>
          </w:p>
          <w:p w14:paraId="6C3EAE0B" w14:textId="497AEAAE" w:rsidR="001338DA" w:rsidRPr="005F0CE8" w:rsidRDefault="001338DA">
            <w:pPr>
              <w:pStyle w:val="TableText0"/>
              <w:keepNext w:val="0"/>
            </w:pPr>
            <w:r w:rsidRPr="005F0CE8">
              <w:t>The PBAC considered the estimate of 69.3% was reasonable (unchanged from submission estimates).</w:t>
            </w:r>
          </w:p>
        </w:tc>
      </w:tr>
      <w:tr w:rsidR="001338DA" w:rsidRPr="005F0CE8" w14:paraId="205BE6FB" w14:textId="3BA7D561" w:rsidTr="001338DA">
        <w:trPr>
          <w:cantSplit/>
        </w:trPr>
        <w:tc>
          <w:tcPr>
            <w:tcW w:w="685" w:type="pct"/>
            <w:shd w:val="clear" w:color="auto" w:fill="auto"/>
            <w:vAlign w:val="center"/>
          </w:tcPr>
          <w:p w14:paraId="059A30FF" w14:textId="42B538CE" w:rsidR="001338DA" w:rsidRPr="005F0CE8" w:rsidRDefault="001338DA">
            <w:pPr>
              <w:pStyle w:val="TableText0"/>
              <w:keepNext w:val="0"/>
            </w:pPr>
            <w:r w:rsidRPr="005F0CE8">
              <w:t xml:space="preserve">Proportion of </w:t>
            </w:r>
            <w:r w:rsidR="00D6541C">
              <w:t>high-risk</w:t>
            </w:r>
            <w:r w:rsidRPr="005F0CE8">
              <w:t xml:space="preserve"> HR-positive, and HER2-negative breast cancer patients </w:t>
            </w:r>
          </w:p>
        </w:tc>
        <w:tc>
          <w:tcPr>
            <w:tcW w:w="1523" w:type="pct"/>
            <w:shd w:val="clear" w:color="auto" w:fill="auto"/>
            <w:vAlign w:val="center"/>
          </w:tcPr>
          <w:p w14:paraId="07565A6A" w14:textId="77777777" w:rsidR="001338DA" w:rsidRPr="005F0CE8" w:rsidRDefault="001338DA">
            <w:pPr>
              <w:pStyle w:val="TableText0"/>
              <w:keepNext w:val="0"/>
            </w:pPr>
            <w:r w:rsidRPr="005F0CE8">
              <w:t xml:space="preserve">49.0% </w:t>
            </w:r>
          </w:p>
          <w:p w14:paraId="16D75BB1" w14:textId="77777777" w:rsidR="001338DA" w:rsidRPr="005F0CE8" w:rsidRDefault="001338DA">
            <w:pPr>
              <w:pStyle w:val="TableText0"/>
              <w:keepNext w:val="0"/>
            </w:pPr>
            <w:r w:rsidRPr="005F0CE8">
              <w:t>(The sum of proportion of patients using neoadjuvant (4.43%) and adjuvant chemotherapy (44.57%) reported in Patiniott et.al. 2019).</w:t>
            </w:r>
          </w:p>
        </w:tc>
        <w:tc>
          <w:tcPr>
            <w:tcW w:w="1396" w:type="pct"/>
            <w:shd w:val="clear" w:color="auto" w:fill="auto"/>
            <w:vAlign w:val="center"/>
          </w:tcPr>
          <w:p w14:paraId="5EE55E34" w14:textId="2AFDEA68" w:rsidR="001338DA" w:rsidRPr="005F0CE8" w:rsidRDefault="001338DA">
            <w:pPr>
              <w:pStyle w:val="TableText0"/>
              <w:keepNext w:val="0"/>
            </w:pPr>
            <w:r w:rsidRPr="005F0CE8">
              <w:t>The approach of using proportions of patients on (neo)adjuvant chemotherapies as a proxy to estimate patients at high risk was reasonable. DUSC considered this to be appropriate.</w:t>
            </w:r>
          </w:p>
        </w:tc>
        <w:tc>
          <w:tcPr>
            <w:tcW w:w="1396" w:type="pct"/>
          </w:tcPr>
          <w:p w14:paraId="30B1CDF8" w14:textId="6848B3DA" w:rsidR="001338DA" w:rsidRPr="005F0CE8" w:rsidRDefault="001338DA">
            <w:pPr>
              <w:pStyle w:val="TableText0"/>
              <w:keepNext w:val="0"/>
            </w:pPr>
            <w:r w:rsidRPr="005F0CE8">
              <w:t>The PBAC considered this was overestimated, and a rate of 25% would be more appropriate for the HR+ population.</w:t>
            </w:r>
          </w:p>
        </w:tc>
      </w:tr>
      <w:tr w:rsidR="001338DA" w:rsidRPr="005F0CE8" w14:paraId="746675E6" w14:textId="303773DE" w:rsidTr="001338DA">
        <w:trPr>
          <w:cantSplit/>
        </w:trPr>
        <w:tc>
          <w:tcPr>
            <w:tcW w:w="685" w:type="pct"/>
            <w:vMerge w:val="restart"/>
            <w:shd w:val="clear" w:color="auto" w:fill="auto"/>
            <w:vAlign w:val="center"/>
          </w:tcPr>
          <w:p w14:paraId="00B8E8DB" w14:textId="37B8457C" w:rsidR="001338DA" w:rsidRPr="005F0CE8" w:rsidRDefault="001338DA">
            <w:pPr>
              <w:pStyle w:val="TableText0"/>
              <w:keepNext w:val="0"/>
            </w:pPr>
            <w:r w:rsidRPr="005F0CE8">
              <w:lastRenderedPageBreak/>
              <w:t xml:space="preserve">Germline </w:t>
            </w:r>
            <w:r w:rsidR="009E092C" w:rsidRPr="009E092C">
              <w:rPr>
                <w:i/>
              </w:rPr>
              <w:t xml:space="preserve">BRCA </w:t>
            </w:r>
            <w:r w:rsidRPr="005F0CE8">
              <w:t>mutation testing uptake rates</w:t>
            </w:r>
          </w:p>
        </w:tc>
        <w:tc>
          <w:tcPr>
            <w:tcW w:w="1523" w:type="pct"/>
            <w:shd w:val="clear" w:color="auto" w:fill="auto"/>
            <w:vAlign w:val="center"/>
          </w:tcPr>
          <w:p w14:paraId="50C9B97A" w14:textId="77777777" w:rsidR="001338DA" w:rsidRPr="005F0CE8" w:rsidRDefault="001338DA">
            <w:pPr>
              <w:pStyle w:val="TableText0"/>
              <w:keepNext w:val="0"/>
              <w:rPr>
                <w:u w:val="single"/>
              </w:rPr>
            </w:pPr>
            <w:r w:rsidRPr="005F0CE8">
              <w:rPr>
                <w:u w:val="single"/>
              </w:rPr>
              <w:t xml:space="preserve">Current test rates in TNBC patients (in Q1 2022) </w:t>
            </w:r>
          </w:p>
          <w:p w14:paraId="65DD65B2" w14:textId="77777777" w:rsidR="001338DA" w:rsidRPr="005F0CE8" w:rsidRDefault="001338DA">
            <w:pPr>
              <w:pStyle w:val="TableText0"/>
              <w:keepNext w:val="0"/>
            </w:pPr>
            <w:r w:rsidRPr="005F0CE8">
              <w:t>74% (Stage I-IIIa), 64% (Stage IIIb-IV), 67% (overall) (</w:t>
            </w:r>
            <w:r w:rsidRPr="005F0CE8">
              <w:rPr>
                <w:u w:val="single"/>
              </w:rPr>
              <w:t>IPSOS report commissioned by sponsor)</w:t>
            </w:r>
          </w:p>
          <w:p w14:paraId="32C1A856" w14:textId="77777777" w:rsidR="001338DA" w:rsidRPr="005F0CE8" w:rsidRDefault="001338DA">
            <w:pPr>
              <w:pStyle w:val="TableText0"/>
              <w:keepNext w:val="0"/>
            </w:pPr>
          </w:p>
          <w:p w14:paraId="21A24C12" w14:textId="69E8D236" w:rsidR="001338DA" w:rsidRPr="005F0CE8" w:rsidRDefault="001338DA">
            <w:pPr>
              <w:pStyle w:val="TableText0"/>
              <w:keepNext w:val="0"/>
            </w:pPr>
            <w:r w:rsidRPr="005F0CE8">
              <w:t>Current test rates in HR+ patients, assumed to be 74% (sponsor assumption, equal to TNBC)</w:t>
            </w:r>
          </w:p>
        </w:tc>
        <w:tc>
          <w:tcPr>
            <w:tcW w:w="1396" w:type="pct"/>
            <w:shd w:val="clear" w:color="auto" w:fill="auto"/>
            <w:vAlign w:val="center"/>
          </w:tcPr>
          <w:p w14:paraId="6A4D0802" w14:textId="77777777" w:rsidR="001338DA" w:rsidRPr="005F0CE8" w:rsidRDefault="001338DA">
            <w:pPr>
              <w:pStyle w:val="TableText0"/>
              <w:keepNext w:val="0"/>
            </w:pPr>
            <w:r w:rsidRPr="005F0CE8">
              <w:t xml:space="preserve">Current rate (74%) is uncertain and likely overestimated as the eBC incident patients include Stage I-III, </w:t>
            </w:r>
            <w:proofErr w:type="gramStart"/>
            <w:r w:rsidRPr="005F0CE8">
              <w:t>not only Stages</w:t>
            </w:r>
            <w:proofErr w:type="gramEnd"/>
            <w:r w:rsidRPr="005F0CE8">
              <w:t xml:space="preserve"> I-IIIa.</w:t>
            </w:r>
          </w:p>
          <w:p w14:paraId="28391AC8" w14:textId="77777777" w:rsidR="001338DA" w:rsidRPr="005F0CE8" w:rsidRDefault="001338DA">
            <w:pPr>
              <w:pStyle w:val="TableText0"/>
              <w:keepNext w:val="0"/>
            </w:pPr>
          </w:p>
          <w:p w14:paraId="42EB0C5F" w14:textId="44611245" w:rsidR="001338DA" w:rsidRPr="005F0CE8" w:rsidRDefault="001338DA">
            <w:pPr>
              <w:pStyle w:val="TableText0"/>
              <w:keepNext w:val="0"/>
            </w:pPr>
            <w:r w:rsidRPr="005F0CE8">
              <w:t xml:space="preserve">Uptake rates are uncertain, no data is available to support this assumption in patients with HR-positive, and HER2-negative </w:t>
            </w:r>
            <w:r w:rsidR="00D6541C">
              <w:t>high-risk</w:t>
            </w:r>
            <w:r w:rsidRPr="005F0CE8">
              <w:t xml:space="preserve"> breast cancer.</w:t>
            </w:r>
          </w:p>
          <w:p w14:paraId="7EE8A083" w14:textId="77777777" w:rsidR="001338DA" w:rsidRPr="005F0CE8" w:rsidRDefault="001338DA">
            <w:pPr>
              <w:pStyle w:val="TableText0"/>
              <w:keepNext w:val="0"/>
              <w:rPr>
                <w:i/>
              </w:rPr>
            </w:pPr>
          </w:p>
          <w:p w14:paraId="31C52D45" w14:textId="2E7A93FF" w:rsidR="001338DA" w:rsidRPr="00D529A9" w:rsidRDefault="001338DA" w:rsidP="001338DA">
            <w:pPr>
              <w:pStyle w:val="TableText0"/>
              <w:keepNext w:val="0"/>
              <w:rPr>
                <w:szCs w:val="20"/>
              </w:rPr>
            </w:pPr>
            <w:r w:rsidRPr="005F0CE8">
              <w:rPr>
                <w:szCs w:val="20"/>
              </w:rPr>
              <w:t>DUSC agreed with the commentary and noted that this input may be biased as it was taken from a TNBC population where testing would be higher compared to hormone receptor positive patients.</w:t>
            </w:r>
          </w:p>
        </w:tc>
        <w:tc>
          <w:tcPr>
            <w:tcW w:w="1396" w:type="pct"/>
          </w:tcPr>
          <w:p w14:paraId="63E064AE" w14:textId="1C41CBAB" w:rsidR="001338DA" w:rsidRPr="005F0CE8" w:rsidRDefault="001338DA" w:rsidP="001338DA">
            <w:pPr>
              <w:pStyle w:val="TableText0"/>
              <w:keepNext w:val="0"/>
            </w:pPr>
            <w:r w:rsidRPr="005F0CE8">
              <w:t xml:space="preserve">The PBAC considered that 74% would be appropriate for the TNBC population but that a lower estimate of 20% should be assumed for the HR+ population consistent with the advice regarding the economic model (see </w:t>
            </w:r>
            <w:r w:rsidRPr="005F0CE8">
              <w:fldChar w:fldCharType="begin"/>
            </w:r>
            <w:r w:rsidRPr="005F0CE8">
              <w:instrText xml:space="preserve"> REF _Ref124154495 \h </w:instrText>
            </w:r>
            <w:r w:rsidRPr="005F0CE8">
              <w:fldChar w:fldCharType="separate"/>
            </w:r>
            <w:r w:rsidR="00AB6006" w:rsidRPr="005F0CE8">
              <w:t xml:space="preserve">Table </w:t>
            </w:r>
            <w:r w:rsidR="00AB6006">
              <w:rPr>
                <w:noProof/>
              </w:rPr>
              <w:t>17</w:t>
            </w:r>
            <w:r w:rsidRPr="005F0CE8">
              <w:fldChar w:fldCharType="end"/>
            </w:r>
            <w:r w:rsidRPr="005F0CE8">
              <w:t>).</w:t>
            </w:r>
          </w:p>
          <w:p w14:paraId="5A64DE25" w14:textId="77777777" w:rsidR="001338DA" w:rsidRPr="005F0CE8" w:rsidRDefault="001338DA">
            <w:pPr>
              <w:pStyle w:val="TableText0"/>
              <w:keepNext w:val="0"/>
            </w:pPr>
          </w:p>
        </w:tc>
      </w:tr>
      <w:tr w:rsidR="001338DA" w:rsidRPr="005F0CE8" w14:paraId="06E8DD87" w14:textId="6AAB0AC1" w:rsidTr="637F001E">
        <w:trPr>
          <w:cantSplit/>
        </w:trPr>
        <w:tc>
          <w:tcPr>
            <w:tcW w:w="685" w:type="pct"/>
            <w:vMerge/>
            <w:vAlign w:val="center"/>
          </w:tcPr>
          <w:p w14:paraId="504DF0A7" w14:textId="77777777" w:rsidR="001338DA" w:rsidRPr="005F0CE8" w:rsidRDefault="001338DA">
            <w:pPr>
              <w:pStyle w:val="TableText0"/>
              <w:keepNext w:val="0"/>
            </w:pPr>
          </w:p>
        </w:tc>
        <w:tc>
          <w:tcPr>
            <w:tcW w:w="1523" w:type="pct"/>
            <w:shd w:val="clear" w:color="auto" w:fill="auto"/>
            <w:vAlign w:val="center"/>
          </w:tcPr>
          <w:p w14:paraId="48190BA5" w14:textId="65FD1417" w:rsidR="001338DA" w:rsidRPr="005F0CE8" w:rsidRDefault="001338DA" w:rsidP="00982A8D">
            <w:pPr>
              <w:pStyle w:val="TableText0"/>
              <w:keepNext w:val="0"/>
              <w:rPr>
                <w:u w:val="single"/>
              </w:rPr>
            </w:pPr>
            <w:r w:rsidRPr="005F0CE8">
              <w:rPr>
                <w:u w:val="single"/>
              </w:rPr>
              <w:t xml:space="preserve">Uptake rate for germline </w:t>
            </w:r>
            <w:r w:rsidR="009E092C" w:rsidRPr="009E092C">
              <w:rPr>
                <w:i/>
                <w:u w:val="single"/>
              </w:rPr>
              <w:t xml:space="preserve">BRCA </w:t>
            </w:r>
            <w:r w:rsidRPr="005F0CE8">
              <w:rPr>
                <w:u w:val="single"/>
              </w:rPr>
              <w:t>mutation tests:</w:t>
            </w:r>
          </w:p>
          <w:p w14:paraId="5916117B" w14:textId="03E08526" w:rsidR="001338DA" w:rsidRPr="005F0CE8" w:rsidRDefault="001338DA" w:rsidP="00982A8D">
            <w:pPr>
              <w:pStyle w:val="TableText0"/>
              <w:keepNext w:val="0"/>
              <w:rPr>
                <w:u w:val="single"/>
              </w:rPr>
            </w:pPr>
            <w:r w:rsidRPr="005F0CE8">
              <w:t>Ranging from 80% in Year 1 increasing to 95% in Year 6. Based on assumption.</w:t>
            </w:r>
          </w:p>
        </w:tc>
        <w:tc>
          <w:tcPr>
            <w:tcW w:w="1396" w:type="pct"/>
            <w:shd w:val="clear" w:color="auto" w:fill="auto"/>
            <w:vAlign w:val="center"/>
          </w:tcPr>
          <w:p w14:paraId="3EA97B38" w14:textId="42108CE5" w:rsidR="001338DA" w:rsidRPr="005F0CE8" w:rsidRDefault="001338DA">
            <w:pPr>
              <w:pStyle w:val="TableText0"/>
              <w:keepNext w:val="0"/>
            </w:pPr>
            <w:r w:rsidRPr="005F0CE8">
              <w:rPr>
                <w:szCs w:val="20"/>
              </w:rPr>
              <w:t>DUSC considered this to be appropriate however noted it may be higher in initial years</w:t>
            </w:r>
            <w:r w:rsidRPr="005F0CE8">
              <w:rPr>
                <w:i/>
                <w:iCs/>
                <w:szCs w:val="20"/>
              </w:rPr>
              <w:t>.</w:t>
            </w:r>
          </w:p>
        </w:tc>
        <w:tc>
          <w:tcPr>
            <w:tcW w:w="1396" w:type="pct"/>
          </w:tcPr>
          <w:p w14:paraId="500317F9" w14:textId="57FE19E4" w:rsidR="001338DA" w:rsidRDefault="00874891" w:rsidP="0087297D">
            <w:pPr>
              <w:pStyle w:val="TableText0"/>
              <w:keepNext w:val="0"/>
            </w:pPr>
            <w:r w:rsidRPr="005F0CE8">
              <w:t xml:space="preserve">The PBAC considered that testing in the TNBC population would remain higher than the HR+ population, and proposed that 74% </w:t>
            </w:r>
            <w:r w:rsidR="0087297D" w:rsidRPr="005F0CE8">
              <w:t xml:space="preserve">uptake should be assumed for TNBC </w:t>
            </w:r>
            <w:r w:rsidRPr="005F0CE8">
              <w:t>and 20%</w:t>
            </w:r>
            <w:r w:rsidR="0087297D" w:rsidRPr="005F0CE8">
              <w:t xml:space="preserve"> for HR+ population in Year 1 consistent with the row above (and the assumptions in the economic model).</w:t>
            </w:r>
          </w:p>
          <w:p w14:paraId="24BC015F" w14:textId="77777777" w:rsidR="001C2E10" w:rsidRDefault="001C2E10" w:rsidP="0087297D">
            <w:pPr>
              <w:pStyle w:val="TableText0"/>
              <w:keepNext w:val="0"/>
            </w:pPr>
          </w:p>
          <w:p w14:paraId="3EC87BBC" w14:textId="37584AF1" w:rsidR="001C2E10" w:rsidRPr="005F0CE8" w:rsidRDefault="001C2E10" w:rsidP="0087297D">
            <w:pPr>
              <w:pStyle w:val="TableText0"/>
              <w:keepNext w:val="0"/>
            </w:pPr>
            <w:r>
              <w:t xml:space="preserve">The PBAC considered that the uptake rate for germline </w:t>
            </w:r>
            <w:r w:rsidR="009E092C" w:rsidRPr="009E092C">
              <w:rPr>
                <w:i/>
              </w:rPr>
              <w:t xml:space="preserve">BRCA </w:t>
            </w:r>
            <w:r>
              <w:t>testing would increase to 85% from Year 2 for TNBC, and to 30% from Year 2 for HR+.</w:t>
            </w:r>
          </w:p>
        </w:tc>
      </w:tr>
      <w:tr w:rsidR="001338DA" w:rsidRPr="005F0CE8" w14:paraId="11E488F9" w14:textId="2C3FAB2C" w:rsidTr="001338DA">
        <w:trPr>
          <w:cantSplit/>
        </w:trPr>
        <w:tc>
          <w:tcPr>
            <w:tcW w:w="685" w:type="pct"/>
            <w:shd w:val="clear" w:color="auto" w:fill="auto"/>
            <w:vAlign w:val="center"/>
          </w:tcPr>
          <w:p w14:paraId="19C5DD7C" w14:textId="19D13F83" w:rsidR="001338DA" w:rsidRPr="005F0CE8" w:rsidRDefault="001338DA">
            <w:pPr>
              <w:pStyle w:val="TableText0"/>
              <w:keepNext w:val="0"/>
            </w:pPr>
            <w:r w:rsidRPr="005F0CE8">
              <w:t xml:space="preserve">Germline </w:t>
            </w:r>
            <w:r w:rsidR="009E092C" w:rsidRPr="009E092C">
              <w:rPr>
                <w:i/>
              </w:rPr>
              <w:t xml:space="preserve">BRCA </w:t>
            </w:r>
            <w:r w:rsidRPr="005F0CE8">
              <w:t>prevalence rate</w:t>
            </w:r>
          </w:p>
        </w:tc>
        <w:tc>
          <w:tcPr>
            <w:tcW w:w="1523" w:type="pct"/>
            <w:shd w:val="clear" w:color="auto" w:fill="auto"/>
            <w:vAlign w:val="center"/>
          </w:tcPr>
          <w:p w14:paraId="56CEAB4C" w14:textId="77777777" w:rsidR="001338DA" w:rsidRPr="005F0CE8" w:rsidRDefault="001338DA">
            <w:pPr>
              <w:pStyle w:val="TableText0"/>
              <w:keepNext w:val="0"/>
            </w:pPr>
            <w:r w:rsidRPr="005F0CE8">
              <w:t>13.25% = (9.34%+15%+15.4%)/3</w:t>
            </w:r>
          </w:p>
          <w:p w14:paraId="518E66DD" w14:textId="77777777" w:rsidR="001338DA" w:rsidRPr="005F0CE8" w:rsidRDefault="001338DA">
            <w:pPr>
              <w:pStyle w:val="TableText0"/>
              <w:keepNext w:val="0"/>
            </w:pPr>
            <w:r w:rsidRPr="005F0CE8">
              <w:t>Simple mean of Australian evidence from IPSOS report (15%), Wong-Brown et al 2015 (9.34%), Armstrong et.al. 2019 (9.3%-15.4%).</w:t>
            </w:r>
          </w:p>
        </w:tc>
        <w:tc>
          <w:tcPr>
            <w:tcW w:w="1396" w:type="pct"/>
            <w:shd w:val="clear" w:color="auto" w:fill="auto"/>
            <w:vAlign w:val="center"/>
          </w:tcPr>
          <w:p w14:paraId="5F0D0779" w14:textId="36DF4583" w:rsidR="001338DA" w:rsidRPr="00D529A9" w:rsidRDefault="001338DA" w:rsidP="00D529A9">
            <w:pPr>
              <w:pStyle w:val="TableText0"/>
              <w:keepNext w:val="0"/>
            </w:pPr>
            <w:r w:rsidRPr="005F0CE8">
              <w:t xml:space="preserve">IPSOS data (15%) could not be located, and uncertain. The US data for germline </w:t>
            </w:r>
            <w:r w:rsidR="009E092C" w:rsidRPr="009E092C">
              <w:rPr>
                <w:i/>
              </w:rPr>
              <w:t xml:space="preserve">BRCA </w:t>
            </w:r>
            <w:r w:rsidRPr="005F0CE8">
              <w:t xml:space="preserve">mutation (15.4%) is not representative of Australian population. </w:t>
            </w:r>
          </w:p>
        </w:tc>
        <w:tc>
          <w:tcPr>
            <w:tcW w:w="1396" w:type="pct"/>
          </w:tcPr>
          <w:p w14:paraId="21968297" w14:textId="264A48DB" w:rsidR="001338DA" w:rsidRPr="005F0CE8" w:rsidRDefault="00733C33">
            <w:pPr>
              <w:pStyle w:val="TableText0"/>
              <w:keepNext w:val="0"/>
            </w:pPr>
            <w:r w:rsidRPr="005F0CE8">
              <w:t>The PBAC considered that the results would differ for TNBC and HR+ populations, and considered that the following assumptions for the percentage BRCA+ should be used: 13.25% for TNBC and 5% for HR+ (</w:t>
            </w:r>
            <w:r w:rsidR="00760CB9" w:rsidRPr="005F0CE8">
              <w:t>Southey et al 2021</w:t>
            </w:r>
            <w:r w:rsidR="00760CB9" w:rsidRPr="005F0CE8">
              <w:rPr>
                <w:rStyle w:val="FootnoteReference"/>
              </w:rPr>
              <w:footnoteReference w:id="23"/>
            </w:r>
            <w:r w:rsidR="00760CB9" w:rsidRPr="005F0CE8">
              <w:t>).</w:t>
            </w:r>
          </w:p>
        </w:tc>
      </w:tr>
      <w:tr w:rsidR="00B071CD" w:rsidRPr="005F0CE8" w14:paraId="1A83EACD" w14:textId="261C98E6" w:rsidTr="001338DA">
        <w:trPr>
          <w:cantSplit/>
        </w:trPr>
        <w:tc>
          <w:tcPr>
            <w:tcW w:w="685" w:type="pct"/>
            <w:shd w:val="clear" w:color="auto" w:fill="auto"/>
            <w:vAlign w:val="center"/>
          </w:tcPr>
          <w:p w14:paraId="134BAE70" w14:textId="5C2062D8" w:rsidR="001338DA" w:rsidRPr="005F0CE8" w:rsidRDefault="001338DA" w:rsidP="00683E7D">
            <w:pPr>
              <w:pStyle w:val="TableText0"/>
              <w:keepNext w:val="0"/>
            </w:pPr>
            <w:r w:rsidRPr="005F0CE8">
              <w:rPr>
                <w:szCs w:val="20"/>
              </w:rPr>
              <w:t>Adverse event (AE) management or Disease monitoring costs</w:t>
            </w:r>
          </w:p>
        </w:tc>
        <w:tc>
          <w:tcPr>
            <w:tcW w:w="1523" w:type="pct"/>
            <w:shd w:val="clear" w:color="auto" w:fill="auto"/>
            <w:vAlign w:val="center"/>
          </w:tcPr>
          <w:p w14:paraId="596FC771" w14:textId="617CE5CA" w:rsidR="001338DA" w:rsidRPr="005F0CE8" w:rsidRDefault="001338DA" w:rsidP="00683E7D">
            <w:pPr>
              <w:pStyle w:val="TableText0"/>
              <w:keepNext w:val="0"/>
            </w:pPr>
            <w:r w:rsidRPr="005F0CE8">
              <w:rPr>
                <w:szCs w:val="20"/>
              </w:rPr>
              <w:t>Not estimated</w:t>
            </w:r>
          </w:p>
        </w:tc>
        <w:tc>
          <w:tcPr>
            <w:tcW w:w="1396" w:type="pct"/>
            <w:shd w:val="clear" w:color="auto" w:fill="auto"/>
            <w:vAlign w:val="center"/>
          </w:tcPr>
          <w:p w14:paraId="30432234" w14:textId="0F8850C0" w:rsidR="001338DA" w:rsidRPr="005F0CE8" w:rsidRDefault="001338DA" w:rsidP="00683E7D">
            <w:pPr>
              <w:pStyle w:val="TableText0"/>
              <w:keepNext w:val="0"/>
            </w:pPr>
            <w:r w:rsidRPr="005F0CE8">
              <w:rPr>
                <w:szCs w:val="20"/>
              </w:rPr>
              <w:t>This was inconsistent with the economic analysis. DUSC agreed with the commentary and considered that AE related costs should have been included in the estimates</w:t>
            </w:r>
            <w:r w:rsidRPr="005F0CE8">
              <w:rPr>
                <w:i/>
                <w:iCs/>
                <w:szCs w:val="20"/>
              </w:rPr>
              <w:t>.</w:t>
            </w:r>
          </w:p>
        </w:tc>
        <w:tc>
          <w:tcPr>
            <w:tcW w:w="1396" w:type="pct"/>
          </w:tcPr>
          <w:p w14:paraId="32227251" w14:textId="77777777" w:rsidR="001338DA" w:rsidRPr="005F0CE8" w:rsidRDefault="001338DA" w:rsidP="00683E7D">
            <w:pPr>
              <w:pStyle w:val="TableText0"/>
              <w:keepNext w:val="0"/>
              <w:rPr>
                <w:szCs w:val="20"/>
              </w:rPr>
            </w:pPr>
          </w:p>
        </w:tc>
      </w:tr>
      <w:tr w:rsidR="00B071CD" w:rsidRPr="005F0CE8" w14:paraId="77FEEEF0" w14:textId="6E886131" w:rsidTr="001338DA">
        <w:trPr>
          <w:cantSplit/>
        </w:trPr>
        <w:tc>
          <w:tcPr>
            <w:tcW w:w="685" w:type="pct"/>
            <w:shd w:val="clear" w:color="auto" w:fill="auto"/>
            <w:vAlign w:val="center"/>
          </w:tcPr>
          <w:p w14:paraId="400B362D" w14:textId="2FC9CE96" w:rsidR="001338DA" w:rsidRPr="005F0CE8" w:rsidRDefault="001338DA" w:rsidP="00683E7D">
            <w:pPr>
              <w:pStyle w:val="TableText0"/>
              <w:keepNext w:val="0"/>
            </w:pPr>
            <w:r w:rsidRPr="005F0CE8">
              <w:rPr>
                <w:szCs w:val="20"/>
              </w:rPr>
              <w:lastRenderedPageBreak/>
              <w:t>Olaparib treatment uptake rate</w:t>
            </w:r>
          </w:p>
        </w:tc>
        <w:tc>
          <w:tcPr>
            <w:tcW w:w="1523" w:type="pct"/>
            <w:shd w:val="clear" w:color="auto" w:fill="auto"/>
            <w:vAlign w:val="center"/>
          </w:tcPr>
          <w:p w14:paraId="092A3CC9" w14:textId="6203D006" w:rsidR="001338DA" w:rsidRPr="005F0CE8" w:rsidRDefault="001338DA" w:rsidP="00683E7D">
            <w:pPr>
              <w:pStyle w:val="TableText0"/>
              <w:keepNext w:val="0"/>
            </w:pPr>
            <w:r w:rsidRPr="005F0CE8">
              <w:rPr>
                <w:szCs w:val="20"/>
              </w:rPr>
              <w:t>Ranging from 95.0% in Year 1 to 99.0% (Year 6), based on assumption.</w:t>
            </w:r>
          </w:p>
        </w:tc>
        <w:tc>
          <w:tcPr>
            <w:tcW w:w="1396" w:type="pct"/>
            <w:shd w:val="clear" w:color="auto" w:fill="auto"/>
            <w:vAlign w:val="center"/>
          </w:tcPr>
          <w:p w14:paraId="346A95BB" w14:textId="41DEB50F" w:rsidR="001338DA" w:rsidRPr="005F0CE8" w:rsidRDefault="001338DA" w:rsidP="00683E7D">
            <w:pPr>
              <w:pStyle w:val="TableText0"/>
              <w:keepNext w:val="0"/>
            </w:pPr>
            <w:r w:rsidRPr="005F0CE8">
              <w:rPr>
                <w:szCs w:val="20"/>
              </w:rPr>
              <w:t xml:space="preserve">This was reasonable, as it </w:t>
            </w:r>
            <w:r w:rsidR="0063228C" w:rsidRPr="005F0CE8">
              <w:rPr>
                <w:szCs w:val="20"/>
              </w:rPr>
              <w:t>referred</w:t>
            </w:r>
            <w:r w:rsidRPr="005F0CE8">
              <w:rPr>
                <w:szCs w:val="20"/>
              </w:rPr>
              <w:t xml:space="preserve"> to uptake within a population that underwent </w:t>
            </w:r>
            <w:r w:rsidR="009E092C" w:rsidRPr="009E092C">
              <w:rPr>
                <w:i/>
                <w:szCs w:val="20"/>
              </w:rPr>
              <w:t xml:space="preserve">BRCA </w:t>
            </w:r>
            <w:r w:rsidRPr="005F0CE8">
              <w:rPr>
                <w:szCs w:val="20"/>
              </w:rPr>
              <w:t>mutation testing, and tested positive.</w:t>
            </w:r>
          </w:p>
        </w:tc>
        <w:tc>
          <w:tcPr>
            <w:tcW w:w="1396" w:type="pct"/>
          </w:tcPr>
          <w:p w14:paraId="010597DB" w14:textId="77777777" w:rsidR="001338DA" w:rsidRPr="005F0CE8" w:rsidRDefault="001338DA" w:rsidP="00683E7D">
            <w:pPr>
              <w:pStyle w:val="TableText0"/>
              <w:keepNext w:val="0"/>
              <w:rPr>
                <w:szCs w:val="20"/>
              </w:rPr>
            </w:pPr>
          </w:p>
        </w:tc>
      </w:tr>
      <w:tr w:rsidR="00B071CD" w:rsidRPr="005F0CE8" w14:paraId="6E5B69B6" w14:textId="4E9F5432" w:rsidTr="001338DA">
        <w:trPr>
          <w:cantSplit/>
        </w:trPr>
        <w:tc>
          <w:tcPr>
            <w:tcW w:w="685" w:type="pct"/>
            <w:shd w:val="clear" w:color="auto" w:fill="auto"/>
            <w:vAlign w:val="center"/>
          </w:tcPr>
          <w:p w14:paraId="41E56F72" w14:textId="6FFBB703" w:rsidR="001338DA" w:rsidRPr="005F0CE8" w:rsidRDefault="001338DA" w:rsidP="00683E7D">
            <w:pPr>
              <w:pStyle w:val="TableText0"/>
              <w:keepNext w:val="0"/>
            </w:pPr>
            <w:r w:rsidRPr="005F0CE8">
              <w:rPr>
                <w:szCs w:val="20"/>
              </w:rPr>
              <w:t>Grandfathered patients</w:t>
            </w:r>
          </w:p>
        </w:tc>
        <w:tc>
          <w:tcPr>
            <w:tcW w:w="1523" w:type="pct"/>
            <w:shd w:val="clear" w:color="auto" w:fill="auto"/>
            <w:vAlign w:val="center"/>
          </w:tcPr>
          <w:p w14:paraId="19F1355E" w14:textId="3E21D999" w:rsidR="001338DA" w:rsidRPr="005F0CE8" w:rsidRDefault="003A26A8" w:rsidP="00683E7D">
            <w:pPr>
              <w:pStyle w:val="TableText0"/>
              <w:keepNext w:val="0"/>
            </w:pPr>
            <w:r w:rsidRPr="003A26A8">
              <w:rPr>
                <w:color w:val="000000"/>
                <w:spacing w:val="36"/>
                <w:shd w:val="solid" w:color="000000" w:fill="000000"/>
                <w:fitText w:val="438" w:id="-1234443008"/>
                <w14:textFill>
                  <w14:solidFill>
                    <w14:srgbClr w14:val="000000">
                      <w14:alpha w14:val="100000"/>
                    </w14:srgbClr>
                  </w14:solidFill>
                </w14:textFill>
              </w:rPr>
              <w:t>|||||</w:t>
            </w:r>
            <w:r w:rsidRPr="003A26A8">
              <w:rPr>
                <w:color w:val="000000"/>
                <w:spacing w:val="3"/>
                <w:shd w:val="solid" w:color="000000" w:fill="000000"/>
                <w:fitText w:val="438" w:id="-1234443008"/>
                <w14:textFill>
                  <w14:solidFill>
                    <w14:srgbClr w14:val="000000">
                      <w14:alpha w14:val="100000"/>
                    </w14:srgbClr>
                  </w14:solidFill>
                </w14:textFill>
              </w:rPr>
              <w:t>|</w:t>
            </w:r>
            <w:r w:rsidR="006A674C">
              <w:rPr>
                <w:vertAlign w:val="superscript"/>
              </w:rPr>
              <w:t>1</w:t>
            </w:r>
            <w:r w:rsidR="001338DA" w:rsidRPr="005F0CE8">
              <w:t xml:space="preserve"> patients, estimate of patients in Patient Access Program by sponsor</w:t>
            </w:r>
          </w:p>
        </w:tc>
        <w:tc>
          <w:tcPr>
            <w:tcW w:w="1396" w:type="pct"/>
            <w:shd w:val="clear" w:color="auto" w:fill="auto"/>
            <w:vAlign w:val="center"/>
          </w:tcPr>
          <w:p w14:paraId="55991F87" w14:textId="41DA08A6" w:rsidR="001338DA" w:rsidRPr="005F0CE8" w:rsidRDefault="001338DA" w:rsidP="00683E7D">
            <w:pPr>
              <w:pStyle w:val="TableText0"/>
              <w:keepNext w:val="0"/>
            </w:pPr>
            <w:r w:rsidRPr="005F0CE8">
              <w:rPr>
                <w:szCs w:val="20"/>
              </w:rPr>
              <w:t>This is uncertain and likely an overestimate. DUSC considered this to be uncertain but unlikely to impact cost and utilisation dramatically.</w:t>
            </w:r>
          </w:p>
        </w:tc>
        <w:tc>
          <w:tcPr>
            <w:tcW w:w="1396" w:type="pct"/>
          </w:tcPr>
          <w:p w14:paraId="516DDF60" w14:textId="77777777" w:rsidR="001338DA" w:rsidRPr="005F0CE8" w:rsidRDefault="001338DA" w:rsidP="00683E7D">
            <w:pPr>
              <w:pStyle w:val="TableText0"/>
              <w:keepNext w:val="0"/>
              <w:rPr>
                <w:szCs w:val="20"/>
              </w:rPr>
            </w:pPr>
          </w:p>
        </w:tc>
      </w:tr>
      <w:tr w:rsidR="001338DA" w:rsidRPr="005F0CE8" w14:paraId="4DDAD4F2" w14:textId="7F1F49AD" w:rsidTr="001338DA">
        <w:trPr>
          <w:cantSplit/>
        </w:trPr>
        <w:tc>
          <w:tcPr>
            <w:tcW w:w="685" w:type="pct"/>
            <w:shd w:val="clear" w:color="auto" w:fill="auto"/>
            <w:vAlign w:val="center"/>
          </w:tcPr>
          <w:p w14:paraId="07676E09" w14:textId="77777777" w:rsidR="001338DA" w:rsidRPr="005F0CE8" w:rsidRDefault="001338DA" w:rsidP="00683E7D">
            <w:pPr>
              <w:pStyle w:val="TableText0"/>
              <w:keepNext w:val="0"/>
            </w:pPr>
            <w:r w:rsidRPr="005F0CE8">
              <w:t>Average duration of treatment per patient</w:t>
            </w:r>
          </w:p>
        </w:tc>
        <w:tc>
          <w:tcPr>
            <w:tcW w:w="1523" w:type="pct"/>
            <w:shd w:val="clear" w:color="auto" w:fill="auto"/>
            <w:vAlign w:val="center"/>
          </w:tcPr>
          <w:p w14:paraId="25F4FDE0" w14:textId="77777777" w:rsidR="001338DA" w:rsidRPr="005F0CE8" w:rsidRDefault="001338DA" w:rsidP="00683E7D">
            <w:pPr>
              <w:pStyle w:val="TableText0"/>
              <w:keepNext w:val="0"/>
            </w:pPr>
            <w:r w:rsidRPr="005F0CE8">
              <w:t>12 months (OlympiA CSR)</w:t>
            </w:r>
          </w:p>
        </w:tc>
        <w:tc>
          <w:tcPr>
            <w:tcW w:w="1396" w:type="pct"/>
            <w:shd w:val="clear" w:color="auto" w:fill="auto"/>
            <w:vAlign w:val="center"/>
          </w:tcPr>
          <w:p w14:paraId="42BC5377" w14:textId="732FAA93" w:rsidR="001338DA" w:rsidRPr="005F0CE8" w:rsidRDefault="001338DA" w:rsidP="00C3235C">
            <w:pPr>
              <w:pStyle w:val="TableText0"/>
              <w:keepNext w:val="0"/>
              <w:rPr>
                <w:i/>
                <w:iCs/>
                <w:szCs w:val="20"/>
              </w:rPr>
            </w:pPr>
            <w:r w:rsidRPr="005F0CE8">
              <w:t xml:space="preserve">The submission claimed to have costed maximum treatment duration of 12 months, but only effectively costed 6 months of treatment. Further, it may be more reasonable to apply the mean treatment duration in the trial (9.7 months (= 295.0 days x 12 months / 365.25 days). </w:t>
            </w:r>
            <w:r w:rsidRPr="005F0CE8">
              <w:rPr>
                <w:szCs w:val="20"/>
              </w:rPr>
              <w:t>DUSC agreed with the commentary that it would be more reasonable to apply the mean treatment duration from the trial to the estimates as this would also implicitly account for compliance</w:t>
            </w:r>
            <w:r w:rsidRPr="005F0CE8">
              <w:rPr>
                <w:i/>
                <w:iCs/>
                <w:szCs w:val="20"/>
              </w:rPr>
              <w:t>.</w:t>
            </w:r>
          </w:p>
        </w:tc>
        <w:tc>
          <w:tcPr>
            <w:tcW w:w="1396" w:type="pct"/>
          </w:tcPr>
          <w:p w14:paraId="6E5A6FF3" w14:textId="06AFABB6" w:rsidR="001338DA" w:rsidRPr="005F0CE8" w:rsidRDefault="00012592" w:rsidP="00683E7D">
            <w:pPr>
              <w:pStyle w:val="TableText0"/>
              <w:keepNext w:val="0"/>
            </w:pPr>
            <w:r w:rsidRPr="005F0CE8">
              <w:t>The PBAC considered that the estimates should apply the mean treatment duration from the trial, 9.7 months.</w:t>
            </w:r>
          </w:p>
        </w:tc>
      </w:tr>
      <w:tr w:rsidR="001338DA" w:rsidRPr="005F0CE8" w14:paraId="7A677012" w14:textId="1E85B218" w:rsidTr="001338DA">
        <w:trPr>
          <w:cantSplit/>
        </w:trPr>
        <w:tc>
          <w:tcPr>
            <w:tcW w:w="685" w:type="pct"/>
            <w:shd w:val="clear" w:color="auto" w:fill="auto"/>
            <w:vAlign w:val="center"/>
          </w:tcPr>
          <w:p w14:paraId="5F282426" w14:textId="77777777" w:rsidR="001338DA" w:rsidRPr="005F0CE8" w:rsidRDefault="001338DA" w:rsidP="00683E7D">
            <w:pPr>
              <w:pStyle w:val="TableText0"/>
              <w:keepNext w:val="0"/>
            </w:pPr>
            <w:r w:rsidRPr="005F0CE8">
              <w:t>Compliance</w:t>
            </w:r>
          </w:p>
        </w:tc>
        <w:tc>
          <w:tcPr>
            <w:tcW w:w="1523" w:type="pct"/>
            <w:shd w:val="clear" w:color="auto" w:fill="auto"/>
            <w:vAlign w:val="center"/>
          </w:tcPr>
          <w:p w14:paraId="21FFB6A6" w14:textId="77777777" w:rsidR="001338DA" w:rsidRPr="005F0CE8" w:rsidRDefault="001338DA" w:rsidP="00683E7D">
            <w:pPr>
              <w:pStyle w:val="TableText0"/>
              <w:keepNext w:val="0"/>
            </w:pPr>
            <w:r w:rsidRPr="005F0CE8">
              <w:t xml:space="preserve">96.15% </w:t>
            </w:r>
          </w:p>
          <w:p w14:paraId="6A0EC6E8" w14:textId="77777777" w:rsidR="001338DA" w:rsidRPr="005F0CE8" w:rsidRDefault="001338DA" w:rsidP="00683E7D">
            <w:pPr>
              <w:pStyle w:val="TableText0"/>
              <w:keepNext w:val="0"/>
            </w:pPr>
            <w:r w:rsidRPr="005F0CE8">
              <w:t>The median actual treatment exposure (350 days) vs median total intended (364 days) in OlympiA CSR (DCO2: 12 days per patient, in which the daily dose is 0mg).</w:t>
            </w:r>
          </w:p>
        </w:tc>
        <w:tc>
          <w:tcPr>
            <w:tcW w:w="1396" w:type="pct"/>
            <w:shd w:val="clear" w:color="auto" w:fill="auto"/>
            <w:vAlign w:val="center"/>
          </w:tcPr>
          <w:p w14:paraId="53F1B2DB" w14:textId="5E184E56" w:rsidR="001338DA" w:rsidRPr="005F0CE8" w:rsidRDefault="001338DA" w:rsidP="00683E7D">
            <w:pPr>
              <w:pStyle w:val="TableText0"/>
              <w:keepNext w:val="0"/>
            </w:pPr>
            <w:r w:rsidRPr="005F0CE8">
              <w:t>As above, it would be more appropriate to use the mean duration of treatment per patient 9.7 months from the trial, which has taken compliance into account.</w:t>
            </w:r>
          </w:p>
        </w:tc>
        <w:tc>
          <w:tcPr>
            <w:tcW w:w="1396" w:type="pct"/>
          </w:tcPr>
          <w:p w14:paraId="0A0DFD17" w14:textId="77777777" w:rsidR="001338DA" w:rsidRPr="005F0CE8" w:rsidRDefault="001338DA" w:rsidP="00683E7D">
            <w:pPr>
              <w:pStyle w:val="TableText0"/>
              <w:keepNext w:val="0"/>
            </w:pPr>
          </w:p>
        </w:tc>
      </w:tr>
      <w:tr w:rsidR="001338DA" w:rsidRPr="005F0CE8" w14:paraId="2625016D" w14:textId="55B321F0" w:rsidTr="001338DA">
        <w:trPr>
          <w:cantSplit/>
        </w:trPr>
        <w:tc>
          <w:tcPr>
            <w:tcW w:w="685" w:type="pct"/>
            <w:shd w:val="clear" w:color="auto" w:fill="auto"/>
          </w:tcPr>
          <w:p w14:paraId="6D434DAF" w14:textId="77777777" w:rsidR="001338DA" w:rsidRPr="00FB5D10" w:rsidRDefault="001338DA" w:rsidP="00683E7D">
            <w:pPr>
              <w:pStyle w:val="TableText0"/>
              <w:keepNext w:val="0"/>
            </w:pPr>
            <w:r w:rsidRPr="00FB5D10">
              <w:t>Scripts dispensed</w:t>
            </w:r>
          </w:p>
        </w:tc>
        <w:tc>
          <w:tcPr>
            <w:tcW w:w="1523" w:type="pct"/>
            <w:shd w:val="clear" w:color="auto" w:fill="auto"/>
          </w:tcPr>
          <w:p w14:paraId="4A08292F" w14:textId="7AB01224" w:rsidR="001338DA" w:rsidRPr="00FB5D10" w:rsidRDefault="003A26A8" w:rsidP="00683E7D">
            <w:pPr>
              <w:pStyle w:val="TableText0"/>
              <w:keepNext w:val="0"/>
            </w:pPr>
            <w:r w:rsidRPr="003A26A8">
              <w:rPr>
                <w:color w:val="000000"/>
                <w:spacing w:val="36"/>
                <w:shd w:val="solid" w:color="000000" w:fill="000000"/>
                <w:fitText w:val="438" w:id="-1234443007"/>
                <w14:textFill>
                  <w14:solidFill>
                    <w14:srgbClr w14:val="000000">
                      <w14:alpha w14:val="100000"/>
                    </w14:srgbClr>
                  </w14:solidFill>
                </w14:textFill>
              </w:rPr>
              <w:t>|||||</w:t>
            </w:r>
            <w:r w:rsidRPr="003A26A8">
              <w:rPr>
                <w:color w:val="000000"/>
                <w:spacing w:val="3"/>
                <w:shd w:val="solid" w:color="000000" w:fill="000000"/>
                <w:fitText w:val="438" w:id="-1234443007"/>
                <w14:textFill>
                  <w14:solidFill>
                    <w14:srgbClr w14:val="000000">
                      <w14:alpha w14:val="100000"/>
                    </w14:srgbClr>
                  </w14:solidFill>
                </w14:textFill>
              </w:rPr>
              <w:t>|</w:t>
            </w:r>
            <w:r w:rsidR="00F51E66" w:rsidRPr="00FB5D10">
              <w:rPr>
                <w:vertAlign w:val="superscript"/>
              </w:rPr>
              <w:t>2</w:t>
            </w:r>
            <w:r w:rsidR="001338DA" w:rsidRPr="00FB5D10">
              <w:t xml:space="preserve"> in Year 1 increasing to </w:t>
            </w:r>
            <w:r w:rsidRPr="003A26A8">
              <w:rPr>
                <w:color w:val="000000"/>
                <w:spacing w:val="36"/>
                <w:shd w:val="solid" w:color="000000" w:fill="000000"/>
                <w:fitText w:val="438" w:id="-1234443006"/>
                <w14:textFill>
                  <w14:solidFill>
                    <w14:srgbClr w14:val="000000">
                      <w14:alpha w14:val="100000"/>
                    </w14:srgbClr>
                  </w14:solidFill>
                </w14:textFill>
              </w:rPr>
              <w:t>|||||</w:t>
            </w:r>
            <w:r w:rsidRPr="003A26A8">
              <w:rPr>
                <w:color w:val="000000"/>
                <w:spacing w:val="3"/>
                <w:shd w:val="solid" w:color="000000" w:fill="000000"/>
                <w:fitText w:val="438" w:id="-1234443006"/>
                <w14:textFill>
                  <w14:solidFill>
                    <w14:srgbClr w14:val="000000">
                      <w14:alpha w14:val="100000"/>
                    </w14:srgbClr>
                  </w14:solidFill>
                </w14:textFill>
              </w:rPr>
              <w:t>|</w:t>
            </w:r>
            <w:r w:rsidR="00F51E66" w:rsidRPr="00FB5D10">
              <w:rPr>
                <w:vertAlign w:val="superscript"/>
              </w:rPr>
              <w:t>2</w:t>
            </w:r>
            <w:r w:rsidR="001338DA" w:rsidRPr="00FB5D10">
              <w:t xml:space="preserve"> in Year 6.</w:t>
            </w:r>
          </w:p>
          <w:p w14:paraId="3620DE98" w14:textId="1B7D4FF8" w:rsidR="001338DA" w:rsidRPr="00FB5D10" w:rsidRDefault="001338DA" w:rsidP="00683E7D">
            <w:pPr>
              <w:pStyle w:val="TableText0"/>
              <w:keepNext w:val="0"/>
            </w:pPr>
            <w:r w:rsidRPr="00FB5D10">
              <w:t>Based on average of 12.54 packs per patient, and a compliance of 96.15%.</w:t>
            </w:r>
          </w:p>
        </w:tc>
        <w:tc>
          <w:tcPr>
            <w:tcW w:w="1396" w:type="pct"/>
            <w:shd w:val="clear" w:color="auto" w:fill="auto"/>
          </w:tcPr>
          <w:p w14:paraId="260843FD" w14:textId="752FE725" w:rsidR="001338DA" w:rsidRPr="005F0CE8" w:rsidRDefault="001338DA" w:rsidP="00683E7D">
            <w:pPr>
              <w:pStyle w:val="TableText0"/>
              <w:keepNext w:val="0"/>
            </w:pPr>
            <w:r w:rsidRPr="005F0CE8">
              <w:t xml:space="preserve">The submission claimed to apply 12.54 packs per patient. However, the total number of scripts per patient were divided by two in the submission, which the PSCR confirmed was due to an error. </w:t>
            </w:r>
            <w:r w:rsidRPr="005F0CE8">
              <w:rPr>
                <w:szCs w:val="20"/>
              </w:rPr>
              <w:t>DUSC acknowledged the PSCR which provided updated and corrected estimates.</w:t>
            </w:r>
          </w:p>
        </w:tc>
        <w:tc>
          <w:tcPr>
            <w:tcW w:w="1396" w:type="pct"/>
          </w:tcPr>
          <w:p w14:paraId="5429D212" w14:textId="77777777" w:rsidR="001338DA" w:rsidRPr="005F0CE8" w:rsidRDefault="001338DA" w:rsidP="00683E7D">
            <w:pPr>
              <w:pStyle w:val="TableText0"/>
              <w:keepNext w:val="0"/>
            </w:pPr>
          </w:p>
        </w:tc>
      </w:tr>
      <w:tr w:rsidR="001338DA" w:rsidRPr="005F0CE8" w14:paraId="331CCC45" w14:textId="636CED3B" w:rsidTr="001338DA">
        <w:trPr>
          <w:cantSplit/>
        </w:trPr>
        <w:tc>
          <w:tcPr>
            <w:tcW w:w="685" w:type="pct"/>
            <w:shd w:val="clear" w:color="auto" w:fill="auto"/>
            <w:vAlign w:val="center"/>
          </w:tcPr>
          <w:p w14:paraId="74B47522" w14:textId="58EA1B88" w:rsidR="001338DA" w:rsidRPr="005F0CE8" w:rsidRDefault="001338DA" w:rsidP="00683E7D">
            <w:pPr>
              <w:pStyle w:val="TableText0"/>
              <w:keepNext w:val="0"/>
            </w:pPr>
            <w:r w:rsidRPr="005F0CE8">
              <w:lastRenderedPageBreak/>
              <w:t xml:space="preserve">Germline </w:t>
            </w:r>
            <w:r w:rsidR="009E092C" w:rsidRPr="009E092C">
              <w:rPr>
                <w:i/>
              </w:rPr>
              <w:t xml:space="preserve">BRCA </w:t>
            </w:r>
            <w:r w:rsidRPr="005F0CE8">
              <w:t>mutation testing</w:t>
            </w:r>
          </w:p>
        </w:tc>
        <w:tc>
          <w:tcPr>
            <w:tcW w:w="1523" w:type="pct"/>
            <w:shd w:val="clear" w:color="auto" w:fill="auto"/>
            <w:vAlign w:val="center"/>
          </w:tcPr>
          <w:p w14:paraId="49FE7E94" w14:textId="77777777" w:rsidR="001338DA" w:rsidRPr="005F0CE8" w:rsidRDefault="001338DA" w:rsidP="00683E7D">
            <w:pPr>
              <w:pStyle w:val="TableText0"/>
              <w:keepNext w:val="0"/>
            </w:pPr>
            <w:r w:rsidRPr="005F0CE8">
              <w:t xml:space="preserve">$1,200 (Schedule fee), Benefit at 80% = $960 </w:t>
            </w:r>
          </w:p>
          <w:p w14:paraId="434ADCE4" w14:textId="77777777" w:rsidR="001338DA" w:rsidRPr="005F0CE8" w:rsidRDefault="001338DA" w:rsidP="00683E7D">
            <w:pPr>
              <w:pStyle w:val="TableText0"/>
              <w:keepNext w:val="0"/>
            </w:pPr>
            <w:r w:rsidRPr="005F0CE8">
              <w:t>Based on MBS item 73296</w:t>
            </w:r>
          </w:p>
        </w:tc>
        <w:tc>
          <w:tcPr>
            <w:tcW w:w="1396" w:type="pct"/>
            <w:shd w:val="clear" w:color="auto" w:fill="auto"/>
            <w:vAlign w:val="center"/>
          </w:tcPr>
          <w:p w14:paraId="20321A1F" w14:textId="65821721" w:rsidR="001338DA" w:rsidRPr="005F0CE8" w:rsidRDefault="001338DA" w:rsidP="00683E7D">
            <w:pPr>
              <w:pStyle w:val="TableText0"/>
              <w:keepNext w:val="0"/>
            </w:pPr>
            <w:r w:rsidRPr="005F0CE8">
              <w:t xml:space="preserve">Similar to the number of scripts, the total number of germline </w:t>
            </w:r>
            <w:r w:rsidR="009E092C" w:rsidRPr="009E092C">
              <w:rPr>
                <w:i/>
              </w:rPr>
              <w:t xml:space="preserve">BRCA </w:t>
            </w:r>
            <w:r w:rsidRPr="005F0CE8">
              <w:t xml:space="preserve">mutation testing services appear to be erroneously divided by two in the submission. As majority of the patients might receive germline </w:t>
            </w:r>
            <w:r w:rsidR="009E092C" w:rsidRPr="009E092C">
              <w:rPr>
                <w:i/>
              </w:rPr>
              <w:t xml:space="preserve">BRCA </w:t>
            </w:r>
            <w:r w:rsidRPr="005F0CE8">
              <w:t>mutation test at out-of-hospital setting, benefits at 85% rebate rate might be more reasonable. The Greatest Permissible Gap (GPG)</w:t>
            </w:r>
            <w:proofErr w:type="spellStart"/>
            <w:r w:rsidRPr="005F0CE8">
              <w:rPr>
                <w:vertAlign w:val="superscript"/>
              </w:rPr>
              <w:t>a</w:t>
            </w:r>
            <w:proofErr w:type="spellEnd"/>
            <w:r w:rsidRPr="005F0CE8">
              <w:t xml:space="preserve"> amount was not considered in the submission.</w:t>
            </w:r>
          </w:p>
          <w:p w14:paraId="2DA14B3F" w14:textId="77777777" w:rsidR="001338DA" w:rsidRPr="005F0CE8" w:rsidRDefault="001338DA" w:rsidP="00683E7D">
            <w:pPr>
              <w:pStyle w:val="TableText0"/>
              <w:keepNext w:val="0"/>
              <w:rPr>
                <w:i/>
              </w:rPr>
            </w:pPr>
          </w:p>
          <w:p w14:paraId="2A08EA9A" w14:textId="1FD08C6D" w:rsidR="001338DA" w:rsidRPr="005F0CE8" w:rsidRDefault="001338DA" w:rsidP="00683E7D">
            <w:pPr>
              <w:pStyle w:val="TableText0"/>
              <w:keepNext w:val="0"/>
            </w:pPr>
            <w:r w:rsidRPr="005F0CE8">
              <w:rPr>
                <w:szCs w:val="20"/>
              </w:rPr>
              <w:t>DUSC agreed with the commentary that these costs were underestimated.</w:t>
            </w:r>
          </w:p>
        </w:tc>
        <w:tc>
          <w:tcPr>
            <w:tcW w:w="1396" w:type="pct"/>
          </w:tcPr>
          <w:p w14:paraId="64D5D177" w14:textId="77777777" w:rsidR="001338DA" w:rsidRPr="005F0CE8" w:rsidRDefault="001338DA" w:rsidP="00683E7D">
            <w:pPr>
              <w:pStyle w:val="TableText0"/>
              <w:keepNext w:val="0"/>
            </w:pPr>
          </w:p>
        </w:tc>
      </w:tr>
      <w:tr w:rsidR="00B071CD" w:rsidRPr="005F0CE8" w14:paraId="21D63E2A" w14:textId="77777777" w:rsidTr="001338DA">
        <w:trPr>
          <w:cantSplit/>
        </w:trPr>
        <w:tc>
          <w:tcPr>
            <w:tcW w:w="685" w:type="pct"/>
            <w:shd w:val="clear" w:color="auto" w:fill="auto"/>
            <w:vAlign w:val="center"/>
          </w:tcPr>
          <w:p w14:paraId="54399501" w14:textId="38288BF5" w:rsidR="001338DA" w:rsidRPr="005F0CE8" w:rsidRDefault="001338DA" w:rsidP="00683E7D">
            <w:pPr>
              <w:pStyle w:val="TableText0"/>
              <w:keepNext w:val="0"/>
            </w:pPr>
            <w:r w:rsidRPr="005F0CE8">
              <w:rPr>
                <w:szCs w:val="20"/>
              </w:rPr>
              <w:t xml:space="preserve">Germline </w:t>
            </w:r>
            <w:r w:rsidR="009E092C" w:rsidRPr="009E092C">
              <w:rPr>
                <w:i/>
                <w:szCs w:val="20"/>
              </w:rPr>
              <w:t xml:space="preserve">BRCA </w:t>
            </w:r>
            <w:r w:rsidRPr="005F0CE8">
              <w:rPr>
                <w:szCs w:val="20"/>
              </w:rPr>
              <w:t>mutation cascade testing</w:t>
            </w:r>
          </w:p>
        </w:tc>
        <w:tc>
          <w:tcPr>
            <w:tcW w:w="1523" w:type="pct"/>
            <w:shd w:val="clear" w:color="auto" w:fill="auto"/>
            <w:vAlign w:val="center"/>
          </w:tcPr>
          <w:p w14:paraId="40162F4A" w14:textId="04A63053" w:rsidR="001338DA" w:rsidRPr="005F0CE8" w:rsidRDefault="001338DA" w:rsidP="00683E7D">
            <w:pPr>
              <w:pStyle w:val="TableText0"/>
              <w:keepNext w:val="0"/>
            </w:pPr>
            <w:r w:rsidRPr="005F0CE8">
              <w:rPr>
                <w:szCs w:val="20"/>
              </w:rPr>
              <w:t>Not estimated</w:t>
            </w:r>
          </w:p>
        </w:tc>
        <w:tc>
          <w:tcPr>
            <w:tcW w:w="1396" w:type="pct"/>
            <w:shd w:val="clear" w:color="auto" w:fill="auto"/>
            <w:vAlign w:val="center"/>
          </w:tcPr>
          <w:p w14:paraId="2E210140" w14:textId="77521AE9" w:rsidR="001338DA" w:rsidRPr="005F0CE8" w:rsidRDefault="001338DA" w:rsidP="00683E7D">
            <w:pPr>
              <w:pStyle w:val="TableText0"/>
              <w:keepNext w:val="0"/>
            </w:pPr>
            <w:r w:rsidRPr="005F0CE8">
              <w:t>MBS costs likely underestimated</w:t>
            </w:r>
          </w:p>
        </w:tc>
        <w:tc>
          <w:tcPr>
            <w:tcW w:w="1396" w:type="pct"/>
          </w:tcPr>
          <w:p w14:paraId="7AA7C156" w14:textId="77777777" w:rsidR="001338DA" w:rsidRPr="005F0CE8" w:rsidRDefault="001338DA" w:rsidP="00683E7D">
            <w:pPr>
              <w:pStyle w:val="TableText0"/>
              <w:keepNext w:val="0"/>
            </w:pPr>
          </w:p>
        </w:tc>
      </w:tr>
      <w:tr w:rsidR="00B071CD" w:rsidRPr="005F0CE8" w14:paraId="6F47214C" w14:textId="77777777" w:rsidTr="001338DA">
        <w:trPr>
          <w:cantSplit/>
        </w:trPr>
        <w:tc>
          <w:tcPr>
            <w:tcW w:w="685" w:type="pct"/>
            <w:shd w:val="clear" w:color="auto" w:fill="auto"/>
            <w:vAlign w:val="center"/>
          </w:tcPr>
          <w:p w14:paraId="0EE64E91" w14:textId="26D49803" w:rsidR="001338DA" w:rsidRPr="005F0CE8" w:rsidRDefault="001338DA" w:rsidP="00683E7D">
            <w:pPr>
              <w:pStyle w:val="TableText0"/>
              <w:keepNext w:val="0"/>
            </w:pPr>
            <w:r w:rsidRPr="005F0CE8">
              <w:rPr>
                <w:szCs w:val="20"/>
              </w:rPr>
              <w:t>Genetic counselling</w:t>
            </w:r>
          </w:p>
        </w:tc>
        <w:tc>
          <w:tcPr>
            <w:tcW w:w="1523" w:type="pct"/>
            <w:shd w:val="clear" w:color="auto" w:fill="auto"/>
            <w:vAlign w:val="center"/>
          </w:tcPr>
          <w:p w14:paraId="3460D935" w14:textId="04F2F261" w:rsidR="001338DA" w:rsidRPr="005F0CE8" w:rsidRDefault="001338DA" w:rsidP="00683E7D">
            <w:pPr>
              <w:pStyle w:val="TableText0"/>
              <w:keepNext w:val="0"/>
            </w:pPr>
            <w:r w:rsidRPr="005F0CE8">
              <w:rPr>
                <w:szCs w:val="20"/>
              </w:rPr>
              <w:t>Not estimated</w:t>
            </w:r>
          </w:p>
        </w:tc>
        <w:tc>
          <w:tcPr>
            <w:tcW w:w="1396" w:type="pct"/>
            <w:shd w:val="clear" w:color="auto" w:fill="auto"/>
            <w:vAlign w:val="center"/>
          </w:tcPr>
          <w:p w14:paraId="02799981" w14:textId="4A478A99" w:rsidR="001338DA" w:rsidRPr="005F0CE8" w:rsidRDefault="001338DA" w:rsidP="00683E7D">
            <w:pPr>
              <w:pStyle w:val="TableText0"/>
              <w:keepNext w:val="0"/>
            </w:pPr>
            <w:r w:rsidRPr="005F0CE8">
              <w:t>MBS costs likely underestimated</w:t>
            </w:r>
          </w:p>
        </w:tc>
        <w:tc>
          <w:tcPr>
            <w:tcW w:w="1396" w:type="pct"/>
          </w:tcPr>
          <w:p w14:paraId="6F543F36" w14:textId="77777777" w:rsidR="001338DA" w:rsidRPr="005F0CE8" w:rsidRDefault="001338DA" w:rsidP="00683E7D">
            <w:pPr>
              <w:pStyle w:val="TableText0"/>
              <w:keepNext w:val="0"/>
            </w:pPr>
          </w:p>
        </w:tc>
      </w:tr>
    </w:tbl>
    <w:bookmarkEnd w:id="104"/>
    <w:p w14:paraId="72D540FD" w14:textId="77777777" w:rsidR="00672D16" w:rsidRPr="005F0CE8" w:rsidRDefault="00672D16" w:rsidP="00672D16">
      <w:pPr>
        <w:pStyle w:val="FooterTableFigure"/>
      </w:pPr>
      <w:r w:rsidRPr="005F0CE8">
        <w:t xml:space="preserve">Source: Compiled during the evaluation from information provided in Section 4 of the submission and the Excel workbook ‘Att_4.1_OlympiA UCM_FINAL’. </w:t>
      </w:r>
    </w:p>
    <w:p w14:paraId="7A2B2683" w14:textId="2185B2E5" w:rsidR="00672D16" w:rsidRPr="005F0CE8" w:rsidRDefault="00672D16" w:rsidP="00672D16">
      <w:pPr>
        <w:pStyle w:val="FooterTableFigure"/>
      </w:pPr>
      <w:r w:rsidRPr="005F0CE8">
        <w:t xml:space="preserve">AIHW = Australian Institute of Health and Welfare; </w:t>
      </w:r>
      <w:r w:rsidR="009E092C" w:rsidRPr="009E092C">
        <w:rPr>
          <w:i/>
          <w:szCs w:val="16"/>
        </w:rPr>
        <w:t xml:space="preserve">BRCA </w:t>
      </w:r>
      <w:r w:rsidRPr="005F0CE8">
        <w:rPr>
          <w:szCs w:val="16"/>
        </w:rPr>
        <w:t xml:space="preserve">= Breast Cancer gene; CSR = clinical study report; eBC = early breast cancer; </w:t>
      </w:r>
      <w:r w:rsidRPr="005F0CE8">
        <w:t xml:space="preserve">GPG = Greatest Permissible Gap; HR = hormone receptor; HER2 = human epidermal growth factor receptor 2; </w:t>
      </w:r>
      <w:r w:rsidRPr="005F0CE8">
        <w:rPr>
          <w:szCs w:val="20"/>
        </w:rPr>
        <w:t xml:space="preserve">MBS = Medicare Benefits Schedule; </w:t>
      </w:r>
      <w:r w:rsidR="00DB2BE9">
        <w:rPr>
          <w:szCs w:val="20"/>
        </w:rPr>
        <w:t xml:space="preserve">PSD = public summary document; </w:t>
      </w:r>
      <w:r w:rsidRPr="005F0CE8">
        <w:t>TNBC = triple-negative breast cancer</w:t>
      </w:r>
    </w:p>
    <w:p w14:paraId="08ACF2CA" w14:textId="7C3030CA" w:rsidR="00AF6588" w:rsidRDefault="00672D16" w:rsidP="006A674C">
      <w:pPr>
        <w:pStyle w:val="FooterTableFigure"/>
        <w:spacing w:after="0"/>
      </w:pPr>
      <w:r w:rsidRPr="005F0CE8">
        <w:rPr>
          <w:vertAlign w:val="superscript"/>
        </w:rPr>
        <w:t>a</w:t>
      </w:r>
      <w:r w:rsidRPr="005F0CE8">
        <w:t xml:space="preserve"> From 1 November 2022, the GPG and the GPG threshold values are set at $93.20, $621.50, respectively. </w:t>
      </w:r>
      <w:bookmarkStart w:id="105" w:name="_Hlk124527308"/>
    </w:p>
    <w:p w14:paraId="4A123D1E" w14:textId="77777777" w:rsidR="006A674C" w:rsidRPr="009A6D58" w:rsidRDefault="006A674C" w:rsidP="006A674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FCCB55C" w14:textId="72468C6A" w:rsidR="006A674C" w:rsidRDefault="006A674C" w:rsidP="00CB4CF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245EE">
        <w:rPr>
          <w:rFonts w:ascii="Arial Narrow" w:hAnsi="Arial Narrow"/>
          <w:i/>
          <w:sz w:val="18"/>
          <w:szCs w:val="18"/>
        </w:rPr>
        <w:t>&lt; 500</w:t>
      </w:r>
    </w:p>
    <w:p w14:paraId="1785C322" w14:textId="7642E775" w:rsidR="00CB4CFB" w:rsidRPr="006A674C" w:rsidRDefault="00CB4CFB" w:rsidP="006A674C">
      <w:pPr>
        <w:spacing w:after="120"/>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5245EE">
        <w:rPr>
          <w:rFonts w:ascii="Arial Narrow" w:hAnsi="Arial Narrow"/>
          <w:i/>
          <w:sz w:val="18"/>
          <w:szCs w:val="18"/>
        </w:rPr>
        <w:t>500</w:t>
      </w:r>
      <w:r>
        <w:rPr>
          <w:rFonts w:ascii="Arial Narrow" w:hAnsi="Arial Narrow"/>
          <w:i/>
          <w:sz w:val="18"/>
          <w:szCs w:val="18"/>
        </w:rPr>
        <w:t>0 to &lt; 10,000</w:t>
      </w:r>
    </w:p>
    <w:p w14:paraId="6F420BD6" w14:textId="1650E2EF" w:rsidR="00672D16" w:rsidRPr="005F0CE8" w:rsidRDefault="00672D16" w:rsidP="00477BB3">
      <w:pPr>
        <w:pStyle w:val="3-BodyText"/>
      </w:pPr>
      <w:r w:rsidRPr="005F0CE8">
        <w:t xml:space="preserve">The estimated use and financial implications for the PBS listing </w:t>
      </w:r>
      <w:r w:rsidR="00B3050A">
        <w:t xml:space="preserve">of </w:t>
      </w:r>
      <w:r w:rsidRPr="005F0CE8">
        <w:t xml:space="preserve">olaparib </w:t>
      </w:r>
      <w:r w:rsidR="00B3050A">
        <w:t xml:space="preserve">and the </w:t>
      </w:r>
      <w:r w:rsidR="006D4DE1">
        <w:t xml:space="preserve">codependent </w:t>
      </w:r>
      <w:r w:rsidRPr="005F0CE8">
        <w:t xml:space="preserve">MBS listing of the germline </w:t>
      </w:r>
      <w:r w:rsidR="009E092C" w:rsidRPr="009E092C">
        <w:rPr>
          <w:i/>
        </w:rPr>
        <w:t xml:space="preserve">BRCA </w:t>
      </w:r>
      <w:r w:rsidRPr="005F0CE8">
        <w:t xml:space="preserve">mutation test are summarised in </w:t>
      </w:r>
      <w:r w:rsidRPr="005F0CE8">
        <w:fldChar w:fldCharType="begin"/>
      </w:r>
      <w:r w:rsidRPr="005F0CE8">
        <w:instrText xml:space="preserve"> REF _Ref104805295 \h </w:instrText>
      </w:r>
      <w:r w:rsidRPr="005F0CE8">
        <w:fldChar w:fldCharType="separate"/>
      </w:r>
      <w:r w:rsidR="00AB6006" w:rsidRPr="005F0CE8">
        <w:t xml:space="preserve">Table </w:t>
      </w:r>
      <w:r w:rsidR="00AB6006">
        <w:rPr>
          <w:noProof/>
        </w:rPr>
        <w:t>21</w:t>
      </w:r>
      <w:r w:rsidRPr="005F0CE8">
        <w:fldChar w:fldCharType="end"/>
      </w:r>
      <w:r w:rsidRPr="005F0CE8">
        <w:t xml:space="preserve">. </w:t>
      </w:r>
    </w:p>
    <w:p w14:paraId="22327C84" w14:textId="4FD29087" w:rsidR="00391805" w:rsidRDefault="005F2CDD" w:rsidP="00477BB3">
      <w:pPr>
        <w:pStyle w:val="3-BodyText"/>
      </w:pPr>
      <w:bookmarkStart w:id="106" w:name="_Ref130333308"/>
      <w:r w:rsidRPr="005F0CE8">
        <w:t>The PSCR presented revised financial estimates as shown below. DUSC noted that the revised estimates corrected the number of prescriptions but the assumption of 12 months of treatment duration, adjusted for compliance based on the average relation dose intensity of 96.15% was retained</w:t>
      </w:r>
      <w:r w:rsidR="00012592" w:rsidRPr="005F0CE8">
        <w:t>, which appeared overestimated in comparison to the average treatment duration in OlympiA of 9.7 months.</w:t>
      </w:r>
      <w:r w:rsidRPr="005F0CE8">
        <w:t xml:space="preserve"> The PSCR stated that target PBS population will be younger and patients were expected to complete their treatment.</w:t>
      </w:r>
      <w:bookmarkEnd w:id="106"/>
    </w:p>
    <w:p w14:paraId="5BFF6195" w14:textId="77777777" w:rsidR="00391805" w:rsidRDefault="00391805">
      <w:pPr>
        <w:jc w:val="left"/>
        <w:rPr>
          <w:rFonts w:asciiTheme="minorHAnsi" w:hAnsiTheme="minorHAnsi"/>
          <w:snapToGrid w:val="0"/>
        </w:rPr>
      </w:pPr>
      <w:r>
        <w:br w:type="page"/>
      </w:r>
    </w:p>
    <w:p w14:paraId="53CCF632" w14:textId="6832D95C" w:rsidR="00672D16" w:rsidRPr="005F0CE8" w:rsidRDefault="00672D16" w:rsidP="00672D16">
      <w:pPr>
        <w:pStyle w:val="Caption"/>
        <w:keepLines w:val="0"/>
      </w:pPr>
      <w:bookmarkStart w:id="107" w:name="_Ref104805295"/>
      <w:r w:rsidRPr="005F0CE8">
        <w:lastRenderedPageBreak/>
        <w:t xml:space="preserve">Table </w:t>
      </w:r>
      <w:fldSimple w:instr=" SEQ Table \* ARABIC ">
        <w:r w:rsidR="00AB6006">
          <w:rPr>
            <w:noProof/>
          </w:rPr>
          <w:t>21</w:t>
        </w:r>
      </w:fldSimple>
      <w:bookmarkEnd w:id="107"/>
      <w:r w:rsidRPr="005F0CE8">
        <w:t>:</w:t>
      </w:r>
      <w:r w:rsidRPr="005F0CE8">
        <w:rPr>
          <w:rStyle w:val="CommentReference"/>
          <w:b/>
          <w:szCs w:val="24"/>
        </w:rPr>
        <w:t xml:space="preserve"> Estimated use and financial implications (based on proposed effective price for olaparib)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7"/>
        <w:gridCol w:w="2833"/>
        <w:gridCol w:w="983"/>
        <w:gridCol w:w="985"/>
        <w:gridCol w:w="983"/>
        <w:gridCol w:w="985"/>
        <w:gridCol w:w="983"/>
        <w:gridCol w:w="988"/>
      </w:tblGrid>
      <w:tr w:rsidR="00672D16" w:rsidRPr="005F0CE8" w14:paraId="52947106" w14:textId="77777777" w:rsidTr="005F2CDD">
        <w:trPr>
          <w:cantSplit/>
          <w:tblHeader/>
        </w:trPr>
        <w:tc>
          <w:tcPr>
            <w:tcW w:w="154" w:type="pct"/>
          </w:tcPr>
          <w:p w14:paraId="790DB3E7" w14:textId="77777777" w:rsidR="00672D16" w:rsidRPr="005F0CE8" w:rsidRDefault="00672D16">
            <w:pPr>
              <w:pStyle w:val="In-tableHeading"/>
              <w:keepNext w:val="0"/>
              <w:jc w:val="center"/>
              <w:rPr>
                <w:lang w:val="en-AU"/>
              </w:rPr>
            </w:pPr>
          </w:p>
        </w:tc>
        <w:tc>
          <w:tcPr>
            <w:tcW w:w="1571" w:type="pct"/>
            <w:shd w:val="clear" w:color="auto" w:fill="auto"/>
            <w:vAlign w:val="center"/>
          </w:tcPr>
          <w:p w14:paraId="1DBB99A9" w14:textId="77777777" w:rsidR="00672D16" w:rsidRPr="005F0CE8" w:rsidRDefault="00672D16">
            <w:pPr>
              <w:pStyle w:val="In-tableHeading"/>
              <w:keepNext w:val="0"/>
              <w:jc w:val="center"/>
              <w:rPr>
                <w:lang w:val="en-AU"/>
              </w:rPr>
            </w:pPr>
          </w:p>
        </w:tc>
        <w:tc>
          <w:tcPr>
            <w:tcW w:w="545" w:type="pct"/>
            <w:shd w:val="clear" w:color="auto" w:fill="auto"/>
            <w:vAlign w:val="center"/>
          </w:tcPr>
          <w:p w14:paraId="41029BDF" w14:textId="77777777" w:rsidR="00672D16" w:rsidRPr="005F0CE8" w:rsidRDefault="00672D16">
            <w:pPr>
              <w:pStyle w:val="In-tableHeading"/>
              <w:keepNext w:val="0"/>
              <w:jc w:val="center"/>
              <w:rPr>
                <w:lang w:val="en-AU"/>
              </w:rPr>
            </w:pPr>
            <w:r w:rsidRPr="005F0CE8">
              <w:rPr>
                <w:lang w:val="en-AU"/>
              </w:rPr>
              <w:t>Year 1</w:t>
            </w:r>
          </w:p>
        </w:tc>
        <w:tc>
          <w:tcPr>
            <w:tcW w:w="546" w:type="pct"/>
            <w:shd w:val="clear" w:color="auto" w:fill="auto"/>
            <w:vAlign w:val="center"/>
          </w:tcPr>
          <w:p w14:paraId="1C228BB0" w14:textId="77777777" w:rsidR="00672D16" w:rsidRPr="005F0CE8" w:rsidRDefault="00672D16">
            <w:pPr>
              <w:pStyle w:val="In-tableHeading"/>
              <w:keepNext w:val="0"/>
              <w:jc w:val="center"/>
              <w:rPr>
                <w:lang w:val="en-AU"/>
              </w:rPr>
            </w:pPr>
            <w:r w:rsidRPr="005F0CE8">
              <w:rPr>
                <w:lang w:val="en-AU"/>
              </w:rPr>
              <w:t>Year 2</w:t>
            </w:r>
          </w:p>
        </w:tc>
        <w:tc>
          <w:tcPr>
            <w:tcW w:w="545" w:type="pct"/>
            <w:shd w:val="clear" w:color="auto" w:fill="auto"/>
            <w:vAlign w:val="center"/>
          </w:tcPr>
          <w:p w14:paraId="745591F6" w14:textId="77777777" w:rsidR="00672D16" w:rsidRPr="005F0CE8" w:rsidRDefault="00672D16">
            <w:pPr>
              <w:pStyle w:val="In-tableHeading"/>
              <w:keepNext w:val="0"/>
              <w:jc w:val="center"/>
              <w:rPr>
                <w:lang w:val="en-AU"/>
              </w:rPr>
            </w:pPr>
            <w:r w:rsidRPr="005F0CE8">
              <w:rPr>
                <w:lang w:val="en-AU"/>
              </w:rPr>
              <w:t>Year 3</w:t>
            </w:r>
          </w:p>
        </w:tc>
        <w:tc>
          <w:tcPr>
            <w:tcW w:w="546" w:type="pct"/>
            <w:shd w:val="clear" w:color="auto" w:fill="auto"/>
            <w:vAlign w:val="center"/>
          </w:tcPr>
          <w:p w14:paraId="11CD7EF5" w14:textId="77777777" w:rsidR="00672D16" w:rsidRPr="005F0CE8" w:rsidRDefault="00672D16">
            <w:pPr>
              <w:pStyle w:val="In-tableHeading"/>
              <w:keepNext w:val="0"/>
              <w:jc w:val="center"/>
              <w:rPr>
                <w:lang w:val="en-AU"/>
              </w:rPr>
            </w:pPr>
            <w:r w:rsidRPr="005F0CE8">
              <w:rPr>
                <w:lang w:val="en-AU"/>
              </w:rPr>
              <w:t>Year 4</w:t>
            </w:r>
          </w:p>
        </w:tc>
        <w:tc>
          <w:tcPr>
            <w:tcW w:w="545" w:type="pct"/>
            <w:shd w:val="clear" w:color="auto" w:fill="auto"/>
            <w:vAlign w:val="center"/>
          </w:tcPr>
          <w:p w14:paraId="138C48C2" w14:textId="77777777" w:rsidR="00672D16" w:rsidRPr="005F0CE8" w:rsidRDefault="00672D16">
            <w:pPr>
              <w:pStyle w:val="In-tableHeading"/>
              <w:keepNext w:val="0"/>
              <w:jc w:val="center"/>
              <w:rPr>
                <w:lang w:val="en-AU"/>
              </w:rPr>
            </w:pPr>
            <w:r w:rsidRPr="005F0CE8">
              <w:rPr>
                <w:lang w:val="en-AU"/>
              </w:rPr>
              <w:t>Year 5</w:t>
            </w:r>
          </w:p>
        </w:tc>
        <w:tc>
          <w:tcPr>
            <w:tcW w:w="548" w:type="pct"/>
          </w:tcPr>
          <w:p w14:paraId="07D00675" w14:textId="77777777" w:rsidR="00672D16" w:rsidRPr="005F0CE8" w:rsidRDefault="00672D16">
            <w:pPr>
              <w:pStyle w:val="In-tableHeading"/>
              <w:keepNext w:val="0"/>
              <w:jc w:val="center"/>
              <w:rPr>
                <w:lang w:val="en-AU"/>
              </w:rPr>
            </w:pPr>
            <w:r w:rsidRPr="005F0CE8">
              <w:rPr>
                <w:lang w:val="en-AU"/>
              </w:rPr>
              <w:t>Year 6</w:t>
            </w:r>
          </w:p>
        </w:tc>
      </w:tr>
      <w:tr w:rsidR="00672D16" w:rsidRPr="005F0CE8" w14:paraId="374130ED" w14:textId="77777777" w:rsidTr="005F2CDD">
        <w:trPr>
          <w:cantSplit/>
        </w:trPr>
        <w:tc>
          <w:tcPr>
            <w:tcW w:w="154" w:type="pct"/>
          </w:tcPr>
          <w:p w14:paraId="23C0C7B3" w14:textId="77777777" w:rsidR="00672D16" w:rsidRPr="005F0CE8" w:rsidRDefault="00672D16">
            <w:pPr>
              <w:pStyle w:val="TableText0"/>
              <w:keepNext w:val="0"/>
            </w:pPr>
          </w:p>
        </w:tc>
        <w:tc>
          <w:tcPr>
            <w:tcW w:w="1571" w:type="pct"/>
            <w:shd w:val="clear" w:color="auto" w:fill="auto"/>
          </w:tcPr>
          <w:p w14:paraId="35B9F3AC" w14:textId="77777777" w:rsidR="00672D16" w:rsidRPr="005F0CE8" w:rsidRDefault="00672D16">
            <w:pPr>
              <w:pStyle w:val="TableText0"/>
              <w:keepNext w:val="0"/>
            </w:pPr>
            <w:r w:rsidRPr="005F0CE8">
              <w:t xml:space="preserve">Incidence early breast cancer </w:t>
            </w:r>
          </w:p>
        </w:tc>
        <w:tc>
          <w:tcPr>
            <w:tcW w:w="545" w:type="pct"/>
            <w:shd w:val="clear" w:color="auto" w:fill="auto"/>
          </w:tcPr>
          <w:p w14:paraId="39C5D890" w14:textId="39127CFA" w:rsidR="00672D16" w:rsidRPr="00391805" w:rsidRDefault="00672D16">
            <w:pPr>
              <w:pStyle w:val="In-tableHeading"/>
              <w:keepNext w:val="0"/>
              <w:jc w:val="center"/>
              <w:rPr>
                <w:vertAlign w:val="superscript"/>
                <w:lang w:val="en-AU"/>
              </w:rPr>
            </w:pPr>
            <w:r w:rsidRPr="005F0CE8">
              <w:rPr>
                <w:lang w:val="en-AU"/>
              </w:rPr>
              <w:t xml:space="preserve"> </w:t>
            </w:r>
            <w:r w:rsidR="003A26A8" w:rsidRPr="003A26A8">
              <w:rPr>
                <w:color w:val="000000"/>
                <w:spacing w:val="65"/>
                <w:shd w:val="solid" w:color="000000" w:fill="000000"/>
                <w:fitText w:val="381" w:id="-1234443005"/>
                <w:lang w:val="en-AU"/>
                <w14:textFill>
                  <w14:solidFill>
                    <w14:srgbClr w14:val="000000">
                      <w14:alpha w14:val="100000"/>
                    </w14:srgbClr>
                  </w14:solidFill>
                </w14:textFill>
              </w:rPr>
              <w:t>|||</w:t>
            </w:r>
            <w:r w:rsidR="003A26A8" w:rsidRPr="003A26A8">
              <w:rPr>
                <w:color w:val="000000"/>
                <w:spacing w:val="3"/>
                <w:shd w:val="solid" w:color="000000" w:fill="000000"/>
                <w:fitText w:val="381" w:id="-1234443005"/>
                <w:lang w:val="en-AU"/>
                <w14:textFill>
                  <w14:solidFill>
                    <w14:srgbClr w14:val="000000">
                      <w14:alpha w14:val="100000"/>
                    </w14:srgbClr>
                  </w14:solidFill>
                </w14:textFill>
              </w:rPr>
              <w:t>|</w:t>
            </w:r>
            <w:r w:rsidRPr="005F0CE8">
              <w:rPr>
                <w:lang w:val="en-AU"/>
              </w:rPr>
              <w:t xml:space="preserve"> </w:t>
            </w:r>
            <w:r w:rsidR="00391805">
              <w:rPr>
                <w:vertAlign w:val="superscript"/>
                <w:lang w:val="en-AU"/>
              </w:rPr>
              <w:t>1</w:t>
            </w:r>
          </w:p>
        </w:tc>
        <w:tc>
          <w:tcPr>
            <w:tcW w:w="546" w:type="pct"/>
            <w:shd w:val="clear" w:color="auto" w:fill="auto"/>
          </w:tcPr>
          <w:p w14:paraId="7611E64C" w14:textId="7CF325EB" w:rsidR="00672D16" w:rsidRPr="005F0CE8" w:rsidRDefault="00672D16">
            <w:pPr>
              <w:pStyle w:val="In-tableHeading"/>
              <w:keepNext w:val="0"/>
              <w:jc w:val="center"/>
              <w:rPr>
                <w:lang w:val="en-AU"/>
              </w:rPr>
            </w:pPr>
            <w:r w:rsidRPr="005F0CE8">
              <w:rPr>
                <w:lang w:val="en-AU"/>
              </w:rPr>
              <w:t xml:space="preserve"> </w:t>
            </w:r>
            <w:r w:rsidR="003A26A8" w:rsidRPr="003A26A8">
              <w:rPr>
                <w:color w:val="000000"/>
                <w:spacing w:val="65"/>
                <w:shd w:val="solid" w:color="000000" w:fill="000000"/>
                <w:fitText w:val="380" w:id="-1234443004"/>
                <w:lang w:val="en-AU"/>
                <w14:textFill>
                  <w14:solidFill>
                    <w14:srgbClr w14:val="000000">
                      <w14:alpha w14:val="100000"/>
                    </w14:srgbClr>
                  </w14:solidFill>
                </w14:textFill>
              </w:rPr>
              <w:t>|||</w:t>
            </w:r>
            <w:r w:rsidR="003A26A8" w:rsidRPr="003A26A8">
              <w:rPr>
                <w:color w:val="000000"/>
                <w:spacing w:val="2"/>
                <w:shd w:val="solid" w:color="000000" w:fill="000000"/>
                <w:fitText w:val="380" w:id="-1234443004"/>
                <w:lang w:val="en-AU"/>
                <w14:textFill>
                  <w14:solidFill>
                    <w14:srgbClr w14:val="000000">
                      <w14:alpha w14:val="100000"/>
                    </w14:srgbClr>
                  </w14:solidFill>
                </w14:textFill>
              </w:rPr>
              <w:t>|</w:t>
            </w:r>
            <w:r w:rsidRPr="005F0CE8">
              <w:rPr>
                <w:lang w:val="en-AU"/>
              </w:rPr>
              <w:t xml:space="preserve"> </w:t>
            </w:r>
            <w:r w:rsidR="00391805">
              <w:rPr>
                <w:vertAlign w:val="superscript"/>
                <w:lang w:val="en-AU"/>
              </w:rPr>
              <w:t>1</w:t>
            </w:r>
          </w:p>
        </w:tc>
        <w:tc>
          <w:tcPr>
            <w:tcW w:w="545" w:type="pct"/>
            <w:shd w:val="clear" w:color="auto" w:fill="auto"/>
          </w:tcPr>
          <w:p w14:paraId="27BCF795" w14:textId="7AD7DF75" w:rsidR="00672D16" w:rsidRPr="005F0CE8" w:rsidRDefault="00672D16">
            <w:pPr>
              <w:pStyle w:val="In-tableHeading"/>
              <w:keepNext w:val="0"/>
              <w:jc w:val="center"/>
              <w:rPr>
                <w:lang w:val="en-AU"/>
              </w:rPr>
            </w:pPr>
            <w:r w:rsidRPr="005F0CE8">
              <w:rPr>
                <w:lang w:val="en-AU"/>
              </w:rPr>
              <w:t xml:space="preserve"> </w:t>
            </w:r>
            <w:r w:rsidR="003A26A8" w:rsidRPr="003A26A8">
              <w:rPr>
                <w:color w:val="000000"/>
                <w:spacing w:val="65"/>
                <w:shd w:val="solid" w:color="000000" w:fill="000000"/>
                <w:fitText w:val="380" w:id="-1234443003"/>
                <w:lang w:val="en-AU"/>
                <w14:textFill>
                  <w14:solidFill>
                    <w14:srgbClr w14:val="000000">
                      <w14:alpha w14:val="100000"/>
                    </w14:srgbClr>
                  </w14:solidFill>
                </w14:textFill>
              </w:rPr>
              <w:t>|||</w:t>
            </w:r>
            <w:r w:rsidR="003A26A8" w:rsidRPr="003A26A8">
              <w:rPr>
                <w:color w:val="000000"/>
                <w:spacing w:val="2"/>
                <w:shd w:val="solid" w:color="000000" w:fill="000000"/>
                <w:fitText w:val="380" w:id="-1234443003"/>
                <w:lang w:val="en-AU"/>
                <w14:textFill>
                  <w14:solidFill>
                    <w14:srgbClr w14:val="000000">
                      <w14:alpha w14:val="100000"/>
                    </w14:srgbClr>
                  </w14:solidFill>
                </w14:textFill>
              </w:rPr>
              <w:t>|</w:t>
            </w:r>
            <w:r w:rsidRPr="005F0CE8">
              <w:rPr>
                <w:lang w:val="en-AU"/>
              </w:rPr>
              <w:t xml:space="preserve"> </w:t>
            </w:r>
            <w:r w:rsidR="00391805">
              <w:rPr>
                <w:vertAlign w:val="superscript"/>
                <w:lang w:val="en-AU"/>
              </w:rPr>
              <w:t>1</w:t>
            </w:r>
          </w:p>
        </w:tc>
        <w:tc>
          <w:tcPr>
            <w:tcW w:w="546" w:type="pct"/>
            <w:shd w:val="clear" w:color="auto" w:fill="auto"/>
          </w:tcPr>
          <w:p w14:paraId="1772E047" w14:textId="192617AA" w:rsidR="00672D16" w:rsidRPr="00391805" w:rsidRDefault="00672D16">
            <w:pPr>
              <w:pStyle w:val="In-tableHeading"/>
              <w:keepNext w:val="0"/>
              <w:jc w:val="center"/>
              <w:rPr>
                <w:vertAlign w:val="superscript"/>
                <w:lang w:val="en-AU"/>
              </w:rPr>
            </w:pPr>
            <w:r w:rsidRPr="005F0CE8">
              <w:rPr>
                <w:lang w:val="en-AU"/>
              </w:rPr>
              <w:t xml:space="preserve"> </w:t>
            </w:r>
            <w:r w:rsidR="003A26A8" w:rsidRPr="003A26A8">
              <w:rPr>
                <w:color w:val="000000"/>
                <w:spacing w:val="65"/>
                <w:shd w:val="solid" w:color="000000" w:fill="000000"/>
                <w:fitText w:val="380" w:id="-1234443002"/>
                <w:lang w:val="en-AU"/>
                <w14:textFill>
                  <w14:solidFill>
                    <w14:srgbClr w14:val="000000">
                      <w14:alpha w14:val="100000"/>
                    </w14:srgbClr>
                  </w14:solidFill>
                </w14:textFill>
              </w:rPr>
              <w:t>|||</w:t>
            </w:r>
            <w:r w:rsidR="003A26A8" w:rsidRPr="003A26A8">
              <w:rPr>
                <w:color w:val="000000"/>
                <w:spacing w:val="2"/>
                <w:shd w:val="solid" w:color="000000" w:fill="000000"/>
                <w:fitText w:val="380" w:id="-1234443002"/>
                <w:lang w:val="en-AU"/>
                <w14:textFill>
                  <w14:solidFill>
                    <w14:srgbClr w14:val="000000">
                      <w14:alpha w14:val="100000"/>
                    </w14:srgbClr>
                  </w14:solidFill>
                </w14:textFill>
              </w:rPr>
              <w:t>|</w:t>
            </w:r>
            <w:r w:rsidRPr="005F0CE8">
              <w:rPr>
                <w:lang w:val="en-AU"/>
              </w:rPr>
              <w:t xml:space="preserve"> </w:t>
            </w:r>
            <w:r w:rsidR="00391805">
              <w:rPr>
                <w:vertAlign w:val="superscript"/>
                <w:lang w:val="en-AU"/>
              </w:rPr>
              <w:t>2</w:t>
            </w:r>
          </w:p>
        </w:tc>
        <w:tc>
          <w:tcPr>
            <w:tcW w:w="545" w:type="pct"/>
            <w:shd w:val="clear" w:color="auto" w:fill="auto"/>
          </w:tcPr>
          <w:p w14:paraId="2D12D2C5" w14:textId="58EAD8C4" w:rsidR="00672D16" w:rsidRPr="005F0CE8" w:rsidRDefault="00672D16">
            <w:pPr>
              <w:pStyle w:val="In-tableHeading"/>
              <w:keepNext w:val="0"/>
              <w:jc w:val="center"/>
              <w:rPr>
                <w:lang w:val="en-AU"/>
              </w:rPr>
            </w:pPr>
            <w:r w:rsidRPr="005F0CE8">
              <w:rPr>
                <w:lang w:val="en-AU"/>
              </w:rPr>
              <w:t xml:space="preserve"> </w:t>
            </w:r>
            <w:r w:rsidR="003A26A8" w:rsidRPr="003A26A8">
              <w:rPr>
                <w:color w:val="000000"/>
                <w:spacing w:val="65"/>
                <w:shd w:val="solid" w:color="000000" w:fill="000000"/>
                <w:fitText w:val="380" w:id="-1234443001"/>
                <w:lang w:val="en-AU"/>
                <w14:textFill>
                  <w14:solidFill>
                    <w14:srgbClr w14:val="000000">
                      <w14:alpha w14:val="100000"/>
                    </w14:srgbClr>
                  </w14:solidFill>
                </w14:textFill>
              </w:rPr>
              <w:t>|||</w:t>
            </w:r>
            <w:r w:rsidR="003A26A8" w:rsidRPr="003A26A8">
              <w:rPr>
                <w:color w:val="000000"/>
                <w:spacing w:val="2"/>
                <w:shd w:val="solid" w:color="000000" w:fill="000000"/>
                <w:fitText w:val="380" w:id="-1234443001"/>
                <w:lang w:val="en-AU"/>
                <w14:textFill>
                  <w14:solidFill>
                    <w14:srgbClr w14:val="000000">
                      <w14:alpha w14:val="100000"/>
                    </w14:srgbClr>
                  </w14:solidFill>
                </w14:textFill>
              </w:rPr>
              <w:t>|</w:t>
            </w:r>
            <w:r w:rsidRPr="005F0CE8">
              <w:rPr>
                <w:lang w:val="en-AU"/>
              </w:rPr>
              <w:t xml:space="preserve"> </w:t>
            </w:r>
            <w:r w:rsidR="00391805">
              <w:rPr>
                <w:vertAlign w:val="superscript"/>
                <w:lang w:val="en-AU"/>
              </w:rPr>
              <w:t>2</w:t>
            </w:r>
          </w:p>
        </w:tc>
        <w:tc>
          <w:tcPr>
            <w:tcW w:w="548" w:type="pct"/>
          </w:tcPr>
          <w:p w14:paraId="462C9447" w14:textId="51BBDE2A" w:rsidR="00672D16" w:rsidRPr="005F0CE8" w:rsidRDefault="00672D16">
            <w:pPr>
              <w:pStyle w:val="In-tableHeading"/>
              <w:keepNext w:val="0"/>
              <w:jc w:val="center"/>
              <w:rPr>
                <w:lang w:val="en-AU"/>
              </w:rPr>
            </w:pPr>
            <w:r w:rsidRPr="005F0CE8">
              <w:rPr>
                <w:lang w:val="en-AU"/>
              </w:rPr>
              <w:t xml:space="preserve"> </w:t>
            </w:r>
            <w:r w:rsidR="003A26A8" w:rsidRPr="003A26A8">
              <w:rPr>
                <w:color w:val="000000"/>
                <w:spacing w:val="69"/>
                <w:shd w:val="solid" w:color="000000" w:fill="000000"/>
                <w:fitText w:val="392" w:id="-1234443000"/>
                <w:lang w:val="en-AU"/>
                <w14:textFill>
                  <w14:solidFill>
                    <w14:srgbClr w14:val="000000">
                      <w14:alpha w14:val="100000"/>
                    </w14:srgbClr>
                  </w14:solidFill>
                </w14:textFill>
              </w:rPr>
              <w:t>|||</w:t>
            </w:r>
            <w:r w:rsidR="003A26A8" w:rsidRPr="003A26A8">
              <w:rPr>
                <w:color w:val="000000"/>
                <w:spacing w:val="2"/>
                <w:shd w:val="solid" w:color="000000" w:fill="000000"/>
                <w:fitText w:val="392" w:id="-1234443000"/>
                <w:lang w:val="en-AU"/>
                <w14:textFill>
                  <w14:solidFill>
                    <w14:srgbClr w14:val="000000">
                      <w14:alpha w14:val="100000"/>
                    </w14:srgbClr>
                  </w14:solidFill>
                </w14:textFill>
              </w:rPr>
              <w:t>|</w:t>
            </w:r>
            <w:r w:rsidRPr="005F0CE8">
              <w:rPr>
                <w:lang w:val="en-AU"/>
              </w:rPr>
              <w:t xml:space="preserve"> </w:t>
            </w:r>
            <w:r w:rsidR="00391805">
              <w:rPr>
                <w:vertAlign w:val="superscript"/>
                <w:lang w:val="en-AU"/>
              </w:rPr>
              <w:t>2</w:t>
            </w:r>
          </w:p>
        </w:tc>
      </w:tr>
      <w:tr w:rsidR="00672D16" w:rsidRPr="005F0CE8" w14:paraId="36C6368C" w14:textId="77777777" w:rsidTr="005F2CDD">
        <w:trPr>
          <w:cantSplit/>
        </w:trPr>
        <w:tc>
          <w:tcPr>
            <w:tcW w:w="154" w:type="pct"/>
          </w:tcPr>
          <w:p w14:paraId="5AFEB25D" w14:textId="77777777" w:rsidR="00672D16" w:rsidRPr="005F0CE8" w:rsidRDefault="00672D16">
            <w:pPr>
              <w:pStyle w:val="In-tableHeading"/>
              <w:keepNext w:val="0"/>
              <w:rPr>
                <w:bCs/>
                <w:color w:val="000000"/>
                <w:lang w:val="en-AU"/>
              </w:rPr>
            </w:pPr>
          </w:p>
        </w:tc>
        <w:tc>
          <w:tcPr>
            <w:tcW w:w="4846" w:type="pct"/>
            <w:gridSpan w:val="7"/>
            <w:shd w:val="clear" w:color="auto" w:fill="auto"/>
            <w:vAlign w:val="center"/>
          </w:tcPr>
          <w:p w14:paraId="780D7173" w14:textId="76494AC0" w:rsidR="00672D16" w:rsidRPr="005F0CE8" w:rsidRDefault="00672D16">
            <w:pPr>
              <w:pStyle w:val="In-tableHeading"/>
              <w:keepNext w:val="0"/>
              <w:rPr>
                <w:bCs/>
                <w:color w:val="000000"/>
                <w:lang w:val="en-AU"/>
              </w:rPr>
            </w:pPr>
            <w:r w:rsidRPr="005F0CE8">
              <w:rPr>
                <w:bCs/>
                <w:color w:val="000000"/>
                <w:lang w:val="en-AU"/>
              </w:rPr>
              <w:t xml:space="preserve">Estimated extent of use </w:t>
            </w:r>
            <w:r w:rsidR="009E092C" w:rsidRPr="009E092C">
              <w:rPr>
                <w:i/>
                <w:iCs/>
                <w:lang w:val="en-AU"/>
              </w:rPr>
              <w:t>BRCA1/2</w:t>
            </w:r>
            <w:r w:rsidRPr="005F0CE8">
              <w:rPr>
                <w:lang w:val="en-AU"/>
              </w:rPr>
              <w:t xml:space="preserve"> pathogenic gene variant test</w:t>
            </w:r>
          </w:p>
        </w:tc>
      </w:tr>
      <w:tr w:rsidR="00672D16" w:rsidRPr="005F0CE8" w14:paraId="5D34A5B5" w14:textId="77777777" w:rsidTr="005F2CDD">
        <w:trPr>
          <w:cantSplit/>
        </w:trPr>
        <w:tc>
          <w:tcPr>
            <w:tcW w:w="154" w:type="pct"/>
          </w:tcPr>
          <w:p w14:paraId="6D2776BE" w14:textId="77777777" w:rsidR="00672D16" w:rsidRPr="005F0CE8" w:rsidRDefault="00672D16">
            <w:pPr>
              <w:pStyle w:val="TableText0"/>
              <w:keepNext w:val="0"/>
            </w:pPr>
            <w:r w:rsidRPr="005F0CE8">
              <w:t>A</w:t>
            </w:r>
          </w:p>
        </w:tc>
        <w:tc>
          <w:tcPr>
            <w:tcW w:w="1571" w:type="pct"/>
            <w:shd w:val="clear" w:color="auto" w:fill="auto"/>
            <w:vAlign w:val="center"/>
          </w:tcPr>
          <w:p w14:paraId="1E0347B8" w14:textId="1D096953" w:rsidR="00672D16" w:rsidRPr="005F0CE8" w:rsidRDefault="00672D16">
            <w:pPr>
              <w:pStyle w:val="TableText0"/>
              <w:keepNext w:val="0"/>
            </w:pPr>
            <w:r w:rsidRPr="005F0CE8">
              <w:t>g</w:t>
            </w:r>
            <w:r w:rsidR="009E092C" w:rsidRPr="009E092C">
              <w:rPr>
                <w:i/>
              </w:rPr>
              <w:t xml:space="preserve">BRCA </w:t>
            </w:r>
            <w:r w:rsidRPr="005F0CE8">
              <w:t xml:space="preserve">mutation tests in TNBC patients (olaparib available), </w:t>
            </w:r>
          </w:p>
          <w:p w14:paraId="7EE31882" w14:textId="77777777" w:rsidR="00672D16" w:rsidRPr="005F0CE8" w:rsidRDefault="00672D16">
            <w:pPr>
              <w:pStyle w:val="TableText0"/>
              <w:keepNext w:val="0"/>
            </w:pPr>
            <w:r w:rsidRPr="005F0CE8">
              <w:t>Proposed uptake Years 1−6: 80−95%</w:t>
            </w:r>
          </w:p>
        </w:tc>
        <w:tc>
          <w:tcPr>
            <w:tcW w:w="545" w:type="pct"/>
            <w:shd w:val="clear" w:color="auto" w:fill="auto"/>
            <w:vAlign w:val="center"/>
          </w:tcPr>
          <w:p w14:paraId="69303C0B" w14:textId="247704D7" w:rsidR="00672D16" w:rsidRPr="00391805" w:rsidRDefault="003A26A8">
            <w:pPr>
              <w:pStyle w:val="TableText0"/>
              <w:keepNext w:val="0"/>
              <w:jc w:val="center"/>
              <w:rPr>
                <w:vertAlign w:val="superscript"/>
              </w:rPr>
            </w:pPr>
            <w:r w:rsidRPr="003A26A8">
              <w:rPr>
                <w:color w:val="000000"/>
                <w:spacing w:val="190"/>
                <w:shd w:val="solid" w:color="000000" w:fill="000000"/>
                <w:fitText w:val="276" w:id="-1234442999"/>
                <w14:textFill>
                  <w14:solidFill>
                    <w14:srgbClr w14:val="000000">
                      <w14:alpha w14:val="100000"/>
                    </w14:srgbClr>
                  </w14:solidFill>
                </w14:textFill>
              </w:rPr>
              <w:t>|</w:t>
            </w:r>
            <w:r w:rsidRPr="003A26A8">
              <w:rPr>
                <w:color w:val="000000"/>
                <w:spacing w:val="1"/>
                <w:shd w:val="solid" w:color="000000" w:fill="000000"/>
                <w:fitText w:val="276" w:id="-1234442999"/>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7A7C65E8" w14:textId="5EE563C2" w:rsidR="00672D16" w:rsidRPr="005F0CE8" w:rsidRDefault="003A26A8">
            <w:pPr>
              <w:pStyle w:val="TableText0"/>
              <w:keepNext w:val="0"/>
              <w:jc w:val="center"/>
            </w:pPr>
            <w:r w:rsidRPr="003A26A8">
              <w:rPr>
                <w:color w:val="000000"/>
                <w:spacing w:val="179"/>
                <w:shd w:val="solid" w:color="000000" w:fill="000000"/>
                <w:fitText w:val="265" w:id="-1234442998"/>
                <w14:textFill>
                  <w14:solidFill>
                    <w14:srgbClr w14:val="000000">
                      <w14:alpha w14:val="100000"/>
                    </w14:srgbClr>
                  </w14:solidFill>
                </w14:textFill>
              </w:rPr>
              <w:t>|</w:t>
            </w:r>
            <w:r w:rsidRPr="003A26A8">
              <w:rPr>
                <w:color w:val="000000"/>
                <w:spacing w:val="1"/>
                <w:shd w:val="solid" w:color="000000" w:fill="000000"/>
                <w:fitText w:val="265" w:id="-1234442998"/>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115E7569" w14:textId="3867EF69" w:rsidR="00672D16" w:rsidRPr="005F0CE8" w:rsidRDefault="003A26A8">
            <w:pPr>
              <w:pStyle w:val="TableText0"/>
              <w:keepNext w:val="0"/>
              <w:jc w:val="center"/>
            </w:pPr>
            <w:r w:rsidRPr="003A26A8">
              <w:rPr>
                <w:color w:val="000000"/>
                <w:spacing w:val="190"/>
                <w:shd w:val="solid" w:color="000000" w:fill="000000"/>
                <w:fitText w:val="276" w:id="-1234442997"/>
                <w14:textFill>
                  <w14:solidFill>
                    <w14:srgbClr w14:val="000000">
                      <w14:alpha w14:val="100000"/>
                    </w14:srgbClr>
                  </w14:solidFill>
                </w14:textFill>
              </w:rPr>
              <w:t>|</w:t>
            </w:r>
            <w:r w:rsidRPr="003A26A8">
              <w:rPr>
                <w:color w:val="000000"/>
                <w:spacing w:val="1"/>
                <w:shd w:val="solid" w:color="000000" w:fill="000000"/>
                <w:fitText w:val="276" w:id="-1234442997"/>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6FCB07FF" w14:textId="0786448C" w:rsidR="00672D16" w:rsidRPr="005F0CE8" w:rsidRDefault="003A26A8">
            <w:pPr>
              <w:pStyle w:val="TableText0"/>
              <w:keepNext w:val="0"/>
              <w:jc w:val="center"/>
            </w:pPr>
            <w:r w:rsidRPr="003A26A8">
              <w:rPr>
                <w:color w:val="000000"/>
                <w:spacing w:val="179"/>
                <w:shd w:val="solid" w:color="000000" w:fill="000000"/>
                <w:fitText w:val="265" w:id="-1234442996"/>
                <w14:textFill>
                  <w14:solidFill>
                    <w14:srgbClr w14:val="000000">
                      <w14:alpha w14:val="100000"/>
                    </w14:srgbClr>
                  </w14:solidFill>
                </w14:textFill>
              </w:rPr>
              <w:t>|</w:t>
            </w:r>
            <w:r w:rsidRPr="003A26A8">
              <w:rPr>
                <w:color w:val="000000"/>
                <w:spacing w:val="1"/>
                <w:shd w:val="solid" w:color="000000" w:fill="000000"/>
                <w:fitText w:val="265" w:id="-1234442996"/>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5AFEAD15" w14:textId="12401B22" w:rsidR="00672D16" w:rsidRPr="00026AC9" w:rsidRDefault="003A26A8">
            <w:pPr>
              <w:pStyle w:val="TableText0"/>
              <w:keepNext w:val="0"/>
              <w:jc w:val="center"/>
              <w:rPr>
                <w:highlight w:val="darkGray"/>
              </w:rPr>
            </w:pPr>
            <w:r w:rsidRPr="003A26A8">
              <w:rPr>
                <w:color w:val="000000"/>
                <w:spacing w:val="191"/>
                <w:shd w:val="solid" w:color="000000" w:fill="000000"/>
                <w:fitText w:val="277" w:id="-1234442995"/>
                <w14:textFill>
                  <w14:solidFill>
                    <w14:srgbClr w14:val="000000">
                      <w14:alpha w14:val="100000"/>
                    </w14:srgbClr>
                  </w14:solidFill>
                </w14:textFill>
              </w:rPr>
              <w:t>|</w:t>
            </w:r>
            <w:r w:rsidRPr="003A26A8">
              <w:rPr>
                <w:color w:val="000000"/>
                <w:spacing w:val="1"/>
                <w:shd w:val="solid" w:color="000000" w:fill="000000"/>
                <w:fitText w:val="277" w:id="-1234442995"/>
                <w14:textFill>
                  <w14:solidFill>
                    <w14:srgbClr w14:val="000000">
                      <w14:alpha w14:val="100000"/>
                    </w14:srgbClr>
                  </w14:solidFill>
                </w14:textFill>
              </w:rPr>
              <w:t>|</w:t>
            </w:r>
            <w:r w:rsidR="00391805" w:rsidRPr="00026AC9">
              <w:rPr>
                <w:vertAlign w:val="superscript"/>
              </w:rPr>
              <w:t>3</w:t>
            </w:r>
          </w:p>
        </w:tc>
        <w:tc>
          <w:tcPr>
            <w:tcW w:w="548" w:type="pct"/>
            <w:vAlign w:val="center"/>
          </w:tcPr>
          <w:p w14:paraId="7742EABF" w14:textId="0B664107" w:rsidR="00672D16" w:rsidRPr="005F0CE8" w:rsidRDefault="003A26A8">
            <w:pPr>
              <w:pStyle w:val="TableText0"/>
              <w:keepNext w:val="0"/>
              <w:jc w:val="center"/>
            </w:pPr>
            <w:r w:rsidRPr="003A26A8">
              <w:rPr>
                <w:color w:val="000000"/>
                <w:spacing w:val="191"/>
                <w:shd w:val="solid" w:color="000000" w:fill="000000"/>
                <w:fitText w:val="277" w:id="-1234442994"/>
                <w14:textFill>
                  <w14:solidFill>
                    <w14:srgbClr w14:val="000000">
                      <w14:alpha w14:val="100000"/>
                    </w14:srgbClr>
                  </w14:solidFill>
                </w14:textFill>
              </w:rPr>
              <w:t>|</w:t>
            </w:r>
            <w:r w:rsidRPr="003A26A8">
              <w:rPr>
                <w:color w:val="000000"/>
                <w:spacing w:val="1"/>
                <w:shd w:val="solid" w:color="000000" w:fill="000000"/>
                <w:fitText w:val="277" w:id="-1234442994"/>
                <w14:textFill>
                  <w14:solidFill>
                    <w14:srgbClr w14:val="000000">
                      <w14:alpha w14:val="100000"/>
                    </w14:srgbClr>
                  </w14:solidFill>
                </w14:textFill>
              </w:rPr>
              <w:t>|</w:t>
            </w:r>
            <w:r w:rsidR="00391805">
              <w:rPr>
                <w:vertAlign w:val="superscript"/>
              </w:rPr>
              <w:t>3</w:t>
            </w:r>
          </w:p>
        </w:tc>
      </w:tr>
      <w:tr w:rsidR="00672D16" w:rsidRPr="005F0CE8" w14:paraId="29A4766E" w14:textId="77777777" w:rsidTr="005F2CDD">
        <w:trPr>
          <w:cantSplit/>
        </w:trPr>
        <w:tc>
          <w:tcPr>
            <w:tcW w:w="154" w:type="pct"/>
          </w:tcPr>
          <w:p w14:paraId="47C60890" w14:textId="77777777" w:rsidR="00672D16" w:rsidRPr="005F0CE8" w:rsidRDefault="00672D16">
            <w:pPr>
              <w:pStyle w:val="TableText0"/>
              <w:keepNext w:val="0"/>
            </w:pPr>
            <w:r w:rsidRPr="005F0CE8">
              <w:t>B</w:t>
            </w:r>
          </w:p>
        </w:tc>
        <w:tc>
          <w:tcPr>
            <w:tcW w:w="1571" w:type="pct"/>
            <w:shd w:val="clear" w:color="auto" w:fill="auto"/>
            <w:vAlign w:val="center"/>
          </w:tcPr>
          <w:p w14:paraId="1343672A" w14:textId="462745BA" w:rsidR="00672D16" w:rsidRPr="005F0CE8" w:rsidRDefault="00672D16">
            <w:pPr>
              <w:pStyle w:val="TableText0"/>
              <w:keepNext w:val="0"/>
            </w:pPr>
            <w:r w:rsidRPr="005F0CE8">
              <w:t>g</w:t>
            </w:r>
            <w:r w:rsidR="009E092C" w:rsidRPr="009E092C">
              <w:rPr>
                <w:i/>
              </w:rPr>
              <w:t xml:space="preserve">BRCA </w:t>
            </w:r>
            <w:r w:rsidRPr="005F0CE8">
              <w:t>mutation tests in TNBC patients (olaparib not available),</w:t>
            </w:r>
          </w:p>
          <w:p w14:paraId="1BD96A7C" w14:textId="77777777" w:rsidR="00672D16" w:rsidRPr="005F0CE8" w:rsidRDefault="00672D16">
            <w:pPr>
              <w:pStyle w:val="TableText0"/>
              <w:keepNext w:val="0"/>
            </w:pPr>
            <w:r w:rsidRPr="005F0CE8">
              <w:t>Current uptake Years 1−6: 74%</w:t>
            </w:r>
          </w:p>
        </w:tc>
        <w:tc>
          <w:tcPr>
            <w:tcW w:w="545" w:type="pct"/>
            <w:shd w:val="clear" w:color="auto" w:fill="auto"/>
            <w:vAlign w:val="center"/>
          </w:tcPr>
          <w:p w14:paraId="7ED6E1AC" w14:textId="2846B980" w:rsidR="00672D16" w:rsidRPr="005F0CE8" w:rsidRDefault="003A26A8">
            <w:pPr>
              <w:pStyle w:val="TableText0"/>
              <w:keepNext w:val="0"/>
              <w:jc w:val="center"/>
            </w:pPr>
            <w:r w:rsidRPr="003A26A8">
              <w:rPr>
                <w:color w:val="000000"/>
                <w:spacing w:val="190"/>
                <w:shd w:val="solid" w:color="000000" w:fill="000000"/>
                <w:fitText w:val="276" w:id="-1234442993"/>
                <w14:textFill>
                  <w14:solidFill>
                    <w14:srgbClr w14:val="000000">
                      <w14:alpha w14:val="100000"/>
                    </w14:srgbClr>
                  </w14:solidFill>
                </w14:textFill>
              </w:rPr>
              <w:t>|</w:t>
            </w:r>
            <w:r w:rsidRPr="003A26A8">
              <w:rPr>
                <w:color w:val="000000"/>
                <w:spacing w:val="1"/>
                <w:shd w:val="solid" w:color="000000" w:fill="000000"/>
                <w:fitText w:val="276" w:id="-1234442993"/>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149C8065" w14:textId="1058899E" w:rsidR="00672D16" w:rsidRPr="005F0CE8" w:rsidRDefault="003A26A8">
            <w:pPr>
              <w:pStyle w:val="TableText0"/>
              <w:keepNext w:val="0"/>
              <w:jc w:val="center"/>
            </w:pPr>
            <w:r w:rsidRPr="003A26A8">
              <w:rPr>
                <w:color w:val="000000"/>
                <w:spacing w:val="179"/>
                <w:shd w:val="solid" w:color="000000" w:fill="000000"/>
                <w:fitText w:val="265" w:id="-1234442992"/>
                <w14:textFill>
                  <w14:solidFill>
                    <w14:srgbClr w14:val="000000">
                      <w14:alpha w14:val="100000"/>
                    </w14:srgbClr>
                  </w14:solidFill>
                </w14:textFill>
              </w:rPr>
              <w:t>|</w:t>
            </w:r>
            <w:r w:rsidRPr="003A26A8">
              <w:rPr>
                <w:color w:val="000000"/>
                <w:spacing w:val="1"/>
                <w:shd w:val="solid" w:color="000000" w:fill="000000"/>
                <w:fitText w:val="265" w:id="-1234442992"/>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52F64E60" w14:textId="00593971" w:rsidR="00672D16" w:rsidRPr="005F0CE8" w:rsidRDefault="003A26A8">
            <w:pPr>
              <w:pStyle w:val="TableText0"/>
              <w:keepNext w:val="0"/>
              <w:jc w:val="center"/>
            </w:pPr>
            <w:r w:rsidRPr="003A26A8">
              <w:rPr>
                <w:color w:val="000000"/>
                <w:spacing w:val="190"/>
                <w:shd w:val="solid" w:color="000000" w:fill="000000"/>
                <w:fitText w:val="276" w:id="-1234443008"/>
                <w14:textFill>
                  <w14:solidFill>
                    <w14:srgbClr w14:val="000000">
                      <w14:alpha w14:val="100000"/>
                    </w14:srgbClr>
                  </w14:solidFill>
                </w14:textFill>
              </w:rPr>
              <w:t>|</w:t>
            </w:r>
            <w:r w:rsidRPr="003A26A8">
              <w:rPr>
                <w:color w:val="000000"/>
                <w:spacing w:val="1"/>
                <w:shd w:val="solid" w:color="000000" w:fill="000000"/>
                <w:fitText w:val="276" w:id="-1234443008"/>
                <w14:textFill>
                  <w14:solidFill>
                    <w14:srgbClr w14:val="000000">
                      <w14:alpha w14:val="100000"/>
                    </w14:srgbClr>
                  </w14:solidFill>
                </w14:textFill>
              </w:rPr>
              <w:t>|</w:t>
            </w:r>
            <w:r w:rsidR="00391805" w:rsidRPr="00026AC9">
              <w:rPr>
                <w:vertAlign w:val="superscript"/>
              </w:rPr>
              <w:t>3</w:t>
            </w:r>
          </w:p>
        </w:tc>
        <w:tc>
          <w:tcPr>
            <w:tcW w:w="546" w:type="pct"/>
            <w:shd w:val="clear" w:color="auto" w:fill="auto"/>
            <w:vAlign w:val="center"/>
          </w:tcPr>
          <w:p w14:paraId="4E298EBE" w14:textId="1D4BBE28" w:rsidR="00672D16" w:rsidRPr="005F0CE8" w:rsidRDefault="003A26A8">
            <w:pPr>
              <w:pStyle w:val="TableText0"/>
              <w:keepNext w:val="0"/>
              <w:jc w:val="center"/>
            </w:pPr>
            <w:r w:rsidRPr="003A26A8">
              <w:rPr>
                <w:color w:val="000000"/>
                <w:spacing w:val="179"/>
                <w:shd w:val="solid" w:color="000000" w:fill="000000"/>
                <w:fitText w:val="265" w:id="-1234443007"/>
                <w14:textFill>
                  <w14:solidFill>
                    <w14:srgbClr w14:val="000000">
                      <w14:alpha w14:val="100000"/>
                    </w14:srgbClr>
                  </w14:solidFill>
                </w14:textFill>
              </w:rPr>
              <w:t>|</w:t>
            </w:r>
            <w:r w:rsidRPr="003A26A8">
              <w:rPr>
                <w:color w:val="000000"/>
                <w:spacing w:val="1"/>
                <w:shd w:val="solid" w:color="000000" w:fill="000000"/>
                <w:fitText w:val="265" w:id="-1234443007"/>
                <w14:textFill>
                  <w14:solidFill>
                    <w14:srgbClr w14:val="000000">
                      <w14:alpha w14:val="100000"/>
                    </w14:srgbClr>
                  </w14:solidFill>
                </w14:textFill>
              </w:rPr>
              <w:t>|</w:t>
            </w:r>
            <w:r w:rsidR="00391805" w:rsidRPr="00026AC9">
              <w:rPr>
                <w:vertAlign w:val="superscript"/>
              </w:rPr>
              <w:t>3</w:t>
            </w:r>
          </w:p>
        </w:tc>
        <w:tc>
          <w:tcPr>
            <w:tcW w:w="545" w:type="pct"/>
            <w:shd w:val="clear" w:color="auto" w:fill="auto"/>
            <w:vAlign w:val="center"/>
          </w:tcPr>
          <w:p w14:paraId="2B55EF02" w14:textId="0C34312A" w:rsidR="00672D16" w:rsidRPr="005F0CE8" w:rsidRDefault="003A26A8">
            <w:pPr>
              <w:pStyle w:val="TableText0"/>
              <w:keepNext w:val="0"/>
              <w:jc w:val="center"/>
            </w:pPr>
            <w:r w:rsidRPr="003A26A8">
              <w:rPr>
                <w:color w:val="000000"/>
                <w:spacing w:val="191"/>
                <w:shd w:val="solid" w:color="000000" w:fill="000000"/>
                <w:fitText w:val="277" w:id="-1234443006"/>
                <w14:textFill>
                  <w14:solidFill>
                    <w14:srgbClr w14:val="000000">
                      <w14:alpha w14:val="100000"/>
                    </w14:srgbClr>
                  </w14:solidFill>
                </w14:textFill>
              </w:rPr>
              <w:t>|</w:t>
            </w:r>
            <w:r w:rsidRPr="003A26A8">
              <w:rPr>
                <w:color w:val="000000"/>
                <w:spacing w:val="1"/>
                <w:shd w:val="solid" w:color="000000" w:fill="000000"/>
                <w:fitText w:val="277" w:id="-1234443006"/>
                <w14:textFill>
                  <w14:solidFill>
                    <w14:srgbClr w14:val="000000">
                      <w14:alpha w14:val="100000"/>
                    </w14:srgbClr>
                  </w14:solidFill>
                </w14:textFill>
              </w:rPr>
              <w:t>|</w:t>
            </w:r>
            <w:r w:rsidR="00391805">
              <w:rPr>
                <w:vertAlign w:val="superscript"/>
              </w:rPr>
              <w:t>3</w:t>
            </w:r>
          </w:p>
        </w:tc>
        <w:tc>
          <w:tcPr>
            <w:tcW w:w="548" w:type="pct"/>
            <w:vAlign w:val="center"/>
          </w:tcPr>
          <w:p w14:paraId="1ABEED5B" w14:textId="1C4A40FE" w:rsidR="00672D16" w:rsidRPr="005F0CE8" w:rsidRDefault="003A26A8">
            <w:pPr>
              <w:pStyle w:val="TableText0"/>
              <w:keepNext w:val="0"/>
              <w:jc w:val="center"/>
            </w:pPr>
            <w:r w:rsidRPr="003A26A8">
              <w:rPr>
                <w:color w:val="000000"/>
                <w:spacing w:val="191"/>
                <w:shd w:val="solid" w:color="000000" w:fill="000000"/>
                <w:fitText w:val="277" w:id="-1234443005"/>
                <w14:textFill>
                  <w14:solidFill>
                    <w14:srgbClr w14:val="000000">
                      <w14:alpha w14:val="100000"/>
                    </w14:srgbClr>
                  </w14:solidFill>
                </w14:textFill>
              </w:rPr>
              <w:t>|</w:t>
            </w:r>
            <w:r w:rsidRPr="003A26A8">
              <w:rPr>
                <w:color w:val="000000"/>
                <w:spacing w:val="1"/>
                <w:shd w:val="solid" w:color="000000" w:fill="000000"/>
                <w:fitText w:val="277" w:id="-1234443005"/>
                <w14:textFill>
                  <w14:solidFill>
                    <w14:srgbClr w14:val="000000">
                      <w14:alpha w14:val="100000"/>
                    </w14:srgbClr>
                  </w14:solidFill>
                </w14:textFill>
              </w:rPr>
              <w:t>|</w:t>
            </w:r>
            <w:r w:rsidR="00391805">
              <w:rPr>
                <w:vertAlign w:val="superscript"/>
              </w:rPr>
              <w:t>3</w:t>
            </w:r>
          </w:p>
        </w:tc>
      </w:tr>
      <w:tr w:rsidR="00672D16" w:rsidRPr="005F0CE8" w14:paraId="7B429E4E" w14:textId="77777777" w:rsidTr="005F2CDD">
        <w:trPr>
          <w:cantSplit/>
        </w:trPr>
        <w:tc>
          <w:tcPr>
            <w:tcW w:w="154" w:type="pct"/>
          </w:tcPr>
          <w:p w14:paraId="2560208C" w14:textId="77777777" w:rsidR="00672D16" w:rsidRPr="005F0CE8" w:rsidRDefault="00672D16">
            <w:pPr>
              <w:pStyle w:val="TableText0"/>
              <w:keepNext w:val="0"/>
            </w:pPr>
            <w:r w:rsidRPr="005F0CE8">
              <w:t>C</w:t>
            </w:r>
          </w:p>
        </w:tc>
        <w:tc>
          <w:tcPr>
            <w:tcW w:w="1571" w:type="pct"/>
            <w:shd w:val="clear" w:color="auto" w:fill="auto"/>
            <w:vAlign w:val="center"/>
          </w:tcPr>
          <w:p w14:paraId="73CD5261" w14:textId="123AEEC9" w:rsidR="00672D16" w:rsidRPr="005F0CE8" w:rsidRDefault="00672D16">
            <w:pPr>
              <w:pStyle w:val="TableText0"/>
              <w:keepNext w:val="0"/>
            </w:pPr>
            <w:r w:rsidRPr="005F0CE8">
              <w:t>Incremental g</w:t>
            </w:r>
            <w:r w:rsidR="009E092C" w:rsidRPr="009E092C">
              <w:rPr>
                <w:i/>
              </w:rPr>
              <w:t xml:space="preserve">BRCA </w:t>
            </w:r>
            <w:r w:rsidRPr="005F0CE8">
              <w:t>mutation tests in TNBC patients (C = A – B)</w:t>
            </w:r>
          </w:p>
        </w:tc>
        <w:tc>
          <w:tcPr>
            <w:tcW w:w="545" w:type="pct"/>
            <w:shd w:val="clear" w:color="auto" w:fill="auto"/>
            <w:vAlign w:val="center"/>
          </w:tcPr>
          <w:p w14:paraId="26DE43EF" w14:textId="5CAB358A" w:rsidR="00672D16" w:rsidRPr="00391805" w:rsidRDefault="003A26A8">
            <w:pPr>
              <w:pStyle w:val="TableText0"/>
              <w:keepNext w:val="0"/>
              <w:jc w:val="center"/>
              <w:rPr>
                <w:vertAlign w:val="superscript"/>
              </w:rPr>
            </w:pPr>
            <w:r w:rsidRPr="003A26A8">
              <w:rPr>
                <w:color w:val="000000"/>
                <w:spacing w:val="190"/>
                <w:shd w:val="solid" w:color="000000" w:fill="000000"/>
                <w:fitText w:val="276" w:id="-1234443004"/>
                <w14:textFill>
                  <w14:solidFill>
                    <w14:srgbClr w14:val="000000">
                      <w14:alpha w14:val="100000"/>
                    </w14:srgbClr>
                  </w14:solidFill>
                </w14:textFill>
              </w:rPr>
              <w:t>|</w:t>
            </w:r>
            <w:r w:rsidRPr="003A26A8">
              <w:rPr>
                <w:color w:val="000000"/>
                <w:spacing w:val="1"/>
                <w:shd w:val="solid" w:color="000000" w:fill="000000"/>
                <w:fitText w:val="276" w:id="-1234443004"/>
                <w14:textFill>
                  <w14:solidFill>
                    <w14:srgbClr w14:val="000000">
                      <w14:alpha w14:val="100000"/>
                    </w14:srgbClr>
                  </w14:solidFill>
                </w14:textFill>
              </w:rPr>
              <w:t>|</w:t>
            </w:r>
            <w:r w:rsidR="00391805">
              <w:rPr>
                <w:vertAlign w:val="superscript"/>
              </w:rPr>
              <w:t>4</w:t>
            </w:r>
          </w:p>
        </w:tc>
        <w:tc>
          <w:tcPr>
            <w:tcW w:w="546" w:type="pct"/>
            <w:shd w:val="clear" w:color="auto" w:fill="auto"/>
            <w:vAlign w:val="center"/>
          </w:tcPr>
          <w:p w14:paraId="37E0E27E" w14:textId="55056803" w:rsidR="00672D16" w:rsidRPr="005F0CE8" w:rsidRDefault="003A26A8">
            <w:pPr>
              <w:pStyle w:val="TableText0"/>
              <w:keepNext w:val="0"/>
              <w:jc w:val="center"/>
            </w:pPr>
            <w:r w:rsidRPr="003A26A8">
              <w:rPr>
                <w:color w:val="000000"/>
                <w:spacing w:val="179"/>
                <w:shd w:val="solid" w:color="000000" w:fill="000000"/>
                <w:fitText w:val="265" w:id="-1234443003"/>
                <w14:textFill>
                  <w14:solidFill>
                    <w14:srgbClr w14:val="000000">
                      <w14:alpha w14:val="100000"/>
                    </w14:srgbClr>
                  </w14:solidFill>
                </w14:textFill>
              </w:rPr>
              <w:t>|</w:t>
            </w:r>
            <w:r w:rsidRPr="003A26A8">
              <w:rPr>
                <w:color w:val="000000"/>
                <w:spacing w:val="1"/>
                <w:shd w:val="solid" w:color="000000" w:fill="000000"/>
                <w:fitText w:val="265" w:id="-1234443003"/>
                <w14:textFill>
                  <w14:solidFill>
                    <w14:srgbClr w14:val="000000">
                      <w14:alpha w14:val="100000"/>
                    </w14:srgbClr>
                  </w14:solidFill>
                </w14:textFill>
              </w:rPr>
              <w:t>|</w:t>
            </w:r>
            <w:r w:rsidR="00391805">
              <w:rPr>
                <w:vertAlign w:val="superscript"/>
              </w:rPr>
              <w:t>4</w:t>
            </w:r>
          </w:p>
        </w:tc>
        <w:tc>
          <w:tcPr>
            <w:tcW w:w="545" w:type="pct"/>
            <w:shd w:val="clear" w:color="auto" w:fill="auto"/>
            <w:vAlign w:val="center"/>
          </w:tcPr>
          <w:p w14:paraId="495DDE3B" w14:textId="0EE57A31" w:rsidR="00672D16" w:rsidRPr="00026AC9" w:rsidRDefault="003A26A8">
            <w:pPr>
              <w:pStyle w:val="TableText0"/>
              <w:keepNext w:val="0"/>
              <w:jc w:val="center"/>
              <w:rPr>
                <w:highlight w:val="darkGray"/>
              </w:rPr>
            </w:pPr>
            <w:r w:rsidRPr="003A26A8">
              <w:rPr>
                <w:color w:val="000000"/>
                <w:spacing w:val="190"/>
                <w:shd w:val="solid" w:color="000000" w:fill="000000"/>
                <w:fitText w:val="276" w:id="-1234443002"/>
                <w14:textFill>
                  <w14:solidFill>
                    <w14:srgbClr w14:val="000000">
                      <w14:alpha w14:val="100000"/>
                    </w14:srgbClr>
                  </w14:solidFill>
                </w14:textFill>
              </w:rPr>
              <w:t>|</w:t>
            </w:r>
            <w:r w:rsidRPr="003A26A8">
              <w:rPr>
                <w:color w:val="000000"/>
                <w:spacing w:val="1"/>
                <w:shd w:val="solid" w:color="000000" w:fill="000000"/>
                <w:fitText w:val="276" w:id="-1234443002"/>
                <w14:textFill>
                  <w14:solidFill>
                    <w14:srgbClr w14:val="000000">
                      <w14:alpha w14:val="100000"/>
                    </w14:srgbClr>
                  </w14:solidFill>
                </w14:textFill>
              </w:rPr>
              <w:t>|</w:t>
            </w:r>
            <w:r w:rsidR="00391805" w:rsidRPr="00026AC9">
              <w:rPr>
                <w:vertAlign w:val="superscript"/>
              </w:rPr>
              <w:t>4</w:t>
            </w:r>
          </w:p>
        </w:tc>
        <w:tc>
          <w:tcPr>
            <w:tcW w:w="546" w:type="pct"/>
            <w:shd w:val="clear" w:color="auto" w:fill="auto"/>
            <w:vAlign w:val="center"/>
          </w:tcPr>
          <w:p w14:paraId="31234AD6" w14:textId="7053C4E1" w:rsidR="00672D16" w:rsidRPr="005F0CE8" w:rsidRDefault="003A26A8">
            <w:pPr>
              <w:pStyle w:val="TableText0"/>
              <w:keepNext w:val="0"/>
              <w:jc w:val="center"/>
            </w:pPr>
            <w:r w:rsidRPr="003A26A8">
              <w:rPr>
                <w:color w:val="000000"/>
                <w:spacing w:val="179"/>
                <w:shd w:val="solid" w:color="000000" w:fill="000000"/>
                <w:fitText w:val="265" w:id="-1234443001"/>
                <w14:textFill>
                  <w14:solidFill>
                    <w14:srgbClr w14:val="000000">
                      <w14:alpha w14:val="100000"/>
                    </w14:srgbClr>
                  </w14:solidFill>
                </w14:textFill>
              </w:rPr>
              <w:t>|</w:t>
            </w:r>
            <w:r w:rsidRPr="003A26A8">
              <w:rPr>
                <w:color w:val="000000"/>
                <w:spacing w:val="1"/>
                <w:shd w:val="solid" w:color="000000" w:fill="000000"/>
                <w:fitText w:val="265" w:id="-1234443001"/>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31FABF92" w14:textId="6065D3C8" w:rsidR="00672D16" w:rsidRPr="005F0CE8" w:rsidRDefault="003A26A8">
            <w:pPr>
              <w:pStyle w:val="TableText0"/>
              <w:keepNext w:val="0"/>
              <w:jc w:val="center"/>
            </w:pPr>
            <w:r w:rsidRPr="003A26A8">
              <w:rPr>
                <w:color w:val="000000"/>
                <w:spacing w:val="191"/>
                <w:shd w:val="solid" w:color="000000" w:fill="000000"/>
                <w:fitText w:val="277" w:id="-1234443000"/>
                <w14:textFill>
                  <w14:solidFill>
                    <w14:srgbClr w14:val="000000">
                      <w14:alpha w14:val="100000"/>
                    </w14:srgbClr>
                  </w14:solidFill>
                </w14:textFill>
              </w:rPr>
              <w:t>|</w:t>
            </w:r>
            <w:r w:rsidRPr="003A26A8">
              <w:rPr>
                <w:color w:val="000000"/>
                <w:spacing w:val="1"/>
                <w:shd w:val="solid" w:color="000000" w:fill="000000"/>
                <w:fitText w:val="277" w:id="-1234443000"/>
                <w14:textFill>
                  <w14:solidFill>
                    <w14:srgbClr w14:val="000000">
                      <w14:alpha w14:val="100000"/>
                    </w14:srgbClr>
                  </w14:solidFill>
                </w14:textFill>
              </w:rPr>
              <w:t>|</w:t>
            </w:r>
            <w:r w:rsidR="00391805">
              <w:rPr>
                <w:vertAlign w:val="superscript"/>
              </w:rPr>
              <w:t>3</w:t>
            </w:r>
          </w:p>
        </w:tc>
        <w:tc>
          <w:tcPr>
            <w:tcW w:w="548" w:type="pct"/>
            <w:vAlign w:val="center"/>
          </w:tcPr>
          <w:p w14:paraId="7B9416FB" w14:textId="5FAAB250" w:rsidR="00672D16" w:rsidRPr="00026AC9" w:rsidRDefault="003A26A8">
            <w:pPr>
              <w:pStyle w:val="TableText0"/>
              <w:keepNext w:val="0"/>
              <w:jc w:val="center"/>
              <w:rPr>
                <w:highlight w:val="darkGray"/>
              </w:rPr>
            </w:pPr>
            <w:r w:rsidRPr="003A26A8">
              <w:rPr>
                <w:color w:val="000000"/>
                <w:spacing w:val="191"/>
                <w:shd w:val="solid" w:color="000000" w:fill="000000"/>
                <w:fitText w:val="277" w:id="-1234442999"/>
                <w14:textFill>
                  <w14:solidFill>
                    <w14:srgbClr w14:val="000000">
                      <w14:alpha w14:val="100000"/>
                    </w14:srgbClr>
                  </w14:solidFill>
                </w14:textFill>
              </w:rPr>
              <w:t>|</w:t>
            </w:r>
            <w:r w:rsidRPr="003A26A8">
              <w:rPr>
                <w:color w:val="000000"/>
                <w:spacing w:val="1"/>
                <w:shd w:val="solid" w:color="000000" w:fill="000000"/>
                <w:fitText w:val="277" w:id="-1234442999"/>
                <w14:textFill>
                  <w14:solidFill>
                    <w14:srgbClr w14:val="000000">
                      <w14:alpha w14:val="100000"/>
                    </w14:srgbClr>
                  </w14:solidFill>
                </w14:textFill>
              </w:rPr>
              <w:t>|</w:t>
            </w:r>
            <w:r w:rsidR="00391805" w:rsidRPr="00026AC9">
              <w:rPr>
                <w:vertAlign w:val="superscript"/>
              </w:rPr>
              <w:t>3</w:t>
            </w:r>
          </w:p>
        </w:tc>
      </w:tr>
      <w:tr w:rsidR="00672D16" w:rsidRPr="005F0CE8" w14:paraId="088E3C7B" w14:textId="77777777" w:rsidTr="005F2CDD">
        <w:trPr>
          <w:cantSplit/>
        </w:trPr>
        <w:tc>
          <w:tcPr>
            <w:tcW w:w="154" w:type="pct"/>
          </w:tcPr>
          <w:p w14:paraId="45C011BE" w14:textId="77777777" w:rsidR="00672D16" w:rsidRPr="005F0CE8" w:rsidRDefault="00672D16">
            <w:pPr>
              <w:pStyle w:val="TableText0"/>
              <w:keepNext w:val="0"/>
            </w:pPr>
            <w:r w:rsidRPr="005F0CE8">
              <w:t>D</w:t>
            </w:r>
          </w:p>
        </w:tc>
        <w:tc>
          <w:tcPr>
            <w:tcW w:w="1571" w:type="pct"/>
            <w:shd w:val="clear" w:color="auto" w:fill="auto"/>
            <w:vAlign w:val="center"/>
          </w:tcPr>
          <w:p w14:paraId="74758627" w14:textId="30E30E08" w:rsidR="00672D16" w:rsidRPr="005F0CE8" w:rsidRDefault="00672D16">
            <w:pPr>
              <w:pStyle w:val="TableText0"/>
              <w:keepNext w:val="0"/>
            </w:pPr>
            <w:r w:rsidRPr="005F0CE8">
              <w:t>g</w:t>
            </w:r>
            <w:r w:rsidR="009E092C" w:rsidRPr="009E092C">
              <w:rPr>
                <w:i/>
              </w:rPr>
              <w:t xml:space="preserve">BRCA </w:t>
            </w:r>
            <w:r w:rsidRPr="005F0CE8">
              <w:t xml:space="preserve">mutation tests in HR(+)/ HER2(-) </w:t>
            </w:r>
            <w:r w:rsidR="00D6541C">
              <w:t>high-risk</w:t>
            </w:r>
            <w:r w:rsidRPr="005F0CE8">
              <w:t xml:space="preserve"> eBC patients (olaparib available), </w:t>
            </w:r>
          </w:p>
          <w:p w14:paraId="5BA88818" w14:textId="77777777" w:rsidR="00672D16" w:rsidRPr="005F0CE8" w:rsidRDefault="00672D16">
            <w:pPr>
              <w:pStyle w:val="TableText0"/>
              <w:keepNext w:val="0"/>
            </w:pPr>
            <w:r w:rsidRPr="005F0CE8">
              <w:t>Proposed uptake Years 1−6: 80−95%</w:t>
            </w:r>
          </w:p>
        </w:tc>
        <w:tc>
          <w:tcPr>
            <w:tcW w:w="545" w:type="pct"/>
            <w:shd w:val="clear" w:color="auto" w:fill="auto"/>
            <w:vAlign w:val="center"/>
          </w:tcPr>
          <w:p w14:paraId="6B79D95B" w14:textId="504511BD" w:rsidR="00672D16" w:rsidRPr="00391805" w:rsidRDefault="003A26A8">
            <w:pPr>
              <w:pStyle w:val="TableText0"/>
              <w:keepNext w:val="0"/>
              <w:jc w:val="center"/>
              <w:rPr>
                <w:vertAlign w:val="superscript"/>
              </w:rPr>
            </w:pPr>
            <w:r w:rsidRPr="003A26A8">
              <w:rPr>
                <w:color w:val="000000"/>
                <w:spacing w:val="190"/>
                <w:shd w:val="solid" w:color="000000" w:fill="000000"/>
                <w:fitText w:val="276" w:id="-1234442998"/>
                <w14:textFill>
                  <w14:solidFill>
                    <w14:srgbClr w14:val="000000">
                      <w14:alpha w14:val="100000"/>
                    </w14:srgbClr>
                  </w14:solidFill>
                </w14:textFill>
              </w:rPr>
              <w:t>|</w:t>
            </w:r>
            <w:r w:rsidRPr="003A26A8">
              <w:rPr>
                <w:color w:val="000000"/>
                <w:spacing w:val="1"/>
                <w:shd w:val="solid" w:color="000000" w:fill="000000"/>
                <w:fitText w:val="276" w:id="-1234442998"/>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3C9473B1" w14:textId="79607F5B" w:rsidR="00672D16" w:rsidRPr="005F0CE8" w:rsidRDefault="003A26A8">
            <w:pPr>
              <w:pStyle w:val="TableText0"/>
              <w:keepNext w:val="0"/>
              <w:jc w:val="center"/>
            </w:pPr>
            <w:r w:rsidRPr="003A26A8">
              <w:rPr>
                <w:color w:val="000000"/>
                <w:spacing w:val="179"/>
                <w:shd w:val="solid" w:color="000000" w:fill="000000"/>
                <w:fitText w:val="265" w:id="-1234442997"/>
                <w14:textFill>
                  <w14:solidFill>
                    <w14:srgbClr w14:val="000000">
                      <w14:alpha w14:val="100000"/>
                    </w14:srgbClr>
                  </w14:solidFill>
                </w14:textFill>
              </w:rPr>
              <w:t>|</w:t>
            </w:r>
            <w:r w:rsidRPr="003A26A8">
              <w:rPr>
                <w:color w:val="000000"/>
                <w:spacing w:val="1"/>
                <w:shd w:val="solid" w:color="000000" w:fill="000000"/>
                <w:fitText w:val="265" w:id="-1234442997"/>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26271C0D" w14:textId="306D4191" w:rsidR="00672D16" w:rsidRPr="005F0CE8" w:rsidRDefault="003A26A8">
            <w:pPr>
              <w:pStyle w:val="TableText0"/>
              <w:keepNext w:val="0"/>
              <w:jc w:val="center"/>
            </w:pPr>
            <w:r w:rsidRPr="003A26A8">
              <w:rPr>
                <w:color w:val="000000"/>
                <w:spacing w:val="190"/>
                <w:shd w:val="solid" w:color="000000" w:fill="000000"/>
                <w:fitText w:val="276" w:id="-1234442996"/>
                <w14:textFill>
                  <w14:solidFill>
                    <w14:srgbClr w14:val="000000">
                      <w14:alpha w14:val="100000"/>
                    </w14:srgbClr>
                  </w14:solidFill>
                </w14:textFill>
              </w:rPr>
              <w:t>|</w:t>
            </w:r>
            <w:r w:rsidRPr="003A26A8">
              <w:rPr>
                <w:color w:val="000000"/>
                <w:spacing w:val="1"/>
                <w:shd w:val="solid" w:color="000000" w:fill="000000"/>
                <w:fitText w:val="276" w:id="-1234442996"/>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456BF4E4" w14:textId="1BA3BC36" w:rsidR="00672D16" w:rsidRPr="005F0CE8" w:rsidRDefault="003A26A8">
            <w:pPr>
              <w:pStyle w:val="TableText0"/>
              <w:keepNext w:val="0"/>
              <w:jc w:val="center"/>
            </w:pPr>
            <w:r w:rsidRPr="003A26A8">
              <w:rPr>
                <w:color w:val="000000"/>
                <w:spacing w:val="179"/>
                <w:shd w:val="solid" w:color="000000" w:fill="000000"/>
                <w:fitText w:val="265" w:id="-1234442995"/>
                <w14:textFill>
                  <w14:solidFill>
                    <w14:srgbClr w14:val="000000">
                      <w14:alpha w14:val="100000"/>
                    </w14:srgbClr>
                  </w14:solidFill>
                </w14:textFill>
              </w:rPr>
              <w:t>|</w:t>
            </w:r>
            <w:r w:rsidRPr="003A26A8">
              <w:rPr>
                <w:color w:val="000000"/>
                <w:spacing w:val="1"/>
                <w:shd w:val="solid" w:color="000000" w:fill="000000"/>
                <w:fitText w:val="265" w:id="-1234442995"/>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599EA452" w14:textId="545B876E" w:rsidR="00672D16" w:rsidRPr="005F0CE8" w:rsidRDefault="003A26A8">
            <w:pPr>
              <w:pStyle w:val="TableText0"/>
              <w:keepNext w:val="0"/>
              <w:jc w:val="center"/>
            </w:pPr>
            <w:r w:rsidRPr="003A26A8">
              <w:rPr>
                <w:color w:val="000000"/>
                <w:spacing w:val="191"/>
                <w:shd w:val="solid" w:color="000000" w:fill="000000"/>
                <w:fitText w:val="277" w:id="-1234442994"/>
                <w14:textFill>
                  <w14:solidFill>
                    <w14:srgbClr w14:val="000000">
                      <w14:alpha w14:val="100000"/>
                    </w14:srgbClr>
                  </w14:solidFill>
                </w14:textFill>
              </w:rPr>
              <w:t>|</w:t>
            </w:r>
            <w:r w:rsidRPr="003A26A8">
              <w:rPr>
                <w:color w:val="000000"/>
                <w:spacing w:val="1"/>
                <w:shd w:val="solid" w:color="000000" w:fill="000000"/>
                <w:fitText w:val="277" w:id="-1234442994"/>
                <w14:textFill>
                  <w14:solidFill>
                    <w14:srgbClr w14:val="000000">
                      <w14:alpha w14:val="100000"/>
                    </w14:srgbClr>
                  </w14:solidFill>
                </w14:textFill>
              </w:rPr>
              <w:t>|</w:t>
            </w:r>
            <w:r w:rsidR="00391805">
              <w:rPr>
                <w:vertAlign w:val="superscript"/>
              </w:rPr>
              <w:t>5</w:t>
            </w:r>
          </w:p>
        </w:tc>
        <w:tc>
          <w:tcPr>
            <w:tcW w:w="548" w:type="pct"/>
            <w:vAlign w:val="center"/>
          </w:tcPr>
          <w:p w14:paraId="3612C14B" w14:textId="5026CDA4" w:rsidR="00672D16" w:rsidRPr="00026AC9" w:rsidRDefault="003A26A8">
            <w:pPr>
              <w:pStyle w:val="TableText0"/>
              <w:keepNext w:val="0"/>
              <w:jc w:val="center"/>
              <w:rPr>
                <w:highlight w:val="darkGray"/>
              </w:rPr>
            </w:pPr>
            <w:r w:rsidRPr="003A26A8">
              <w:rPr>
                <w:color w:val="000000"/>
                <w:spacing w:val="191"/>
                <w:shd w:val="solid" w:color="000000" w:fill="000000"/>
                <w:fitText w:val="277" w:id="-1234442993"/>
                <w14:textFill>
                  <w14:solidFill>
                    <w14:srgbClr w14:val="000000">
                      <w14:alpha w14:val="100000"/>
                    </w14:srgbClr>
                  </w14:solidFill>
                </w14:textFill>
              </w:rPr>
              <w:t>|</w:t>
            </w:r>
            <w:r w:rsidRPr="003A26A8">
              <w:rPr>
                <w:color w:val="000000"/>
                <w:spacing w:val="1"/>
                <w:shd w:val="solid" w:color="000000" w:fill="000000"/>
                <w:fitText w:val="277" w:id="-1234442993"/>
                <w14:textFill>
                  <w14:solidFill>
                    <w14:srgbClr w14:val="000000">
                      <w14:alpha w14:val="100000"/>
                    </w14:srgbClr>
                  </w14:solidFill>
                </w14:textFill>
              </w:rPr>
              <w:t>|</w:t>
            </w:r>
            <w:r w:rsidR="00391805" w:rsidRPr="00026AC9">
              <w:rPr>
                <w:vertAlign w:val="superscript"/>
              </w:rPr>
              <w:t>5</w:t>
            </w:r>
          </w:p>
        </w:tc>
      </w:tr>
      <w:tr w:rsidR="00672D16" w:rsidRPr="005F0CE8" w14:paraId="0C559BE6" w14:textId="77777777" w:rsidTr="005F2CDD">
        <w:trPr>
          <w:cantSplit/>
        </w:trPr>
        <w:tc>
          <w:tcPr>
            <w:tcW w:w="154" w:type="pct"/>
          </w:tcPr>
          <w:p w14:paraId="53B2F32E" w14:textId="77777777" w:rsidR="00672D16" w:rsidRPr="005F0CE8" w:rsidRDefault="00672D16">
            <w:pPr>
              <w:pStyle w:val="TableText0"/>
              <w:keepNext w:val="0"/>
            </w:pPr>
            <w:r w:rsidRPr="005F0CE8">
              <w:t>E</w:t>
            </w:r>
          </w:p>
        </w:tc>
        <w:tc>
          <w:tcPr>
            <w:tcW w:w="1571" w:type="pct"/>
            <w:shd w:val="clear" w:color="auto" w:fill="auto"/>
            <w:vAlign w:val="center"/>
          </w:tcPr>
          <w:p w14:paraId="132803E8" w14:textId="154F2F06" w:rsidR="00672D16" w:rsidRPr="005F0CE8" w:rsidRDefault="00672D16">
            <w:pPr>
              <w:pStyle w:val="TableText0"/>
              <w:keepNext w:val="0"/>
            </w:pPr>
            <w:r w:rsidRPr="005F0CE8">
              <w:t>g</w:t>
            </w:r>
            <w:r w:rsidR="009E092C" w:rsidRPr="009E092C">
              <w:rPr>
                <w:i/>
              </w:rPr>
              <w:t xml:space="preserve">BRCA </w:t>
            </w:r>
            <w:r w:rsidRPr="005F0CE8">
              <w:t xml:space="preserve">mutation tests in HR(+)/ HER2(-) </w:t>
            </w:r>
            <w:r w:rsidR="00D6541C">
              <w:t>high-risk</w:t>
            </w:r>
            <w:r w:rsidRPr="005F0CE8">
              <w:t xml:space="preserve"> eBC patients (olaparib not available), </w:t>
            </w:r>
          </w:p>
          <w:p w14:paraId="012A86BE" w14:textId="77777777" w:rsidR="00672D16" w:rsidRPr="005F0CE8" w:rsidRDefault="00672D16">
            <w:pPr>
              <w:pStyle w:val="TableText0"/>
              <w:keepNext w:val="0"/>
            </w:pPr>
            <w:r w:rsidRPr="005F0CE8">
              <w:t>Current Uptake Years 1−6: 74%</w:t>
            </w:r>
          </w:p>
        </w:tc>
        <w:tc>
          <w:tcPr>
            <w:tcW w:w="545" w:type="pct"/>
            <w:shd w:val="clear" w:color="auto" w:fill="auto"/>
            <w:vAlign w:val="center"/>
          </w:tcPr>
          <w:p w14:paraId="577FE7FC" w14:textId="32178579" w:rsidR="00672D16" w:rsidRPr="005F0CE8" w:rsidRDefault="003A26A8">
            <w:pPr>
              <w:pStyle w:val="TableText0"/>
              <w:keepNext w:val="0"/>
              <w:jc w:val="center"/>
            </w:pPr>
            <w:r w:rsidRPr="003A26A8">
              <w:rPr>
                <w:color w:val="000000"/>
                <w:spacing w:val="190"/>
                <w:shd w:val="solid" w:color="000000" w:fill="000000"/>
                <w:fitText w:val="276" w:id="-1234442992"/>
                <w14:textFill>
                  <w14:solidFill>
                    <w14:srgbClr w14:val="000000">
                      <w14:alpha w14:val="100000"/>
                    </w14:srgbClr>
                  </w14:solidFill>
                </w14:textFill>
              </w:rPr>
              <w:t>|</w:t>
            </w:r>
            <w:r w:rsidRPr="003A26A8">
              <w:rPr>
                <w:color w:val="000000"/>
                <w:spacing w:val="1"/>
                <w:shd w:val="solid" w:color="000000" w:fill="000000"/>
                <w:fitText w:val="276" w:id="-1234442992"/>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60F39AE5" w14:textId="12B9AFBC" w:rsidR="00672D16" w:rsidRPr="005F0CE8" w:rsidRDefault="003A26A8">
            <w:pPr>
              <w:pStyle w:val="TableText0"/>
              <w:keepNext w:val="0"/>
              <w:jc w:val="center"/>
            </w:pPr>
            <w:r w:rsidRPr="003A26A8">
              <w:rPr>
                <w:color w:val="000000"/>
                <w:spacing w:val="179"/>
                <w:shd w:val="solid" w:color="000000" w:fill="000000"/>
                <w:fitText w:val="265" w:id="-1234443008"/>
                <w14:textFill>
                  <w14:solidFill>
                    <w14:srgbClr w14:val="000000">
                      <w14:alpha w14:val="100000"/>
                    </w14:srgbClr>
                  </w14:solidFill>
                </w14:textFill>
              </w:rPr>
              <w:t>|</w:t>
            </w:r>
            <w:r w:rsidRPr="003A26A8">
              <w:rPr>
                <w:color w:val="000000"/>
                <w:spacing w:val="1"/>
                <w:shd w:val="solid" w:color="000000" w:fill="000000"/>
                <w:fitText w:val="265" w:id="-1234443008"/>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7C8A1B27" w14:textId="77C28EA8" w:rsidR="00672D16" w:rsidRPr="005F0CE8" w:rsidRDefault="003A26A8">
            <w:pPr>
              <w:pStyle w:val="TableText0"/>
              <w:keepNext w:val="0"/>
              <w:jc w:val="center"/>
            </w:pPr>
            <w:r w:rsidRPr="003A26A8">
              <w:rPr>
                <w:color w:val="000000"/>
                <w:spacing w:val="190"/>
                <w:shd w:val="solid" w:color="000000" w:fill="000000"/>
                <w:fitText w:val="276" w:id="-1234443007"/>
                <w14:textFill>
                  <w14:solidFill>
                    <w14:srgbClr w14:val="000000">
                      <w14:alpha w14:val="100000"/>
                    </w14:srgbClr>
                  </w14:solidFill>
                </w14:textFill>
              </w:rPr>
              <w:t>|</w:t>
            </w:r>
            <w:r w:rsidRPr="003A26A8">
              <w:rPr>
                <w:color w:val="000000"/>
                <w:spacing w:val="1"/>
                <w:shd w:val="solid" w:color="000000" w:fill="000000"/>
                <w:fitText w:val="276" w:id="-1234443007"/>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5940B0CF" w14:textId="1F917791" w:rsidR="00672D16" w:rsidRPr="005F0CE8" w:rsidRDefault="003A26A8">
            <w:pPr>
              <w:pStyle w:val="TableText0"/>
              <w:keepNext w:val="0"/>
              <w:jc w:val="center"/>
            </w:pPr>
            <w:r w:rsidRPr="003A26A8">
              <w:rPr>
                <w:color w:val="000000"/>
                <w:spacing w:val="179"/>
                <w:shd w:val="solid" w:color="000000" w:fill="000000"/>
                <w:fitText w:val="265" w:id="-1234443006"/>
                <w14:textFill>
                  <w14:solidFill>
                    <w14:srgbClr w14:val="000000">
                      <w14:alpha w14:val="100000"/>
                    </w14:srgbClr>
                  </w14:solidFill>
                </w14:textFill>
              </w:rPr>
              <w:t>|</w:t>
            </w:r>
            <w:r w:rsidRPr="003A26A8">
              <w:rPr>
                <w:color w:val="000000"/>
                <w:spacing w:val="1"/>
                <w:shd w:val="solid" w:color="000000" w:fill="000000"/>
                <w:fitText w:val="265" w:id="-1234443006"/>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21CBE8F7" w14:textId="14EE540F" w:rsidR="00672D16" w:rsidRPr="005F0CE8" w:rsidRDefault="003A26A8">
            <w:pPr>
              <w:pStyle w:val="TableText0"/>
              <w:keepNext w:val="0"/>
              <w:jc w:val="center"/>
            </w:pPr>
            <w:r w:rsidRPr="003A26A8">
              <w:rPr>
                <w:color w:val="000000"/>
                <w:spacing w:val="191"/>
                <w:shd w:val="solid" w:color="000000" w:fill="000000"/>
                <w:fitText w:val="277" w:id="-1234443005"/>
                <w14:textFill>
                  <w14:solidFill>
                    <w14:srgbClr w14:val="000000">
                      <w14:alpha w14:val="100000"/>
                    </w14:srgbClr>
                  </w14:solidFill>
                </w14:textFill>
              </w:rPr>
              <w:t>|</w:t>
            </w:r>
            <w:r w:rsidRPr="003A26A8">
              <w:rPr>
                <w:color w:val="000000"/>
                <w:spacing w:val="1"/>
                <w:shd w:val="solid" w:color="000000" w:fill="000000"/>
                <w:fitText w:val="277" w:id="-1234443005"/>
                <w14:textFill>
                  <w14:solidFill>
                    <w14:srgbClr w14:val="000000">
                      <w14:alpha w14:val="100000"/>
                    </w14:srgbClr>
                  </w14:solidFill>
                </w14:textFill>
              </w:rPr>
              <w:t>|</w:t>
            </w:r>
            <w:r w:rsidR="00391805">
              <w:rPr>
                <w:vertAlign w:val="superscript"/>
              </w:rPr>
              <w:t>5</w:t>
            </w:r>
          </w:p>
        </w:tc>
        <w:tc>
          <w:tcPr>
            <w:tcW w:w="548" w:type="pct"/>
            <w:vAlign w:val="center"/>
          </w:tcPr>
          <w:p w14:paraId="26B5178F" w14:textId="5A37E049" w:rsidR="00672D16" w:rsidRPr="005F0CE8" w:rsidRDefault="003A26A8">
            <w:pPr>
              <w:pStyle w:val="TableText0"/>
              <w:keepNext w:val="0"/>
              <w:jc w:val="center"/>
            </w:pPr>
            <w:r w:rsidRPr="003A26A8">
              <w:rPr>
                <w:color w:val="000000"/>
                <w:spacing w:val="191"/>
                <w:shd w:val="solid" w:color="000000" w:fill="000000"/>
                <w:fitText w:val="277" w:id="-1234443004"/>
                <w14:textFill>
                  <w14:solidFill>
                    <w14:srgbClr w14:val="000000">
                      <w14:alpha w14:val="100000"/>
                    </w14:srgbClr>
                  </w14:solidFill>
                </w14:textFill>
              </w:rPr>
              <w:t>|</w:t>
            </w:r>
            <w:r w:rsidRPr="003A26A8">
              <w:rPr>
                <w:color w:val="000000"/>
                <w:spacing w:val="1"/>
                <w:shd w:val="solid" w:color="000000" w:fill="000000"/>
                <w:fitText w:val="277" w:id="-1234443004"/>
                <w14:textFill>
                  <w14:solidFill>
                    <w14:srgbClr w14:val="000000">
                      <w14:alpha w14:val="100000"/>
                    </w14:srgbClr>
                  </w14:solidFill>
                </w14:textFill>
              </w:rPr>
              <w:t>|</w:t>
            </w:r>
            <w:r w:rsidR="00391805">
              <w:rPr>
                <w:vertAlign w:val="superscript"/>
              </w:rPr>
              <w:t>5</w:t>
            </w:r>
          </w:p>
        </w:tc>
      </w:tr>
      <w:tr w:rsidR="00672D16" w:rsidRPr="005F0CE8" w14:paraId="7BCECB44" w14:textId="77777777" w:rsidTr="005F2CDD">
        <w:trPr>
          <w:cantSplit/>
        </w:trPr>
        <w:tc>
          <w:tcPr>
            <w:tcW w:w="154" w:type="pct"/>
          </w:tcPr>
          <w:p w14:paraId="4B4A7CF4" w14:textId="77777777" w:rsidR="00672D16" w:rsidRPr="005F0CE8" w:rsidRDefault="00672D16">
            <w:pPr>
              <w:pStyle w:val="TableText0"/>
              <w:keepNext w:val="0"/>
            </w:pPr>
            <w:r w:rsidRPr="005F0CE8">
              <w:t>F</w:t>
            </w:r>
          </w:p>
        </w:tc>
        <w:tc>
          <w:tcPr>
            <w:tcW w:w="1571" w:type="pct"/>
            <w:shd w:val="clear" w:color="auto" w:fill="auto"/>
          </w:tcPr>
          <w:p w14:paraId="03A8718A" w14:textId="3D6FA306" w:rsidR="00672D16" w:rsidRPr="005F0CE8" w:rsidRDefault="00672D16">
            <w:pPr>
              <w:pStyle w:val="TableText0"/>
              <w:keepNext w:val="0"/>
            </w:pPr>
            <w:r w:rsidRPr="005F0CE8">
              <w:t>Incremental g</w:t>
            </w:r>
            <w:r w:rsidR="009E092C" w:rsidRPr="009E092C">
              <w:rPr>
                <w:i/>
              </w:rPr>
              <w:t xml:space="preserve">BRCA </w:t>
            </w:r>
            <w:r w:rsidRPr="005F0CE8">
              <w:t xml:space="preserve">mutation tests in </w:t>
            </w:r>
            <w:r w:rsidR="00D6541C">
              <w:t>High-risk</w:t>
            </w:r>
            <w:r w:rsidRPr="005F0CE8">
              <w:t xml:space="preserve"> HR+/HER2- patients </w:t>
            </w:r>
          </w:p>
          <w:p w14:paraId="701866E3" w14:textId="77777777" w:rsidR="00672D16" w:rsidRPr="005F0CE8" w:rsidRDefault="00672D16">
            <w:pPr>
              <w:pStyle w:val="TableText0"/>
              <w:keepNext w:val="0"/>
            </w:pPr>
            <w:r w:rsidRPr="005F0CE8">
              <w:t>(F = D – E)</w:t>
            </w:r>
          </w:p>
        </w:tc>
        <w:tc>
          <w:tcPr>
            <w:tcW w:w="545" w:type="pct"/>
            <w:shd w:val="clear" w:color="auto" w:fill="auto"/>
            <w:vAlign w:val="center"/>
          </w:tcPr>
          <w:p w14:paraId="733015A9" w14:textId="61527042" w:rsidR="00672D16" w:rsidRPr="005F0CE8" w:rsidRDefault="003A26A8">
            <w:pPr>
              <w:pStyle w:val="TableText0"/>
              <w:keepNext w:val="0"/>
              <w:jc w:val="center"/>
            </w:pPr>
            <w:r w:rsidRPr="003A26A8">
              <w:rPr>
                <w:color w:val="000000"/>
                <w:spacing w:val="190"/>
                <w:shd w:val="solid" w:color="000000" w:fill="000000"/>
                <w:fitText w:val="276" w:id="-1234443003"/>
                <w14:textFill>
                  <w14:solidFill>
                    <w14:srgbClr w14:val="000000">
                      <w14:alpha w14:val="100000"/>
                    </w14:srgbClr>
                  </w14:solidFill>
                </w14:textFill>
              </w:rPr>
              <w:t>|</w:t>
            </w:r>
            <w:r w:rsidRPr="003A26A8">
              <w:rPr>
                <w:color w:val="000000"/>
                <w:spacing w:val="1"/>
                <w:shd w:val="solid" w:color="000000" w:fill="000000"/>
                <w:fitText w:val="276" w:id="-1234443003"/>
                <w14:textFill>
                  <w14:solidFill>
                    <w14:srgbClr w14:val="000000">
                      <w14:alpha w14:val="100000"/>
                    </w14:srgbClr>
                  </w14:solidFill>
                </w14:textFill>
              </w:rPr>
              <w:t>|</w:t>
            </w:r>
            <w:r w:rsidR="00391805">
              <w:rPr>
                <w:vertAlign w:val="superscript"/>
              </w:rPr>
              <w:t>4</w:t>
            </w:r>
          </w:p>
        </w:tc>
        <w:tc>
          <w:tcPr>
            <w:tcW w:w="546" w:type="pct"/>
            <w:shd w:val="clear" w:color="auto" w:fill="auto"/>
            <w:vAlign w:val="center"/>
          </w:tcPr>
          <w:p w14:paraId="16BBF6B3" w14:textId="6F6A3247" w:rsidR="00672D16" w:rsidRPr="005F0CE8" w:rsidRDefault="003A26A8">
            <w:pPr>
              <w:pStyle w:val="TableText0"/>
              <w:keepNext w:val="0"/>
              <w:jc w:val="center"/>
            </w:pPr>
            <w:r w:rsidRPr="003A26A8">
              <w:rPr>
                <w:color w:val="000000"/>
                <w:spacing w:val="179"/>
                <w:shd w:val="solid" w:color="000000" w:fill="000000"/>
                <w:fitText w:val="265" w:id="-1234443002"/>
                <w14:textFill>
                  <w14:solidFill>
                    <w14:srgbClr w14:val="000000">
                      <w14:alpha w14:val="100000"/>
                    </w14:srgbClr>
                  </w14:solidFill>
                </w14:textFill>
              </w:rPr>
              <w:t>|</w:t>
            </w:r>
            <w:r w:rsidRPr="003A26A8">
              <w:rPr>
                <w:color w:val="000000"/>
                <w:spacing w:val="1"/>
                <w:shd w:val="solid" w:color="000000" w:fill="000000"/>
                <w:fitText w:val="265" w:id="-1234443002"/>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43F3DFB5" w14:textId="35746F4E" w:rsidR="00672D16" w:rsidRPr="005F0CE8" w:rsidRDefault="003A26A8">
            <w:pPr>
              <w:pStyle w:val="TableText0"/>
              <w:keepNext w:val="0"/>
              <w:jc w:val="center"/>
            </w:pPr>
            <w:r w:rsidRPr="003A26A8">
              <w:rPr>
                <w:color w:val="000000"/>
                <w:spacing w:val="190"/>
                <w:shd w:val="solid" w:color="000000" w:fill="000000"/>
                <w:fitText w:val="276" w:id="-1234443001"/>
                <w14:textFill>
                  <w14:solidFill>
                    <w14:srgbClr w14:val="000000">
                      <w14:alpha w14:val="100000"/>
                    </w14:srgbClr>
                  </w14:solidFill>
                </w14:textFill>
              </w:rPr>
              <w:t>|</w:t>
            </w:r>
            <w:r w:rsidRPr="003A26A8">
              <w:rPr>
                <w:color w:val="000000"/>
                <w:spacing w:val="1"/>
                <w:shd w:val="solid" w:color="000000" w:fill="000000"/>
                <w:fitText w:val="276" w:id="-1234443001"/>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7DDA02CF" w14:textId="76231E0E" w:rsidR="00672D16" w:rsidRPr="005F0CE8" w:rsidRDefault="003A26A8">
            <w:pPr>
              <w:pStyle w:val="TableText0"/>
              <w:keepNext w:val="0"/>
              <w:jc w:val="center"/>
            </w:pPr>
            <w:r w:rsidRPr="003A26A8">
              <w:rPr>
                <w:color w:val="000000"/>
                <w:spacing w:val="179"/>
                <w:shd w:val="solid" w:color="000000" w:fill="000000"/>
                <w:fitText w:val="265" w:id="-1234443000"/>
                <w14:textFill>
                  <w14:solidFill>
                    <w14:srgbClr w14:val="000000">
                      <w14:alpha w14:val="100000"/>
                    </w14:srgbClr>
                  </w14:solidFill>
                </w14:textFill>
              </w:rPr>
              <w:t>|</w:t>
            </w:r>
            <w:r w:rsidRPr="003A26A8">
              <w:rPr>
                <w:color w:val="000000"/>
                <w:spacing w:val="1"/>
                <w:shd w:val="solid" w:color="000000" w:fill="000000"/>
                <w:fitText w:val="265" w:id="-1234443000"/>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2FAABA28" w14:textId="1E742888" w:rsidR="00672D16" w:rsidRPr="005F0CE8" w:rsidRDefault="003A26A8">
            <w:pPr>
              <w:pStyle w:val="TableText0"/>
              <w:keepNext w:val="0"/>
              <w:jc w:val="center"/>
            </w:pPr>
            <w:r w:rsidRPr="003A26A8">
              <w:rPr>
                <w:color w:val="000000"/>
                <w:spacing w:val="191"/>
                <w:shd w:val="solid" w:color="000000" w:fill="000000"/>
                <w:fitText w:val="277" w:id="-1234442999"/>
                <w14:textFill>
                  <w14:solidFill>
                    <w14:srgbClr w14:val="000000">
                      <w14:alpha w14:val="100000"/>
                    </w14:srgbClr>
                  </w14:solidFill>
                </w14:textFill>
              </w:rPr>
              <w:t>|</w:t>
            </w:r>
            <w:r w:rsidRPr="003A26A8">
              <w:rPr>
                <w:color w:val="000000"/>
                <w:spacing w:val="1"/>
                <w:shd w:val="solid" w:color="000000" w:fill="000000"/>
                <w:fitText w:val="277" w:id="-1234442999"/>
                <w14:textFill>
                  <w14:solidFill>
                    <w14:srgbClr w14:val="000000">
                      <w14:alpha w14:val="100000"/>
                    </w14:srgbClr>
                  </w14:solidFill>
                </w14:textFill>
              </w:rPr>
              <w:t>|</w:t>
            </w:r>
            <w:r w:rsidR="00391805">
              <w:rPr>
                <w:vertAlign w:val="superscript"/>
              </w:rPr>
              <w:t>3</w:t>
            </w:r>
          </w:p>
        </w:tc>
        <w:tc>
          <w:tcPr>
            <w:tcW w:w="548" w:type="pct"/>
            <w:vAlign w:val="center"/>
          </w:tcPr>
          <w:p w14:paraId="43B46D38" w14:textId="29B3729A" w:rsidR="00672D16" w:rsidRPr="005F0CE8" w:rsidRDefault="003A26A8">
            <w:pPr>
              <w:pStyle w:val="TableText0"/>
              <w:keepNext w:val="0"/>
              <w:jc w:val="center"/>
            </w:pPr>
            <w:r w:rsidRPr="003A26A8">
              <w:rPr>
                <w:color w:val="000000"/>
                <w:spacing w:val="191"/>
                <w:shd w:val="solid" w:color="000000" w:fill="000000"/>
                <w:fitText w:val="277" w:id="-1234442998"/>
                <w14:textFill>
                  <w14:solidFill>
                    <w14:srgbClr w14:val="000000">
                      <w14:alpha w14:val="100000"/>
                    </w14:srgbClr>
                  </w14:solidFill>
                </w14:textFill>
              </w:rPr>
              <w:t>|</w:t>
            </w:r>
            <w:r w:rsidRPr="003A26A8">
              <w:rPr>
                <w:color w:val="000000"/>
                <w:spacing w:val="1"/>
                <w:shd w:val="solid" w:color="000000" w:fill="000000"/>
                <w:fitText w:val="277" w:id="-1234442998"/>
                <w14:textFill>
                  <w14:solidFill>
                    <w14:srgbClr w14:val="000000">
                      <w14:alpha w14:val="100000"/>
                    </w14:srgbClr>
                  </w14:solidFill>
                </w14:textFill>
              </w:rPr>
              <w:t>|</w:t>
            </w:r>
            <w:r w:rsidR="00391805">
              <w:rPr>
                <w:vertAlign w:val="superscript"/>
              </w:rPr>
              <w:t>3</w:t>
            </w:r>
          </w:p>
        </w:tc>
      </w:tr>
      <w:tr w:rsidR="00672D16" w:rsidRPr="005F0CE8" w14:paraId="171BC7F0" w14:textId="77777777" w:rsidTr="005F2CDD">
        <w:trPr>
          <w:cantSplit/>
        </w:trPr>
        <w:tc>
          <w:tcPr>
            <w:tcW w:w="154" w:type="pct"/>
          </w:tcPr>
          <w:p w14:paraId="4758EC4F" w14:textId="77777777" w:rsidR="00672D16" w:rsidRPr="005F0CE8" w:rsidRDefault="00672D16">
            <w:pPr>
              <w:pStyle w:val="TableText0"/>
              <w:keepNext w:val="0"/>
            </w:pPr>
            <w:r w:rsidRPr="005F0CE8">
              <w:t>G</w:t>
            </w:r>
          </w:p>
        </w:tc>
        <w:tc>
          <w:tcPr>
            <w:tcW w:w="1571" w:type="pct"/>
            <w:shd w:val="clear" w:color="auto" w:fill="auto"/>
            <w:vAlign w:val="center"/>
          </w:tcPr>
          <w:p w14:paraId="396E6F3D" w14:textId="77777777" w:rsidR="00672D16" w:rsidRPr="005F0CE8" w:rsidRDefault="00672D16">
            <w:pPr>
              <w:pStyle w:val="TableText0"/>
              <w:keepNext w:val="0"/>
            </w:pPr>
            <w:r w:rsidRPr="005F0CE8">
              <w:t xml:space="preserve">Total number of patients tested (proposed) (olaparib available) </w:t>
            </w:r>
          </w:p>
          <w:p w14:paraId="5CAE3726" w14:textId="77777777" w:rsidR="00672D16" w:rsidRPr="005F0CE8" w:rsidRDefault="00672D16">
            <w:pPr>
              <w:pStyle w:val="TableText0"/>
              <w:keepNext w:val="0"/>
              <w:rPr>
                <w:rFonts w:ascii="Times" w:hAnsi="Times"/>
              </w:rPr>
            </w:pPr>
            <w:r w:rsidRPr="005F0CE8">
              <w:t xml:space="preserve">(G = A + D) </w:t>
            </w:r>
          </w:p>
        </w:tc>
        <w:tc>
          <w:tcPr>
            <w:tcW w:w="545" w:type="pct"/>
            <w:shd w:val="clear" w:color="auto" w:fill="auto"/>
            <w:vAlign w:val="center"/>
          </w:tcPr>
          <w:p w14:paraId="22868B4B" w14:textId="562CF308" w:rsidR="00672D16" w:rsidRPr="005F0CE8" w:rsidRDefault="003A26A8">
            <w:pPr>
              <w:pStyle w:val="TableText0"/>
              <w:keepNext w:val="0"/>
              <w:jc w:val="center"/>
              <w:rPr>
                <w:color w:val="000000"/>
              </w:rPr>
            </w:pPr>
            <w:r w:rsidRPr="003A26A8">
              <w:rPr>
                <w:color w:val="000000"/>
                <w:spacing w:val="190"/>
                <w:shd w:val="solid" w:color="000000" w:fill="000000"/>
                <w:fitText w:val="276" w:id="-1234442997"/>
                <w14:textFill>
                  <w14:solidFill>
                    <w14:srgbClr w14:val="000000">
                      <w14:alpha w14:val="100000"/>
                    </w14:srgbClr>
                  </w14:solidFill>
                </w14:textFill>
              </w:rPr>
              <w:t>|</w:t>
            </w:r>
            <w:r w:rsidRPr="003A26A8">
              <w:rPr>
                <w:color w:val="000000"/>
                <w:spacing w:val="1"/>
                <w:shd w:val="solid" w:color="000000" w:fill="000000"/>
                <w:fitText w:val="276" w:id="-1234442997"/>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1E9A7199" w14:textId="3F64C8AD" w:rsidR="00672D16" w:rsidRPr="005F0CE8" w:rsidRDefault="003A26A8">
            <w:pPr>
              <w:pStyle w:val="TableText0"/>
              <w:keepNext w:val="0"/>
              <w:jc w:val="center"/>
              <w:rPr>
                <w:color w:val="000000"/>
              </w:rPr>
            </w:pPr>
            <w:r w:rsidRPr="003A26A8">
              <w:rPr>
                <w:color w:val="000000"/>
                <w:spacing w:val="179"/>
                <w:shd w:val="solid" w:color="000000" w:fill="000000"/>
                <w:fitText w:val="265" w:id="-1234442996"/>
                <w14:textFill>
                  <w14:solidFill>
                    <w14:srgbClr w14:val="000000">
                      <w14:alpha w14:val="100000"/>
                    </w14:srgbClr>
                  </w14:solidFill>
                </w14:textFill>
              </w:rPr>
              <w:t>|</w:t>
            </w:r>
            <w:r w:rsidRPr="003A26A8">
              <w:rPr>
                <w:color w:val="000000"/>
                <w:spacing w:val="1"/>
                <w:shd w:val="solid" w:color="000000" w:fill="000000"/>
                <w:fitText w:val="265" w:id="-1234442996"/>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2604BAA6" w14:textId="174A489D" w:rsidR="00672D16" w:rsidRPr="005F0CE8" w:rsidRDefault="003A26A8">
            <w:pPr>
              <w:pStyle w:val="TableText0"/>
              <w:keepNext w:val="0"/>
              <w:jc w:val="center"/>
              <w:rPr>
                <w:color w:val="000000"/>
              </w:rPr>
            </w:pPr>
            <w:r w:rsidRPr="003A26A8">
              <w:rPr>
                <w:color w:val="000000"/>
                <w:spacing w:val="190"/>
                <w:shd w:val="solid" w:color="000000" w:fill="000000"/>
                <w:fitText w:val="276" w:id="-1234442995"/>
                <w14:textFill>
                  <w14:solidFill>
                    <w14:srgbClr w14:val="000000">
                      <w14:alpha w14:val="100000"/>
                    </w14:srgbClr>
                  </w14:solidFill>
                </w14:textFill>
              </w:rPr>
              <w:t>|</w:t>
            </w:r>
            <w:r w:rsidRPr="003A26A8">
              <w:rPr>
                <w:color w:val="000000"/>
                <w:spacing w:val="1"/>
                <w:shd w:val="solid" w:color="000000" w:fill="000000"/>
                <w:fitText w:val="276" w:id="-1234442995"/>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1E793166" w14:textId="300D8AC9" w:rsidR="00672D16" w:rsidRPr="005F0CE8" w:rsidRDefault="003A26A8">
            <w:pPr>
              <w:pStyle w:val="TableText0"/>
              <w:keepNext w:val="0"/>
              <w:jc w:val="center"/>
              <w:rPr>
                <w:color w:val="000000"/>
              </w:rPr>
            </w:pPr>
            <w:r w:rsidRPr="003A26A8">
              <w:rPr>
                <w:color w:val="000000"/>
                <w:spacing w:val="179"/>
                <w:shd w:val="solid" w:color="000000" w:fill="000000"/>
                <w:fitText w:val="265" w:id="-1234442994"/>
                <w14:textFill>
                  <w14:solidFill>
                    <w14:srgbClr w14:val="000000">
                      <w14:alpha w14:val="100000"/>
                    </w14:srgbClr>
                  </w14:solidFill>
                </w14:textFill>
              </w:rPr>
              <w:t>|</w:t>
            </w:r>
            <w:r w:rsidRPr="003A26A8">
              <w:rPr>
                <w:color w:val="000000"/>
                <w:spacing w:val="1"/>
                <w:shd w:val="solid" w:color="000000" w:fill="000000"/>
                <w:fitText w:val="265" w:id="-1234442994"/>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2A68C749" w14:textId="60AFAE5C" w:rsidR="00672D16" w:rsidRPr="005F0CE8" w:rsidRDefault="003A26A8">
            <w:pPr>
              <w:pStyle w:val="TableText0"/>
              <w:keepNext w:val="0"/>
              <w:jc w:val="center"/>
              <w:rPr>
                <w:color w:val="000000"/>
              </w:rPr>
            </w:pPr>
            <w:r w:rsidRPr="003A26A8">
              <w:rPr>
                <w:color w:val="000000"/>
                <w:spacing w:val="191"/>
                <w:shd w:val="solid" w:color="000000" w:fill="000000"/>
                <w:fitText w:val="277" w:id="-1234442993"/>
                <w14:textFill>
                  <w14:solidFill>
                    <w14:srgbClr w14:val="000000">
                      <w14:alpha w14:val="100000"/>
                    </w14:srgbClr>
                  </w14:solidFill>
                </w14:textFill>
              </w:rPr>
              <w:t>|</w:t>
            </w:r>
            <w:r w:rsidRPr="003A26A8">
              <w:rPr>
                <w:color w:val="000000"/>
                <w:spacing w:val="1"/>
                <w:shd w:val="solid" w:color="000000" w:fill="000000"/>
                <w:fitText w:val="277" w:id="-1234442993"/>
                <w14:textFill>
                  <w14:solidFill>
                    <w14:srgbClr w14:val="000000">
                      <w14:alpha w14:val="100000"/>
                    </w14:srgbClr>
                  </w14:solidFill>
                </w14:textFill>
              </w:rPr>
              <w:t>|</w:t>
            </w:r>
            <w:r w:rsidR="00391805">
              <w:rPr>
                <w:vertAlign w:val="superscript"/>
              </w:rPr>
              <w:t>5</w:t>
            </w:r>
          </w:p>
        </w:tc>
        <w:tc>
          <w:tcPr>
            <w:tcW w:w="548" w:type="pct"/>
            <w:vAlign w:val="center"/>
          </w:tcPr>
          <w:p w14:paraId="10B1FBF6" w14:textId="324D1170" w:rsidR="00672D16" w:rsidRPr="005F0CE8" w:rsidRDefault="003A26A8">
            <w:pPr>
              <w:pStyle w:val="TableText0"/>
              <w:keepNext w:val="0"/>
              <w:jc w:val="center"/>
              <w:rPr>
                <w:color w:val="000000"/>
              </w:rPr>
            </w:pPr>
            <w:r w:rsidRPr="003A26A8">
              <w:rPr>
                <w:color w:val="000000"/>
                <w:spacing w:val="191"/>
                <w:shd w:val="solid" w:color="000000" w:fill="000000"/>
                <w:fitText w:val="277" w:id="-1234442992"/>
                <w14:textFill>
                  <w14:solidFill>
                    <w14:srgbClr w14:val="000000">
                      <w14:alpha w14:val="100000"/>
                    </w14:srgbClr>
                  </w14:solidFill>
                </w14:textFill>
              </w:rPr>
              <w:t>|</w:t>
            </w:r>
            <w:r w:rsidRPr="003A26A8">
              <w:rPr>
                <w:color w:val="000000"/>
                <w:spacing w:val="1"/>
                <w:shd w:val="solid" w:color="000000" w:fill="000000"/>
                <w:fitText w:val="277" w:id="-1234442992"/>
                <w14:textFill>
                  <w14:solidFill>
                    <w14:srgbClr w14:val="000000">
                      <w14:alpha w14:val="100000"/>
                    </w14:srgbClr>
                  </w14:solidFill>
                </w14:textFill>
              </w:rPr>
              <w:t>|</w:t>
            </w:r>
            <w:r w:rsidR="00391805">
              <w:rPr>
                <w:vertAlign w:val="superscript"/>
              </w:rPr>
              <w:t>5</w:t>
            </w:r>
          </w:p>
        </w:tc>
      </w:tr>
      <w:tr w:rsidR="00672D16" w:rsidRPr="005F0CE8" w14:paraId="37DBEE61" w14:textId="77777777" w:rsidTr="005F2CDD">
        <w:trPr>
          <w:cantSplit/>
        </w:trPr>
        <w:tc>
          <w:tcPr>
            <w:tcW w:w="154" w:type="pct"/>
          </w:tcPr>
          <w:p w14:paraId="1FD2052D" w14:textId="77777777" w:rsidR="00672D16" w:rsidRPr="005F0CE8" w:rsidRDefault="00672D16">
            <w:pPr>
              <w:pStyle w:val="TableText0"/>
              <w:keepNext w:val="0"/>
            </w:pPr>
            <w:r w:rsidRPr="005F0CE8">
              <w:t>H</w:t>
            </w:r>
          </w:p>
        </w:tc>
        <w:tc>
          <w:tcPr>
            <w:tcW w:w="1571" w:type="pct"/>
            <w:shd w:val="clear" w:color="auto" w:fill="auto"/>
            <w:vAlign w:val="center"/>
          </w:tcPr>
          <w:p w14:paraId="571D51A8" w14:textId="77777777" w:rsidR="00672D16" w:rsidRPr="005F0CE8" w:rsidRDefault="00672D16">
            <w:pPr>
              <w:pStyle w:val="TableText0"/>
              <w:keepNext w:val="0"/>
            </w:pPr>
            <w:r w:rsidRPr="005F0CE8">
              <w:t>Total no. patients tested (current) (olaparib not available) (H = B + E)</w:t>
            </w:r>
          </w:p>
        </w:tc>
        <w:tc>
          <w:tcPr>
            <w:tcW w:w="545" w:type="pct"/>
            <w:shd w:val="clear" w:color="auto" w:fill="auto"/>
            <w:vAlign w:val="center"/>
          </w:tcPr>
          <w:p w14:paraId="1AD290B8" w14:textId="6BC6FA6B" w:rsidR="00672D16" w:rsidRPr="005F0CE8" w:rsidRDefault="003A26A8">
            <w:pPr>
              <w:pStyle w:val="TableText0"/>
              <w:keepNext w:val="0"/>
              <w:jc w:val="center"/>
            </w:pPr>
            <w:r w:rsidRPr="003A26A8">
              <w:rPr>
                <w:color w:val="000000"/>
                <w:spacing w:val="190"/>
                <w:shd w:val="solid" w:color="000000" w:fill="000000"/>
                <w:fitText w:val="276" w:id="-1234443008"/>
                <w14:textFill>
                  <w14:solidFill>
                    <w14:srgbClr w14:val="000000">
                      <w14:alpha w14:val="100000"/>
                    </w14:srgbClr>
                  </w14:solidFill>
                </w14:textFill>
              </w:rPr>
              <w:t>|</w:t>
            </w:r>
            <w:r w:rsidRPr="003A26A8">
              <w:rPr>
                <w:color w:val="000000"/>
                <w:spacing w:val="1"/>
                <w:shd w:val="solid" w:color="000000" w:fill="000000"/>
                <w:fitText w:val="276" w:id="-1234443008"/>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1B06B1E5" w14:textId="25FF3232" w:rsidR="00672D16" w:rsidRPr="005F0CE8" w:rsidRDefault="003A26A8">
            <w:pPr>
              <w:pStyle w:val="TableText0"/>
              <w:keepNext w:val="0"/>
              <w:jc w:val="center"/>
            </w:pPr>
            <w:r w:rsidRPr="003A26A8">
              <w:rPr>
                <w:color w:val="000000"/>
                <w:spacing w:val="179"/>
                <w:shd w:val="solid" w:color="000000" w:fill="000000"/>
                <w:fitText w:val="265" w:id="-1234443007"/>
                <w14:textFill>
                  <w14:solidFill>
                    <w14:srgbClr w14:val="000000">
                      <w14:alpha w14:val="100000"/>
                    </w14:srgbClr>
                  </w14:solidFill>
                </w14:textFill>
              </w:rPr>
              <w:t>|</w:t>
            </w:r>
            <w:r w:rsidRPr="003A26A8">
              <w:rPr>
                <w:color w:val="000000"/>
                <w:spacing w:val="1"/>
                <w:shd w:val="solid" w:color="000000" w:fill="000000"/>
                <w:fitText w:val="265" w:id="-1234443007"/>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6AE369DE" w14:textId="5022EC5E" w:rsidR="00672D16" w:rsidRPr="005F0CE8" w:rsidRDefault="003A26A8">
            <w:pPr>
              <w:pStyle w:val="TableText0"/>
              <w:keepNext w:val="0"/>
              <w:jc w:val="center"/>
            </w:pPr>
            <w:r w:rsidRPr="003A26A8">
              <w:rPr>
                <w:color w:val="000000"/>
                <w:spacing w:val="190"/>
                <w:shd w:val="solid" w:color="000000" w:fill="000000"/>
                <w:fitText w:val="276" w:id="-1234443006"/>
                <w14:textFill>
                  <w14:solidFill>
                    <w14:srgbClr w14:val="000000">
                      <w14:alpha w14:val="100000"/>
                    </w14:srgbClr>
                  </w14:solidFill>
                </w14:textFill>
              </w:rPr>
              <w:t>|</w:t>
            </w:r>
            <w:r w:rsidRPr="003A26A8">
              <w:rPr>
                <w:color w:val="000000"/>
                <w:spacing w:val="1"/>
                <w:shd w:val="solid" w:color="000000" w:fill="000000"/>
                <w:fitText w:val="276" w:id="-1234443006"/>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31615506" w14:textId="499FF725" w:rsidR="00672D16" w:rsidRPr="005F0CE8" w:rsidRDefault="003A26A8">
            <w:pPr>
              <w:pStyle w:val="TableText0"/>
              <w:keepNext w:val="0"/>
              <w:jc w:val="center"/>
            </w:pPr>
            <w:r w:rsidRPr="003A26A8">
              <w:rPr>
                <w:color w:val="000000"/>
                <w:spacing w:val="179"/>
                <w:shd w:val="solid" w:color="000000" w:fill="000000"/>
                <w:fitText w:val="265" w:id="-1234443005"/>
                <w14:textFill>
                  <w14:solidFill>
                    <w14:srgbClr w14:val="000000">
                      <w14:alpha w14:val="100000"/>
                    </w14:srgbClr>
                  </w14:solidFill>
                </w14:textFill>
              </w:rPr>
              <w:t>|</w:t>
            </w:r>
            <w:r w:rsidRPr="003A26A8">
              <w:rPr>
                <w:color w:val="000000"/>
                <w:spacing w:val="1"/>
                <w:shd w:val="solid" w:color="000000" w:fill="000000"/>
                <w:fitText w:val="265" w:id="-1234443005"/>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7E0785E4" w14:textId="4C206B69" w:rsidR="00672D16" w:rsidRPr="005F0CE8" w:rsidRDefault="003A26A8">
            <w:pPr>
              <w:pStyle w:val="TableText0"/>
              <w:keepNext w:val="0"/>
              <w:jc w:val="center"/>
            </w:pPr>
            <w:r w:rsidRPr="003A26A8">
              <w:rPr>
                <w:color w:val="000000"/>
                <w:spacing w:val="191"/>
                <w:shd w:val="solid" w:color="000000" w:fill="000000"/>
                <w:fitText w:val="277" w:id="-1234443004"/>
                <w14:textFill>
                  <w14:solidFill>
                    <w14:srgbClr w14:val="000000">
                      <w14:alpha w14:val="100000"/>
                    </w14:srgbClr>
                  </w14:solidFill>
                </w14:textFill>
              </w:rPr>
              <w:t>|</w:t>
            </w:r>
            <w:r w:rsidRPr="003A26A8">
              <w:rPr>
                <w:color w:val="000000"/>
                <w:spacing w:val="1"/>
                <w:shd w:val="solid" w:color="000000" w:fill="000000"/>
                <w:fitText w:val="277" w:id="-1234443004"/>
                <w14:textFill>
                  <w14:solidFill>
                    <w14:srgbClr w14:val="000000">
                      <w14:alpha w14:val="100000"/>
                    </w14:srgbClr>
                  </w14:solidFill>
                </w14:textFill>
              </w:rPr>
              <w:t>|</w:t>
            </w:r>
            <w:r w:rsidR="00391805">
              <w:rPr>
                <w:vertAlign w:val="superscript"/>
              </w:rPr>
              <w:t>5</w:t>
            </w:r>
          </w:p>
        </w:tc>
        <w:tc>
          <w:tcPr>
            <w:tcW w:w="548" w:type="pct"/>
            <w:vAlign w:val="center"/>
          </w:tcPr>
          <w:p w14:paraId="01A87D4F" w14:textId="028C7505" w:rsidR="00672D16" w:rsidRPr="005F0CE8" w:rsidRDefault="003A26A8">
            <w:pPr>
              <w:pStyle w:val="TableText0"/>
              <w:keepNext w:val="0"/>
              <w:jc w:val="center"/>
            </w:pPr>
            <w:r w:rsidRPr="003A26A8">
              <w:rPr>
                <w:color w:val="000000"/>
                <w:spacing w:val="191"/>
                <w:shd w:val="solid" w:color="000000" w:fill="000000"/>
                <w:fitText w:val="277" w:id="-1234443003"/>
                <w14:textFill>
                  <w14:solidFill>
                    <w14:srgbClr w14:val="000000">
                      <w14:alpha w14:val="100000"/>
                    </w14:srgbClr>
                  </w14:solidFill>
                </w14:textFill>
              </w:rPr>
              <w:t>|</w:t>
            </w:r>
            <w:r w:rsidRPr="003A26A8">
              <w:rPr>
                <w:color w:val="000000"/>
                <w:spacing w:val="1"/>
                <w:shd w:val="solid" w:color="000000" w:fill="000000"/>
                <w:fitText w:val="277" w:id="-1234443003"/>
                <w14:textFill>
                  <w14:solidFill>
                    <w14:srgbClr w14:val="000000">
                      <w14:alpha w14:val="100000"/>
                    </w14:srgbClr>
                  </w14:solidFill>
                </w14:textFill>
              </w:rPr>
              <w:t>|</w:t>
            </w:r>
            <w:r w:rsidR="00391805">
              <w:rPr>
                <w:vertAlign w:val="superscript"/>
              </w:rPr>
              <w:t>5</w:t>
            </w:r>
          </w:p>
        </w:tc>
      </w:tr>
      <w:tr w:rsidR="00672D16" w:rsidRPr="005F0CE8" w14:paraId="4C010475" w14:textId="77777777" w:rsidTr="005F2CDD">
        <w:trPr>
          <w:cantSplit/>
        </w:trPr>
        <w:tc>
          <w:tcPr>
            <w:tcW w:w="154" w:type="pct"/>
          </w:tcPr>
          <w:p w14:paraId="0B54DF4D" w14:textId="77777777" w:rsidR="00672D16" w:rsidRPr="005F0CE8" w:rsidRDefault="00672D16">
            <w:pPr>
              <w:pStyle w:val="TableText0"/>
              <w:keepNext w:val="0"/>
            </w:pPr>
            <w:r w:rsidRPr="005F0CE8">
              <w:t>I</w:t>
            </w:r>
          </w:p>
        </w:tc>
        <w:tc>
          <w:tcPr>
            <w:tcW w:w="1571" w:type="pct"/>
            <w:shd w:val="clear" w:color="auto" w:fill="auto"/>
            <w:vAlign w:val="center"/>
          </w:tcPr>
          <w:p w14:paraId="520746AB" w14:textId="77777777" w:rsidR="00672D16" w:rsidRPr="005F0CE8" w:rsidRDefault="00672D16">
            <w:pPr>
              <w:pStyle w:val="TableText0"/>
              <w:keepNext w:val="0"/>
            </w:pPr>
            <w:r w:rsidRPr="005F0CE8">
              <w:t xml:space="preserve">Submission’s estimate of change in testing [I = (G – H)/2] </w:t>
            </w:r>
            <w:r w:rsidRPr="005F0CE8">
              <w:rPr>
                <w:vertAlign w:val="superscript"/>
              </w:rPr>
              <w:t>a</w:t>
            </w:r>
          </w:p>
        </w:tc>
        <w:tc>
          <w:tcPr>
            <w:tcW w:w="545" w:type="pct"/>
            <w:shd w:val="clear" w:color="auto" w:fill="auto"/>
            <w:vAlign w:val="center"/>
          </w:tcPr>
          <w:p w14:paraId="7C2EE2B6" w14:textId="1EB9AA16" w:rsidR="00672D16" w:rsidRPr="005F0CE8" w:rsidRDefault="003A26A8">
            <w:pPr>
              <w:pStyle w:val="TableText0"/>
              <w:keepNext w:val="0"/>
              <w:jc w:val="center"/>
            </w:pPr>
            <w:r w:rsidRPr="003A26A8">
              <w:rPr>
                <w:color w:val="000000"/>
                <w:spacing w:val="190"/>
                <w:shd w:val="solid" w:color="000000" w:fill="000000"/>
                <w:fitText w:val="276" w:id="-1234443002"/>
                <w14:textFill>
                  <w14:solidFill>
                    <w14:srgbClr w14:val="000000">
                      <w14:alpha w14:val="100000"/>
                    </w14:srgbClr>
                  </w14:solidFill>
                </w14:textFill>
              </w:rPr>
              <w:t>|</w:t>
            </w:r>
            <w:r w:rsidRPr="003A26A8">
              <w:rPr>
                <w:color w:val="000000"/>
                <w:spacing w:val="1"/>
                <w:shd w:val="solid" w:color="000000" w:fill="000000"/>
                <w:fitText w:val="276" w:id="-1234443002"/>
                <w14:textFill>
                  <w14:solidFill>
                    <w14:srgbClr w14:val="000000">
                      <w14:alpha w14:val="100000"/>
                    </w14:srgbClr>
                  </w14:solidFill>
                </w14:textFill>
              </w:rPr>
              <w:t>|</w:t>
            </w:r>
            <w:r w:rsidR="00391805">
              <w:rPr>
                <w:vertAlign w:val="superscript"/>
              </w:rPr>
              <w:t>4</w:t>
            </w:r>
          </w:p>
        </w:tc>
        <w:tc>
          <w:tcPr>
            <w:tcW w:w="546" w:type="pct"/>
            <w:shd w:val="clear" w:color="auto" w:fill="auto"/>
            <w:vAlign w:val="center"/>
          </w:tcPr>
          <w:p w14:paraId="2DBC6318" w14:textId="17C24545" w:rsidR="00672D16" w:rsidRPr="005F0CE8" w:rsidRDefault="003A26A8">
            <w:pPr>
              <w:pStyle w:val="TableText0"/>
              <w:keepNext w:val="0"/>
              <w:jc w:val="center"/>
            </w:pPr>
            <w:r w:rsidRPr="003A26A8">
              <w:rPr>
                <w:color w:val="000000"/>
                <w:spacing w:val="179"/>
                <w:shd w:val="solid" w:color="000000" w:fill="000000"/>
                <w:fitText w:val="265" w:id="-1234443001"/>
                <w14:textFill>
                  <w14:solidFill>
                    <w14:srgbClr w14:val="000000">
                      <w14:alpha w14:val="100000"/>
                    </w14:srgbClr>
                  </w14:solidFill>
                </w14:textFill>
              </w:rPr>
              <w:t>|</w:t>
            </w:r>
            <w:r w:rsidRPr="003A26A8">
              <w:rPr>
                <w:color w:val="000000"/>
                <w:spacing w:val="1"/>
                <w:shd w:val="solid" w:color="000000" w:fill="000000"/>
                <w:fitText w:val="265" w:id="-1234443001"/>
                <w14:textFill>
                  <w14:solidFill>
                    <w14:srgbClr w14:val="000000">
                      <w14:alpha w14:val="100000"/>
                    </w14:srgbClr>
                  </w14:solidFill>
                </w14:textFill>
              </w:rPr>
              <w:t>|</w:t>
            </w:r>
            <w:r w:rsidR="00391805">
              <w:rPr>
                <w:vertAlign w:val="superscript"/>
              </w:rPr>
              <w:t>4</w:t>
            </w:r>
          </w:p>
        </w:tc>
        <w:tc>
          <w:tcPr>
            <w:tcW w:w="545" w:type="pct"/>
            <w:shd w:val="clear" w:color="auto" w:fill="auto"/>
            <w:vAlign w:val="center"/>
          </w:tcPr>
          <w:p w14:paraId="2F3256AD" w14:textId="26EFA1DB" w:rsidR="00672D16" w:rsidRPr="005F0CE8" w:rsidRDefault="003A26A8">
            <w:pPr>
              <w:pStyle w:val="TableText0"/>
              <w:keepNext w:val="0"/>
              <w:jc w:val="center"/>
            </w:pPr>
            <w:r w:rsidRPr="003A26A8">
              <w:rPr>
                <w:color w:val="000000"/>
                <w:spacing w:val="190"/>
                <w:shd w:val="solid" w:color="000000" w:fill="000000"/>
                <w:fitText w:val="276" w:id="-1234443000"/>
                <w14:textFill>
                  <w14:solidFill>
                    <w14:srgbClr w14:val="000000">
                      <w14:alpha w14:val="100000"/>
                    </w14:srgbClr>
                  </w14:solidFill>
                </w14:textFill>
              </w:rPr>
              <w:t>|</w:t>
            </w:r>
            <w:r w:rsidRPr="003A26A8">
              <w:rPr>
                <w:color w:val="000000"/>
                <w:spacing w:val="1"/>
                <w:shd w:val="solid" w:color="000000" w:fill="000000"/>
                <w:fitText w:val="276" w:id="-1234443000"/>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39340536" w14:textId="6B7BD7F4" w:rsidR="00672D16" w:rsidRPr="005F0CE8" w:rsidRDefault="003A26A8">
            <w:pPr>
              <w:pStyle w:val="TableText0"/>
              <w:keepNext w:val="0"/>
              <w:jc w:val="center"/>
            </w:pPr>
            <w:r w:rsidRPr="003A26A8">
              <w:rPr>
                <w:color w:val="000000"/>
                <w:spacing w:val="179"/>
                <w:shd w:val="solid" w:color="000000" w:fill="000000"/>
                <w:fitText w:val="265" w:id="-1234442999"/>
                <w14:textFill>
                  <w14:solidFill>
                    <w14:srgbClr w14:val="000000">
                      <w14:alpha w14:val="100000"/>
                    </w14:srgbClr>
                  </w14:solidFill>
                </w14:textFill>
              </w:rPr>
              <w:t>|</w:t>
            </w:r>
            <w:r w:rsidRPr="003A26A8">
              <w:rPr>
                <w:color w:val="000000"/>
                <w:spacing w:val="1"/>
                <w:shd w:val="solid" w:color="000000" w:fill="000000"/>
                <w:fitText w:val="265" w:id="-1234442999"/>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1BB8C4B5" w14:textId="22DC0D1D" w:rsidR="00672D16" w:rsidRPr="005F0CE8" w:rsidRDefault="003A26A8">
            <w:pPr>
              <w:pStyle w:val="TableText0"/>
              <w:keepNext w:val="0"/>
              <w:jc w:val="center"/>
            </w:pPr>
            <w:r w:rsidRPr="003A26A8">
              <w:rPr>
                <w:color w:val="000000"/>
                <w:spacing w:val="191"/>
                <w:shd w:val="solid" w:color="000000" w:fill="000000"/>
                <w:fitText w:val="277" w:id="-1234442998"/>
                <w14:textFill>
                  <w14:solidFill>
                    <w14:srgbClr w14:val="000000">
                      <w14:alpha w14:val="100000"/>
                    </w14:srgbClr>
                  </w14:solidFill>
                </w14:textFill>
              </w:rPr>
              <w:t>|</w:t>
            </w:r>
            <w:r w:rsidRPr="003A26A8">
              <w:rPr>
                <w:color w:val="000000"/>
                <w:spacing w:val="1"/>
                <w:shd w:val="solid" w:color="000000" w:fill="000000"/>
                <w:fitText w:val="277" w:id="-1234442998"/>
                <w14:textFill>
                  <w14:solidFill>
                    <w14:srgbClr w14:val="000000">
                      <w14:alpha w14:val="100000"/>
                    </w14:srgbClr>
                  </w14:solidFill>
                </w14:textFill>
              </w:rPr>
              <w:t>|</w:t>
            </w:r>
            <w:r w:rsidR="00391805">
              <w:rPr>
                <w:vertAlign w:val="superscript"/>
              </w:rPr>
              <w:t>3</w:t>
            </w:r>
          </w:p>
        </w:tc>
        <w:tc>
          <w:tcPr>
            <w:tcW w:w="548" w:type="pct"/>
            <w:vAlign w:val="center"/>
          </w:tcPr>
          <w:p w14:paraId="1A5F104C" w14:textId="7A6BE5AF" w:rsidR="00672D16" w:rsidRPr="005F0CE8" w:rsidRDefault="003A26A8">
            <w:pPr>
              <w:pStyle w:val="TableText0"/>
              <w:keepNext w:val="0"/>
              <w:jc w:val="center"/>
            </w:pPr>
            <w:r w:rsidRPr="003A26A8">
              <w:rPr>
                <w:color w:val="000000"/>
                <w:spacing w:val="191"/>
                <w:shd w:val="solid" w:color="000000" w:fill="000000"/>
                <w:fitText w:val="277" w:id="-1234442997"/>
                <w14:textFill>
                  <w14:solidFill>
                    <w14:srgbClr w14:val="000000">
                      <w14:alpha w14:val="100000"/>
                    </w14:srgbClr>
                  </w14:solidFill>
                </w14:textFill>
              </w:rPr>
              <w:t>|</w:t>
            </w:r>
            <w:r w:rsidRPr="003A26A8">
              <w:rPr>
                <w:color w:val="000000"/>
                <w:spacing w:val="1"/>
                <w:shd w:val="solid" w:color="000000" w:fill="000000"/>
                <w:fitText w:val="277" w:id="-1234442997"/>
                <w14:textFill>
                  <w14:solidFill>
                    <w14:srgbClr w14:val="000000">
                      <w14:alpha w14:val="100000"/>
                    </w14:srgbClr>
                  </w14:solidFill>
                </w14:textFill>
              </w:rPr>
              <w:t>|</w:t>
            </w:r>
            <w:r w:rsidR="00391805">
              <w:rPr>
                <w:vertAlign w:val="superscript"/>
              </w:rPr>
              <w:t>3</w:t>
            </w:r>
          </w:p>
        </w:tc>
      </w:tr>
      <w:tr w:rsidR="00672D16" w:rsidRPr="005F0CE8" w14:paraId="60C754C7" w14:textId="77777777" w:rsidTr="005F2CDD">
        <w:trPr>
          <w:cantSplit/>
        </w:trPr>
        <w:tc>
          <w:tcPr>
            <w:tcW w:w="154" w:type="pct"/>
          </w:tcPr>
          <w:p w14:paraId="5E14D5F7" w14:textId="77777777" w:rsidR="00672D16" w:rsidRPr="005F0CE8" w:rsidRDefault="00672D16">
            <w:pPr>
              <w:pStyle w:val="TableText0"/>
              <w:keepNext w:val="0"/>
            </w:pPr>
            <w:r w:rsidRPr="005F0CE8">
              <w:t>J</w:t>
            </w:r>
          </w:p>
        </w:tc>
        <w:tc>
          <w:tcPr>
            <w:tcW w:w="1571" w:type="pct"/>
            <w:shd w:val="clear" w:color="auto" w:fill="auto"/>
          </w:tcPr>
          <w:p w14:paraId="60616049" w14:textId="77777777" w:rsidR="00672D16" w:rsidRPr="005F0CE8" w:rsidRDefault="00672D16">
            <w:pPr>
              <w:pStyle w:val="TableText0"/>
              <w:keepNext w:val="0"/>
              <w:rPr>
                <w:rFonts w:ascii="Times" w:hAnsi="Times"/>
              </w:rPr>
            </w:pPr>
            <w:r w:rsidRPr="005F0CE8">
              <w:t>Revised estimates of change in testing (J = G – H)</w:t>
            </w:r>
          </w:p>
        </w:tc>
        <w:tc>
          <w:tcPr>
            <w:tcW w:w="545" w:type="pct"/>
            <w:shd w:val="clear" w:color="auto" w:fill="auto"/>
            <w:vAlign w:val="center"/>
          </w:tcPr>
          <w:p w14:paraId="12B7BE84" w14:textId="4C8D58A1" w:rsidR="00672D16" w:rsidRPr="005F0CE8" w:rsidRDefault="003A26A8">
            <w:pPr>
              <w:pStyle w:val="TableText0"/>
              <w:keepNext w:val="0"/>
              <w:jc w:val="center"/>
              <w:rPr>
                <w:color w:val="000000"/>
              </w:rPr>
            </w:pPr>
            <w:r w:rsidRPr="003A26A8">
              <w:rPr>
                <w:color w:val="000000"/>
                <w:spacing w:val="190"/>
                <w:shd w:val="solid" w:color="000000" w:fill="000000"/>
                <w:fitText w:val="276" w:id="-1234442996"/>
                <w14:textFill>
                  <w14:solidFill>
                    <w14:srgbClr w14:val="000000">
                      <w14:alpha w14:val="100000"/>
                    </w14:srgbClr>
                  </w14:solidFill>
                </w14:textFill>
              </w:rPr>
              <w:t>|</w:t>
            </w:r>
            <w:r w:rsidRPr="003A26A8">
              <w:rPr>
                <w:color w:val="000000"/>
                <w:spacing w:val="1"/>
                <w:shd w:val="solid" w:color="000000" w:fill="000000"/>
                <w:fitText w:val="276" w:id="-1234442996"/>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2E149A4E" w14:textId="7E495F01" w:rsidR="00672D16" w:rsidRPr="005F0CE8" w:rsidRDefault="003A26A8">
            <w:pPr>
              <w:pStyle w:val="TableText0"/>
              <w:keepNext w:val="0"/>
              <w:jc w:val="center"/>
              <w:rPr>
                <w:color w:val="000000"/>
              </w:rPr>
            </w:pPr>
            <w:r w:rsidRPr="003A26A8">
              <w:rPr>
                <w:color w:val="000000"/>
                <w:spacing w:val="179"/>
                <w:shd w:val="solid" w:color="000000" w:fill="000000"/>
                <w:fitText w:val="265" w:id="-1234442995"/>
                <w14:textFill>
                  <w14:solidFill>
                    <w14:srgbClr w14:val="000000">
                      <w14:alpha w14:val="100000"/>
                    </w14:srgbClr>
                  </w14:solidFill>
                </w14:textFill>
              </w:rPr>
              <w:t>|</w:t>
            </w:r>
            <w:r w:rsidRPr="003A26A8">
              <w:rPr>
                <w:color w:val="000000"/>
                <w:spacing w:val="1"/>
                <w:shd w:val="solid" w:color="000000" w:fill="000000"/>
                <w:fitText w:val="265" w:id="-1234442995"/>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67707FB2" w14:textId="77B4DB72" w:rsidR="00672D16" w:rsidRPr="005F0CE8" w:rsidRDefault="003A26A8">
            <w:pPr>
              <w:pStyle w:val="TableText0"/>
              <w:keepNext w:val="0"/>
              <w:jc w:val="center"/>
              <w:rPr>
                <w:color w:val="000000"/>
              </w:rPr>
            </w:pPr>
            <w:r w:rsidRPr="003A26A8">
              <w:rPr>
                <w:color w:val="000000"/>
                <w:spacing w:val="190"/>
                <w:shd w:val="solid" w:color="000000" w:fill="000000"/>
                <w:fitText w:val="276" w:id="-1234442994"/>
                <w14:textFill>
                  <w14:solidFill>
                    <w14:srgbClr w14:val="000000">
                      <w14:alpha w14:val="100000"/>
                    </w14:srgbClr>
                  </w14:solidFill>
                </w14:textFill>
              </w:rPr>
              <w:t>|</w:t>
            </w:r>
            <w:r w:rsidRPr="003A26A8">
              <w:rPr>
                <w:color w:val="000000"/>
                <w:spacing w:val="1"/>
                <w:shd w:val="solid" w:color="000000" w:fill="000000"/>
                <w:fitText w:val="276" w:id="-1234442994"/>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61DFB5F0" w14:textId="416D08FE" w:rsidR="00672D16" w:rsidRPr="005F0CE8" w:rsidRDefault="003A26A8">
            <w:pPr>
              <w:pStyle w:val="TableText0"/>
              <w:keepNext w:val="0"/>
              <w:jc w:val="center"/>
              <w:rPr>
                <w:color w:val="000000"/>
              </w:rPr>
            </w:pPr>
            <w:r w:rsidRPr="003A26A8">
              <w:rPr>
                <w:color w:val="000000"/>
                <w:spacing w:val="179"/>
                <w:shd w:val="solid" w:color="000000" w:fill="000000"/>
                <w:fitText w:val="265" w:id="-1234442993"/>
                <w14:textFill>
                  <w14:solidFill>
                    <w14:srgbClr w14:val="000000">
                      <w14:alpha w14:val="100000"/>
                    </w14:srgbClr>
                  </w14:solidFill>
                </w14:textFill>
              </w:rPr>
              <w:t>|</w:t>
            </w:r>
            <w:r w:rsidRPr="003A26A8">
              <w:rPr>
                <w:color w:val="000000"/>
                <w:spacing w:val="1"/>
                <w:shd w:val="solid" w:color="000000" w:fill="000000"/>
                <w:fitText w:val="265" w:id="-1234442993"/>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5E53B611" w14:textId="1E2C0B25" w:rsidR="00672D16" w:rsidRPr="005F0CE8" w:rsidRDefault="003A26A8">
            <w:pPr>
              <w:pStyle w:val="TableText0"/>
              <w:keepNext w:val="0"/>
              <w:jc w:val="center"/>
              <w:rPr>
                <w:color w:val="000000"/>
              </w:rPr>
            </w:pPr>
            <w:r w:rsidRPr="003A26A8">
              <w:rPr>
                <w:color w:val="000000"/>
                <w:spacing w:val="191"/>
                <w:shd w:val="solid" w:color="000000" w:fill="000000"/>
                <w:fitText w:val="277" w:id="-1234442992"/>
                <w14:textFill>
                  <w14:solidFill>
                    <w14:srgbClr w14:val="000000">
                      <w14:alpha w14:val="100000"/>
                    </w14:srgbClr>
                  </w14:solidFill>
                </w14:textFill>
              </w:rPr>
              <w:t>|</w:t>
            </w:r>
            <w:r w:rsidRPr="003A26A8">
              <w:rPr>
                <w:color w:val="000000"/>
                <w:spacing w:val="1"/>
                <w:shd w:val="solid" w:color="000000" w:fill="000000"/>
                <w:fitText w:val="277" w:id="-1234442992"/>
                <w14:textFill>
                  <w14:solidFill>
                    <w14:srgbClr w14:val="000000">
                      <w14:alpha w14:val="100000"/>
                    </w14:srgbClr>
                  </w14:solidFill>
                </w14:textFill>
              </w:rPr>
              <w:t>|</w:t>
            </w:r>
            <w:r w:rsidR="00391805">
              <w:rPr>
                <w:vertAlign w:val="superscript"/>
              </w:rPr>
              <w:t>3</w:t>
            </w:r>
          </w:p>
        </w:tc>
        <w:tc>
          <w:tcPr>
            <w:tcW w:w="548" w:type="pct"/>
            <w:vAlign w:val="center"/>
          </w:tcPr>
          <w:p w14:paraId="4C7C8A02" w14:textId="5A0ECFBC" w:rsidR="00672D16" w:rsidRPr="005F0CE8" w:rsidRDefault="003A26A8">
            <w:pPr>
              <w:pStyle w:val="TableText0"/>
              <w:keepNext w:val="0"/>
              <w:jc w:val="center"/>
              <w:rPr>
                <w:color w:val="000000"/>
              </w:rPr>
            </w:pPr>
            <w:r w:rsidRPr="003A26A8">
              <w:rPr>
                <w:color w:val="000000"/>
                <w:spacing w:val="191"/>
                <w:shd w:val="solid" w:color="000000" w:fill="000000"/>
                <w:fitText w:val="277" w:id="-1234443008"/>
                <w14:textFill>
                  <w14:solidFill>
                    <w14:srgbClr w14:val="000000">
                      <w14:alpha w14:val="100000"/>
                    </w14:srgbClr>
                  </w14:solidFill>
                </w14:textFill>
              </w:rPr>
              <w:t>|</w:t>
            </w:r>
            <w:r w:rsidRPr="003A26A8">
              <w:rPr>
                <w:color w:val="000000"/>
                <w:spacing w:val="1"/>
                <w:shd w:val="solid" w:color="000000" w:fill="000000"/>
                <w:fitText w:val="277" w:id="-1234443008"/>
                <w14:textFill>
                  <w14:solidFill>
                    <w14:srgbClr w14:val="000000">
                      <w14:alpha w14:val="100000"/>
                    </w14:srgbClr>
                  </w14:solidFill>
                </w14:textFill>
              </w:rPr>
              <w:t>|</w:t>
            </w:r>
            <w:r w:rsidR="00391805">
              <w:rPr>
                <w:vertAlign w:val="superscript"/>
              </w:rPr>
              <w:t>3</w:t>
            </w:r>
          </w:p>
        </w:tc>
      </w:tr>
      <w:tr w:rsidR="00672D16" w:rsidRPr="005F0CE8" w14:paraId="1FDCFF7C" w14:textId="77777777" w:rsidTr="005F2CDD">
        <w:trPr>
          <w:cantSplit/>
        </w:trPr>
        <w:tc>
          <w:tcPr>
            <w:tcW w:w="154" w:type="pct"/>
          </w:tcPr>
          <w:p w14:paraId="5A0C3F44" w14:textId="77777777" w:rsidR="00672D16" w:rsidRPr="005F0CE8" w:rsidRDefault="00672D16">
            <w:pPr>
              <w:pStyle w:val="In-tableHeading"/>
              <w:rPr>
                <w:lang w:val="en-AU"/>
              </w:rPr>
            </w:pPr>
          </w:p>
        </w:tc>
        <w:tc>
          <w:tcPr>
            <w:tcW w:w="4846" w:type="pct"/>
            <w:gridSpan w:val="7"/>
            <w:shd w:val="clear" w:color="auto" w:fill="auto"/>
            <w:vAlign w:val="center"/>
          </w:tcPr>
          <w:p w14:paraId="22E3FFE7" w14:textId="5CC938F9" w:rsidR="00672D16" w:rsidRPr="005F0CE8" w:rsidRDefault="00672D16">
            <w:pPr>
              <w:pStyle w:val="In-tableHeading"/>
              <w:rPr>
                <w:lang w:val="en-AU"/>
              </w:rPr>
            </w:pPr>
            <w:r w:rsidRPr="005F0CE8">
              <w:rPr>
                <w:lang w:val="en-AU"/>
              </w:rPr>
              <w:t xml:space="preserve">Estimated financial implications of the </w:t>
            </w:r>
            <w:r w:rsidR="009E092C" w:rsidRPr="009E092C">
              <w:rPr>
                <w:i/>
                <w:iCs/>
                <w:lang w:val="en-AU"/>
              </w:rPr>
              <w:t>BRCA1/2</w:t>
            </w:r>
            <w:r w:rsidRPr="005F0CE8">
              <w:rPr>
                <w:lang w:val="en-AU"/>
              </w:rPr>
              <w:t xml:space="preserve"> pathogenic gene variant test to the MBS</w:t>
            </w:r>
          </w:p>
        </w:tc>
      </w:tr>
      <w:tr w:rsidR="00672D16" w:rsidRPr="005F0CE8" w14:paraId="5C3FD2EE" w14:textId="77777777" w:rsidTr="00391805">
        <w:trPr>
          <w:cantSplit/>
        </w:trPr>
        <w:tc>
          <w:tcPr>
            <w:tcW w:w="154" w:type="pct"/>
          </w:tcPr>
          <w:p w14:paraId="7C420538" w14:textId="77777777" w:rsidR="00672D16" w:rsidRPr="005F0CE8" w:rsidRDefault="00672D16">
            <w:pPr>
              <w:pStyle w:val="TableText0"/>
              <w:keepNext w:val="0"/>
              <w:rPr>
                <w:sz w:val="19"/>
                <w:szCs w:val="19"/>
              </w:rPr>
            </w:pPr>
            <w:r w:rsidRPr="005F0CE8">
              <w:rPr>
                <w:sz w:val="19"/>
                <w:szCs w:val="19"/>
              </w:rPr>
              <w:t>K</w:t>
            </w:r>
          </w:p>
        </w:tc>
        <w:tc>
          <w:tcPr>
            <w:tcW w:w="1571" w:type="pct"/>
            <w:shd w:val="clear" w:color="auto" w:fill="auto"/>
            <w:vAlign w:val="center"/>
          </w:tcPr>
          <w:p w14:paraId="0BCF38FF" w14:textId="208DFED1" w:rsidR="00672D16" w:rsidRPr="005F0CE8" w:rsidRDefault="00672D16">
            <w:pPr>
              <w:pStyle w:val="TableText0"/>
              <w:keepNext w:val="0"/>
              <w:rPr>
                <w:sz w:val="19"/>
                <w:szCs w:val="19"/>
              </w:rPr>
            </w:pPr>
            <w:r w:rsidRPr="005F0CE8">
              <w:rPr>
                <w:sz w:val="19"/>
                <w:szCs w:val="19"/>
              </w:rPr>
              <w:t>Submission’s Net Cost to MBS</w:t>
            </w:r>
            <w:r w:rsidR="004B3551">
              <w:rPr>
                <w:sz w:val="19"/>
                <w:szCs w:val="19"/>
              </w:rPr>
              <w:t xml:space="preserve"> ($)</w:t>
            </w:r>
            <w:r w:rsidRPr="005F0CE8">
              <w:rPr>
                <w:sz w:val="19"/>
                <w:szCs w:val="19"/>
              </w:rPr>
              <w:t xml:space="preserve"> </w:t>
            </w:r>
          </w:p>
          <w:p w14:paraId="27CA47A9" w14:textId="77777777" w:rsidR="00672D16" w:rsidRPr="005F0CE8" w:rsidRDefault="00672D16">
            <w:pPr>
              <w:pStyle w:val="TableText0"/>
              <w:keepNext w:val="0"/>
              <w:rPr>
                <w:sz w:val="19"/>
                <w:szCs w:val="19"/>
              </w:rPr>
            </w:pPr>
            <w:r w:rsidRPr="005F0CE8">
              <w:rPr>
                <w:sz w:val="19"/>
                <w:szCs w:val="19"/>
              </w:rPr>
              <w:t>(K = I x $960.00 per patient)</w:t>
            </w:r>
          </w:p>
        </w:tc>
        <w:tc>
          <w:tcPr>
            <w:tcW w:w="545" w:type="pct"/>
            <w:shd w:val="clear" w:color="auto" w:fill="auto"/>
            <w:vAlign w:val="center"/>
          </w:tcPr>
          <w:p w14:paraId="162BDAA4" w14:textId="4566D685" w:rsidR="00672D16" w:rsidRPr="00391805" w:rsidRDefault="003A26A8" w:rsidP="00391805">
            <w:pPr>
              <w:pStyle w:val="TableText0"/>
              <w:keepNext w:val="0"/>
              <w:jc w:val="center"/>
              <w:rPr>
                <w:vertAlign w:val="superscript"/>
              </w:rPr>
            </w:pPr>
            <w:r w:rsidRPr="003A26A8">
              <w:rPr>
                <w:color w:val="000000"/>
                <w:spacing w:val="190"/>
                <w:shd w:val="solid" w:color="000000" w:fill="000000"/>
                <w:fitText w:val="276" w:id="-1234443007"/>
                <w14:textFill>
                  <w14:solidFill>
                    <w14:srgbClr w14:val="000000">
                      <w14:alpha w14:val="100000"/>
                    </w14:srgbClr>
                  </w14:solidFill>
                </w14:textFill>
              </w:rPr>
              <w:t>|</w:t>
            </w:r>
            <w:r w:rsidRPr="003A26A8">
              <w:rPr>
                <w:color w:val="000000"/>
                <w:spacing w:val="1"/>
                <w:shd w:val="solid" w:color="000000" w:fill="000000"/>
                <w:fitText w:val="276" w:id="-1234443007"/>
                <w14:textFill>
                  <w14:solidFill>
                    <w14:srgbClr w14:val="000000">
                      <w14:alpha w14:val="100000"/>
                    </w14:srgbClr>
                  </w14:solidFill>
                </w14:textFill>
              </w:rPr>
              <w:t>|</w:t>
            </w:r>
            <w:r w:rsidR="00391805">
              <w:rPr>
                <w:vertAlign w:val="superscript"/>
              </w:rPr>
              <w:t>6</w:t>
            </w:r>
          </w:p>
        </w:tc>
        <w:tc>
          <w:tcPr>
            <w:tcW w:w="546" w:type="pct"/>
            <w:shd w:val="clear" w:color="auto" w:fill="auto"/>
            <w:vAlign w:val="center"/>
          </w:tcPr>
          <w:p w14:paraId="2B6F7A8E" w14:textId="7D0B683D" w:rsidR="00672D16" w:rsidRPr="005F0CE8" w:rsidRDefault="003A26A8" w:rsidP="00391805">
            <w:pPr>
              <w:pStyle w:val="TableText0"/>
              <w:keepNext w:val="0"/>
              <w:jc w:val="center"/>
            </w:pPr>
            <w:r w:rsidRPr="003A26A8">
              <w:rPr>
                <w:color w:val="000000"/>
                <w:spacing w:val="179"/>
                <w:shd w:val="solid" w:color="000000" w:fill="000000"/>
                <w:fitText w:val="265" w:id="-1234443006"/>
                <w14:textFill>
                  <w14:solidFill>
                    <w14:srgbClr w14:val="000000">
                      <w14:alpha w14:val="100000"/>
                    </w14:srgbClr>
                  </w14:solidFill>
                </w14:textFill>
              </w:rPr>
              <w:t>|</w:t>
            </w:r>
            <w:r w:rsidRPr="003A26A8">
              <w:rPr>
                <w:color w:val="000000"/>
                <w:spacing w:val="1"/>
                <w:shd w:val="solid" w:color="000000" w:fill="000000"/>
                <w:fitText w:val="265" w:id="-1234443006"/>
                <w14:textFill>
                  <w14:solidFill>
                    <w14:srgbClr w14:val="000000">
                      <w14:alpha w14:val="100000"/>
                    </w14:srgbClr>
                  </w14:solidFill>
                </w14:textFill>
              </w:rPr>
              <w:t>|</w:t>
            </w:r>
            <w:r w:rsidR="00391805">
              <w:rPr>
                <w:vertAlign w:val="superscript"/>
              </w:rPr>
              <w:t>6</w:t>
            </w:r>
          </w:p>
        </w:tc>
        <w:tc>
          <w:tcPr>
            <w:tcW w:w="545" w:type="pct"/>
            <w:shd w:val="clear" w:color="auto" w:fill="auto"/>
            <w:vAlign w:val="center"/>
          </w:tcPr>
          <w:p w14:paraId="6EBD5D2B" w14:textId="1C8BF9B4" w:rsidR="00672D16" w:rsidRPr="005F0CE8" w:rsidRDefault="003A26A8" w:rsidP="00391805">
            <w:pPr>
              <w:pStyle w:val="TableText0"/>
              <w:keepNext w:val="0"/>
              <w:jc w:val="center"/>
            </w:pPr>
            <w:r w:rsidRPr="003A26A8">
              <w:rPr>
                <w:color w:val="000000"/>
                <w:spacing w:val="190"/>
                <w:shd w:val="solid" w:color="000000" w:fill="000000"/>
                <w:fitText w:val="276" w:id="-1234443005"/>
                <w14:textFill>
                  <w14:solidFill>
                    <w14:srgbClr w14:val="000000">
                      <w14:alpha w14:val="100000"/>
                    </w14:srgbClr>
                  </w14:solidFill>
                </w14:textFill>
              </w:rPr>
              <w:t>|</w:t>
            </w:r>
            <w:r w:rsidRPr="003A26A8">
              <w:rPr>
                <w:color w:val="000000"/>
                <w:spacing w:val="1"/>
                <w:shd w:val="solid" w:color="000000" w:fill="000000"/>
                <w:fitText w:val="276" w:id="-1234443005"/>
                <w14:textFill>
                  <w14:solidFill>
                    <w14:srgbClr w14:val="000000">
                      <w14:alpha w14:val="100000"/>
                    </w14:srgbClr>
                  </w14:solidFill>
                </w14:textFill>
              </w:rPr>
              <w:t>|</w:t>
            </w:r>
            <w:r w:rsidR="00391805">
              <w:rPr>
                <w:vertAlign w:val="superscript"/>
              </w:rPr>
              <w:t>6</w:t>
            </w:r>
          </w:p>
        </w:tc>
        <w:tc>
          <w:tcPr>
            <w:tcW w:w="546" w:type="pct"/>
            <w:shd w:val="clear" w:color="auto" w:fill="auto"/>
            <w:vAlign w:val="center"/>
          </w:tcPr>
          <w:p w14:paraId="71AC34AD" w14:textId="394B9F33" w:rsidR="00672D16" w:rsidRPr="005F0CE8" w:rsidRDefault="003A26A8" w:rsidP="00391805">
            <w:pPr>
              <w:pStyle w:val="TableText0"/>
              <w:keepNext w:val="0"/>
              <w:jc w:val="center"/>
            </w:pPr>
            <w:r w:rsidRPr="003A26A8">
              <w:rPr>
                <w:color w:val="000000"/>
                <w:spacing w:val="179"/>
                <w:shd w:val="solid" w:color="000000" w:fill="000000"/>
                <w:fitText w:val="265" w:id="-1234443004"/>
                <w14:textFill>
                  <w14:solidFill>
                    <w14:srgbClr w14:val="000000">
                      <w14:alpha w14:val="100000"/>
                    </w14:srgbClr>
                  </w14:solidFill>
                </w14:textFill>
              </w:rPr>
              <w:t>|</w:t>
            </w:r>
            <w:r w:rsidRPr="003A26A8">
              <w:rPr>
                <w:color w:val="000000"/>
                <w:spacing w:val="1"/>
                <w:shd w:val="solid" w:color="000000" w:fill="000000"/>
                <w:fitText w:val="265" w:id="-1234443004"/>
                <w14:textFill>
                  <w14:solidFill>
                    <w14:srgbClr w14:val="000000">
                      <w14:alpha w14:val="100000"/>
                    </w14:srgbClr>
                  </w14:solidFill>
                </w14:textFill>
              </w:rPr>
              <w:t>|</w:t>
            </w:r>
            <w:r w:rsidR="00391805">
              <w:rPr>
                <w:vertAlign w:val="superscript"/>
              </w:rPr>
              <w:t>6</w:t>
            </w:r>
          </w:p>
        </w:tc>
        <w:tc>
          <w:tcPr>
            <w:tcW w:w="545" w:type="pct"/>
            <w:shd w:val="clear" w:color="auto" w:fill="auto"/>
            <w:vAlign w:val="center"/>
          </w:tcPr>
          <w:p w14:paraId="766DCD00" w14:textId="62D983AD" w:rsidR="00672D16" w:rsidRPr="005F0CE8" w:rsidRDefault="003A26A8" w:rsidP="00391805">
            <w:pPr>
              <w:pStyle w:val="TableText0"/>
              <w:keepNext w:val="0"/>
              <w:jc w:val="center"/>
            </w:pPr>
            <w:r w:rsidRPr="003A26A8">
              <w:rPr>
                <w:color w:val="000000"/>
                <w:spacing w:val="191"/>
                <w:shd w:val="solid" w:color="000000" w:fill="000000"/>
                <w:fitText w:val="277" w:id="-1234443003"/>
                <w14:textFill>
                  <w14:solidFill>
                    <w14:srgbClr w14:val="000000">
                      <w14:alpha w14:val="100000"/>
                    </w14:srgbClr>
                  </w14:solidFill>
                </w14:textFill>
              </w:rPr>
              <w:t>|</w:t>
            </w:r>
            <w:r w:rsidRPr="003A26A8">
              <w:rPr>
                <w:color w:val="000000"/>
                <w:spacing w:val="1"/>
                <w:shd w:val="solid" w:color="000000" w:fill="000000"/>
                <w:fitText w:val="277" w:id="-1234443003"/>
                <w14:textFill>
                  <w14:solidFill>
                    <w14:srgbClr w14:val="000000">
                      <w14:alpha w14:val="100000"/>
                    </w14:srgbClr>
                  </w14:solidFill>
                </w14:textFill>
              </w:rPr>
              <w:t>|</w:t>
            </w:r>
            <w:r w:rsidR="00391805">
              <w:rPr>
                <w:vertAlign w:val="superscript"/>
              </w:rPr>
              <w:t>6</w:t>
            </w:r>
          </w:p>
        </w:tc>
        <w:tc>
          <w:tcPr>
            <w:tcW w:w="548" w:type="pct"/>
            <w:vAlign w:val="center"/>
          </w:tcPr>
          <w:p w14:paraId="6D5E7873" w14:textId="3FDD4D04" w:rsidR="00672D16" w:rsidRPr="005F0CE8" w:rsidRDefault="003A26A8" w:rsidP="00391805">
            <w:pPr>
              <w:pStyle w:val="TableText0"/>
              <w:keepNext w:val="0"/>
              <w:jc w:val="center"/>
            </w:pPr>
            <w:r w:rsidRPr="003A26A8">
              <w:rPr>
                <w:color w:val="000000"/>
                <w:spacing w:val="191"/>
                <w:shd w:val="solid" w:color="000000" w:fill="000000"/>
                <w:fitText w:val="277" w:id="-1234443002"/>
                <w14:textFill>
                  <w14:solidFill>
                    <w14:srgbClr w14:val="000000">
                      <w14:alpha w14:val="100000"/>
                    </w14:srgbClr>
                  </w14:solidFill>
                </w14:textFill>
              </w:rPr>
              <w:t>|</w:t>
            </w:r>
            <w:r w:rsidRPr="003A26A8">
              <w:rPr>
                <w:color w:val="000000"/>
                <w:spacing w:val="1"/>
                <w:shd w:val="solid" w:color="000000" w:fill="000000"/>
                <w:fitText w:val="277" w:id="-1234443002"/>
                <w14:textFill>
                  <w14:solidFill>
                    <w14:srgbClr w14:val="000000">
                      <w14:alpha w14:val="100000"/>
                    </w14:srgbClr>
                  </w14:solidFill>
                </w14:textFill>
              </w:rPr>
              <w:t>|</w:t>
            </w:r>
            <w:r w:rsidR="00391805">
              <w:rPr>
                <w:vertAlign w:val="superscript"/>
              </w:rPr>
              <w:t>6</w:t>
            </w:r>
          </w:p>
        </w:tc>
      </w:tr>
      <w:tr w:rsidR="00672D16" w:rsidRPr="005F0CE8" w14:paraId="0D322C55" w14:textId="77777777" w:rsidTr="00391805">
        <w:trPr>
          <w:cantSplit/>
        </w:trPr>
        <w:tc>
          <w:tcPr>
            <w:tcW w:w="154" w:type="pct"/>
          </w:tcPr>
          <w:p w14:paraId="178BD7BE" w14:textId="77777777" w:rsidR="00672D16" w:rsidRPr="005F0CE8" w:rsidRDefault="00672D16">
            <w:pPr>
              <w:pStyle w:val="TableText0"/>
              <w:keepNext w:val="0"/>
              <w:rPr>
                <w:sz w:val="19"/>
                <w:szCs w:val="19"/>
              </w:rPr>
            </w:pPr>
            <w:r w:rsidRPr="005F0CE8">
              <w:rPr>
                <w:sz w:val="19"/>
                <w:szCs w:val="19"/>
              </w:rPr>
              <w:t>L</w:t>
            </w:r>
          </w:p>
        </w:tc>
        <w:tc>
          <w:tcPr>
            <w:tcW w:w="1571" w:type="pct"/>
            <w:shd w:val="clear" w:color="auto" w:fill="auto"/>
            <w:vAlign w:val="center"/>
          </w:tcPr>
          <w:p w14:paraId="6AE06159" w14:textId="0627AAAE" w:rsidR="00672D16" w:rsidRPr="004B3551" w:rsidRDefault="00672D16">
            <w:pPr>
              <w:pStyle w:val="TableText0"/>
              <w:keepNext w:val="0"/>
              <w:rPr>
                <w:sz w:val="19"/>
                <w:szCs w:val="19"/>
              </w:rPr>
            </w:pPr>
            <w:r w:rsidRPr="005F0CE8">
              <w:rPr>
                <w:szCs w:val="20"/>
              </w:rPr>
              <w:t>Revised</w:t>
            </w:r>
            <w:r w:rsidRPr="005F0CE8">
              <w:rPr>
                <w:sz w:val="19"/>
                <w:szCs w:val="19"/>
              </w:rPr>
              <w:t xml:space="preserve"> </w:t>
            </w:r>
            <w:r w:rsidRPr="005F0CE8">
              <w:rPr>
                <w:szCs w:val="20"/>
                <w:vertAlign w:val="superscript"/>
              </w:rPr>
              <w:t>b</w:t>
            </w:r>
            <w:r w:rsidR="004B3551">
              <w:rPr>
                <w:szCs w:val="20"/>
              </w:rPr>
              <w:t xml:space="preserve"> ($)</w:t>
            </w:r>
          </w:p>
          <w:p w14:paraId="3D037E8E" w14:textId="77777777" w:rsidR="00672D16" w:rsidRPr="005F0CE8" w:rsidRDefault="00672D16">
            <w:pPr>
              <w:pStyle w:val="TableText0"/>
              <w:keepNext w:val="0"/>
              <w:rPr>
                <w:sz w:val="19"/>
                <w:szCs w:val="19"/>
              </w:rPr>
            </w:pPr>
            <w:r w:rsidRPr="005F0CE8">
              <w:t>(L = J x $1,106.80 per patient)</w:t>
            </w:r>
          </w:p>
        </w:tc>
        <w:tc>
          <w:tcPr>
            <w:tcW w:w="545" w:type="pct"/>
            <w:shd w:val="clear" w:color="auto" w:fill="auto"/>
            <w:vAlign w:val="center"/>
          </w:tcPr>
          <w:p w14:paraId="4A1AE4BA" w14:textId="2012275D" w:rsidR="00672D16" w:rsidRPr="005F0CE8" w:rsidRDefault="003A26A8" w:rsidP="00391805">
            <w:pPr>
              <w:pStyle w:val="TableText0"/>
              <w:keepNext w:val="0"/>
              <w:jc w:val="center"/>
            </w:pPr>
            <w:r w:rsidRPr="003A26A8">
              <w:rPr>
                <w:color w:val="000000"/>
                <w:spacing w:val="190"/>
                <w:shd w:val="solid" w:color="000000" w:fill="000000"/>
                <w:fitText w:val="276" w:id="-1234443001"/>
                <w14:textFill>
                  <w14:solidFill>
                    <w14:srgbClr w14:val="000000">
                      <w14:alpha w14:val="100000"/>
                    </w14:srgbClr>
                  </w14:solidFill>
                </w14:textFill>
              </w:rPr>
              <w:t>|</w:t>
            </w:r>
            <w:r w:rsidRPr="003A26A8">
              <w:rPr>
                <w:color w:val="000000"/>
                <w:spacing w:val="1"/>
                <w:shd w:val="solid" w:color="000000" w:fill="000000"/>
                <w:fitText w:val="276" w:id="-1234443001"/>
                <w14:textFill>
                  <w14:solidFill>
                    <w14:srgbClr w14:val="000000">
                      <w14:alpha w14:val="100000"/>
                    </w14:srgbClr>
                  </w14:solidFill>
                </w14:textFill>
              </w:rPr>
              <w:t>|</w:t>
            </w:r>
            <w:r w:rsidR="00391805">
              <w:rPr>
                <w:vertAlign w:val="superscript"/>
              </w:rPr>
              <w:t>6</w:t>
            </w:r>
          </w:p>
        </w:tc>
        <w:tc>
          <w:tcPr>
            <w:tcW w:w="546" w:type="pct"/>
            <w:shd w:val="clear" w:color="auto" w:fill="auto"/>
            <w:vAlign w:val="center"/>
          </w:tcPr>
          <w:p w14:paraId="04C596EE" w14:textId="53076840" w:rsidR="00672D16" w:rsidRPr="005F0CE8" w:rsidRDefault="003A26A8" w:rsidP="00391805">
            <w:pPr>
              <w:pStyle w:val="TableText0"/>
              <w:keepNext w:val="0"/>
              <w:jc w:val="center"/>
            </w:pPr>
            <w:r w:rsidRPr="003A26A8">
              <w:rPr>
                <w:color w:val="000000"/>
                <w:spacing w:val="179"/>
                <w:shd w:val="solid" w:color="000000" w:fill="000000"/>
                <w:fitText w:val="265" w:id="-1234443000"/>
                <w14:textFill>
                  <w14:solidFill>
                    <w14:srgbClr w14:val="000000">
                      <w14:alpha w14:val="100000"/>
                    </w14:srgbClr>
                  </w14:solidFill>
                </w14:textFill>
              </w:rPr>
              <w:t>|</w:t>
            </w:r>
            <w:r w:rsidRPr="003A26A8">
              <w:rPr>
                <w:color w:val="000000"/>
                <w:spacing w:val="1"/>
                <w:shd w:val="solid" w:color="000000" w:fill="000000"/>
                <w:fitText w:val="265" w:id="-1234443000"/>
                <w14:textFill>
                  <w14:solidFill>
                    <w14:srgbClr w14:val="000000">
                      <w14:alpha w14:val="100000"/>
                    </w14:srgbClr>
                  </w14:solidFill>
                </w14:textFill>
              </w:rPr>
              <w:t>|</w:t>
            </w:r>
            <w:r w:rsidR="00391805">
              <w:rPr>
                <w:vertAlign w:val="superscript"/>
              </w:rPr>
              <w:t>6</w:t>
            </w:r>
          </w:p>
        </w:tc>
        <w:tc>
          <w:tcPr>
            <w:tcW w:w="545" w:type="pct"/>
            <w:shd w:val="clear" w:color="auto" w:fill="auto"/>
            <w:vAlign w:val="center"/>
          </w:tcPr>
          <w:p w14:paraId="2B3BD665" w14:textId="14451C2A" w:rsidR="00672D16" w:rsidRPr="005F0CE8" w:rsidRDefault="003A26A8" w:rsidP="00391805">
            <w:pPr>
              <w:pStyle w:val="TableText0"/>
              <w:keepNext w:val="0"/>
              <w:jc w:val="center"/>
            </w:pPr>
            <w:r w:rsidRPr="003A26A8">
              <w:rPr>
                <w:color w:val="000000"/>
                <w:spacing w:val="190"/>
                <w:shd w:val="solid" w:color="000000" w:fill="000000"/>
                <w:fitText w:val="276" w:id="-1234442999"/>
                <w14:textFill>
                  <w14:solidFill>
                    <w14:srgbClr w14:val="000000">
                      <w14:alpha w14:val="100000"/>
                    </w14:srgbClr>
                  </w14:solidFill>
                </w14:textFill>
              </w:rPr>
              <w:t>|</w:t>
            </w:r>
            <w:r w:rsidRPr="003A26A8">
              <w:rPr>
                <w:color w:val="000000"/>
                <w:spacing w:val="1"/>
                <w:shd w:val="solid" w:color="000000" w:fill="000000"/>
                <w:fitText w:val="276" w:id="-1234442999"/>
                <w14:textFill>
                  <w14:solidFill>
                    <w14:srgbClr w14:val="000000">
                      <w14:alpha w14:val="100000"/>
                    </w14:srgbClr>
                  </w14:solidFill>
                </w14:textFill>
              </w:rPr>
              <w:t>|</w:t>
            </w:r>
            <w:r w:rsidR="00391805">
              <w:rPr>
                <w:vertAlign w:val="superscript"/>
              </w:rPr>
              <w:t>6</w:t>
            </w:r>
          </w:p>
        </w:tc>
        <w:tc>
          <w:tcPr>
            <w:tcW w:w="546" w:type="pct"/>
            <w:shd w:val="clear" w:color="auto" w:fill="auto"/>
            <w:vAlign w:val="center"/>
          </w:tcPr>
          <w:p w14:paraId="319CA16E" w14:textId="422393EB" w:rsidR="00672D16" w:rsidRPr="005F0CE8" w:rsidRDefault="003A26A8" w:rsidP="00391805">
            <w:pPr>
              <w:pStyle w:val="TableText0"/>
              <w:keepNext w:val="0"/>
              <w:jc w:val="center"/>
            </w:pPr>
            <w:r w:rsidRPr="003A26A8">
              <w:rPr>
                <w:color w:val="000000"/>
                <w:spacing w:val="179"/>
                <w:shd w:val="solid" w:color="000000" w:fill="000000"/>
                <w:fitText w:val="265" w:id="-1234442998"/>
                <w14:textFill>
                  <w14:solidFill>
                    <w14:srgbClr w14:val="000000">
                      <w14:alpha w14:val="100000"/>
                    </w14:srgbClr>
                  </w14:solidFill>
                </w14:textFill>
              </w:rPr>
              <w:t>|</w:t>
            </w:r>
            <w:r w:rsidRPr="003A26A8">
              <w:rPr>
                <w:color w:val="000000"/>
                <w:spacing w:val="1"/>
                <w:shd w:val="solid" w:color="000000" w:fill="000000"/>
                <w:fitText w:val="265" w:id="-1234442998"/>
                <w14:textFill>
                  <w14:solidFill>
                    <w14:srgbClr w14:val="000000">
                      <w14:alpha w14:val="100000"/>
                    </w14:srgbClr>
                  </w14:solidFill>
                </w14:textFill>
              </w:rPr>
              <w:t>|</w:t>
            </w:r>
            <w:r w:rsidR="00391805">
              <w:rPr>
                <w:vertAlign w:val="superscript"/>
              </w:rPr>
              <w:t>6</w:t>
            </w:r>
          </w:p>
        </w:tc>
        <w:tc>
          <w:tcPr>
            <w:tcW w:w="545" w:type="pct"/>
            <w:shd w:val="clear" w:color="auto" w:fill="auto"/>
            <w:vAlign w:val="center"/>
          </w:tcPr>
          <w:p w14:paraId="60E9D067" w14:textId="492A4AF5" w:rsidR="00672D16" w:rsidRPr="005F0CE8" w:rsidRDefault="003A26A8" w:rsidP="00391805">
            <w:pPr>
              <w:pStyle w:val="TableText0"/>
              <w:keepNext w:val="0"/>
              <w:jc w:val="center"/>
            </w:pPr>
            <w:r w:rsidRPr="003A26A8">
              <w:rPr>
                <w:color w:val="000000"/>
                <w:spacing w:val="191"/>
                <w:shd w:val="solid" w:color="000000" w:fill="000000"/>
                <w:fitText w:val="277" w:id="-1234442997"/>
                <w14:textFill>
                  <w14:solidFill>
                    <w14:srgbClr w14:val="000000">
                      <w14:alpha w14:val="100000"/>
                    </w14:srgbClr>
                  </w14:solidFill>
                </w14:textFill>
              </w:rPr>
              <w:t>|</w:t>
            </w:r>
            <w:r w:rsidRPr="003A26A8">
              <w:rPr>
                <w:color w:val="000000"/>
                <w:spacing w:val="1"/>
                <w:shd w:val="solid" w:color="000000" w:fill="000000"/>
                <w:fitText w:val="277" w:id="-1234442997"/>
                <w14:textFill>
                  <w14:solidFill>
                    <w14:srgbClr w14:val="000000">
                      <w14:alpha w14:val="100000"/>
                    </w14:srgbClr>
                  </w14:solidFill>
                </w14:textFill>
              </w:rPr>
              <w:t>|</w:t>
            </w:r>
            <w:r w:rsidR="00391805">
              <w:rPr>
                <w:vertAlign w:val="superscript"/>
              </w:rPr>
              <w:t>6</w:t>
            </w:r>
          </w:p>
        </w:tc>
        <w:tc>
          <w:tcPr>
            <w:tcW w:w="548" w:type="pct"/>
            <w:vAlign w:val="center"/>
          </w:tcPr>
          <w:p w14:paraId="04ECD849" w14:textId="0BE9E27C" w:rsidR="00672D16" w:rsidRPr="005F0CE8" w:rsidRDefault="003A26A8" w:rsidP="00391805">
            <w:pPr>
              <w:pStyle w:val="TableText0"/>
              <w:keepNext w:val="0"/>
              <w:jc w:val="center"/>
            </w:pPr>
            <w:r w:rsidRPr="003A26A8">
              <w:rPr>
                <w:color w:val="000000"/>
                <w:spacing w:val="191"/>
                <w:shd w:val="solid" w:color="000000" w:fill="000000"/>
                <w:fitText w:val="277" w:id="-1234442996"/>
                <w14:textFill>
                  <w14:solidFill>
                    <w14:srgbClr w14:val="000000">
                      <w14:alpha w14:val="100000"/>
                    </w14:srgbClr>
                  </w14:solidFill>
                </w14:textFill>
              </w:rPr>
              <w:t>|</w:t>
            </w:r>
            <w:r w:rsidRPr="003A26A8">
              <w:rPr>
                <w:color w:val="000000"/>
                <w:spacing w:val="1"/>
                <w:shd w:val="solid" w:color="000000" w:fill="000000"/>
                <w:fitText w:val="277" w:id="-1234442996"/>
                <w14:textFill>
                  <w14:solidFill>
                    <w14:srgbClr w14:val="000000">
                      <w14:alpha w14:val="100000"/>
                    </w14:srgbClr>
                  </w14:solidFill>
                </w14:textFill>
              </w:rPr>
              <w:t>|</w:t>
            </w:r>
            <w:r w:rsidR="00391805">
              <w:rPr>
                <w:vertAlign w:val="superscript"/>
              </w:rPr>
              <w:t>6</w:t>
            </w:r>
          </w:p>
        </w:tc>
      </w:tr>
      <w:tr w:rsidR="00672D16" w:rsidRPr="005F0CE8" w14:paraId="14304BC9" w14:textId="77777777" w:rsidTr="005F2CDD">
        <w:trPr>
          <w:cantSplit/>
        </w:trPr>
        <w:tc>
          <w:tcPr>
            <w:tcW w:w="154" w:type="pct"/>
          </w:tcPr>
          <w:p w14:paraId="58DB7B1D" w14:textId="77777777" w:rsidR="00672D16" w:rsidRPr="005F0CE8" w:rsidRDefault="00672D16">
            <w:pPr>
              <w:pStyle w:val="In-tableHeading"/>
              <w:keepNext w:val="0"/>
              <w:rPr>
                <w:bCs/>
                <w:color w:val="000000"/>
                <w:lang w:val="en-AU"/>
              </w:rPr>
            </w:pPr>
          </w:p>
        </w:tc>
        <w:tc>
          <w:tcPr>
            <w:tcW w:w="4846" w:type="pct"/>
            <w:gridSpan w:val="7"/>
            <w:shd w:val="clear" w:color="auto" w:fill="auto"/>
            <w:vAlign w:val="center"/>
          </w:tcPr>
          <w:p w14:paraId="770EF740" w14:textId="77777777" w:rsidR="00672D16" w:rsidRPr="005F0CE8" w:rsidRDefault="00672D16">
            <w:pPr>
              <w:pStyle w:val="In-tableHeading"/>
              <w:keepNext w:val="0"/>
              <w:rPr>
                <w:bCs/>
                <w:color w:val="000000"/>
                <w:lang w:val="en-AU"/>
              </w:rPr>
            </w:pPr>
            <w:r w:rsidRPr="005F0CE8">
              <w:rPr>
                <w:bCs/>
                <w:color w:val="000000"/>
                <w:lang w:val="en-AU"/>
              </w:rPr>
              <w:t>Estimated extent of use of olaparib</w:t>
            </w:r>
          </w:p>
        </w:tc>
      </w:tr>
      <w:tr w:rsidR="00672D16" w:rsidRPr="005F0CE8" w14:paraId="0686E042" w14:textId="77777777" w:rsidTr="005F2CDD">
        <w:trPr>
          <w:cantSplit/>
        </w:trPr>
        <w:tc>
          <w:tcPr>
            <w:tcW w:w="154" w:type="pct"/>
          </w:tcPr>
          <w:p w14:paraId="1BD8297A" w14:textId="77777777" w:rsidR="00672D16" w:rsidRPr="005F0CE8" w:rsidRDefault="00672D16">
            <w:pPr>
              <w:pStyle w:val="TableText0"/>
              <w:keepNext w:val="0"/>
            </w:pPr>
            <w:r w:rsidRPr="005F0CE8">
              <w:t>M</w:t>
            </w:r>
          </w:p>
        </w:tc>
        <w:tc>
          <w:tcPr>
            <w:tcW w:w="1571" w:type="pct"/>
            <w:shd w:val="clear" w:color="auto" w:fill="auto"/>
            <w:vAlign w:val="center"/>
          </w:tcPr>
          <w:p w14:paraId="4EBBDD6C" w14:textId="77777777" w:rsidR="00672D16" w:rsidRPr="005F0CE8" w:rsidRDefault="00672D16">
            <w:pPr>
              <w:pStyle w:val="TableText0"/>
              <w:keepNext w:val="0"/>
            </w:pPr>
            <w:r w:rsidRPr="005F0CE8">
              <w:t xml:space="preserve">Triple negative early breast cancer </w:t>
            </w:r>
          </w:p>
        </w:tc>
        <w:tc>
          <w:tcPr>
            <w:tcW w:w="545" w:type="pct"/>
            <w:shd w:val="clear" w:color="auto" w:fill="auto"/>
            <w:vAlign w:val="center"/>
          </w:tcPr>
          <w:p w14:paraId="182A699B" w14:textId="2711B5B5" w:rsidR="00672D16" w:rsidRPr="005F0CE8" w:rsidRDefault="003A26A8">
            <w:pPr>
              <w:pStyle w:val="TableText0"/>
              <w:keepNext w:val="0"/>
              <w:jc w:val="center"/>
            </w:pPr>
            <w:r w:rsidRPr="003A26A8">
              <w:rPr>
                <w:color w:val="000000"/>
                <w:spacing w:val="190"/>
                <w:shd w:val="solid" w:color="000000" w:fill="000000"/>
                <w:fitText w:val="276" w:id="-1234442995"/>
                <w14:textFill>
                  <w14:solidFill>
                    <w14:srgbClr w14:val="000000">
                      <w14:alpha w14:val="100000"/>
                    </w14:srgbClr>
                  </w14:solidFill>
                </w14:textFill>
              </w:rPr>
              <w:t>|</w:t>
            </w:r>
            <w:r w:rsidRPr="003A26A8">
              <w:rPr>
                <w:color w:val="000000"/>
                <w:spacing w:val="1"/>
                <w:shd w:val="solid" w:color="000000" w:fill="000000"/>
                <w:fitText w:val="276" w:id="-1234442995"/>
                <w14:textFill>
                  <w14:solidFill>
                    <w14:srgbClr w14:val="000000">
                      <w14:alpha w14:val="100000"/>
                    </w14:srgbClr>
                  </w14:solidFill>
                </w14:textFill>
              </w:rPr>
              <w:t>|</w:t>
            </w:r>
            <w:r w:rsidR="00391805">
              <w:rPr>
                <w:vertAlign w:val="superscript"/>
              </w:rPr>
              <w:t>4</w:t>
            </w:r>
          </w:p>
        </w:tc>
        <w:tc>
          <w:tcPr>
            <w:tcW w:w="546" w:type="pct"/>
            <w:shd w:val="clear" w:color="auto" w:fill="auto"/>
            <w:vAlign w:val="center"/>
          </w:tcPr>
          <w:p w14:paraId="2E220BF8" w14:textId="27D36685" w:rsidR="00672D16" w:rsidRPr="005F0CE8" w:rsidRDefault="003A26A8">
            <w:pPr>
              <w:pStyle w:val="TableText0"/>
              <w:keepNext w:val="0"/>
              <w:jc w:val="center"/>
            </w:pPr>
            <w:r w:rsidRPr="003A26A8">
              <w:rPr>
                <w:color w:val="000000"/>
                <w:spacing w:val="179"/>
                <w:shd w:val="solid" w:color="000000" w:fill="000000"/>
                <w:fitText w:val="265" w:id="-1234442994"/>
                <w14:textFill>
                  <w14:solidFill>
                    <w14:srgbClr w14:val="000000">
                      <w14:alpha w14:val="100000"/>
                    </w14:srgbClr>
                  </w14:solidFill>
                </w14:textFill>
              </w:rPr>
              <w:t>|</w:t>
            </w:r>
            <w:r w:rsidRPr="003A26A8">
              <w:rPr>
                <w:color w:val="000000"/>
                <w:spacing w:val="1"/>
                <w:shd w:val="solid" w:color="000000" w:fill="000000"/>
                <w:fitText w:val="265" w:id="-1234442994"/>
                <w14:textFill>
                  <w14:solidFill>
                    <w14:srgbClr w14:val="000000">
                      <w14:alpha w14:val="100000"/>
                    </w14:srgbClr>
                  </w14:solidFill>
                </w14:textFill>
              </w:rPr>
              <w:t>|</w:t>
            </w:r>
            <w:r w:rsidR="00391805">
              <w:rPr>
                <w:vertAlign w:val="superscript"/>
              </w:rPr>
              <w:t>4</w:t>
            </w:r>
          </w:p>
        </w:tc>
        <w:tc>
          <w:tcPr>
            <w:tcW w:w="545" w:type="pct"/>
            <w:shd w:val="clear" w:color="auto" w:fill="auto"/>
            <w:vAlign w:val="center"/>
          </w:tcPr>
          <w:p w14:paraId="6B31E675" w14:textId="5B050077" w:rsidR="00672D16" w:rsidRPr="005F0CE8" w:rsidRDefault="003A26A8">
            <w:pPr>
              <w:pStyle w:val="TableText0"/>
              <w:keepNext w:val="0"/>
              <w:jc w:val="center"/>
            </w:pPr>
            <w:r w:rsidRPr="003A26A8">
              <w:rPr>
                <w:color w:val="000000"/>
                <w:spacing w:val="190"/>
                <w:shd w:val="solid" w:color="000000" w:fill="000000"/>
                <w:fitText w:val="276" w:id="-1234442993"/>
                <w14:textFill>
                  <w14:solidFill>
                    <w14:srgbClr w14:val="000000">
                      <w14:alpha w14:val="100000"/>
                    </w14:srgbClr>
                  </w14:solidFill>
                </w14:textFill>
              </w:rPr>
              <w:t>|</w:t>
            </w:r>
            <w:r w:rsidRPr="003A26A8">
              <w:rPr>
                <w:color w:val="000000"/>
                <w:spacing w:val="1"/>
                <w:shd w:val="solid" w:color="000000" w:fill="000000"/>
                <w:fitText w:val="276" w:id="-1234442993"/>
                <w14:textFill>
                  <w14:solidFill>
                    <w14:srgbClr w14:val="000000">
                      <w14:alpha w14:val="100000"/>
                    </w14:srgbClr>
                  </w14:solidFill>
                </w14:textFill>
              </w:rPr>
              <w:t>|</w:t>
            </w:r>
            <w:r w:rsidR="00391805">
              <w:rPr>
                <w:vertAlign w:val="superscript"/>
              </w:rPr>
              <w:t>4</w:t>
            </w:r>
          </w:p>
        </w:tc>
        <w:tc>
          <w:tcPr>
            <w:tcW w:w="546" w:type="pct"/>
            <w:shd w:val="clear" w:color="auto" w:fill="auto"/>
            <w:vAlign w:val="center"/>
          </w:tcPr>
          <w:p w14:paraId="74630DA3" w14:textId="7A798B6B" w:rsidR="00672D16" w:rsidRPr="005F0CE8" w:rsidRDefault="003A26A8">
            <w:pPr>
              <w:pStyle w:val="TableText0"/>
              <w:keepNext w:val="0"/>
              <w:jc w:val="center"/>
            </w:pPr>
            <w:r w:rsidRPr="003A26A8">
              <w:rPr>
                <w:color w:val="000000"/>
                <w:spacing w:val="179"/>
                <w:shd w:val="solid" w:color="000000" w:fill="000000"/>
                <w:fitText w:val="265" w:id="-1234442992"/>
                <w14:textFill>
                  <w14:solidFill>
                    <w14:srgbClr w14:val="000000">
                      <w14:alpha w14:val="100000"/>
                    </w14:srgbClr>
                  </w14:solidFill>
                </w14:textFill>
              </w:rPr>
              <w:t>|</w:t>
            </w:r>
            <w:r w:rsidRPr="003A26A8">
              <w:rPr>
                <w:color w:val="000000"/>
                <w:spacing w:val="1"/>
                <w:shd w:val="solid" w:color="000000" w:fill="000000"/>
                <w:fitText w:val="265" w:id="-1234442992"/>
                <w14:textFill>
                  <w14:solidFill>
                    <w14:srgbClr w14:val="000000">
                      <w14:alpha w14:val="100000"/>
                    </w14:srgbClr>
                  </w14:solidFill>
                </w14:textFill>
              </w:rPr>
              <w:t>|</w:t>
            </w:r>
            <w:r w:rsidR="00391805">
              <w:rPr>
                <w:vertAlign w:val="superscript"/>
              </w:rPr>
              <w:t>4</w:t>
            </w:r>
          </w:p>
        </w:tc>
        <w:tc>
          <w:tcPr>
            <w:tcW w:w="545" w:type="pct"/>
            <w:shd w:val="clear" w:color="auto" w:fill="auto"/>
            <w:vAlign w:val="center"/>
          </w:tcPr>
          <w:p w14:paraId="170F1F3A" w14:textId="3464C64A" w:rsidR="00672D16" w:rsidRPr="005F0CE8" w:rsidRDefault="003A26A8">
            <w:pPr>
              <w:pStyle w:val="TableText0"/>
              <w:keepNext w:val="0"/>
              <w:jc w:val="center"/>
            </w:pPr>
            <w:r w:rsidRPr="003A26A8">
              <w:rPr>
                <w:color w:val="000000"/>
                <w:spacing w:val="191"/>
                <w:shd w:val="solid" w:color="000000" w:fill="000000"/>
                <w:fitText w:val="277" w:id="-1234443008"/>
                <w14:textFill>
                  <w14:solidFill>
                    <w14:srgbClr w14:val="000000">
                      <w14:alpha w14:val="100000"/>
                    </w14:srgbClr>
                  </w14:solidFill>
                </w14:textFill>
              </w:rPr>
              <w:t>|</w:t>
            </w:r>
            <w:r w:rsidRPr="003A26A8">
              <w:rPr>
                <w:color w:val="000000"/>
                <w:spacing w:val="1"/>
                <w:shd w:val="solid" w:color="000000" w:fill="000000"/>
                <w:fitText w:val="277" w:id="-1234443008"/>
                <w14:textFill>
                  <w14:solidFill>
                    <w14:srgbClr w14:val="000000">
                      <w14:alpha w14:val="100000"/>
                    </w14:srgbClr>
                  </w14:solidFill>
                </w14:textFill>
              </w:rPr>
              <w:t>|</w:t>
            </w:r>
            <w:r w:rsidR="00391805">
              <w:rPr>
                <w:vertAlign w:val="superscript"/>
              </w:rPr>
              <w:t>4</w:t>
            </w:r>
          </w:p>
        </w:tc>
        <w:tc>
          <w:tcPr>
            <w:tcW w:w="548" w:type="pct"/>
            <w:vAlign w:val="center"/>
          </w:tcPr>
          <w:p w14:paraId="3A2DB509" w14:textId="68C6799C" w:rsidR="00672D16" w:rsidRPr="005F0CE8" w:rsidRDefault="003A26A8">
            <w:pPr>
              <w:pStyle w:val="TableText0"/>
              <w:keepNext w:val="0"/>
              <w:jc w:val="center"/>
            </w:pPr>
            <w:r w:rsidRPr="003A26A8">
              <w:rPr>
                <w:color w:val="000000"/>
                <w:spacing w:val="191"/>
                <w:shd w:val="solid" w:color="000000" w:fill="000000"/>
                <w:fitText w:val="277" w:id="-1234443007"/>
                <w14:textFill>
                  <w14:solidFill>
                    <w14:srgbClr w14:val="000000">
                      <w14:alpha w14:val="100000"/>
                    </w14:srgbClr>
                  </w14:solidFill>
                </w14:textFill>
              </w:rPr>
              <w:t>|</w:t>
            </w:r>
            <w:r w:rsidRPr="003A26A8">
              <w:rPr>
                <w:color w:val="000000"/>
                <w:spacing w:val="1"/>
                <w:shd w:val="solid" w:color="000000" w:fill="000000"/>
                <w:fitText w:val="277" w:id="-1234443007"/>
                <w14:textFill>
                  <w14:solidFill>
                    <w14:srgbClr w14:val="000000">
                      <w14:alpha w14:val="100000"/>
                    </w14:srgbClr>
                  </w14:solidFill>
                </w14:textFill>
              </w:rPr>
              <w:t>|</w:t>
            </w:r>
            <w:r w:rsidR="00391805">
              <w:rPr>
                <w:vertAlign w:val="superscript"/>
              </w:rPr>
              <w:t>4</w:t>
            </w:r>
          </w:p>
        </w:tc>
      </w:tr>
      <w:tr w:rsidR="00672D16" w:rsidRPr="005F0CE8" w14:paraId="3BE32B1A" w14:textId="77777777" w:rsidTr="005F2CDD">
        <w:trPr>
          <w:cantSplit/>
        </w:trPr>
        <w:tc>
          <w:tcPr>
            <w:tcW w:w="154" w:type="pct"/>
          </w:tcPr>
          <w:p w14:paraId="7F55EA1D" w14:textId="77777777" w:rsidR="00672D16" w:rsidRPr="005F0CE8" w:rsidRDefault="00672D16">
            <w:pPr>
              <w:pStyle w:val="TableText0"/>
              <w:keepNext w:val="0"/>
            </w:pPr>
            <w:r w:rsidRPr="005F0CE8">
              <w:t>N</w:t>
            </w:r>
          </w:p>
        </w:tc>
        <w:tc>
          <w:tcPr>
            <w:tcW w:w="1571" w:type="pct"/>
            <w:shd w:val="clear" w:color="auto" w:fill="auto"/>
            <w:vAlign w:val="center"/>
          </w:tcPr>
          <w:p w14:paraId="1E0345D6" w14:textId="53CF86F1" w:rsidR="00672D16" w:rsidRPr="005F0CE8" w:rsidRDefault="00672D16">
            <w:pPr>
              <w:pStyle w:val="TableText0"/>
              <w:keepNext w:val="0"/>
            </w:pPr>
            <w:r w:rsidRPr="005F0CE8">
              <w:t xml:space="preserve">HR-positive, HER2-negative </w:t>
            </w:r>
            <w:r w:rsidR="00D6541C">
              <w:t>high-risk</w:t>
            </w:r>
            <w:r w:rsidRPr="005F0CE8">
              <w:t xml:space="preserve"> breast cancer </w:t>
            </w:r>
          </w:p>
        </w:tc>
        <w:tc>
          <w:tcPr>
            <w:tcW w:w="545" w:type="pct"/>
            <w:shd w:val="clear" w:color="auto" w:fill="auto"/>
            <w:vAlign w:val="center"/>
          </w:tcPr>
          <w:p w14:paraId="7E9ADA69" w14:textId="4515D1F0" w:rsidR="00672D16" w:rsidRPr="005F0CE8" w:rsidRDefault="003A26A8">
            <w:pPr>
              <w:pStyle w:val="TableText0"/>
              <w:keepNext w:val="0"/>
              <w:jc w:val="center"/>
            </w:pPr>
            <w:r w:rsidRPr="003A26A8">
              <w:rPr>
                <w:color w:val="000000"/>
                <w:spacing w:val="190"/>
                <w:shd w:val="solid" w:color="000000" w:fill="000000"/>
                <w:fitText w:val="276" w:id="-1234443006"/>
                <w14:textFill>
                  <w14:solidFill>
                    <w14:srgbClr w14:val="000000">
                      <w14:alpha w14:val="100000"/>
                    </w14:srgbClr>
                  </w14:solidFill>
                </w14:textFill>
              </w:rPr>
              <w:t>|</w:t>
            </w:r>
            <w:r w:rsidRPr="003A26A8">
              <w:rPr>
                <w:color w:val="000000"/>
                <w:spacing w:val="1"/>
                <w:shd w:val="solid" w:color="000000" w:fill="000000"/>
                <w:fitText w:val="276" w:id="-1234443006"/>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15B9ECC7" w14:textId="737B2232" w:rsidR="00672D16" w:rsidRPr="005F0CE8" w:rsidRDefault="003A26A8">
            <w:pPr>
              <w:pStyle w:val="TableText0"/>
              <w:keepNext w:val="0"/>
              <w:jc w:val="center"/>
            </w:pPr>
            <w:r w:rsidRPr="003A26A8">
              <w:rPr>
                <w:color w:val="000000"/>
                <w:spacing w:val="179"/>
                <w:shd w:val="solid" w:color="000000" w:fill="000000"/>
                <w:fitText w:val="265" w:id="-1234443005"/>
                <w14:textFill>
                  <w14:solidFill>
                    <w14:srgbClr w14:val="000000">
                      <w14:alpha w14:val="100000"/>
                    </w14:srgbClr>
                  </w14:solidFill>
                </w14:textFill>
              </w:rPr>
              <w:t>|</w:t>
            </w:r>
            <w:r w:rsidRPr="003A26A8">
              <w:rPr>
                <w:color w:val="000000"/>
                <w:spacing w:val="1"/>
                <w:shd w:val="solid" w:color="000000" w:fill="000000"/>
                <w:fitText w:val="265" w:id="-1234443005"/>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18BD40DF" w14:textId="15D1A591" w:rsidR="00672D16" w:rsidRPr="005F0CE8" w:rsidRDefault="003A26A8">
            <w:pPr>
              <w:pStyle w:val="TableText0"/>
              <w:keepNext w:val="0"/>
              <w:jc w:val="center"/>
            </w:pPr>
            <w:r w:rsidRPr="003A26A8">
              <w:rPr>
                <w:color w:val="000000"/>
                <w:spacing w:val="190"/>
                <w:shd w:val="solid" w:color="000000" w:fill="000000"/>
                <w:fitText w:val="276" w:id="-1234443004"/>
                <w14:textFill>
                  <w14:solidFill>
                    <w14:srgbClr w14:val="000000">
                      <w14:alpha w14:val="100000"/>
                    </w14:srgbClr>
                  </w14:solidFill>
                </w14:textFill>
              </w:rPr>
              <w:t>|</w:t>
            </w:r>
            <w:r w:rsidRPr="003A26A8">
              <w:rPr>
                <w:color w:val="000000"/>
                <w:spacing w:val="1"/>
                <w:shd w:val="solid" w:color="000000" w:fill="000000"/>
                <w:fitText w:val="276" w:id="-1234443004"/>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2F6E75CB" w14:textId="7D016692" w:rsidR="00672D16" w:rsidRPr="005F0CE8" w:rsidRDefault="003A26A8">
            <w:pPr>
              <w:pStyle w:val="TableText0"/>
              <w:keepNext w:val="0"/>
              <w:jc w:val="center"/>
            </w:pPr>
            <w:r w:rsidRPr="003A26A8">
              <w:rPr>
                <w:color w:val="000000"/>
                <w:spacing w:val="179"/>
                <w:shd w:val="solid" w:color="000000" w:fill="000000"/>
                <w:fitText w:val="265" w:id="-1234443003"/>
                <w14:textFill>
                  <w14:solidFill>
                    <w14:srgbClr w14:val="000000">
                      <w14:alpha w14:val="100000"/>
                    </w14:srgbClr>
                  </w14:solidFill>
                </w14:textFill>
              </w:rPr>
              <w:t>|</w:t>
            </w:r>
            <w:r w:rsidRPr="003A26A8">
              <w:rPr>
                <w:color w:val="000000"/>
                <w:spacing w:val="1"/>
                <w:shd w:val="solid" w:color="000000" w:fill="000000"/>
                <w:fitText w:val="265" w:id="-1234443003"/>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3BA9AADD" w14:textId="3799AD46" w:rsidR="00672D16" w:rsidRPr="005F0CE8" w:rsidRDefault="003A26A8">
            <w:pPr>
              <w:pStyle w:val="TableText0"/>
              <w:keepNext w:val="0"/>
              <w:jc w:val="center"/>
            </w:pPr>
            <w:r w:rsidRPr="003A26A8">
              <w:rPr>
                <w:color w:val="000000"/>
                <w:spacing w:val="191"/>
                <w:shd w:val="solid" w:color="000000" w:fill="000000"/>
                <w:fitText w:val="277" w:id="-1234443002"/>
                <w14:textFill>
                  <w14:solidFill>
                    <w14:srgbClr w14:val="000000">
                      <w14:alpha w14:val="100000"/>
                    </w14:srgbClr>
                  </w14:solidFill>
                </w14:textFill>
              </w:rPr>
              <w:t>|</w:t>
            </w:r>
            <w:r w:rsidRPr="003A26A8">
              <w:rPr>
                <w:color w:val="000000"/>
                <w:spacing w:val="1"/>
                <w:shd w:val="solid" w:color="000000" w:fill="000000"/>
                <w:fitText w:val="277" w:id="-1234443002"/>
                <w14:textFill>
                  <w14:solidFill>
                    <w14:srgbClr w14:val="000000">
                      <w14:alpha w14:val="100000"/>
                    </w14:srgbClr>
                  </w14:solidFill>
                </w14:textFill>
              </w:rPr>
              <w:t>|</w:t>
            </w:r>
            <w:r w:rsidR="00391805">
              <w:rPr>
                <w:vertAlign w:val="superscript"/>
              </w:rPr>
              <w:t>3</w:t>
            </w:r>
          </w:p>
        </w:tc>
        <w:tc>
          <w:tcPr>
            <w:tcW w:w="548" w:type="pct"/>
            <w:vAlign w:val="center"/>
          </w:tcPr>
          <w:p w14:paraId="770CAA03" w14:textId="6650C24B" w:rsidR="00672D16" w:rsidRPr="005F0CE8" w:rsidRDefault="003A26A8">
            <w:pPr>
              <w:pStyle w:val="TableText0"/>
              <w:keepNext w:val="0"/>
              <w:jc w:val="center"/>
            </w:pPr>
            <w:r w:rsidRPr="003A26A8">
              <w:rPr>
                <w:color w:val="000000"/>
                <w:spacing w:val="191"/>
                <w:shd w:val="solid" w:color="000000" w:fill="000000"/>
                <w:fitText w:val="277" w:id="-1234443001"/>
                <w14:textFill>
                  <w14:solidFill>
                    <w14:srgbClr w14:val="000000">
                      <w14:alpha w14:val="100000"/>
                    </w14:srgbClr>
                  </w14:solidFill>
                </w14:textFill>
              </w:rPr>
              <w:t>|</w:t>
            </w:r>
            <w:r w:rsidRPr="003A26A8">
              <w:rPr>
                <w:color w:val="000000"/>
                <w:spacing w:val="1"/>
                <w:shd w:val="solid" w:color="000000" w:fill="000000"/>
                <w:fitText w:val="277" w:id="-1234443001"/>
                <w14:textFill>
                  <w14:solidFill>
                    <w14:srgbClr w14:val="000000">
                      <w14:alpha w14:val="100000"/>
                    </w14:srgbClr>
                  </w14:solidFill>
                </w14:textFill>
              </w:rPr>
              <w:t>|</w:t>
            </w:r>
            <w:r w:rsidR="00391805">
              <w:rPr>
                <w:vertAlign w:val="superscript"/>
              </w:rPr>
              <w:t>3</w:t>
            </w:r>
          </w:p>
        </w:tc>
      </w:tr>
      <w:tr w:rsidR="00672D16" w:rsidRPr="005F0CE8" w14:paraId="3154DB18" w14:textId="77777777" w:rsidTr="005F2CDD">
        <w:trPr>
          <w:cantSplit/>
        </w:trPr>
        <w:tc>
          <w:tcPr>
            <w:tcW w:w="154" w:type="pct"/>
          </w:tcPr>
          <w:p w14:paraId="14F96196" w14:textId="77777777" w:rsidR="00672D16" w:rsidRPr="005F0CE8" w:rsidRDefault="00672D16">
            <w:pPr>
              <w:pStyle w:val="TableText0"/>
              <w:keepNext w:val="0"/>
            </w:pPr>
            <w:r w:rsidRPr="005F0CE8">
              <w:t>O</w:t>
            </w:r>
          </w:p>
        </w:tc>
        <w:tc>
          <w:tcPr>
            <w:tcW w:w="1571" w:type="pct"/>
            <w:shd w:val="clear" w:color="auto" w:fill="auto"/>
            <w:vAlign w:val="center"/>
          </w:tcPr>
          <w:p w14:paraId="3E216280" w14:textId="77777777" w:rsidR="00672D16" w:rsidRPr="005F0CE8" w:rsidRDefault="00672D16">
            <w:pPr>
              <w:pStyle w:val="TableText0"/>
              <w:keepNext w:val="0"/>
            </w:pPr>
            <w:r w:rsidRPr="005F0CE8">
              <w:t xml:space="preserve">Grandfathered patients </w:t>
            </w:r>
          </w:p>
        </w:tc>
        <w:tc>
          <w:tcPr>
            <w:tcW w:w="545" w:type="pct"/>
            <w:shd w:val="clear" w:color="auto" w:fill="auto"/>
            <w:vAlign w:val="center"/>
          </w:tcPr>
          <w:p w14:paraId="21CCAC62" w14:textId="4100FA2C" w:rsidR="00672D16" w:rsidRPr="005F0CE8" w:rsidRDefault="003A26A8">
            <w:pPr>
              <w:pStyle w:val="TableText0"/>
              <w:keepNext w:val="0"/>
              <w:jc w:val="center"/>
            </w:pPr>
            <w:r w:rsidRPr="003A26A8">
              <w:rPr>
                <w:color w:val="000000"/>
                <w:spacing w:val="190"/>
                <w:shd w:val="solid" w:color="000000" w:fill="000000"/>
                <w:fitText w:val="276" w:id="-1234443000"/>
                <w14:textFill>
                  <w14:solidFill>
                    <w14:srgbClr w14:val="000000">
                      <w14:alpha w14:val="100000"/>
                    </w14:srgbClr>
                  </w14:solidFill>
                </w14:textFill>
              </w:rPr>
              <w:t>|</w:t>
            </w:r>
            <w:r w:rsidRPr="003A26A8">
              <w:rPr>
                <w:color w:val="000000"/>
                <w:spacing w:val="1"/>
                <w:shd w:val="solid" w:color="000000" w:fill="000000"/>
                <w:fitText w:val="276" w:id="-1234443000"/>
                <w14:textFill>
                  <w14:solidFill>
                    <w14:srgbClr w14:val="000000">
                      <w14:alpha w14:val="100000"/>
                    </w14:srgbClr>
                  </w14:solidFill>
                </w14:textFill>
              </w:rPr>
              <w:t>|</w:t>
            </w:r>
            <w:r w:rsidR="00391805">
              <w:rPr>
                <w:vertAlign w:val="superscript"/>
              </w:rPr>
              <w:t>4</w:t>
            </w:r>
          </w:p>
        </w:tc>
        <w:tc>
          <w:tcPr>
            <w:tcW w:w="546" w:type="pct"/>
            <w:shd w:val="clear" w:color="auto" w:fill="auto"/>
            <w:vAlign w:val="center"/>
          </w:tcPr>
          <w:p w14:paraId="43FDE3F3" w14:textId="147CBE82" w:rsidR="00672D16" w:rsidRPr="005F0CE8" w:rsidRDefault="003A26A8">
            <w:pPr>
              <w:pStyle w:val="TableText0"/>
              <w:keepNext w:val="0"/>
              <w:jc w:val="center"/>
            </w:pPr>
            <w:r w:rsidRPr="003A26A8">
              <w:rPr>
                <w:color w:val="000000"/>
                <w:spacing w:val="179"/>
                <w:shd w:val="solid" w:color="000000" w:fill="000000"/>
                <w:fitText w:val="265" w:id="-1234442999"/>
                <w14:textFill>
                  <w14:solidFill>
                    <w14:srgbClr w14:val="000000">
                      <w14:alpha w14:val="100000"/>
                    </w14:srgbClr>
                  </w14:solidFill>
                </w14:textFill>
              </w:rPr>
              <w:t>|</w:t>
            </w:r>
            <w:r w:rsidRPr="003A26A8">
              <w:rPr>
                <w:color w:val="000000"/>
                <w:spacing w:val="1"/>
                <w:shd w:val="solid" w:color="000000" w:fill="000000"/>
                <w:fitText w:val="265" w:id="-1234442999"/>
                <w14:textFill>
                  <w14:solidFill>
                    <w14:srgbClr w14:val="000000">
                      <w14:alpha w14:val="100000"/>
                    </w14:srgbClr>
                  </w14:solidFill>
                </w14:textFill>
              </w:rPr>
              <w:t>|</w:t>
            </w:r>
            <w:r w:rsidR="00391805">
              <w:rPr>
                <w:vertAlign w:val="superscript"/>
              </w:rPr>
              <w:t>4</w:t>
            </w:r>
          </w:p>
        </w:tc>
        <w:tc>
          <w:tcPr>
            <w:tcW w:w="545" w:type="pct"/>
            <w:shd w:val="clear" w:color="auto" w:fill="auto"/>
            <w:vAlign w:val="center"/>
          </w:tcPr>
          <w:p w14:paraId="7E1EAB87" w14:textId="3A8ECCD8" w:rsidR="00672D16" w:rsidRPr="005F0CE8" w:rsidRDefault="003A26A8">
            <w:pPr>
              <w:pStyle w:val="TableText0"/>
              <w:keepNext w:val="0"/>
              <w:jc w:val="center"/>
            </w:pPr>
            <w:r w:rsidRPr="003A26A8">
              <w:rPr>
                <w:color w:val="000000"/>
                <w:spacing w:val="190"/>
                <w:shd w:val="solid" w:color="000000" w:fill="000000"/>
                <w:fitText w:val="276" w:id="-1234442998"/>
                <w14:textFill>
                  <w14:solidFill>
                    <w14:srgbClr w14:val="000000">
                      <w14:alpha w14:val="100000"/>
                    </w14:srgbClr>
                  </w14:solidFill>
                </w14:textFill>
              </w:rPr>
              <w:t>|</w:t>
            </w:r>
            <w:r w:rsidRPr="003A26A8">
              <w:rPr>
                <w:color w:val="000000"/>
                <w:spacing w:val="1"/>
                <w:shd w:val="solid" w:color="000000" w:fill="000000"/>
                <w:fitText w:val="276" w:id="-1234442998"/>
                <w14:textFill>
                  <w14:solidFill>
                    <w14:srgbClr w14:val="000000">
                      <w14:alpha w14:val="100000"/>
                    </w14:srgbClr>
                  </w14:solidFill>
                </w14:textFill>
              </w:rPr>
              <w:t>|</w:t>
            </w:r>
            <w:r w:rsidR="00391805">
              <w:rPr>
                <w:vertAlign w:val="superscript"/>
              </w:rPr>
              <w:t>4</w:t>
            </w:r>
          </w:p>
        </w:tc>
        <w:tc>
          <w:tcPr>
            <w:tcW w:w="546" w:type="pct"/>
            <w:shd w:val="clear" w:color="auto" w:fill="auto"/>
            <w:vAlign w:val="center"/>
          </w:tcPr>
          <w:p w14:paraId="79A75A78" w14:textId="54D37DB6" w:rsidR="00672D16" w:rsidRPr="005F0CE8" w:rsidRDefault="003A26A8">
            <w:pPr>
              <w:pStyle w:val="TableText0"/>
              <w:keepNext w:val="0"/>
              <w:jc w:val="center"/>
            </w:pPr>
            <w:r w:rsidRPr="003A26A8">
              <w:rPr>
                <w:color w:val="000000"/>
                <w:spacing w:val="179"/>
                <w:shd w:val="solid" w:color="000000" w:fill="000000"/>
                <w:fitText w:val="265" w:id="-1234442997"/>
                <w14:textFill>
                  <w14:solidFill>
                    <w14:srgbClr w14:val="000000">
                      <w14:alpha w14:val="100000"/>
                    </w14:srgbClr>
                  </w14:solidFill>
                </w14:textFill>
              </w:rPr>
              <w:t>|</w:t>
            </w:r>
            <w:r w:rsidRPr="003A26A8">
              <w:rPr>
                <w:color w:val="000000"/>
                <w:spacing w:val="1"/>
                <w:shd w:val="solid" w:color="000000" w:fill="000000"/>
                <w:fitText w:val="265" w:id="-1234442997"/>
                <w14:textFill>
                  <w14:solidFill>
                    <w14:srgbClr w14:val="000000">
                      <w14:alpha w14:val="100000"/>
                    </w14:srgbClr>
                  </w14:solidFill>
                </w14:textFill>
              </w:rPr>
              <w:t>|</w:t>
            </w:r>
            <w:r w:rsidR="00391805">
              <w:rPr>
                <w:vertAlign w:val="superscript"/>
              </w:rPr>
              <w:t>4</w:t>
            </w:r>
          </w:p>
        </w:tc>
        <w:tc>
          <w:tcPr>
            <w:tcW w:w="545" w:type="pct"/>
            <w:shd w:val="clear" w:color="auto" w:fill="auto"/>
            <w:vAlign w:val="center"/>
          </w:tcPr>
          <w:p w14:paraId="24469453" w14:textId="427A9EB3" w:rsidR="00672D16" w:rsidRPr="005F0CE8" w:rsidRDefault="003A26A8">
            <w:pPr>
              <w:pStyle w:val="TableText0"/>
              <w:keepNext w:val="0"/>
              <w:jc w:val="center"/>
            </w:pPr>
            <w:r w:rsidRPr="003A26A8">
              <w:rPr>
                <w:color w:val="000000"/>
                <w:spacing w:val="191"/>
                <w:shd w:val="solid" w:color="000000" w:fill="000000"/>
                <w:fitText w:val="277" w:id="-1234442996"/>
                <w14:textFill>
                  <w14:solidFill>
                    <w14:srgbClr w14:val="000000">
                      <w14:alpha w14:val="100000"/>
                    </w14:srgbClr>
                  </w14:solidFill>
                </w14:textFill>
              </w:rPr>
              <w:t>|</w:t>
            </w:r>
            <w:r w:rsidRPr="003A26A8">
              <w:rPr>
                <w:color w:val="000000"/>
                <w:spacing w:val="1"/>
                <w:shd w:val="solid" w:color="000000" w:fill="000000"/>
                <w:fitText w:val="277" w:id="-1234442996"/>
                <w14:textFill>
                  <w14:solidFill>
                    <w14:srgbClr w14:val="000000">
                      <w14:alpha w14:val="100000"/>
                    </w14:srgbClr>
                  </w14:solidFill>
                </w14:textFill>
              </w:rPr>
              <w:t>|</w:t>
            </w:r>
            <w:r w:rsidR="00391805">
              <w:rPr>
                <w:vertAlign w:val="superscript"/>
              </w:rPr>
              <w:t>4</w:t>
            </w:r>
          </w:p>
        </w:tc>
        <w:tc>
          <w:tcPr>
            <w:tcW w:w="548" w:type="pct"/>
            <w:vAlign w:val="center"/>
          </w:tcPr>
          <w:p w14:paraId="42B4E8D4" w14:textId="70E494A3" w:rsidR="00672D16" w:rsidRPr="005F0CE8" w:rsidRDefault="003A26A8">
            <w:pPr>
              <w:pStyle w:val="TableText0"/>
              <w:keepNext w:val="0"/>
              <w:jc w:val="center"/>
            </w:pPr>
            <w:r w:rsidRPr="003A26A8">
              <w:rPr>
                <w:color w:val="000000"/>
                <w:spacing w:val="191"/>
                <w:shd w:val="solid" w:color="000000" w:fill="000000"/>
                <w:fitText w:val="277" w:id="-1234442995"/>
                <w14:textFill>
                  <w14:solidFill>
                    <w14:srgbClr w14:val="000000">
                      <w14:alpha w14:val="100000"/>
                    </w14:srgbClr>
                  </w14:solidFill>
                </w14:textFill>
              </w:rPr>
              <w:t>|</w:t>
            </w:r>
            <w:r w:rsidRPr="003A26A8">
              <w:rPr>
                <w:color w:val="000000"/>
                <w:spacing w:val="1"/>
                <w:shd w:val="solid" w:color="000000" w:fill="000000"/>
                <w:fitText w:val="277" w:id="-1234442995"/>
                <w14:textFill>
                  <w14:solidFill>
                    <w14:srgbClr w14:val="000000">
                      <w14:alpha w14:val="100000"/>
                    </w14:srgbClr>
                  </w14:solidFill>
                </w14:textFill>
              </w:rPr>
              <w:t>|</w:t>
            </w:r>
            <w:r w:rsidR="00391805">
              <w:rPr>
                <w:vertAlign w:val="superscript"/>
              </w:rPr>
              <w:t>4</w:t>
            </w:r>
          </w:p>
        </w:tc>
      </w:tr>
      <w:tr w:rsidR="00672D16" w:rsidRPr="005F0CE8" w14:paraId="02848ED8" w14:textId="77777777" w:rsidTr="005F2CDD">
        <w:trPr>
          <w:cantSplit/>
        </w:trPr>
        <w:tc>
          <w:tcPr>
            <w:tcW w:w="154" w:type="pct"/>
          </w:tcPr>
          <w:p w14:paraId="1F65E589" w14:textId="77777777" w:rsidR="00672D16" w:rsidRPr="005F0CE8" w:rsidRDefault="00672D16">
            <w:pPr>
              <w:pStyle w:val="TableText0"/>
              <w:keepNext w:val="0"/>
            </w:pPr>
            <w:r w:rsidRPr="005F0CE8">
              <w:t>P</w:t>
            </w:r>
          </w:p>
        </w:tc>
        <w:tc>
          <w:tcPr>
            <w:tcW w:w="1571" w:type="pct"/>
            <w:shd w:val="clear" w:color="auto" w:fill="auto"/>
            <w:vAlign w:val="center"/>
          </w:tcPr>
          <w:p w14:paraId="23238CFE" w14:textId="77777777" w:rsidR="00672D16" w:rsidRPr="005F0CE8" w:rsidRDefault="00672D16">
            <w:pPr>
              <w:pStyle w:val="TableText0"/>
              <w:keepNext w:val="0"/>
            </w:pPr>
            <w:r w:rsidRPr="005F0CE8">
              <w:t>Total number of patients (P = M + N + O)</w:t>
            </w:r>
          </w:p>
        </w:tc>
        <w:tc>
          <w:tcPr>
            <w:tcW w:w="545" w:type="pct"/>
            <w:shd w:val="clear" w:color="auto" w:fill="auto"/>
            <w:vAlign w:val="center"/>
          </w:tcPr>
          <w:p w14:paraId="25E4A60C" w14:textId="7D0446E9" w:rsidR="00672D16" w:rsidRPr="005F0CE8" w:rsidRDefault="003A26A8">
            <w:pPr>
              <w:pStyle w:val="TableText0"/>
              <w:keepNext w:val="0"/>
              <w:jc w:val="center"/>
            </w:pPr>
            <w:r w:rsidRPr="003A26A8">
              <w:rPr>
                <w:color w:val="000000"/>
                <w:spacing w:val="190"/>
                <w:shd w:val="solid" w:color="000000" w:fill="000000"/>
                <w:fitText w:val="276" w:id="-1234442994"/>
                <w14:textFill>
                  <w14:solidFill>
                    <w14:srgbClr w14:val="000000">
                      <w14:alpha w14:val="100000"/>
                    </w14:srgbClr>
                  </w14:solidFill>
                </w14:textFill>
              </w:rPr>
              <w:t>|</w:t>
            </w:r>
            <w:r w:rsidRPr="003A26A8">
              <w:rPr>
                <w:color w:val="000000"/>
                <w:spacing w:val="1"/>
                <w:shd w:val="solid" w:color="000000" w:fill="000000"/>
                <w:fitText w:val="276" w:id="-1234442994"/>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4FC2CF8F" w14:textId="25FDDD5F" w:rsidR="00672D16" w:rsidRPr="005F0CE8" w:rsidRDefault="003A26A8">
            <w:pPr>
              <w:pStyle w:val="TableText0"/>
              <w:keepNext w:val="0"/>
              <w:jc w:val="center"/>
            </w:pPr>
            <w:r w:rsidRPr="003A26A8">
              <w:rPr>
                <w:color w:val="000000"/>
                <w:spacing w:val="179"/>
                <w:shd w:val="solid" w:color="000000" w:fill="000000"/>
                <w:fitText w:val="265" w:id="-1234442993"/>
                <w14:textFill>
                  <w14:solidFill>
                    <w14:srgbClr w14:val="000000">
                      <w14:alpha w14:val="100000"/>
                    </w14:srgbClr>
                  </w14:solidFill>
                </w14:textFill>
              </w:rPr>
              <w:t>|</w:t>
            </w:r>
            <w:r w:rsidRPr="003A26A8">
              <w:rPr>
                <w:color w:val="000000"/>
                <w:spacing w:val="1"/>
                <w:shd w:val="solid" w:color="000000" w:fill="000000"/>
                <w:fitText w:val="265" w:id="-1234442993"/>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7FA17970" w14:textId="15FBF741" w:rsidR="00672D16" w:rsidRPr="005F0CE8" w:rsidRDefault="003A26A8">
            <w:pPr>
              <w:pStyle w:val="TableText0"/>
              <w:keepNext w:val="0"/>
              <w:jc w:val="center"/>
            </w:pPr>
            <w:r w:rsidRPr="003A26A8">
              <w:rPr>
                <w:color w:val="000000"/>
                <w:spacing w:val="190"/>
                <w:shd w:val="solid" w:color="000000" w:fill="000000"/>
                <w:fitText w:val="276" w:id="-1234442992"/>
                <w14:textFill>
                  <w14:solidFill>
                    <w14:srgbClr w14:val="000000">
                      <w14:alpha w14:val="100000"/>
                    </w14:srgbClr>
                  </w14:solidFill>
                </w14:textFill>
              </w:rPr>
              <w:t>|</w:t>
            </w:r>
            <w:r w:rsidRPr="003A26A8">
              <w:rPr>
                <w:color w:val="000000"/>
                <w:spacing w:val="1"/>
                <w:shd w:val="solid" w:color="000000" w:fill="000000"/>
                <w:fitText w:val="276" w:id="-1234442992"/>
                <w14:textFill>
                  <w14:solidFill>
                    <w14:srgbClr w14:val="000000">
                      <w14:alpha w14:val="100000"/>
                    </w14:srgbClr>
                  </w14:solidFill>
                </w14:textFill>
              </w:rPr>
              <w:t>|</w:t>
            </w:r>
            <w:r w:rsidR="00391805">
              <w:rPr>
                <w:vertAlign w:val="superscript"/>
              </w:rPr>
              <w:t>3</w:t>
            </w:r>
          </w:p>
        </w:tc>
        <w:tc>
          <w:tcPr>
            <w:tcW w:w="546" w:type="pct"/>
            <w:shd w:val="clear" w:color="auto" w:fill="auto"/>
            <w:vAlign w:val="center"/>
          </w:tcPr>
          <w:p w14:paraId="70BCAB61" w14:textId="2EE78F87" w:rsidR="00672D16" w:rsidRPr="005F0CE8" w:rsidRDefault="003A26A8">
            <w:pPr>
              <w:pStyle w:val="TableText0"/>
              <w:keepNext w:val="0"/>
              <w:jc w:val="center"/>
            </w:pPr>
            <w:r w:rsidRPr="003A26A8">
              <w:rPr>
                <w:color w:val="000000"/>
                <w:spacing w:val="179"/>
                <w:shd w:val="solid" w:color="000000" w:fill="000000"/>
                <w:fitText w:val="265" w:id="-1234443008"/>
                <w14:textFill>
                  <w14:solidFill>
                    <w14:srgbClr w14:val="000000">
                      <w14:alpha w14:val="100000"/>
                    </w14:srgbClr>
                  </w14:solidFill>
                </w14:textFill>
              </w:rPr>
              <w:t>|</w:t>
            </w:r>
            <w:r w:rsidRPr="003A26A8">
              <w:rPr>
                <w:color w:val="000000"/>
                <w:spacing w:val="1"/>
                <w:shd w:val="solid" w:color="000000" w:fill="000000"/>
                <w:fitText w:val="265" w:id="-1234443008"/>
                <w14:textFill>
                  <w14:solidFill>
                    <w14:srgbClr w14:val="000000">
                      <w14:alpha w14:val="100000"/>
                    </w14:srgbClr>
                  </w14:solidFill>
                </w14:textFill>
              </w:rPr>
              <w:t>|</w:t>
            </w:r>
            <w:r w:rsidR="00391805">
              <w:rPr>
                <w:vertAlign w:val="superscript"/>
              </w:rPr>
              <w:t>3</w:t>
            </w:r>
          </w:p>
        </w:tc>
        <w:tc>
          <w:tcPr>
            <w:tcW w:w="545" w:type="pct"/>
            <w:shd w:val="clear" w:color="auto" w:fill="auto"/>
            <w:vAlign w:val="center"/>
          </w:tcPr>
          <w:p w14:paraId="1107A572" w14:textId="1AB57FEC" w:rsidR="00672D16" w:rsidRPr="005F0CE8" w:rsidRDefault="003A26A8">
            <w:pPr>
              <w:pStyle w:val="TableText0"/>
              <w:keepNext w:val="0"/>
              <w:jc w:val="center"/>
            </w:pPr>
            <w:r w:rsidRPr="003A26A8">
              <w:rPr>
                <w:color w:val="000000"/>
                <w:spacing w:val="191"/>
                <w:shd w:val="solid" w:color="000000" w:fill="000000"/>
                <w:fitText w:val="277" w:id="-1234443007"/>
                <w14:textFill>
                  <w14:solidFill>
                    <w14:srgbClr w14:val="000000">
                      <w14:alpha w14:val="100000"/>
                    </w14:srgbClr>
                  </w14:solidFill>
                </w14:textFill>
              </w:rPr>
              <w:t>|</w:t>
            </w:r>
            <w:r w:rsidRPr="003A26A8">
              <w:rPr>
                <w:color w:val="000000"/>
                <w:spacing w:val="1"/>
                <w:shd w:val="solid" w:color="000000" w:fill="000000"/>
                <w:fitText w:val="277" w:id="-1234443007"/>
                <w14:textFill>
                  <w14:solidFill>
                    <w14:srgbClr w14:val="000000">
                      <w14:alpha w14:val="100000"/>
                    </w14:srgbClr>
                  </w14:solidFill>
                </w14:textFill>
              </w:rPr>
              <w:t>|</w:t>
            </w:r>
            <w:r w:rsidR="00391805">
              <w:rPr>
                <w:vertAlign w:val="superscript"/>
              </w:rPr>
              <w:t>3</w:t>
            </w:r>
          </w:p>
        </w:tc>
        <w:tc>
          <w:tcPr>
            <w:tcW w:w="548" w:type="pct"/>
            <w:vAlign w:val="center"/>
          </w:tcPr>
          <w:p w14:paraId="6D62CDF8" w14:textId="1718F3CD" w:rsidR="00672D16" w:rsidRPr="005F0CE8" w:rsidRDefault="003A26A8">
            <w:pPr>
              <w:pStyle w:val="TableText0"/>
              <w:keepNext w:val="0"/>
              <w:jc w:val="center"/>
            </w:pPr>
            <w:r w:rsidRPr="003A26A8">
              <w:rPr>
                <w:color w:val="000000"/>
                <w:spacing w:val="191"/>
                <w:shd w:val="solid" w:color="000000" w:fill="000000"/>
                <w:fitText w:val="277" w:id="-1234443006"/>
                <w14:textFill>
                  <w14:solidFill>
                    <w14:srgbClr w14:val="000000">
                      <w14:alpha w14:val="100000"/>
                    </w14:srgbClr>
                  </w14:solidFill>
                </w14:textFill>
              </w:rPr>
              <w:t>|</w:t>
            </w:r>
            <w:r w:rsidRPr="003A26A8">
              <w:rPr>
                <w:color w:val="000000"/>
                <w:spacing w:val="1"/>
                <w:shd w:val="solid" w:color="000000" w:fill="000000"/>
                <w:fitText w:val="277" w:id="-1234443006"/>
                <w14:textFill>
                  <w14:solidFill>
                    <w14:srgbClr w14:val="000000">
                      <w14:alpha w14:val="100000"/>
                    </w14:srgbClr>
                  </w14:solidFill>
                </w14:textFill>
              </w:rPr>
              <w:t>|</w:t>
            </w:r>
            <w:r w:rsidR="00391805">
              <w:rPr>
                <w:vertAlign w:val="superscript"/>
              </w:rPr>
              <w:t>3</w:t>
            </w:r>
          </w:p>
        </w:tc>
      </w:tr>
      <w:tr w:rsidR="00672D16" w:rsidRPr="005F0CE8" w14:paraId="05CFBCF6" w14:textId="77777777" w:rsidTr="005F2CDD">
        <w:trPr>
          <w:cantSplit/>
        </w:trPr>
        <w:tc>
          <w:tcPr>
            <w:tcW w:w="154" w:type="pct"/>
          </w:tcPr>
          <w:p w14:paraId="3268AFBD" w14:textId="77777777" w:rsidR="00672D16" w:rsidRPr="005F0CE8" w:rsidRDefault="00672D16">
            <w:pPr>
              <w:pStyle w:val="TableText0"/>
              <w:keepNext w:val="0"/>
            </w:pPr>
            <w:r w:rsidRPr="005F0CE8">
              <w:t>R</w:t>
            </w:r>
          </w:p>
        </w:tc>
        <w:tc>
          <w:tcPr>
            <w:tcW w:w="1571" w:type="pct"/>
            <w:shd w:val="clear" w:color="auto" w:fill="auto"/>
            <w:vAlign w:val="center"/>
          </w:tcPr>
          <w:p w14:paraId="752AB323" w14:textId="77777777" w:rsidR="00672D16" w:rsidRPr="005F0CE8" w:rsidRDefault="00672D16">
            <w:pPr>
              <w:pStyle w:val="TableText0"/>
              <w:keepNext w:val="0"/>
              <w:rPr>
                <w:vertAlign w:val="superscript"/>
              </w:rPr>
            </w:pPr>
            <w:r w:rsidRPr="005F0CE8">
              <w:t>Number of scripts dispensed</w:t>
            </w:r>
            <w:r w:rsidRPr="005F0CE8">
              <w:rPr>
                <w:vertAlign w:val="superscript"/>
              </w:rPr>
              <w:t xml:space="preserve"> </w:t>
            </w:r>
          </w:p>
          <w:p w14:paraId="02272F85" w14:textId="77777777" w:rsidR="00672D16" w:rsidRPr="005F0CE8" w:rsidRDefault="00672D16">
            <w:pPr>
              <w:pStyle w:val="TableText0"/>
              <w:keepNext w:val="0"/>
              <w:rPr>
                <w:rFonts w:ascii="Times" w:hAnsi="Times"/>
                <w:i/>
              </w:rPr>
            </w:pPr>
            <w:r w:rsidRPr="005F0CE8">
              <w:t>(R = P x 6.27 per patient)</w:t>
            </w:r>
            <w:r w:rsidRPr="005F0CE8">
              <w:rPr>
                <w:vertAlign w:val="superscript"/>
              </w:rPr>
              <w:t xml:space="preserve"> c</w:t>
            </w:r>
            <w:r w:rsidRPr="005F0CE8">
              <w:rPr>
                <w:rFonts w:ascii="Times" w:hAnsi="Times"/>
              </w:rPr>
              <w:t xml:space="preserve"> </w:t>
            </w:r>
          </w:p>
        </w:tc>
        <w:tc>
          <w:tcPr>
            <w:tcW w:w="545" w:type="pct"/>
            <w:shd w:val="clear" w:color="auto" w:fill="auto"/>
            <w:vAlign w:val="center"/>
          </w:tcPr>
          <w:p w14:paraId="3456A0B6" w14:textId="1499939F" w:rsidR="00672D16" w:rsidRPr="005F0CE8" w:rsidRDefault="003A26A8">
            <w:pPr>
              <w:pStyle w:val="TableText0"/>
              <w:keepNext w:val="0"/>
              <w:jc w:val="center"/>
              <w:rPr>
                <w:color w:val="000000"/>
              </w:rPr>
            </w:pPr>
            <w:r w:rsidRPr="003A26A8">
              <w:rPr>
                <w:color w:val="000000"/>
                <w:spacing w:val="190"/>
                <w:shd w:val="solid" w:color="000000" w:fill="000000"/>
                <w:fitText w:val="276" w:id="-1234443005"/>
                <w14:textFill>
                  <w14:solidFill>
                    <w14:srgbClr w14:val="000000">
                      <w14:alpha w14:val="100000"/>
                    </w14:srgbClr>
                  </w14:solidFill>
                </w14:textFill>
              </w:rPr>
              <w:t>|</w:t>
            </w:r>
            <w:r w:rsidRPr="003A26A8">
              <w:rPr>
                <w:color w:val="000000"/>
                <w:spacing w:val="1"/>
                <w:shd w:val="solid" w:color="000000" w:fill="000000"/>
                <w:fitText w:val="276" w:id="-1234443005"/>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7A604414" w14:textId="74093717" w:rsidR="00672D16" w:rsidRPr="005F0CE8" w:rsidRDefault="003A26A8">
            <w:pPr>
              <w:pStyle w:val="TableText0"/>
              <w:keepNext w:val="0"/>
              <w:jc w:val="center"/>
              <w:rPr>
                <w:color w:val="000000"/>
              </w:rPr>
            </w:pPr>
            <w:r w:rsidRPr="003A26A8">
              <w:rPr>
                <w:color w:val="000000"/>
                <w:spacing w:val="179"/>
                <w:shd w:val="solid" w:color="000000" w:fill="000000"/>
                <w:fitText w:val="265" w:id="-1234443004"/>
                <w14:textFill>
                  <w14:solidFill>
                    <w14:srgbClr w14:val="000000">
                      <w14:alpha w14:val="100000"/>
                    </w14:srgbClr>
                  </w14:solidFill>
                </w14:textFill>
              </w:rPr>
              <w:t>|</w:t>
            </w:r>
            <w:r w:rsidRPr="003A26A8">
              <w:rPr>
                <w:color w:val="000000"/>
                <w:spacing w:val="1"/>
                <w:shd w:val="solid" w:color="000000" w:fill="000000"/>
                <w:fitText w:val="265" w:id="-1234443004"/>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5A209B91" w14:textId="6802F28A" w:rsidR="00672D16" w:rsidRPr="005F0CE8" w:rsidRDefault="003A26A8">
            <w:pPr>
              <w:pStyle w:val="TableText0"/>
              <w:keepNext w:val="0"/>
              <w:jc w:val="center"/>
              <w:rPr>
                <w:color w:val="000000"/>
              </w:rPr>
            </w:pPr>
            <w:r w:rsidRPr="003A26A8">
              <w:rPr>
                <w:color w:val="000000"/>
                <w:spacing w:val="190"/>
                <w:shd w:val="solid" w:color="000000" w:fill="000000"/>
                <w:fitText w:val="276" w:id="-1234443003"/>
                <w14:textFill>
                  <w14:solidFill>
                    <w14:srgbClr w14:val="000000">
                      <w14:alpha w14:val="100000"/>
                    </w14:srgbClr>
                  </w14:solidFill>
                </w14:textFill>
              </w:rPr>
              <w:t>|</w:t>
            </w:r>
            <w:r w:rsidRPr="003A26A8">
              <w:rPr>
                <w:color w:val="000000"/>
                <w:spacing w:val="1"/>
                <w:shd w:val="solid" w:color="000000" w:fill="000000"/>
                <w:fitText w:val="276" w:id="-1234443003"/>
                <w14:textFill>
                  <w14:solidFill>
                    <w14:srgbClr w14:val="000000">
                      <w14:alpha w14:val="100000"/>
                    </w14:srgbClr>
                  </w14:solidFill>
                </w14:textFill>
              </w:rPr>
              <w:t>|</w:t>
            </w:r>
            <w:r w:rsidR="00391805">
              <w:rPr>
                <w:vertAlign w:val="superscript"/>
              </w:rPr>
              <w:t>5</w:t>
            </w:r>
          </w:p>
        </w:tc>
        <w:tc>
          <w:tcPr>
            <w:tcW w:w="546" w:type="pct"/>
            <w:shd w:val="clear" w:color="auto" w:fill="auto"/>
            <w:vAlign w:val="center"/>
          </w:tcPr>
          <w:p w14:paraId="2FFCDD86" w14:textId="6CF6DEC4" w:rsidR="00672D16" w:rsidRPr="005F0CE8" w:rsidRDefault="003A26A8">
            <w:pPr>
              <w:pStyle w:val="TableText0"/>
              <w:keepNext w:val="0"/>
              <w:jc w:val="center"/>
              <w:rPr>
                <w:color w:val="000000"/>
              </w:rPr>
            </w:pPr>
            <w:r w:rsidRPr="003A26A8">
              <w:rPr>
                <w:color w:val="000000"/>
                <w:spacing w:val="179"/>
                <w:shd w:val="solid" w:color="000000" w:fill="000000"/>
                <w:fitText w:val="265" w:id="-1234443002"/>
                <w14:textFill>
                  <w14:solidFill>
                    <w14:srgbClr w14:val="000000">
                      <w14:alpha w14:val="100000"/>
                    </w14:srgbClr>
                  </w14:solidFill>
                </w14:textFill>
              </w:rPr>
              <w:t>|</w:t>
            </w:r>
            <w:r w:rsidRPr="003A26A8">
              <w:rPr>
                <w:color w:val="000000"/>
                <w:spacing w:val="1"/>
                <w:shd w:val="solid" w:color="000000" w:fill="000000"/>
                <w:fitText w:val="265" w:id="-1234443002"/>
                <w14:textFill>
                  <w14:solidFill>
                    <w14:srgbClr w14:val="000000">
                      <w14:alpha w14:val="100000"/>
                    </w14:srgbClr>
                  </w14:solidFill>
                </w14:textFill>
              </w:rPr>
              <w:t>|</w:t>
            </w:r>
            <w:r w:rsidR="00391805">
              <w:rPr>
                <w:vertAlign w:val="superscript"/>
              </w:rPr>
              <w:t>5</w:t>
            </w:r>
          </w:p>
        </w:tc>
        <w:tc>
          <w:tcPr>
            <w:tcW w:w="545" w:type="pct"/>
            <w:shd w:val="clear" w:color="auto" w:fill="auto"/>
            <w:vAlign w:val="center"/>
          </w:tcPr>
          <w:p w14:paraId="12CB1AF9" w14:textId="56067FF8" w:rsidR="00672D16" w:rsidRPr="005F0CE8" w:rsidRDefault="003A26A8">
            <w:pPr>
              <w:pStyle w:val="TableText0"/>
              <w:keepNext w:val="0"/>
              <w:jc w:val="center"/>
              <w:rPr>
                <w:color w:val="000000"/>
              </w:rPr>
            </w:pPr>
            <w:r w:rsidRPr="003A26A8">
              <w:rPr>
                <w:color w:val="000000"/>
                <w:spacing w:val="191"/>
                <w:shd w:val="solid" w:color="000000" w:fill="000000"/>
                <w:fitText w:val="277" w:id="-1234443001"/>
                <w14:textFill>
                  <w14:solidFill>
                    <w14:srgbClr w14:val="000000">
                      <w14:alpha w14:val="100000"/>
                    </w14:srgbClr>
                  </w14:solidFill>
                </w14:textFill>
              </w:rPr>
              <w:t>|</w:t>
            </w:r>
            <w:r w:rsidRPr="003A26A8">
              <w:rPr>
                <w:color w:val="000000"/>
                <w:spacing w:val="1"/>
                <w:shd w:val="solid" w:color="000000" w:fill="000000"/>
                <w:fitText w:val="277" w:id="-1234443001"/>
                <w14:textFill>
                  <w14:solidFill>
                    <w14:srgbClr w14:val="000000">
                      <w14:alpha w14:val="100000"/>
                    </w14:srgbClr>
                  </w14:solidFill>
                </w14:textFill>
              </w:rPr>
              <w:t>|</w:t>
            </w:r>
            <w:r w:rsidR="00391805">
              <w:rPr>
                <w:vertAlign w:val="superscript"/>
              </w:rPr>
              <w:t>5</w:t>
            </w:r>
          </w:p>
        </w:tc>
        <w:tc>
          <w:tcPr>
            <w:tcW w:w="548" w:type="pct"/>
            <w:vAlign w:val="center"/>
          </w:tcPr>
          <w:p w14:paraId="14D68C44" w14:textId="1E4441BF" w:rsidR="00672D16" w:rsidRPr="005F0CE8" w:rsidRDefault="003A26A8">
            <w:pPr>
              <w:pStyle w:val="TableText0"/>
              <w:keepNext w:val="0"/>
              <w:jc w:val="center"/>
              <w:rPr>
                <w:color w:val="000000"/>
              </w:rPr>
            </w:pPr>
            <w:r w:rsidRPr="003A26A8">
              <w:rPr>
                <w:color w:val="000000"/>
                <w:spacing w:val="191"/>
                <w:shd w:val="solid" w:color="000000" w:fill="000000"/>
                <w:fitText w:val="277" w:id="-1234443000"/>
                <w14:textFill>
                  <w14:solidFill>
                    <w14:srgbClr w14:val="000000">
                      <w14:alpha w14:val="100000"/>
                    </w14:srgbClr>
                  </w14:solidFill>
                </w14:textFill>
              </w:rPr>
              <w:t>|</w:t>
            </w:r>
            <w:r w:rsidRPr="003A26A8">
              <w:rPr>
                <w:color w:val="000000"/>
                <w:spacing w:val="1"/>
                <w:shd w:val="solid" w:color="000000" w:fill="000000"/>
                <w:fitText w:val="277" w:id="-1234443000"/>
                <w14:textFill>
                  <w14:solidFill>
                    <w14:srgbClr w14:val="000000">
                      <w14:alpha w14:val="100000"/>
                    </w14:srgbClr>
                  </w14:solidFill>
                </w14:textFill>
              </w:rPr>
              <w:t>|</w:t>
            </w:r>
            <w:r w:rsidR="00391805">
              <w:rPr>
                <w:vertAlign w:val="superscript"/>
              </w:rPr>
              <w:t>5</w:t>
            </w:r>
          </w:p>
        </w:tc>
      </w:tr>
      <w:tr w:rsidR="00672D16" w:rsidRPr="005F0CE8" w14:paraId="57C5F679" w14:textId="77777777" w:rsidTr="005F2CDD">
        <w:trPr>
          <w:cantSplit/>
        </w:trPr>
        <w:tc>
          <w:tcPr>
            <w:tcW w:w="154" w:type="pct"/>
          </w:tcPr>
          <w:p w14:paraId="0D90DBF2" w14:textId="77777777" w:rsidR="00672D16" w:rsidRPr="005F0CE8" w:rsidRDefault="00672D16">
            <w:pPr>
              <w:pStyle w:val="TableText0"/>
              <w:keepNext w:val="0"/>
              <w:rPr>
                <w:sz w:val="19"/>
                <w:szCs w:val="19"/>
              </w:rPr>
            </w:pPr>
            <w:r w:rsidRPr="005F0CE8">
              <w:rPr>
                <w:sz w:val="19"/>
                <w:szCs w:val="19"/>
              </w:rPr>
              <w:t>S</w:t>
            </w:r>
          </w:p>
        </w:tc>
        <w:tc>
          <w:tcPr>
            <w:tcW w:w="1571" w:type="pct"/>
            <w:shd w:val="clear" w:color="auto" w:fill="auto"/>
            <w:vAlign w:val="center"/>
          </w:tcPr>
          <w:p w14:paraId="09529DB2" w14:textId="77777777" w:rsidR="00672D16" w:rsidRPr="005F0CE8" w:rsidRDefault="00672D16">
            <w:pPr>
              <w:pStyle w:val="TableText0"/>
              <w:keepNext w:val="0"/>
            </w:pPr>
            <w:r w:rsidRPr="005F0CE8">
              <w:rPr>
                <w:szCs w:val="20"/>
              </w:rPr>
              <w:t xml:space="preserve">Revised </w:t>
            </w:r>
            <w:r w:rsidRPr="005F0CE8">
              <w:rPr>
                <w:szCs w:val="20"/>
                <w:vertAlign w:val="superscript"/>
              </w:rPr>
              <w:t>d</w:t>
            </w:r>
            <w:r w:rsidRPr="005F0CE8" w:rsidDel="00235D84">
              <w:rPr>
                <w:szCs w:val="20"/>
              </w:rPr>
              <w:t xml:space="preserve"> </w:t>
            </w:r>
            <w:r w:rsidRPr="005F0CE8">
              <w:rPr>
                <w:szCs w:val="20"/>
              </w:rPr>
              <w:t>(S = P x 12.54 per patient)</w:t>
            </w:r>
          </w:p>
        </w:tc>
        <w:tc>
          <w:tcPr>
            <w:tcW w:w="545" w:type="pct"/>
            <w:shd w:val="clear" w:color="auto" w:fill="auto"/>
            <w:vAlign w:val="center"/>
          </w:tcPr>
          <w:p w14:paraId="417873C8" w14:textId="1A4D3C1E" w:rsidR="00672D16" w:rsidRPr="00391805" w:rsidRDefault="003A26A8">
            <w:pPr>
              <w:pStyle w:val="TableText0"/>
              <w:keepNext w:val="0"/>
              <w:jc w:val="center"/>
              <w:rPr>
                <w:vertAlign w:val="superscript"/>
              </w:rPr>
            </w:pPr>
            <w:r w:rsidRPr="003A26A8">
              <w:rPr>
                <w:color w:val="000000"/>
                <w:spacing w:val="190"/>
                <w:shd w:val="solid" w:color="000000" w:fill="000000"/>
                <w:fitText w:val="276" w:id="-1234442999"/>
                <w14:textFill>
                  <w14:solidFill>
                    <w14:srgbClr w14:val="000000">
                      <w14:alpha w14:val="100000"/>
                    </w14:srgbClr>
                  </w14:solidFill>
                </w14:textFill>
              </w:rPr>
              <w:t>|</w:t>
            </w:r>
            <w:r w:rsidRPr="003A26A8">
              <w:rPr>
                <w:color w:val="000000"/>
                <w:spacing w:val="1"/>
                <w:shd w:val="solid" w:color="000000" w:fill="000000"/>
                <w:fitText w:val="276" w:id="-1234442999"/>
                <w14:textFill>
                  <w14:solidFill>
                    <w14:srgbClr w14:val="000000">
                      <w14:alpha w14:val="100000"/>
                    </w14:srgbClr>
                  </w14:solidFill>
                </w14:textFill>
              </w:rPr>
              <w:t>|</w:t>
            </w:r>
            <w:r w:rsidR="00391805">
              <w:rPr>
                <w:vertAlign w:val="superscript"/>
              </w:rPr>
              <w:t>1</w:t>
            </w:r>
          </w:p>
        </w:tc>
        <w:tc>
          <w:tcPr>
            <w:tcW w:w="546" w:type="pct"/>
            <w:shd w:val="clear" w:color="auto" w:fill="auto"/>
            <w:vAlign w:val="center"/>
          </w:tcPr>
          <w:p w14:paraId="44FE8963" w14:textId="4D54BA14" w:rsidR="00672D16" w:rsidRPr="005F0CE8" w:rsidRDefault="003A26A8">
            <w:pPr>
              <w:pStyle w:val="TableText0"/>
              <w:keepNext w:val="0"/>
              <w:jc w:val="center"/>
            </w:pPr>
            <w:r w:rsidRPr="003A26A8">
              <w:rPr>
                <w:color w:val="000000"/>
                <w:spacing w:val="179"/>
                <w:shd w:val="solid" w:color="000000" w:fill="000000"/>
                <w:fitText w:val="265" w:id="-1234442998"/>
                <w14:textFill>
                  <w14:solidFill>
                    <w14:srgbClr w14:val="000000">
                      <w14:alpha w14:val="100000"/>
                    </w14:srgbClr>
                  </w14:solidFill>
                </w14:textFill>
              </w:rPr>
              <w:t>|</w:t>
            </w:r>
            <w:r w:rsidRPr="003A26A8">
              <w:rPr>
                <w:color w:val="000000"/>
                <w:spacing w:val="1"/>
                <w:shd w:val="solid" w:color="000000" w:fill="000000"/>
                <w:fitText w:val="265" w:id="-1234442998"/>
                <w14:textFill>
                  <w14:solidFill>
                    <w14:srgbClr w14:val="000000">
                      <w14:alpha w14:val="100000"/>
                    </w14:srgbClr>
                  </w14:solidFill>
                </w14:textFill>
              </w:rPr>
              <w:t>|</w:t>
            </w:r>
            <w:r w:rsidR="00391805">
              <w:rPr>
                <w:vertAlign w:val="superscript"/>
              </w:rPr>
              <w:t>1</w:t>
            </w:r>
          </w:p>
        </w:tc>
        <w:tc>
          <w:tcPr>
            <w:tcW w:w="545" w:type="pct"/>
            <w:shd w:val="clear" w:color="auto" w:fill="auto"/>
            <w:vAlign w:val="center"/>
          </w:tcPr>
          <w:p w14:paraId="73E96A9C" w14:textId="4FEAA2EF" w:rsidR="00672D16" w:rsidRPr="005F0CE8" w:rsidRDefault="003A26A8">
            <w:pPr>
              <w:pStyle w:val="TableText0"/>
              <w:keepNext w:val="0"/>
              <w:jc w:val="center"/>
            </w:pPr>
            <w:r w:rsidRPr="003A26A8">
              <w:rPr>
                <w:color w:val="000000"/>
                <w:spacing w:val="190"/>
                <w:shd w:val="solid" w:color="000000" w:fill="000000"/>
                <w:fitText w:val="276" w:id="-1234442997"/>
                <w14:textFill>
                  <w14:solidFill>
                    <w14:srgbClr w14:val="000000">
                      <w14:alpha w14:val="100000"/>
                    </w14:srgbClr>
                  </w14:solidFill>
                </w14:textFill>
              </w:rPr>
              <w:t>|</w:t>
            </w:r>
            <w:r w:rsidRPr="003A26A8">
              <w:rPr>
                <w:color w:val="000000"/>
                <w:spacing w:val="1"/>
                <w:shd w:val="solid" w:color="000000" w:fill="000000"/>
                <w:fitText w:val="276" w:id="-1234442997"/>
                <w14:textFill>
                  <w14:solidFill>
                    <w14:srgbClr w14:val="000000">
                      <w14:alpha w14:val="100000"/>
                    </w14:srgbClr>
                  </w14:solidFill>
                </w14:textFill>
              </w:rPr>
              <w:t>|</w:t>
            </w:r>
            <w:r w:rsidR="00391805">
              <w:rPr>
                <w:vertAlign w:val="superscript"/>
              </w:rPr>
              <w:t>1</w:t>
            </w:r>
          </w:p>
        </w:tc>
        <w:tc>
          <w:tcPr>
            <w:tcW w:w="546" w:type="pct"/>
            <w:shd w:val="clear" w:color="auto" w:fill="auto"/>
            <w:vAlign w:val="center"/>
          </w:tcPr>
          <w:p w14:paraId="5CABE618" w14:textId="1DD53108" w:rsidR="00672D16" w:rsidRPr="005F0CE8" w:rsidRDefault="003A26A8">
            <w:pPr>
              <w:pStyle w:val="TableText0"/>
              <w:keepNext w:val="0"/>
              <w:jc w:val="center"/>
            </w:pPr>
            <w:r w:rsidRPr="003A26A8">
              <w:rPr>
                <w:color w:val="000000"/>
                <w:spacing w:val="179"/>
                <w:shd w:val="solid" w:color="000000" w:fill="000000"/>
                <w:fitText w:val="265" w:id="-1234442996"/>
                <w14:textFill>
                  <w14:solidFill>
                    <w14:srgbClr w14:val="000000">
                      <w14:alpha w14:val="100000"/>
                    </w14:srgbClr>
                  </w14:solidFill>
                </w14:textFill>
              </w:rPr>
              <w:t>|</w:t>
            </w:r>
            <w:r w:rsidRPr="003A26A8">
              <w:rPr>
                <w:color w:val="000000"/>
                <w:spacing w:val="1"/>
                <w:shd w:val="solid" w:color="000000" w:fill="000000"/>
                <w:fitText w:val="265" w:id="-1234442996"/>
                <w14:textFill>
                  <w14:solidFill>
                    <w14:srgbClr w14:val="000000">
                      <w14:alpha w14:val="100000"/>
                    </w14:srgbClr>
                  </w14:solidFill>
                </w14:textFill>
              </w:rPr>
              <w:t>|</w:t>
            </w:r>
            <w:r w:rsidR="00391805">
              <w:rPr>
                <w:vertAlign w:val="superscript"/>
              </w:rPr>
              <w:t>1</w:t>
            </w:r>
          </w:p>
        </w:tc>
        <w:tc>
          <w:tcPr>
            <w:tcW w:w="545" w:type="pct"/>
            <w:shd w:val="clear" w:color="auto" w:fill="auto"/>
            <w:vAlign w:val="center"/>
          </w:tcPr>
          <w:p w14:paraId="49A717A3" w14:textId="03DA438F" w:rsidR="00672D16" w:rsidRPr="005F0CE8" w:rsidRDefault="003A26A8">
            <w:pPr>
              <w:pStyle w:val="TableText0"/>
              <w:keepNext w:val="0"/>
              <w:jc w:val="center"/>
            </w:pPr>
            <w:r w:rsidRPr="003A26A8">
              <w:rPr>
                <w:color w:val="000000"/>
                <w:spacing w:val="191"/>
                <w:shd w:val="solid" w:color="000000" w:fill="000000"/>
                <w:fitText w:val="277" w:id="-1234442995"/>
                <w14:textFill>
                  <w14:solidFill>
                    <w14:srgbClr w14:val="000000">
                      <w14:alpha w14:val="100000"/>
                    </w14:srgbClr>
                  </w14:solidFill>
                </w14:textFill>
              </w:rPr>
              <w:t>|</w:t>
            </w:r>
            <w:r w:rsidRPr="003A26A8">
              <w:rPr>
                <w:color w:val="000000"/>
                <w:spacing w:val="1"/>
                <w:shd w:val="solid" w:color="000000" w:fill="000000"/>
                <w:fitText w:val="277" w:id="-1234442995"/>
                <w14:textFill>
                  <w14:solidFill>
                    <w14:srgbClr w14:val="000000">
                      <w14:alpha w14:val="100000"/>
                    </w14:srgbClr>
                  </w14:solidFill>
                </w14:textFill>
              </w:rPr>
              <w:t>|</w:t>
            </w:r>
            <w:r w:rsidR="00391805">
              <w:rPr>
                <w:vertAlign w:val="superscript"/>
              </w:rPr>
              <w:t>1</w:t>
            </w:r>
          </w:p>
        </w:tc>
        <w:tc>
          <w:tcPr>
            <w:tcW w:w="548" w:type="pct"/>
            <w:vAlign w:val="center"/>
          </w:tcPr>
          <w:p w14:paraId="2A4297CA" w14:textId="49E4158D" w:rsidR="00672D16" w:rsidRPr="005F0CE8" w:rsidRDefault="003A26A8">
            <w:pPr>
              <w:pStyle w:val="TableText0"/>
              <w:keepNext w:val="0"/>
              <w:jc w:val="center"/>
            </w:pPr>
            <w:r w:rsidRPr="003A26A8">
              <w:rPr>
                <w:color w:val="000000"/>
                <w:spacing w:val="191"/>
                <w:shd w:val="solid" w:color="000000" w:fill="000000"/>
                <w:fitText w:val="277" w:id="-1234442994"/>
                <w14:textFill>
                  <w14:solidFill>
                    <w14:srgbClr w14:val="000000">
                      <w14:alpha w14:val="100000"/>
                    </w14:srgbClr>
                  </w14:solidFill>
                </w14:textFill>
              </w:rPr>
              <w:t>|</w:t>
            </w:r>
            <w:r w:rsidRPr="003A26A8">
              <w:rPr>
                <w:color w:val="000000"/>
                <w:spacing w:val="1"/>
                <w:shd w:val="solid" w:color="000000" w:fill="000000"/>
                <w:fitText w:val="277" w:id="-1234442994"/>
                <w14:textFill>
                  <w14:solidFill>
                    <w14:srgbClr w14:val="000000">
                      <w14:alpha w14:val="100000"/>
                    </w14:srgbClr>
                  </w14:solidFill>
                </w14:textFill>
              </w:rPr>
              <w:t>|</w:t>
            </w:r>
            <w:r w:rsidR="00391805">
              <w:rPr>
                <w:vertAlign w:val="superscript"/>
              </w:rPr>
              <w:t>1</w:t>
            </w:r>
          </w:p>
        </w:tc>
      </w:tr>
      <w:tr w:rsidR="00672D16" w:rsidRPr="005F0CE8" w14:paraId="7C9AFC92" w14:textId="77777777" w:rsidTr="005F2CDD">
        <w:trPr>
          <w:cantSplit/>
        </w:trPr>
        <w:tc>
          <w:tcPr>
            <w:tcW w:w="154" w:type="pct"/>
          </w:tcPr>
          <w:p w14:paraId="608D74D8" w14:textId="77777777" w:rsidR="00672D16" w:rsidRPr="005F0CE8" w:rsidRDefault="00672D16">
            <w:pPr>
              <w:pStyle w:val="In-tableHeading"/>
              <w:keepNext w:val="0"/>
              <w:rPr>
                <w:lang w:val="en-AU"/>
              </w:rPr>
            </w:pPr>
            <w:bookmarkStart w:id="108" w:name="_Hlk124525293"/>
          </w:p>
        </w:tc>
        <w:tc>
          <w:tcPr>
            <w:tcW w:w="4846" w:type="pct"/>
            <w:gridSpan w:val="7"/>
            <w:shd w:val="clear" w:color="auto" w:fill="auto"/>
            <w:vAlign w:val="center"/>
          </w:tcPr>
          <w:p w14:paraId="2DC86A19" w14:textId="77777777" w:rsidR="00672D16" w:rsidRPr="005F0CE8" w:rsidRDefault="00672D16">
            <w:pPr>
              <w:pStyle w:val="In-tableHeading"/>
              <w:keepNext w:val="0"/>
              <w:rPr>
                <w:lang w:val="en-AU"/>
              </w:rPr>
            </w:pPr>
            <w:r w:rsidRPr="005F0CE8">
              <w:rPr>
                <w:lang w:val="en-AU"/>
              </w:rPr>
              <w:t>Estimated financial implications of olaparib to the PBS/RPBS</w:t>
            </w:r>
          </w:p>
        </w:tc>
      </w:tr>
      <w:tr w:rsidR="00672D16" w:rsidRPr="005F0CE8" w14:paraId="3F76B2DA" w14:textId="77777777" w:rsidTr="00391805">
        <w:trPr>
          <w:cantSplit/>
        </w:trPr>
        <w:tc>
          <w:tcPr>
            <w:tcW w:w="154" w:type="pct"/>
          </w:tcPr>
          <w:p w14:paraId="60D875C8" w14:textId="77777777" w:rsidR="00672D16" w:rsidRPr="005F0CE8" w:rsidRDefault="00672D16">
            <w:pPr>
              <w:pStyle w:val="TableText0"/>
              <w:keepNext w:val="0"/>
              <w:rPr>
                <w:sz w:val="19"/>
                <w:szCs w:val="19"/>
              </w:rPr>
            </w:pPr>
            <w:r w:rsidRPr="005F0CE8">
              <w:rPr>
                <w:sz w:val="19"/>
                <w:szCs w:val="19"/>
              </w:rPr>
              <w:t>T</w:t>
            </w:r>
          </w:p>
        </w:tc>
        <w:tc>
          <w:tcPr>
            <w:tcW w:w="1571" w:type="pct"/>
            <w:shd w:val="clear" w:color="auto" w:fill="auto"/>
            <w:vAlign w:val="center"/>
          </w:tcPr>
          <w:p w14:paraId="6B2B6686" w14:textId="109FA5B3" w:rsidR="00672D16" w:rsidRPr="005F0CE8" w:rsidRDefault="00672D16">
            <w:pPr>
              <w:pStyle w:val="TableText0"/>
              <w:keepNext w:val="0"/>
              <w:rPr>
                <w:sz w:val="19"/>
                <w:szCs w:val="19"/>
              </w:rPr>
            </w:pPr>
            <w:r w:rsidRPr="005F0CE8">
              <w:rPr>
                <w:sz w:val="19"/>
                <w:szCs w:val="19"/>
              </w:rPr>
              <w:t xml:space="preserve">Net cost to PBS/RPBS </w:t>
            </w:r>
            <w:r w:rsidR="004B3551">
              <w:rPr>
                <w:sz w:val="19"/>
                <w:szCs w:val="19"/>
              </w:rPr>
              <w:t>($)</w:t>
            </w:r>
          </w:p>
          <w:p w14:paraId="7B091FF5" w14:textId="03F686E6" w:rsidR="00672D16" w:rsidRPr="005F0CE8" w:rsidRDefault="00672D16">
            <w:pPr>
              <w:pStyle w:val="TableText0"/>
              <w:keepNext w:val="0"/>
            </w:pPr>
            <w:r w:rsidRPr="005F0CE8">
              <w:rPr>
                <w:sz w:val="19"/>
                <w:szCs w:val="19"/>
              </w:rPr>
              <w:t xml:space="preserve">(T = </w:t>
            </w:r>
            <w:r w:rsidRPr="005F0CE8">
              <w:t>R</w:t>
            </w:r>
            <w:r w:rsidRPr="005F0CE8">
              <w:rPr>
                <w:sz w:val="19"/>
                <w:szCs w:val="19"/>
              </w:rPr>
              <w:t xml:space="preserve"> x </w:t>
            </w:r>
            <w:r w:rsidRPr="005F0CE8">
              <w:t>$</w:t>
            </w:r>
            <w:r w:rsidR="003A26A8" w:rsidRPr="003A26A8">
              <w:rPr>
                <w:color w:val="000000"/>
                <w:spacing w:val="36"/>
                <w:shd w:val="solid" w:color="000000" w:fill="000000"/>
                <w:fitText w:val="438" w:id="-1234442993"/>
                <w14:textFill>
                  <w14:solidFill>
                    <w14:srgbClr w14:val="000000">
                      <w14:alpha w14:val="100000"/>
                    </w14:srgbClr>
                  </w14:solidFill>
                </w14:textFill>
              </w:rPr>
              <w:t>|||||</w:t>
            </w:r>
            <w:r w:rsidR="003A26A8" w:rsidRPr="003A26A8">
              <w:rPr>
                <w:color w:val="000000"/>
                <w:spacing w:val="3"/>
                <w:shd w:val="solid" w:color="000000" w:fill="000000"/>
                <w:fitText w:val="438" w:id="-1234442993"/>
                <w14:textFill>
                  <w14:solidFill>
                    <w14:srgbClr w14:val="000000">
                      <w14:alpha w14:val="100000"/>
                    </w14:srgbClr>
                  </w14:solidFill>
                </w14:textFill>
              </w:rPr>
              <w:t>|</w:t>
            </w:r>
            <w:r w:rsidRPr="005F0CE8">
              <w:t xml:space="preserve"> per script, </w:t>
            </w:r>
            <w:r w:rsidRPr="005F0CE8">
              <w:rPr>
                <w:sz w:val="19"/>
                <w:szCs w:val="19"/>
              </w:rPr>
              <w:t>excluding copayments)</w:t>
            </w:r>
          </w:p>
        </w:tc>
        <w:tc>
          <w:tcPr>
            <w:tcW w:w="545" w:type="pct"/>
            <w:shd w:val="clear" w:color="auto" w:fill="auto"/>
            <w:vAlign w:val="center"/>
          </w:tcPr>
          <w:p w14:paraId="281BEED2" w14:textId="57789324" w:rsidR="00672D16" w:rsidRPr="00391805" w:rsidRDefault="003A26A8" w:rsidP="00391805">
            <w:pPr>
              <w:pStyle w:val="TableText0"/>
              <w:keepNext w:val="0"/>
              <w:jc w:val="center"/>
              <w:rPr>
                <w:vertAlign w:val="superscript"/>
              </w:rPr>
            </w:pPr>
            <w:r w:rsidRPr="003A26A8">
              <w:rPr>
                <w:color w:val="000000"/>
                <w:spacing w:val="190"/>
                <w:shd w:val="solid" w:color="000000" w:fill="000000"/>
                <w:fitText w:val="276" w:id="-1234442992"/>
                <w14:textFill>
                  <w14:solidFill>
                    <w14:srgbClr w14:val="000000">
                      <w14:alpha w14:val="100000"/>
                    </w14:srgbClr>
                  </w14:solidFill>
                </w14:textFill>
              </w:rPr>
              <w:t>|</w:t>
            </w:r>
            <w:r w:rsidRPr="003A26A8">
              <w:rPr>
                <w:color w:val="000000"/>
                <w:spacing w:val="1"/>
                <w:shd w:val="solid" w:color="000000" w:fill="000000"/>
                <w:fitText w:val="276" w:id="-1234442992"/>
                <w14:textFill>
                  <w14:solidFill>
                    <w14:srgbClr w14:val="000000">
                      <w14:alpha w14:val="100000"/>
                    </w14:srgbClr>
                  </w14:solidFill>
                </w14:textFill>
              </w:rPr>
              <w:t>|</w:t>
            </w:r>
            <w:r w:rsidR="00391805">
              <w:rPr>
                <w:vertAlign w:val="superscript"/>
              </w:rPr>
              <w:t>7</w:t>
            </w:r>
          </w:p>
        </w:tc>
        <w:tc>
          <w:tcPr>
            <w:tcW w:w="546" w:type="pct"/>
            <w:shd w:val="clear" w:color="auto" w:fill="auto"/>
            <w:vAlign w:val="center"/>
          </w:tcPr>
          <w:p w14:paraId="52A5A8A8" w14:textId="68FD0053" w:rsidR="00672D16" w:rsidRPr="00391805" w:rsidRDefault="003A26A8" w:rsidP="00391805">
            <w:pPr>
              <w:pStyle w:val="TableText0"/>
              <w:keepNext w:val="0"/>
              <w:jc w:val="center"/>
              <w:rPr>
                <w:vertAlign w:val="superscript"/>
              </w:rPr>
            </w:pPr>
            <w:r w:rsidRPr="003A26A8">
              <w:rPr>
                <w:color w:val="000000"/>
                <w:spacing w:val="179"/>
                <w:shd w:val="solid" w:color="000000" w:fill="000000"/>
                <w:fitText w:val="265" w:id="-1234443008"/>
                <w14:textFill>
                  <w14:solidFill>
                    <w14:srgbClr w14:val="000000">
                      <w14:alpha w14:val="100000"/>
                    </w14:srgbClr>
                  </w14:solidFill>
                </w14:textFill>
              </w:rPr>
              <w:t>|</w:t>
            </w:r>
            <w:r w:rsidRPr="003A26A8">
              <w:rPr>
                <w:color w:val="000000"/>
                <w:spacing w:val="1"/>
                <w:shd w:val="solid" w:color="000000" w:fill="000000"/>
                <w:fitText w:val="265" w:id="-1234443008"/>
                <w14:textFill>
                  <w14:solidFill>
                    <w14:srgbClr w14:val="000000">
                      <w14:alpha w14:val="100000"/>
                    </w14:srgbClr>
                  </w14:solidFill>
                </w14:textFill>
              </w:rPr>
              <w:t>|</w:t>
            </w:r>
            <w:r w:rsidR="00391805">
              <w:rPr>
                <w:vertAlign w:val="superscript"/>
              </w:rPr>
              <w:t>8</w:t>
            </w:r>
          </w:p>
        </w:tc>
        <w:tc>
          <w:tcPr>
            <w:tcW w:w="545" w:type="pct"/>
            <w:shd w:val="clear" w:color="auto" w:fill="auto"/>
            <w:vAlign w:val="center"/>
          </w:tcPr>
          <w:p w14:paraId="384421FA" w14:textId="18705074" w:rsidR="00672D16" w:rsidRPr="005F0CE8" w:rsidRDefault="003A26A8" w:rsidP="00391805">
            <w:pPr>
              <w:pStyle w:val="TableText0"/>
              <w:keepNext w:val="0"/>
              <w:jc w:val="center"/>
            </w:pPr>
            <w:r w:rsidRPr="003A26A8">
              <w:rPr>
                <w:color w:val="000000"/>
                <w:spacing w:val="190"/>
                <w:shd w:val="solid" w:color="000000" w:fill="000000"/>
                <w:fitText w:val="276" w:id="-1234442752"/>
                <w14:textFill>
                  <w14:solidFill>
                    <w14:srgbClr w14:val="000000">
                      <w14:alpha w14:val="100000"/>
                    </w14:srgbClr>
                  </w14:solidFill>
                </w14:textFill>
              </w:rPr>
              <w:t>|</w:t>
            </w:r>
            <w:r w:rsidRPr="003A26A8">
              <w:rPr>
                <w:color w:val="000000"/>
                <w:spacing w:val="1"/>
                <w:shd w:val="solid" w:color="000000" w:fill="000000"/>
                <w:fitText w:val="276" w:id="-1234442752"/>
                <w14:textFill>
                  <w14:solidFill>
                    <w14:srgbClr w14:val="000000">
                      <w14:alpha w14:val="100000"/>
                    </w14:srgbClr>
                  </w14:solidFill>
                </w14:textFill>
              </w:rPr>
              <w:t>|</w:t>
            </w:r>
            <w:r w:rsidR="00391805">
              <w:rPr>
                <w:vertAlign w:val="superscript"/>
              </w:rPr>
              <w:t>7</w:t>
            </w:r>
          </w:p>
        </w:tc>
        <w:tc>
          <w:tcPr>
            <w:tcW w:w="546" w:type="pct"/>
            <w:shd w:val="clear" w:color="auto" w:fill="auto"/>
            <w:vAlign w:val="center"/>
          </w:tcPr>
          <w:p w14:paraId="28D851B5" w14:textId="7F1541EB" w:rsidR="00672D16" w:rsidRPr="005F0CE8" w:rsidRDefault="003A26A8" w:rsidP="00391805">
            <w:pPr>
              <w:pStyle w:val="TableText0"/>
              <w:keepNext w:val="0"/>
              <w:jc w:val="center"/>
            </w:pPr>
            <w:r w:rsidRPr="003A26A8">
              <w:rPr>
                <w:color w:val="000000"/>
                <w:spacing w:val="179"/>
                <w:shd w:val="solid" w:color="000000" w:fill="000000"/>
                <w:fitText w:val="265" w:id="-1234442751"/>
                <w14:textFill>
                  <w14:solidFill>
                    <w14:srgbClr w14:val="000000">
                      <w14:alpha w14:val="100000"/>
                    </w14:srgbClr>
                  </w14:solidFill>
                </w14:textFill>
              </w:rPr>
              <w:t>|</w:t>
            </w:r>
            <w:r w:rsidRPr="003A26A8">
              <w:rPr>
                <w:color w:val="000000"/>
                <w:spacing w:val="1"/>
                <w:shd w:val="solid" w:color="000000" w:fill="000000"/>
                <w:fitText w:val="265" w:id="-1234442751"/>
                <w14:textFill>
                  <w14:solidFill>
                    <w14:srgbClr w14:val="000000">
                      <w14:alpha w14:val="100000"/>
                    </w14:srgbClr>
                  </w14:solidFill>
                </w14:textFill>
              </w:rPr>
              <w:t>|</w:t>
            </w:r>
            <w:r w:rsidR="00391805">
              <w:rPr>
                <w:vertAlign w:val="superscript"/>
              </w:rPr>
              <w:t>7</w:t>
            </w:r>
          </w:p>
        </w:tc>
        <w:tc>
          <w:tcPr>
            <w:tcW w:w="545" w:type="pct"/>
            <w:shd w:val="clear" w:color="auto" w:fill="auto"/>
            <w:vAlign w:val="center"/>
          </w:tcPr>
          <w:p w14:paraId="0DC35716" w14:textId="0C3ECE9B" w:rsidR="00672D16" w:rsidRPr="005F0CE8" w:rsidRDefault="003A26A8" w:rsidP="00391805">
            <w:pPr>
              <w:pStyle w:val="TableText0"/>
              <w:keepNext w:val="0"/>
              <w:jc w:val="center"/>
            </w:pPr>
            <w:r w:rsidRPr="003A26A8">
              <w:rPr>
                <w:color w:val="000000"/>
                <w:spacing w:val="191"/>
                <w:shd w:val="solid" w:color="000000" w:fill="000000"/>
                <w:fitText w:val="277" w:id="-1234442750"/>
                <w14:textFill>
                  <w14:solidFill>
                    <w14:srgbClr w14:val="000000">
                      <w14:alpha w14:val="100000"/>
                    </w14:srgbClr>
                  </w14:solidFill>
                </w14:textFill>
              </w:rPr>
              <w:t>|</w:t>
            </w:r>
            <w:r w:rsidRPr="003A26A8">
              <w:rPr>
                <w:color w:val="000000"/>
                <w:spacing w:val="1"/>
                <w:shd w:val="solid" w:color="000000" w:fill="000000"/>
                <w:fitText w:val="277" w:id="-1234442750"/>
                <w14:textFill>
                  <w14:solidFill>
                    <w14:srgbClr w14:val="000000">
                      <w14:alpha w14:val="100000"/>
                    </w14:srgbClr>
                  </w14:solidFill>
                </w14:textFill>
              </w:rPr>
              <w:t>|</w:t>
            </w:r>
            <w:r w:rsidR="00391805">
              <w:rPr>
                <w:vertAlign w:val="superscript"/>
              </w:rPr>
              <w:t>7</w:t>
            </w:r>
          </w:p>
        </w:tc>
        <w:tc>
          <w:tcPr>
            <w:tcW w:w="548" w:type="pct"/>
            <w:vAlign w:val="center"/>
          </w:tcPr>
          <w:p w14:paraId="19F0A1AA" w14:textId="28DCDEF9" w:rsidR="00672D16" w:rsidRPr="005F0CE8" w:rsidRDefault="003A26A8" w:rsidP="00391805">
            <w:pPr>
              <w:pStyle w:val="TableText0"/>
              <w:keepNext w:val="0"/>
              <w:jc w:val="center"/>
            </w:pPr>
            <w:r w:rsidRPr="003A26A8">
              <w:rPr>
                <w:color w:val="000000"/>
                <w:spacing w:val="191"/>
                <w:shd w:val="solid" w:color="000000" w:fill="000000"/>
                <w:fitText w:val="277" w:id="-1234442749"/>
                <w14:textFill>
                  <w14:solidFill>
                    <w14:srgbClr w14:val="000000">
                      <w14:alpha w14:val="100000"/>
                    </w14:srgbClr>
                  </w14:solidFill>
                </w14:textFill>
              </w:rPr>
              <w:t>|</w:t>
            </w:r>
            <w:r w:rsidRPr="003A26A8">
              <w:rPr>
                <w:color w:val="000000"/>
                <w:spacing w:val="1"/>
                <w:shd w:val="solid" w:color="000000" w:fill="000000"/>
                <w:fitText w:val="277" w:id="-1234442749"/>
                <w14:textFill>
                  <w14:solidFill>
                    <w14:srgbClr w14:val="000000">
                      <w14:alpha w14:val="100000"/>
                    </w14:srgbClr>
                  </w14:solidFill>
                </w14:textFill>
              </w:rPr>
              <w:t>|</w:t>
            </w:r>
            <w:r w:rsidR="00391805">
              <w:rPr>
                <w:vertAlign w:val="superscript"/>
              </w:rPr>
              <w:t>7</w:t>
            </w:r>
          </w:p>
        </w:tc>
      </w:tr>
      <w:tr w:rsidR="00672D16" w:rsidRPr="005F0CE8" w14:paraId="16ABCD4F" w14:textId="77777777" w:rsidTr="00391805">
        <w:trPr>
          <w:cantSplit/>
        </w:trPr>
        <w:tc>
          <w:tcPr>
            <w:tcW w:w="154" w:type="pct"/>
          </w:tcPr>
          <w:p w14:paraId="47B82299" w14:textId="77777777" w:rsidR="00672D16" w:rsidRPr="005F0CE8" w:rsidRDefault="00672D16">
            <w:pPr>
              <w:pStyle w:val="TableText0"/>
              <w:keepNext w:val="0"/>
              <w:rPr>
                <w:sz w:val="19"/>
                <w:szCs w:val="19"/>
              </w:rPr>
            </w:pPr>
            <w:r w:rsidRPr="005F0CE8">
              <w:rPr>
                <w:sz w:val="19"/>
                <w:szCs w:val="19"/>
              </w:rPr>
              <w:t>U</w:t>
            </w:r>
          </w:p>
        </w:tc>
        <w:tc>
          <w:tcPr>
            <w:tcW w:w="1571" w:type="pct"/>
            <w:shd w:val="clear" w:color="auto" w:fill="auto"/>
            <w:vAlign w:val="center"/>
          </w:tcPr>
          <w:p w14:paraId="7E141368" w14:textId="5BFA4E8F" w:rsidR="00672D16" w:rsidRPr="005F0CE8" w:rsidRDefault="00672D16">
            <w:pPr>
              <w:pStyle w:val="TableText0"/>
              <w:keepNext w:val="0"/>
              <w:rPr>
                <w:sz w:val="19"/>
                <w:szCs w:val="19"/>
                <w:vertAlign w:val="superscript"/>
              </w:rPr>
            </w:pPr>
            <w:r w:rsidRPr="005F0CE8">
              <w:rPr>
                <w:sz w:val="19"/>
                <w:szCs w:val="19"/>
              </w:rPr>
              <w:t xml:space="preserve">Revised </w:t>
            </w:r>
            <w:r w:rsidR="004B3551">
              <w:rPr>
                <w:sz w:val="19"/>
                <w:szCs w:val="19"/>
              </w:rPr>
              <w:t>($)</w:t>
            </w:r>
          </w:p>
          <w:p w14:paraId="63397617" w14:textId="41F7360C" w:rsidR="00672D16" w:rsidRPr="005F0CE8" w:rsidRDefault="00672D16">
            <w:pPr>
              <w:pStyle w:val="TableText0"/>
              <w:keepNext w:val="0"/>
              <w:rPr>
                <w:sz w:val="19"/>
                <w:szCs w:val="19"/>
              </w:rPr>
            </w:pPr>
            <w:r w:rsidRPr="005F0CE8">
              <w:rPr>
                <w:sz w:val="19"/>
                <w:szCs w:val="19"/>
              </w:rPr>
              <w:t xml:space="preserve">(U = S x </w:t>
            </w:r>
            <w:r w:rsidRPr="005F0CE8">
              <w:t>$</w:t>
            </w:r>
            <w:r w:rsidR="003A26A8" w:rsidRPr="003A26A8">
              <w:rPr>
                <w:color w:val="000000"/>
                <w:spacing w:val="36"/>
                <w:shd w:val="solid" w:color="000000" w:fill="000000"/>
                <w:fitText w:val="438" w:id="-1234442748"/>
                <w14:textFill>
                  <w14:solidFill>
                    <w14:srgbClr w14:val="000000">
                      <w14:alpha w14:val="100000"/>
                    </w14:srgbClr>
                  </w14:solidFill>
                </w14:textFill>
              </w:rPr>
              <w:t>|||||</w:t>
            </w:r>
            <w:r w:rsidR="003A26A8" w:rsidRPr="003A26A8">
              <w:rPr>
                <w:color w:val="000000"/>
                <w:spacing w:val="3"/>
                <w:shd w:val="solid" w:color="000000" w:fill="000000"/>
                <w:fitText w:val="438" w:id="-1234442748"/>
                <w14:textFill>
                  <w14:solidFill>
                    <w14:srgbClr w14:val="000000">
                      <w14:alpha w14:val="100000"/>
                    </w14:srgbClr>
                  </w14:solidFill>
                </w14:textFill>
              </w:rPr>
              <w:t>|</w:t>
            </w:r>
            <w:r w:rsidRPr="005F0CE8">
              <w:t xml:space="preserve"> per script,</w:t>
            </w:r>
            <w:r w:rsidRPr="005F0CE8">
              <w:rPr>
                <w:sz w:val="19"/>
                <w:szCs w:val="19"/>
              </w:rPr>
              <w:t xml:space="preserve"> excluding copayments</w:t>
            </w:r>
            <w:r w:rsidRPr="005F0CE8">
              <w:t>)</w:t>
            </w:r>
          </w:p>
        </w:tc>
        <w:tc>
          <w:tcPr>
            <w:tcW w:w="545" w:type="pct"/>
            <w:shd w:val="clear" w:color="auto" w:fill="auto"/>
            <w:vAlign w:val="center"/>
          </w:tcPr>
          <w:p w14:paraId="2E742D31" w14:textId="6F77895E" w:rsidR="00672D16" w:rsidRPr="00391805" w:rsidRDefault="003A26A8" w:rsidP="00391805">
            <w:pPr>
              <w:pStyle w:val="TableText0"/>
              <w:keepNext w:val="0"/>
              <w:jc w:val="center"/>
              <w:rPr>
                <w:vertAlign w:val="superscript"/>
              </w:rPr>
            </w:pPr>
            <w:r w:rsidRPr="003A26A8">
              <w:rPr>
                <w:color w:val="000000"/>
                <w:spacing w:val="190"/>
                <w:shd w:val="solid" w:color="000000" w:fill="000000"/>
                <w:fitText w:val="276" w:id="-1234442747"/>
                <w14:textFill>
                  <w14:solidFill>
                    <w14:srgbClr w14:val="000000">
                      <w14:alpha w14:val="100000"/>
                    </w14:srgbClr>
                  </w14:solidFill>
                </w14:textFill>
              </w:rPr>
              <w:t>|</w:t>
            </w:r>
            <w:r w:rsidRPr="003A26A8">
              <w:rPr>
                <w:color w:val="000000"/>
                <w:spacing w:val="1"/>
                <w:shd w:val="solid" w:color="000000" w:fill="000000"/>
                <w:fitText w:val="276" w:id="-1234442747"/>
                <w14:textFill>
                  <w14:solidFill>
                    <w14:srgbClr w14:val="000000">
                      <w14:alpha w14:val="100000"/>
                    </w14:srgbClr>
                  </w14:solidFill>
                </w14:textFill>
              </w:rPr>
              <w:t>|</w:t>
            </w:r>
            <w:r w:rsidR="00391805">
              <w:rPr>
                <w:vertAlign w:val="superscript"/>
              </w:rPr>
              <w:t>9</w:t>
            </w:r>
          </w:p>
        </w:tc>
        <w:tc>
          <w:tcPr>
            <w:tcW w:w="546" w:type="pct"/>
            <w:shd w:val="clear" w:color="auto" w:fill="auto"/>
            <w:vAlign w:val="center"/>
          </w:tcPr>
          <w:p w14:paraId="39F68CAA" w14:textId="03F8277C" w:rsidR="00672D16" w:rsidRPr="00391805" w:rsidRDefault="003A26A8" w:rsidP="00391805">
            <w:pPr>
              <w:pStyle w:val="TableText0"/>
              <w:keepNext w:val="0"/>
              <w:jc w:val="center"/>
              <w:rPr>
                <w:vertAlign w:val="superscript"/>
              </w:rPr>
            </w:pPr>
            <w:r w:rsidRPr="003A26A8">
              <w:rPr>
                <w:color w:val="000000"/>
                <w:spacing w:val="46"/>
                <w:shd w:val="solid" w:color="000000" w:fill="000000"/>
                <w:fitText w:val="311" w:id="-1234442746"/>
                <w14:textFill>
                  <w14:solidFill>
                    <w14:srgbClr w14:val="000000">
                      <w14:alpha w14:val="100000"/>
                    </w14:srgbClr>
                  </w14:solidFill>
                </w14:textFill>
              </w:rPr>
              <w:t>|||</w:t>
            </w:r>
            <w:r w:rsidRPr="003A26A8">
              <w:rPr>
                <w:color w:val="000000"/>
                <w:spacing w:val="3"/>
                <w:shd w:val="solid" w:color="000000" w:fill="000000"/>
                <w:fitText w:val="311" w:id="-1234442746"/>
                <w14:textFill>
                  <w14:solidFill>
                    <w14:srgbClr w14:val="000000">
                      <w14:alpha w14:val="100000"/>
                    </w14:srgbClr>
                  </w14:solidFill>
                </w14:textFill>
              </w:rPr>
              <w:t>|</w:t>
            </w:r>
            <w:r w:rsidR="00391805" w:rsidRPr="004B3551">
              <w:rPr>
                <w:vertAlign w:val="superscript"/>
              </w:rPr>
              <w:t>10</w:t>
            </w:r>
          </w:p>
        </w:tc>
        <w:tc>
          <w:tcPr>
            <w:tcW w:w="545" w:type="pct"/>
            <w:shd w:val="clear" w:color="auto" w:fill="auto"/>
            <w:vAlign w:val="center"/>
          </w:tcPr>
          <w:p w14:paraId="427F23C2" w14:textId="68B72704" w:rsidR="00672D16" w:rsidRPr="005F0CE8" w:rsidRDefault="003A26A8" w:rsidP="00391805">
            <w:pPr>
              <w:pStyle w:val="TableText0"/>
              <w:keepNext w:val="0"/>
              <w:jc w:val="center"/>
            </w:pPr>
            <w:r w:rsidRPr="003A26A8">
              <w:rPr>
                <w:color w:val="000000"/>
                <w:spacing w:val="190"/>
                <w:shd w:val="solid" w:color="000000" w:fill="000000"/>
                <w:fitText w:val="276" w:id="-1234442745"/>
                <w14:textFill>
                  <w14:solidFill>
                    <w14:srgbClr w14:val="000000">
                      <w14:alpha w14:val="100000"/>
                    </w14:srgbClr>
                  </w14:solidFill>
                </w14:textFill>
              </w:rPr>
              <w:t>|</w:t>
            </w:r>
            <w:r w:rsidRPr="003A26A8">
              <w:rPr>
                <w:color w:val="000000"/>
                <w:spacing w:val="1"/>
                <w:shd w:val="solid" w:color="000000" w:fill="000000"/>
                <w:fitText w:val="276" w:id="-1234442745"/>
                <w14:textFill>
                  <w14:solidFill>
                    <w14:srgbClr w14:val="000000">
                      <w14:alpha w14:val="100000"/>
                    </w14:srgbClr>
                  </w14:solidFill>
                </w14:textFill>
              </w:rPr>
              <w:t>|</w:t>
            </w:r>
            <w:r w:rsidR="00391805" w:rsidRPr="004B3551">
              <w:rPr>
                <w:vertAlign w:val="superscript"/>
              </w:rPr>
              <w:t>9</w:t>
            </w:r>
          </w:p>
        </w:tc>
        <w:tc>
          <w:tcPr>
            <w:tcW w:w="546" w:type="pct"/>
            <w:shd w:val="clear" w:color="auto" w:fill="auto"/>
            <w:vAlign w:val="center"/>
          </w:tcPr>
          <w:p w14:paraId="228BA6B1" w14:textId="4DA47D0C" w:rsidR="00672D16" w:rsidRPr="00391805" w:rsidRDefault="003A26A8" w:rsidP="00391805">
            <w:pPr>
              <w:pStyle w:val="TableText0"/>
              <w:keepNext w:val="0"/>
              <w:jc w:val="center"/>
              <w:rPr>
                <w:vertAlign w:val="superscript"/>
              </w:rPr>
            </w:pPr>
            <w:r w:rsidRPr="003A26A8">
              <w:rPr>
                <w:color w:val="000000"/>
                <w:spacing w:val="46"/>
                <w:shd w:val="solid" w:color="000000" w:fill="000000"/>
                <w:fitText w:val="311" w:id="-1234442744"/>
                <w14:textFill>
                  <w14:solidFill>
                    <w14:srgbClr w14:val="000000">
                      <w14:alpha w14:val="100000"/>
                    </w14:srgbClr>
                  </w14:solidFill>
                </w14:textFill>
              </w:rPr>
              <w:t>|||</w:t>
            </w:r>
            <w:r w:rsidRPr="003A26A8">
              <w:rPr>
                <w:color w:val="000000"/>
                <w:spacing w:val="3"/>
                <w:shd w:val="solid" w:color="000000" w:fill="000000"/>
                <w:fitText w:val="311" w:id="-1234442744"/>
                <w14:textFill>
                  <w14:solidFill>
                    <w14:srgbClr w14:val="000000">
                      <w14:alpha w14:val="100000"/>
                    </w14:srgbClr>
                  </w14:solidFill>
                </w14:textFill>
              </w:rPr>
              <w:t>|</w:t>
            </w:r>
            <w:r w:rsidR="00391805" w:rsidRPr="004B3551">
              <w:rPr>
                <w:vertAlign w:val="superscript"/>
              </w:rPr>
              <w:t>11</w:t>
            </w:r>
          </w:p>
        </w:tc>
        <w:tc>
          <w:tcPr>
            <w:tcW w:w="545" w:type="pct"/>
            <w:shd w:val="clear" w:color="auto" w:fill="auto"/>
            <w:vAlign w:val="center"/>
          </w:tcPr>
          <w:p w14:paraId="62868647" w14:textId="15B6388D" w:rsidR="00672D16" w:rsidRPr="005F0CE8" w:rsidRDefault="003A26A8" w:rsidP="00391805">
            <w:pPr>
              <w:pStyle w:val="TableText0"/>
              <w:keepNext w:val="0"/>
              <w:jc w:val="center"/>
            </w:pPr>
            <w:r w:rsidRPr="003A26A8">
              <w:rPr>
                <w:color w:val="000000"/>
                <w:spacing w:val="46"/>
                <w:shd w:val="solid" w:color="000000" w:fill="000000"/>
                <w:fitText w:val="311" w:id="-1234442743"/>
                <w14:textFill>
                  <w14:solidFill>
                    <w14:srgbClr w14:val="000000">
                      <w14:alpha w14:val="100000"/>
                    </w14:srgbClr>
                  </w14:solidFill>
                </w14:textFill>
              </w:rPr>
              <w:t>|||</w:t>
            </w:r>
            <w:r w:rsidRPr="003A26A8">
              <w:rPr>
                <w:color w:val="000000"/>
                <w:spacing w:val="3"/>
                <w:shd w:val="solid" w:color="000000" w:fill="000000"/>
                <w:fitText w:val="311" w:id="-1234442743"/>
                <w14:textFill>
                  <w14:solidFill>
                    <w14:srgbClr w14:val="000000">
                      <w14:alpha w14:val="100000"/>
                    </w14:srgbClr>
                  </w14:solidFill>
                </w14:textFill>
              </w:rPr>
              <w:t>|</w:t>
            </w:r>
            <w:r w:rsidR="00391805" w:rsidRPr="004B3551">
              <w:rPr>
                <w:vertAlign w:val="superscript"/>
              </w:rPr>
              <w:t>11</w:t>
            </w:r>
          </w:p>
        </w:tc>
        <w:tc>
          <w:tcPr>
            <w:tcW w:w="548" w:type="pct"/>
            <w:vAlign w:val="center"/>
          </w:tcPr>
          <w:p w14:paraId="5DDA318D" w14:textId="23B1F96F" w:rsidR="00672D16" w:rsidRPr="005F0CE8" w:rsidRDefault="003A26A8" w:rsidP="00391805">
            <w:pPr>
              <w:pStyle w:val="TableText0"/>
              <w:keepNext w:val="0"/>
              <w:jc w:val="center"/>
            </w:pPr>
            <w:r w:rsidRPr="003A26A8">
              <w:rPr>
                <w:color w:val="000000"/>
                <w:spacing w:val="213"/>
                <w:shd w:val="solid" w:color="000000" w:fill="000000"/>
                <w:fitText w:val="299" w:id="-1234442742"/>
                <w14:textFill>
                  <w14:solidFill>
                    <w14:srgbClr w14:val="000000">
                      <w14:alpha w14:val="100000"/>
                    </w14:srgbClr>
                  </w14:solidFill>
                </w14:textFill>
              </w:rPr>
              <w:t>|</w:t>
            </w:r>
            <w:r w:rsidRPr="003A26A8">
              <w:rPr>
                <w:color w:val="000000"/>
                <w:spacing w:val="1"/>
                <w:shd w:val="solid" w:color="000000" w:fill="000000"/>
                <w:fitText w:val="299" w:id="-1234442742"/>
                <w14:textFill>
                  <w14:solidFill>
                    <w14:srgbClr w14:val="000000">
                      <w14:alpha w14:val="100000"/>
                    </w14:srgbClr>
                  </w14:solidFill>
                </w14:textFill>
              </w:rPr>
              <w:t>|</w:t>
            </w:r>
            <w:r w:rsidR="00391805" w:rsidRPr="004B3551">
              <w:rPr>
                <w:vertAlign w:val="superscript"/>
              </w:rPr>
              <w:t>11</w:t>
            </w:r>
          </w:p>
        </w:tc>
      </w:tr>
      <w:tr w:rsidR="00672D16" w:rsidRPr="005F0CE8" w14:paraId="41926DC4" w14:textId="77777777" w:rsidTr="00391805">
        <w:trPr>
          <w:cantSplit/>
        </w:trPr>
        <w:tc>
          <w:tcPr>
            <w:tcW w:w="154" w:type="pct"/>
          </w:tcPr>
          <w:p w14:paraId="57F0166E" w14:textId="77777777" w:rsidR="00672D16" w:rsidRPr="005F0CE8" w:rsidRDefault="00672D16">
            <w:pPr>
              <w:pStyle w:val="TableText0"/>
              <w:keepNext w:val="0"/>
              <w:rPr>
                <w:b/>
                <w:sz w:val="19"/>
                <w:szCs w:val="19"/>
              </w:rPr>
            </w:pPr>
            <w:r w:rsidRPr="005F0CE8">
              <w:rPr>
                <w:b/>
                <w:sz w:val="19"/>
                <w:szCs w:val="19"/>
              </w:rPr>
              <w:lastRenderedPageBreak/>
              <w:t>V</w:t>
            </w:r>
          </w:p>
        </w:tc>
        <w:tc>
          <w:tcPr>
            <w:tcW w:w="1571" w:type="pct"/>
            <w:shd w:val="clear" w:color="auto" w:fill="auto"/>
            <w:vAlign w:val="center"/>
          </w:tcPr>
          <w:p w14:paraId="309965C9" w14:textId="5F5D2CA7" w:rsidR="00672D16" w:rsidRPr="005F0CE8" w:rsidRDefault="00672D16">
            <w:pPr>
              <w:pStyle w:val="TableText0"/>
              <w:keepNext w:val="0"/>
              <w:rPr>
                <w:b/>
                <w:sz w:val="19"/>
                <w:szCs w:val="19"/>
              </w:rPr>
            </w:pPr>
            <w:r w:rsidRPr="005F0CE8">
              <w:rPr>
                <w:b/>
                <w:sz w:val="19"/>
                <w:szCs w:val="19"/>
              </w:rPr>
              <w:t>Net cost to Government Health Budget (PBS/RPBS/MBS)</w:t>
            </w:r>
            <w:r w:rsidR="004B3551">
              <w:rPr>
                <w:b/>
                <w:sz w:val="19"/>
                <w:szCs w:val="19"/>
              </w:rPr>
              <w:t xml:space="preserve"> ($)</w:t>
            </w:r>
          </w:p>
        </w:tc>
        <w:tc>
          <w:tcPr>
            <w:tcW w:w="545" w:type="pct"/>
            <w:shd w:val="clear" w:color="auto" w:fill="auto"/>
            <w:vAlign w:val="center"/>
          </w:tcPr>
          <w:p w14:paraId="07E2921C" w14:textId="525B4D0A" w:rsidR="00672D16" w:rsidRPr="005F0CE8" w:rsidRDefault="003A26A8" w:rsidP="00391805">
            <w:pPr>
              <w:pStyle w:val="TableText0"/>
              <w:keepNext w:val="0"/>
              <w:jc w:val="center"/>
            </w:pPr>
            <w:r w:rsidRPr="003A26A8">
              <w:rPr>
                <w:color w:val="000000"/>
                <w:spacing w:val="190"/>
                <w:shd w:val="solid" w:color="000000" w:fill="000000"/>
                <w:fitText w:val="276" w:id="-1234442741"/>
                <w14:textFill>
                  <w14:solidFill>
                    <w14:srgbClr w14:val="000000">
                      <w14:alpha w14:val="100000"/>
                    </w14:srgbClr>
                  </w14:solidFill>
                </w14:textFill>
              </w:rPr>
              <w:t>|</w:t>
            </w:r>
            <w:r w:rsidRPr="003A26A8">
              <w:rPr>
                <w:color w:val="000000"/>
                <w:spacing w:val="1"/>
                <w:shd w:val="solid" w:color="000000" w:fill="000000"/>
                <w:fitText w:val="276" w:id="-1234442741"/>
                <w14:textFill>
                  <w14:solidFill>
                    <w14:srgbClr w14:val="000000">
                      <w14:alpha w14:val="100000"/>
                    </w14:srgbClr>
                  </w14:solidFill>
                </w14:textFill>
              </w:rPr>
              <w:t>|</w:t>
            </w:r>
            <w:r w:rsidR="00391805" w:rsidRPr="009525CB">
              <w:rPr>
                <w:vertAlign w:val="superscript"/>
              </w:rPr>
              <w:t>7</w:t>
            </w:r>
          </w:p>
        </w:tc>
        <w:tc>
          <w:tcPr>
            <w:tcW w:w="546" w:type="pct"/>
            <w:shd w:val="clear" w:color="auto" w:fill="auto"/>
            <w:vAlign w:val="center"/>
          </w:tcPr>
          <w:p w14:paraId="1A0BF798" w14:textId="4EFEC1ED" w:rsidR="00672D16" w:rsidRPr="005F0CE8" w:rsidRDefault="003A26A8" w:rsidP="00391805">
            <w:pPr>
              <w:pStyle w:val="TableText0"/>
              <w:keepNext w:val="0"/>
              <w:jc w:val="center"/>
            </w:pPr>
            <w:r w:rsidRPr="003A26A8">
              <w:rPr>
                <w:color w:val="000000"/>
                <w:spacing w:val="179"/>
                <w:shd w:val="solid" w:color="000000" w:fill="000000"/>
                <w:fitText w:val="265" w:id="-1234442740"/>
                <w14:textFill>
                  <w14:solidFill>
                    <w14:srgbClr w14:val="000000">
                      <w14:alpha w14:val="100000"/>
                    </w14:srgbClr>
                  </w14:solidFill>
                </w14:textFill>
              </w:rPr>
              <w:t>|</w:t>
            </w:r>
            <w:r w:rsidRPr="003A26A8">
              <w:rPr>
                <w:color w:val="000000"/>
                <w:spacing w:val="1"/>
                <w:shd w:val="solid" w:color="000000" w:fill="000000"/>
                <w:fitText w:val="265" w:id="-1234442740"/>
                <w14:textFill>
                  <w14:solidFill>
                    <w14:srgbClr w14:val="000000">
                      <w14:alpha w14:val="100000"/>
                    </w14:srgbClr>
                  </w14:solidFill>
                </w14:textFill>
              </w:rPr>
              <w:t>|</w:t>
            </w:r>
            <w:r w:rsidR="00391805">
              <w:rPr>
                <w:vertAlign w:val="superscript"/>
              </w:rPr>
              <w:t>7</w:t>
            </w:r>
          </w:p>
        </w:tc>
        <w:tc>
          <w:tcPr>
            <w:tcW w:w="545" w:type="pct"/>
            <w:shd w:val="clear" w:color="auto" w:fill="auto"/>
            <w:vAlign w:val="center"/>
          </w:tcPr>
          <w:p w14:paraId="58263744" w14:textId="16D0E88B" w:rsidR="00672D16" w:rsidRPr="003F7863" w:rsidRDefault="003A26A8" w:rsidP="00391805">
            <w:pPr>
              <w:pStyle w:val="TableText0"/>
              <w:keepNext w:val="0"/>
              <w:jc w:val="center"/>
              <w:rPr>
                <w:highlight w:val="darkGray"/>
              </w:rPr>
            </w:pPr>
            <w:r w:rsidRPr="003A26A8">
              <w:rPr>
                <w:color w:val="000000"/>
                <w:spacing w:val="190"/>
                <w:shd w:val="solid" w:color="000000" w:fill="000000"/>
                <w:fitText w:val="276" w:id="-1234442739"/>
                <w14:textFill>
                  <w14:solidFill>
                    <w14:srgbClr w14:val="000000">
                      <w14:alpha w14:val="100000"/>
                    </w14:srgbClr>
                  </w14:solidFill>
                </w14:textFill>
              </w:rPr>
              <w:t>|</w:t>
            </w:r>
            <w:r w:rsidRPr="003A26A8">
              <w:rPr>
                <w:color w:val="000000"/>
                <w:spacing w:val="1"/>
                <w:shd w:val="solid" w:color="000000" w:fill="000000"/>
                <w:fitText w:val="276" w:id="-1234442739"/>
                <w14:textFill>
                  <w14:solidFill>
                    <w14:srgbClr w14:val="000000">
                      <w14:alpha w14:val="100000"/>
                    </w14:srgbClr>
                  </w14:solidFill>
                </w14:textFill>
              </w:rPr>
              <w:t>|</w:t>
            </w:r>
            <w:r w:rsidR="00391805" w:rsidRPr="003F7863">
              <w:rPr>
                <w:vertAlign w:val="superscript"/>
              </w:rPr>
              <w:t>7</w:t>
            </w:r>
          </w:p>
        </w:tc>
        <w:tc>
          <w:tcPr>
            <w:tcW w:w="546" w:type="pct"/>
            <w:shd w:val="clear" w:color="auto" w:fill="auto"/>
            <w:vAlign w:val="center"/>
          </w:tcPr>
          <w:p w14:paraId="4D231C9F" w14:textId="4942D219" w:rsidR="00672D16" w:rsidRPr="005F0CE8" w:rsidRDefault="003A26A8" w:rsidP="00391805">
            <w:pPr>
              <w:pStyle w:val="TableText0"/>
              <w:keepNext w:val="0"/>
              <w:jc w:val="center"/>
            </w:pPr>
            <w:r w:rsidRPr="003A26A8">
              <w:rPr>
                <w:color w:val="000000"/>
                <w:spacing w:val="179"/>
                <w:shd w:val="solid" w:color="000000" w:fill="000000"/>
                <w:fitText w:val="265" w:id="-1234442738"/>
                <w14:textFill>
                  <w14:solidFill>
                    <w14:srgbClr w14:val="000000">
                      <w14:alpha w14:val="100000"/>
                    </w14:srgbClr>
                  </w14:solidFill>
                </w14:textFill>
              </w:rPr>
              <w:t>|</w:t>
            </w:r>
            <w:r w:rsidRPr="003A26A8">
              <w:rPr>
                <w:color w:val="000000"/>
                <w:spacing w:val="1"/>
                <w:shd w:val="solid" w:color="000000" w:fill="000000"/>
                <w:fitText w:val="265" w:id="-1234442738"/>
                <w14:textFill>
                  <w14:solidFill>
                    <w14:srgbClr w14:val="000000">
                      <w14:alpha w14:val="100000"/>
                    </w14:srgbClr>
                  </w14:solidFill>
                </w14:textFill>
              </w:rPr>
              <w:t>|</w:t>
            </w:r>
            <w:r w:rsidR="00391805">
              <w:rPr>
                <w:vertAlign w:val="superscript"/>
              </w:rPr>
              <w:t>7</w:t>
            </w:r>
          </w:p>
        </w:tc>
        <w:tc>
          <w:tcPr>
            <w:tcW w:w="545" w:type="pct"/>
            <w:shd w:val="clear" w:color="auto" w:fill="auto"/>
            <w:vAlign w:val="center"/>
          </w:tcPr>
          <w:p w14:paraId="570DCF56" w14:textId="04D37C46" w:rsidR="00672D16" w:rsidRPr="005F0CE8" w:rsidRDefault="003A26A8" w:rsidP="00391805">
            <w:pPr>
              <w:pStyle w:val="TableText0"/>
              <w:keepNext w:val="0"/>
              <w:jc w:val="center"/>
            </w:pPr>
            <w:r w:rsidRPr="003A26A8">
              <w:rPr>
                <w:color w:val="000000"/>
                <w:spacing w:val="191"/>
                <w:shd w:val="solid" w:color="000000" w:fill="000000"/>
                <w:fitText w:val="277" w:id="-1234442737"/>
                <w14:textFill>
                  <w14:solidFill>
                    <w14:srgbClr w14:val="000000">
                      <w14:alpha w14:val="100000"/>
                    </w14:srgbClr>
                  </w14:solidFill>
                </w14:textFill>
              </w:rPr>
              <w:t>|</w:t>
            </w:r>
            <w:r w:rsidRPr="003A26A8">
              <w:rPr>
                <w:color w:val="000000"/>
                <w:spacing w:val="1"/>
                <w:shd w:val="solid" w:color="000000" w:fill="000000"/>
                <w:fitText w:val="277" w:id="-1234442737"/>
                <w14:textFill>
                  <w14:solidFill>
                    <w14:srgbClr w14:val="000000">
                      <w14:alpha w14:val="100000"/>
                    </w14:srgbClr>
                  </w14:solidFill>
                </w14:textFill>
              </w:rPr>
              <w:t>|</w:t>
            </w:r>
            <w:r w:rsidR="00391805">
              <w:rPr>
                <w:vertAlign w:val="superscript"/>
              </w:rPr>
              <w:t>7</w:t>
            </w:r>
          </w:p>
        </w:tc>
        <w:tc>
          <w:tcPr>
            <w:tcW w:w="548" w:type="pct"/>
            <w:vAlign w:val="center"/>
          </w:tcPr>
          <w:p w14:paraId="47D7EC56" w14:textId="22E2FDAD" w:rsidR="00672D16" w:rsidRPr="005F0CE8" w:rsidRDefault="003A26A8" w:rsidP="00391805">
            <w:pPr>
              <w:pStyle w:val="TableText0"/>
              <w:keepNext w:val="0"/>
              <w:jc w:val="center"/>
            </w:pPr>
            <w:r w:rsidRPr="003A26A8">
              <w:rPr>
                <w:color w:val="000000"/>
                <w:spacing w:val="191"/>
                <w:shd w:val="solid" w:color="000000" w:fill="000000"/>
                <w:fitText w:val="277" w:id="-1234442736"/>
                <w14:textFill>
                  <w14:solidFill>
                    <w14:srgbClr w14:val="000000">
                      <w14:alpha w14:val="100000"/>
                    </w14:srgbClr>
                  </w14:solidFill>
                </w14:textFill>
              </w:rPr>
              <w:t>|</w:t>
            </w:r>
            <w:r w:rsidRPr="003A26A8">
              <w:rPr>
                <w:color w:val="000000"/>
                <w:spacing w:val="1"/>
                <w:shd w:val="solid" w:color="000000" w:fill="000000"/>
                <w:fitText w:val="277" w:id="-1234442736"/>
                <w14:textFill>
                  <w14:solidFill>
                    <w14:srgbClr w14:val="000000">
                      <w14:alpha w14:val="100000"/>
                    </w14:srgbClr>
                  </w14:solidFill>
                </w14:textFill>
              </w:rPr>
              <w:t>|</w:t>
            </w:r>
            <w:r w:rsidR="00391805">
              <w:rPr>
                <w:vertAlign w:val="superscript"/>
              </w:rPr>
              <w:t>7</w:t>
            </w:r>
          </w:p>
        </w:tc>
      </w:tr>
      <w:tr w:rsidR="00672D16" w:rsidRPr="005F0CE8" w14:paraId="34895025" w14:textId="77777777" w:rsidTr="00391805">
        <w:trPr>
          <w:cantSplit/>
        </w:trPr>
        <w:tc>
          <w:tcPr>
            <w:tcW w:w="154" w:type="pct"/>
          </w:tcPr>
          <w:p w14:paraId="2989DFD5" w14:textId="77777777" w:rsidR="00672D16" w:rsidRPr="005F0CE8" w:rsidRDefault="00672D16">
            <w:pPr>
              <w:pStyle w:val="TableText0"/>
              <w:keepNext w:val="0"/>
              <w:rPr>
                <w:sz w:val="19"/>
                <w:szCs w:val="19"/>
              </w:rPr>
            </w:pPr>
            <w:r w:rsidRPr="005F0CE8">
              <w:rPr>
                <w:sz w:val="19"/>
                <w:szCs w:val="19"/>
              </w:rPr>
              <w:t>Y</w:t>
            </w:r>
          </w:p>
        </w:tc>
        <w:tc>
          <w:tcPr>
            <w:tcW w:w="1571" w:type="pct"/>
            <w:shd w:val="clear" w:color="auto" w:fill="auto"/>
            <w:vAlign w:val="center"/>
          </w:tcPr>
          <w:p w14:paraId="295CA9E0" w14:textId="07838970" w:rsidR="00672D16" w:rsidRPr="005F0CE8" w:rsidRDefault="00672D16">
            <w:pPr>
              <w:pStyle w:val="TableText0"/>
              <w:keepNext w:val="0"/>
              <w:rPr>
                <w:sz w:val="19"/>
                <w:szCs w:val="19"/>
              </w:rPr>
            </w:pPr>
            <w:r w:rsidRPr="005F0CE8">
              <w:rPr>
                <w:sz w:val="19"/>
                <w:szCs w:val="19"/>
              </w:rPr>
              <w:t>Revised (Y = L + U)</w:t>
            </w:r>
            <w:r w:rsidR="004B3551">
              <w:rPr>
                <w:sz w:val="19"/>
                <w:szCs w:val="19"/>
              </w:rPr>
              <w:t xml:space="preserve"> ($)</w:t>
            </w:r>
          </w:p>
        </w:tc>
        <w:tc>
          <w:tcPr>
            <w:tcW w:w="545" w:type="pct"/>
            <w:shd w:val="clear" w:color="auto" w:fill="auto"/>
            <w:vAlign w:val="center"/>
          </w:tcPr>
          <w:p w14:paraId="62EDB264" w14:textId="09247364" w:rsidR="00672D16" w:rsidRPr="005F0CE8" w:rsidRDefault="003A26A8" w:rsidP="00391805">
            <w:pPr>
              <w:pStyle w:val="TableText0"/>
              <w:keepNext w:val="0"/>
              <w:jc w:val="center"/>
            </w:pPr>
            <w:r w:rsidRPr="003A26A8">
              <w:rPr>
                <w:color w:val="000000"/>
                <w:spacing w:val="190"/>
                <w:shd w:val="solid" w:color="000000" w:fill="000000"/>
                <w:fitText w:val="276" w:id="-1234442752"/>
                <w14:textFill>
                  <w14:solidFill>
                    <w14:srgbClr w14:val="000000">
                      <w14:alpha w14:val="100000"/>
                    </w14:srgbClr>
                  </w14:solidFill>
                </w14:textFill>
              </w:rPr>
              <w:t>|</w:t>
            </w:r>
            <w:r w:rsidRPr="003A26A8">
              <w:rPr>
                <w:color w:val="000000"/>
                <w:spacing w:val="1"/>
                <w:shd w:val="solid" w:color="000000" w:fill="000000"/>
                <w:fitText w:val="276" w:id="-1234442752"/>
                <w14:textFill>
                  <w14:solidFill>
                    <w14:srgbClr w14:val="000000">
                      <w14:alpha w14:val="100000"/>
                    </w14:srgbClr>
                  </w14:solidFill>
                </w14:textFill>
              </w:rPr>
              <w:t>|</w:t>
            </w:r>
            <w:r w:rsidR="00391805">
              <w:rPr>
                <w:vertAlign w:val="superscript"/>
              </w:rPr>
              <w:t>9</w:t>
            </w:r>
          </w:p>
        </w:tc>
        <w:tc>
          <w:tcPr>
            <w:tcW w:w="546" w:type="pct"/>
            <w:shd w:val="clear" w:color="auto" w:fill="auto"/>
            <w:vAlign w:val="center"/>
          </w:tcPr>
          <w:p w14:paraId="53E19320" w14:textId="363B6BC4" w:rsidR="00672D16" w:rsidRPr="003F7863" w:rsidRDefault="003A26A8" w:rsidP="00391805">
            <w:pPr>
              <w:pStyle w:val="TableText0"/>
              <w:keepNext w:val="0"/>
              <w:jc w:val="center"/>
              <w:rPr>
                <w:highlight w:val="darkGray"/>
              </w:rPr>
            </w:pPr>
            <w:r w:rsidRPr="003A26A8">
              <w:rPr>
                <w:color w:val="000000"/>
                <w:spacing w:val="179"/>
                <w:shd w:val="solid" w:color="000000" w:fill="000000"/>
                <w:fitText w:val="265" w:id="-1234442751"/>
                <w14:textFill>
                  <w14:solidFill>
                    <w14:srgbClr w14:val="000000">
                      <w14:alpha w14:val="100000"/>
                    </w14:srgbClr>
                  </w14:solidFill>
                </w14:textFill>
              </w:rPr>
              <w:t>|</w:t>
            </w:r>
            <w:r w:rsidRPr="003A26A8">
              <w:rPr>
                <w:color w:val="000000"/>
                <w:spacing w:val="1"/>
                <w:shd w:val="solid" w:color="000000" w:fill="000000"/>
                <w:fitText w:val="265" w:id="-1234442751"/>
                <w14:textFill>
                  <w14:solidFill>
                    <w14:srgbClr w14:val="000000">
                      <w14:alpha w14:val="100000"/>
                    </w14:srgbClr>
                  </w14:solidFill>
                </w14:textFill>
              </w:rPr>
              <w:t>|</w:t>
            </w:r>
            <w:r w:rsidR="00391805" w:rsidRPr="003F7863">
              <w:rPr>
                <w:vertAlign w:val="superscript"/>
              </w:rPr>
              <w:t>9</w:t>
            </w:r>
          </w:p>
        </w:tc>
        <w:tc>
          <w:tcPr>
            <w:tcW w:w="545" w:type="pct"/>
            <w:shd w:val="clear" w:color="auto" w:fill="auto"/>
            <w:vAlign w:val="center"/>
          </w:tcPr>
          <w:p w14:paraId="0FD60294" w14:textId="4FE6B0BD" w:rsidR="00672D16" w:rsidRPr="005F0CE8" w:rsidRDefault="003A26A8" w:rsidP="00391805">
            <w:pPr>
              <w:pStyle w:val="TableText0"/>
              <w:keepNext w:val="0"/>
              <w:jc w:val="center"/>
            </w:pPr>
            <w:r w:rsidRPr="003A26A8">
              <w:rPr>
                <w:color w:val="000000"/>
                <w:spacing w:val="190"/>
                <w:shd w:val="solid" w:color="000000" w:fill="000000"/>
                <w:fitText w:val="276" w:id="-1234442750"/>
                <w14:textFill>
                  <w14:solidFill>
                    <w14:srgbClr w14:val="000000">
                      <w14:alpha w14:val="100000"/>
                    </w14:srgbClr>
                  </w14:solidFill>
                </w14:textFill>
              </w:rPr>
              <w:t>|</w:t>
            </w:r>
            <w:r w:rsidRPr="003A26A8">
              <w:rPr>
                <w:color w:val="000000"/>
                <w:spacing w:val="1"/>
                <w:shd w:val="solid" w:color="000000" w:fill="000000"/>
                <w:fitText w:val="276" w:id="-1234442750"/>
                <w14:textFill>
                  <w14:solidFill>
                    <w14:srgbClr w14:val="000000">
                      <w14:alpha w14:val="100000"/>
                    </w14:srgbClr>
                  </w14:solidFill>
                </w14:textFill>
              </w:rPr>
              <w:t>|</w:t>
            </w:r>
            <w:r w:rsidR="00391805">
              <w:rPr>
                <w:vertAlign w:val="superscript"/>
              </w:rPr>
              <w:t>9</w:t>
            </w:r>
          </w:p>
        </w:tc>
        <w:tc>
          <w:tcPr>
            <w:tcW w:w="546" w:type="pct"/>
            <w:shd w:val="clear" w:color="auto" w:fill="auto"/>
            <w:vAlign w:val="center"/>
          </w:tcPr>
          <w:p w14:paraId="202D93FA" w14:textId="5A40C2FC" w:rsidR="00672D16" w:rsidRPr="005F0CE8" w:rsidRDefault="003A26A8" w:rsidP="00391805">
            <w:pPr>
              <w:pStyle w:val="TableText0"/>
              <w:keepNext w:val="0"/>
              <w:jc w:val="center"/>
            </w:pPr>
            <w:r w:rsidRPr="003A26A8">
              <w:rPr>
                <w:color w:val="000000"/>
                <w:spacing w:val="46"/>
                <w:shd w:val="solid" w:color="000000" w:fill="000000"/>
                <w:fitText w:val="311" w:id="-1234442749"/>
                <w14:textFill>
                  <w14:solidFill>
                    <w14:srgbClr w14:val="000000">
                      <w14:alpha w14:val="100000"/>
                    </w14:srgbClr>
                  </w14:solidFill>
                </w14:textFill>
              </w:rPr>
              <w:t>|||</w:t>
            </w:r>
            <w:r w:rsidRPr="003A26A8">
              <w:rPr>
                <w:color w:val="000000"/>
                <w:spacing w:val="3"/>
                <w:shd w:val="solid" w:color="000000" w:fill="000000"/>
                <w:fitText w:val="311" w:id="-1234442749"/>
                <w14:textFill>
                  <w14:solidFill>
                    <w14:srgbClr w14:val="000000">
                      <w14:alpha w14:val="100000"/>
                    </w14:srgbClr>
                  </w14:solidFill>
                </w14:textFill>
              </w:rPr>
              <w:t>|</w:t>
            </w:r>
            <w:r w:rsidR="00391805">
              <w:rPr>
                <w:vertAlign w:val="superscript"/>
              </w:rPr>
              <w:t>11</w:t>
            </w:r>
          </w:p>
        </w:tc>
        <w:tc>
          <w:tcPr>
            <w:tcW w:w="545" w:type="pct"/>
            <w:shd w:val="clear" w:color="auto" w:fill="auto"/>
            <w:vAlign w:val="center"/>
          </w:tcPr>
          <w:p w14:paraId="0F9297BE" w14:textId="484D38D7" w:rsidR="00672D16" w:rsidRPr="005F0CE8" w:rsidRDefault="003A26A8" w:rsidP="00391805">
            <w:pPr>
              <w:pStyle w:val="TableText0"/>
              <w:keepNext w:val="0"/>
              <w:jc w:val="center"/>
            </w:pPr>
            <w:r w:rsidRPr="003A26A8">
              <w:rPr>
                <w:color w:val="000000"/>
                <w:spacing w:val="46"/>
                <w:shd w:val="solid" w:color="000000" w:fill="000000"/>
                <w:fitText w:val="311" w:id="-1234442748"/>
                <w14:textFill>
                  <w14:solidFill>
                    <w14:srgbClr w14:val="000000">
                      <w14:alpha w14:val="100000"/>
                    </w14:srgbClr>
                  </w14:solidFill>
                </w14:textFill>
              </w:rPr>
              <w:t>|||</w:t>
            </w:r>
            <w:r w:rsidRPr="003A26A8">
              <w:rPr>
                <w:color w:val="000000"/>
                <w:spacing w:val="3"/>
                <w:shd w:val="solid" w:color="000000" w:fill="000000"/>
                <w:fitText w:val="311" w:id="-1234442748"/>
                <w14:textFill>
                  <w14:solidFill>
                    <w14:srgbClr w14:val="000000">
                      <w14:alpha w14:val="100000"/>
                    </w14:srgbClr>
                  </w14:solidFill>
                </w14:textFill>
              </w:rPr>
              <w:t>|</w:t>
            </w:r>
            <w:r w:rsidR="00391805">
              <w:rPr>
                <w:vertAlign w:val="superscript"/>
              </w:rPr>
              <w:t>11</w:t>
            </w:r>
          </w:p>
        </w:tc>
        <w:tc>
          <w:tcPr>
            <w:tcW w:w="548" w:type="pct"/>
            <w:vAlign w:val="center"/>
          </w:tcPr>
          <w:p w14:paraId="05D4172A" w14:textId="03E87033" w:rsidR="00672D16" w:rsidRPr="005F0CE8" w:rsidRDefault="003A26A8" w:rsidP="00391805">
            <w:pPr>
              <w:pStyle w:val="TableText0"/>
              <w:keepNext w:val="0"/>
              <w:jc w:val="center"/>
            </w:pPr>
            <w:r w:rsidRPr="003A26A8">
              <w:rPr>
                <w:color w:val="000000"/>
                <w:spacing w:val="213"/>
                <w:shd w:val="solid" w:color="000000" w:fill="000000"/>
                <w:fitText w:val="299" w:id="-1234442747"/>
                <w14:textFill>
                  <w14:solidFill>
                    <w14:srgbClr w14:val="000000">
                      <w14:alpha w14:val="100000"/>
                    </w14:srgbClr>
                  </w14:solidFill>
                </w14:textFill>
              </w:rPr>
              <w:t>|</w:t>
            </w:r>
            <w:r w:rsidRPr="003A26A8">
              <w:rPr>
                <w:color w:val="000000"/>
                <w:spacing w:val="1"/>
                <w:shd w:val="solid" w:color="000000" w:fill="000000"/>
                <w:fitText w:val="299" w:id="-1234442747"/>
                <w14:textFill>
                  <w14:solidFill>
                    <w14:srgbClr w14:val="000000">
                      <w14:alpha w14:val="100000"/>
                    </w14:srgbClr>
                  </w14:solidFill>
                </w14:textFill>
              </w:rPr>
              <w:t>|</w:t>
            </w:r>
            <w:r w:rsidR="00391805">
              <w:rPr>
                <w:vertAlign w:val="superscript"/>
              </w:rPr>
              <w:t>11</w:t>
            </w:r>
          </w:p>
        </w:tc>
      </w:tr>
      <w:tr w:rsidR="00B071CD" w:rsidRPr="005F0CE8" w14:paraId="42BCD5FE" w14:textId="77777777" w:rsidTr="005F2CDD">
        <w:trPr>
          <w:cantSplit/>
        </w:trPr>
        <w:tc>
          <w:tcPr>
            <w:tcW w:w="5000" w:type="pct"/>
            <w:gridSpan w:val="8"/>
          </w:tcPr>
          <w:p w14:paraId="5E000B42" w14:textId="16189F59" w:rsidR="005F2CDD" w:rsidRPr="005F0CE8" w:rsidRDefault="005F2CDD" w:rsidP="005F2CDD">
            <w:pPr>
              <w:pStyle w:val="Caption"/>
            </w:pPr>
            <w:r w:rsidRPr="005F0CE8">
              <w:rPr>
                <w:szCs w:val="20"/>
              </w:rPr>
              <w:t>Revised estimate in PSCR - Estimated financial impact for the PBS/RPBS (effective price)</w:t>
            </w:r>
          </w:p>
        </w:tc>
      </w:tr>
      <w:tr w:rsidR="00B071CD" w:rsidRPr="005F0CE8" w14:paraId="46B6911C" w14:textId="77777777" w:rsidTr="00391805">
        <w:trPr>
          <w:cantSplit/>
        </w:trPr>
        <w:tc>
          <w:tcPr>
            <w:tcW w:w="154" w:type="pct"/>
          </w:tcPr>
          <w:p w14:paraId="6AE99885" w14:textId="77777777" w:rsidR="005F2CDD" w:rsidRPr="005F0CE8" w:rsidRDefault="005F2CDD" w:rsidP="005F2CDD">
            <w:pPr>
              <w:pStyle w:val="TableText0"/>
              <w:keepNext w:val="0"/>
              <w:rPr>
                <w:sz w:val="19"/>
                <w:szCs w:val="19"/>
              </w:rPr>
            </w:pPr>
          </w:p>
        </w:tc>
        <w:tc>
          <w:tcPr>
            <w:tcW w:w="1571" w:type="pct"/>
            <w:shd w:val="clear" w:color="auto" w:fill="auto"/>
            <w:vAlign w:val="center"/>
          </w:tcPr>
          <w:p w14:paraId="1E8D1EA7" w14:textId="1D1D4F8D" w:rsidR="005F2CDD" w:rsidRPr="005F0CE8" w:rsidRDefault="005F2CDD" w:rsidP="005F2CDD">
            <w:pPr>
              <w:pStyle w:val="TableText0"/>
              <w:keepNext w:val="0"/>
              <w:rPr>
                <w:sz w:val="19"/>
                <w:szCs w:val="19"/>
              </w:rPr>
            </w:pPr>
            <w:r w:rsidRPr="005F0CE8">
              <w:rPr>
                <w:rFonts w:cstheme="minorHAnsi"/>
                <w:szCs w:val="20"/>
              </w:rPr>
              <w:t>Net cost PBS / RPBS</w:t>
            </w:r>
            <w:r w:rsidR="004B3551">
              <w:rPr>
                <w:rFonts w:cstheme="minorHAnsi"/>
                <w:szCs w:val="20"/>
              </w:rPr>
              <w:t xml:space="preserve"> ($)</w:t>
            </w:r>
          </w:p>
        </w:tc>
        <w:tc>
          <w:tcPr>
            <w:tcW w:w="545" w:type="pct"/>
            <w:shd w:val="clear" w:color="auto" w:fill="auto"/>
            <w:vAlign w:val="center"/>
          </w:tcPr>
          <w:p w14:paraId="26DDBBB8" w14:textId="4215FC48" w:rsidR="005F2CDD" w:rsidRPr="003F7863" w:rsidRDefault="003A26A8" w:rsidP="00391805">
            <w:pPr>
              <w:pStyle w:val="TableText0"/>
              <w:keepNext w:val="0"/>
              <w:jc w:val="center"/>
              <w:rPr>
                <w:highlight w:val="darkGray"/>
              </w:rPr>
            </w:pPr>
            <w:r w:rsidRPr="003A26A8">
              <w:rPr>
                <w:color w:val="000000"/>
                <w:spacing w:val="190"/>
                <w:szCs w:val="20"/>
                <w:shd w:val="solid" w:color="000000" w:fill="000000"/>
                <w:fitText w:val="276" w:id="-1234442746"/>
                <w14:textFill>
                  <w14:solidFill>
                    <w14:srgbClr w14:val="000000">
                      <w14:alpha w14:val="100000"/>
                    </w14:srgbClr>
                  </w14:solidFill>
                </w14:textFill>
              </w:rPr>
              <w:t>|</w:t>
            </w:r>
            <w:r w:rsidRPr="003A26A8">
              <w:rPr>
                <w:color w:val="000000"/>
                <w:spacing w:val="1"/>
                <w:szCs w:val="20"/>
                <w:shd w:val="solid" w:color="000000" w:fill="000000"/>
                <w:fitText w:val="276" w:id="-1234442746"/>
                <w14:textFill>
                  <w14:solidFill>
                    <w14:srgbClr w14:val="000000">
                      <w14:alpha w14:val="100000"/>
                    </w14:srgbClr>
                  </w14:solidFill>
                </w14:textFill>
              </w:rPr>
              <w:t>|</w:t>
            </w:r>
            <w:r w:rsidR="00391805" w:rsidRPr="003F7863">
              <w:rPr>
                <w:vertAlign w:val="superscript"/>
              </w:rPr>
              <w:t>9</w:t>
            </w:r>
          </w:p>
        </w:tc>
        <w:tc>
          <w:tcPr>
            <w:tcW w:w="546" w:type="pct"/>
            <w:shd w:val="clear" w:color="auto" w:fill="auto"/>
            <w:vAlign w:val="center"/>
          </w:tcPr>
          <w:p w14:paraId="23774D86" w14:textId="1B603320" w:rsidR="005F2CDD" w:rsidRPr="005F0CE8" w:rsidRDefault="003A26A8" w:rsidP="00391805">
            <w:pPr>
              <w:pStyle w:val="TableText0"/>
              <w:keepNext w:val="0"/>
              <w:jc w:val="center"/>
            </w:pPr>
            <w:r w:rsidRPr="003A26A8">
              <w:rPr>
                <w:color w:val="000000"/>
                <w:spacing w:val="179"/>
                <w:szCs w:val="20"/>
                <w:shd w:val="solid" w:color="000000" w:fill="000000"/>
                <w:fitText w:val="265" w:id="-1234442745"/>
                <w14:textFill>
                  <w14:solidFill>
                    <w14:srgbClr w14:val="000000">
                      <w14:alpha w14:val="100000"/>
                    </w14:srgbClr>
                  </w14:solidFill>
                </w14:textFill>
              </w:rPr>
              <w:t>|</w:t>
            </w:r>
            <w:r w:rsidRPr="003A26A8">
              <w:rPr>
                <w:color w:val="000000"/>
                <w:spacing w:val="1"/>
                <w:szCs w:val="20"/>
                <w:shd w:val="solid" w:color="000000" w:fill="000000"/>
                <w:fitText w:val="265" w:id="-1234442745"/>
                <w14:textFill>
                  <w14:solidFill>
                    <w14:srgbClr w14:val="000000">
                      <w14:alpha w14:val="100000"/>
                    </w14:srgbClr>
                  </w14:solidFill>
                </w14:textFill>
              </w:rPr>
              <w:t>|</w:t>
            </w:r>
            <w:r w:rsidR="00391805">
              <w:rPr>
                <w:vertAlign w:val="superscript"/>
              </w:rPr>
              <w:t>9</w:t>
            </w:r>
          </w:p>
        </w:tc>
        <w:tc>
          <w:tcPr>
            <w:tcW w:w="545" w:type="pct"/>
            <w:shd w:val="clear" w:color="auto" w:fill="auto"/>
            <w:vAlign w:val="center"/>
          </w:tcPr>
          <w:p w14:paraId="32E5D2B1" w14:textId="212AE747" w:rsidR="005F2CDD" w:rsidRPr="005F0CE8" w:rsidRDefault="003A26A8" w:rsidP="00391805">
            <w:pPr>
              <w:pStyle w:val="TableText0"/>
              <w:keepNext w:val="0"/>
              <w:jc w:val="center"/>
            </w:pPr>
            <w:r w:rsidRPr="003A26A8">
              <w:rPr>
                <w:color w:val="000000"/>
                <w:spacing w:val="46"/>
                <w:szCs w:val="20"/>
                <w:shd w:val="solid" w:color="000000" w:fill="000000"/>
                <w:fitText w:val="311" w:id="-1234442744"/>
                <w14:textFill>
                  <w14:solidFill>
                    <w14:srgbClr w14:val="000000">
                      <w14:alpha w14:val="100000"/>
                    </w14:srgbClr>
                  </w14:solidFill>
                </w14:textFill>
              </w:rPr>
              <w:t>|||</w:t>
            </w:r>
            <w:r w:rsidRPr="003A26A8">
              <w:rPr>
                <w:color w:val="000000"/>
                <w:spacing w:val="3"/>
                <w:szCs w:val="20"/>
                <w:shd w:val="solid" w:color="000000" w:fill="000000"/>
                <w:fitText w:val="311" w:id="-1234442744"/>
                <w14:textFill>
                  <w14:solidFill>
                    <w14:srgbClr w14:val="000000">
                      <w14:alpha w14:val="100000"/>
                    </w14:srgbClr>
                  </w14:solidFill>
                </w14:textFill>
              </w:rPr>
              <w:t>|</w:t>
            </w:r>
            <w:r w:rsidR="00391805" w:rsidRPr="003F7863">
              <w:rPr>
                <w:vertAlign w:val="superscript"/>
              </w:rPr>
              <w:t>11</w:t>
            </w:r>
          </w:p>
        </w:tc>
        <w:tc>
          <w:tcPr>
            <w:tcW w:w="546" w:type="pct"/>
            <w:shd w:val="clear" w:color="auto" w:fill="auto"/>
            <w:vAlign w:val="center"/>
          </w:tcPr>
          <w:p w14:paraId="35D08EF1" w14:textId="013F9EAD" w:rsidR="005F2CDD" w:rsidRPr="005F0CE8" w:rsidRDefault="003A26A8" w:rsidP="00391805">
            <w:pPr>
              <w:pStyle w:val="TableText0"/>
              <w:keepNext w:val="0"/>
              <w:jc w:val="center"/>
            </w:pPr>
            <w:r w:rsidRPr="003A26A8">
              <w:rPr>
                <w:color w:val="000000"/>
                <w:spacing w:val="46"/>
                <w:szCs w:val="20"/>
                <w:shd w:val="solid" w:color="000000" w:fill="000000"/>
                <w:fitText w:val="311" w:id="-1234442743"/>
                <w14:textFill>
                  <w14:solidFill>
                    <w14:srgbClr w14:val="000000">
                      <w14:alpha w14:val="100000"/>
                    </w14:srgbClr>
                  </w14:solidFill>
                </w14:textFill>
              </w:rPr>
              <w:t>|||</w:t>
            </w:r>
            <w:r w:rsidRPr="003A26A8">
              <w:rPr>
                <w:color w:val="000000"/>
                <w:spacing w:val="3"/>
                <w:szCs w:val="20"/>
                <w:shd w:val="solid" w:color="000000" w:fill="000000"/>
                <w:fitText w:val="311" w:id="-1234442743"/>
                <w14:textFill>
                  <w14:solidFill>
                    <w14:srgbClr w14:val="000000">
                      <w14:alpha w14:val="100000"/>
                    </w14:srgbClr>
                  </w14:solidFill>
                </w14:textFill>
              </w:rPr>
              <w:t>|</w:t>
            </w:r>
            <w:r w:rsidR="00391805">
              <w:rPr>
                <w:vertAlign w:val="superscript"/>
              </w:rPr>
              <w:t>11</w:t>
            </w:r>
          </w:p>
        </w:tc>
        <w:tc>
          <w:tcPr>
            <w:tcW w:w="545" w:type="pct"/>
            <w:shd w:val="clear" w:color="auto" w:fill="auto"/>
            <w:vAlign w:val="center"/>
          </w:tcPr>
          <w:p w14:paraId="1D0887B3" w14:textId="2367F655" w:rsidR="005F2CDD" w:rsidRPr="005F0CE8" w:rsidRDefault="003A26A8" w:rsidP="00391805">
            <w:pPr>
              <w:pStyle w:val="TableText0"/>
              <w:keepNext w:val="0"/>
              <w:jc w:val="center"/>
            </w:pPr>
            <w:r w:rsidRPr="003A26A8">
              <w:rPr>
                <w:color w:val="000000"/>
                <w:spacing w:val="46"/>
                <w:szCs w:val="20"/>
                <w:shd w:val="solid" w:color="000000" w:fill="000000"/>
                <w:fitText w:val="311" w:id="-1234442742"/>
                <w14:textFill>
                  <w14:solidFill>
                    <w14:srgbClr w14:val="000000">
                      <w14:alpha w14:val="100000"/>
                    </w14:srgbClr>
                  </w14:solidFill>
                </w14:textFill>
              </w:rPr>
              <w:t>|||</w:t>
            </w:r>
            <w:r w:rsidRPr="003A26A8">
              <w:rPr>
                <w:color w:val="000000"/>
                <w:spacing w:val="3"/>
                <w:szCs w:val="20"/>
                <w:shd w:val="solid" w:color="000000" w:fill="000000"/>
                <w:fitText w:val="311" w:id="-1234442742"/>
                <w14:textFill>
                  <w14:solidFill>
                    <w14:srgbClr w14:val="000000">
                      <w14:alpha w14:val="100000"/>
                    </w14:srgbClr>
                  </w14:solidFill>
                </w14:textFill>
              </w:rPr>
              <w:t>|</w:t>
            </w:r>
            <w:r w:rsidR="00391805">
              <w:rPr>
                <w:vertAlign w:val="superscript"/>
              </w:rPr>
              <w:t>12</w:t>
            </w:r>
          </w:p>
        </w:tc>
        <w:tc>
          <w:tcPr>
            <w:tcW w:w="548" w:type="pct"/>
            <w:vAlign w:val="center"/>
          </w:tcPr>
          <w:p w14:paraId="59A279E1" w14:textId="60FCECE2" w:rsidR="003F7863" w:rsidRDefault="003A26A8" w:rsidP="00391805">
            <w:pPr>
              <w:pStyle w:val="TableText0"/>
              <w:keepNext w:val="0"/>
              <w:jc w:val="center"/>
              <w:rPr>
                <w:szCs w:val="20"/>
              </w:rPr>
            </w:pPr>
            <w:r w:rsidRPr="003A26A8">
              <w:rPr>
                <w:color w:val="000000"/>
                <w:spacing w:val="155"/>
                <w:szCs w:val="20"/>
                <w:shd w:val="solid" w:color="000000" w:fill="000000"/>
                <w:fitText w:val="241" w:id="-1234442741"/>
                <w14:textFill>
                  <w14:solidFill>
                    <w14:srgbClr w14:val="000000">
                      <w14:alpha w14:val="100000"/>
                    </w14:srgbClr>
                  </w14:solidFill>
                </w14:textFill>
              </w:rPr>
              <w:t>|</w:t>
            </w:r>
            <w:r w:rsidRPr="003A26A8">
              <w:rPr>
                <w:color w:val="000000"/>
                <w:spacing w:val="1"/>
                <w:szCs w:val="20"/>
                <w:shd w:val="solid" w:color="000000" w:fill="000000"/>
                <w:fitText w:val="241" w:id="-1234442741"/>
                <w14:textFill>
                  <w14:solidFill>
                    <w14:srgbClr w14:val="000000">
                      <w14:alpha w14:val="100000"/>
                    </w14:srgbClr>
                  </w14:solidFill>
                </w14:textFill>
              </w:rPr>
              <w:t>|</w:t>
            </w:r>
          </w:p>
          <w:p w14:paraId="6B4A90D4" w14:textId="61B78CD4" w:rsidR="005F2CDD" w:rsidRPr="005F0CE8" w:rsidRDefault="00391805" w:rsidP="00391805">
            <w:pPr>
              <w:pStyle w:val="TableText0"/>
              <w:keepNext w:val="0"/>
              <w:jc w:val="center"/>
            </w:pPr>
            <w:r>
              <w:rPr>
                <w:vertAlign w:val="superscript"/>
              </w:rPr>
              <w:t>12</w:t>
            </w:r>
          </w:p>
        </w:tc>
      </w:tr>
    </w:tbl>
    <w:p w14:paraId="12D46387" w14:textId="5A64290F" w:rsidR="00672D16" w:rsidRPr="005F0CE8" w:rsidRDefault="00672D16" w:rsidP="00672D16">
      <w:pPr>
        <w:pStyle w:val="FooterTableFigure"/>
      </w:pPr>
      <w:r w:rsidRPr="005F0CE8">
        <w:t xml:space="preserve">Source: Compiled during evaluation from information provided in Section 4 of the submission and the Excel workbook ‘Att_4.1_OlympiA UCM_FINAL’. </w:t>
      </w:r>
    </w:p>
    <w:bookmarkEnd w:id="108"/>
    <w:p w14:paraId="78FADB7A" w14:textId="3F052F4C" w:rsidR="00672D16" w:rsidRPr="005F0CE8" w:rsidRDefault="00672D16" w:rsidP="00672D16">
      <w:pPr>
        <w:pStyle w:val="FooterTableFigure"/>
      </w:pPr>
      <w:r w:rsidRPr="005F0CE8">
        <w:t>g</w:t>
      </w:r>
      <w:r w:rsidR="009E092C" w:rsidRPr="009E092C">
        <w:rPr>
          <w:i/>
        </w:rPr>
        <w:t xml:space="preserve">BRCA </w:t>
      </w:r>
      <w:r w:rsidRPr="005F0CE8">
        <w:t xml:space="preserve">= germline breast cancer gene; GPG = Greatest Permissible Gap; HR(+) = hormone receptor positive; HER2 (-) = human epidermal growth factor receptor 2 negative; TNBC = triple-negative breast cancer; </w:t>
      </w:r>
    </w:p>
    <w:p w14:paraId="4AC2C251" w14:textId="77777777" w:rsidR="00672D16" w:rsidRPr="005F0CE8" w:rsidRDefault="00672D16" w:rsidP="00672D16">
      <w:pPr>
        <w:pStyle w:val="FooterTableFigure"/>
      </w:pPr>
      <w:proofErr w:type="spellStart"/>
      <w:r w:rsidRPr="005F0CE8">
        <w:rPr>
          <w:vertAlign w:val="superscript"/>
        </w:rPr>
        <w:t>a</w:t>
      </w:r>
      <w:proofErr w:type="spellEnd"/>
      <w:r w:rsidRPr="005F0CE8">
        <w:t xml:space="preserve"> The submission’s estimated volume changes to the MBS item was calculated using ‘7. Net changes – MBS’ spreadsheet in Excel workbook ‘Att_4.1_OlympiA UCM_FINAL’ by subtracting the sum of cells (M509:M510 through R509:R510) from the sum of (M113:M114 through R113:R114).</w:t>
      </w:r>
    </w:p>
    <w:p w14:paraId="2CA585F4" w14:textId="6DEFA43A" w:rsidR="00672D16" w:rsidRPr="005F0CE8" w:rsidRDefault="00672D16" w:rsidP="00672D16">
      <w:pPr>
        <w:pStyle w:val="FooterTableFigure"/>
      </w:pPr>
      <w:r w:rsidRPr="005F0CE8">
        <w:rPr>
          <w:vertAlign w:val="superscript"/>
        </w:rPr>
        <w:t>b</w:t>
      </w:r>
      <w:r w:rsidRPr="005F0CE8">
        <w:t xml:space="preserve"> This is calculated by multiplying the change in use of germline </w:t>
      </w:r>
      <w:r w:rsidR="009E092C" w:rsidRPr="009E092C">
        <w:rPr>
          <w:i/>
        </w:rPr>
        <w:t xml:space="preserve">BRCA </w:t>
      </w:r>
      <w:r w:rsidRPr="005F0CE8">
        <w:t>testing services (i.e. 527 in Year 1, rather than 263 in Year 1 which was erroneously calculated in the ‘7. Net changes – MBS’ spreadsheet) by the MBS fee ($1,106.80) at 85% rebate rate accounting for the GPG, compared to $960 at 80% rebate rate in the submission.</w:t>
      </w:r>
    </w:p>
    <w:p w14:paraId="6510A406" w14:textId="77777777" w:rsidR="00672D16" w:rsidRPr="005F0CE8" w:rsidRDefault="00672D16" w:rsidP="00672D16">
      <w:pPr>
        <w:pStyle w:val="FooterTableFigure"/>
      </w:pPr>
      <w:r w:rsidRPr="005F0CE8">
        <w:rPr>
          <w:vertAlign w:val="superscript"/>
        </w:rPr>
        <w:t>c</w:t>
      </w:r>
      <w:r w:rsidRPr="005F0CE8">
        <w:t xml:space="preserve"> The number of scripts per patient per year applied in the submission was calculated by dividing the total olaparib prescription numbers presented in Table 4.11, p248 of the submission and ‘3a. Scripts – proposed’ by the total number of patients.</w:t>
      </w:r>
    </w:p>
    <w:p w14:paraId="4A7177D6" w14:textId="1EE7B207" w:rsidR="00672D16" w:rsidRDefault="00672D16" w:rsidP="003F7863">
      <w:pPr>
        <w:pStyle w:val="FooterTableFigure"/>
        <w:spacing w:after="0"/>
      </w:pPr>
      <w:r w:rsidRPr="005F0CE8">
        <w:rPr>
          <w:vertAlign w:val="superscript"/>
        </w:rPr>
        <w:t xml:space="preserve">d </w:t>
      </w:r>
      <w:r w:rsidRPr="005F0CE8">
        <w:t>This is calculated by multiplying the total number of patients by 12.54 scripts per patient per year (= 365.25 / 28 days for the number of scripts per year [13.04] multiplied by compliance,</w:t>
      </w:r>
      <w:r w:rsidR="0063228C" w:rsidRPr="005F0CE8">
        <w:t xml:space="preserve"> </w:t>
      </w:r>
      <w:r w:rsidRPr="005F0CE8">
        <w:t xml:space="preserve">96.15%). </w:t>
      </w:r>
    </w:p>
    <w:p w14:paraId="408D268D" w14:textId="77777777" w:rsidR="003F7863" w:rsidRPr="009A6D58" w:rsidRDefault="003F7863" w:rsidP="003F7863">
      <w:pPr>
        <w:rPr>
          <w:rFonts w:ascii="Arial Narrow" w:hAnsi="Arial Narrow"/>
          <w:i/>
          <w:sz w:val="18"/>
          <w:szCs w:val="18"/>
        </w:rPr>
      </w:pPr>
      <w:r w:rsidRPr="009A6D58">
        <w:rPr>
          <w:rFonts w:ascii="Arial Narrow" w:hAnsi="Arial Narrow"/>
          <w:i/>
          <w:sz w:val="18"/>
          <w:szCs w:val="18"/>
        </w:rPr>
        <w:t xml:space="preserve">he redacted values correspond to the following ranges: </w:t>
      </w:r>
    </w:p>
    <w:p w14:paraId="020CD488" w14:textId="4A62BDA6" w:rsidR="003F7863" w:rsidRPr="009A6D58" w:rsidRDefault="003F7863" w:rsidP="003F786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F7863">
        <w:rPr>
          <w:rFonts w:ascii="Arial Narrow" w:hAnsi="Arial Narrow"/>
          <w:i/>
          <w:sz w:val="18"/>
          <w:szCs w:val="18"/>
        </w:rPr>
        <w:t>10,000 to &lt; 20,000</w:t>
      </w:r>
    </w:p>
    <w:p w14:paraId="11E17B65" w14:textId="77777777" w:rsidR="003F7863" w:rsidRDefault="003F7863" w:rsidP="003F786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F7863">
        <w:rPr>
          <w:rFonts w:ascii="Arial Narrow" w:hAnsi="Arial Narrow"/>
          <w:i/>
          <w:sz w:val="18"/>
          <w:szCs w:val="18"/>
        </w:rPr>
        <w:t>20,000 to &lt; 30,000</w:t>
      </w:r>
    </w:p>
    <w:p w14:paraId="1D5483B6" w14:textId="6E1AB6BE" w:rsidR="003F7863" w:rsidRDefault="003F7863" w:rsidP="003F786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bookmarkStart w:id="109" w:name="_Hlk134798964"/>
      <w:r w:rsidRPr="003F7863">
        <w:rPr>
          <w:rFonts w:ascii="Arial Narrow" w:hAnsi="Arial Narrow"/>
          <w:i/>
          <w:sz w:val="18"/>
          <w:szCs w:val="18"/>
        </w:rPr>
        <w:t>500 to &lt; 5,000</w:t>
      </w:r>
      <w:bookmarkEnd w:id="109"/>
    </w:p>
    <w:p w14:paraId="4E4DAEF0" w14:textId="219A81AC" w:rsidR="003F7863" w:rsidRDefault="003F7863" w:rsidP="003F786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bookmarkStart w:id="110" w:name="_Hlk134802936"/>
      <w:r w:rsidRPr="003F7863">
        <w:rPr>
          <w:rFonts w:ascii="Arial Narrow" w:hAnsi="Arial Narrow"/>
          <w:i/>
          <w:sz w:val="18"/>
          <w:szCs w:val="18"/>
        </w:rPr>
        <w:t>&lt; 500</w:t>
      </w:r>
      <w:bookmarkEnd w:id="110"/>
    </w:p>
    <w:p w14:paraId="153D1484" w14:textId="587C87A6" w:rsidR="003F7863" w:rsidRDefault="003F7863" w:rsidP="003F786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5</w:t>
      </w:r>
      <w:r w:rsidRPr="003F7863">
        <w:rPr>
          <w:rFonts w:ascii="Arial Narrow" w:hAnsi="Arial Narrow"/>
          <w:i/>
          <w:sz w:val="18"/>
          <w:szCs w:val="18"/>
        </w:rPr>
        <w:t>,000 to &lt; 10,000</w:t>
      </w:r>
    </w:p>
    <w:p w14:paraId="6348D1EF" w14:textId="36806E21" w:rsidR="003F7863" w:rsidRDefault="003F7863" w:rsidP="003F7863">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bookmarkStart w:id="111" w:name="_Hlk134785767"/>
      <w:r w:rsidRPr="003F7863">
        <w:rPr>
          <w:rFonts w:ascii="Arial Narrow" w:hAnsi="Arial Narrow"/>
          <w:i/>
          <w:sz w:val="18"/>
          <w:szCs w:val="18"/>
        </w:rPr>
        <w:t>$0 to &lt; $10 million</w:t>
      </w:r>
      <w:bookmarkEnd w:id="111"/>
    </w:p>
    <w:p w14:paraId="5660D96F" w14:textId="446EAAF7" w:rsidR="003F7863" w:rsidRPr="009A6D58" w:rsidRDefault="003F7863" w:rsidP="003F7863">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3F7863">
        <w:rPr>
          <w:rFonts w:ascii="Arial Narrow" w:hAnsi="Arial Narrow"/>
          <w:i/>
          <w:sz w:val="18"/>
          <w:szCs w:val="18"/>
        </w:rPr>
        <w:t>$30 million to &lt; $40 million</w:t>
      </w:r>
    </w:p>
    <w:p w14:paraId="5C8257C1" w14:textId="37E6CFFC" w:rsidR="003F7863" w:rsidRPr="009A6D58" w:rsidRDefault="003F7863" w:rsidP="003F7863">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3F7863">
        <w:rPr>
          <w:rFonts w:ascii="Arial Narrow" w:hAnsi="Arial Narrow"/>
          <w:i/>
          <w:sz w:val="18"/>
          <w:szCs w:val="18"/>
        </w:rPr>
        <w:t>$20 million to &lt; $30 million</w:t>
      </w:r>
    </w:p>
    <w:p w14:paraId="0F6D7E8D" w14:textId="43E49214" w:rsidR="003F7863" w:rsidRDefault="003F7863" w:rsidP="003F7863">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bookmarkStart w:id="112" w:name="_Hlk134799092"/>
      <w:r w:rsidRPr="003F7863">
        <w:rPr>
          <w:rFonts w:ascii="Arial Narrow" w:hAnsi="Arial Narrow"/>
          <w:i/>
          <w:sz w:val="18"/>
          <w:szCs w:val="18"/>
        </w:rPr>
        <w:t>$60 million to &lt; $70 million</w:t>
      </w:r>
      <w:bookmarkEnd w:id="112"/>
    </w:p>
    <w:p w14:paraId="769CAF3A" w14:textId="0AD84AD9" w:rsidR="003F7863" w:rsidRDefault="003F7863" w:rsidP="003F7863">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bookmarkStart w:id="113" w:name="_Hlk134785794"/>
      <w:r w:rsidRPr="003F7863">
        <w:rPr>
          <w:rFonts w:ascii="Arial Narrow" w:hAnsi="Arial Narrow"/>
          <w:i/>
          <w:sz w:val="18"/>
          <w:szCs w:val="18"/>
        </w:rPr>
        <w:t>$50 million to &lt; $60 million</w:t>
      </w:r>
      <w:bookmarkEnd w:id="113"/>
    </w:p>
    <w:p w14:paraId="73FB3343" w14:textId="24D4A226" w:rsidR="003F7863" w:rsidRDefault="003F7863" w:rsidP="003F7863">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Pr="003F7863">
        <w:rPr>
          <w:rFonts w:ascii="Arial Narrow" w:hAnsi="Arial Narrow"/>
          <w:i/>
          <w:sz w:val="18"/>
          <w:szCs w:val="18"/>
        </w:rPr>
        <w:t>$70 million to &lt; $80 million</w:t>
      </w:r>
    </w:p>
    <w:p w14:paraId="39A57F26" w14:textId="111DB93E" w:rsidR="003F7863" w:rsidRPr="003F7863" w:rsidRDefault="003F7863" w:rsidP="003F7863">
      <w:pPr>
        <w:spacing w:after="120"/>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Pr="003F7863">
        <w:rPr>
          <w:rFonts w:ascii="Arial Narrow" w:hAnsi="Arial Narrow"/>
          <w:i/>
          <w:sz w:val="18"/>
          <w:szCs w:val="18"/>
        </w:rPr>
        <w:t>$80 million to &lt; $90 million</w:t>
      </w:r>
    </w:p>
    <w:p w14:paraId="240BED8A" w14:textId="735DC3AE" w:rsidR="00672D16" w:rsidRPr="005F0CE8" w:rsidRDefault="00672D16" w:rsidP="00477BB3">
      <w:pPr>
        <w:pStyle w:val="3-BodyText"/>
      </w:pPr>
      <w:r w:rsidRPr="005F0CE8">
        <w:t xml:space="preserve">The submission estimated </w:t>
      </w:r>
      <w:r w:rsidR="00AE298C" w:rsidRPr="005F0CE8">
        <w:t xml:space="preserve">the </w:t>
      </w:r>
      <w:r w:rsidRPr="005F0CE8">
        <w:t xml:space="preserve">total cost to the PBS/RPBS of listing olaparib to be </w:t>
      </w:r>
      <w:r w:rsidR="003F7863" w:rsidRPr="003F7863">
        <w:rPr>
          <w:iCs/>
        </w:rPr>
        <w:t>$30 million</w:t>
      </w:r>
      <w:r w:rsidR="00664366">
        <w:rPr>
          <w:iCs/>
        </w:rPr>
        <w:t xml:space="preserve"> </w:t>
      </w:r>
      <w:r w:rsidR="003F7863" w:rsidRPr="003F7863">
        <w:rPr>
          <w:iCs/>
        </w:rPr>
        <w:t>to</w:t>
      </w:r>
      <w:r w:rsidR="00664366">
        <w:rPr>
          <w:iCs/>
        </w:rPr>
        <w:t xml:space="preserve"> </w:t>
      </w:r>
      <w:r w:rsidR="003F7863" w:rsidRPr="003F7863">
        <w:rPr>
          <w:iCs/>
        </w:rPr>
        <w:t>&lt; $40 million</w:t>
      </w:r>
      <w:r w:rsidRPr="005F0CE8">
        <w:t xml:space="preserve"> in Year 6, and a total of </w:t>
      </w:r>
      <w:r w:rsidR="003F7863" w:rsidRPr="003F7863">
        <w:t>$200 million</w:t>
      </w:r>
      <w:r w:rsidR="00664366">
        <w:t xml:space="preserve"> </w:t>
      </w:r>
      <w:r w:rsidR="003F7863" w:rsidRPr="003F7863">
        <w:t>to</w:t>
      </w:r>
      <w:r w:rsidR="00664366">
        <w:t xml:space="preserve"> </w:t>
      </w:r>
      <w:r w:rsidR="003F7863" w:rsidRPr="003F7863">
        <w:t>&lt; $300 million</w:t>
      </w:r>
      <w:r w:rsidR="003F7863" w:rsidRPr="003F7863" w:rsidDel="003F7863">
        <w:t xml:space="preserve"> </w:t>
      </w:r>
      <w:r w:rsidRPr="005F0CE8">
        <w:t xml:space="preserve">in the first 6 years of listing, which was revised during evaluation </w:t>
      </w:r>
      <w:r w:rsidR="00AE298C" w:rsidRPr="005F0CE8">
        <w:t xml:space="preserve">to be </w:t>
      </w:r>
      <w:bookmarkStart w:id="114" w:name="_Hlk134802087"/>
      <w:r w:rsidR="00664366" w:rsidRPr="00664366">
        <w:t>$70 million</w:t>
      </w:r>
      <w:r w:rsidR="00664366">
        <w:t xml:space="preserve"> </w:t>
      </w:r>
      <w:r w:rsidR="00664366" w:rsidRPr="00664366">
        <w:t>to</w:t>
      </w:r>
      <w:r w:rsidR="00664366">
        <w:t xml:space="preserve"> </w:t>
      </w:r>
      <w:r w:rsidR="00664366" w:rsidRPr="00664366">
        <w:t>&lt; $80 million</w:t>
      </w:r>
      <w:bookmarkEnd w:id="114"/>
      <w:r w:rsidR="00664366" w:rsidRPr="00664366" w:rsidDel="00664366">
        <w:t xml:space="preserve"> </w:t>
      </w:r>
      <w:r w:rsidRPr="005F0CE8">
        <w:t xml:space="preserve">in Year 6 and </w:t>
      </w:r>
      <w:r w:rsidR="00664366" w:rsidRPr="00664366">
        <w:t>$400 million</w:t>
      </w:r>
      <w:r w:rsidR="00664366">
        <w:t xml:space="preserve"> </w:t>
      </w:r>
      <w:r w:rsidR="00664366" w:rsidRPr="00664366">
        <w:t>to</w:t>
      </w:r>
      <w:r w:rsidR="00664366">
        <w:t xml:space="preserve"> </w:t>
      </w:r>
      <w:r w:rsidR="00664366" w:rsidRPr="00664366">
        <w:t>&lt; $500 million</w:t>
      </w:r>
      <w:r w:rsidR="00664366" w:rsidRPr="00664366" w:rsidDel="00664366">
        <w:t xml:space="preserve"> </w:t>
      </w:r>
      <w:r w:rsidRPr="005F0CE8">
        <w:t xml:space="preserve">over the first 6 years of listing based on the proposed effective price. </w:t>
      </w:r>
      <w:r w:rsidR="005F2CDD" w:rsidRPr="005F0CE8">
        <w:t>The revised estimates in the PSCR total</w:t>
      </w:r>
      <w:r w:rsidR="00AE298C" w:rsidRPr="005F0CE8">
        <w:t>led</w:t>
      </w:r>
      <w:r w:rsidR="005F2CDD" w:rsidRPr="005F0CE8">
        <w:t xml:space="preserve"> </w:t>
      </w:r>
      <w:r w:rsidR="00664366" w:rsidRPr="00664366">
        <w:t>$400 million</w:t>
      </w:r>
      <w:r w:rsidR="00664366">
        <w:t xml:space="preserve"> </w:t>
      </w:r>
      <w:r w:rsidR="00664366" w:rsidRPr="00664366">
        <w:t>to</w:t>
      </w:r>
      <w:r w:rsidR="00664366">
        <w:t xml:space="preserve"> </w:t>
      </w:r>
      <w:r w:rsidR="00664366" w:rsidRPr="00664366">
        <w:t>&lt; $500 million</w:t>
      </w:r>
      <w:r w:rsidR="00664366" w:rsidRPr="00664366" w:rsidDel="00664366">
        <w:t xml:space="preserve"> </w:t>
      </w:r>
      <w:r w:rsidR="005F2CDD" w:rsidRPr="005F0CE8">
        <w:t>over the first 6 years of listing based on the proposed effective price.</w:t>
      </w:r>
    </w:p>
    <w:p w14:paraId="78A488B1" w14:textId="0D20426B" w:rsidR="00672D16" w:rsidRPr="005F0CE8" w:rsidRDefault="00672D16" w:rsidP="00477BB3">
      <w:pPr>
        <w:pStyle w:val="3-BodyText"/>
      </w:pPr>
      <w:r w:rsidRPr="005F0CE8">
        <w:t xml:space="preserve">The net cost to the MBS of listing germline </w:t>
      </w:r>
      <w:r w:rsidR="009E092C" w:rsidRPr="009E092C">
        <w:rPr>
          <w:i/>
        </w:rPr>
        <w:t xml:space="preserve">BRCA </w:t>
      </w:r>
      <w:r w:rsidRPr="005F0CE8">
        <w:t xml:space="preserve">mutation was estimated to be </w:t>
      </w:r>
      <w:r w:rsidR="00664366" w:rsidRPr="00664366">
        <w:rPr>
          <w:iCs/>
        </w:rPr>
        <w:t>$0</w:t>
      </w:r>
      <w:r w:rsidR="00664366">
        <w:rPr>
          <w:iCs/>
        </w:rPr>
        <w:t xml:space="preserve"> </w:t>
      </w:r>
      <w:r w:rsidR="00664366" w:rsidRPr="00664366">
        <w:rPr>
          <w:iCs/>
        </w:rPr>
        <w:t>to</w:t>
      </w:r>
      <w:r w:rsidR="00664366">
        <w:rPr>
          <w:iCs/>
        </w:rPr>
        <w:t xml:space="preserve"> </w:t>
      </w:r>
      <w:r w:rsidR="00664366" w:rsidRPr="00664366">
        <w:rPr>
          <w:iCs/>
        </w:rPr>
        <w:t>&lt; $10 million</w:t>
      </w:r>
      <w:r w:rsidRPr="005F0CE8">
        <w:t xml:space="preserve"> in Year 6 (revised </w:t>
      </w:r>
      <w:r w:rsidR="00AE298C" w:rsidRPr="005F0CE8">
        <w:t xml:space="preserve">during evaluation to </w:t>
      </w:r>
      <w:r w:rsidR="00664366" w:rsidRPr="00664366">
        <w:rPr>
          <w:iCs/>
        </w:rPr>
        <w:t>$0</w:t>
      </w:r>
      <w:r w:rsidR="00664366">
        <w:rPr>
          <w:iCs/>
        </w:rPr>
        <w:t xml:space="preserve"> </w:t>
      </w:r>
      <w:r w:rsidR="00664366" w:rsidRPr="00664366">
        <w:rPr>
          <w:iCs/>
        </w:rPr>
        <w:t>to</w:t>
      </w:r>
      <w:r w:rsidR="00664366">
        <w:rPr>
          <w:iCs/>
        </w:rPr>
        <w:t xml:space="preserve"> </w:t>
      </w:r>
      <w:r w:rsidR="00664366" w:rsidRPr="00664366">
        <w:rPr>
          <w:iCs/>
        </w:rPr>
        <w:t>&lt; $10 million</w:t>
      </w:r>
      <w:r w:rsidRPr="005F0CE8">
        <w:t xml:space="preserve">), and a total of </w:t>
      </w:r>
      <w:r w:rsidR="00664366" w:rsidRPr="00664366">
        <w:rPr>
          <w:iCs/>
        </w:rPr>
        <w:t>$0</w:t>
      </w:r>
      <w:r w:rsidR="00664366">
        <w:rPr>
          <w:iCs/>
        </w:rPr>
        <w:t xml:space="preserve"> </w:t>
      </w:r>
      <w:r w:rsidR="00664366" w:rsidRPr="00664366">
        <w:rPr>
          <w:iCs/>
        </w:rPr>
        <w:t>to</w:t>
      </w:r>
      <w:r w:rsidR="00664366">
        <w:rPr>
          <w:iCs/>
        </w:rPr>
        <w:t xml:space="preserve"> </w:t>
      </w:r>
      <w:r w:rsidR="00664366" w:rsidRPr="00664366">
        <w:rPr>
          <w:iCs/>
        </w:rPr>
        <w:t>&lt; $10 million</w:t>
      </w:r>
      <w:r w:rsidR="00664366" w:rsidRPr="005F0CE8">
        <w:t xml:space="preserve"> </w:t>
      </w:r>
      <w:r w:rsidRPr="005F0CE8">
        <w:t xml:space="preserve">over the first 6 years of listing (revised </w:t>
      </w:r>
      <w:r w:rsidR="00AE298C" w:rsidRPr="005F0CE8">
        <w:t xml:space="preserve">to </w:t>
      </w:r>
      <w:bookmarkStart w:id="115" w:name="_Hlk134785777"/>
      <w:r w:rsidR="00664366" w:rsidRPr="00664366">
        <w:t>$10 million</w:t>
      </w:r>
      <w:r w:rsidR="00664366">
        <w:t xml:space="preserve"> </w:t>
      </w:r>
      <w:r w:rsidR="00664366" w:rsidRPr="00664366">
        <w:t>to</w:t>
      </w:r>
      <w:r w:rsidR="00664366">
        <w:t xml:space="preserve"> </w:t>
      </w:r>
      <w:r w:rsidR="00664366" w:rsidRPr="00664366">
        <w:t>&lt; $20 million</w:t>
      </w:r>
      <w:bookmarkEnd w:id="115"/>
      <w:r w:rsidRPr="005F0CE8">
        <w:t xml:space="preserve">). The total net cost to the government health budget was estimated to be </w:t>
      </w:r>
      <w:r w:rsidR="00664366" w:rsidRPr="003F7863">
        <w:rPr>
          <w:iCs/>
        </w:rPr>
        <w:t>$30 million</w:t>
      </w:r>
      <w:r w:rsidR="00664366">
        <w:rPr>
          <w:iCs/>
        </w:rPr>
        <w:t xml:space="preserve"> </w:t>
      </w:r>
      <w:r w:rsidR="00664366" w:rsidRPr="003F7863">
        <w:rPr>
          <w:iCs/>
        </w:rPr>
        <w:t>to</w:t>
      </w:r>
      <w:r w:rsidR="00664366">
        <w:rPr>
          <w:iCs/>
        </w:rPr>
        <w:t xml:space="preserve"> </w:t>
      </w:r>
      <w:r w:rsidR="00664366" w:rsidRPr="003F7863">
        <w:rPr>
          <w:iCs/>
        </w:rPr>
        <w:t>&lt; $40 million</w:t>
      </w:r>
      <w:r w:rsidR="00664366" w:rsidRPr="005F0CE8">
        <w:t xml:space="preserve"> </w:t>
      </w:r>
      <w:r w:rsidRPr="005F0CE8">
        <w:t xml:space="preserve">in Year 6 (revised </w:t>
      </w:r>
      <w:r w:rsidR="00664366" w:rsidRPr="00664366">
        <w:t>$70 million</w:t>
      </w:r>
      <w:r w:rsidR="00664366">
        <w:t xml:space="preserve"> </w:t>
      </w:r>
      <w:r w:rsidR="00664366" w:rsidRPr="00664366">
        <w:t>to</w:t>
      </w:r>
      <w:r w:rsidR="00664366">
        <w:t xml:space="preserve"> </w:t>
      </w:r>
      <w:r w:rsidR="00664366" w:rsidRPr="00664366">
        <w:t>&lt; $80 million</w:t>
      </w:r>
      <w:r w:rsidRPr="005F0CE8">
        <w:t xml:space="preserve">), and </w:t>
      </w:r>
      <w:r w:rsidR="00664366" w:rsidRPr="003F7863">
        <w:t>$200 million</w:t>
      </w:r>
      <w:r w:rsidR="00664366">
        <w:t xml:space="preserve"> </w:t>
      </w:r>
      <w:r w:rsidR="00664366" w:rsidRPr="003F7863">
        <w:t>to</w:t>
      </w:r>
      <w:r w:rsidR="00664366">
        <w:t xml:space="preserve"> </w:t>
      </w:r>
      <w:r w:rsidR="00664366" w:rsidRPr="003F7863">
        <w:t>&lt; $300 million</w:t>
      </w:r>
      <w:r w:rsidR="00664366" w:rsidRPr="003F7863" w:rsidDel="003F7863">
        <w:t xml:space="preserve"> </w:t>
      </w:r>
      <w:r w:rsidRPr="005F0CE8">
        <w:t xml:space="preserve">over the first 6 years of listing (revised as </w:t>
      </w:r>
      <w:r w:rsidR="00664366" w:rsidRPr="00664366">
        <w:t>$400 million</w:t>
      </w:r>
      <w:r w:rsidR="00664366">
        <w:t xml:space="preserve"> </w:t>
      </w:r>
      <w:r w:rsidR="00664366" w:rsidRPr="00664366">
        <w:t>to</w:t>
      </w:r>
      <w:r w:rsidR="00664366">
        <w:t xml:space="preserve"> </w:t>
      </w:r>
      <w:r w:rsidR="00664366" w:rsidRPr="00664366">
        <w:t>&lt; $500 million</w:t>
      </w:r>
      <w:r w:rsidRPr="005F0CE8">
        <w:t xml:space="preserve">). The submission’s approach to estimating the impact of listing germline </w:t>
      </w:r>
      <w:r w:rsidR="009E092C" w:rsidRPr="009E092C">
        <w:rPr>
          <w:i/>
        </w:rPr>
        <w:t xml:space="preserve">BRCA </w:t>
      </w:r>
      <w:r w:rsidRPr="005F0CE8">
        <w:t xml:space="preserve">testing was to cost only the increase in tests from current testing rates. This </w:t>
      </w:r>
      <w:r w:rsidR="00AE298C" w:rsidRPr="005F0CE8">
        <w:t xml:space="preserve">did </w:t>
      </w:r>
      <w:r w:rsidRPr="005F0CE8">
        <w:t xml:space="preserve">not capture the likely shift from provision of services in </w:t>
      </w:r>
      <w:r w:rsidR="002B0002">
        <w:t>state and territory health budgets</w:t>
      </w:r>
      <w:r w:rsidR="002B0002" w:rsidRPr="005F0CE8">
        <w:t xml:space="preserve"> </w:t>
      </w:r>
      <w:r w:rsidRPr="005F0CE8">
        <w:t xml:space="preserve">to the MBS and therefore </w:t>
      </w:r>
      <w:r w:rsidR="00AE298C" w:rsidRPr="005F0CE8">
        <w:t xml:space="preserve">underestimated </w:t>
      </w:r>
      <w:r w:rsidRPr="005F0CE8">
        <w:t>the financial impact to the MBS.</w:t>
      </w:r>
    </w:p>
    <w:p w14:paraId="5B1CEC07" w14:textId="1BA188AE" w:rsidR="00672D16" w:rsidRPr="005F0CE8" w:rsidRDefault="00672D16" w:rsidP="00477BB3">
      <w:pPr>
        <w:pStyle w:val="3-BodyText"/>
      </w:pPr>
      <w:r w:rsidRPr="005F0CE8">
        <w:lastRenderedPageBreak/>
        <w:t xml:space="preserve">The submission claimed to have costed the 12 months maximum </w:t>
      </w:r>
      <w:r w:rsidR="003E7705">
        <w:t>duration of treatment</w:t>
      </w:r>
      <w:r w:rsidRPr="005F0CE8">
        <w:t xml:space="preserve">, but only effectively costed 6 months of treatment </w:t>
      </w:r>
      <w:r w:rsidR="00AE298C" w:rsidRPr="005F0CE8">
        <w:t xml:space="preserve">because the </w:t>
      </w:r>
      <w:r w:rsidRPr="005F0CE8">
        <w:t xml:space="preserve">number of olaparib prescriptions and germline </w:t>
      </w:r>
      <w:r w:rsidR="009E092C" w:rsidRPr="009E092C">
        <w:rPr>
          <w:i/>
        </w:rPr>
        <w:t xml:space="preserve">BRCA </w:t>
      </w:r>
      <w:r w:rsidRPr="005F0CE8">
        <w:t xml:space="preserve">mutation testing services </w:t>
      </w:r>
      <w:r w:rsidR="00AE298C" w:rsidRPr="005F0CE8">
        <w:t xml:space="preserve">were erroneously divided </w:t>
      </w:r>
      <w:r w:rsidRPr="005F0CE8">
        <w:t xml:space="preserve">by two. During evaluation the number of olaparib scripts was corrected as </w:t>
      </w:r>
      <w:r w:rsidR="00664366" w:rsidRPr="00664366">
        <w:rPr>
          <w:iCs/>
        </w:rPr>
        <w:t>10,000 to &lt; 20,000</w:t>
      </w:r>
      <w:r w:rsidR="00664366">
        <w:rPr>
          <w:i/>
        </w:rPr>
        <w:t xml:space="preserve"> </w:t>
      </w:r>
      <w:r w:rsidRPr="005F0CE8">
        <w:t xml:space="preserve">scripts in Year 1 increasing up to </w:t>
      </w:r>
      <w:r w:rsidR="00664366" w:rsidRPr="00664366">
        <w:rPr>
          <w:iCs/>
        </w:rPr>
        <w:t>10,000 to &lt; 20,000</w:t>
      </w:r>
      <w:r w:rsidR="00664366">
        <w:rPr>
          <w:i/>
        </w:rPr>
        <w:t xml:space="preserve"> </w:t>
      </w:r>
      <w:r w:rsidRPr="005F0CE8">
        <w:t xml:space="preserve">in Year 6 (compared to </w:t>
      </w:r>
      <w:r w:rsidR="00AE298C" w:rsidRPr="005F0CE8">
        <w:t xml:space="preserve">the </w:t>
      </w:r>
      <w:r w:rsidRPr="005F0CE8">
        <w:t xml:space="preserve">submission’s estimated olaparib scripts of </w:t>
      </w:r>
      <w:r w:rsidR="00664366" w:rsidRPr="00664366">
        <w:rPr>
          <w:iCs/>
        </w:rPr>
        <w:t>5,000 to &lt; 10,000</w:t>
      </w:r>
      <w:r w:rsidR="00664366">
        <w:rPr>
          <w:i/>
        </w:rPr>
        <w:t xml:space="preserve"> </w:t>
      </w:r>
      <w:r w:rsidRPr="005F0CE8">
        <w:t xml:space="preserve">in Year 1 increasing up to </w:t>
      </w:r>
      <w:r w:rsidR="00664366" w:rsidRPr="00664366">
        <w:rPr>
          <w:iCs/>
        </w:rPr>
        <w:t>5,000 to &lt; 10,000</w:t>
      </w:r>
      <w:r w:rsidR="00664366">
        <w:rPr>
          <w:i/>
        </w:rPr>
        <w:t xml:space="preserve"> </w:t>
      </w:r>
      <w:r w:rsidRPr="005F0CE8">
        <w:t xml:space="preserve">scripts in Year 6. </w:t>
      </w:r>
    </w:p>
    <w:bookmarkEnd w:id="105"/>
    <w:p w14:paraId="7BD22681" w14:textId="7EE6270F" w:rsidR="00672D16" w:rsidRPr="005F0CE8" w:rsidRDefault="00672D16" w:rsidP="00477BB3">
      <w:pPr>
        <w:pStyle w:val="3-BodyText"/>
      </w:pPr>
      <w:r w:rsidRPr="005F0CE8">
        <w:t xml:space="preserve">The </w:t>
      </w:r>
      <w:r w:rsidR="00AE298C" w:rsidRPr="005F0CE8">
        <w:t xml:space="preserve">evaluation identified </w:t>
      </w:r>
      <w:r w:rsidRPr="005F0CE8">
        <w:t>uncertainties associated with epidemiological inputs and uptake assumptions for both drug population and test population estimates</w:t>
      </w:r>
      <w:r w:rsidR="00AE298C" w:rsidRPr="005F0CE8">
        <w:t xml:space="preserve"> as follows</w:t>
      </w:r>
      <w:r w:rsidRPr="005F0CE8">
        <w:t>:</w:t>
      </w:r>
    </w:p>
    <w:p w14:paraId="481C295C" w14:textId="77777777" w:rsidR="00672D16" w:rsidRPr="005F0CE8" w:rsidRDefault="00672D16" w:rsidP="001B189E">
      <w:pPr>
        <w:pStyle w:val="BulletBodyText"/>
      </w:pPr>
      <w:r w:rsidRPr="005F0CE8">
        <w:t>The eBC distribution rates for Stage I-III (89.81%) was an underestimate as it was not adjusted for patients of unknown disease stage (5.54%)</w:t>
      </w:r>
    </w:p>
    <w:p w14:paraId="7B6B8A0E" w14:textId="50073412" w:rsidR="00672D16" w:rsidRPr="005F0CE8" w:rsidRDefault="00672D16" w:rsidP="001B189E">
      <w:pPr>
        <w:pStyle w:val="BulletBodyText"/>
      </w:pPr>
      <w:r w:rsidRPr="005F0CE8">
        <w:t>The proportion applied for the incident TNBC patients (12.1%) was lower than the estimate of 15% which was previously accepted by the PBAC for the atezolizumab submissions (paragraph 6.71, sacituzumab govitecan PSD, November 2021 PBAC meeting);</w:t>
      </w:r>
    </w:p>
    <w:p w14:paraId="679C40E8" w14:textId="1FCBA589" w:rsidR="00672D16" w:rsidRPr="005F0CE8" w:rsidRDefault="00672D16" w:rsidP="001B189E">
      <w:pPr>
        <w:pStyle w:val="BulletBodyText"/>
      </w:pPr>
      <w:r w:rsidRPr="005F0CE8">
        <w:t xml:space="preserve">The uptake of germline </w:t>
      </w:r>
      <w:r w:rsidR="009E092C" w:rsidRPr="00A428CF">
        <w:t xml:space="preserve">BRCA </w:t>
      </w:r>
      <w:r w:rsidRPr="005F0CE8">
        <w:t xml:space="preserve">testing (which defines the population eligible for olaparib treatment) is uncertain. The submission’s assumption was based on use in a small sample of TNBC patients, with limited applicability to patients with HR-positive, HER2-negative high-risk breast cancer. No evidence was identified to support uptake assumptions in the HR-positive subpopulation. </w:t>
      </w:r>
    </w:p>
    <w:p w14:paraId="7072EE01" w14:textId="40EA43EB" w:rsidR="00672D16" w:rsidRPr="005F0CE8" w:rsidRDefault="00672D16" w:rsidP="00477BB3">
      <w:pPr>
        <w:pStyle w:val="3-BodyText"/>
      </w:pPr>
      <w:r w:rsidRPr="005F0CE8">
        <w:t xml:space="preserve">The total cost to the MBS was revised during </w:t>
      </w:r>
      <w:r w:rsidR="00AE298C" w:rsidRPr="005F0CE8">
        <w:t xml:space="preserve">the </w:t>
      </w:r>
      <w:r w:rsidRPr="005F0CE8">
        <w:t xml:space="preserve">evaluation, to correct an error in the estimated use of testing which the submission erroneously halved. When this error </w:t>
      </w:r>
      <w:r w:rsidR="00AE298C" w:rsidRPr="005F0CE8">
        <w:t>was</w:t>
      </w:r>
      <w:r w:rsidRPr="005F0CE8">
        <w:t xml:space="preserve"> corrected, the estimated number of germline </w:t>
      </w:r>
      <w:r w:rsidR="009E092C" w:rsidRPr="009E092C">
        <w:rPr>
          <w:i/>
        </w:rPr>
        <w:t xml:space="preserve">BRCA </w:t>
      </w:r>
      <w:r w:rsidRPr="005F0CE8">
        <w:t xml:space="preserve">mutation testing services increased to </w:t>
      </w:r>
      <w:r w:rsidR="00664366" w:rsidRPr="00664366">
        <w:rPr>
          <w:iCs/>
        </w:rPr>
        <w:t>500 to &lt; 5,000</w:t>
      </w:r>
      <w:r w:rsidRPr="005F0CE8">
        <w:t xml:space="preserve"> services in Year 1 compared to </w:t>
      </w:r>
      <w:r w:rsidR="00664366" w:rsidRPr="00664366">
        <w:rPr>
          <w:iCs/>
        </w:rPr>
        <w:t>&lt; 500</w:t>
      </w:r>
      <w:r w:rsidRPr="005F0CE8">
        <w:t xml:space="preserve"> services as estimated by the submission.</w:t>
      </w:r>
    </w:p>
    <w:p w14:paraId="04218185" w14:textId="64199421" w:rsidR="00672D16" w:rsidRPr="005F0CE8" w:rsidRDefault="00672D16" w:rsidP="00477BB3">
      <w:pPr>
        <w:pStyle w:val="3-BodyText"/>
      </w:pPr>
      <w:r w:rsidRPr="005F0CE8">
        <w:t xml:space="preserve">In contrast to the economic analysis, the submission’s estimates for the costs to the MBS did not include pre-/post-counselling fees, health care resource utilisations for drug monitoring or AE management associated with olaparib treatment. In addition, the submission applied an 80% MBS rebate ($960.00). However, as the majority of patients are expected to receive germline </w:t>
      </w:r>
      <w:r w:rsidR="009E092C" w:rsidRPr="009E092C">
        <w:rPr>
          <w:i/>
        </w:rPr>
        <w:t xml:space="preserve">BRCA </w:t>
      </w:r>
      <w:r w:rsidRPr="005F0CE8">
        <w:t xml:space="preserve">mutation testing in the out-of-hospital setting, it may be more reasonable to apply an 85% rebate rate of $1,106.80 accounting for the GPG. </w:t>
      </w:r>
    </w:p>
    <w:p w14:paraId="14728730" w14:textId="0EB1CC8E" w:rsidR="00672D16" w:rsidRPr="005F0CE8" w:rsidRDefault="00672D16" w:rsidP="00477BB3">
      <w:pPr>
        <w:pStyle w:val="3-BodyText"/>
      </w:pPr>
      <w:r w:rsidRPr="005F0CE8">
        <w:t xml:space="preserve">The submission stated that </w:t>
      </w:r>
      <w:r w:rsidR="00E2560F" w:rsidRPr="00664366">
        <w:rPr>
          <w:iCs/>
        </w:rPr>
        <w:t>&lt; 500</w:t>
      </w:r>
      <w:r w:rsidR="00E2560F" w:rsidRPr="005F0CE8">
        <w:t xml:space="preserve"> </w:t>
      </w:r>
      <w:r w:rsidRPr="005F0CE8">
        <w:t>patients were assumed to access olaparib via the sponsor’s patient access program</w:t>
      </w:r>
      <w:r w:rsidR="00AE298C" w:rsidRPr="005F0CE8">
        <w:t xml:space="preserve"> and all patients were assumed to transition to the PBS</w:t>
      </w:r>
      <w:r w:rsidRPr="005F0CE8">
        <w:t xml:space="preserve">. </w:t>
      </w:r>
      <w:r w:rsidR="00AE298C" w:rsidRPr="005F0CE8">
        <w:t xml:space="preserve">Each </w:t>
      </w:r>
      <w:r w:rsidRPr="005F0CE8">
        <w:t xml:space="preserve">grandfathered patient </w:t>
      </w:r>
      <w:r w:rsidR="00AE298C" w:rsidRPr="005F0CE8">
        <w:t>was</w:t>
      </w:r>
      <w:r w:rsidRPr="005F0CE8">
        <w:t xml:space="preserve"> assumed to receive a full course of olaparib treatment, which is likely to be an overestimate.</w:t>
      </w:r>
    </w:p>
    <w:p w14:paraId="6FBC60B5" w14:textId="25D86D4F" w:rsidR="00276089" w:rsidRPr="005F0CE8" w:rsidRDefault="00276089" w:rsidP="00276089">
      <w:pPr>
        <w:pStyle w:val="4-SubsectionHeading"/>
      </w:pPr>
      <w:bookmarkStart w:id="116" w:name="_Toc22897648"/>
      <w:bookmarkStart w:id="117" w:name="_Toc107927634"/>
      <w:bookmarkStart w:id="118" w:name="_Toc121767925"/>
      <w:bookmarkStart w:id="119" w:name="_Toc124883288"/>
      <w:bookmarkEnd w:id="72"/>
      <w:bookmarkEnd w:id="101"/>
      <w:r w:rsidRPr="005F0CE8">
        <w:lastRenderedPageBreak/>
        <w:t>Quality Use of Medicines</w:t>
      </w:r>
      <w:bookmarkEnd w:id="116"/>
      <w:bookmarkEnd w:id="117"/>
      <w:bookmarkEnd w:id="118"/>
      <w:bookmarkEnd w:id="119"/>
    </w:p>
    <w:p w14:paraId="28D6E549" w14:textId="61913B3B" w:rsidR="00276089" w:rsidRPr="005F0CE8" w:rsidRDefault="00276089" w:rsidP="00477BB3">
      <w:pPr>
        <w:pStyle w:val="3-BodyText"/>
      </w:pPr>
      <w:r w:rsidRPr="005F0CE8">
        <w:t xml:space="preserve">The submission stated that the biomarker testing ensures the provision of </w:t>
      </w:r>
      <w:r w:rsidR="00C225FC" w:rsidRPr="005F0CE8">
        <w:t xml:space="preserve">the most appropriate </w:t>
      </w:r>
      <w:r w:rsidRPr="005F0CE8">
        <w:t xml:space="preserve">treatment </w:t>
      </w:r>
      <w:r w:rsidR="00C225FC" w:rsidRPr="005F0CE8">
        <w:t xml:space="preserve">for the </w:t>
      </w:r>
      <w:r w:rsidRPr="005F0CE8">
        <w:t>patient</w:t>
      </w:r>
      <w:r w:rsidR="00C225FC" w:rsidRPr="005F0CE8">
        <w:t>, which is</w:t>
      </w:r>
      <w:r w:rsidRPr="005F0CE8">
        <w:t xml:space="preserve"> in line with the objectives of quality use of medicines (QUM). The </w:t>
      </w:r>
      <w:r w:rsidR="00C225FC" w:rsidRPr="005F0CE8">
        <w:t>sponsor-initiated</w:t>
      </w:r>
      <w:r w:rsidRPr="005F0CE8">
        <w:t xml:space="preserve"> activities (current and future) to promote and support QUM include educational and training programs to prescribers and patients. </w:t>
      </w:r>
    </w:p>
    <w:p w14:paraId="5726D9CA" w14:textId="77777777" w:rsidR="00276089" w:rsidRPr="005F0CE8" w:rsidRDefault="00276089" w:rsidP="00477BB3">
      <w:pPr>
        <w:pStyle w:val="3-BodyText"/>
      </w:pPr>
      <w:r w:rsidRPr="005F0CE8">
        <w:t xml:space="preserve">The intended supply arrangement (one initial and one continuing script, each with 5 repeats for a 28 </w:t>
      </w:r>
      <w:proofErr w:type="spellStart"/>
      <w:r w:rsidRPr="005F0CE8">
        <w:t>days</w:t>
      </w:r>
      <w:proofErr w:type="spellEnd"/>
      <w:r w:rsidRPr="005F0CE8">
        <w:t xml:space="preserve"> supply allows for a maximum of 336 days of therapy, and assumes zero loss of any single tablet. The requested restriction should facilitate full patient compliance with intended maximum duration of treatment (12 months) to avoid poor quality use of medicines, and any ethical and effectiveness concerns that may incur. </w:t>
      </w:r>
    </w:p>
    <w:p w14:paraId="087E0409" w14:textId="77777777" w:rsidR="00276089" w:rsidRPr="005F0CE8" w:rsidRDefault="00276089" w:rsidP="00276089">
      <w:pPr>
        <w:pStyle w:val="4-SubsectionHeading"/>
      </w:pPr>
      <w:bookmarkStart w:id="120" w:name="_Toc121767926"/>
      <w:bookmarkStart w:id="121" w:name="_Toc124883289"/>
      <w:r w:rsidRPr="005F0CE8">
        <w:t>Financial Management – Risk Sharing Arrangements</w:t>
      </w:r>
      <w:bookmarkEnd w:id="120"/>
      <w:bookmarkEnd w:id="121"/>
    </w:p>
    <w:p w14:paraId="5F9E6E44" w14:textId="1BA8FA0B" w:rsidR="00A428CF" w:rsidRDefault="00276089" w:rsidP="00477BB3">
      <w:pPr>
        <w:pStyle w:val="3-BodyText"/>
      </w:pPr>
      <w:r w:rsidRPr="005F0CE8">
        <w:t xml:space="preserve">The sponsor noted that there is a Deed of Agreement between The Commonwealth of Australia and AstraZeneca Pty Ltd in relation to sharing the costs of Commonwealth subsidy for the supply of olaparib (executed on </w:t>
      </w:r>
      <w:r w:rsidR="003A26A8" w:rsidRPr="00AB6006">
        <w:rPr>
          <w:color w:val="000000"/>
          <w:w w:val="15"/>
          <w:shd w:val="solid" w:color="000000" w:fill="000000"/>
          <w:fitText w:val="-20" w:id="-1234442740"/>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2740"/>
          <w14:textFill>
            <w14:solidFill>
              <w14:srgbClr w14:val="000000">
                <w14:alpha w14:val="100000"/>
              </w14:srgbClr>
            </w14:solidFill>
          </w14:textFill>
        </w:rPr>
        <w:t>|</w:t>
      </w:r>
      <w:r w:rsidRPr="00FB5D10">
        <w:t xml:space="preserve"> </w:t>
      </w:r>
      <w:r w:rsidR="003A26A8" w:rsidRPr="00AB6006">
        <w:rPr>
          <w:color w:val="000000"/>
          <w:w w:val="15"/>
          <w:shd w:val="solid" w:color="000000" w:fill="000000"/>
          <w:fitText w:val="-20" w:id="-1234442739"/>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2739"/>
          <w14:textFill>
            <w14:solidFill>
              <w14:srgbClr w14:val="000000">
                <w14:alpha w14:val="100000"/>
              </w14:srgbClr>
            </w14:solidFill>
          </w14:textFill>
        </w:rPr>
        <w:t>|</w:t>
      </w:r>
      <w:r w:rsidRPr="00FB5D10">
        <w:t xml:space="preserve"> </w:t>
      </w:r>
      <w:r w:rsidR="003A26A8" w:rsidRPr="00AB6006">
        <w:rPr>
          <w:color w:val="000000"/>
          <w:w w:val="15"/>
          <w:shd w:val="solid" w:color="000000" w:fill="000000"/>
          <w:fitText w:val="-20" w:id="-1234442738"/>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2738"/>
          <w14:textFill>
            <w14:solidFill>
              <w14:srgbClr w14:val="000000">
                <w14:alpha w14:val="100000"/>
              </w14:srgbClr>
            </w14:solidFill>
          </w14:textFill>
        </w:rPr>
        <w:t>|</w:t>
      </w:r>
      <w:r w:rsidRPr="005F0CE8">
        <w:t xml:space="preserve"> and updated </w:t>
      </w:r>
      <w:r w:rsidR="003A26A8" w:rsidRPr="00AB6006">
        <w:rPr>
          <w:color w:val="000000"/>
          <w:w w:val="15"/>
          <w:shd w:val="solid" w:color="000000" w:fill="000000"/>
          <w:fitText w:val="-20" w:id="-1234442737"/>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2737"/>
          <w14:textFill>
            <w14:solidFill>
              <w14:srgbClr w14:val="000000">
                <w14:alpha w14:val="100000"/>
              </w14:srgbClr>
            </w14:solidFill>
          </w14:textFill>
        </w:rPr>
        <w:t>|</w:t>
      </w:r>
      <w:r w:rsidRPr="00FB5D10">
        <w:t xml:space="preserve"> </w:t>
      </w:r>
      <w:r w:rsidR="003A26A8" w:rsidRPr="00AB6006">
        <w:rPr>
          <w:color w:val="000000"/>
          <w:w w:val="15"/>
          <w:shd w:val="solid" w:color="000000" w:fill="000000"/>
          <w:fitText w:val="-20" w:id="-1234442736"/>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2736"/>
          <w14:textFill>
            <w14:solidFill>
              <w14:srgbClr w14:val="000000">
                <w14:alpha w14:val="100000"/>
              </w14:srgbClr>
            </w14:solidFill>
          </w14:textFill>
        </w:rPr>
        <w:t>|</w:t>
      </w:r>
      <w:r w:rsidRPr="00FB5D10">
        <w:t xml:space="preserve"> </w:t>
      </w:r>
      <w:r w:rsidR="003A26A8" w:rsidRPr="00AB6006">
        <w:rPr>
          <w:color w:val="000000"/>
          <w:w w:val="15"/>
          <w:shd w:val="solid" w:color="000000" w:fill="000000"/>
          <w:fitText w:val="-20" w:id="-1234442752"/>
          <w14:textFill>
            <w14:solidFill>
              <w14:srgbClr w14:val="000000">
                <w14:alpha w14:val="100000"/>
              </w14:srgbClr>
            </w14:solidFill>
          </w14:textFill>
        </w:rPr>
        <w:t xml:space="preserve">|  </w:t>
      </w:r>
      <w:r w:rsidR="003A26A8" w:rsidRPr="00AB6006">
        <w:rPr>
          <w:color w:val="000000"/>
          <w:spacing w:val="-69"/>
          <w:w w:val="15"/>
          <w:shd w:val="solid" w:color="000000" w:fill="000000"/>
          <w:fitText w:val="-20" w:id="-1234442752"/>
          <w14:textFill>
            <w14:solidFill>
              <w14:srgbClr w14:val="000000">
                <w14:alpha w14:val="100000"/>
              </w14:srgbClr>
            </w14:solidFill>
          </w14:textFill>
        </w:rPr>
        <w:t>|</w:t>
      </w:r>
      <w:r w:rsidRPr="005F0CE8">
        <w:t xml:space="preserve"> to include the SOLO1 listing). The </w:t>
      </w:r>
      <w:r w:rsidR="00C529A6" w:rsidRPr="005F0CE8">
        <w:t xml:space="preserve">submission stated that the </w:t>
      </w:r>
      <w:r w:rsidRPr="005F0CE8">
        <w:t xml:space="preserve">sponsor is willing to work with the PBAC and Department of Health to determine appropriate terms for PBS listing of olaparib for eligible patients with HER2-negative </w:t>
      </w:r>
      <w:r w:rsidR="00D6541C">
        <w:t>high-risk</w:t>
      </w:r>
      <w:r w:rsidRPr="005F0CE8">
        <w:t xml:space="preserve"> early breast cancer.</w:t>
      </w:r>
      <w:r w:rsidR="00DF3B54" w:rsidRPr="005F0CE8">
        <w:t xml:space="preserve"> </w:t>
      </w:r>
    </w:p>
    <w:p w14:paraId="38E04332" w14:textId="185713C7" w:rsidR="00DF3B54" w:rsidRPr="003A26A8" w:rsidRDefault="00DF3B54" w:rsidP="00477BB3">
      <w:pPr>
        <w:pStyle w:val="3-BodyText"/>
        <w:numPr>
          <w:ilvl w:val="0"/>
          <w:numId w:val="0"/>
        </w:numPr>
        <w:ind w:left="720"/>
        <w:rPr>
          <w:i/>
          <w:iCs/>
        </w:rPr>
      </w:pPr>
      <w:r w:rsidRPr="003A26A8">
        <w:rPr>
          <w:i/>
          <w:iCs/>
        </w:rPr>
        <w:t>For more detail on PBAC’s view, see section 7 PBAC outcome.</w:t>
      </w:r>
    </w:p>
    <w:p w14:paraId="78D99E97" w14:textId="77777777" w:rsidR="00B7644D" w:rsidRPr="005F0CE8" w:rsidRDefault="00B7644D" w:rsidP="00D56A3D">
      <w:pPr>
        <w:pStyle w:val="2-SectionHeading"/>
        <w:numPr>
          <w:ilvl w:val="0"/>
          <w:numId w:val="1"/>
        </w:numPr>
      </w:pPr>
      <w:bookmarkStart w:id="122" w:name="_Hlk76381249"/>
      <w:bookmarkStart w:id="123" w:name="_Hlk76377955"/>
      <w:r w:rsidRPr="005F0CE8">
        <w:t>PBAC Outcome</w:t>
      </w:r>
    </w:p>
    <w:p w14:paraId="5338B0FE" w14:textId="40B348C7" w:rsidR="00B02BAA" w:rsidRPr="005F0CE8" w:rsidRDefault="00F9520D" w:rsidP="00477BB3">
      <w:pPr>
        <w:pStyle w:val="3-BodyText"/>
      </w:pPr>
      <w:bookmarkStart w:id="124" w:name="_Hlk111543188"/>
      <w:r w:rsidRPr="005F0CE8">
        <w:t xml:space="preserve">The PBAC did not recommend olaparib for the </w:t>
      </w:r>
      <w:r w:rsidR="009B4C74">
        <w:t xml:space="preserve">adjuvant </w:t>
      </w:r>
      <w:r w:rsidRPr="005F0CE8">
        <w:t>treatment of human epidermal growth factor 2 negative (HER2-) high</w:t>
      </w:r>
      <w:r w:rsidR="00B02BAA" w:rsidRPr="005F0CE8">
        <w:t>-</w:t>
      </w:r>
      <w:r w:rsidRPr="005F0CE8">
        <w:t xml:space="preserve">risk early breast cancer with a confirmed germline </w:t>
      </w:r>
      <w:r w:rsidR="009E092C" w:rsidRPr="009E092C">
        <w:rPr>
          <w:i/>
        </w:rPr>
        <w:t>BRCA1</w:t>
      </w:r>
      <w:r w:rsidRPr="005F0CE8">
        <w:t xml:space="preserve"> or </w:t>
      </w:r>
      <w:r w:rsidR="009E092C" w:rsidRPr="009E092C">
        <w:rPr>
          <w:i/>
        </w:rPr>
        <w:t>BRCA2</w:t>
      </w:r>
      <w:r w:rsidRPr="005F0CE8">
        <w:t xml:space="preserve"> mutation in patients who have previously been treated with neoadjuvant or adjuvant chemotherapy. The PBAC </w:t>
      </w:r>
      <w:r w:rsidR="00656CB6" w:rsidRPr="005F0CE8">
        <w:t>noted</w:t>
      </w:r>
      <w:r w:rsidRPr="005F0CE8">
        <w:t xml:space="preserve"> that </w:t>
      </w:r>
      <w:r w:rsidR="00967A8D" w:rsidRPr="005F0CE8">
        <w:t xml:space="preserve">a statistically significant result for the pre-specified primary endpoint of </w:t>
      </w:r>
      <w:r w:rsidR="0055278E">
        <w:t>IDFS</w:t>
      </w:r>
      <w:r w:rsidR="00967A8D" w:rsidRPr="005F0CE8">
        <w:t xml:space="preserve"> </w:t>
      </w:r>
      <w:r w:rsidR="00656CB6" w:rsidRPr="005F0CE8">
        <w:t>was reported from</w:t>
      </w:r>
      <w:r w:rsidR="00967A8D" w:rsidRPr="005F0CE8">
        <w:t xml:space="preserve"> the pivotal registration study, but that the </w:t>
      </w:r>
      <w:r w:rsidRPr="005F0CE8">
        <w:t>OS data remained immature</w:t>
      </w:r>
      <w:r w:rsidR="00967A8D" w:rsidRPr="005F0CE8">
        <w:t xml:space="preserve">. Olaparib was </w:t>
      </w:r>
      <w:r w:rsidRPr="005F0CE8">
        <w:t>inferior to placebo in terms of safety. The PBAC considered that the incremental cost-effectiveness ratio</w:t>
      </w:r>
      <w:r w:rsidR="00E90291" w:rsidRPr="005F0CE8">
        <w:t xml:space="preserve"> was highly uncertain and unacceptably high.</w:t>
      </w:r>
      <w:r w:rsidRPr="005F0CE8">
        <w:t xml:space="preserve"> The PBAC considered that revisions were </w:t>
      </w:r>
      <w:r w:rsidR="00FA4480" w:rsidRPr="005F0CE8">
        <w:t xml:space="preserve">also </w:t>
      </w:r>
      <w:r w:rsidRPr="005F0CE8">
        <w:t>required to the finan</w:t>
      </w:r>
      <w:r w:rsidRPr="00D56BAE">
        <w:t>cial estimates</w:t>
      </w:r>
      <w:r w:rsidR="00D92FD4" w:rsidRPr="00D56BAE">
        <w:t>.</w:t>
      </w:r>
    </w:p>
    <w:p w14:paraId="6B3E6946" w14:textId="0E1D9514" w:rsidR="00FC3162" w:rsidRPr="005F0CE8" w:rsidRDefault="00932EE0">
      <w:pPr>
        <w:widowControl w:val="0"/>
        <w:numPr>
          <w:ilvl w:val="1"/>
          <w:numId w:val="1"/>
        </w:numPr>
        <w:spacing w:after="120"/>
        <w:ind w:left="720"/>
        <w:rPr>
          <w:rFonts w:asciiTheme="minorHAnsi" w:hAnsiTheme="minorHAnsi"/>
          <w:snapToGrid w:val="0"/>
        </w:rPr>
      </w:pPr>
      <w:r w:rsidRPr="005F0CE8">
        <w:rPr>
          <w:rFonts w:asciiTheme="minorHAnsi" w:hAnsiTheme="minorHAnsi"/>
          <w:snapToGrid w:val="0"/>
        </w:rPr>
        <w:t>The</w:t>
      </w:r>
      <w:bookmarkStart w:id="125" w:name="_Ref109859288"/>
      <w:r w:rsidRPr="005F0CE8">
        <w:rPr>
          <w:snapToGrid w:val="0"/>
        </w:rPr>
        <w:t xml:space="preserve"> PBAC considered that the proposed clinical place for olaparib was </w:t>
      </w:r>
      <w:r w:rsidR="00FC3162" w:rsidRPr="005F0CE8">
        <w:rPr>
          <w:snapToGrid w:val="0"/>
        </w:rPr>
        <w:t>appropriate and noted that implementation of the listing would be</w:t>
      </w:r>
      <w:r w:rsidRPr="005F0CE8">
        <w:rPr>
          <w:snapToGrid w:val="0"/>
        </w:rPr>
        <w:t xml:space="preserve"> reliant on access to </w:t>
      </w:r>
      <w:r w:rsidR="009E092C" w:rsidRPr="009E092C">
        <w:rPr>
          <w:i/>
          <w:snapToGrid w:val="0"/>
        </w:rPr>
        <w:t xml:space="preserve">BRCA </w:t>
      </w:r>
      <w:r w:rsidRPr="005F0CE8">
        <w:rPr>
          <w:snapToGrid w:val="0"/>
        </w:rPr>
        <w:t>testing</w:t>
      </w:r>
      <w:r w:rsidR="00FC3162" w:rsidRPr="005F0CE8">
        <w:rPr>
          <w:snapToGrid w:val="0"/>
        </w:rPr>
        <w:t xml:space="preserve"> as requested by the </w:t>
      </w:r>
      <w:r w:rsidRPr="005F0CE8">
        <w:t>streamlined codepend</w:t>
      </w:r>
      <w:r w:rsidR="00363DD8" w:rsidRPr="005F0CE8">
        <w:t>e</w:t>
      </w:r>
      <w:r w:rsidRPr="005F0CE8">
        <w:t>nt submission</w:t>
      </w:r>
      <w:r w:rsidR="00FC3162" w:rsidRPr="005F0CE8">
        <w:t>.</w:t>
      </w:r>
    </w:p>
    <w:bookmarkEnd w:id="125"/>
    <w:p w14:paraId="0040586C" w14:textId="36EF7887" w:rsidR="00932EE0" w:rsidRPr="005F0CE8" w:rsidRDefault="00FC3162" w:rsidP="00932EE0">
      <w:pPr>
        <w:widowControl w:val="0"/>
        <w:numPr>
          <w:ilvl w:val="1"/>
          <w:numId w:val="1"/>
        </w:numPr>
        <w:spacing w:after="120"/>
        <w:ind w:left="720"/>
        <w:rPr>
          <w:rFonts w:asciiTheme="minorHAnsi" w:hAnsiTheme="minorHAnsi"/>
          <w:snapToGrid w:val="0"/>
        </w:rPr>
      </w:pPr>
      <w:r w:rsidRPr="005F0CE8">
        <w:t xml:space="preserve">The PBAC noted the input from individuals, and organisations and acknowledged that the Medical Oncology Group of Australia (MOGA) had expressed its strong support for the olaparib submission, categorising it as one of the therapies of </w:t>
      </w:r>
      <w:r w:rsidR="00DB2BE9">
        <w:t>‘</w:t>
      </w:r>
      <w:r w:rsidRPr="005F0CE8">
        <w:t>highest priority for PBS listing</w:t>
      </w:r>
      <w:r w:rsidR="00DB2BE9">
        <w:t>’</w:t>
      </w:r>
      <w:r w:rsidRPr="005F0CE8">
        <w:t xml:space="preserve"> on the basis of the OlympiA trial.</w:t>
      </w:r>
    </w:p>
    <w:p w14:paraId="0B046267" w14:textId="3C6B7C87" w:rsidR="00932EE0" w:rsidRPr="005F0CE8" w:rsidRDefault="00FC3162" w:rsidP="007F031A">
      <w:pPr>
        <w:widowControl w:val="0"/>
        <w:numPr>
          <w:ilvl w:val="1"/>
          <w:numId w:val="1"/>
        </w:numPr>
        <w:spacing w:after="120"/>
        <w:ind w:left="720"/>
      </w:pPr>
      <w:bookmarkStart w:id="126" w:name="_Ref130331999"/>
      <w:r w:rsidRPr="005F0CE8">
        <w:t>The PBAC considered that the nomination of placebo (</w:t>
      </w:r>
      <w:r w:rsidR="00DB2BE9">
        <w:t>‘</w:t>
      </w:r>
      <w:r w:rsidRPr="005F0CE8">
        <w:t>watch and wait</w:t>
      </w:r>
      <w:r w:rsidR="00DB2BE9">
        <w:t>’</w:t>
      </w:r>
      <w:r w:rsidRPr="005F0CE8">
        <w:t xml:space="preserve">) as the main </w:t>
      </w:r>
      <w:r w:rsidRPr="005F0CE8">
        <w:lastRenderedPageBreak/>
        <w:t>comparator was appropriate. The</w:t>
      </w:r>
      <w:r w:rsidR="007F031A" w:rsidRPr="005F0CE8">
        <w:t xml:space="preserve"> PBAC considered that most h</w:t>
      </w:r>
      <w:r w:rsidRPr="005F0CE8">
        <w:t>ormone receptor positive patients will receive ongoing ET combined with olaparib</w:t>
      </w:r>
      <w:r w:rsidR="007F031A" w:rsidRPr="005F0CE8">
        <w:t xml:space="preserve"> as occurred in OlympiA, however it was not necessary to mandate the use of ET in these patients and this may unduly disadvantage </w:t>
      </w:r>
      <w:r w:rsidR="007F031A" w:rsidRPr="005F0CE8">
        <w:rPr>
          <w:iCs/>
        </w:rPr>
        <w:t>some HR+ patients that may not be appropriate for ET</w:t>
      </w:r>
      <w:r w:rsidR="007F031A" w:rsidRPr="005F0CE8">
        <w:t xml:space="preserve"> </w:t>
      </w:r>
      <w:r w:rsidR="003C4D12">
        <w:t xml:space="preserve">or experience intolerance </w:t>
      </w:r>
      <w:r w:rsidR="007F031A" w:rsidRPr="005F0CE8">
        <w:t xml:space="preserve">(see paragraph </w:t>
      </w:r>
      <w:r w:rsidR="007F031A" w:rsidRPr="005F0CE8">
        <w:fldChar w:fldCharType="begin"/>
      </w:r>
      <w:r w:rsidR="007F031A" w:rsidRPr="005F0CE8">
        <w:instrText xml:space="preserve"> REF _Ref130323863 \r \h </w:instrText>
      </w:r>
      <w:r w:rsidR="007F031A" w:rsidRPr="005F0CE8">
        <w:fldChar w:fldCharType="separate"/>
      </w:r>
      <w:r w:rsidR="00AB6006">
        <w:t>3.3</w:t>
      </w:r>
      <w:r w:rsidR="007F031A" w:rsidRPr="005F0CE8">
        <w:fldChar w:fldCharType="end"/>
      </w:r>
      <w:r w:rsidR="007F031A" w:rsidRPr="005F0CE8">
        <w:t>)</w:t>
      </w:r>
      <w:r w:rsidR="00484A5D" w:rsidRPr="005F0CE8">
        <w:t>.</w:t>
      </w:r>
      <w:bookmarkEnd w:id="126"/>
    </w:p>
    <w:p w14:paraId="10DDAC35" w14:textId="346C3856" w:rsidR="001875D2" w:rsidRPr="005F0CE8" w:rsidRDefault="001875D2" w:rsidP="00A53F1B">
      <w:pPr>
        <w:widowControl w:val="0"/>
        <w:numPr>
          <w:ilvl w:val="1"/>
          <w:numId w:val="1"/>
        </w:numPr>
        <w:spacing w:after="120"/>
        <w:ind w:left="720"/>
        <w:rPr>
          <w:rFonts w:asciiTheme="minorHAnsi" w:hAnsiTheme="minorHAnsi"/>
          <w:snapToGrid w:val="0"/>
        </w:rPr>
      </w:pPr>
      <w:r w:rsidRPr="005F0CE8">
        <w:rPr>
          <w:rFonts w:asciiTheme="minorHAnsi" w:hAnsiTheme="minorHAnsi"/>
          <w:snapToGrid w:val="0"/>
        </w:rPr>
        <w:t xml:space="preserve">The PBAC noted that the primary clinical evidence supporting the clinical claim was a randomised, double-blind, multicentre phase 3 study (OlympiA) of olaparib (n=921) compared to placebo (n=915) as adjuvant treatment in patients with germline </w:t>
      </w:r>
      <w:r w:rsidR="009E092C" w:rsidRPr="009E092C">
        <w:rPr>
          <w:rFonts w:asciiTheme="minorHAnsi" w:hAnsiTheme="minorHAnsi"/>
          <w:i/>
          <w:snapToGrid w:val="0"/>
        </w:rPr>
        <w:t>BRCA1/2</w:t>
      </w:r>
      <w:r w:rsidRPr="005F0CE8">
        <w:rPr>
          <w:rFonts w:asciiTheme="minorHAnsi" w:hAnsiTheme="minorHAnsi"/>
          <w:snapToGrid w:val="0"/>
        </w:rPr>
        <w:t xml:space="preserve"> mutations and high-risk </w:t>
      </w:r>
      <w:r w:rsidR="004D1CA1">
        <w:rPr>
          <w:rFonts w:asciiTheme="minorHAnsi" w:hAnsiTheme="minorHAnsi"/>
          <w:snapToGrid w:val="0"/>
        </w:rPr>
        <w:t>HER2-negative</w:t>
      </w:r>
      <w:r w:rsidRPr="005F0CE8">
        <w:rPr>
          <w:rFonts w:asciiTheme="minorHAnsi" w:hAnsiTheme="minorHAnsi"/>
          <w:snapToGrid w:val="0"/>
        </w:rPr>
        <w:t xml:space="preserve"> primary breast cancer who have completed definitive local treatment and neoadjuvant or adjuvant chemotherapy.</w:t>
      </w:r>
      <w:r w:rsidR="00CA5203" w:rsidRPr="005F0CE8">
        <w:rPr>
          <w:rFonts w:asciiTheme="minorHAnsi" w:hAnsiTheme="minorHAnsi"/>
          <w:snapToGrid w:val="0"/>
        </w:rPr>
        <w:t xml:space="preserve"> </w:t>
      </w:r>
      <w:r w:rsidRPr="005F0CE8">
        <w:rPr>
          <w:rFonts w:asciiTheme="minorHAnsi" w:hAnsiTheme="minorHAnsi"/>
          <w:snapToGrid w:val="0"/>
        </w:rPr>
        <w:t>The PBAC noted that the OlympiA trial initially included TNBC patients only and that approximately 18 months after the trial had begun, an amendment to the protocol was made to include HR+, HER</w:t>
      </w:r>
      <w:r w:rsidR="00D56CB9">
        <w:rPr>
          <w:rFonts w:asciiTheme="minorHAnsi" w:hAnsiTheme="minorHAnsi"/>
          <w:snapToGrid w:val="0"/>
        </w:rPr>
        <w:t>2</w:t>
      </w:r>
      <w:r w:rsidRPr="005F0CE8">
        <w:rPr>
          <w:rFonts w:asciiTheme="minorHAnsi" w:hAnsiTheme="minorHAnsi"/>
          <w:snapToGrid w:val="0"/>
        </w:rPr>
        <w:t>- eBC patients. The OlympiA trial included a smaller proportion of HR-positive, HER2-negative patients (17.7%) compared with TNBC patients (82.3%).</w:t>
      </w:r>
    </w:p>
    <w:p w14:paraId="6A3AA905" w14:textId="0DFEB88E" w:rsidR="00B93605" w:rsidRPr="005F0CE8" w:rsidRDefault="0093310B" w:rsidP="00477BB3">
      <w:pPr>
        <w:pStyle w:val="3-BodyText"/>
        <w:rPr>
          <w:snapToGrid/>
        </w:rPr>
      </w:pPr>
      <w:r w:rsidRPr="005F0CE8">
        <w:rPr>
          <w:snapToGrid/>
        </w:rPr>
        <w:t xml:space="preserve">The PBAC noted that key efficacy outcomes were </w:t>
      </w:r>
      <w:r w:rsidR="006C1322">
        <w:rPr>
          <w:snapToGrid/>
        </w:rPr>
        <w:t xml:space="preserve">statistically </w:t>
      </w:r>
      <w:r w:rsidRPr="005F0CE8">
        <w:rPr>
          <w:snapToGrid/>
        </w:rPr>
        <w:t>significantly improved in the olaparib group compared to the placebo group in the OlympiA trial at DCO2 (median follow-up of 3.5 years), including IDFS (HR = 0.63; 95% CI 0.50, 0.78), DDFS (HR = 0.61; 95% CI 0.48, 0.77), and OS (</w:t>
      </w:r>
      <w:r w:rsidR="00541066" w:rsidRPr="005F0CE8">
        <w:rPr>
          <w:snapToGrid/>
        </w:rPr>
        <w:t>HR = 0.68</w:t>
      </w:r>
      <w:r w:rsidR="00086554">
        <w:rPr>
          <w:snapToGrid/>
        </w:rPr>
        <w:t>;</w:t>
      </w:r>
      <w:r w:rsidR="00541066" w:rsidRPr="005F0CE8">
        <w:rPr>
          <w:snapToGrid/>
        </w:rPr>
        <w:t xml:space="preserve"> 98.5% CI 0.47, 0.97</w:t>
      </w:r>
      <w:r w:rsidRPr="005F0CE8">
        <w:rPr>
          <w:snapToGrid/>
        </w:rPr>
        <w:t>).</w:t>
      </w:r>
      <w:r w:rsidR="000F173C" w:rsidRPr="005F0CE8">
        <w:rPr>
          <w:snapToGrid/>
        </w:rPr>
        <w:t xml:space="preserve"> </w:t>
      </w:r>
      <w:r w:rsidR="000F173C" w:rsidRPr="005F0CE8">
        <w:rPr>
          <w:rFonts w:eastAsia="Calibri"/>
        </w:rPr>
        <w:t xml:space="preserve">The PBAC considered that a claim of superior efficacy was supported for olaparib compared with placebo, based on </w:t>
      </w:r>
      <w:r w:rsidR="008D7ED7">
        <w:rPr>
          <w:rFonts w:eastAsia="Calibri"/>
        </w:rPr>
        <w:t xml:space="preserve">immature </w:t>
      </w:r>
      <w:r w:rsidR="000F173C" w:rsidRPr="005F0CE8">
        <w:rPr>
          <w:rFonts w:eastAsia="Calibri"/>
        </w:rPr>
        <w:t xml:space="preserve">IDFS data, </w:t>
      </w:r>
      <w:r w:rsidR="00BF547D" w:rsidRPr="005F0CE8">
        <w:rPr>
          <w:rFonts w:eastAsia="Calibri"/>
        </w:rPr>
        <w:t xml:space="preserve">and noted </w:t>
      </w:r>
      <w:r w:rsidR="00942F6D" w:rsidRPr="005F0CE8">
        <w:rPr>
          <w:rFonts w:eastAsia="Calibri"/>
        </w:rPr>
        <w:t xml:space="preserve">that the </w:t>
      </w:r>
      <w:r w:rsidR="000F173C" w:rsidRPr="005F0CE8">
        <w:rPr>
          <w:rFonts w:eastAsia="Calibri"/>
        </w:rPr>
        <w:t xml:space="preserve">OS data </w:t>
      </w:r>
      <w:r w:rsidR="008D7ED7">
        <w:rPr>
          <w:rFonts w:eastAsia="Calibri"/>
        </w:rPr>
        <w:t xml:space="preserve">also </w:t>
      </w:r>
      <w:r w:rsidR="000F173C" w:rsidRPr="005F0CE8">
        <w:rPr>
          <w:rFonts w:eastAsia="Calibri"/>
        </w:rPr>
        <w:t>remained immature</w:t>
      </w:r>
      <w:r w:rsidR="00B93605" w:rsidRPr="005F0CE8">
        <w:rPr>
          <w:rFonts w:eastAsia="Calibri"/>
        </w:rPr>
        <w:t xml:space="preserve"> </w:t>
      </w:r>
      <w:r w:rsidR="00B93605" w:rsidRPr="005F0CE8">
        <w:rPr>
          <w:snapToGrid/>
        </w:rPr>
        <w:t>with only 8.1% of events occurring in the olaparib arm and 11.9% of events occurring in the placebo arm, at a median follow-up of 3.5 years.</w:t>
      </w:r>
      <w:r w:rsidR="009210F6" w:rsidRPr="005F0CE8">
        <w:rPr>
          <w:snapToGrid/>
        </w:rPr>
        <w:t xml:space="preserve"> The PBAC noted that the OlympiA trial would require a significantly longer duration of follow-up for the</w:t>
      </w:r>
      <w:r w:rsidR="00836CBC" w:rsidRPr="005F0CE8">
        <w:rPr>
          <w:snapToGrid/>
        </w:rPr>
        <w:t xml:space="preserve"> OS</w:t>
      </w:r>
      <w:r w:rsidR="009210F6" w:rsidRPr="005F0CE8">
        <w:rPr>
          <w:snapToGrid/>
        </w:rPr>
        <w:t xml:space="preserve"> data to reach maturity</w:t>
      </w:r>
      <w:r w:rsidR="00836CBC" w:rsidRPr="005F0CE8">
        <w:rPr>
          <w:snapToGrid/>
        </w:rPr>
        <w:t>, especially in the HR-positive group</w:t>
      </w:r>
      <w:r w:rsidR="009210F6" w:rsidRPr="005F0CE8">
        <w:rPr>
          <w:snapToGrid/>
        </w:rPr>
        <w:t>.</w:t>
      </w:r>
    </w:p>
    <w:p w14:paraId="1E53C1C1" w14:textId="670F0368" w:rsidR="000F173C" w:rsidRPr="005F0CE8" w:rsidRDefault="000F173C" w:rsidP="006A5570">
      <w:pPr>
        <w:widowControl w:val="0"/>
        <w:numPr>
          <w:ilvl w:val="1"/>
          <w:numId w:val="1"/>
        </w:numPr>
        <w:spacing w:after="120"/>
        <w:ind w:left="720"/>
        <w:rPr>
          <w:rFonts w:asciiTheme="minorHAnsi" w:hAnsiTheme="minorHAnsi"/>
          <w:snapToGrid w:val="0"/>
        </w:rPr>
      </w:pPr>
      <w:r w:rsidRPr="005F0CE8">
        <w:rPr>
          <w:rFonts w:asciiTheme="minorHAnsi" w:hAnsiTheme="minorHAnsi"/>
          <w:snapToGrid w:val="0"/>
        </w:rPr>
        <w:t>The PBAC noted that the olaparib arm had a higher incidence of all AEs, a higher incidence of grade 3 or higher AEs, and a higher incidence of AEs leading to dose reduction, interruption, or discontinuation, compared to the placebo arm</w:t>
      </w:r>
      <w:r w:rsidR="006A5570" w:rsidRPr="005F0CE8">
        <w:rPr>
          <w:rFonts w:asciiTheme="minorHAnsi" w:hAnsiTheme="minorHAnsi"/>
          <w:snapToGrid w:val="0"/>
        </w:rPr>
        <w:t xml:space="preserve"> (</w:t>
      </w:r>
      <w:r w:rsidR="006A5570" w:rsidRPr="005F0CE8">
        <w:rPr>
          <w:rFonts w:asciiTheme="minorHAnsi" w:hAnsiTheme="minorHAnsi"/>
          <w:snapToGrid w:val="0"/>
        </w:rPr>
        <w:fldChar w:fldCharType="begin"/>
      </w:r>
      <w:r w:rsidR="006A5570" w:rsidRPr="005F0CE8">
        <w:rPr>
          <w:rFonts w:asciiTheme="minorHAnsi" w:hAnsiTheme="minorHAnsi"/>
          <w:snapToGrid w:val="0"/>
        </w:rPr>
        <w:instrText xml:space="preserve"> REF _Ref131673790 \h  \* MERGEFORMAT </w:instrText>
      </w:r>
      <w:r w:rsidR="006A5570" w:rsidRPr="005F0CE8">
        <w:rPr>
          <w:rFonts w:asciiTheme="minorHAnsi" w:hAnsiTheme="minorHAnsi"/>
          <w:snapToGrid w:val="0"/>
        </w:rPr>
      </w:r>
      <w:r w:rsidR="006A5570" w:rsidRPr="005F0CE8">
        <w:rPr>
          <w:rFonts w:asciiTheme="minorHAnsi" w:hAnsiTheme="minorHAnsi"/>
          <w:snapToGrid w:val="0"/>
        </w:rPr>
        <w:fldChar w:fldCharType="separate"/>
      </w:r>
      <w:r w:rsidR="00AB6006" w:rsidRPr="00AB6006">
        <w:rPr>
          <w:rFonts w:asciiTheme="minorHAnsi" w:hAnsiTheme="minorHAnsi"/>
          <w:snapToGrid w:val="0"/>
        </w:rPr>
        <w:t>Table 10</w:t>
      </w:r>
      <w:r w:rsidR="006A5570" w:rsidRPr="005F0CE8">
        <w:rPr>
          <w:rFonts w:asciiTheme="minorHAnsi" w:hAnsiTheme="minorHAnsi"/>
          <w:snapToGrid w:val="0"/>
        </w:rPr>
        <w:fldChar w:fldCharType="end"/>
      </w:r>
      <w:r w:rsidR="006A5570" w:rsidRPr="005F0CE8">
        <w:rPr>
          <w:rFonts w:asciiTheme="minorHAnsi" w:hAnsiTheme="minorHAnsi"/>
          <w:snapToGrid w:val="0"/>
        </w:rPr>
        <w:t xml:space="preserve">). </w:t>
      </w:r>
      <w:r w:rsidRPr="005F0CE8">
        <w:rPr>
          <w:rFonts w:asciiTheme="minorHAnsi" w:hAnsiTheme="minorHAnsi"/>
          <w:snapToGrid w:val="0"/>
        </w:rPr>
        <w:t>The PBAC also noted that MDS/AML was a concern with PARPis. The PBAC considered that olaparib had inferior safety in comparison with placebo.</w:t>
      </w:r>
    </w:p>
    <w:p w14:paraId="0C215001" w14:textId="28677465" w:rsidR="006A5061" w:rsidRPr="005F0CE8" w:rsidRDefault="0076500D" w:rsidP="00A53F1B">
      <w:pPr>
        <w:widowControl w:val="0"/>
        <w:numPr>
          <w:ilvl w:val="1"/>
          <w:numId w:val="1"/>
        </w:numPr>
        <w:spacing w:after="120"/>
        <w:ind w:left="720"/>
        <w:rPr>
          <w:rFonts w:asciiTheme="minorHAnsi" w:hAnsiTheme="minorHAnsi"/>
          <w:snapToGrid w:val="0"/>
        </w:rPr>
      </w:pPr>
      <w:bookmarkStart w:id="127" w:name="_Ref132376869"/>
      <w:bookmarkStart w:id="128" w:name="_Hlk131423875"/>
      <w:r w:rsidRPr="005F0CE8">
        <w:rPr>
          <w:rFonts w:asciiTheme="minorHAnsi" w:hAnsiTheme="minorHAnsi"/>
          <w:snapToGrid w:val="0"/>
        </w:rPr>
        <w:t>The PBAC noted that the submission presented a cost-</w:t>
      </w:r>
      <w:r w:rsidR="006A5061" w:rsidRPr="005F0CE8">
        <w:rPr>
          <w:rFonts w:asciiTheme="minorHAnsi" w:hAnsiTheme="minorHAnsi"/>
          <w:snapToGrid w:val="0"/>
        </w:rPr>
        <w:t>utility</w:t>
      </w:r>
      <w:r w:rsidRPr="005F0CE8">
        <w:rPr>
          <w:rFonts w:asciiTheme="minorHAnsi" w:hAnsiTheme="minorHAnsi"/>
          <w:snapToGrid w:val="0"/>
        </w:rPr>
        <w:t xml:space="preserve"> analysis, based on </w:t>
      </w:r>
      <w:r w:rsidR="006A5061" w:rsidRPr="005F0CE8">
        <w:rPr>
          <w:rFonts w:asciiTheme="minorHAnsi" w:hAnsiTheme="minorHAnsi"/>
          <w:snapToGrid w:val="0"/>
        </w:rPr>
        <w:t xml:space="preserve">the ITT population </w:t>
      </w:r>
      <w:r w:rsidRPr="005F0CE8">
        <w:rPr>
          <w:rFonts w:asciiTheme="minorHAnsi" w:hAnsiTheme="minorHAnsi"/>
          <w:snapToGrid w:val="0"/>
        </w:rPr>
        <w:t xml:space="preserve">from </w:t>
      </w:r>
      <w:r w:rsidR="006A5061" w:rsidRPr="005F0CE8">
        <w:rPr>
          <w:rFonts w:asciiTheme="minorHAnsi" w:hAnsiTheme="minorHAnsi"/>
          <w:snapToGrid w:val="0"/>
        </w:rPr>
        <w:t>OlympiA</w:t>
      </w:r>
      <w:r w:rsidRPr="005F0CE8">
        <w:rPr>
          <w:rFonts w:asciiTheme="minorHAnsi" w:hAnsiTheme="minorHAnsi"/>
          <w:snapToGrid w:val="0"/>
        </w:rPr>
        <w:t xml:space="preserve">. The economic evaluation compared the proposed scenario </w:t>
      </w:r>
      <w:r w:rsidR="006A5061" w:rsidRPr="005F0CE8">
        <w:rPr>
          <w:rFonts w:asciiTheme="minorHAnsi" w:hAnsiTheme="minorHAnsi"/>
          <w:snapToGrid w:val="0"/>
        </w:rPr>
        <w:t xml:space="preserve">(in which germline </w:t>
      </w:r>
      <w:r w:rsidR="009E092C" w:rsidRPr="009E092C">
        <w:rPr>
          <w:rFonts w:asciiTheme="minorHAnsi" w:hAnsiTheme="minorHAnsi"/>
          <w:i/>
          <w:snapToGrid w:val="0"/>
        </w:rPr>
        <w:t xml:space="preserve">BRCA </w:t>
      </w:r>
      <w:r w:rsidR="006A5061" w:rsidRPr="005F0CE8">
        <w:rPr>
          <w:rFonts w:asciiTheme="minorHAnsi" w:hAnsiTheme="minorHAnsi"/>
          <w:snapToGrid w:val="0"/>
        </w:rPr>
        <w:t xml:space="preserve">testing is available and </w:t>
      </w:r>
      <w:r w:rsidR="009E092C" w:rsidRPr="009E092C">
        <w:rPr>
          <w:rFonts w:asciiTheme="minorHAnsi" w:hAnsiTheme="minorHAnsi"/>
          <w:i/>
          <w:snapToGrid w:val="0"/>
        </w:rPr>
        <w:t>BRCAm</w:t>
      </w:r>
      <w:r w:rsidR="006A5061" w:rsidRPr="005F0CE8">
        <w:rPr>
          <w:rFonts w:asciiTheme="minorHAnsi" w:hAnsiTheme="minorHAnsi"/>
          <w:snapToGrid w:val="0"/>
        </w:rPr>
        <w:t xml:space="preserve"> patients are eligible for olaparib) with the comparator scenario (in which some germline </w:t>
      </w:r>
      <w:r w:rsidR="009E092C" w:rsidRPr="009E092C">
        <w:rPr>
          <w:rFonts w:asciiTheme="minorHAnsi" w:hAnsiTheme="minorHAnsi"/>
          <w:i/>
          <w:snapToGrid w:val="0"/>
        </w:rPr>
        <w:t xml:space="preserve">BRCA </w:t>
      </w:r>
      <w:r w:rsidR="006A5061" w:rsidRPr="005F0CE8">
        <w:rPr>
          <w:rFonts w:asciiTheme="minorHAnsi" w:hAnsiTheme="minorHAnsi"/>
          <w:snapToGrid w:val="0"/>
        </w:rPr>
        <w:t>testing occurs as per current clinical practice and treatment with placebo).</w:t>
      </w:r>
      <w:r w:rsidR="00A2143F" w:rsidRPr="005F0CE8">
        <w:rPr>
          <w:rFonts w:asciiTheme="minorHAnsi" w:hAnsiTheme="minorHAnsi"/>
          <w:snapToGrid w:val="0"/>
        </w:rPr>
        <w:t xml:space="preserve"> The PBAC considered that the absolute size of the</w:t>
      </w:r>
      <w:r w:rsidR="001624A4" w:rsidRPr="005F0CE8">
        <w:rPr>
          <w:rFonts w:asciiTheme="minorHAnsi" w:hAnsiTheme="minorHAnsi"/>
          <w:snapToGrid w:val="0"/>
        </w:rPr>
        <w:t xml:space="preserve"> modelled</w:t>
      </w:r>
      <w:r w:rsidR="00A2143F" w:rsidRPr="005F0CE8">
        <w:rPr>
          <w:rFonts w:asciiTheme="minorHAnsi" w:hAnsiTheme="minorHAnsi"/>
          <w:snapToGrid w:val="0"/>
        </w:rPr>
        <w:t xml:space="preserve"> benefit beyond the time horizon of the trial was subject to significant uncertainty and this translated to a highly uncertain ICER.</w:t>
      </w:r>
      <w:bookmarkEnd w:id="127"/>
    </w:p>
    <w:p w14:paraId="52259162" w14:textId="05363D07" w:rsidR="00A2143F" w:rsidRPr="005F0CE8" w:rsidRDefault="00554B40" w:rsidP="00554B40">
      <w:pPr>
        <w:widowControl w:val="0"/>
        <w:numPr>
          <w:ilvl w:val="1"/>
          <w:numId w:val="1"/>
        </w:numPr>
        <w:spacing w:after="120"/>
        <w:ind w:left="720"/>
      </w:pPr>
      <w:r w:rsidRPr="005F0CE8">
        <w:t>The PBAC considered that the base case ICER proposed by the submission was underestimated, and noted that several revisions had been proposed by the ESC for consideration (</w:t>
      </w:r>
      <w:r w:rsidRPr="005F0CE8">
        <w:fldChar w:fldCharType="begin"/>
      </w:r>
      <w:r w:rsidRPr="005F0CE8">
        <w:instrText xml:space="preserve"> REF _Ref127477391 \h </w:instrText>
      </w:r>
      <w:r w:rsidRPr="005F0CE8">
        <w:fldChar w:fldCharType="separate"/>
      </w:r>
      <w:r w:rsidR="00AB6006" w:rsidRPr="005F0CE8">
        <w:t xml:space="preserve">Table </w:t>
      </w:r>
      <w:r w:rsidR="00AB6006">
        <w:rPr>
          <w:noProof/>
        </w:rPr>
        <w:t>18</w:t>
      </w:r>
      <w:r w:rsidRPr="005F0CE8">
        <w:fldChar w:fldCharType="end"/>
      </w:r>
      <w:r w:rsidRPr="005F0CE8">
        <w:t xml:space="preserve">). The nominated time point for ceasing the use of observed KM data had a substantial impact on the ICER. </w:t>
      </w:r>
      <w:r w:rsidR="00A2143F" w:rsidRPr="005F0CE8">
        <w:t xml:space="preserve">The PBAC noted that the truncation </w:t>
      </w:r>
      <w:r w:rsidR="00A2143F" w:rsidRPr="005F0CE8">
        <w:lastRenderedPageBreak/>
        <w:t xml:space="preserve">point in the submission’s base case (42 months), was stated to reflect the median follow-up, however considered this resulted in the exclusion of a substantial amount of trial data as at this time point 41% of patients remained at risk. Further, review of the observed IDFS curves and difference between the curves (Figure 4) revealed a larger increment at 42 months as compared with 60 months and hence the use of 42 months </w:t>
      </w:r>
      <w:r w:rsidR="00F71093" w:rsidRPr="005F0CE8">
        <w:t>potentially</w:t>
      </w:r>
      <w:r w:rsidR="00A2143F" w:rsidRPr="005F0CE8">
        <w:t xml:space="preserve"> resulted in the extrapolated benefits being overestimated.</w:t>
      </w:r>
      <w:r w:rsidRPr="005F0CE8">
        <w:t xml:space="preserve"> The PBAC noted that use of the 42 month truncation point substantially increase</w:t>
      </w:r>
      <w:r w:rsidR="00724077" w:rsidRPr="005F0CE8">
        <w:t>d</w:t>
      </w:r>
      <w:r w:rsidRPr="005F0CE8">
        <w:t xml:space="preserve"> the estimated LYs gained and </w:t>
      </w:r>
      <w:r w:rsidR="009E75D7" w:rsidRPr="005F0CE8">
        <w:t>uncertainty</w:t>
      </w:r>
      <w:r w:rsidRPr="005F0CE8">
        <w:t>.</w:t>
      </w:r>
    </w:p>
    <w:p w14:paraId="3858AA8A" w14:textId="1E4540D6" w:rsidR="006665C7" w:rsidRPr="005F0CE8" w:rsidRDefault="006665C7" w:rsidP="00477BB3">
      <w:pPr>
        <w:pStyle w:val="3-BodyText"/>
      </w:pPr>
      <w:bookmarkStart w:id="129" w:name="_Ref131684230"/>
      <w:r w:rsidRPr="005F0CE8">
        <w:rPr>
          <w:snapToGrid/>
        </w:rPr>
        <w:t xml:space="preserve">The PBAC noted the ESC base case scenario </w:t>
      </w:r>
      <w:r w:rsidRPr="005F0CE8">
        <w:t xml:space="preserve">(see paragraph </w:t>
      </w:r>
      <w:r w:rsidRPr="005F0CE8">
        <w:fldChar w:fldCharType="begin"/>
      </w:r>
      <w:r w:rsidRPr="005F0CE8">
        <w:instrText xml:space="preserve"> REF _Ref130333210 \r \h  \* MERGEFORMAT </w:instrText>
      </w:r>
      <w:r w:rsidRPr="005F0CE8">
        <w:fldChar w:fldCharType="separate"/>
      </w:r>
      <w:r w:rsidR="00AB6006">
        <w:t>6.77</w:t>
      </w:r>
      <w:r w:rsidRPr="005F0CE8">
        <w:fldChar w:fldCharType="end"/>
      </w:r>
      <w:r w:rsidRPr="005F0CE8">
        <w:t xml:space="preserve">) </w:t>
      </w:r>
      <w:r w:rsidRPr="005F0CE8">
        <w:rPr>
          <w:snapToGrid/>
        </w:rPr>
        <w:t xml:space="preserve">revised the starting age of the modelled cohort from 43 years to 50 years on the basis of an </w:t>
      </w:r>
      <w:r w:rsidRPr="005F0CE8">
        <w:t xml:space="preserve">Australian study published by Wong et al (2015), however the </w:t>
      </w:r>
      <w:r w:rsidRPr="005F0CE8">
        <w:rPr>
          <w:snapToGrid/>
        </w:rPr>
        <w:t xml:space="preserve">PBAC considered that the clinical trial population was a more reliable source for the model starting age on the basis that </w:t>
      </w:r>
      <w:r w:rsidRPr="005F0CE8">
        <w:rPr>
          <w:iCs/>
        </w:rPr>
        <w:t>the average age of patients diagnosed with breast cancer is substantially lower if they harbour g</w:t>
      </w:r>
      <w:r w:rsidR="009E092C" w:rsidRPr="009E092C">
        <w:rPr>
          <w:i/>
          <w:iCs/>
        </w:rPr>
        <w:t xml:space="preserve">BRCA </w:t>
      </w:r>
      <w:r w:rsidRPr="005F0CE8">
        <w:rPr>
          <w:iCs/>
        </w:rPr>
        <w:t xml:space="preserve">mutations. The PBAC noted that application of a starting age of 43 years, </w:t>
      </w:r>
      <w:r w:rsidR="00B073A0" w:rsidRPr="00C344F6">
        <w:rPr>
          <w:iCs/>
        </w:rPr>
        <w:t>a disutility of 0.6% applied to treatment with olaparib,</w:t>
      </w:r>
      <w:r w:rsidR="00B073A0">
        <w:rPr>
          <w:iCs/>
        </w:rPr>
        <w:t xml:space="preserve"> </w:t>
      </w:r>
      <w:r w:rsidRPr="005F0CE8">
        <w:rPr>
          <w:iCs/>
        </w:rPr>
        <w:t xml:space="preserve">and </w:t>
      </w:r>
      <w:r w:rsidR="00A2143F" w:rsidRPr="005F0CE8">
        <w:t>all other inputs as proposed by the ESC</w:t>
      </w:r>
      <w:r w:rsidRPr="005F0CE8">
        <w:t xml:space="preserve"> </w:t>
      </w:r>
      <w:r w:rsidR="00A2143F" w:rsidRPr="005F0CE8">
        <w:t xml:space="preserve">generated an ICER of </w:t>
      </w:r>
      <w:r w:rsidR="00E2560F" w:rsidRPr="00E2560F">
        <w:t>$75,000 to &lt; $95,000</w:t>
      </w:r>
      <w:r w:rsidR="00A2143F" w:rsidRPr="005F0CE8">
        <w:t xml:space="preserve">/QALY compared with the submission base case of </w:t>
      </w:r>
      <w:bookmarkStart w:id="130" w:name="_Hlk134796289"/>
      <w:r w:rsidR="00E2560F" w:rsidRPr="00E2560F">
        <w:t>$45,000 to &lt; $55,000</w:t>
      </w:r>
      <w:bookmarkEnd w:id="130"/>
      <w:r w:rsidR="00A2143F" w:rsidRPr="005F0CE8">
        <w:t>/QALY.</w:t>
      </w:r>
      <w:bookmarkEnd w:id="129"/>
      <w:r w:rsidR="00A2143F" w:rsidRPr="005F0CE8">
        <w:t xml:space="preserve"> </w:t>
      </w:r>
    </w:p>
    <w:p w14:paraId="2BEE0EBD" w14:textId="478EA07A" w:rsidR="00A2143F" w:rsidRPr="005F0CE8" w:rsidRDefault="00A2143F" w:rsidP="00477BB3">
      <w:pPr>
        <w:pStyle w:val="3-BodyText"/>
      </w:pPr>
      <w:r w:rsidRPr="005F0CE8">
        <w:t xml:space="preserve">The PBAC noted that </w:t>
      </w:r>
      <w:r w:rsidR="00E27BCC" w:rsidRPr="005F0CE8">
        <w:t xml:space="preserve">each of the additional </w:t>
      </w:r>
      <w:r w:rsidRPr="005F0CE8">
        <w:t xml:space="preserve">revisions specified in Table 18 were </w:t>
      </w:r>
      <w:r w:rsidRPr="00A428CF">
        <w:rPr>
          <w:rFonts w:ascii="Calibri" w:hAnsi="Calibri"/>
          <w:snapToGrid/>
        </w:rPr>
        <w:t>associated</w:t>
      </w:r>
      <w:r w:rsidRPr="005F0CE8">
        <w:t xml:space="preserve"> with </w:t>
      </w:r>
      <w:r w:rsidR="00E27BCC" w:rsidRPr="005F0CE8">
        <w:t>relative</w:t>
      </w:r>
      <w:r w:rsidR="00260192" w:rsidRPr="005F0CE8">
        <w:t>ly</w:t>
      </w:r>
      <w:r w:rsidR="00E27BCC" w:rsidRPr="005F0CE8">
        <w:t xml:space="preserve"> </w:t>
      </w:r>
      <w:r w:rsidRPr="005F0CE8">
        <w:t>minor changes to the ICER, however</w:t>
      </w:r>
      <w:r w:rsidR="00260192" w:rsidRPr="005F0CE8">
        <w:t xml:space="preserve"> agreed with the ESC that the revised parameters were likely more appropriate. </w:t>
      </w:r>
      <w:r w:rsidRPr="005F0CE8">
        <w:t xml:space="preserve">The PBAC also noted additional uncertainties arising from the model structure as discussed in paragraph </w:t>
      </w:r>
      <w:r w:rsidRPr="005F0CE8">
        <w:fldChar w:fldCharType="begin"/>
      </w:r>
      <w:r w:rsidRPr="005F0CE8">
        <w:instrText xml:space="preserve"> REF _Ref127890873 \r \h </w:instrText>
      </w:r>
      <w:r w:rsidRPr="005F0CE8">
        <w:fldChar w:fldCharType="separate"/>
      </w:r>
      <w:r w:rsidR="00AB6006">
        <w:t>6.69</w:t>
      </w:r>
      <w:r w:rsidRPr="005F0CE8">
        <w:fldChar w:fldCharType="end"/>
      </w:r>
      <w:r w:rsidRPr="005F0CE8">
        <w:t>.</w:t>
      </w:r>
    </w:p>
    <w:p w14:paraId="0CDD8FE5" w14:textId="6A80CC0A" w:rsidR="00A2143F" w:rsidRPr="005F0CE8" w:rsidRDefault="00A2143F">
      <w:pPr>
        <w:widowControl w:val="0"/>
        <w:numPr>
          <w:ilvl w:val="1"/>
          <w:numId w:val="1"/>
        </w:numPr>
        <w:spacing w:after="120"/>
        <w:ind w:left="720"/>
      </w:pPr>
      <w:bookmarkStart w:id="131" w:name="_Ref130330368"/>
      <w:r w:rsidRPr="005F0CE8">
        <w:t xml:space="preserve">The PBAC considered that olaparib could be considered cost-effective if the changes to the economic model were </w:t>
      </w:r>
      <w:r w:rsidRPr="00D56BAE">
        <w:t>made as described in paragraph</w:t>
      </w:r>
      <w:r w:rsidR="00CA4F2D" w:rsidRPr="00D56BAE">
        <w:t xml:space="preserve"> </w:t>
      </w:r>
      <w:r w:rsidR="00CA4F2D" w:rsidRPr="00D56BAE">
        <w:fldChar w:fldCharType="begin"/>
      </w:r>
      <w:r w:rsidR="00CA4F2D" w:rsidRPr="00D56BAE">
        <w:instrText xml:space="preserve"> REF _Ref131684230 \r \h </w:instrText>
      </w:r>
      <w:r w:rsidR="00D56BAE">
        <w:instrText xml:space="preserve"> \* MERGEFORMAT </w:instrText>
      </w:r>
      <w:r w:rsidR="00CA4F2D" w:rsidRPr="00D56BAE">
        <w:fldChar w:fldCharType="separate"/>
      </w:r>
      <w:r w:rsidR="00AB6006">
        <w:t>7.10</w:t>
      </w:r>
      <w:r w:rsidR="00CA4F2D" w:rsidRPr="00D56BAE">
        <w:fldChar w:fldCharType="end"/>
      </w:r>
      <w:r w:rsidR="00CA4F2D" w:rsidRPr="00D56BAE">
        <w:t xml:space="preserve"> an</w:t>
      </w:r>
      <w:r w:rsidRPr="00D56BAE">
        <w:t xml:space="preserve">d the ICER was </w:t>
      </w:r>
      <w:r w:rsidR="009A05C4" w:rsidRPr="00D56BAE">
        <w:t>approximately</w:t>
      </w:r>
      <w:r w:rsidRPr="00D56BAE">
        <w:t xml:space="preserve"> $35,000/QALY, </w:t>
      </w:r>
      <w:r w:rsidR="00541D3D" w:rsidRPr="00D56BAE">
        <w:t>to</w:t>
      </w:r>
      <w:r w:rsidR="00D56BAE" w:rsidRPr="00D56BAE">
        <w:t xml:space="preserve"> account for the uncertainty in modelled benefit beyond the time horizon of the trial (see paragraph</w:t>
      </w:r>
      <w:r w:rsidR="00D56BAE">
        <w:t xml:space="preserve"> </w:t>
      </w:r>
      <w:r w:rsidR="00D56BAE">
        <w:fldChar w:fldCharType="begin"/>
      </w:r>
      <w:r w:rsidR="00D56BAE">
        <w:instrText xml:space="preserve"> REF _Ref132376869 \r \h </w:instrText>
      </w:r>
      <w:r w:rsidR="00D56BAE">
        <w:fldChar w:fldCharType="separate"/>
      </w:r>
      <w:r w:rsidR="00AB6006">
        <w:t>7.8</w:t>
      </w:r>
      <w:r w:rsidR="00D56BAE">
        <w:fldChar w:fldCharType="end"/>
      </w:r>
      <w:r w:rsidR="00D56BAE" w:rsidRPr="00D56BAE">
        <w:t>).</w:t>
      </w:r>
      <w:r w:rsidRPr="00D56BAE">
        <w:t xml:space="preserve"> The PBAC noted that a significant price reduction would be necessary to meet this ICER.</w:t>
      </w:r>
      <w:bookmarkEnd w:id="131"/>
    </w:p>
    <w:p w14:paraId="5297B596" w14:textId="32D3E9C1" w:rsidR="00A2143F" w:rsidRPr="005F0CE8" w:rsidRDefault="00A2143F" w:rsidP="00A2143F">
      <w:pPr>
        <w:widowControl w:val="0"/>
        <w:numPr>
          <w:ilvl w:val="1"/>
          <w:numId w:val="1"/>
        </w:numPr>
        <w:spacing w:after="120"/>
        <w:ind w:left="720"/>
      </w:pPr>
      <w:r w:rsidRPr="005F0CE8">
        <w:t>The PBAC noted that subgroup analyses of OlympiA by HR status indicated more favourable results in the TNBC subgroup compared with the HR-positive subgroup (</w:t>
      </w:r>
      <w:r w:rsidR="00331C66" w:rsidRPr="005F0CE8">
        <w:fldChar w:fldCharType="begin"/>
      </w:r>
      <w:r w:rsidR="00331C66" w:rsidRPr="005F0CE8">
        <w:instrText xml:space="preserve"> REF _Ref124032540 \h </w:instrText>
      </w:r>
      <w:r w:rsidR="00331C66" w:rsidRPr="005F0CE8">
        <w:fldChar w:fldCharType="separate"/>
      </w:r>
      <w:r w:rsidR="00AB6006" w:rsidRPr="005F0CE8">
        <w:t xml:space="preserve">Table </w:t>
      </w:r>
      <w:r w:rsidR="00AB6006">
        <w:rPr>
          <w:noProof/>
        </w:rPr>
        <w:t>6</w:t>
      </w:r>
      <w:r w:rsidR="00331C66" w:rsidRPr="005F0CE8">
        <w:fldChar w:fldCharType="end"/>
      </w:r>
      <w:r w:rsidRPr="005F0CE8">
        <w:t>)</w:t>
      </w:r>
      <w:r w:rsidR="008129A2" w:rsidRPr="005F0CE8">
        <w:t xml:space="preserve">. Accordingly, the </w:t>
      </w:r>
      <w:r w:rsidRPr="005F0CE8">
        <w:t>hazard ratios for key outcomes were improved in the TNBC subgroup compared with the ITT population (IDFS HR: 0.62 compared with 0.63; and OS HR: 0.64 compared with 0.68). The PBAC noted it was not possible to estimate the ICER for these subgroups with the economic model provided in the submission because it did not contain the required KM data by subgroup</w:t>
      </w:r>
      <w:r w:rsidR="008129A2" w:rsidRPr="005F0CE8">
        <w:t xml:space="preserve"> (see paragraph </w:t>
      </w:r>
      <w:r w:rsidR="008129A2" w:rsidRPr="005F0CE8">
        <w:fldChar w:fldCharType="begin"/>
      </w:r>
      <w:r w:rsidR="008129A2" w:rsidRPr="005F0CE8">
        <w:instrText xml:space="preserve"> REF _Ref127475235 \r \h </w:instrText>
      </w:r>
      <w:r w:rsidR="008129A2" w:rsidRPr="005F0CE8">
        <w:fldChar w:fldCharType="separate"/>
      </w:r>
      <w:r w:rsidR="00AB6006">
        <w:t>6.52</w:t>
      </w:r>
      <w:r w:rsidR="008129A2" w:rsidRPr="005F0CE8">
        <w:fldChar w:fldCharType="end"/>
      </w:r>
      <w:r w:rsidR="008129A2" w:rsidRPr="005F0CE8">
        <w:t>)</w:t>
      </w:r>
      <w:r w:rsidRPr="005F0CE8">
        <w:t>. The PBAC expressed a preference for the proposed listing to reflect the ITT population of OlympiA, rather than limiting to the TNBC group, however considered it would be informative to see the results of the economic evaluation for the HR+ and TNBC subgroups, in addition to the ITT population. The PBAC considered that the results for the TNBC subgroup are more certain than for the HR+ subgroup given the larger number of TNBC patients included in the trial (8</w:t>
      </w:r>
      <w:r w:rsidR="00331C66" w:rsidRPr="005F0CE8">
        <w:t>2.3% of the ITT population</w:t>
      </w:r>
      <w:r w:rsidRPr="005F0CE8">
        <w:t xml:space="preserve">), and the longer duration of follow-up in this subgroup given the protocol amendment which allowed HR+ patients into the trial occurred approximately 18 months after the first </w:t>
      </w:r>
      <w:r w:rsidRPr="005F0CE8">
        <w:lastRenderedPageBreak/>
        <w:t>patient was recruited to the study. The PBAC also considered that on average, recurrences are likely to occur later in the HR+ subgroup, compared with the TNBC subgroup</w:t>
      </w:r>
      <w:r w:rsidR="00331C66" w:rsidRPr="005F0CE8">
        <w:t xml:space="preserve"> (see paragraph </w:t>
      </w:r>
      <w:r w:rsidR="00331C66" w:rsidRPr="005F0CE8">
        <w:fldChar w:fldCharType="begin"/>
      </w:r>
      <w:r w:rsidR="00331C66" w:rsidRPr="005F0CE8">
        <w:instrText xml:space="preserve"> REF _Ref130327799 \r \h </w:instrText>
      </w:r>
      <w:r w:rsidR="00331C66" w:rsidRPr="005F0CE8">
        <w:fldChar w:fldCharType="separate"/>
      </w:r>
      <w:r w:rsidR="00AB6006">
        <w:t>4.1</w:t>
      </w:r>
      <w:r w:rsidR="00331C66" w:rsidRPr="005F0CE8">
        <w:fldChar w:fldCharType="end"/>
      </w:r>
      <w:r w:rsidR="008129A2" w:rsidRPr="005F0CE8">
        <w:t xml:space="preserve">, and </w:t>
      </w:r>
      <w:r w:rsidR="008129A2" w:rsidRPr="005F0CE8">
        <w:fldChar w:fldCharType="begin"/>
      </w:r>
      <w:r w:rsidR="008129A2" w:rsidRPr="005F0CE8">
        <w:instrText xml:space="preserve"> REF _Ref130333070 \r \h </w:instrText>
      </w:r>
      <w:r w:rsidR="008129A2" w:rsidRPr="005F0CE8">
        <w:fldChar w:fldCharType="separate"/>
      </w:r>
      <w:r w:rsidR="00AB6006">
        <w:t>6.14</w:t>
      </w:r>
      <w:r w:rsidR="008129A2" w:rsidRPr="005F0CE8">
        <w:fldChar w:fldCharType="end"/>
      </w:r>
      <w:r w:rsidR="00331C66" w:rsidRPr="005F0CE8">
        <w:t>)</w:t>
      </w:r>
      <w:r w:rsidRPr="005F0CE8">
        <w:t>, which further increases the uncertainty of long term outcomes for the HR+ subgroup.</w:t>
      </w:r>
      <w:r w:rsidR="00C537D7" w:rsidRPr="005F0CE8">
        <w:t xml:space="preserve"> Although there is currently no statistical evidence of treatment-effect modification on the HR-scale, it is possible that with more mature data an underlying pattern of treatment-effect modification might be revealed. This </w:t>
      </w:r>
      <w:r w:rsidR="00656CB6" w:rsidRPr="005F0CE8">
        <w:t>lack of statistical power to detect treatme</w:t>
      </w:r>
      <w:r w:rsidR="00E00069" w:rsidRPr="005F0CE8">
        <w:t>n</w:t>
      </w:r>
      <w:r w:rsidR="00656CB6" w:rsidRPr="005F0CE8">
        <w:t xml:space="preserve">t-effect modification </w:t>
      </w:r>
      <w:r w:rsidR="00C537D7" w:rsidRPr="005F0CE8">
        <w:t>added to the uncertainty in the ICER for the ITT population.</w:t>
      </w:r>
      <w:bookmarkEnd w:id="128"/>
    </w:p>
    <w:p w14:paraId="4695D7BA" w14:textId="63E68B05" w:rsidR="00602F86" w:rsidRPr="005F0CE8" w:rsidRDefault="00602F86" w:rsidP="00A428CF">
      <w:pPr>
        <w:widowControl w:val="0"/>
        <w:numPr>
          <w:ilvl w:val="1"/>
          <w:numId w:val="1"/>
        </w:numPr>
        <w:spacing w:after="120"/>
        <w:ind w:left="720"/>
      </w:pPr>
      <w:bookmarkStart w:id="132" w:name="_Ref130330486"/>
      <w:r w:rsidRPr="005F0CE8">
        <w:t xml:space="preserve">With regard to utilisation estimates, the PBAC considered </w:t>
      </w:r>
      <w:r w:rsidR="00A3682B" w:rsidRPr="005F0CE8">
        <w:t>that the patient numbers estimated by the submission</w:t>
      </w:r>
      <w:r w:rsidR="000365E9" w:rsidRPr="005F0CE8">
        <w:t xml:space="preserve"> </w:t>
      </w:r>
      <w:r w:rsidR="00A3682B" w:rsidRPr="005F0CE8">
        <w:t xml:space="preserve">were </w:t>
      </w:r>
      <w:r w:rsidR="00807BA3" w:rsidRPr="005F0CE8">
        <w:t>implausibly</w:t>
      </w:r>
      <w:r w:rsidR="00A3682B" w:rsidRPr="005F0CE8">
        <w:t xml:space="preserve"> high. The PBAC considered that the estimates did not appropriately account for differences between the TNBC and HR+ subgroups, and that the submission had overestimated the proportion of patients that would be considered at high-risk based on the proposed eligibility criteria. The PBAC also considered that duration of treatment should be revised to reflect the utilisation in the OlympiA trial</w:t>
      </w:r>
      <w:r w:rsidR="00B1739E" w:rsidRPr="005F0CE8">
        <w:t>:</w:t>
      </w:r>
      <w:bookmarkEnd w:id="132"/>
    </w:p>
    <w:p w14:paraId="2C6F98CB" w14:textId="26E5B2E9" w:rsidR="00A3682B" w:rsidRPr="005F0CE8" w:rsidRDefault="00A9119F" w:rsidP="001B189E">
      <w:pPr>
        <w:pStyle w:val="BulletBodyText"/>
      </w:pPr>
      <w:r w:rsidRPr="005F0CE8">
        <w:t>Incidence of early (Stage I-III) breast cancer: adjust to 95.08%.</w:t>
      </w:r>
      <w:r w:rsidR="00A3682B" w:rsidRPr="005F0CE8">
        <w:t xml:space="preserve"> </w:t>
      </w:r>
    </w:p>
    <w:p w14:paraId="42A18850" w14:textId="77777777" w:rsidR="00A3682B" w:rsidRPr="005F0CE8" w:rsidRDefault="00A3682B" w:rsidP="001B189E">
      <w:pPr>
        <w:pStyle w:val="BulletBodyText"/>
      </w:pPr>
      <w:r w:rsidRPr="005F0CE8">
        <w:t xml:space="preserve">Proportion of patients with TNBC: adjust to 15%. </w:t>
      </w:r>
    </w:p>
    <w:p w14:paraId="57DCC4BF" w14:textId="3AEE6FED" w:rsidR="00A3682B" w:rsidRPr="005F0CE8" w:rsidRDefault="00A3682B" w:rsidP="001B189E">
      <w:pPr>
        <w:pStyle w:val="BulletBodyText"/>
      </w:pPr>
      <w:r w:rsidRPr="005F0CE8">
        <w:t xml:space="preserve">Proportion of </w:t>
      </w:r>
      <w:r w:rsidR="00D6541C">
        <w:t>high-risk</w:t>
      </w:r>
      <w:r w:rsidRPr="005F0CE8">
        <w:t xml:space="preserve"> TNBC patients: specify 40% (</w:t>
      </w:r>
      <w:r w:rsidR="00E434D1" w:rsidRPr="005F0CE8">
        <w:t xml:space="preserve">100% was assumed in </w:t>
      </w:r>
      <w:r w:rsidRPr="005F0CE8">
        <w:t xml:space="preserve">submission). </w:t>
      </w:r>
    </w:p>
    <w:p w14:paraId="30B7CD20" w14:textId="5DFD3AC1" w:rsidR="00A3682B" w:rsidRPr="005F0CE8" w:rsidRDefault="00A3682B" w:rsidP="001B189E">
      <w:pPr>
        <w:pStyle w:val="BulletBodyText"/>
      </w:pPr>
      <w:r w:rsidRPr="005F0CE8">
        <w:t xml:space="preserve">Proportion of </w:t>
      </w:r>
      <w:r w:rsidR="00D6541C">
        <w:t>high-risk</w:t>
      </w:r>
      <w:r w:rsidRPr="005F0CE8">
        <w:t xml:space="preserve"> HR-positive, and HER2-negative breast cancer patients: adjust to 25%</w:t>
      </w:r>
    </w:p>
    <w:p w14:paraId="402A2A40" w14:textId="5BADB9E2" w:rsidR="00076B70" w:rsidRPr="005F0CE8" w:rsidRDefault="00076B70" w:rsidP="001B189E">
      <w:pPr>
        <w:pStyle w:val="BulletBodyText"/>
      </w:pPr>
      <w:r w:rsidRPr="005F0CE8">
        <w:t xml:space="preserve">Germline </w:t>
      </w:r>
      <w:r w:rsidR="009E092C" w:rsidRPr="009E092C">
        <w:rPr>
          <w:i/>
        </w:rPr>
        <w:t xml:space="preserve">BRCA </w:t>
      </w:r>
      <w:r w:rsidRPr="005F0CE8">
        <w:t>mutation testing uptake rates – Current test rates</w:t>
      </w:r>
      <w:r w:rsidR="001C2E10">
        <w:t xml:space="preserve"> applied to Year 1</w:t>
      </w:r>
      <w:r w:rsidRPr="005F0CE8">
        <w:t>: 74% for the TNBC population and 20% for the HR+ population.</w:t>
      </w:r>
    </w:p>
    <w:p w14:paraId="6429F53A" w14:textId="30D84DFF" w:rsidR="00B93605" w:rsidRPr="005F0CE8" w:rsidRDefault="00076B70" w:rsidP="001B189E">
      <w:pPr>
        <w:pStyle w:val="BulletBodyText"/>
      </w:pPr>
      <w:r w:rsidRPr="005F0CE8">
        <w:t xml:space="preserve">Germline </w:t>
      </w:r>
      <w:r w:rsidR="009E092C" w:rsidRPr="009E092C">
        <w:rPr>
          <w:i/>
        </w:rPr>
        <w:t xml:space="preserve">BRCA </w:t>
      </w:r>
      <w:r w:rsidRPr="005F0CE8">
        <w:t>mutation testing uptake rates – Future test rates if olaparib PBS listed</w:t>
      </w:r>
      <w:r w:rsidR="00F81DBE">
        <w:t xml:space="preserve"> (applied from Year 2 onwards)</w:t>
      </w:r>
      <w:r w:rsidRPr="005F0CE8">
        <w:t xml:space="preserve">: </w:t>
      </w:r>
      <w:r w:rsidR="00F81DBE">
        <w:t>85%</w:t>
      </w:r>
      <w:r w:rsidRPr="005F0CE8">
        <w:t xml:space="preserve"> for the TNBC population and </w:t>
      </w:r>
      <w:r w:rsidR="00F81DBE">
        <w:t>30%</w:t>
      </w:r>
      <w:r w:rsidR="001C693A" w:rsidRPr="005F0CE8">
        <w:t xml:space="preserve"> </w:t>
      </w:r>
      <w:r w:rsidRPr="005F0CE8">
        <w:t>for the HR+ population.</w:t>
      </w:r>
      <w:r w:rsidR="00B93605" w:rsidRPr="005F0CE8">
        <w:t xml:space="preserve"> </w:t>
      </w:r>
    </w:p>
    <w:p w14:paraId="449A773C" w14:textId="0D0FF223" w:rsidR="00B93605" w:rsidRPr="005F0CE8" w:rsidRDefault="00B93605" w:rsidP="001B189E">
      <w:pPr>
        <w:pStyle w:val="BulletBodyText"/>
      </w:pPr>
      <w:r w:rsidRPr="005F0CE8">
        <w:t>G</w:t>
      </w:r>
      <w:r w:rsidR="00076B70" w:rsidRPr="005F0CE8">
        <w:t xml:space="preserve">ermline </w:t>
      </w:r>
      <w:r w:rsidR="009E092C" w:rsidRPr="009E092C">
        <w:rPr>
          <w:i/>
        </w:rPr>
        <w:t xml:space="preserve">BRCA </w:t>
      </w:r>
      <w:r w:rsidR="00076B70" w:rsidRPr="005F0CE8">
        <w:t>prevalence rate: 13.25% for TNBC and 5% for HR+</w:t>
      </w:r>
      <w:r w:rsidRPr="005F0CE8">
        <w:t xml:space="preserve">. </w:t>
      </w:r>
    </w:p>
    <w:p w14:paraId="3397BA32" w14:textId="0B67DEEE" w:rsidR="00076B70" w:rsidRPr="005F0CE8" w:rsidRDefault="00B93605" w:rsidP="001B189E">
      <w:pPr>
        <w:pStyle w:val="BulletBodyText"/>
      </w:pPr>
      <w:r w:rsidRPr="005F0CE8">
        <w:t>Average duration of treatment per patient: apply the mean treatment duration from the trial, 9.7 months.</w:t>
      </w:r>
    </w:p>
    <w:p w14:paraId="57DB6C69" w14:textId="77777777" w:rsidR="00795856" w:rsidRPr="005F0CE8" w:rsidRDefault="00602F86" w:rsidP="00A428CF">
      <w:pPr>
        <w:widowControl w:val="0"/>
        <w:numPr>
          <w:ilvl w:val="1"/>
          <w:numId w:val="1"/>
        </w:numPr>
        <w:spacing w:after="120"/>
        <w:ind w:left="720"/>
      </w:pPr>
      <w:r w:rsidRPr="005F0CE8">
        <w:t xml:space="preserve">The PBAC noted that MSAC advice was also required in relation to the financial estimates </w:t>
      </w:r>
      <w:r w:rsidR="00B93605" w:rsidRPr="005F0CE8">
        <w:t>in relation to MBS costs.</w:t>
      </w:r>
      <w:r w:rsidR="00795856" w:rsidRPr="005F0CE8">
        <w:t xml:space="preserve"> </w:t>
      </w:r>
    </w:p>
    <w:p w14:paraId="6D24772C" w14:textId="77777777" w:rsidR="00A428CF" w:rsidRDefault="00795856" w:rsidP="00A428CF">
      <w:pPr>
        <w:widowControl w:val="0"/>
        <w:numPr>
          <w:ilvl w:val="1"/>
          <w:numId w:val="1"/>
        </w:numPr>
        <w:spacing w:after="120"/>
        <w:ind w:left="720"/>
      </w:pPr>
      <w:r w:rsidRPr="005F0CE8">
        <w:t>The</w:t>
      </w:r>
      <w:r w:rsidR="009344DE" w:rsidRPr="005F0CE8">
        <w:t xml:space="preserve"> PBAC considered the outstanding issues could be resolved in a simple resubmission for olaparib using the early re-entry pathway</w:t>
      </w:r>
      <w:r w:rsidR="00C537D7" w:rsidRPr="005F0CE8">
        <w:t xml:space="preserve"> </w:t>
      </w:r>
      <w:r w:rsidR="00656CB6" w:rsidRPr="005F0CE8">
        <w:t>with</w:t>
      </w:r>
      <w:r w:rsidR="00C537D7" w:rsidRPr="005F0CE8">
        <w:t xml:space="preserve"> a material price reduction to </w:t>
      </w:r>
      <w:r w:rsidR="00F8297B" w:rsidRPr="005F0CE8">
        <w:t>accommodate more plausible inputs into the economic model and allow for the uncertainty associated with the immature OS data</w:t>
      </w:r>
      <w:r w:rsidR="009344DE" w:rsidRPr="005F0CE8">
        <w:t>. If the sponsor accepts this pathway, the following changes may address these outstanding issues without requiring further re-evaluation:</w:t>
      </w:r>
    </w:p>
    <w:p w14:paraId="4F40A847" w14:textId="183966AB" w:rsidR="009344DE" w:rsidRPr="005F0CE8" w:rsidRDefault="009344DE" w:rsidP="00CB4CFB">
      <w:pPr>
        <w:pStyle w:val="BulletBodyText"/>
      </w:pPr>
      <w:r w:rsidRPr="005F0CE8">
        <w:lastRenderedPageBreak/>
        <w:t xml:space="preserve">Revise the economic model as </w:t>
      </w:r>
      <w:r w:rsidR="00F8297B" w:rsidRPr="005F0CE8">
        <w:t xml:space="preserve">per Table 18. </w:t>
      </w:r>
      <w:r w:rsidRPr="005F0CE8">
        <w:t>The PBAC noted that the early re-entry pathway would not be appropriate if the model structure is revised.</w:t>
      </w:r>
    </w:p>
    <w:p w14:paraId="7BF9BBC4" w14:textId="5D9014FE" w:rsidR="00795856" w:rsidRPr="005F0CE8" w:rsidRDefault="00795856" w:rsidP="00CB4CFB">
      <w:pPr>
        <w:pStyle w:val="ListParagraph"/>
        <w:widowControl w:val="0"/>
        <w:numPr>
          <w:ilvl w:val="1"/>
          <w:numId w:val="17"/>
        </w:numPr>
        <w:ind w:left="1560" w:hanging="426"/>
      </w:pPr>
      <w:r w:rsidRPr="005F0CE8">
        <w:t>Revise the base case as discussed in paragraph</w:t>
      </w:r>
      <w:r w:rsidR="001C693A" w:rsidRPr="005F0CE8">
        <w:t xml:space="preserve"> </w:t>
      </w:r>
      <w:r w:rsidR="001C693A" w:rsidRPr="005F0CE8">
        <w:fldChar w:fldCharType="begin"/>
      </w:r>
      <w:r w:rsidR="001C693A" w:rsidRPr="005F0CE8">
        <w:instrText xml:space="preserve"> REF _Ref131684230 \r \h </w:instrText>
      </w:r>
      <w:r w:rsidR="001C693A" w:rsidRPr="005F0CE8">
        <w:fldChar w:fldCharType="separate"/>
      </w:r>
      <w:r w:rsidR="00AB6006">
        <w:t>7.10</w:t>
      </w:r>
      <w:r w:rsidR="001C693A" w:rsidRPr="005F0CE8">
        <w:fldChar w:fldCharType="end"/>
      </w:r>
      <w:r w:rsidRPr="005F0CE8">
        <w:t>; and</w:t>
      </w:r>
    </w:p>
    <w:p w14:paraId="51D0AF53" w14:textId="510C8835" w:rsidR="009344DE" w:rsidRPr="005F0CE8" w:rsidRDefault="009344DE" w:rsidP="00CB4CFB">
      <w:pPr>
        <w:pStyle w:val="ListParagraph"/>
        <w:widowControl w:val="0"/>
        <w:numPr>
          <w:ilvl w:val="1"/>
          <w:numId w:val="17"/>
        </w:numPr>
        <w:ind w:left="1560" w:hanging="426"/>
      </w:pPr>
      <w:r w:rsidRPr="005F0CE8">
        <w:t xml:space="preserve">A price reduction to result in an ICER of </w:t>
      </w:r>
      <w:r w:rsidR="00DE749B" w:rsidRPr="005F0CE8">
        <w:t>approximately</w:t>
      </w:r>
      <w:r w:rsidRPr="005F0CE8">
        <w:t xml:space="preserve"> $</w:t>
      </w:r>
      <w:r w:rsidR="00795856" w:rsidRPr="005F0CE8">
        <w:t>35</w:t>
      </w:r>
      <w:r w:rsidRPr="005F0CE8">
        <w:t>,000/QALY gained (paragraph</w:t>
      </w:r>
      <w:r w:rsidR="00795856" w:rsidRPr="005F0CE8">
        <w:t xml:space="preserve"> </w:t>
      </w:r>
      <w:r w:rsidR="00795856" w:rsidRPr="005F0CE8">
        <w:fldChar w:fldCharType="begin"/>
      </w:r>
      <w:r w:rsidR="00795856" w:rsidRPr="005F0CE8">
        <w:instrText xml:space="preserve"> REF _Ref130330368 \r \h </w:instrText>
      </w:r>
      <w:r w:rsidR="00795856" w:rsidRPr="005F0CE8">
        <w:fldChar w:fldCharType="separate"/>
      </w:r>
      <w:r w:rsidR="00AB6006">
        <w:t>7.12</w:t>
      </w:r>
      <w:r w:rsidR="00795856" w:rsidRPr="005F0CE8">
        <w:fldChar w:fldCharType="end"/>
      </w:r>
      <w:r w:rsidRPr="005F0CE8">
        <w:t>).</w:t>
      </w:r>
    </w:p>
    <w:p w14:paraId="4DE2DF50" w14:textId="65BC51D5" w:rsidR="009344DE" w:rsidRPr="005F0CE8" w:rsidRDefault="009344DE" w:rsidP="00CB4CFB">
      <w:pPr>
        <w:pStyle w:val="BulletBodyText"/>
      </w:pPr>
      <w:r w:rsidRPr="005F0CE8">
        <w:t xml:space="preserve">Recalculation of the financial implications using revised </w:t>
      </w:r>
      <w:r w:rsidR="00795856" w:rsidRPr="005F0CE8">
        <w:t xml:space="preserve">inputs as discussed in paragraph </w:t>
      </w:r>
      <w:r w:rsidR="00795856" w:rsidRPr="005F0CE8">
        <w:fldChar w:fldCharType="begin"/>
      </w:r>
      <w:r w:rsidR="00795856" w:rsidRPr="005F0CE8">
        <w:instrText xml:space="preserve"> REF _Ref130330486 \r \h </w:instrText>
      </w:r>
      <w:r w:rsidR="001B189E">
        <w:instrText xml:space="preserve"> \* MERGEFORMAT </w:instrText>
      </w:r>
      <w:r w:rsidR="00795856" w:rsidRPr="005F0CE8">
        <w:fldChar w:fldCharType="separate"/>
      </w:r>
      <w:r w:rsidR="00AB6006">
        <w:t>7.14</w:t>
      </w:r>
      <w:r w:rsidR="00795856" w:rsidRPr="005F0CE8">
        <w:fldChar w:fldCharType="end"/>
      </w:r>
      <w:r w:rsidR="00795856" w:rsidRPr="005F0CE8">
        <w:t xml:space="preserve"> and revised </w:t>
      </w:r>
      <w:r w:rsidRPr="005F0CE8">
        <w:t>olaparib price.</w:t>
      </w:r>
    </w:p>
    <w:p w14:paraId="31A6BB8C" w14:textId="77777777" w:rsidR="000E4C0E" w:rsidRPr="005F0CE8" w:rsidRDefault="000E4C0E" w:rsidP="00477BB3">
      <w:pPr>
        <w:pStyle w:val="3-BodyText"/>
      </w:pPr>
      <w:r w:rsidRPr="005F0CE8">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10C64CDD" w14:textId="1942A779" w:rsidR="00CC5589" w:rsidRPr="005F0CE8" w:rsidRDefault="00CC5589" w:rsidP="00477BB3">
      <w:pPr>
        <w:pStyle w:val="3-BodyText"/>
      </w:pPr>
      <w:r w:rsidRPr="005F0CE8">
        <w:t>The PBAC noted that patients with de</w:t>
      </w:r>
      <w:r w:rsidR="00480928">
        <w:t xml:space="preserve"> </w:t>
      </w:r>
      <w:r w:rsidRPr="005F0CE8">
        <w:t xml:space="preserve">novo metastatic disease (roughly 5% to 15% of BRCA-positive patients in Australia) would not be able to access olaparib under the proposed listing (see paragraph </w:t>
      </w:r>
      <w:r w:rsidRPr="005F0CE8">
        <w:fldChar w:fldCharType="begin"/>
      </w:r>
      <w:r w:rsidRPr="005F0CE8">
        <w:instrText xml:space="preserve"> REF _Ref127522551 \r \h </w:instrText>
      </w:r>
      <w:r w:rsidRPr="005F0CE8">
        <w:fldChar w:fldCharType="separate"/>
      </w:r>
      <w:r w:rsidR="00AB6006">
        <w:t>2.7</w:t>
      </w:r>
      <w:r w:rsidRPr="005F0CE8">
        <w:fldChar w:fldCharType="end"/>
      </w:r>
      <w:r w:rsidRPr="005F0CE8">
        <w:t>). The PBAC noted that cost-effectiveness has not been assessed in this population and that the sponsor would need to lodge a PBAC submission to request listing of olaparib in the metast</w:t>
      </w:r>
      <w:r w:rsidR="0063228C" w:rsidRPr="005F0CE8">
        <w:t>at</w:t>
      </w:r>
      <w:r w:rsidRPr="005F0CE8">
        <w:t xml:space="preserve">ic breast cancer setting to support appropriate consideration of this request. The PBAC noted that the implications to the MBS would need to be considered (see paragraph </w:t>
      </w:r>
      <w:r w:rsidRPr="005F0CE8">
        <w:fldChar w:fldCharType="begin"/>
      </w:r>
      <w:r w:rsidRPr="005F0CE8">
        <w:instrText xml:space="preserve"> REF _Ref130301834 \r \h </w:instrText>
      </w:r>
      <w:r w:rsidRPr="005F0CE8">
        <w:fldChar w:fldCharType="separate"/>
      </w:r>
      <w:r w:rsidR="00AB6006">
        <w:t>2.10</w:t>
      </w:r>
      <w:r w:rsidRPr="005F0CE8">
        <w:fldChar w:fldCharType="end"/>
      </w:r>
      <w:r w:rsidRPr="005F0CE8">
        <w:t xml:space="preserve">) and that the sponsor should seek advice from the </w:t>
      </w:r>
      <w:r w:rsidR="00E0132D" w:rsidRPr="005F0CE8">
        <w:t>Department</w:t>
      </w:r>
      <w:r w:rsidRPr="005F0CE8">
        <w:t xml:space="preserve"> if intending to lodge a submission.</w:t>
      </w:r>
    </w:p>
    <w:p w14:paraId="6E8001E3" w14:textId="2E2A0181" w:rsidR="000E4C0E" w:rsidRPr="005F0CE8" w:rsidRDefault="000E4C0E" w:rsidP="00477BB3">
      <w:pPr>
        <w:pStyle w:val="3-BodyText"/>
      </w:pPr>
      <w:r w:rsidRPr="005F0CE8">
        <w:t xml:space="preserve">The PBAC noted several concerns with the proposed restrictions as described in paragraph </w:t>
      </w:r>
      <w:r w:rsidRPr="005F0CE8">
        <w:fldChar w:fldCharType="begin"/>
      </w:r>
      <w:r w:rsidRPr="005F0CE8">
        <w:instrText xml:space="preserve"> REF _Ref130332588 \r \h </w:instrText>
      </w:r>
      <w:r w:rsidR="00A428CF">
        <w:instrText xml:space="preserve"> \* MERGEFORMAT </w:instrText>
      </w:r>
      <w:r w:rsidRPr="005F0CE8">
        <w:fldChar w:fldCharType="separate"/>
      </w:r>
      <w:r w:rsidR="00AB6006">
        <w:t>3.12</w:t>
      </w:r>
      <w:r w:rsidRPr="005F0CE8">
        <w:fldChar w:fldCharType="end"/>
      </w:r>
      <w:r w:rsidRPr="005F0CE8">
        <w:t>.</w:t>
      </w:r>
    </w:p>
    <w:p w14:paraId="4DC4E271" w14:textId="523419CB" w:rsidR="00C86D25" w:rsidRPr="005F0CE8" w:rsidRDefault="00CC5589" w:rsidP="00477BB3">
      <w:pPr>
        <w:pStyle w:val="3-BodyText"/>
      </w:pPr>
      <w:r w:rsidRPr="005F0CE8">
        <w:t>The PBAC noted that this submission is eligible for an Independent Review.</w:t>
      </w:r>
      <w:bookmarkStart w:id="133" w:name="_Hlk130331306"/>
      <w:bookmarkEnd w:id="124"/>
    </w:p>
    <w:bookmarkEnd w:id="133"/>
    <w:p w14:paraId="181CA599" w14:textId="77777777" w:rsidR="00B7644D" w:rsidRPr="005F0CE8" w:rsidRDefault="00B7644D" w:rsidP="00D003D0">
      <w:pPr>
        <w:keepNext/>
        <w:spacing w:before="240"/>
        <w:rPr>
          <w:rFonts w:asciiTheme="minorHAnsi" w:hAnsiTheme="minorHAnsi"/>
          <w:b/>
          <w:bCs/>
          <w:snapToGrid w:val="0"/>
        </w:rPr>
      </w:pPr>
      <w:r w:rsidRPr="005F0CE8">
        <w:rPr>
          <w:rFonts w:asciiTheme="minorHAnsi" w:hAnsiTheme="minorHAnsi"/>
          <w:b/>
          <w:bCs/>
          <w:snapToGrid w:val="0"/>
        </w:rPr>
        <w:t>Outcome:</w:t>
      </w:r>
    </w:p>
    <w:p w14:paraId="1A99A6CC" w14:textId="0CBC6DDF" w:rsidR="004416C5" w:rsidRDefault="00B7644D" w:rsidP="00D003D0">
      <w:pPr>
        <w:rPr>
          <w:rFonts w:asciiTheme="minorHAnsi" w:hAnsiTheme="minorHAnsi"/>
          <w:bCs/>
          <w:snapToGrid w:val="0"/>
        </w:rPr>
      </w:pPr>
      <w:r w:rsidRPr="005F0CE8">
        <w:rPr>
          <w:rFonts w:asciiTheme="minorHAnsi" w:hAnsiTheme="minorHAnsi"/>
          <w:bCs/>
          <w:snapToGrid w:val="0"/>
        </w:rPr>
        <w:t xml:space="preserve">Not recommended </w:t>
      </w:r>
      <w:bookmarkEnd w:id="122"/>
      <w:bookmarkEnd w:id="123"/>
    </w:p>
    <w:p w14:paraId="3670BE90" w14:textId="69D730DF" w:rsidR="004416C5" w:rsidRDefault="004416C5" w:rsidP="004416C5">
      <w:pPr>
        <w:pStyle w:val="2-SectionHeading"/>
        <w:rPr>
          <w:bCs/>
          <w:lang w:val="en-GB"/>
        </w:rPr>
      </w:pPr>
      <w:bookmarkStart w:id="134" w:name="_Hlk134786199"/>
      <w:r w:rsidRPr="00C07617">
        <w:t>Context for Decision</w:t>
      </w:r>
    </w:p>
    <w:p w14:paraId="1E4B71AE" w14:textId="77777777" w:rsidR="004416C5" w:rsidRPr="007129F2" w:rsidRDefault="004416C5" w:rsidP="004416C5">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F54F21B" w14:textId="39E61112" w:rsidR="004416C5" w:rsidRPr="00C07617" w:rsidRDefault="004416C5" w:rsidP="004416C5">
      <w:pPr>
        <w:pStyle w:val="2-SectionHeading"/>
      </w:pPr>
      <w:r>
        <w:t>Sponsor’s Comment</w:t>
      </w:r>
    </w:p>
    <w:p w14:paraId="1594929C" w14:textId="563A796B" w:rsidR="004416C5" w:rsidRPr="00A428CF" w:rsidRDefault="004416C5" w:rsidP="003B428B">
      <w:pPr>
        <w:spacing w:after="120"/>
        <w:ind w:firstLine="720"/>
        <w:rPr>
          <w:rFonts w:asciiTheme="minorHAnsi" w:hAnsiTheme="minorHAnsi"/>
          <w:bCs/>
          <w:snapToGrid w:val="0"/>
        </w:rPr>
      </w:pPr>
      <w:r w:rsidRPr="00C07617">
        <w:rPr>
          <w:rFonts w:asciiTheme="minorHAnsi" w:hAnsiTheme="minorHAnsi"/>
          <w:bCs/>
        </w:rPr>
        <w:t>The sponsor had no comment.</w:t>
      </w:r>
      <w:bookmarkEnd w:id="134"/>
    </w:p>
    <w:sectPr w:rsidR="004416C5" w:rsidRPr="00A428CF" w:rsidSect="001F5FE2">
      <w:headerReference w:type="default" r:id="rId13"/>
      <w:footerReference w:type="default" r:id="rId14"/>
      <w:endnotePr>
        <w:numFmt w:val="decimal"/>
      </w:endnotePr>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19DA" w14:textId="77777777" w:rsidR="00964A9F" w:rsidRDefault="00964A9F" w:rsidP="00124A51">
      <w:r>
        <w:separator/>
      </w:r>
    </w:p>
    <w:p w14:paraId="2EE3819C" w14:textId="77777777" w:rsidR="00964A9F" w:rsidRDefault="00964A9F"/>
  </w:endnote>
  <w:endnote w:type="continuationSeparator" w:id="0">
    <w:p w14:paraId="5B4D6196" w14:textId="77777777" w:rsidR="00964A9F" w:rsidRDefault="00964A9F" w:rsidP="00124A51">
      <w:r>
        <w:continuationSeparator/>
      </w:r>
    </w:p>
    <w:p w14:paraId="42A59BF9" w14:textId="77777777" w:rsidR="00964A9F" w:rsidRDefault="00964A9F"/>
  </w:endnote>
  <w:endnote w:type="continuationNotice" w:id="1">
    <w:p w14:paraId="28992617" w14:textId="77777777" w:rsidR="00964A9F" w:rsidRDefault="00964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hnschrift SemiLigh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20B7" w14:textId="77777777" w:rsidR="001E5C5F" w:rsidRDefault="001E5C5F" w:rsidP="001E5C5F">
    <w:pPr>
      <w:pStyle w:val="Footer"/>
    </w:pPr>
  </w:p>
  <w:bookmarkStart w:id="136" w:name="_Hlk76375156"/>
  <w:p w14:paraId="4128D726" w14:textId="10A90F3D" w:rsidR="00053932" w:rsidRPr="001E5C5F" w:rsidRDefault="001E5C5F" w:rsidP="001E5C5F">
    <w:pPr>
      <w:pStyle w:val="Footer"/>
      <w:keepNext/>
      <w:ind w:left="360"/>
      <w:jc w:val="center"/>
      <w:rPr>
        <w:rFonts w:asciiTheme="minorHAnsi" w:hAnsiTheme="minorHAnsi"/>
      </w:rPr>
    </w:pPr>
    <w:r>
      <w:rPr>
        <w:b/>
      </w:rPr>
      <w:fldChar w:fldCharType="begin"/>
    </w:r>
    <w:r>
      <w:rPr>
        <w:b/>
      </w:rPr>
      <w:instrText xml:space="preserve"> PAGE   \* MERGEFORMAT </w:instrText>
    </w:r>
    <w:r>
      <w:rPr>
        <w:b/>
      </w:rPr>
      <w:fldChar w:fldCharType="separate"/>
    </w:r>
    <w:r>
      <w:rPr>
        <w:b/>
      </w:rPr>
      <w:t>1</w:t>
    </w:r>
    <w:r>
      <w:rPr>
        <w:b/>
        <w:noProof/>
      </w:rPr>
      <w:fldChar w:fldCharType="end"/>
    </w:r>
    <w:bookmarkEnd w:id="1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E2BA" w14:textId="77777777" w:rsidR="00964A9F" w:rsidRDefault="00964A9F" w:rsidP="00124A51">
      <w:r>
        <w:separator/>
      </w:r>
    </w:p>
  </w:footnote>
  <w:footnote w:type="continuationSeparator" w:id="0">
    <w:p w14:paraId="0CC33B62" w14:textId="77777777" w:rsidR="00964A9F" w:rsidRDefault="00964A9F" w:rsidP="00124A51">
      <w:r>
        <w:continuationSeparator/>
      </w:r>
    </w:p>
    <w:p w14:paraId="38C9CF9B" w14:textId="77777777" w:rsidR="00964A9F" w:rsidRDefault="00964A9F"/>
  </w:footnote>
  <w:footnote w:type="continuationNotice" w:id="1">
    <w:p w14:paraId="563B9C2F" w14:textId="77777777" w:rsidR="00964A9F" w:rsidRDefault="00964A9F"/>
  </w:footnote>
  <w:footnote w:id="2">
    <w:p w14:paraId="77075F00" w14:textId="77777777" w:rsidR="00053932" w:rsidRPr="00D7387E" w:rsidRDefault="00053932" w:rsidP="00AF5FC8">
      <w:pPr>
        <w:keepNext/>
        <w:keepLines/>
        <w:contextualSpacing/>
        <w:jc w:val="left"/>
        <w:rPr>
          <w:rFonts w:ascii="Arial Narrow" w:hAnsi="Arial Narrow"/>
          <w:sz w:val="18"/>
          <w:szCs w:val="18"/>
        </w:rPr>
      </w:pPr>
      <w:r w:rsidRPr="00D7387E">
        <w:rPr>
          <w:rStyle w:val="FootnoteReference"/>
          <w:rFonts w:ascii="Arial Narrow" w:hAnsi="Arial Narrow"/>
          <w:sz w:val="18"/>
          <w:szCs w:val="18"/>
        </w:rPr>
        <w:footnoteRef/>
      </w:r>
      <w:r w:rsidRPr="00D7387E">
        <w:rPr>
          <w:rFonts w:ascii="Arial Narrow" w:hAnsi="Arial Narrow"/>
          <w:sz w:val="18"/>
          <w:szCs w:val="18"/>
        </w:rPr>
        <w:t xml:space="preserve"> eBC with a high risk of recurrence is defined as any of the following: </w:t>
      </w:r>
    </w:p>
    <w:p w14:paraId="058286FC" w14:textId="2FB3AE06" w:rsidR="00053932" w:rsidRPr="00D7387E" w:rsidRDefault="00053932" w:rsidP="00AF5FC8">
      <w:pPr>
        <w:pStyle w:val="ListParagraph"/>
        <w:keepNext/>
        <w:keepLines/>
        <w:numPr>
          <w:ilvl w:val="0"/>
          <w:numId w:val="13"/>
        </w:numPr>
        <w:ind w:left="567"/>
        <w:contextualSpacing/>
        <w:jc w:val="left"/>
        <w:rPr>
          <w:rFonts w:ascii="Arial Narrow" w:hAnsi="Arial Narrow"/>
          <w:color w:val="333333"/>
          <w:sz w:val="18"/>
          <w:szCs w:val="18"/>
        </w:rPr>
      </w:pPr>
      <w:r w:rsidRPr="00D7387E">
        <w:rPr>
          <w:rFonts w:ascii="Arial Narrow" w:hAnsi="Arial Narrow"/>
          <w:color w:val="333333"/>
          <w:sz w:val="18"/>
          <w:szCs w:val="18"/>
        </w:rPr>
        <w:t>Triple negative breast cancer patient who had received prior neoadjuvant chemotherapy must have had residual invasive cancer in the breast and/or resected lymph nodes</w:t>
      </w:r>
      <w:r>
        <w:rPr>
          <w:rFonts w:ascii="Arial Narrow" w:hAnsi="Arial Narrow"/>
          <w:color w:val="333333"/>
          <w:sz w:val="18"/>
          <w:szCs w:val="18"/>
        </w:rPr>
        <w:t>,</w:t>
      </w:r>
      <w:r w:rsidRPr="00D7387E">
        <w:rPr>
          <w:rFonts w:ascii="Arial Narrow" w:hAnsi="Arial Narrow"/>
          <w:color w:val="333333"/>
          <w:sz w:val="18"/>
          <w:szCs w:val="18"/>
        </w:rPr>
        <w:t xml:space="preserve"> </w:t>
      </w:r>
    </w:p>
    <w:p w14:paraId="6306F8D1" w14:textId="64C5CA21" w:rsidR="00053932" w:rsidRPr="00D7387E" w:rsidRDefault="00053932" w:rsidP="00AF5FC8">
      <w:pPr>
        <w:pStyle w:val="ListParagraph"/>
        <w:keepNext/>
        <w:keepLines/>
        <w:numPr>
          <w:ilvl w:val="0"/>
          <w:numId w:val="13"/>
        </w:numPr>
        <w:spacing w:after="0"/>
        <w:ind w:left="567"/>
        <w:contextualSpacing/>
        <w:jc w:val="left"/>
        <w:rPr>
          <w:rFonts w:ascii="Arial Narrow" w:hAnsi="Arial Narrow"/>
          <w:color w:val="333333"/>
          <w:sz w:val="18"/>
          <w:szCs w:val="18"/>
        </w:rPr>
      </w:pPr>
      <w:r w:rsidRPr="00D7387E">
        <w:rPr>
          <w:rFonts w:ascii="Arial Narrow" w:hAnsi="Arial Narrow"/>
          <w:color w:val="333333"/>
          <w:sz w:val="18"/>
          <w:szCs w:val="18"/>
        </w:rPr>
        <w:t>Hormone receptor positive, HER2-negative, patient who had received prior neoadjuvant chemotherapy must have had residual invasive cancer in the breast and/or resected lymph nodes</w:t>
      </w:r>
      <w:r>
        <w:rPr>
          <w:rFonts w:ascii="Arial Narrow" w:hAnsi="Arial Narrow"/>
          <w:color w:val="333333"/>
          <w:sz w:val="18"/>
          <w:szCs w:val="18"/>
        </w:rPr>
        <w:t>,</w:t>
      </w:r>
    </w:p>
    <w:p w14:paraId="7ADCF1AF" w14:textId="09D1A5F3" w:rsidR="00053932" w:rsidRPr="00D7387E" w:rsidRDefault="00053932" w:rsidP="00AF5FC8">
      <w:pPr>
        <w:pStyle w:val="ListParagraph"/>
        <w:keepNext/>
        <w:keepLines/>
        <w:numPr>
          <w:ilvl w:val="0"/>
          <w:numId w:val="13"/>
        </w:numPr>
        <w:spacing w:after="0"/>
        <w:ind w:left="567"/>
        <w:contextualSpacing/>
        <w:jc w:val="left"/>
        <w:rPr>
          <w:rFonts w:ascii="Arial Narrow" w:hAnsi="Arial Narrow"/>
          <w:color w:val="333333"/>
          <w:sz w:val="18"/>
          <w:szCs w:val="18"/>
        </w:rPr>
      </w:pPr>
      <w:r w:rsidRPr="00D7387E">
        <w:rPr>
          <w:rFonts w:ascii="Arial Narrow" w:hAnsi="Arial Narrow"/>
          <w:color w:val="333333"/>
          <w:sz w:val="18"/>
          <w:szCs w:val="18"/>
        </w:rPr>
        <w:t xml:space="preserve">Triple negative breast cancer patient who had received prior adjuvant chemotherapy must have had node positive disease or primary tumour greater than 20 mm, </w:t>
      </w:r>
      <w:r>
        <w:rPr>
          <w:rFonts w:ascii="Arial Narrow" w:hAnsi="Arial Narrow"/>
          <w:color w:val="333333"/>
          <w:sz w:val="18"/>
          <w:szCs w:val="18"/>
        </w:rPr>
        <w:t>or</w:t>
      </w:r>
    </w:p>
    <w:p w14:paraId="3840B027" w14:textId="12E83253" w:rsidR="00053932" w:rsidRDefault="00053932" w:rsidP="00AF5FC8">
      <w:pPr>
        <w:pStyle w:val="ListBullet"/>
        <w:numPr>
          <w:ilvl w:val="0"/>
          <w:numId w:val="13"/>
        </w:numPr>
        <w:ind w:left="567"/>
      </w:pPr>
      <w:r w:rsidRPr="00A04A2D">
        <w:rPr>
          <w:rFonts w:ascii="Arial Narrow" w:hAnsi="Arial Narrow"/>
          <w:sz w:val="18"/>
          <w:szCs w:val="18"/>
        </w:rPr>
        <w:t>Hormone receptor positive, HER2-negative, patient who had received prior adjuvant chemotherapy must have had 4 or more positive lymph nodes</w:t>
      </w:r>
      <w:r>
        <w:rPr>
          <w:rFonts w:ascii="Arial Narrow" w:hAnsi="Arial Narrow"/>
          <w:sz w:val="18"/>
          <w:szCs w:val="18"/>
        </w:rPr>
        <w:t>.</w:t>
      </w:r>
    </w:p>
  </w:footnote>
  <w:footnote w:id="3">
    <w:p w14:paraId="5EB968E0" w14:textId="2350428E" w:rsidR="007B3F2D" w:rsidRDefault="007B3F2D">
      <w:pPr>
        <w:pStyle w:val="FootnoteText"/>
      </w:pPr>
      <w:r w:rsidRPr="004B5B94">
        <w:rPr>
          <w:rFonts w:ascii="Arial Narrow" w:hAnsi="Arial Narrow"/>
          <w:sz w:val="18"/>
          <w:szCs w:val="18"/>
          <w:vertAlign w:val="superscript"/>
        </w:rPr>
        <w:footnoteRef/>
      </w:r>
      <w:r w:rsidRPr="007B3F2D">
        <w:rPr>
          <w:rFonts w:ascii="Arial Narrow" w:hAnsi="Arial Narrow"/>
          <w:sz w:val="18"/>
          <w:szCs w:val="18"/>
        </w:rPr>
        <w:t xml:space="preserve"> LBA29 - Final overall survival (OS) results from the phase III PAOLA-1/ENGOT-ov25 trial evaluating maintenance olaparib (ola) plus bevacizumab (bev) in patients (pts) with newly diagnosed advanced ovarian cancer (AOC). Annals of Oncology (2022) 33 (suppl_7): S808-S869. 10.1016/annonc/annonc1089. </w:t>
      </w:r>
      <w:hyperlink r:id="rId1" w:history="1">
        <w:r w:rsidRPr="007B3F2D">
          <w:rPr>
            <w:rFonts w:ascii="Arial Narrow" w:hAnsi="Arial Narrow"/>
            <w:sz w:val="18"/>
            <w:szCs w:val="18"/>
          </w:rPr>
          <w:t>https://oncologypro.esmo.org/meeting-resources/esmo-congress/final-overall-survival-os-results-from-the-phase-iii-paola-1-engot-ov25-trial-evaluating-maintenance-olaparib-ola-plus-bevacizumab-bev-in-pat</w:t>
        </w:r>
      </w:hyperlink>
    </w:p>
  </w:footnote>
  <w:footnote w:id="4">
    <w:p w14:paraId="72DCFD16" w14:textId="4045E22C" w:rsidR="007B3F2D" w:rsidRDefault="007B3F2D">
      <w:pPr>
        <w:pStyle w:val="FootnoteText"/>
      </w:pPr>
      <w:r w:rsidRPr="007B3F2D">
        <w:rPr>
          <w:rFonts w:ascii="Arial Narrow" w:hAnsi="Arial Narrow"/>
          <w:sz w:val="18"/>
          <w:szCs w:val="18"/>
        </w:rPr>
        <w:footnoteRef/>
      </w:r>
      <w:r w:rsidRPr="007B3F2D">
        <w:rPr>
          <w:rFonts w:ascii="Arial Narrow" w:hAnsi="Arial Narrow"/>
          <w:sz w:val="18"/>
          <w:szCs w:val="18"/>
        </w:rPr>
        <w:t xml:space="preserve"> Geyer CE. Overall survival in the OlympiA phase III trial of adjuvant olaparib in patients with germline pathogenic variants in </w:t>
      </w:r>
      <w:r w:rsidR="00BA3A25" w:rsidRPr="00BA3A25">
        <w:rPr>
          <w:rFonts w:ascii="Arial Narrow" w:hAnsi="Arial Narrow"/>
          <w:i/>
          <w:sz w:val="18"/>
          <w:szCs w:val="18"/>
        </w:rPr>
        <w:t>BRCA</w:t>
      </w:r>
      <w:r w:rsidRPr="007B3F2D">
        <w:rPr>
          <w:rFonts w:ascii="Arial Narrow" w:hAnsi="Arial Narrow"/>
          <w:sz w:val="18"/>
          <w:szCs w:val="18"/>
        </w:rPr>
        <w:t>1/2 and high-risk, early breast cancer. Ann Oncol. 2022 Dec;33(12):1250-1268. doi: 10.1016/j.annonc.2022.09.159. Epub 2022 Oct 10. PMID: 36228963.</w:t>
      </w:r>
    </w:p>
  </w:footnote>
  <w:footnote w:id="5">
    <w:p w14:paraId="630756E1" w14:textId="0A6E0F9B" w:rsidR="00053932" w:rsidRPr="00486DED" w:rsidRDefault="00053932" w:rsidP="00486DED">
      <w:r>
        <w:rPr>
          <w:rStyle w:val="FootnoteReference"/>
        </w:rPr>
        <w:footnoteRef/>
      </w:r>
      <w:r>
        <w:rPr>
          <w:rFonts w:ascii="Arial Narrow" w:hAnsi="Arial Narrow"/>
          <w:sz w:val="18"/>
          <w:szCs w:val="18"/>
        </w:rPr>
        <w:t xml:space="preserve"> </w:t>
      </w:r>
      <w:r w:rsidRPr="00486DED">
        <w:rPr>
          <w:rFonts w:ascii="Arial Narrow" w:hAnsi="Arial Narrow"/>
          <w:sz w:val="18"/>
          <w:szCs w:val="18"/>
        </w:rPr>
        <w:t>Health, A. I. o. and Welfare (2021). Cancer in Australia 2021. Canberra, AIHW.</w:t>
      </w:r>
    </w:p>
  </w:footnote>
  <w:footnote w:id="6">
    <w:p w14:paraId="7CEE245F" w14:textId="3B5951F3" w:rsidR="00053932" w:rsidRDefault="00053932" w:rsidP="00486DED">
      <w:r w:rsidRPr="0083096C">
        <w:rPr>
          <w:rStyle w:val="FootnoteReference"/>
          <w:rFonts w:ascii="Arial Narrow" w:hAnsi="Arial Narrow"/>
          <w:sz w:val="18"/>
          <w:szCs w:val="18"/>
        </w:rPr>
        <w:footnoteRef/>
      </w:r>
      <w:r>
        <w:rPr>
          <w:rFonts w:ascii="Arial Narrow" w:hAnsi="Arial Narrow"/>
          <w:sz w:val="18"/>
          <w:szCs w:val="18"/>
        </w:rPr>
        <w:t xml:space="preserve"> </w:t>
      </w:r>
      <w:r w:rsidRPr="00486DED">
        <w:rPr>
          <w:rFonts w:ascii="Arial Narrow" w:hAnsi="Arial Narrow"/>
          <w:sz w:val="18"/>
          <w:szCs w:val="18"/>
        </w:rPr>
        <w:t>Pourzand, A., M. B. Fakhree, S. Hashemzadeh, M. Halimi and A. Daryani (2011). "Hormone receptor status in breast cancer and its relation to age and other prognostic factors." Breast Cancer (Auckl) 5: 87-92.</w:t>
      </w:r>
    </w:p>
  </w:footnote>
  <w:footnote w:id="7">
    <w:p w14:paraId="00B5A957" w14:textId="772E1F73" w:rsidR="00053932" w:rsidRPr="0083096C" w:rsidRDefault="00053932">
      <w:pPr>
        <w:pStyle w:val="FootnoteText"/>
        <w:rPr>
          <w:rFonts w:ascii="Arial Narrow" w:hAnsi="Arial Narrow"/>
          <w:sz w:val="18"/>
          <w:szCs w:val="18"/>
        </w:rPr>
      </w:pPr>
      <w:r>
        <w:rPr>
          <w:rStyle w:val="FootnoteReference"/>
        </w:rPr>
        <w:footnoteRef/>
      </w:r>
      <w:r>
        <w:rPr>
          <w:rFonts w:ascii="Arial Narrow" w:hAnsi="Arial Narrow"/>
          <w:sz w:val="18"/>
          <w:szCs w:val="18"/>
        </w:rPr>
        <w:t xml:space="preserve"> </w:t>
      </w:r>
      <w:r w:rsidRPr="00486DED">
        <w:rPr>
          <w:rFonts w:ascii="Arial Narrow" w:hAnsi="Arial Narrow"/>
          <w:sz w:val="18"/>
          <w:szCs w:val="18"/>
        </w:rPr>
        <w:t>Diana, A., F. Carlino, E. Franzese, O. Oikonomidou, C. Criscitiello, F. De Vita, F. Ciardiello and M. Orditura (2020). "Early Triple Negative Breast Cancer: Conventional Treatment and Emerging Therapeutic Landscapes." Cancers (Basel) 12(4)</w:t>
      </w:r>
    </w:p>
  </w:footnote>
  <w:footnote w:id="8">
    <w:p w14:paraId="058B711C" w14:textId="645A5BBC" w:rsidR="00053932" w:rsidRPr="00486DED" w:rsidRDefault="00053932" w:rsidP="00486DED">
      <w:r>
        <w:rPr>
          <w:rStyle w:val="FootnoteReference"/>
        </w:rPr>
        <w:footnoteRef/>
      </w:r>
      <w:r>
        <w:rPr>
          <w:rFonts w:ascii="Arial Narrow" w:hAnsi="Arial Narrow"/>
          <w:sz w:val="18"/>
          <w:szCs w:val="18"/>
        </w:rPr>
        <w:t xml:space="preserve"> </w:t>
      </w:r>
      <w:r w:rsidRPr="00486DED">
        <w:rPr>
          <w:rFonts w:ascii="Arial Narrow" w:hAnsi="Arial Narrow"/>
          <w:sz w:val="18"/>
          <w:szCs w:val="18"/>
        </w:rPr>
        <w:t xml:space="preserve">Mehrgou, A. and M. Akouchekian (2016). "The importance of </w:t>
      </w:r>
      <w:r w:rsidR="00BA3A25" w:rsidRPr="00BA3A25">
        <w:rPr>
          <w:rFonts w:ascii="Arial Narrow" w:hAnsi="Arial Narrow"/>
          <w:i/>
          <w:sz w:val="18"/>
          <w:szCs w:val="18"/>
        </w:rPr>
        <w:t>BRCA</w:t>
      </w:r>
      <w:r w:rsidRPr="00486DED">
        <w:rPr>
          <w:rFonts w:ascii="Arial Narrow" w:hAnsi="Arial Narrow"/>
          <w:sz w:val="18"/>
          <w:szCs w:val="18"/>
        </w:rPr>
        <w:t xml:space="preserve">1 and </w:t>
      </w:r>
      <w:r w:rsidR="00BA3A25" w:rsidRPr="00BA3A25">
        <w:rPr>
          <w:rFonts w:ascii="Arial Narrow" w:hAnsi="Arial Narrow"/>
          <w:i/>
          <w:sz w:val="18"/>
          <w:szCs w:val="18"/>
        </w:rPr>
        <w:t>BRCA</w:t>
      </w:r>
      <w:r w:rsidRPr="00486DED">
        <w:rPr>
          <w:rFonts w:ascii="Arial Narrow" w:hAnsi="Arial Narrow"/>
          <w:sz w:val="18"/>
          <w:szCs w:val="18"/>
        </w:rPr>
        <w:t>2 genes mutations in breast cancer development." Med J Islam Repub Iran 30: 369.</w:t>
      </w:r>
    </w:p>
  </w:footnote>
  <w:footnote w:id="9">
    <w:p w14:paraId="6BB7C1D1" w14:textId="77777777" w:rsidR="00053932" w:rsidRPr="00D7387E" w:rsidRDefault="00053932" w:rsidP="00D942FE">
      <w:pPr>
        <w:keepNext/>
        <w:keepLines/>
        <w:contextualSpacing/>
        <w:jc w:val="left"/>
        <w:rPr>
          <w:rFonts w:ascii="Arial Narrow" w:hAnsi="Arial Narrow"/>
          <w:sz w:val="18"/>
          <w:szCs w:val="18"/>
        </w:rPr>
      </w:pPr>
      <w:r>
        <w:rPr>
          <w:rStyle w:val="FootnoteReference"/>
        </w:rPr>
        <w:footnoteRef/>
      </w:r>
      <w:r>
        <w:t xml:space="preserve"> </w:t>
      </w:r>
      <w:r w:rsidRPr="00D7387E">
        <w:rPr>
          <w:rFonts w:ascii="Arial Narrow" w:hAnsi="Arial Narrow"/>
          <w:sz w:val="18"/>
          <w:szCs w:val="18"/>
        </w:rPr>
        <w:t xml:space="preserve">eBC with a high risk of recurrence is defined as any of the following: </w:t>
      </w:r>
    </w:p>
    <w:p w14:paraId="03936C36" w14:textId="1F084AB1" w:rsidR="00053932" w:rsidRPr="00D7387E" w:rsidRDefault="00053932" w:rsidP="00BA51B7">
      <w:pPr>
        <w:pStyle w:val="ListParagraph"/>
        <w:keepNext/>
        <w:keepLines/>
        <w:numPr>
          <w:ilvl w:val="0"/>
          <w:numId w:val="12"/>
        </w:numPr>
        <w:ind w:left="851"/>
        <w:contextualSpacing/>
        <w:jc w:val="left"/>
        <w:rPr>
          <w:rFonts w:ascii="Arial Narrow" w:hAnsi="Arial Narrow"/>
          <w:color w:val="333333"/>
          <w:sz w:val="18"/>
          <w:szCs w:val="18"/>
        </w:rPr>
      </w:pPr>
      <w:r w:rsidRPr="00D7387E">
        <w:rPr>
          <w:rFonts w:ascii="Arial Narrow" w:hAnsi="Arial Narrow"/>
          <w:color w:val="333333"/>
          <w:sz w:val="18"/>
          <w:szCs w:val="18"/>
        </w:rPr>
        <w:t>Triple negative breast cancer patient who had received prior neoadjuvant chemotherapy must have had residual invasive cancer in the breast and/or resected lymph nodes</w:t>
      </w:r>
      <w:r>
        <w:rPr>
          <w:rFonts w:ascii="Arial Narrow" w:hAnsi="Arial Narrow"/>
          <w:color w:val="333333"/>
          <w:sz w:val="18"/>
          <w:szCs w:val="18"/>
        </w:rPr>
        <w:t>,</w:t>
      </w:r>
      <w:r w:rsidRPr="00D7387E">
        <w:rPr>
          <w:rFonts w:ascii="Arial Narrow" w:hAnsi="Arial Narrow"/>
          <w:color w:val="333333"/>
          <w:sz w:val="18"/>
          <w:szCs w:val="18"/>
        </w:rPr>
        <w:t xml:space="preserve"> </w:t>
      </w:r>
    </w:p>
    <w:p w14:paraId="49AAFBB4" w14:textId="7FBC13AA" w:rsidR="00053932" w:rsidRPr="00D7387E" w:rsidRDefault="00053932" w:rsidP="00BA51B7">
      <w:pPr>
        <w:pStyle w:val="ListParagraph"/>
        <w:keepNext/>
        <w:keepLines/>
        <w:numPr>
          <w:ilvl w:val="0"/>
          <w:numId w:val="12"/>
        </w:numPr>
        <w:spacing w:after="0"/>
        <w:ind w:left="851"/>
        <w:contextualSpacing/>
        <w:jc w:val="left"/>
        <w:rPr>
          <w:rFonts w:ascii="Arial Narrow" w:hAnsi="Arial Narrow"/>
          <w:color w:val="333333"/>
          <w:sz w:val="18"/>
          <w:szCs w:val="18"/>
        </w:rPr>
      </w:pPr>
      <w:r w:rsidRPr="00D7387E">
        <w:rPr>
          <w:rFonts w:ascii="Arial Narrow" w:hAnsi="Arial Narrow"/>
          <w:color w:val="333333"/>
          <w:sz w:val="18"/>
          <w:szCs w:val="18"/>
        </w:rPr>
        <w:t>Hormone receptor positive, HER2-negative, patient who had received prior neoadjuvant chemotherapy must have had residual invasive cancer in the breast and/or resected lymph nodes</w:t>
      </w:r>
      <w:r>
        <w:rPr>
          <w:rFonts w:ascii="Arial Narrow" w:hAnsi="Arial Narrow"/>
          <w:color w:val="333333"/>
          <w:sz w:val="18"/>
          <w:szCs w:val="18"/>
        </w:rPr>
        <w:t>,</w:t>
      </w:r>
    </w:p>
    <w:p w14:paraId="2660283A" w14:textId="7FC80FA1" w:rsidR="00053932" w:rsidRDefault="00053932" w:rsidP="00BA51B7">
      <w:pPr>
        <w:pStyle w:val="ListParagraph"/>
        <w:keepNext/>
        <w:keepLines/>
        <w:numPr>
          <w:ilvl w:val="0"/>
          <w:numId w:val="12"/>
        </w:numPr>
        <w:spacing w:after="0"/>
        <w:ind w:left="851"/>
        <w:contextualSpacing/>
        <w:jc w:val="left"/>
        <w:rPr>
          <w:rFonts w:ascii="Arial Narrow" w:hAnsi="Arial Narrow"/>
          <w:color w:val="333333"/>
          <w:sz w:val="18"/>
          <w:szCs w:val="18"/>
        </w:rPr>
      </w:pPr>
      <w:r w:rsidRPr="00D7387E">
        <w:rPr>
          <w:rFonts w:ascii="Arial Narrow" w:hAnsi="Arial Narrow"/>
          <w:color w:val="333333"/>
          <w:sz w:val="18"/>
          <w:szCs w:val="18"/>
        </w:rPr>
        <w:t xml:space="preserve">Triple negative breast cancer patient who had received prior adjuvant chemotherapy must have had node positive disease or primary tumour greater than 20 mm, </w:t>
      </w:r>
      <w:r>
        <w:rPr>
          <w:rFonts w:ascii="Arial Narrow" w:hAnsi="Arial Narrow"/>
          <w:color w:val="333333"/>
          <w:sz w:val="18"/>
          <w:szCs w:val="18"/>
        </w:rPr>
        <w:t>or</w:t>
      </w:r>
    </w:p>
    <w:p w14:paraId="55C64E60" w14:textId="390C8468" w:rsidR="00053932" w:rsidRPr="00DB64EA" w:rsidRDefault="00053932" w:rsidP="00BA51B7">
      <w:pPr>
        <w:pStyle w:val="ListParagraph"/>
        <w:keepNext/>
        <w:keepLines/>
        <w:numPr>
          <w:ilvl w:val="0"/>
          <w:numId w:val="12"/>
        </w:numPr>
        <w:spacing w:after="0"/>
        <w:ind w:left="851"/>
        <w:contextualSpacing/>
        <w:jc w:val="left"/>
        <w:rPr>
          <w:rFonts w:ascii="Arial Narrow" w:hAnsi="Arial Narrow"/>
          <w:color w:val="333333"/>
          <w:sz w:val="18"/>
          <w:szCs w:val="18"/>
        </w:rPr>
      </w:pPr>
      <w:r w:rsidRPr="00DB64EA">
        <w:rPr>
          <w:rFonts w:ascii="Arial Narrow" w:hAnsi="Arial Narrow"/>
          <w:sz w:val="18"/>
          <w:szCs w:val="18"/>
        </w:rPr>
        <w:t>Hormone receptor positive, HER2-negative, patient who had received prior adjuvant chemotherapy must have had 4 or more positive lymph nodes</w:t>
      </w:r>
      <w:r>
        <w:rPr>
          <w:rFonts w:ascii="Arial Narrow" w:hAnsi="Arial Narrow"/>
          <w:sz w:val="18"/>
          <w:szCs w:val="18"/>
        </w:rPr>
        <w:t>.</w:t>
      </w:r>
    </w:p>
  </w:footnote>
  <w:footnote w:id="10">
    <w:p w14:paraId="3FE2A224" w14:textId="32ADFB42" w:rsidR="00053932" w:rsidRPr="003972CC" w:rsidRDefault="00053932" w:rsidP="00754C7B">
      <w:pPr>
        <w:pStyle w:val="FootnoteText"/>
        <w:rPr>
          <w:rFonts w:ascii="Arial Narrow" w:hAnsi="Arial Narrow"/>
          <w:sz w:val="18"/>
          <w:szCs w:val="18"/>
        </w:rPr>
      </w:pPr>
      <w:r w:rsidRPr="003972CC">
        <w:rPr>
          <w:rStyle w:val="FootnoteReference"/>
          <w:rFonts w:ascii="Arial Narrow" w:hAnsi="Arial Narrow"/>
          <w:sz w:val="18"/>
          <w:szCs w:val="18"/>
        </w:rPr>
        <w:footnoteRef/>
      </w:r>
      <w:r w:rsidRPr="003972CC">
        <w:rPr>
          <w:rFonts w:ascii="Arial Narrow" w:hAnsi="Arial Narrow"/>
          <w:sz w:val="18"/>
          <w:szCs w:val="18"/>
        </w:rPr>
        <w:t xml:space="preserve"> </w:t>
      </w:r>
      <w:bookmarkStart w:id="25" w:name="_Hlk121752075"/>
      <w:r w:rsidRPr="003972CC">
        <w:rPr>
          <w:rFonts w:ascii="Arial Narrow" w:hAnsi="Arial Narrow"/>
          <w:sz w:val="18"/>
          <w:szCs w:val="18"/>
        </w:rPr>
        <w:t xml:space="preserve">Cancer Australia. Recommendations for the management of early breast cancer in women with an identified </w:t>
      </w:r>
      <w:r w:rsidR="00BA3A25" w:rsidRPr="00BA3A25">
        <w:rPr>
          <w:rFonts w:ascii="Arial Narrow" w:hAnsi="Arial Narrow"/>
          <w:i/>
          <w:sz w:val="18"/>
          <w:szCs w:val="18"/>
        </w:rPr>
        <w:t>BRCA</w:t>
      </w:r>
      <w:r w:rsidRPr="003972CC">
        <w:rPr>
          <w:rFonts w:ascii="Arial Narrow" w:hAnsi="Arial Narrow"/>
          <w:sz w:val="18"/>
          <w:szCs w:val="18"/>
        </w:rPr>
        <w:t xml:space="preserve">1 or </w:t>
      </w:r>
      <w:r w:rsidR="00BA3A25" w:rsidRPr="00BA3A25">
        <w:rPr>
          <w:rFonts w:ascii="Arial Narrow" w:hAnsi="Arial Narrow"/>
          <w:i/>
          <w:sz w:val="18"/>
          <w:szCs w:val="18"/>
        </w:rPr>
        <w:t>BRCA</w:t>
      </w:r>
      <w:r w:rsidRPr="003972CC">
        <w:rPr>
          <w:rFonts w:ascii="Arial Narrow" w:hAnsi="Arial Narrow"/>
          <w:sz w:val="18"/>
          <w:szCs w:val="18"/>
        </w:rPr>
        <w:t>2 gene mutation or at high risk of a gene mutation</w:t>
      </w:r>
      <w:bookmarkEnd w:id="25"/>
    </w:p>
  </w:footnote>
  <w:footnote w:id="11">
    <w:p w14:paraId="0E8137EB" w14:textId="5BE33D3C" w:rsidR="00053932" w:rsidRPr="00486DED" w:rsidRDefault="00053932">
      <w:pPr>
        <w:pStyle w:val="FootnoteText"/>
        <w:rPr>
          <w:rFonts w:ascii="Arial Narrow" w:hAnsi="Arial Narrow"/>
          <w:sz w:val="18"/>
          <w:szCs w:val="18"/>
        </w:rPr>
      </w:pPr>
      <w:r>
        <w:rPr>
          <w:rStyle w:val="FootnoteReference"/>
        </w:rPr>
        <w:footnoteRef/>
      </w:r>
      <w:r>
        <w:rPr>
          <w:rFonts w:ascii="Arial Narrow" w:hAnsi="Arial Narrow"/>
          <w:sz w:val="18"/>
          <w:szCs w:val="18"/>
        </w:rPr>
        <w:t xml:space="preserve"> </w:t>
      </w:r>
      <w:r w:rsidRPr="00486DED">
        <w:rPr>
          <w:rFonts w:ascii="Arial Narrow" w:hAnsi="Arial Narrow"/>
          <w:sz w:val="18"/>
          <w:szCs w:val="18"/>
        </w:rPr>
        <w:t xml:space="preserve">Goulooze, S. C., A. F. Cohen and R. Rissmann (2016). "Olaparib." Br J Clin Pharmacol 81(1): 171-173. </w:t>
      </w:r>
      <w:bookmarkStart w:id="26" w:name="_Hlk121752088"/>
      <w:bookmarkEnd w:id="26"/>
    </w:p>
  </w:footnote>
  <w:footnote w:id="12">
    <w:p w14:paraId="3731A482" w14:textId="4340078A" w:rsidR="00053932" w:rsidRPr="00486DED" w:rsidRDefault="00053932" w:rsidP="00486DED">
      <w:pPr>
        <w:rPr>
          <w:rFonts w:ascii="Arial Narrow" w:hAnsi="Arial Narrow"/>
          <w:sz w:val="18"/>
          <w:szCs w:val="18"/>
        </w:rPr>
      </w:pPr>
      <w:r>
        <w:rPr>
          <w:rStyle w:val="FootnoteReference"/>
        </w:rPr>
        <w:footnoteRef/>
      </w:r>
      <w:r>
        <w:rPr>
          <w:rFonts w:ascii="Arial Narrow" w:hAnsi="Arial Narrow"/>
          <w:sz w:val="18"/>
          <w:szCs w:val="18"/>
        </w:rPr>
        <w:t xml:space="preserve"> </w:t>
      </w:r>
      <w:r w:rsidRPr="00B26770">
        <w:rPr>
          <w:rFonts w:ascii="Arial Narrow" w:hAnsi="Arial Narrow"/>
          <w:sz w:val="18"/>
          <w:szCs w:val="18"/>
        </w:rPr>
        <w:t>Masuda, N., S.-J. Lee, S. Ohtani, Y.-H. Im, E.-S. Lee, I. Yokota, K. Kuroi, S.-A. Im, B.-W. Park, S.-B. Kim, Y. Yanagita, S. Ohno, S. Takao, K. Aogi, H. Iwata, J. Jeong, A. Kim, K.-H. Park, H. Sasano, Y. Ohashi and M. Toi (2017). "Adjuvant Capecitabine for Breast Cancer after Preoperative Chemotherapy." New England Journal of Medicine 376(22): 2147-2159.</w:t>
      </w:r>
    </w:p>
  </w:footnote>
  <w:footnote w:id="13">
    <w:p w14:paraId="2A1FF329" w14:textId="43FE7E92" w:rsidR="00053932" w:rsidRPr="003972CC" w:rsidRDefault="00053932" w:rsidP="00AF5FC8">
      <w:pPr>
        <w:rPr>
          <w:rFonts w:ascii="Arial Narrow" w:hAnsi="Arial Narrow"/>
          <w:sz w:val="18"/>
          <w:szCs w:val="18"/>
        </w:rPr>
      </w:pPr>
      <w:r>
        <w:rPr>
          <w:rStyle w:val="FootnoteReference"/>
        </w:rPr>
        <w:footnoteRef/>
      </w:r>
      <w:r w:rsidRPr="00B26770">
        <w:rPr>
          <w:rFonts w:ascii="Arial Narrow" w:hAnsi="Arial Narrow"/>
          <w:sz w:val="18"/>
          <w:szCs w:val="18"/>
        </w:rPr>
        <w:t>Johnston, S. R. D., N. Harbeck, R. Hegg, M. Toi, M. Martin, Z. M. Shao, Q. Y. Zhang, J. L. Martinez Rodriguez, M. Campone, E. Hamilton, J. Sohn, V. Guarneri, M. Okada, F. Boyle, P. Neven, J. Cortés, J. Huober, A. Wardley, S. M. Tolaney, I. Cicin, I. C. Smith, M. Frenzel, D. Headley, R. Wei, B. San Antonio, M. Hulstijn, J. Cox, J. O'Shaughnessy and P. Rastogi (2020). "Abemaciclib Combined With Endocrine Therapy for the Adjuvant Treatment of HR+, HER2-, Node-Positive, High-Risk, Early Breast Cancer (monarchE)." J Clin Oncol 38(34): 3987-3998</w:t>
      </w:r>
    </w:p>
  </w:footnote>
  <w:footnote w:id="14">
    <w:p w14:paraId="37DC507D" w14:textId="42DC11CB" w:rsidR="007A73E4" w:rsidRDefault="007A73E4" w:rsidP="007A73E4">
      <w:pPr>
        <w:pStyle w:val="FootnoteText"/>
      </w:pPr>
      <w:r>
        <w:rPr>
          <w:rStyle w:val="FootnoteReference"/>
        </w:rPr>
        <w:footnoteRef/>
      </w:r>
      <w:r>
        <w:t xml:space="preserve"> </w:t>
      </w:r>
      <w:hyperlink r:id="rId2" w:history="1">
        <w:r w:rsidRPr="001E2ABB">
          <w:rPr>
            <w:rFonts w:ascii="Arial Narrow" w:hAnsi="Arial Narrow"/>
            <w:sz w:val="18"/>
            <w:szCs w:val="18"/>
          </w:rPr>
          <w:t>https://www.pbs.gov.au/industry/listing/elements/pbac-meetings/agenda/pdf/2022/PBAC-meeting-agenda-March-2023-v2.pdf</w:t>
        </w:r>
      </w:hyperlink>
      <w:r w:rsidRPr="001E2ABB">
        <w:rPr>
          <w:rFonts w:ascii="Arial Narrow" w:hAnsi="Arial Narrow"/>
          <w:sz w:val="18"/>
          <w:szCs w:val="18"/>
        </w:rPr>
        <w:t xml:space="preserve">, accessed 13 Jan </w:t>
      </w:r>
      <w:r w:rsidR="0082015F" w:rsidRPr="001E2ABB">
        <w:rPr>
          <w:rFonts w:ascii="Arial Narrow" w:hAnsi="Arial Narrow"/>
          <w:sz w:val="18"/>
          <w:szCs w:val="18"/>
        </w:rPr>
        <w:t>2023</w:t>
      </w:r>
      <w:r w:rsidRPr="001E2ABB">
        <w:rPr>
          <w:rFonts w:ascii="Arial Narrow" w:hAnsi="Arial Narrow"/>
          <w:sz w:val="18"/>
          <w:szCs w:val="18"/>
        </w:rPr>
        <w:t>.</w:t>
      </w:r>
    </w:p>
  </w:footnote>
  <w:footnote w:id="15">
    <w:p w14:paraId="6E3E5B4E" w14:textId="77777777" w:rsidR="00085F5A" w:rsidRDefault="00085F5A" w:rsidP="00085F5A">
      <w:pPr>
        <w:pStyle w:val="FootnoteText"/>
      </w:pPr>
      <w:r>
        <w:rPr>
          <w:rStyle w:val="FootnoteReference"/>
        </w:rPr>
        <w:footnoteRef/>
      </w:r>
      <w:r>
        <w:t xml:space="preserve"> </w:t>
      </w:r>
      <w:r w:rsidRPr="0001605C">
        <w:t xml:space="preserve"> Cherny NI, Dafni U, Bogaerts J, et al: ESMO-Magnitude of Clinical Benefit Scale version 1.1. Annals of Oncology 28:2340-2366, 2017</w:t>
      </w:r>
      <w:r>
        <w:t>.</w:t>
      </w:r>
    </w:p>
  </w:footnote>
  <w:footnote w:id="16">
    <w:p w14:paraId="211CE2BD" w14:textId="0F6EB954" w:rsidR="00053932" w:rsidRPr="00CE1C66" w:rsidRDefault="00053932">
      <w:pPr>
        <w:pStyle w:val="FootnoteText"/>
        <w:rPr>
          <w:rFonts w:ascii="Arial Narrow" w:hAnsi="Arial Narrow"/>
          <w:sz w:val="18"/>
          <w:szCs w:val="18"/>
        </w:rPr>
      </w:pPr>
      <w:r w:rsidRPr="00CE1C66">
        <w:rPr>
          <w:rStyle w:val="FootnoteReference"/>
          <w:rFonts w:ascii="Arial Narrow" w:hAnsi="Arial Narrow"/>
          <w:sz w:val="18"/>
          <w:szCs w:val="18"/>
        </w:rPr>
        <w:footnoteRef/>
      </w:r>
      <w:r w:rsidRPr="00CE1C66">
        <w:rPr>
          <w:rFonts w:ascii="Arial Narrow" w:hAnsi="Arial Narrow"/>
          <w:sz w:val="18"/>
          <w:szCs w:val="18"/>
        </w:rPr>
        <w:t xml:space="preserve"> Patients could be positive or negative for hormone receptors. This was a stratification factor during randomisation.</w:t>
      </w:r>
    </w:p>
  </w:footnote>
  <w:footnote w:id="17">
    <w:p w14:paraId="7AEBF8D8" w14:textId="40C47CF7" w:rsidR="00C37DF6" w:rsidRDefault="00C37DF6">
      <w:pPr>
        <w:pStyle w:val="FootnoteText"/>
      </w:pPr>
      <w:r>
        <w:rPr>
          <w:rStyle w:val="FootnoteReference"/>
        </w:rPr>
        <w:footnoteRef/>
      </w:r>
      <w:r>
        <w:t xml:space="preserve"> </w:t>
      </w:r>
      <w:r w:rsidRPr="00C37DF6">
        <w:t>Sopik V, Sun P, Narod SA. Predictors of time to death after distant recurrence in breast cancer patients. Breast Cancer Research and Treatment. 2019;173(2):465-74.</w:t>
      </w:r>
    </w:p>
  </w:footnote>
  <w:footnote w:id="18">
    <w:p w14:paraId="12BBC180" w14:textId="5A8B21D5" w:rsidR="00C37DF6" w:rsidRDefault="00C37DF6">
      <w:pPr>
        <w:pStyle w:val="FootnoteText"/>
      </w:pPr>
      <w:r>
        <w:rPr>
          <w:rStyle w:val="FootnoteReference"/>
        </w:rPr>
        <w:footnoteRef/>
      </w:r>
      <w:r>
        <w:t xml:space="preserve"> </w:t>
      </w:r>
      <w:r w:rsidRPr="00C37DF6">
        <w:t>Bartlett M, Beral V, Dolja-Gore X, Gathani T, Liu B. Detailed breast cancer pathology data for large-scale studies – access and completeness in NSW, Australia. Public Health Research &amp; Practice.</w:t>
      </w:r>
    </w:p>
  </w:footnote>
  <w:footnote w:id="19">
    <w:p w14:paraId="16CC3805" w14:textId="1D97D8C7" w:rsidR="00C37DF6" w:rsidRDefault="00C37DF6">
      <w:pPr>
        <w:pStyle w:val="FootnoteText"/>
      </w:pPr>
      <w:r>
        <w:rPr>
          <w:rStyle w:val="FootnoteReference"/>
        </w:rPr>
        <w:footnoteRef/>
      </w:r>
      <w:r>
        <w:t xml:space="preserve"> </w:t>
      </w:r>
      <w:r w:rsidRPr="00C37DF6">
        <w:t>Naher S, Tognela A, Moylan E, Adams DH, Kiely BE. Patterns of care and outcomes among triple‐negative early breast cancer patients in South Western Sydney. Internal Medicine Journal. 2018 May;48(5):567-72.</w:t>
      </w:r>
    </w:p>
  </w:footnote>
  <w:footnote w:id="20">
    <w:p w14:paraId="6A3BD718" w14:textId="77777777" w:rsidR="00053932" w:rsidRDefault="00053932" w:rsidP="009C6A3A">
      <w:pPr>
        <w:pStyle w:val="FootnoteText"/>
      </w:pPr>
      <w:r>
        <w:rPr>
          <w:rStyle w:val="FootnoteReference"/>
        </w:rPr>
        <w:footnoteRef/>
      </w:r>
      <w:r>
        <w:t xml:space="preserve"> </w:t>
      </w:r>
      <w:r>
        <w:rPr>
          <w:rFonts w:ascii="Segoe UI" w:hAnsi="Segoe UI" w:cs="Segoe UI"/>
          <w:sz w:val="18"/>
          <w:szCs w:val="18"/>
        </w:rPr>
        <w:t>Crott R, Briggs A. Mapping the QLQ-C30 quality of life cancer questionnaire to EQ-5D patient preferences. The European journal of health economics. 2010;11(4):427-34.</w:t>
      </w:r>
    </w:p>
  </w:footnote>
  <w:footnote w:id="21">
    <w:p w14:paraId="14B7AEFB" w14:textId="443B2619" w:rsidR="00053932" w:rsidRDefault="00053932" w:rsidP="009C6A3A">
      <w:pPr>
        <w:pStyle w:val="FootnoteText"/>
      </w:pPr>
      <w:r>
        <w:rPr>
          <w:rStyle w:val="FootnoteReference"/>
        </w:rPr>
        <w:footnoteRef/>
      </w:r>
      <w:r>
        <w:t xml:space="preserve"> </w:t>
      </w:r>
      <w:r w:rsidRPr="008D54DC">
        <w:t xml:space="preserve">Wong-Brown MW, Meldrum CJ, Carpenter JE, Clarke CL, Narod SA, Jakubowska A, et al. Prevalence of </w:t>
      </w:r>
      <w:r w:rsidR="00BA3A25" w:rsidRPr="00BA3A25">
        <w:rPr>
          <w:i/>
        </w:rPr>
        <w:t>BRCA</w:t>
      </w:r>
      <w:r w:rsidRPr="008D54DC">
        <w:t xml:space="preserve">1 and </w:t>
      </w:r>
      <w:r w:rsidR="00BA3A25" w:rsidRPr="00BA3A25">
        <w:rPr>
          <w:i/>
        </w:rPr>
        <w:t>BRCA</w:t>
      </w:r>
      <w:r w:rsidRPr="008D54DC">
        <w:t>2 germline mutations in patients with triple-negative breast cancer. Breast cancer research and treatment. 2015;150(1):71-80.</w:t>
      </w:r>
    </w:p>
  </w:footnote>
  <w:footnote w:id="22">
    <w:p w14:paraId="461326E4" w14:textId="59D43FE9" w:rsidR="00E04A69" w:rsidRDefault="00E04A69">
      <w:pPr>
        <w:pStyle w:val="FootnoteText"/>
      </w:pPr>
      <w:r>
        <w:rPr>
          <w:rStyle w:val="FootnoteReference"/>
        </w:rPr>
        <w:footnoteRef/>
      </w:r>
      <w:r>
        <w:t xml:space="preserve"> </w:t>
      </w:r>
      <w:r w:rsidRPr="00E04A69">
        <w:t>Schmid P</w:t>
      </w:r>
      <w:r>
        <w:t xml:space="preserve"> et al</w:t>
      </w:r>
      <w:r w:rsidRPr="00E04A69">
        <w:t>. Pembrolizumab for Early Triple-Negative Breast Cancer. N Engl J Med. 2020 Feb 27;382(9):810-821.</w:t>
      </w:r>
    </w:p>
  </w:footnote>
  <w:footnote w:id="23">
    <w:p w14:paraId="0AD9B98D" w14:textId="2ADBCE0E" w:rsidR="00760CB9" w:rsidRDefault="00760CB9">
      <w:pPr>
        <w:pStyle w:val="FootnoteText"/>
      </w:pPr>
      <w:r>
        <w:rPr>
          <w:rStyle w:val="FootnoteReference"/>
        </w:rPr>
        <w:footnoteRef/>
      </w:r>
      <w:r>
        <w:t xml:space="preserve"> </w:t>
      </w:r>
      <w:r w:rsidRPr="00760CB9">
        <w:t xml:space="preserve">Southey MC, </w:t>
      </w:r>
      <w:r>
        <w:t>et al</w:t>
      </w:r>
      <w:r w:rsidRPr="00760CB9">
        <w:t xml:space="preserve">. Population-based estimates of breast cancer risk for carriers of pathogenic variants identified by gene-panel testing. NPJ Breast Cancer. 2021 Dec 9;7(1):153.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C254" w14:textId="1C979791" w:rsidR="00D41CE7" w:rsidRPr="00056684" w:rsidRDefault="004416C5" w:rsidP="00D41CE7">
    <w:pPr>
      <w:pStyle w:val="Header"/>
      <w:ind w:left="360"/>
      <w:rPr>
        <w:rFonts w:asciiTheme="minorHAnsi" w:hAnsiTheme="minorHAnsi"/>
        <w:i/>
        <w:color w:val="808080"/>
      </w:rPr>
    </w:pPr>
    <w:bookmarkStart w:id="135" w:name="_Hlk76375146"/>
    <w:r>
      <w:rPr>
        <w:rFonts w:asciiTheme="minorHAnsi" w:hAnsiTheme="minorHAnsi"/>
        <w:i/>
        <w:color w:val="808080"/>
      </w:rPr>
      <w:t>Public Summary Document</w:t>
    </w:r>
    <w:r w:rsidR="00D41CE7" w:rsidRPr="00056684">
      <w:rPr>
        <w:rFonts w:asciiTheme="minorHAnsi" w:hAnsiTheme="minorHAnsi"/>
        <w:i/>
        <w:color w:val="808080"/>
      </w:rPr>
      <w:t xml:space="preserve"> – </w:t>
    </w:r>
    <w:r w:rsidR="00D41CE7">
      <w:rPr>
        <w:rFonts w:asciiTheme="minorHAnsi" w:hAnsiTheme="minorHAnsi"/>
        <w:i/>
        <w:color w:val="808080"/>
      </w:rPr>
      <w:t>March 2023</w:t>
    </w:r>
    <w:r w:rsidR="00D41CE7" w:rsidRPr="00056684">
      <w:rPr>
        <w:rFonts w:asciiTheme="minorHAnsi" w:hAnsiTheme="minorHAnsi"/>
        <w:i/>
        <w:color w:val="808080"/>
      </w:rPr>
      <w:t xml:space="preserve"> PBAC Meeting</w:t>
    </w:r>
  </w:p>
  <w:bookmarkEnd w:id="135"/>
  <w:p w14:paraId="5213F2DF" w14:textId="77777777" w:rsidR="00D41CE7" w:rsidRDefault="00D4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463C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06C2A"/>
    <w:multiLevelType w:val="hybridMultilevel"/>
    <w:tmpl w:val="C590D7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650BA5"/>
    <w:multiLevelType w:val="hybridMultilevel"/>
    <w:tmpl w:val="FB3A7AFE"/>
    <w:lvl w:ilvl="0" w:tplc="0C090017">
      <w:start w:val="1"/>
      <w:numFmt w:val="lowerLetter"/>
      <w:lvlText w:val="%1)"/>
      <w:lvlJc w:val="left"/>
      <w:pPr>
        <w:ind w:left="1440" w:hanging="360"/>
      </w:pPr>
      <w:rPr>
        <w:rFonts w:hint="default"/>
        <w:sz w:val="18"/>
        <w:szCs w:val="18"/>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F891EE9"/>
    <w:multiLevelType w:val="multilevel"/>
    <w:tmpl w:val="0ED8F54E"/>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119A71DB"/>
    <w:multiLevelType w:val="hybridMultilevel"/>
    <w:tmpl w:val="4358E91A"/>
    <w:lvl w:ilvl="0" w:tplc="A99416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43CBF"/>
    <w:multiLevelType w:val="hybridMultilevel"/>
    <w:tmpl w:val="43A2E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010E43"/>
    <w:multiLevelType w:val="hybridMultilevel"/>
    <w:tmpl w:val="CB700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C3EDE"/>
    <w:multiLevelType w:val="hybridMultilevel"/>
    <w:tmpl w:val="E53E2050"/>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9" w15:restartNumberingAfterBreak="0">
    <w:nsid w:val="3C1F20B0"/>
    <w:multiLevelType w:val="hybridMultilevel"/>
    <w:tmpl w:val="4B3823BC"/>
    <w:lvl w:ilvl="0" w:tplc="0C090017">
      <w:start w:val="1"/>
      <w:numFmt w:val="lowerLetter"/>
      <w:lvlText w:val="%1)"/>
      <w:lvlJc w:val="left"/>
      <w:pPr>
        <w:ind w:left="1440" w:hanging="360"/>
      </w:pPr>
      <w:rPr>
        <w:rFonts w:hint="default"/>
        <w:sz w:val="18"/>
        <w:szCs w:val="18"/>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95013"/>
    <w:multiLevelType w:val="hybridMultilevel"/>
    <w:tmpl w:val="52C2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D37A0A"/>
    <w:multiLevelType w:val="hybridMultilevel"/>
    <w:tmpl w:val="65DC2D1A"/>
    <w:lvl w:ilvl="0" w:tplc="B666FFAC">
      <w:start w:val="1"/>
      <w:numFmt w:val="bullet"/>
      <w:pStyle w:val="BulletBody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A4F23C9"/>
    <w:multiLevelType w:val="hybridMultilevel"/>
    <w:tmpl w:val="3F1C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1BC4A85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86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B10CDC"/>
    <w:multiLevelType w:val="hybridMultilevel"/>
    <w:tmpl w:val="769CA4A0"/>
    <w:lvl w:ilvl="0" w:tplc="8FE279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2"/>
  </w:num>
  <w:num w:numId="4">
    <w:abstractNumId w:val="0"/>
  </w:num>
  <w:num w:numId="5">
    <w:abstractNumId w:val="17"/>
  </w:num>
  <w:num w:numId="6">
    <w:abstractNumId w:val="15"/>
  </w:num>
  <w:num w:numId="7">
    <w:abstractNumId w:val="13"/>
  </w:num>
  <w:num w:numId="8">
    <w:abstractNumId w:val="4"/>
  </w:num>
  <w:num w:numId="9">
    <w:abstractNumId w:val="7"/>
  </w:num>
  <w:num w:numId="10">
    <w:abstractNumId w:val="6"/>
  </w:num>
  <w:num w:numId="11">
    <w:abstractNumId w:val="3"/>
  </w:num>
  <w:num w:numId="12">
    <w:abstractNumId w:val="9"/>
  </w:num>
  <w:num w:numId="13">
    <w:abstractNumId w:val="2"/>
  </w:num>
  <w:num w:numId="14">
    <w:abstractNumId w:val="14"/>
  </w:num>
  <w:num w:numId="15">
    <w:abstractNumId w:val="16"/>
  </w:num>
  <w:num w:numId="16">
    <w:abstractNumId w:val="1"/>
  </w:num>
  <w:num w:numId="17">
    <w:abstractNumId w:val="5"/>
  </w:num>
  <w:num w:numId="18">
    <w:abstractNumId w:val="8"/>
  </w:num>
  <w:num w:numId="19">
    <w:abstractNumId w:val="18"/>
  </w:num>
  <w:num w:numId="20">
    <w:abstractNumId w:val="11"/>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2"/>
  </w:num>
  <w:num w:numId="28">
    <w:abstractNumId w:val="12"/>
  </w:num>
  <w:num w:numId="29">
    <w:abstractNumId w:val="17"/>
  </w:num>
  <w:num w:numId="30">
    <w:abstractNumId w:val="17"/>
  </w:num>
  <w:num w:numId="31">
    <w:abstractNumId w:val="17"/>
  </w:num>
  <w:num w:numId="32">
    <w:abstractNumId w:val="12"/>
  </w:num>
  <w:num w:numId="33">
    <w:abstractNumId w:val="12"/>
  </w:num>
  <w:num w:numId="34">
    <w:abstractNumId w:val="12"/>
  </w:num>
  <w:num w:numId="35">
    <w:abstractNumId w:val="12"/>
  </w:num>
  <w:num w:numId="36">
    <w:abstractNumId w:val="12"/>
  </w:num>
  <w:num w:numId="37">
    <w:abstractNumId w:val="17"/>
  </w:num>
  <w:num w:numId="3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a29e52vawwzee9z065rfx6wt9vfr20vsfs&quot;&gt;Olap2022&lt;record-ids&gt;&lt;item&gt;1&lt;/item&gt;&lt;item&gt;2&lt;/item&gt;&lt;item&gt;3&lt;/item&gt;&lt;item&gt;4&lt;/item&gt;&lt;item&gt;5&lt;/item&gt;&lt;item&gt;6&lt;/item&gt;&lt;item&gt;7&lt;/item&gt;&lt;item&gt;8&lt;/item&gt;&lt;item&gt;9&lt;/item&gt;&lt;item&gt;10&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49&lt;/item&gt;&lt;item&gt;51&lt;/item&gt;&lt;item&gt;52&lt;/item&gt;&lt;item&gt;53&lt;/item&gt;&lt;/record-ids&gt;&lt;/item&gt;&lt;/Libraries&gt;"/>
  </w:docVars>
  <w:rsids>
    <w:rsidRoot w:val="00E65E79"/>
    <w:rsid w:val="00000790"/>
    <w:rsid w:val="0000110B"/>
    <w:rsid w:val="000014A7"/>
    <w:rsid w:val="000024F9"/>
    <w:rsid w:val="00003499"/>
    <w:rsid w:val="000039B7"/>
    <w:rsid w:val="00004D40"/>
    <w:rsid w:val="00004F29"/>
    <w:rsid w:val="000056B9"/>
    <w:rsid w:val="00005920"/>
    <w:rsid w:val="0000639A"/>
    <w:rsid w:val="000065D5"/>
    <w:rsid w:val="00007CFF"/>
    <w:rsid w:val="000104C0"/>
    <w:rsid w:val="000119C2"/>
    <w:rsid w:val="00011A09"/>
    <w:rsid w:val="00012592"/>
    <w:rsid w:val="00012602"/>
    <w:rsid w:val="00013247"/>
    <w:rsid w:val="000139EB"/>
    <w:rsid w:val="00014B1D"/>
    <w:rsid w:val="00015886"/>
    <w:rsid w:val="0001603F"/>
    <w:rsid w:val="0001605C"/>
    <w:rsid w:val="000162EF"/>
    <w:rsid w:val="000207C9"/>
    <w:rsid w:val="00021614"/>
    <w:rsid w:val="00021716"/>
    <w:rsid w:val="0002225F"/>
    <w:rsid w:val="00022BA2"/>
    <w:rsid w:val="000231DC"/>
    <w:rsid w:val="00023763"/>
    <w:rsid w:val="00024EB5"/>
    <w:rsid w:val="000258C7"/>
    <w:rsid w:val="0002596A"/>
    <w:rsid w:val="00026474"/>
    <w:rsid w:val="00026AC9"/>
    <w:rsid w:val="00027235"/>
    <w:rsid w:val="000274B8"/>
    <w:rsid w:val="00027532"/>
    <w:rsid w:val="00027CF0"/>
    <w:rsid w:val="00030693"/>
    <w:rsid w:val="000306EC"/>
    <w:rsid w:val="0003165F"/>
    <w:rsid w:val="00031D4D"/>
    <w:rsid w:val="00032A06"/>
    <w:rsid w:val="00032E6B"/>
    <w:rsid w:val="00033085"/>
    <w:rsid w:val="000331EF"/>
    <w:rsid w:val="00033863"/>
    <w:rsid w:val="00035DC0"/>
    <w:rsid w:val="000365E9"/>
    <w:rsid w:val="00036829"/>
    <w:rsid w:val="000371FB"/>
    <w:rsid w:val="0003739E"/>
    <w:rsid w:val="000374A8"/>
    <w:rsid w:val="00037A9D"/>
    <w:rsid w:val="00040895"/>
    <w:rsid w:val="000410A0"/>
    <w:rsid w:val="00041527"/>
    <w:rsid w:val="00041B6E"/>
    <w:rsid w:val="0004248C"/>
    <w:rsid w:val="000435EE"/>
    <w:rsid w:val="00043C37"/>
    <w:rsid w:val="00044329"/>
    <w:rsid w:val="00044571"/>
    <w:rsid w:val="00045017"/>
    <w:rsid w:val="00045A2B"/>
    <w:rsid w:val="0004655A"/>
    <w:rsid w:val="0004698F"/>
    <w:rsid w:val="00046D64"/>
    <w:rsid w:val="00047132"/>
    <w:rsid w:val="0005054F"/>
    <w:rsid w:val="000508C2"/>
    <w:rsid w:val="00050BCD"/>
    <w:rsid w:val="00050C56"/>
    <w:rsid w:val="00053375"/>
    <w:rsid w:val="00053932"/>
    <w:rsid w:val="000539D0"/>
    <w:rsid w:val="000543E7"/>
    <w:rsid w:val="00054621"/>
    <w:rsid w:val="000546D7"/>
    <w:rsid w:val="0005479E"/>
    <w:rsid w:val="00054A8D"/>
    <w:rsid w:val="00054EAD"/>
    <w:rsid w:val="00055E42"/>
    <w:rsid w:val="00055F21"/>
    <w:rsid w:val="00056ECF"/>
    <w:rsid w:val="000604DF"/>
    <w:rsid w:val="00060649"/>
    <w:rsid w:val="00062134"/>
    <w:rsid w:val="000621B8"/>
    <w:rsid w:val="00062324"/>
    <w:rsid w:val="00064DD1"/>
    <w:rsid w:val="000653B5"/>
    <w:rsid w:val="0006560D"/>
    <w:rsid w:val="0006622C"/>
    <w:rsid w:val="00066360"/>
    <w:rsid w:val="00066AF8"/>
    <w:rsid w:val="000673C2"/>
    <w:rsid w:val="000705B1"/>
    <w:rsid w:val="00071248"/>
    <w:rsid w:val="000720B9"/>
    <w:rsid w:val="00072C68"/>
    <w:rsid w:val="00073118"/>
    <w:rsid w:val="000737F7"/>
    <w:rsid w:val="0007672F"/>
    <w:rsid w:val="00076B54"/>
    <w:rsid w:val="00076B70"/>
    <w:rsid w:val="000774F0"/>
    <w:rsid w:val="00077F2B"/>
    <w:rsid w:val="00080909"/>
    <w:rsid w:val="00080AA1"/>
    <w:rsid w:val="0008110C"/>
    <w:rsid w:val="000812CA"/>
    <w:rsid w:val="000813A1"/>
    <w:rsid w:val="00081E63"/>
    <w:rsid w:val="0008258D"/>
    <w:rsid w:val="00083843"/>
    <w:rsid w:val="00083E99"/>
    <w:rsid w:val="00084719"/>
    <w:rsid w:val="00084E68"/>
    <w:rsid w:val="00084FA8"/>
    <w:rsid w:val="000856C5"/>
    <w:rsid w:val="00085C31"/>
    <w:rsid w:val="00085F5A"/>
    <w:rsid w:val="00086061"/>
    <w:rsid w:val="00086554"/>
    <w:rsid w:val="00087B17"/>
    <w:rsid w:val="000902D9"/>
    <w:rsid w:val="000903E4"/>
    <w:rsid w:val="00090C7E"/>
    <w:rsid w:val="000911AC"/>
    <w:rsid w:val="00091F66"/>
    <w:rsid w:val="00091FA5"/>
    <w:rsid w:val="00092600"/>
    <w:rsid w:val="0009262B"/>
    <w:rsid w:val="00093310"/>
    <w:rsid w:val="0009445C"/>
    <w:rsid w:val="00095200"/>
    <w:rsid w:val="00095FE5"/>
    <w:rsid w:val="00096284"/>
    <w:rsid w:val="000A0A8B"/>
    <w:rsid w:val="000A17A7"/>
    <w:rsid w:val="000A1BC0"/>
    <w:rsid w:val="000A2692"/>
    <w:rsid w:val="000A2A60"/>
    <w:rsid w:val="000A2E1A"/>
    <w:rsid w:val="000A2F9E"/>
    <w:rsid w:val="000A3C0D"/>
    <w:rsid w:val="000A3E47"/>
    <w:rsid w:val="000A4A49"/>
    <w:rsid w:val="000A522B"/>
    <w:rsid w:val="000A6039"/>
    <w:rsid w:val="000A67BF"/>
    <w:rsid w:val="000A7453"/>
    <w:rsid w:val="000A7538"/>
    <w:rsid w:val="000A7D08"/>
    <w:rsid w:val="000B0121"/>
    <w:rsid w:val="000B0670"/>
    <w:rsid w:val="000B0DAF"/>
    <w:rsid w:val="000B0E75"/>
    <w:rsid w:val="000B2669"/>
    <w:rsid w:val="000B2DCB"/>
    <w:rsid w:val="000B2E3B"/>
    <w:rsid w:val="000B32B4"/>
    <w:rsid w:val="000B49AE"/>
    <w:rsid w:val="000B5CE0"/>
    <w:rsid w:val="000B6CAC"/>
    <w:rsid w:val="000B7612"/>
    <w:rsid w:val="000B78AE"/>
    <w:rsid w:val="000C3DF9"/>
    <w:rsid w:val="000C4403"/>
    <w:rsid w:val="000C4B8F"/>
    <w:rsid w:val="000C4CF2"/>
    <w:rsid w:val="000C5118"/>
    <w:rsid w:val="000C63E9"/>
    <w:rsid w:val="000C6713"/>
    <w:rsid w:val="000C7DCD"/>
    <w:rsid w:val="000C7FE6"/>
    <w:rsid w:val="000D0970"/>
    <w:rsid w:val="000D15BF"/>
    <w:rsid w:val="000D1BFC"/>
    <w:rsid w:val="000D1D5D"/>
    <w:rsid w:val="000D281A"/>
    <w:rsid w:val="000D2848"/>
    <w:rsid w:val="000D2FDF"/>
    <w:rsid w:val="000D326A"/>
    <w:rsid w:val="000D51FB"/>
    <w:rsid w:val="000D6191"/>
    <w:rsid w:val="000D71CD"/>
    <w:rsid w:val="000D7FC8"/>
    <w:rsid w:val="000E0640"/>
    <w:rsid w:val="000E135D"/>
    <w:rsid w:val="000E1829"/>
    <w:rsid w:val="000E2242"/>
    <w:rsid w:val="000E4C0E"/>
    <w:rsid w:val="000E50AA"/>
    <w:rsid w:val="000E5AF6"/>
    <w:rsid w:val="000E5B6E"/>
    <w:rsid w:val="000E6CE1"/>
    <w:rsid w:val="000E765A"/>
    <w:rsid w:val="000E7D8A"/>
    <w:rsid w:val="000F00BA"/>
    <w:rsid w:val="000F042B"/>
    <w:rsid w:val="000F04FF"/>
    <w:rsid w:val="000F11BD"/>
    <w:rsid w:val="000F173C"/>
    <w:rsid w:val="000F2B4C"/>
    <w:rsid w:val="000F2C76"/>
    <w:rsid w:val="000F316A"/>
    <w:rsid w:val="000F3C74"/>
    <w:rsid w:val="000F4BB8"/>
    <w:rsid w:val="000F4FA9"/>
    <w:rsid w:val="000F53FB"/>
    <w:rsid w:val="000F7127"/>
    <w:rsid w:val="000F778F"/>
    <w:rsid w:val="000F7934"/>
    <w:rsid w:val="000F7B54"/>
    <w:rsid w:val="00100080"/>
    <w:rsid w:val="001000B3"/>
    <w:rsid w:val="00100F8A"/>
    <w:rsid w:val="00103039"/>
    <w:rsid w:val="00103427"/>
    <w:rsid w:val="001036EB"/>
    <w:rsid w:val="001040AA"/>
    <w:rsid w:val="0010452E"/>
    <w:rsid w:val="00105261"/>
    <w:rsid w:val="00105AE2"/>
    <w:rsid w:val="001060C6"/>
    <w:rsid w:val="001063F4"/>
    <w:rsid w:val="00106A57"/>
    <w:rsid w:val="00106B80"/>
    <w:rsid w:val="00106FF8"/>
    <w:rsid w:val="001071BC"/>
    <w:rsid w:val="00107ED4"/>
    <w:rsid w:val="0011032E"/>
    <w:rsid w:val="001106F2"/>
    <w:rsid w:val="00110A60"/>
    <w:rsid w:val="0011273C"/>
    <w:rsid w:val="0011348B"/>
    <w:rsid w:val="0011357B"/>
    <w:rsid w:val="00113D6F"/>
    <w:rsid w:val="0011588F"/>
    <w:rsid w:val="00115982"/>
    <w:rsid w:val="00116C53"/>
    <w:rsid w:val="00121799"/>
    <w:rsid w:val="001222FC"/>
    <w:rsid w:val="00123902"/>
    <w:rsid w:val="00124A51"/>
    <w:rsid w:val="00126621"/>
    <w:rsid w:val="00126B1D"/>
    <w:rsid w:val="0012751E"/>
    <w:rsid w:val="001301E9"/>
    <w:rsid w:val="00131BF2"/>
    <w:rsid w:val="00131D82"/>
    <w:rsid w:val="00132B22"/>
    <w:rsid w:val="001338DA"/>
    <w:rsid w:val="00133D36"/>
    <w:rsid w:val="0013460C"/>
    <w:rsid w:val="001346E6"/>
    <w:rsid w:val="0013517A"/>
    <w:rsid w:val="00135CE2"/>
    <w:rsid w:val="00137645"/>
    <w:rsid w:val="0014015A"/>
    <w:rsid w:val="001409ED"/>
    <w:rsid w:val="00140E99"/>
    <w:rsid w:val="00141C82"/>
    <w:rsid w:val="00141F3D"/>
    <w:rsid w:val="0014262A"/>
    <w:rsid w:val="00142787"/>
    <w:rsid w:val="0014331A"/>
    <w:rsid w:val="00143F67"/>
    <w:rsid w:val="00145234"/>
    <w:rsid w:val="001453E3"/>
    <w:rsid w:val="00145540"/>
    <w:rsid w:val="0014563A"/>
    <w:rsid w:val="001456B0"/>
    <w:rsid w:val="00145E04"/>
    <w:rsid w:val="00146E67"/>
    <w:rsid w:val="0015086B"/>
    <w:rsid w:val="0015132A"/>
    <w:rsid w:val="0015450C"/>
    <w:rsid w:val="001547AB"/>
    <w:rsid w:val="00155A17"/>
    <w:rsid w:val="001567C1"/>
    <w:rsid w:val="00156F8F"/>
    <w:rsid w:val="00157130"/>
    <w:rsid w:val="001576B1"/>
    <w:rsid w:val="001602B4"/>
    <w:rsid w:val="0016047B"/>
    <w:rsid w:val="001606E0"/>
    <w:rsid w:val="00160A4C"/>
    <w:rsid w:val="001624A4"/>
    <w:rsid w:val="00162913"/>
    <w:rsid w:val="00162A23"/>
    <w:rsid w:val="0016328E"/>
    <w:rsid w:val="001638ED"/>
    <w:rsid w:val="00163EFF"/>
    <w:rsid w:val="00163F66"/>
    <w:rsid w:val="00164126"/>
    <w:rsid w:val="0016478E"/>
    <w:rsid w:val="00164D77"/>
    <w:rsid w:val="00164E40"/>
    <w:rsid w:val="001653C1"/>
    <w:rsid w:val="0016566D"/>
    <w:rsid w:val="001659AA"/>
    <w:rsid w:val="00165EC4"/>
    <w:rsid w:val="001661FB"/>
    <w:rsid w:val="001671A0"/>
    <w:rsid w:val="0016767F"/>
    <w:rsid w:val="001720B3"/>
    <w:rsid w:val="001722B3"/>
    <w:rsid w:val="00173565"/>
    <w:rsid w:val="00173B07"/>
    <w:rsid w:val="00174ACB"/>
    <w:rsid w:val="001751FA"/>
    <w:rsid w:val="00175562"/>
    <w:rsid w:val="00175A82"/>
    <w:rsid w:val="00176C9B"/>
    <w:rsid w:val="00176E4A"/>
    <w:rsid w:val="00177BFB"/>
    <w:rsid w:val="001800BA"/>
    <w:rsid w:val="00180D3A"/>
    <w:rsid w:val="00180F72"/>
    <w:rsid w:val="00181C10"/>
    <w:rsid w:val="00181D9C"/>
    <w:rsid w:val="001823F3"/>
    <w:rsid w:val="001837FF"/>
    <w:rsid w:val="00184B0E"/>
    <w:rsid w:val="0018545C"/>
    <w:rsid w:val="0018599A"/>
    <w:rsid w:val="0018709C"/>
    <w:rsid w:val="0018752F"/>
    <w:rsid w:val="001875D2"/>
    <w:rsid w:val="00187833"/>
    <w:rsid w:val="00190E8D"/>
    <w:rsid w:val="001914B7"/>
    <w:rsid w:val="0019179D"/>
    <w:rsid w:val="00192645"/>
    <w:rsid w:val="00193173"/>
    <w:rsid w:val="00193838"/>
    <w:rsid w:val="00194AD8"/>
    <w:rsid w:val="00195222"/>
    <w:rsid w:val="00195452"/>
    <w:rsid w:val="001961A6"/>
    <w:rsid w:val="001975D8"/>
    <w:rsid w:val="00197F74"/>
    <w:rsid w:val="001A00C9"/>
    <w:rsid w:val="001A178E"/>
    <w:rsid w:val="001A1C2D"/>
    <w:rsid w:val="001A42BA"/>
    <w:rsid w:val="001A43FA"/>
    <w:rsid w:val="001A47C5"/>
    <w:rsid w:val="001A5856"/>
    <w:rsid w:val="001A58B2"/>
    <w:rsid w:val="001A59FB"/>
    <w:rsid w:val="001A5E9E"/>
    <w:rsid w:val="001A6354"/>
    <w:rsid w:val="001A6366"/>
    <w:rsid w:val="001A7AE8"/>
    <w:rsid w:val="001B189E"/>
    <w:rsid w:val="001B204E"/>
    <w:rsid w:val="001B2372"/>
    <w:rsid w:val="001B2FD5"/>
    <w:rsid w:val="001B3443"/>
    <w:rsid w:val="001B344C"/>
    <w:rsid w:val="001B46D5"/>
    <w:rsid w:val="001B4D20"/>
    <w:rsid w:val="001B6331"/>
    <w:rsid w:val="001B7F84"/>
    <w:rsid w:val="001C0E92"/>
    <w:rsid w:val="001C2A9B"/>
    <w:rsid w:val="001C2CBF"/>
    <w:rsid w:val="001C2E10"/>
    <w:rsid w:val="001C2EC0"/>
    <w:rsid w:val="001C30D6"/>
    <w:rsid w:val="001C3DD6"/>
    <w:rsid w:val="001C4299"/>
    <w:rsid w:val="001C4874"/>
    <w:rsid w:val="001C5F94"/>
    <w:rsid w:val="001C693A"/>
    <w:rsid w:val="001C6E66"/>
    <w:rsid w:val="001D00C2"/>
    <w:rsid w:val="001D042E"/>
    <w:rsid w:val="001D1100"/>
    <w:rsid w:val="001D1391"/>
    <w:rsid w:val="001D169B"/>
    <w:rsid w:val="001D16A1"/>
    <w:rsid w:val="001D17D6"/>
    <w:rsid w:val="001D25D7"/>
    <w:rsid w:val="001D2662"/>
    <w:rsid w:val="001D2EE6"/>
    <w:rsid w:val="001D3930"/>
    <w:rsid w:val="001D4371"/>
    <w:rsid w:val="001D4DC9"/>
    <w:rsid w:val="001D50B2"/>
    <w:rsid w:val="001D65D6"/>
    <w:rsid w:val="001D702D"/>
    <w:rsid w:val="001D71F4"/>
    <w:rsid w:val="001D7645"/>
    <w:rsid w:val="001E1E86"/>
    <w:rsid w:val="001E238E"/>
    <w:rsid w:val="001E2483"/>
    <w:rsid w:val="001E28DB"/>
    <w:rsid w:val="001E2ABB"/>
    <w:rsid w:val="001E2B1E"/>
    <w:rsid w:val="001E2CFF"/>
    <w:rsid w:val="001E2D10"/>
    <w:rsid w:val="001E2F24"/>
    <w:rsid w:val="001E30D4"/>
    <w:rsid w:val="001E34DF"/>
    <w:rsid w:val="001E52EB"/>
    <w:rsid w:val="001E5C5F"/>
    <w:rsid w:val="001E61D2"/>
    <w:rsid w:val="001E740C"/>
    <w:rsid w:val="001F0BC7"/>
    <w:rsid w:val="001F1235"/>
    <w:rsid w:val="001F1CB3"/>
    <w:rsid w:val="001F20F5"/>
    <w:rsid w:val="001F38B5"/>
    <w:rsid w:val="001F3B96"/>
    <w:rsid w:val="001F4081"/>
    <w:rsid w:val="001F4483"/>
    <w:rsid w:val="001F56E6"/>
    <w:rsid w:val="001F5FE2"/>
    <w:rsid w:val="001F622E"/>
    <w:rsid w:val="001F7361"/>
    <w:rsid w:val="002005CE"/>
    <w:rsid w:val="002007D0"/>
    <w:rsid w:val="0020080A"/>
    <w:rsid w:val="00200B23"/>
    <w:rsid w:val="002011B0"/>
    <w:rsid w:val="00201270"/>
    <w:rsid w:val="002012B4"/>
    <w:rsid w:val="0020191D"/>
    <w:rsid w:val="00201D71"/>
    <w:rsid w:val="0020268E"/>
    <w:rsid w:val="00203181"/>
    <w:rsid w:val="002035DE"/>
    <w:rsid w:val="00203783"/>
    <w:rsid w:val="0020385F"/>
    <w:rsid w:val="00205BA3"/>
    <w:rsid w:val="00206894"/>
    <w:rsid w:val="002068A0"/>
    <w:rsid w:val="00206F9B"/>
    <w:rsid w:val="00207021"/>
    <w:rsid w:val="0020732F"/>
    <w:rsid w:val="00207D00"/>
    <w:rsid w:val="00207F35"/>
    <w:rsid w:val="00210359"/>
    <w:rsid w:val="002103FA"/>
    <w:rsid w:val="002105C1"/>
    <w:rsid w:val="002116FD"/>
    <w:rsid w:val="00211711"/>
    <w:rsid w:val="002124F9"/>
    <w:rsid w:val="00213B82"/>
    <w:rsid w:val="00213ED0"/>
    <w:rsid w:val="00213EF5"/>
    <w:rsid w:val="00214456"/>
    <w:rsid w:val="002152A1"/>
    <w:rsid w:val="0021692E"/>
    <w:rsid w:val="00216BF5"/>
    <w:rsid w:val="00220733"/>
    <w:rsid w:val="0022076B"/>
    <w:rsid w:val="00220C25"/>
    <w:rsid w:val="00223B49"/>
    <w:rsid w:val="00223D5A"/>
    <w:rsid w:val="002246D7"/>
    <w:rsid w:val="002248CC"/>
    <w:rsid w:val="00224AB2"/>
    <w:rsid w:val="00224DD4"/>
    <w:rsid w:val="00225328"/>
    <w:rsid w:val="00226D0F"/>
    <w:rsid w:val="002278A0"/>
    <w:rsid w:val="002309CC"/>
    <w:rsid w:val="00231AE0"/>
    <w:rsid w:val="00231BA9"/>
    <w:rsid w:val="0023209F"/>
    <w:rsid w:val="00233A77"/>
    <w:rsid w:val="00233C01"/>
    <w:rsid w:val="0023413C"/>
    <w:rsid w:val="0023442E"/>
    <w:rsid w:val="002346F0"/>
    <w:rsid w:val="0023504C"/>
    <w:rsid w:val="00235161"/>
    <w:rsid w:val="002354E4"/>
    <w:rsid w:val="0023629D"/>
    <w:rsid w:val="00237255"/>
    <w:rsid w:val="00237ADF"/>
    <w:rsid w:val="00237E1B"/>
    <w:rsid w:val="002400D5"/>
    <w:rsid w:val="0024124B"/>
    <w:rsid w:val="00241517"/>
    <w:rsid w:val="00242125"/>
    <w:rsid w:val="002424AF"/>
    <w:rsid w:val="002439DC"/>
    <w:rsid w:val="00243C71"/>
    <w:rsid w:val="002441D2"/>
    <w:rsid w:val="002443A9"/>
    <w:rsid w:val="00244560"/>
    <w:rsid w:val="00244DC8"/>
    <w:rsid w:val="002458BA"/>
    <w:rsid w:val="00245CE9"/>
    <w:rsid w:val="0024636C"/>
    <w:rsid w:val="00246796"/>
    <w:rsid w:val="00246B40"/>
    <w:rsid w:val="00247925"/>
    <w:rsid w:val="00251006"/>
    <w:rsid w:val="00251152"/>
    <w:rsid w:val="002516EF"/>
    <w:rsid w:val="00251F32"/>
    <w:rsid w:val="002524D5"/>
    <w:rsid w:val="00252865"/>
    <w:rsid w:val="00253B1D"/>
    <w:rsid w:val="00254A67"/>
    <w:rsid w:val="00254DCF"/>
    <w:rsid w:val="00255139"/>
    <w:rsid w:val="0025534B"/>
    <w:rsid w:val="00255BB7"/>
    <w:rsid w:val="002565EA"/>
    <w:rsid w:val="002572A4"/>
    <w:rsid w:val="00257541"/>
    <w:rsid w:val="00257A39"/>
    <w:rsid w:val="00257AC4"/>
    <w:rsid w:val="00257BBE"/>
    <w:rsid w:val="00260192"/>
    <w:rsid w:val="00261EEF"/>
    <w:rsid w:val="00262A1A"/>
    <w:rsid w:val="00262A87"/>
    <w:rsid w:val="00263815"/>
    <w:rsid w:val="00264D26"/>
    <w:rsid w:val="00265083"/>
    <w:rsid w:val="002657E5"/>
    <w:rsid w:val="002659A6"/>
    <w:rsid w:val="00266431"/>
    <w:rsid w:val="00267642"/>
    <w:rsid w:val="00267AEA"/>
    <w:rsid w:val="00267E4D"/>
    <w:rsid w:val="002700E6"/>
    <w:rsid w:val="0027041F"/>
    <w:rsid w:val="0027294B"/>
    <w:rsid w:val="002730F6"/>
    <w:rsid w:val="00273EB4"/>
    <w:rsid w:val="00274682"/>
    <w:rsid w:val="00275158"/>
    <w:rsid w:val="00275272"/>
    <w:rsid w:val="002754B4"/>
    <w:rsid w:val="00275C5A"/>
    <w:rsid w:val="00276089"/>
    <w:rsid w:val="0027670A"/>
    <w:rsid w:val="002769F1"/>
    <w:rsid w:val="00277F8C"/>
    <w:rsid w:val="002805DA"/>
    <w:rsid w:val="00281014"/>
    <w:rsid w:val="0028247C"/>
    <w:rsid w:val="00283BD3"/>
    <w:rsid w:val="00284184"/>
    <w:rsid w:val="00284C38"/>
    <w:rsid w:val="00285BCE"/>
    <w:rsid w:val="0028665D"/>
    <w:rsid w:val="00286AF8"/>
    <w:rsid w:val="0028715B"/>
    <w:rsid w:val="00293411"/>
    <w:rsid w:val="00294D0B"/>
    <w:rsid w:val="00295A7F"/>
    <w:rsid w:val="00295BF3"/>
    <w:rsid w:val="00295CFD"/>
    <w:rsid w:val="00295F01"/>
    <w:rsid w:val="002968E8"/>
    <w:rsid w:val="00297758"/>
    <w:rsid w:val="002A13C3"/>
    <w:rsid w:val="002A14AB"/>
    <w:rsid w:val="002A28C5"/>
    <w:rsid w:val="002A2ADE"/>
    <w:rsid w:val="002A2F50"/>
    <w:rsid w:val="002A364A"/>
    <w:rsid w:val="002A3C59"/>
    <w:rsid w:val="002A7943"/>
    <w:rsid w:val="002B0002"/>
    <w:rsid w:val="002B05A1"/>
    <w:rsid w:val="002B0837"/>
    <w:rsid w:val="002B09A4"/>
    <w:rsid w:val="002B1C1F"/>
    <w:rsid w:val="002B407D"/>
    <w:rsid w:val="002B432F"/>
    <w:rsid w:val="002B62B3"/>
    <w:rsid w:val="002B6754"/>
    <w:rsid w:val="002B6CCE"/>
    <w:rsid w:val="002B6E5F"/>
    <w:rsid w:val="002C2510"/>
    <w:rsid w:val="002C2775"/>
    <w:rsid w:val="002C27C1"/>
    <w:rsid w:val="002C2F38"/>
    <w:rsid w:val="002C3012"/>
    <w:rsid w:val="002C36A2"/>
    <w:rsid w:val="002C36E3"/>
    <w:rsid w:val="002C395F"/>
    <w:rsid w:val="002C49EC"/>
    <w:rsid w:val="002C5099"/>
    <w:rsid w:val="002C5889"/>
    <w:rsid w:val="002C70D1"/>
    <w:rsid w:val="002C71CE"/>
    <w:rsid w:val="002C7B60"/>
    <w:rsid w:val="002C7B8B"/>
    <w:rsid w:val="002D08F8"/>
    <w:rsid w:val="002D3973"/>
    <w:rsid w:val="002D4CF3"/>
    <w:rsid w:val="002D577C"/>
    <w:rsid w:val="002D623A"/>
    <w:rsid w:val="002D6E31"/>
    <w:rsid w:val="002D7832"/>
    <w:rsid w:val="002D7D1E"/>
    <w:rsid w:val="002E1071"/>
    <w:rsid w:val="002E15B9"/>
    <w:rsid w:val="002E2158"/>
    <w:rsid w:val="002E4F02"/>
    <w:rsid w:val="002E7722"/>
    <w:rsid w:val="002F07BA"/>
    <w:rsid w:val="002F0AD3"/>
    <w:rsid w:val="002F0DA9"/>
    <w:rsid w:val="002F0F5F"/>
    <w:rsid w:val="002F1014"/>
    <w:rsid w:val="002F1522"/>
    <w:rsid w:val="002F1ABB"/>
    <w:rsid w:val="002F1E3B"/>
    <w:rsid w:val="002F20FB"/>
    <w:rsid w:val="002F3FB0"/>
    <w:rsid w:val="002F4364"/>
    <w:rsid w:val="002F4E58"/>
    <w:rsid w:val="002F643C"/>
    <w:rsid w:val="002F6A00"/>
    <w:rsid w:val="002F6D99"/>
    <w:rsid w:val="002F71C0"/>
    <w:rsid w:val="002F74F1"/>
    <w:rsid w:val="002F7993"/>
    <w:rsid w:val="00300907"/>
    <w:rsid w:val="00301017"/>
    <w:rsid w:val="0030155F"/>
    <w:rsid w:val="0030267E"/>
    <w:rsid w:val="0030587B"/>
    <w:rsid w:val="00305D33"/>
    <w:rsid w:val="00306864"/>
    <w:rsid w:val="00306960"/>
    <w:rsid w:val="00306D98"/>
    <w:rsid w:val="0030786C"/>
    <w:rsid w:val="00307945"/>
    <w:rsid w:val="00307ABD"/>
    <w:rsid w:val="00307B99"/>
    <w:rsid w:val="0031031A"/>
    <w:rsid w:val="00310469"/>
    <w:rsid w:val="00310981"/>
    <w:rsid w:val="00311B20"/>
    <w:rsid w:val="00311D9B"/>
    <w:rsid w:val="003124D9"/>
    <w:rsid w:val="00312594"/>
    <w:rsid w:val="0031387A"/>
    <w:rsid w:val="003140F3"/>
    <w:rsid w:val="00314B19"/>
    <w:rsid w:val="00315498"/>
    <w:rsid w:val="00316474"/>
    <w:rsid w:val="00320388"/>
    <w:rsid w:val="0032067E"/>
    <w:rsid w:val="00322107"/>
    <w:rsid w:val="00322355"/>
    <w:rsid w:val="003224EC"/>
    <w:rsid w:val="00322846"/>
    <w:rsid w:val="00323061"/>
    <w:rsid w:val="00323CF1"/>
    <w:rsid w:val="00324BD9"/>
    <w:rsid w:val="00325A3D"/>
    <w:rsid w:val="00326DA7"/>
    <w:rsid w:val="003270E4"/>
    <w:rsid w:val="003277F5"/>
    <w:rsid w:val="0033036E"/>
    <w:rsid w:val="003306AE"/>
    <w:rsid w:val="00330DAA"/>
    <w:rsid w:val="00330F5C"/>
    <w:rsid w:val="00331100"/>
    <w:rsid w:val="00331C66"/>
    <w:rsid w:val="00332AF2"/>
    <w:rsid w:val="003331C3"/>
    <w:rsid w:val="003336DA"/>
    <w:rsid w:val="00334009"/>
    <w:rsid w:val="00335776"/>
    <w:rsid w:val="003366C9"/>
    <w:rsid w:val="0033673A"/>
    <w:rsid w:val="0033710F"/>
    <w:rsid w:val="003371B0"/>
    <w:rsid w:val="00340DF1"/>
    <w:rsid w:val="00341AE1"/>
    <w:rsid w:val="00346125"/>
    <w:rsid w:val="003467DE"/>
    <w:rsid w:val="003474AD"/>
    <w:rsid w:val="00347E4C"/>
    <w:rsid w:val="00347E4D"/>
    <w:rsid w:val="00350497"/>
    <w:rsid w:val="0035112F"/>
    <w:rsid w:val="0035146E"/>
    <w:rsid w:val="003517F9"/>
    <w:rsid w:val="00351972"/>
    <w:rsid w:val="00351BA9"/>
    <w:rsid w:val="00351D55"/>
    <w:rsid w:val="00354F64"/>
    <w:rsid w:val="00355204"/>
    <w:rsid w:val="0035620E"/>
    <w:rsid w:val="00357540"/>
    <w:rsid w:val="003575BE"/>
    <w:rsid w:val="00360345"/>
    <w:rsid w:val="00361A05"/>
    <w:rsid w:val="00361BEC"/>
    <w:rsid w:val="00362133"/>
    <w:rsid w:val="003624C4"/>
    <w:rsid w:val="00363B00"/>
    <w:rsid w:val="00363DD8"/>
    <w:rsid w:val="00364BF7"/>
    <w:rsid w:val="003654AC"/>
    <w:rsid w:val="00365DCE"/>
    <w:rsid w:val="0036645D"/>
    <w:rsid w:val="00366569"/>
    <w:rsid w:val="003666D0"/>
    <w:rsid w:val="00366FA2"/>
    <w:rsid w:val="003710CF"/>
    <w:rsid w:val="003711AD"/>
    <w:rsid w:val="003722A2"/>
    <w:rsid w:val="00373372"/>
    <w:rsid w:val="0037358A"/>
    <w:rsid w:val="00373B42"/>
    <w:rsid w:val="00374034"/>
    <w:rsid w:val="0037408C"/>
    <w:rsid w:val="003750F6"/>
    <w:rsid w:val="003752B9"/>
    <w:rsid w:val="00375C7C"/>
    <w:rsid w:val="003760FC"/>
    <w:rsid w:val="00382CC2"/>
    <w:rsid w:val="0038365C"/>
    <w:rsid w:val="0038369B"/>
    <w:rsid w:val="00383B78"/>
    <w:rsid w:val="00385A9D"/>
    <w:rsid w:val="0038604F"/>
    <w:rsid w:val="0038650E"/>
    <w:rsid w:val="00386ABB"/>
    <w:rsid w:val="00387121"/>
    <w:rsid w:val="00387787"/>
    <w:rsid w:val="003902B1"/>
    <w:rsid w:val="003909CD"/>
    <w:rsid w:val="0039179C"/>
    <w:rsid w:val="00391805"/>
    <w:rsid w:val="00394DA4"/>
    <w:rsid w:val="00396896"/>
    <w:rsid w:val="00396FD0"/>
    <w:rsid w:val="0039725A"/>
    <w:rsid w:val="003972CC"/>
    <w:rsid w:val="00397869"/>
    <w:rsid w:val="003A1A7A"/>
    <w:rsid w:val="003A2392"/>
    <w:rsid w:val="003A26A8"/>
    <w:rsid w:val="003A2831"/>
    <w:rsid w:val="003A2C79"/>
    <w:rsid w:val="003A3CB6"/>
    <w:rsid w:val="003A3ED1"/>
    <w:rsid w:val="003A44DB"/>
    <w:rsid w:val="003A4C14"/>
    <w:rsid w:val="003B1AD3"/>
    <w:rsid w:val="003B3971"/>
    <w:rsid w:val="003B399B"/>
    <w:rsid w:val="003B4041"/>
    <w:rsid w:val="003B428B"/>
    <w:rsid w:val="003B52FB"/>
    <w:rsid w:val="003B55D1"/>
    <w:rsid w:val="003B5B61"/>
    <w:rsid w:val="003B5F83"/>
    <w:rsid w:val="003B6065"/>
    <w:rsid w:val="003B694B"/>
    <w:rsid w:val="003C1654"/>
    <w:rsid w:val="003C4C44"/>
    <w:rsid w:val="003C4D12"/>
    <w:rsid w:val="003C50FE"/>
    <w:rsid w:val="003C5542"/>
    <w:rsid w:val="003C60B4"/>
    <w:rsid w:val="003C74A6"/>
    <w:rsid w:val="003C7C15"/>
    <w:rsid w:val="003C7D19"/>
    <w:rsid w:val="003C7D2F"/>
    <w:rsid w:val="003D061F"/>
    <w:rsid w:val="003D0C5A"/>
    <w:rsid w:val="003D1106"/>
    <w:rsid w:val="003D1828"/>
    <w:rsid w:val="003D1DE4"/>
    <w:rsid w:val="003D1E9A"/>
    <w:rsid w:val="003D214F"/>
    <w:rsid w:val="003D2422"/>
    <w:rsid w:val="003D39A1"/>
    <w:rsid w:val="003D3FBF"/>
    <w:rsid w:val="003D4A30"/>
    <w:rsid w:val="003D7452"/>
    <w:rsid w:val="003D79BB"/>
    <w:rsid w:val="003D7C98"/>
    <w:rsid w:val="003D7D9D"/>
    <w:rsid w:val="003E0543"/>
    <w:rsid w:val="003E1EB3"/>
    <w:rsid w:val="003E5603"/>
    <w:rsid w:val="003E749E"/>
    <w:rsid w:val="003E7705"/>
    <w:rsid w:val="003F0E50"/>
    <w:rsid w:val="003F1BBE"/>
    <w:rsid w:val="003F20CA"/>
    <w:rsid w:val="003F4156"/>
    <w:rsid w:val="003F439C"/>
    <w:rsid w:val="003F5ADF"/>
    <w:rsid w:val="003F7863"/>
    <w:rsid w:val="00400606"/>
    <w:rsid w:val="00400B29"/>
    <w:rsid w:val="0040217E"/>
    <w:rsid w:val="00402812"/>
    <w:rsid w:val="00402908"/>
    <w:rsid w:val="00403B4F"/>
    <w:rsid w:val="00404E82"/>
    <w:rsid w:val="0040504B"/>
    <w:rsid w:val="004059F4"/>
    <w:rsid w:val="00407265"/>
    <w:rsid w:val="00407FE5"/>
    <w:rsid w:val="004101B0"/>
    <w:rsid w:val="00410326"/>
    <w:rsid w:val="00410708"/>
    <w:rsid w:val="00410EC7"/>
    <w:rsid w:val="0041119F"/>
    <w:rsid w:val="00411B39"/>
    <w:rsid w:val="004127A7"/>
    <w:rsid w:val="00413A1E"/>
    <w:rsid w:val="00414079"/>
    <w:rsid w:val="00414476"/>
    <w:rsid w:val="00414C2E"/>
    <w:rsid w:val="004151CF"/>
    <w:rsid w:val="00415EBC"/>
    <w:rsid w:val="00416364"/>
    <w:rsid w:val="0042047F"/>
    <w:rsid w:val="00420A04"/>
    <w:rsid w:val="00420AA6"/>
    <w:rsid w:val="00420B9F"/>
    <w:rsid w:val="00421281"/>
    <w:rsid w:val="0042192C"/>
    <w:rsid w:val="00421DEE"/>
    <w:rsid w:val="00422260"/>
    <w:rsid w:val="00422AE4"/>
    <w:rsid w:val="0042413F"/>
    <w:rsid w:val="00424A6D"/>
    <w:rsid w:val="00424E3E"/>
    <w:rsid w:val="00426D7E"/>
    <w:rsid w:val="004319F8"/>
    <w:rsid w:val="00431E55"/>
    <w:rsid w:val="004321F6"/>
    <w:rsid w:val="00432DB9"/>
    <w:rsid w:val="00433044"/>
    <w:rsid w:val="00433B02"/>
    <w:rsid w:val="0043402B"/>
    <w:rsid w:val="00434088"/>
    <w:rsid w:val="00434646"/>
    <w:rsid w:val="004356D0"/>
    <w:rsid w:val="00436B85"/>
    <w:rsid w:val="004375B9"/>
    <w:rsid w:val="00441271"/>
    <w:rsid w:val="004416C5"/>
    <w:rsid w:val="00441839"/>
    <w:rsid w:val="00442037"/>
    <w:rsid w:val="004425F2"/>
    <w:rsid w:val="004428D0"/>
    <w:rsid w:val="00444185"/>
    <w:rsid w:val="004443A7"/>
    <w:rsid w:val="0044442C"/>
    <w:rsid w:val="00445941"/>
    <w:rsid w:val="004464EB"/>
    <w:rsid w:val="0044718A"/>
    <w:rsid w:val="00447D26"/>
    <w:rsid w:val="00447DFC"/>
    <w:rsid w:val="004504D0"/>
    <w:rsid w:val="00450C2E"/>
    <w:rsid w:val="00454FD9"/>
    <w:rsid w:val="00455006"/>
    <w:rsid w:val="0045592B"/>
    <w:rsid w:val="00455D45"/>
    <w:rsid w:val="004607F5"/>
    <w:rsid w:val="00461468"/>
    <w:rsid w:val="00461CCB"/>
    <w:rsid w:val="00461DBD"/>
    <w:rsid w:val="00463564"/>
    <w:rsid w:val="004640D1"/>
    <w:rsid w:val="00464595"/>
    <w:rsid w:val="004658B5"/>
    <w:rsid w:val="00466704"/>
    <w:rsid w:val="00466D52"/>
    <w:rsid w:val="004710B2"/>
    <w:rsid w:val="00471360"/>
    <w:rsid w:val="004719E8"/>
    <w:rsid w:val="00471EA5"/>
    <w:rsid w:val="004721DB"/>
    <w:rsid w:val="00472A79"/>
    <w:rsid w:val="004734A2"/>
    <w:rsid w:val="004737B1"/>
    <w:rsid w:val="00473F19"/>
    <w:rsid w:val="00474471"/>
    <w:rsid w:val="00474CA2"/>
    <w:rsid w:val="00475E22"/>
    <w:rsid w:val="00477BB3"/>
    <w:rsid w:val="00477C72"/>
    <w:rsid w:val="00477EF2"/>
    <w:rsid w:val="0048088E"/>
    <w:rsid w:val="00480928"/>
    <w:rsid w:val="00480F2B"/>
    <w:rsid w:val="00482720"/>
    <w:rsid w:val="004835E7"/>
    <w:rsid w:val="00484A25"/>
    <w:rsid w:val="00484A5D"/>
    <w:rsid w:val="004859E1"/>
    <w:rsid w:val="004867E2"/>
    <w:rsid w:val="00486DED"/>
    <w:rsid w:val="00487551"/>
    <w:rsid w:val="00490A68"/>
    <w:rsid w:val="00490B17"/>
    <w:rsid w:val="00491590"/>
    <w:rsid w:val="00491B3A"/>
    <w:rsid w:val="00492069"/>
    <w:rsid w:val="00492786"/>
    <w:rsid w:val="00492CFD"/>
    <w:rsid w:val="004935FC"/>
    <w:rsid w:val="00494207"/>
    <w:rsid w:val="0049429F"/>
    <w:rsid w:val="00494DD5"/>
    <w:rsid w:val="004962D2"/>
    <w:rsid w:val="0049674D"/>
    <w:rsid w:val="00497587"/>
    <w:rsid w:val="004A0DA1"/>
    <w:rsid w:val="004A13D6"/>
    <w:rsid w:val="004A281E"/>
    <w:rsid w:val="004A2DE0"/>
    <w:rsid w:val="004A3052"/>
    <w:rsid w:val="004A3944"/>
    <w:rsid w:val="004A3CF0"/>
    <w:rsid w:val="004A52E9"/>
    <w:rsid w:val="004A6040"/>
    <w:rsid w:val="004A64F0"/>
    <w:rsid w:val="004A6597"/>
    <w:rsid w:val="004A716B"/>
    <w:rsid w:val="004A7848"/>
    <w:rsid w:val="004A793B"/>
    <w:rsid w:val="004A7B95"/>
    <w:rsid w:val="004B0540"/>
    <w:rsid w:val="004B07EB"/>
    <w:rsid w:val="004B1CB4"/>
    <w:rsid w:val="004B2813"/>
    <w:rsid w:val="004B2F18"/>
    <w:rsid w:val="004B3551"/>
    <w:rsid w:val="004B3ABD"/>
    <w:rsid w:val="004B3DDB"/>
    <w:rsid w:val="004B44FD"/>
    <w:rsid w:val="004B5A57"/>
    <w:rsid w:val="004B5B94"/>
    <w:rsid w:val="004B5CFC"/>
    <w:rsid w:val="004B6EAC"/>
    <w:rsid w:val="004B6F0C"/>
    <w:rsid w:val="004B6F79"/>
    <w:rsid w:val="004B774D"/>
    <w:rsid w:val="004C0E0D"/>
    <w:rsid w:val="004C25C2"/>
    <w:rsid w:val="004C2AC2"/>
    <w:rsid w:val="004C35A9"/>
    <w:rsid w:val="004C3E05"/>
    <w:rsid w:val="004C4AED"/>
    <w:rsid w:val="004C5467"/>
    <w:rsid w:val="004C7A80"/>
    <w:rsid w:val="004D04EC"/>
    <w:rsid w:val="004D1CA1"/>
    <w:rsid w:val="004D23BF"/>
    <w:rsid w:val="004D2C2D"/>
    <w:rsid w:val="004D3240"/>
    <w:rsid w:val="004D3CC7"/>
    <w:rsid w:val="004D4C0E"/>
    <w:rsid w:val="004D69B5"/>
    <w:rsid w:val="004D7116"/>
    <w:rsid w:val="004D7227"/>
    <w:rsid w:val="004D72D5"/>
    <w:rsid w:val="004D7B5E"/>
    <w:rsid w:val="004E0E7F"/>
    <w:rsid w:val="004E0EB8"/>
    <w:rsid w:val="004E18E9"/>
    <w:rsid w:val="004E2ADC"/>
    <w:rsid w:val="004E349A"/>
    <w:rsid w:val="004E43B2"/>
    <w:rsid w:val="004E447B"/>
    <w:rsid w:val="004E5AFD"/>
    <w:rsid w:val="004E6773"/>
    <w:rsid w:val="004E6B25"/>
    <w:rsid w:val="004F1D02"/>
    <w:rsid w:val="004F2679"/>
    <w:rsid w:val="004F297B"/>
    <w:rsid w:val="004F2F21"/>
    <w:rsid w:val="004F3DE5"/>
    <w:rsid w:val="004F454E"/>
    <w:rsid w:val="004F481F"/>
    <w:rsid w:val="004F51B8"/>
    <w:rsid w:val="004F5B8F"/>
    <w:rsid w:val="004F67C9"/>
    <w:rsid w:val="004F6913"/>
    <w:rsid w:val="004F69A5"/>
    <w:rsid w:val="004F7168"/>
    <w:rsid w:val="004F7865"/>
    <w:rsid w:val="00500A4A"/>
    <w:rsid w:val="00500CF3"/>
    <w:rsid w:val="00500EF0"/>
    <w:rsid w:val="0050174E"/>
    <w:rsid w:val="00501854"/>
    <w:rsid w:val="0050219B"/>
    <w:rsid w:val="00503B1F"/>
    <w:rsid w:val="00503F17"/>
    <w:rsid w:val="00503F3A"/>
    <w:rsid w:val="00504038"/>
    <w:rsid w:val="005040DC"/>
    <w:rsid w:val="0050427D"/>
    <w:rsid w:val="00504CFC"/>
    <w:rsid w:val="00505AE6"/>
    <w:rsid w:val="00506928"/>
    <w:rsid w:val="005077EF"/>
    <w:rsid w:val="005107A8"/>
    <w:rsid w:val="005107CC"/>
    <w:rsid w:val="00511145"/>
    <w:rsid w:val="00511AD5"/>
    <w:rsid w:val="00511DC7"/>
    <w:rsid w:val="0051393E"/>
    <w:rsid w:val="00513BA4"/>
    <w:rsid w:val="005142C5"/>
    <w:rsid w:val="0051445E"/>
    <w:rsid w:val="00514A56"/>
    <w:rsid w:val="0051501B"/>
    <w:rsid w:val="005152B5"/>
    <w:rsid w:val="00515886"/>
    <w:rsid w:val="00516FE5"/>
    <w:rsid w:val="00520857"/>
    <w:rsid w:val="0052123C"/>
    <w:rsid w:val="00521319"/>
    <w:rsid w:val="00521D4E"/>
    <w:rsid w:val="00522BC8"/>
    <w:rsid w:val="00523AA2"/>
    <w:rsid w:val="00523C28"/>
    <w:rsid w:val="005243CB"/>
    <w:rsid w:val="005245EE"/>
    <w:rsid w:val="0052463E"/>
    <w:rsid w:val="0053028C"/>
    <w:rsid w:val="0053176B"/>
    <w:rsid w:val="00532DCB"/>
    <w:rsid w:val="005341B3"/>
    <w:rsid w:val="00535302"/>
    <w:rsid w:val="0053545A"/>
    <w:rsid w:val="00536F42"/>
    <w:rsid w:val="00537182"/>
    <w:rsid w:val="00541066"/>
    <w:rsid w:val="00541D3D"/>
    <w:rsid w:val="00541EDD"/>
    <w:rsid w:val="00541F5A"/>
    <w:rsid w:val="00542743"/>
    <w:rsid w:val="005427BF"/>
    <w:rsid w:val="0054295E"/>
    <w:rsid w:val="00542C2D"/>
    <w:rsid w:val="00543FA6"/>
    <w:rsid w:val="00545A66"/>
    <w:rsid w:val="005478BD"/>
    <w:rsid w:val="005479E3"/>
    <w:rsid w:val="00547C0A"/>
    <w:rsid w:val="00551985"/>
    <w:rsid w:val="00551DEF"/>
    <w:rsid w:val="0055278E"/>
    <w:rsid w:val="00552B89"/>
    <w:rsid w:val="00552BD3"/>
    <w:rsid w:val="00552BFF"/>
    <w:rsid w:val="00552DBB"/>
    <w:rsid w:val="005532A0"/>
    <w:rsid w:val="00554833"/>
    <w:rsid w:val="00554A53"/>
    <w:rsid w:val="00554B40"/>
    <w:rsid w:val="00555109"/>
    <w:rsid w:val="005567CF"/>
    <w:rsid w:val="0055698D"/>
    <w:rsid w:val="00556B35"/>
    <w:rsid w:val="0055741A"/>
    <w:rsid w:val="00560576"/>
    <w:rsid w:val="005611B7"/>
    <w:rsid w:val="005618D4"/>
    <w:rsid w:val="00561BF0"/>
    <w:rsid w:val="00564867"/>
    <w:rsid w:val="00565C79"/>
    <w:rsid w:val="00565DF0"/>
    <w:rsid w:val="00566419"/>
    <w:rsid w:val="0056696F"/>
    <w:rsid w:val="00566A13"/>
    <w:rsid w:val="0056718F"/>
    <w:rsid w:val="005705FC"/>
    <w:rsid w:val="00571FDB"/>
    <w:rsid w:val="00572269"/>
    <w:rsid w:val="0057244A"/>
    <w:rsid w:val="005727DC"/>
    <w:rsid w:val="00572F26"/>
    <w:rsid w:val="005750C5"/>
    <w:rsid w:val="005752A5"/>
    <w:rsid w:val="005752DE"/>
    <w:rsid w:val="00575AA1"/>
    <w:rsid w:val="00575D60"/>
    <w:rsid w:val="00575D8D"/>
    <w:rsid w:val="00575DBB"/>
    <w:rsid w:val="00576972"/>
    <w:rsid w:val="00577248"/>
    <w:rsid w:val="0058018C"/>
    <w:rsid w:val="0058203F"/>
    <w:rsid w:val="005825E1"/>
    <w:rsid w:val="005835F5"/>
    <w:rsid w:val="00583699"/>
    <w:rsid w:val="00583E2B"/>
    <w:rsid w:val="00584A04"/>
    <w:rsid w:val="00585CDD"/>
    <w:rsid w:val="00586C19"/>
    <w:rsid w:val="00586F5E"/>
    <w:rsid w:val="00587058"/>
    <w:rsid w:val="00587CE5"/>
    <w:rsid w:val="0059072D"/>
    <w:rsid w:val="00590769"/>
    <w:rsid w:val="00591957"/>
    <w:rsid w:val="00593D22"/>
    <w:rsid w:val="00594919"/>
    <w:rsid w:val="00594FEB"/>
    <w:rsid w:val="0059516E"/>
    <w:rsid w:val="00595D53"/>
    <w:rsid w:val="00596840"/>
    <w:rsid w:val="00596AF8"/>
    <w:rsid w:val="00597BF9"/>
    <w:rsid w:val="005A0C11"/>
    <w:rsid w:val="005A161F"/>
    <w:rsid w:val="005A309A"/>
    <w:rsid w:val="005A373D"/>
    <w:rsid w:val="005A3FE2"/>
    <w:rsid w:val="005A537B"/>
    <w:rsid w:val="005A53D8"/>
    <w:rsid w:val="005A632F"/>
    <w:rsid w:val="005A7447"/>
    <w:rsid w:val="005B0497"/>
    <w:rsid w:val="005B0B58"/>
    <w:rsid w:val="005B0FE2"/>
    <w:rsid w:val="005B16F9"/>
    <w:rsid w:val="005B286A"/>
    <w:rsid w:val="005B3B3F"/>
    <w:rsid w:val="005B3E30"/>
    <w:rsid w:val="005B401A"/>
    <w:rsid w:val="005B40FD"/>
    <w:rsid w:val="005B4E53"/>
    <w:rsid w:val="005B535B"/>
    <w:rsid w:val="005B5857"/>
    <w:rsid w:val="005B6325"/>
    <w:rsid w:val="005B66F9"/>
    <w:rsid w:val="005B717F"/>
    <w:rsid w:val="005B76A0"/>
    <w:rsid w:val="005C0024"/>
    <w:rsid w:val="005C19C4"/>
    <w:rsid w:val="005C1B83"/>
    <w:rsid w:val="005C2437"/>
    <w:rsid w:val="005C25FF"/>
    <w:rsid w:val="005C2D1E"/>
    <w:rsid w:val="005C2D55"/>
    <w:rsid w:val="005C2D94"/>
    <w:rsid w:val="005C346B"/>
    <w:rsid w:val="005C4369"/>
    <w:rsid w:val="005C473F"/>
    <w:rsid w:val="005C4788"/>
    <w:rsid w:val="005C5310"/>
    <w:rsid w:val="005C561C"/>
    <w:rsid w:val="005C5ABC"/>
    <w:rsid w:val="005D044D"/>
    <w:rsid w:val="005D0ABD"/>
    <w:rsid w:val="005D18AD"/>
    <w:rsid w:val="005D1C81"/>
    <w:rsid w:val="005D26B4"/>
    <w:rsid w:val="005D3216"/>
    <w:rsid w:val="005D4A71"/>
    <w:rsid w:val="005D53E7"/>
    <w:rsid w:val="005D77E3"/>
    <w:rsid w:val="005E0B78"/>
    <w:rsid w:val="005E1207"/>
    <w:rsid w:val="005E1995"/>
    <w:rsid w:val="005E2327"/>
    <w:rsid w:val="005E27D7"/>
    <w:rsid w:val="005E531D"/>
    <w:rsid w:val="005E6CBC"/>
    <w:rsid w:val="005E72FF"/>
    <w:rsid w:val="005E73C0"/>
    <w:rsid w:val="005F07ED"/>
    <w:rsid w:val="005F0CE8"/>
    <w:rsid w:val="005F2706"/>
    <w:rsid w:val="005F2CDD"/>
    <w:rsid w:val="005F40DD"/>
    <w:rsid w:val="005F4C63"/>
    <w:rsid w:val="005F4FD2"/>
    <w:rsid w:val="005F5C2A"/>
    <w:rsid w:val="005F699F"/>
    <w:rsid w:val="005F6A8F"/>
    <w:rsid w:val="005F6BB7"/>
    <w:rsid w:val="005F7211"/>
    <w:rsid w:val="005F7588"/>
    <w:rsid w:val="00602F86"/>
    <w:rsid w:val="00603DB9"/>
    <w:rsid w:val="00604DFB"/>
    <w:rsid w:val="00605CD4"/>
    <w:rsid w:val="00606FBA"/>
    <w:rsid w:val="00607669"/>
    <w:rsid w:val="006076F4"/>
    <w:rsid w:val="00607AFD"/>
    <w:rsid w:val="00610387"/>
    <w:rsid w:val="00611B12"/>
    <w:rsid w:val="00612F97"/>
    <w:rsid w:val="0061345D"/>
    <w:rsid w:val="00614051"/>
    <w:rsid w:val="006145AF"/>
    <w:rsid w:val="006145FD"/>
    <w:rsid w:val="0061549B"/>
    <w:rsid w:val="00616802"/>
    <w:rsid w:val="00617C0E"/>
    <w:rsid w:val="00617E12"/>
    <w:rsid w:val="00620158"/>
    <w:rsid w:val="006208BE"/>
    <w:rsid w:val="00620C25"/>
    <w:rsid w:val="00621477"/>
    <w:rsid w:val="00621ADA"/>
    <w:rsid w:val="00621CE9"/>
    <w:rsid w:val="00623F7B"/>
    <w:rsid w:val="00624BD4"/>
    <w:rsid w:val="0062663E"/>
    <w:rsid w:val="00627662"/>
    <w:rsid w:val="006276C9"/>
    <w:rsid w:val="00627D6F"/>
    <w:rsid w:val="00630599"/>
    <w:rsid w:val="00630CA3"/>
    <w:rsid w:val="0063158F"/>
    <w:rsid w:val="00631935"/>
    <w:rsid w:val="00631D6B"/>
    <w:rsid w:val="00632183"/>
    <w:rsid w:val="0063228C"/>
    <w:rsid w:val="006330A1"/>
    <w:rsid w:val="00633694"/>
    <w:rsid w:val="006339CC"/>
    <w:rsid w:val="0063479F"/>
    <w:rsid w:val="0063497A"/>
    <w:rsid w:val="006353F0"/>
    <w:rsid w:val="006357B5"/>
    <w:rsid w:val="0063599C"/>
    <w:rsid w:val="006364A1"/>
    <w:rsid w:val="0063678E"/>
    <w:rsid w:val="00636BE8"/>
    <w:rsid w:val="00637BFD"/>
    <w:rsid w:val="00637C5C"/>
    <w:rsid w:val="00641C4E"/>
    <w:rsid w:val="00641FB3"/>
    <w:rsid w:val="006424DB"/>
    <w:rsid w:val="006426E9"/>
    <w:rsid w:val="0064289B"/>
    <w:rsid w:val="00643144"/>
    <w:rsid w:val="0064434C"/>
    <w:rsid w:val="0064599A"/>
    <w:rsid w:val="00645AC4"/>
    <w:rsid w:val="006462FA"/>
    <w:rsid w:val="006471CC"/>
    <w:rsid w:val="006472FE"/>
    <w:rsid w:val="00647A29"/>
    <w:rsid w:val="0065079F"/>
    <w:rsid w:val="00652505"/>
    <w:rsid w:val="00652A28"/>
    <w:rsid w:val="0065379F"/>
    <w:rsid w:val="00653F6D"/>
    <w:rsid w:val="00656188"/>
    <w:rsid w:val="00656BD4"/>
    <w:rsid w:val="00656CB6"/>
    <w:rsid w:val="006570AF"/>
    <w:rsid w:val="0065715A"/>
    <w:rsid w:val="006578ED"/>
    <w:rsid w:val="0066091B"/>
    <w:rsid w:val="006610F1"/>
    <w:rsid w:val="00661521"/>
    <w:rsid w:val="00661C6B"/>
    <w:rsid w:val="0066216F"/>
    <w:rsid w:val="0066293A"/>
    <w:rsid w:val="00662D3E"/>
    <w:rsid w:val="00663DCF"/>
    <w:rsid w:val="00664366"/>
    <w:rsid w:val="00664ED2"/>
    <w:rsid w:val="0066509A"/>
    <w:rsid w:val="00666105"/>
    <w:rsid w:val="006665C7"/>
    <w:rsid w:val="00666B6F"/>
    <w:rsid w:val="00667BE3"/>
    <w:rsid w:val="00670CB7"/>
    <w:rsid w:val="00671004"/>
    <w:rsid w:val="00672153"/>
    <w:rsid w:val="00672646"/>
    <w:rsid w:val="00672D16"/>
    <w:rsid w:val="0067427D"/>
    <w:rsid w:val="00674E42"/>
    <w:rsid w:val="00675BB4"/>
    <w:rsid w:val="00675DC4"/>
    <w:rsid w:val="00676563"/>
    <w:rsid w:val="00680324"/>
    <w:rsid w:val="0068036B"/>
    <w:rsid w:val="00680D40"/>
    <w:rsid w:val="0068131F"/>
    <w:rsid w:val="006813F8"/>
    <w:rsid w:val="00682112"/>
    <w:rsid w:val="00682BA6"/>
    <w:rsid w:val="00683C98"/>
    <w:rsid w:val="00683E7D"/>
    <w:rsid w:val="0068448F"/>
    <w:rsid w:val="00684920"/>
    <w:rsid w:val="00684A5C"/>
    <w:rsid w:val="00686957"/>
    <w:rsid w:val="00686F21"/>
    <w:rsid w:val="006872BA"/>
    <w:rsid w:val="006874F1"/>
    <w:rsid w:val="00690795"/>
    <w:rsid w:val="00690AA5"/>
    <w:rsid w:val="00691648"/>
    <w:rsid w:val="006917D7"/>
    <w:rsid w:val="006921D0"/>
    <w:rsid w:val="0069297F"/>
    <w:rsid w:val="006933DB"/>
    <w:rsid w:val="00693E43"/>
    <w:rsid w:val="006940C6"/>
    <w:rsid w:val="0069434C"/>
    <w:rsid w:val="0069456F"/>
    <w:rsid w:val="00694F44"/>
    <w:rsid w:val="00696DEA"/>
    <w:rsid w:val="00696EF9"/>
    <w:rsid w:val="00696F51"/>
    <w:rsid w:val="006970F5"/>
    <w:rsid w:val="006979A5"/>
    <w:rsid w:val="00697FED"/>
    <w:rsid w:val="006A016F"/>
    <w:rsid w:val="006A0DF7"/>
    <w:rsid w:val="006A1010"/>
    <w:rsid w:val="006A2F69"/>
    <w:rsid w:val="006A3DF7"/>
    <w:rsid w:val="006A4321"/>
    <w:rsid w:val="006A43D9"/>
    <w:rsid w:val="006A4725"/>
    <w:rsid w:val="006A5061"/>
    <w:rsid w:val="006A5570"/>
    <w:rsid w:val="006A584E"/>
    <w:rsid w:val="006A674C"/>
    <w:rsid w:val="006A6B99"/>
    <w:rsid w:val="006A6D91"/>
    <w:rsid w:val="006A7527"/>
    <w:rsid w:val="006A7CE2"/>
    <w:rsid w:val="006A7E5F"/>
    <w:rsid w:val="006B0173"/>
    <w:rsid w:val="006B261B"/>
    <w:rsid w:val="006B2C90"/>
    <w:rsid w:val="006B35E6"/>
    <w:rsid w:val="006B465A"/>
    <w:rsid w:val="006B4C1A"/>
    <w:rsid w:val="006B5DA4"/>
    <w:rsid w:val="006B6DD0"/>
    <w:rsid w:val="006B76D3"/>
    <w:rsid w:val="006C0399"/>
    <w:rsid w:val="006C1322"/>
    <w:rsid w:val="006C2A8E"/>
    <w:rsid w:val="006C3255"/>
    <w:rsid w:val="006C3F26"/>
    <w:rsid w:val="006C6093"/>
    <w:rsid w:val="006C6BDD"/>
    <w:rsid w:val="006C6FA7"/>
    <w:rsid w:val="006D0321"/>
    <w:rsid w:val="006D0D17"/>
    <w:rsid w:val="006D3C7D"/>
    <w:rsid w:val="006D42E4"/>
    <w:rsid w:val="006D4409"/>
    <w:rsid w:val="006D4659"/>
    <w:rsid w:val="006D4DE1"/>
    <w:rsid w:val="006D5D5F"/>
    <w:rsid w:val="006D68FB"/>
    <w:rsid w:val="006D71C1"/>
    <w:rsid w:val="006D7886"/>
    <w:rsid w:val="006E2305"/>
    <w:rsid w:val="006E2868"/>
    <w:rsid w:val="006E286A"/>
    <w:rsid w:val="006E2F01"/>
    <w:rsid w:val="006E3F80"/>
    <w:rsid w:val="006E5DB0"/>
    <w:rsid w:val="006F0968"/>
    <w:rsid w:val="006F0B93"/>
    <w:rsid w:val="006F157F"/>
    <w:rsid w:val="006F306C"/>
    <w:rsid w:val="006F37DD"/>
    <w:rsid w:val="006F4474"/>
    <w:rsid w:val="006F51FC"/>
    <w:rsid w:val="006F5526"/>
    <w:rsid w:val="006F55ED"/>
    <w:rsid w:val="006F5FD4"/>
    <w:rsid w:val="006F63A5"/>
    <w:rsid w:val="006F6F56"/>
    <w:rsid w:val="0070142B"/>
    <w:rsid w:val="0070276E"/>
    <w:rsid w:val="00702F8F"/>
    <w:rsid w:val="00703870"/>
    <w:rsid w:val="007040EB"/>
    <w:rsid w:val="00704242"/>
    <w:rsid w:val="0070490F"/>
    <w:rsid w:val="0070616B"/>
    <w:rsid w:val="00706454"/>
    <w:rsid w:val="007079FC"/>
    <w:rsid w:val="00710740"/>
    <w:rsid w:val="00711A36"/>
    <w:rsid w:val="00712014"/>
    <w:rsid w:val="007125D3"/>
    <w:rsid w:val="00713330"/>
    <w:rsid w:val="00714C26"/>
    <w:rsid w:val="0071529C"/>
    <w:rsid w:val="007162BB"/>
    <w:rsid w:val="007170DA"/>
    <w:rsid w:val="007172AD"/>
    <w:rsid w:val="00717546"/>
    <w:rsid w:val="007202A9"/>
    <w:rsid w:val="00720801"/>
    <w:rsid w:val="007214C2"/>
    <w:rsid w:val="00722B1B"/>
    <w:rsid w:val="00724077"/>
    <w:rsid w:val="0072416F"/>
    <w:rsid w:val="007256FB"/>
    <w:rsid w:val="007269F9"/>
    <w:rsid w:val="0072774A"/>
    <w:rsid w:val="00727C94"/>
    <w:rsid w:val="00727EED"/>
    <w:rsid w:val="007304DB"/>
    <w:rsid w:val="007313F0"/>
    <w:rsid w:val="00731B0A"/>
    <w:rsid w:val="00731EAE"/>
    <w:rsid w:val="00733073"/>
    <w:rsid w:val="007333B3"/>
    <w:rsid w:val="007338B0"/>
    <w:rsid w:val="00733C33"/>
    <w:rsid w:val="00735033"/>
    <w:rsid w:val="00735328"/>
    <w:rsid w:val="007356D5"/>
    <w:rsid w:val="00736199"/>
    <w:rsid w:val="0073685B"/>
    <w:rsid w:val="00736ABE"/>
    <w:rsid w:val="007370C6"/>
    <w:rsid w:val="007449BF"/>
    <w:rsid w:val="007463FE"/>
    <w:rsid w:val="00746BC0"/>
    <w:rsid w:val="0074712E"/>
    <w:rsid w:val="007473EB"/>
    <w:rsid w:val="007505CF"/>
    <w:rsid w:val="007507DF"/>
    <w:rsid w:val="007510B4"/>
    <w:rsid w:val="00751CC5"/>
    <w:rsid w:val="00752142"/>
    <w:rsid w:val="007523F9"/>
    <w:rsid w:val="007529EB"/>
    <w:rsid w:val="00752C06"/>
    <w:rsid w:val="007530F2"/>
    <w:rsid w:val="0075357E"/>
    <w:rsid w:val="00753B29"/>
    <w:rsid w:val="00753BD5"/>
    <w:rsid w:val="00754C7B"/>
    <w:rsid w:val="00755325"/>
    <w:rsid w:val="007573E8"/>
    <w:rsid w:val="007601D2"/>
    <w:rsid w:val="00760C4E"/>
    <w:rsid w:val="00760CB9"/>
    <w:rsid w:val="00760F9E"/>
    <w:rsid w:val="007616E6"/>
    <w:rsid w:val="007627BE"/>
    <w:rsid w:val="00762B61"/>
    <w:rsid w:val="00764F03"/>
    <w:rsid w:val="0076500D"/>
    <w:rsid w:val="00765073"/>
    <w:rsid w:val="00765AB5"/>
    <w:rsid w:val="00765B1A"/>
    <w:rsid w:val="00765DC1"/>
    <w:rsid w:val="00771EA7"/>
    <w:rsid w:val="007729D9"/>
    <w:rsid w:val="00772FC2"/>
    <w:rsid w:val="0077342B"/>
    <w:rsid w:val="007735BB"/>
    <w:rsid w:val="00774BD0"/>
    <w:rsid w:val="00777335"/>
    <w:rsid w:val="00777D5E"/>
    <w:rsid w:val="007843F2"/>
    <w:rsid w:val="007846FA"/>
    <w:rsid w:val="00784DD1"/>
    <w:rsid w:val="00785A9F"/>
    <w:rsid w:val="00786550"/>
    <w:rsid w:val="007867D7"/>
    <w:rsid w:val="007916C2"/>
    <w:rsid w:val="0079230E"/>
    <w:rsid w:val="00792590"/>
    <w:rsid w:val="007925DF"/>
    <w:rsid w:val="00794185"/>
    <w:rsid w:val="0079443A"/>
    <w:rsid w:val="00795856"/>
    <w:rsid w:val="00796D70"/>
    <w:rsid w:val="007A030F"/>
    <w:rsid w:val="007A08AA"/>
    <w:rsid w:val="007A0A12"/>
    <w:rsid w:val="007A132D"/>
    <w:rsid w:val="007A1345"/>
    <w:rsid w:val="007A16DC"/>
    <w:rsid w:val="007A28EB"/>
    <w:rsid w:val="007A2DDB"/>
    <w:rsid w:val="007A3D22"/>
    <w:rsid w:val="007A6929"/>
    <w:rsid w:val="007A6AA0"/>
    <w:rsid w:val="007A70BA"/>
    <w:rsid w:val="007A73E4"/>
    <w:rsid w:val="007B0576"/>
    <w:rsid w:val="007B0D68"/>
    <w:rsid w:val="007B0F7A"/>
    <w:rsid w:val="007B251D"/>
    <w:rsid w:val="007B2686"/>
    <w:rsid w:val="007B26BD"/>
    <w:rsid w:val="007B3533"/>
    <w:rsid w:val="007B3F2D"/>
    <w:rsid w:val="007B4778"/>
    <w:rsid w:val="007B4F58"/>
    <w:rsid w:val="007B528D"/>
    <w:rsid w:val="007B52CD"/>
    <w:rsid w:val="007B63CA"/>
    <w:rsid w:val="007B708B"/>
    <w:rsid w:val="007B729D"/>
    <w:rsid w:val="007B77D1"/>
    <w:rsid w:val="007C0432"/>
    <w:rsid w:val="007C07C7"/>
    <w:rsid w:val="007C1102"/>
    <w:rsid w:val="007C1CD9"/>
    <w:rsid w:val="007C2AFA"/>
    <w:rsid w:val="007C32EF"/>
    <w:rsid w:val="007C361D"/>
    <w:rsid w:val="007C4B84"/>
    <w:rsid w:val="007C70FF"/>
    <w:rsid w:val="007C7C25"/>
    <w:rsid w:val="007D004F"/>
    <w:rsid w:val="007D0089"/>
    <w:rsid w:val="007D035F"/>
    <w:rsid w:val="007D06B2"/>
    <w:rsid w:val="007D0B38"/>
    <w:rsid w:val="007D236E"/>
    <w:rsid w:val="007D2B9E"/>
    <w:rsid w:val="007D3641"/>
    <w:rsid w:val="007D40A6"/>
    <w:rsid w:val="007D4F5A"/>
    <w:rsid w:val="007D5440"/>
    <w:rsid w:val="007D5F33"/>
    <w:rsid w:val="007D69EB"/>
    <w:rsid w:val="007D7065"/>
    <w:rsid w:val="007D7991"/>
    <w:rsid w:val="007E128F"/>
    <w:rsid w:val="007E1499"/>
    <w:rsid w:val="007E248D"/>
    <w:rsid w:val="007E4A0E"/>
    <w:rsid w:val="007E7103"/>
    <w:rsid w:val="007E7578"/>
    <w:rsid w:val="007F031A"/>
    <w:rsid w:val="007F0866"/>
    <w:rsid w:val="007F0DB4"/>
    <w:rsid w:val="007F1017"/>
    <w:rsid w:val="007F42BC"/>
    <w:rsid w:val="007F4A3F"/>
    <w:rsid w:val="007F4A61"/>
    <w:rsid w:val="007F5255"/>
    <w:rsid w:val="007F56CC"/>
    <w:rsid w:val="007F61C2"/>
    <w:rsid w:val="007F6663"/>
    <w:rsid w:val="007F6740"/>
    <w:rsid w:val="007F7ED8"/>
    <w:rsid w:val="007F7F5A"/>
    <w:rsid w:val="008036AB"/>
    <w:rsid w:val="00804045"/>
    <w:rsid w:val="00805142"/>
    <w:rsid w:val="00805855"/>
    <w:rsid w:val="00805A75"/>
    <w:rsid w:val="00805FCE"/>
    <w:rsid w:val="00806693"/>
    <w:rsid w:val="00807946"/>
    <w:rsid w:val="00807A8B"/>
    <w:rsid w:val="00807BA3"/>
    <w:rsid w:val="008112B3"/>
    <w:rsid w:val="00811383"/>
    <w:rsid w:val="00812149"/>
    <w:rsid w:val="008129A2"/>
    <w:rsid w:val="00812CAC"/>
    <w:rsid w:val="00813F02"/>
    <w:rsid w:val="00815D3B"/>
    <w:rsid w:val="00816361"/>
    <w:rsid w:val="008166BA"/>
    <w:rsid w:val="008166EF"/>
    <w:rsid w:val="00816816"/>
    <w:rsid w:val="00816FEF"/>
    <w:rsid w:val="0082015F"/>
    <w:rsid w:val="00820510"/>
    <w:rsid w:val="00820A8C"/>
    <w:rsid w:val="008215FB"/>
    <w:rsid w:val="00821C94"/>
    <w:rsid w:val="00821CD5"/>
    <w:rsid w:val="008220CC"/>
    <w:rsid w:val="0082245A"/>
    <w:rsid w:val="00823174"/>
    <w:rsid w:val="00823D0A"/>
    <w:rsid w:val="00825277"/>
    <w:rsid w:val="00825751"/>
    <w:rsid w:val="008264EB"/>
    <w:rsid w:val="008268CE"/>
    <w:rsid w:val="00827C23"/>
    <w:rsid w:val="0083096C"/>
    <w:rsid w:val="00831622"/>
    <w:rsid w:val="008323C3"/>
    <w:rsid w:val="008326E6"/>
    <w:rsid w:val="008331E6"/>
    <w:rsid w:val="00833B05"/>
    <w:rsid w:val="00834FFE"/>
    <w:rsid w:val="008362B4"/>
    <w:rsid w:val="00836CBC"/>
    <w:rsid w:val="0083790D"/>
    <w:rsid w:val="00840CA2"/>
    <w:rsid w:val="00842CDC"/>
    <w:rsid w:val="0084374F"/>
    <w:rsid w:val="00843776"/>
    <w:rsid w:val="00843E93"/>
    <w:rsid w:val="00844A22"/>
    <w:rsid w:val="00847703"/>
    <w:rsid w:val="00847DF5"/>
    <w:rsid w:val="008500C6"/>
    <w:rsid w:val="008507CF"/>
    <w:rsid w:val="00850A2A"/>
    <w:rsid w:val="008511C9"/>
    <w:rsid w:val="00851765"/>
    <w:rsid w:val="008526DC"/>
    <w:rsid w:val="00852887"/>
    <w:rsid w:val="0085309D"/>
    <w:rsid w:val="00853D46"/>
    <w:rsid w:val="00854FBB"/>
    <w:rsid w:val="0085678E"/>
    <w:rsid w:val="00856897"/>
    <w:rsid w:val="00856B34"/>
    <w:rsid w:val="00856E9A"/>
    <w:rsid w:val="00856F95"/>
    <w:rsid w:val="00857D22"/>
    <w:rsid w:val="0086075D"/>
    <w:rsid w:val="00861D4A"/>
    <w:rsid w:val="00862502"/>
    <w:rsid w:val="008626BF"/>
    <w:rsid w:val="00862CC1"/>
    <w:rsid w:val="00863026"/>
    <w:rsid w:val="00863534"/>
    <w:rsid w:val="00864156"/>
    <w:rsid w:val="008642A7"/>
    <w:rsid w:val="008660D4"/>
    <w:rsid w:val="0087021C"/>
    <w:rsid w:val="00870929"/>
    <w:rsid w:val="0087096D"/>
    <w:rsid w:val="0087157C"/>
    <w:rsid w:val="00871FA9"/>
    <w:rsid w:val="008728E9"/>
    <w:rsid w:val="0087297D"/>
    <w:rsid w:val="00872DEB"/>
    <w:rsid w:val="008733F1"/>
    <w:rsid w:val="00873BD4"/>
    <w:rsid w:val="00874891"/>
    <w:rsid w:val="008766AC"/>
    <w:rsid w:val="00877C6A"/>
    <w:rsid w:val="00880364"/>
    <w:rsid w:val="00881D42"/>
    <w:rsid w:val="00882874"/>
    <w:rsid w:val="00882E3C"/>
    <w:rsid w:val="0088308A"/>
    <w:rsid w:val="00883787"/>
    <w:rsid w:val="00883ADD"/>
    <w:rsid w:val="008855E4"/>
    <w:rsid w:val="00886184"/>
    <w:rsid w:val="00886CD2"/>
    <w:rsid w:val="0089053F"/>
    <w:rsid w:val="008912F3"/>
    <w:rsid w:val="00891E6F"/>
    <w:rsid w:val="0089275D"/>
    <w:rsid w:val="00892A36"/>
    <w:rsid w:val="00893239"/>
    <w:rsid w:val="00894489"/>
    <w:rsid w:val="00894965"/>
    <w:rsid w:val="00894CD6"/>
    <w:rsid w:val="008963A5"/>
    <w:rsid w:val="0089675A"/>
    <w:rsid w:val="00896D5D"/>
    <w:rsid w:val="008A0BB2"/>
    <w:rsid w:val="008A3158"/>
    <w:rsid w:val="008A3363"/>
    <w:rsid w:val="008A3371"/>
    <w:rsid w:val="008A3C3E"/>
    <w:rsid w:val="008A3CE0"/>
    <w:rsid w:val="008A436E"/>
    <w:rsid w:val="008A662C"/>
    <w:rsid w:val="008A79DE"/>
    <w:rsid w:val="008B07A6"/>
    <w:rsid w:val="008B15B5"/>
    <w:rsid w:val="008B1757"/>
    <w:rsid w:val="008B1C33"/>
    <w:rsid w:val="008B1FD1"/>
    <w:rsid w:val="008B2858"/>
    <w:rsid w:val="008B3B93"/>
    <w:rsid w:val="008B4226"/>
    <w:rsid w:val="008B48F2"/>
    <w:rsid w:val="008B4B6F"/>
    <w:rsid w:val="008B7992"/>
    <w:rsid w:val="008B7D7E"/>
    <w:rsid w:val="008C3B44"/>
    <w:rsid w:val="008C49A8"/>
    <w:rsid w:val="008C511B"/>
    <w:rsid w:val="008C5610"/>
    <w:rsid w:val="008C5739"/>
    <w:rsid w:val="008C6E28"/>
    <w:rsid w:val="008C7282"/>
    <w:rsid w:val="008C7ECB"/>
    <w:rsid w:val="008D14A3"/>
    <w:rsid w:val="008D1652"/>
    <w:rsid w:val="008D2238"/>
    <w:rsid w:val="008D28CA"/>
    <w:rsid w:val="008D3B86"/>
    <w:rsid w:val="008D3E8D"/>
    <w:rsid w:val="008D429C"/>
    <w:rsid w:val="008D438F"/>
    <w:rsid w:val="008D43FD"/>
    <w:rsid w:val="008D4755"/>
    <w:rsid w:val="008D4C3D"/>
    <w:rsid w:val="008D5430"/>
    <w:rsid w:val="008D6FD1"/>
    <w:rsid w:val="008D743C"/>
    <w:rsid w:val="008D7ED7"/>
    <w:rsid w:val="008E0D3C"/>
    <w:rsid w:val="008E1B9E"/>
    <w:rsid w:val="008E4061"/>
    <w:rsid w:val="008E55AB"/>
    <w:rsid w:val="008E7238"/>
    <w:rsid w:val="008E75EF"/>
    <w:rsid w:val="008E7613"/>
    <w:rsid w:val="008F120A"/>
    <w:rsid w:val="008F25CB"/>
    <w:rsid w:val="008F27E0"/>
    <w:rsid w:val="008F48EB"/>
    <w:rsid w:val="008F4A84"/>
    <w:rsid w:val="008F4F0B"/>
    <w:rsid w:val="008F6173"/>
    <w:rsid w:val="008F7BCF"/>
    <w:rsid w:val="009046C4"/>
    <w:rsid w:val="00905EBB"/>
    <w:rsid w:val="009062A5"/>
    <w:rsid w:val="00907699"/>
    <w:rsid w:val="009104C1"/>
    <w:rsid w:val="00910FA7"/>
    <w:rsid w:val="00911272"/>
    <w:rsid w:val="00911339"/>
    <w:rsid w:val="009113B7"/>
    <w:rsid w:val="00911AA3"/>
    <w:rsid w:val="009135D6"/>
    <w:rsid w:val="00914C77"/>
    <w:rsid w:val="009174AE"/>
    <w:rsid w:val="00917B2D"/>
    <w:rsid w:val="009210F6"/>
    <w:rsid w:val="00921ACB"/>
    <w:rsid w:val="00921B64"/>
    <w:rsid w:val="00921C6C"/>
    <w:rsid w:val="00921E0B"/>
    <w:rsid w:val="009234DC"/>
    <w:rsid w:val="0092369B"/>
    <w:rsid w:val="009236F7"/>
    <w:rsid w:val="009241CA"/>
    <w:rsid w:val="00930BA8"/>
    <w:rsid w:val="00931AEF"/>
    <w:rsid w:val="00932EE0"/>
    <w:rsid w:val="0093310B"/>
    <w:rsid w:val="009344DE"/>
    <w:rsid w:val="00934988"/>
    <w:rsid w:val="00937089"/>
    <w:rsid w:val="00937F9C"/>
    <w:rsid w:val="00942345"/>
    <w:rsid w:val="00942F6D"/>
    <w:rsid w:val="00943651"/>
    <w:rsid w:val="00944062"/>
    <w:rsid w:val="00944EA7"/>
    <w:rsid w:val="00944F8A"/>
    <w:rsid w:val="00945A82"/>
    <w:rsid w:val="00947925"/>
    <w:rsid w:val="009510A2"/>
    <w:rsid w:val="00952271"/>
    <w:rsid w:val="009525CB"/>
    <w:rsid w:val="00952C01"/>
    <w:rsid w:val="00953257"/>
    <w:rsid w:val="00954680"/>
    <w:rsid w:val="0095474C"/>
    <w:rsid w:val="00957426"/>
    <w:rsid w:val="00957D92"/>
    <w:rsid w:val="0096106F"/>
    <w:rsid w:val="00961FCA"/>
    <w:rsid w:val="00962CB9"/>
    <w:rsid w:val="00963259"/>
    <w:rsid w:val="00964312"/>
    <w:rsid w:val="00964A9F"/>
    <w:rsid w:val="00965B8A"/>
    <w:rsid w:val="0096624B"/>
    <w:rsid w:val="009666D7"/>
    <w:rsid w:val="009667B7"/>
    <w:rsid w:val="00967A8D"/>
    <w:rsid w:val="0097071F"/>
    <w:rsid w:val="00970D45"/>
    <w:rsid w:val="00971266"/>
    <w:rsid w:val="009717AC"/>
    <w:rsid w:val="00971CC8"/>
    <w:rsid w:val="00971ED2"/>
    <w:rsid w:val="009740DE"/>
    <w:rsid w:val="009741A3"/>
    <w:rsid w:val="00974233"/>
    <w:rsid w:val="009751C1"/>
    <w:rsid w:val="00977A00"/>
    <w:rsid w:val="0098083C"/>
    <w:rsid w:val="009811F1"/>
    <w:rsid w:val="00981876"/>
    <w:rsid w:val="00982217"/>
    <w:rsid w:val="0098289E"/>
    <w:rsid w:val="00982A8D"/>
    <w:rsid w:val="00983E57"/>
    <w:rsid w:val="00985DE2"/>
    <w:rsid w:val="0098675D"/>
    <w:rsid w:val="009874C8"/>
    <w:rsid w:val="00987B9B"/>
    <w:rsid w:val="00987BA4"/>
    <w:rsid w:val="00987FD6"/>
    <w:rsid w:val="00990349"/>
    <w:rsid w:val="009920B3"/>
    <w:rsid w:val="009920CA"/>
    <w:rsid w:val="009926E0"/>
    <w:rsid w:val="00994351"/>
    <w:rsid w:val="00994440"/>
    <w:rsid w:val="0099451E"/>
    <w:rsid w:val="00996952"/>
    <w:rsid w:val="00996A6E"/>
    <w:rsid w:val="00996B1A"/>
    <w:rsid w:val="009A05C4"/>
    <w:rsid w:val="009A18F6"/>
    <w:rsid w:val="009A2DCC"/>
    <w:rsid w:val="009A42A6"/>
    <w:rsid w:val="009A589C"/>
    <w:rsid w:val="009A5ABC"/>
    <w:rsid w:val="009A5B7D"/>
    <w:rsid w:val="009A5F46"/>
    <w:rsid w:val="009A6BB5"/>
    <w:rsid w:val="009A7F10"/>
    <w:rsid w:val="009B0961"/>
    <w:rsid w:val="009B1D72"/>
    <w:rsid w:val="009B25C3"/>
    <w:rsid w:val="009B2B26"/>
    <w:rsid w:val="009B32EE"/>
    <w:rsid w:val="009B3E26"/>
    <w:rsid w:val="009B4C74"/>
    <w:rsid w:val="009B4CC6"/>
    <w:rsid w:val="009B5832"/>
    <w:rsid w:val="009C037C"/>
    <w:rsid w:val="009C1271"/>
    <w:rsid w:val="009C3706"/>
    <w:rsid w:val="009C3A3A"/>
    <w:rsid w:val="009C4230"/>
    <w:rsid w:val="009C4680"/>
    <w:rsid w:val="009C5C82"/>
    <w:rsid w:val="009C682D"/>
    <w:rsid w:val="009C6A3A"/>
    <w:rsid w:val="009C6CEA"/>
    <w:rsid w:val="009C79DC"/>
    <w:rsid w:val="009C7B85"/>
    <w:rsid w:val="009D0019"/>
    <w:rsid w:val="009D0254"/>
    <w:rsid w:val="009D14DA"/>
    <w:rsid w:val="009D184A"/>
    <w:rsid w:val="009D1A64"/>
    <w:rsid w:val="009D2374"/>
    <w:rsid w:val="009D5B91"/>
    <w:rsid w:val="009D6E44"/>
    <w:rsid w:val="009D6E66"/>
    <w:rsid w:val="009D792E"/>
    <w:rsid w:val="009E092C"/>
    <w:rsid w:val="009E0DFE"/>
    <w:rsid w:val="009E11C3"/>
    <w:rsid w:val="009E31F6"/>
    <w:rsid w:val="009E35C5"/>
    <w:rsid w:val="009E38B3"/>
    <w:rsid w:val="009E3AF8"/>
    <w:rsid w:val="009E462D"/>
    <w:rsid w:val="009E4C07"/>
    <w:rsid w:val="009E58F7"/>
    <w:rsid w:val="009E75D7"/>
    <w:rsid w:val="009E777F"/>
    <w:rsid w:val="009F00A5"/>
    <w:rsid w:val="009F0B41"/>
    <w:rsid w:val="009F1FBD"/>
    <w:rsid w:val="009F3304"/>
    <w:rsid w:val="009F6120"/>
    <w:rsid w:val="009F7AE9"/>
    <w:rsid w:val="00A004A5"/>
    <w:rsid w:val="00A00D76"/>
    <w:rsid w:val="00A01184"/>
    <w:rsid w:val="00A01449"/>
    <w:rsid w:val="00A037C2"/>
    <w:rsid w:val="00A03D43"/>
    <w:rsid w:val="00A04380"/>
    <w:rsid w:val="00A04786"/>
    <w:rsid w:val="00A04A2D"/>
    <w:rsid w:val="00A05472"/>
    <w:rsid w:val="00A05611"/>
    <w:rsid w:val="00A05C32"/>
    <w:rsid w:val="00A0653F"/>
    <w:rsid w:val="00A104F9"/>
    <w:rsid w:val="00A11CD0"/>
    <w:rsid w:val="00A124FC"/>
    <w:rsid w:val="00A13948"/>
    <w:rsid w:val="00A1555B"/>
    <w:rsid w:val="00A155C5"/>
    <w:rsid w:val="00A16AD8"/>
    <w:rsid w:val="00A16B63"/>
    <w:rsid w:val="00A16CD3"/>
    <w:rsid w:val="00A2021E"/>
    <w:rsid w:val="00A21209"/>
    <w:rsid w:val="00A2143F"/>
    <w:rsid w:val="00A217AF"/>
    <w:rsid w:val="00A21996"/>
    <w:rsid w:val="00A21C95"/>
    <w:rsid w:val="00A21CF3"/>
    <w:rsid w:val="00A23102"/>
    <w:rsid w:val="00A23490"/>
    <w:rsid w:val="00A23AFA"/>
    <w:rsid w:val="00A24813"/>
    <w:rsid w:val="00A252A4"/>
    <w:rsid w:val="00A25A86"/>
    <w:rsid w:val="00A27AEC"/>
    <w:rsid w:val="00A303E6"/>
    <w:rsid w:val="00A320DB"/>
    <w:rsid w:val="00A32E2A"/>
    <w:rsid w:val="00A33AB6"/>
    <w:rsid w:val="00A3525B"/>
    <w:rsid w:val="00A35D16"/>
    <w:rsid w:val="00A3682B"/>
    <w:rsid w:val="00A36CB4"/>
    <w:rsid w:val="00A37BCD"/>
    <w:rsid w:val="00A37C76"/>
    <w:rsid w:val="00A37F23"/>
    <w:rsid w:val="00A41689"/>
    <w:rsid w:val="00A42592"/>
    <w:rsid w:val="00A428CF"/>
    <w:rsid w:val="00A43046"/>
    <w:rsid w:val="00A43436"/>
    <w:rsid w:val="00A43C59"/>
    <w:rsid w:val="00A45747"/>
    <w:rsid w:val="00A4779F"/>
    <w:rsid w:val="00A50342"/>
    <w:rsid w:val="00A50ECD"/>
    <w:rsid w:val="00A518F3"/>
    <w:rsid w:val="00A52035"/>
    <w:rsid w:val="00A52729"/>
    <w:rsid w:val="00A53675"/>
    <w:rsid w:val="00A53F1B"/>
    <w:rsid w:val="00A54053"/>
    <w:rsid w:val="00A564D7"/>
    <w:rsid w:val="00A56B6A"/>
    <w:rsid w:val="00A578DC"/>
    <w:rsid w:val="00A579CF"/>
    <w:rsid w:val="00A6105F"/>
    <w:rsid w:val="00A61322"/>
    <w:rsid w:val="00A614E1"/>
    <w:rsid w:val="00A63569"/>
    <w:rsid w:val="00A640E2"/>
    <w:rsid w:val="00A642CA"/>
    <w:rsid w:val="00A6498E"/>
    <w:rsid w:val="00A64D65"/>
    <w:rsid w:val="00A65DBC"/>
    <w:rsid w:val="00A669C0"/>
    <w:rsid w:val="00A6725B"/>
    <w:rsid w:val="00A672F9"/>
    <w:rsid w:val="00A70605"/>
    <w:rsid w:val="00A715D5"/>
    <w:rsid w:val="00A7209D"/>
    <w:rsid w:val="00A73134"/>
    <w:rsid w:val="00A7365A"/>
    <w:rsid w:val="00A742AE"/>
    <w:rsid w:val="00A74E58"/>
    <w:rsid w:val="00A74EB8"/>
    <w:rsid w:val="00A76001"/>
    <w:rsid w:val="00A777B2"/>
    <w:rsid w:val="00A8151A"/>
    <w:rsid w:val="00A825D4"/>
    <w:rsid w:val="00A828F6"/>
    <w:rsid w:val="00A82B73"/>
    <w:rsid w:val="00A84C4F"/>
    <w:rsid w:val="00A84FBD"/>
    <w:rsid w:val="00A86E8B"/>
    <w:rsid w:val="00A87164"/>
    <w:rsid w:val="00A871A9"/>
    <w:rsid w:val="00A87A14"/>
    <w:rsid w:val="00A87F7B"/>
    <w:rsid w:val="00A9119F"/>
    <w:rsid w:val="00A922D1"/>
    <w:rsid w:val="00A92933"/>
    <w:rsid w:val="00A93072"/>
    <w:rsid w:val="00A938BD"/>
    <w:rsid w:val="00A93953"/>
    <w:rsid w:val="00A93AC4"/>
    <w:rsid w:val="00A94F81"/>
    <w:rsid w:val="00A959D8"/>
    <w:rsid w:val="00AA0CC4"/>
    <w:rsid w:val="00AA113D"/>
    <w:rsid w:val="00AA4FDE"/>
    <w:rsid w:val="00AA6544"/>
    <w:rsid w:val="00AA6BD5"/>
    <w:rsid w:val="00AA6BD8"/>
    <w:rsid w:val="00AA6C7D"/>
    <w:rsid w:val="00AA7450"/>
    <w:rsid w:val="00AA7FD6"/>
    <w:rsid w:val="00AB042A"/>
    <w:rsid w:val="00AB0B6A"/>
    <w:rsid w:val="00AB11AD"/>
    <w:rsid w:val="00AB19EF"/>
    <w:rsid w:val="00AB2495"/>
    <w:rsid w:val="00AB2D34"/>
    <w:rsid w:val="00AB3430"/>
    <w:rsid w:val="00AB37B9"/>
    <w:rsid w:val="00AB4AD1"/>
    <w:rsid w:val="00AB5E07"/>
    <w:rsid w:val="00AB6006"/>
    <w:rsid w:val="00AB7C3E"/>
    <w:rsid w:val="00AB7CFA"/>
    <w:rsid w:val="00AC10B4"/>
    <w:rsid w:val="00AC2D8E"/>
    <w:rsid w:val="00AC3CBC"/>
    <w:rsid w:val="00AC42EF"/>
    <w:rsid w:val="00AC5B42"/>
    <w:rsid w:val="00AC5B48"/>
    <w:rsid w:val="00AC6F17"/>
    <w:rsid w:val="00AC78B2"/>
    <w:rsid w:val="00AC7A01"/>
    <w:rsid w:val="00AD0B4B"/>
    <w:rsid w:val="00AD1450"/>
    <w:rsid w:val="00AD15E8"/>
    <w:rsid w:val="00AD356D"/>
    <w:rsid w:val="00AD4614"/>
    <w:rsid w:val="00AD6502"/>
    <w:rsid w:val="00AD65F1"/>
    <w:rsid w:val="00AE0695"/>
    <w:rsid w:val="00AE0FE4"/>
    <w:rsid w:val="00AE1F42"/>
    <w:rsid w:val="00AE245E"/>
    <w:rsid w:val="00AE298C"/>
    <w:rsid w:val="00AE2B8D"/>
    <w:rsid w:val="00AE2F4F"/>
    <w:rsid w:val="00AE3E7E"/>
    <w:rsid w:val="00AE413D"/>
    <w:rsid w:val="00AE4A0A"/>
    <w:rsid w:val="00AE7E53"/>
    <w:rsid w:val="00AF1315"/>
    <w:rsid w:val="00AF15E0"/>
    <w:rsid w:val="00AF19BF"/>
    <w:rsid w:val="00AF1A80"/>
    <w:rsid w:val="00AF1B65"/>
    <w:rsid w:val="00AF2B49"/>
    <w:rsid w:val="00AF2DC3"/>
    <w:rsid w:val="00AF3153"/>
    <w:rsid w:val="00AF4FB7"/>
    <w:rsid w:val="00AF50B3"/>
    <w:rsid w:val="00AF5FC8"/>
    <w:rsid w:val="00AF6057"/>
    <w:rsid w:val="00AF627B"/>
    <w:rsid w:val="00AF6588"/>
    <w:rsid w:val="00AF6A7D"/>
    <w:rsid w:val="00AF6E18"/>
    <w:rsid w:val="00AF7B98"/>
    <w:rsid w:val="00AF7E06"/>
    <w:rsid w:val="00AF7F1B"/>
    <w:rsid w:val="00B00D78"/>
    <w:rsid w:val="00B029F1"/>
    <w:rsid w:val="00B02BAA"/>
    <w:rsid w:val="00B031AF"/>
    <w:rsid w:val="00B033E5"/>
    <w:rsid w:val="00B03A63"/>
    <w:rsid w:val="00B03AB2"/>
    <w:rsid w:val="00B04F94"/>
    <w:rsid w:val="00B0534D"/>
    <w:rsid w:val="00B05822"/>
    <w:rsid w:val="00B071CD"/>
    <w:rsid w:val="00B073A0"/>
    <w:rsid w:val="00B10DCC"/>
    <w:rsid w:val="00B12518"/>
    <w:rsid w:val="00B129A4"/>
    <w:rsid w:val="00B14163"/>
    <w:rsid w:val="00B15712"/>
    <w:rsid w:val="00B1739E"/>
    <w:rsid w:val="00B201A4"/>
    <w:rsid w:val="00B201D1"/>
    <w:rsid w:val="00B2126E"/>
    <w:rsid w:val="00B213A6"/>
    <w:rsid w:val="00B2180B"/>
    <w:rsid w:val="00B2228E"/>
    <w:rsid w:val="00B235B0"/>
    <w:rsid w:val="00B24DF6"/>
    <w:rsid w:val="00B250FE"/>
    <w:rsid w:val="00B25675"/>
    <w:rsid w:val="00B26E45"/>
    <w:rsid w:val="00B27A61"/>
    <w:rsid w:val="00B3050A"/>
    <w:rsid w:val="00B31542"/>
    <w:rsid w:val="00B31A37"/>
    <w:rsid w:val="00B3344D"/>
    <w:rsid w:val="00B34414"/>
    <w:rsid w:val="00B34FE2"/>
    <w:rsid w:val="00B35166"/>
    <w:rsid w:val="00B357D8"/>
    <w:rsid w:val="00B360F4"/>
    <w:rsid w:val="00B36A00"/>
    <w:rsid w:val="00B373F0"/>
    <w:rsid w:val="00B3792B"/>
    <w:rsid w:val="00B37BFC"/>
    <w:rsid w:val="00B37D01"/>
    <w:rsid w:val="00B40358"/>
    <w:rsid w:val="00B41614"/>
    <w:rsid w:val="00B419B3"/>
    <w:rsid w:val="00B42851"/>
    <w:rsid w:val="00B428BE"/>
    <w:rsid w:val="00B42F80"/>
    <w:rsid w:val="00B4309E"/>
    <w:rsid w:val="00B435CB"/>
    <w:rsid w:val="00B45134"/>
    <w:rsid w:val="00B465EC"/>
    <w:rsid w:val="00B47AF5"/>
    <w:rsid w:val="00B505C8"/>
    <w:rsid w:val="00B509E7"/>
    <w:rsid w:val="00B50DB8"/>
    <w:rsid w:val="00B50F8D"/>
    <w:rsid w:val="00B511F4"/>
    <w:rsid w:val="00B53276"/>
    <w:rsid w:val="00B53654"/>
    <w:rsid w:val="00B53905"/>
    <w:rsid w:val="00B546DB"/>
    <w:rsid w:val="00B54B5B"/>
    <w:rsid w:val="00B5562E"/>
    <w:rsid w:val="00B55862"/>
    <w:rsid w:val="00B55D65"/>
    <w:rsid w:val="00B561DE"/>
    <w:rsid w:val="00B56305"/>
    <w:rsid w:val="00B57000"/>
    <w:rsid w:val="00B571AC"/>
    <w:rsid w:val="00B6028F"/>
    <w:rsid w:val="00B60939"/>
    <w:rsid w:val="00B60AFD"/>
    <w:rsid w:val="00B60B9B"/>
    <w:rsid w:val="00B60D03"/>
    <w:rsid w:val="00B62715"/>
    <w:rsid w:val="00B62755"/>
    <w:rsid w:val="00B6277B"/>
    <w:rsid w:val="00B62FFA"/>
    <w:rsid w:val="00B632AB"/>
    <w:rsid w:val="00B65611"/>
    <w:rsid w:val="00B7057E"/>
    <w:rsid w:val="00B70CDA"/>
    <w:rsid w:val="00B70E8E"/>
    <w:rsid w:val="00B7644D"/>
    <w:rsid w:val="00B76C92"/>
    <w:rsid w:val="00B80EFD"/>
    <w:rsid w:val="00B816C5"/>
    <w:rsid w:val="00B818A4"/>
    <w:rsid w:val="00B83739"/>
    <w:rsid w:val="00B83AAB"/>
    <w:rsid w:val="00B84117"/>
    <w:rsid w:val="00B858F0"/>
    <w:rsid w:val="00B85AA2"/>
    <w:rsid w:val="00B8649C"/>
    <w:rsid w:val="00B8695D"/>
    <w:rsid w:val="00B8730B"/>
    <w:rsid w:val="00B87AD7"/>
    <w:rsid w:val="00B87F0A"/>
    <w:rsid w:val="00B91DD3"/>
    <w:rsid w:val="00B929CB"/>
    <w:rsid w:val="00B92BA1"/>
    <w:rsid w:val="00B92D0B"/>
    <w:rsid w:val="00B93605"/>
    <w:rsid w:val="00B9399E"/>
    <w:rsid w:val="00B94945"/>
    <w:rsid w:val="00B94DD6"/>
    <w:rsid w:val="00B95F52"/>
    <w:rsid w:val="00B974B9"/>
    <w:rsid w:val="00BA0DED"/>
    <w:rsid w:val="00BA0FE1"/>
    <w:rsid w:val="00BA1737"/>
    <w:rsid w:val="00BA176F"/>
    <w:rsid w:val="00BA1D98"/>
    <w:rsid w:val="00BA26FE"/>
    <w:rsid w:val="00BA277D"/>
    <w:rsid w:val="00BA322D"/>
    <w:rsid w:val="00BA39B2"/>
    <w:rsid w:val="00BA3A25"/>
    <w:rsid w:val="00BA516C"/>
    <w:rsid w:val="00BA51B7"/>
    <w:rsid w:val="00BA5DC7"/>
    <w:rsid w:val="00BA63FA"/>
    <w:rsid w:val="00BB00B3"/>
    <w:rsid w:val="00BB0BDD"/>
    <w:rsid w:val="00BB176C"/>
    <w:rsid w:val="00BB2A73"/>
    <w:rsid w:val="00BB3A45"/>
    <w:rsid w:val="00BB4ACC"/>
    <w:rsid w:val="00BB5AD7"/>
    <w:rsid w:val="00BB6DA2"/>
    <w:rsid w:val="00BB703E"/>
    <w:rsid w:val="00BB732D"/>
    <w:rsid w:val="00BB7374"/>
    <w:rsid w:val="00BB7405"/>
    <w:rsid w:val="00BB7A4E"/>
    <w:rsid w:val="00BC3631"/>
    <w:rsid w:val="00BC4E7A"/>
    <w:rsid w:val="00BC591F"/>
    <w:rsid w:val="00BC64BC"/>
    <w:rsid w:val="00BC6785"/>
    <w:rsid w:val="00BC68AD"/>
    <w:rsid w:val="00BC7ABE"/>
    <w:rsid w:val="00BC7D6D"/>
    <w:rsid w:val="00BD05F7"/>
    <w:rsid w:val="00BD2108"/>
    <w:rsid w:val="00BD21CD"/>
    <w:rsid w:val="00BD268C"/>
    <w:rsid w:val="00BD4DA1"/>
    <w:rsid w:val="00BD52F7"/>
    <w:rsid w:val="00BD68A3"/>
    <w:rsid w:val="00BD6938"/>
    <w:rsid w:val="00BD6CF3"/>
    <w:rsid w:val="00BD7860"/>
    <w:rsid w:val="00BD7F72"/>
    <w:rsid w:val="00BE033D"/>
    <w:rsid w:val="00BE0ECA"/>
    <w:rsid w:val="00BE2180"/>
    <w:rsid w:val="00BE21F2"/>
    <w:rsid w:val="00BE2316"/>
    <w:rsid w:val="00BE4275"/>
    <w:rsid w:val="00BE5D72"/>
    <w:rsid w:val="00BE6F77"/>
    <w:rsid w:val="00BE6FE8"/>
    <w:rsid w:val="00BE7CFF"/>
    <w:rsid w:val="00BF06AE"/>
    <w:rsid w:val="00BF0F95"/>
    <w:rsid w:val="00BF2433"/>
    <w:rsid w:val="00BF2E6E"/>
    <w:rsid w:val="00BF3841"/>
    <w:rsid w:val="00BF438F"/>
    <w:rsid w:val="00BF4B44"/>
    <w:rsid w:val="00BF547D"/>
    <w:rsid w:val="00BF58BD"/>
    <w:rsid w:val="00BF61C9"/>
    <w:rsid w:val="00BF6C94"/>
    <w:rsid w:val="00BF6F68"/>
    <w:rsid w:val="00BF72AE"/>
    <w:rsid w:val="00C00424"/>
    <w:rsid w:val="00C00BB0"/>
    <w:rsid w:val="00C01B7D"/>
    <w:rsid w:val="00C01D2D"/>
    <w:rsid w:val="00C02D0B"/>
    <w:rsid w:val="00C0405B"/>
    <w:rsid w:val="00C0665D"/>
    <w:rsid w:val="00C06FA8"/>
    <w:rsid w:val="00C1179F"/>
    <w:rsid w:val="00C11B97"/>
    <w:rsid w:val="00C12245"/>
    <w:rsid w:val="00C127B9"/>
    <w:rsid w:val="00C128FA"/>
    <w:rsid w:val="00C12C14"/>
    <w:rsid w:val="00C12C7D"/>
    <w:rsid w:val="00C12F76"/>
    <w:rsid w:val="00C1304D"/>
    <w:rsid w:val="00C140B2"/>
    <w:rsid w:val="00C1473A"/>
    <w:rsid w:val="00C14D37"/>
    <w:rsid w:val="00C15F04"/>
    <w:rsid w:val="00C1701E"/>
    <w:rsid w:val="00C179B3"/>
    <w:rsid w:val="00C17E3F"/>
    <w:rsid w:val="00C17F36"/>
    <w:rsid w:val="00C200AA"/>
    <w:rsid w:val="00C20D68"/>
    <w:rsid w:val="00C214F1"/>
    <w:rsid w:val="00C216AD"/>
    <w:rsid w:val="00C216F4"/>
    <w:rsid w:val="00C21AC2"/>
    <w:rsid w:val="00C21DA7"/>
    <w:rsid w:val="00C225FC"/>
    <w:rsid w:val="00C237ED"/>
    <w:rsid w:val="00C24632"/>
    <w:rsid w:val="00C25418"/>
    <w:rsid w:val="00C25D9C"/>
    <w:rsid w:val="00C2778B"/>
    <w:rsid w:val="00C27FD2"/>
    <w:rsid w:val="00C3021F"/>
    <w:rsid w:val="00C31649"/>
    <w:rsid w:val="00C31CEC"/>
    <w:rsid w:val="00C3235C"/>
    <w:rsid w:val="00C32624"/>
    <w:rsid w:val="00C33407"/>
    <w:rsid w:val="00C3434C"/>
    <w:rsid w:val="00C344F6"/>
    <w:rsid w:val="00C3514A"/>
    <w:rsid w:val="00C3622B"/>
    <w:rsid w:val="00C36E22"/>
    <w:rsid w:val="00C37514"/>
    <w:rsid w:val="00C37DF6"/>
    <w:rsid w:val="00C40385"/>
    <w:rsid w:val="00C41768"/>
    <w:rsid w:val="00C448F9"/>
    <w:rsid w:val="00C45CA7"/>
    <w:rsid w:val="00C475AA"/>
    <w:rsid w:val="00C5228E"/>
    <w:rsid w:val="00C527C7"/>
    <w:rsid w:val="00C529A6"/>
    <w:rsid w:val="00C52AAA"/>
    <w:rsid w:val="00C5328F"/>
    <w:rsid w:val="00C537D7"/>
    <w:rsid w:val="00C53C98"/>
    <w:rsid w:val="00C55038"/>
    <w:rsid w:val="00C56FCF"/>
    <w:rsid w:val="00C57B3F"/>
    <w:rsid w:val="00C57B6C"/>
    <w:rsid w:val="00C57FDE"/>
    <w:rsid w:val="00C60C31"/>
    <w:rsid w:val="00C61697"/>
    <w:rsid w:val="00C61A59"/>
    <w:rsid w:val="00C628A6"/>
    <w:rsid w:val="00C62BA0"/>
    <w:rsid w:val="00C632AE"/>
    <w:rsid w:val="00C64344"/>
    <w:rsid w:val="00C65108"/>
    <w:rsid w:val="00C65576"/>
    <w:rsid w:val="00C66165"/>
    <w:rsid w:val="00C671A2"/>
    <w:rsid w:val="00C7060A"/>
    <w:rsid w:val="00C714D4"/>
    <w:rsid w:val="00C7151A"/>
    <w:rsid w:val="00C717E3"/>
    <w:rsid w:val="00C71817"/>
    <w:rsid w:val="00C71F60"/>
    <w:rsid w:val="00C72241"/>
    <w:rsid w:val="00C750C8"/>
    <w:rsid w:val="00C7560F"/>
    <w:rsid w:val="00C7643A"/>
    <w:rsid w:val="00C76B68"/>
    <w:rsid w:val="00C773E0"/>
    <w:rsid w:val="00C80605"/>
    <w:rsid w:val="00C80A0E"/>
    <w:rsid w:val="00C8213F"/>
    <w:rsid w:val="00C8303F"/>
    <w:rsid w:val="00C85154"/>
    <w:rsid w:val="00C8515B"/>
    <w:rsid w:val="00C852B5"/>
    <w:rsid w:val="00C85A70"/>
    <w:rsid w:val="00C85BBC"/>
    <w:rsid w:val="00C86C83"/>
    <w:rsid w:val="00C86D25"/>
    <w:rsid w:val="00C8797A"/>
    <w:rsid w:val="00C87C30"/>
    <w:rsid w:val="00C900B8"/>
    <w:rsid w:val="00C90197"/>
    <w:rsid w:val="00C9060A"/>
    <w:rsid w:val="00C90C71"/>
    <w:rsid w:val="00C9132C"/>
    <w:rsid w:val="00C91D72"/>
    <w:rsid w:val="00C91FD1"/>
    <w:rsid w:val="00C9221C"/>
    <w:rsid w:val="00C927CF"/>
    <w:rsid w:val="00C931CF"/>
    <w:rsid w:val="00C938CF"/>
    <w:rsid w:val="00C94053"/>
    <w:rsid w:val="00C9490C"/>
    <w:rsid w:val="00C95DDB"/>
    <w:rsid w:val="00C9624D"/>
    <w:rsid w:val="00C969DA"/>
    <w:rsid w:val="00CA1085"/>
    <w:rsid w:val="00CA2C77"/>
    <w:rsid w:val="00CA3293"/>
    <w:rsid w:val="00CA3900"/>
    <w:rsid w:val="00CA3B51"/>
    <w:rsid w:val="00CA3BF4"/>
    <w:rsid w:val="00CA3F08"/>
    <w:rsid w:val="00CA444F"/>
    <w:rsid w:val="00CA4F2D"/>
    <w:rsid w:val="00CA5203"/>
    <w:rsid w:val="00CA5245"/>
    <w:rsid w:val="00CA5698"/>
    <w:rsid w:val="00CA575B"/>
    <w:rsid w:val="00CA71F4"/>
    <w:rsid w:val="00CA7B09"/>
    <w:rsid w:val="00CB019C"/>
    <w:rsid w:val="00CB12A5"/>
    <w:rsid w:val="00CB1CAC"/>
    <w:rsid w:val="00CB2F2A"/>
    <w:rsid w:val="00CB48F8"/>
    <w:rsid w:val="00CB4CFB"/>
    <w:rsid w:val="00CB5B1A"/>
    <w:rsid w:val="00CB5E3D"/>
    <w:rsid w:val="00CB6539"/>
    <w:rsid w:val="00CB6B22"/>
    <w:rsid w:val="00CB77CF"/>
    <w:rsid w:val="00CB7F2E"/>
    <w:rsid w:val="00CB7F5F"/>
    <w:rsid w:val="00CC0659"/>
    <w:rsid w:val="00CC10D4"/>
    <w:rsid w:val="00CC1B39"/>
    <w:rsid w:val="00CC1BFA"/>
    <w:rsid w:val="00CC2E9F"/>
    <w:rsid w:val="00CC35EA"/>
    <w:rsid w:val="00CC3848"/>
    <w:rsid w:val="00CC40D0"/>
    <w:rsid w:val="00CC5589"/>
    <w:rsid w:val="00CC6D5E"/>
    <w:rsid w:val="00CC7867"/>
    <w:rsid w:val="00CC78D6"/>
    <w:rsid w:val="00CD0200"/>
    <w:rsid w:val="00CD22AD"/>
    <w:rsid w:val="00CD3774"/>
    <w:rsid w:val="00CD3F77"/>
    <w:rsid w:val="00CD5C85"/>
    <w:rsid w:val="00CD6400"/>
    <w:rsid w:val="00CD6ADC"/>
    <w:rsid w:val="00CD7193"/>
    <w:rsid w:val="00CE0AC9"/>
    <w:rsid w:val="00CE1C66"/>
    <w:rsid w:val="00CE38C8"/>
    <w:rsid w:val="00CE3D34"/>
    <w:rsid w:val="00CE40CF"/>
    <w:rsid w:val="00CE524F"/>
    <w:rsid w:val="00CE56F9"/>
    <w:rsid w:val="00CE58CC"/>
    <w:rsid w:val="00CE6274"/>
    <w:rsid w:val="00CE77B6"/>
    <w:rsid w:val="00CE7BCC"/>
    <w:rsid w:val="00CF2B8D"/>
    <w:rsid w:val="00CF2E37"/>
    <w:rsid w:val="00CF3099"/>
    <w:rsid w:val="00CF3327"/>
    <w:rsid w:val="00CF3A1B"/>
    <w:rsid w:val="00CF3B0C"/>
    <w:rsid w:val="00CF4062"/>
    <w:rsid w:val="00CF456B"/>
    <w:rsid w:val="00CF5953"/>
    <w:rsid w:val="00CF5A22"/>
    <w:rsid w:val="00CF7FE7"/>
    <w:rsid w:val="00D003D0"/>
    <w:rsid w:val="00D01FAC"/>
    <w:rsid w:val="00D0262E"/>
    <w:rsid w:val="00D03679"/>
    <w:rsid w:val="00D05253"/>
    <w:rsid w:val="00D05E3D"/>
    <w:rsid w:val="00D06139"/>
    <w:rsid w:val="00D06F36"/>
    <w:rsid w:val="00D0744A"/>
    <w:rsid w:val="00D0768C"/>
    <w:rsid w:val="00D0778D"/>
    <w:rsid w:val="00D07DD9"/>
    <w:rsid w:val="00D10710"/>
    <w:rsid w:val="00D110BD"/>
    <w:rsid w:val="00D12729"/>
    <w:rsid w:val="00D13675"/>
    <w:rsid w:val="00D141E1"/>
    <w:rsid w:val="00D15314"/>
    <w:rsid w:val="00D15B48"/>
    <w:rsid w:val="00D17D6C"/>
    <w:rsid w:val="00D2155B"/>
    <w:rsid w:val="00D2205A"/>
    <w:rsid w:val="00D23D11"/>
    <w:rsid w:val="00D244B6"/>
    <w:rsid w:val="00D25DD0"/>
    <w:rsid w:val="00D2754D"/>
    <w:rsid w:val="00D27B27"/>
    <w:rsid w:val="00D30C0F"/>
    <w:rsid w:val="00D30D5B"/>
    <w:rsid w:val="00D33773"/>
    <w:rsid w:val="00D33BE9"/>
    <w:rsid w:val="00D33F93"/>
    <w:rsid w:val="00D34166"/>
    <w:rsid w:val="00D357FF"/>
    <w:rsid w:val="00D36484"/>
    <w:rsid w:val="00D3706B"/>
    <w:rsid w:val="00D370E2"/>
    <w:rsid w:val="00D37B10"/>
    <w:rsid w:val="00D40C3E"/>
    <w:rsid w:val="00D411B2"/>
    <w:rsid w:val="00D41CE7"/>
    <w:rsid w:val="00D424C7"/>
    <w:rsid w:val="00D43B2A"/>
    <w:rsid w:val="00D43B66"/>
    <w:rsid w:val="00D43CF1"/>
    <w:rsid w:val="00D43D58"/>
    <w:rsid w:val="00D43D83"/>
    <w:rsid w:val="00D44493"/>
    <w:rsid w:val="00D455F1"/>
    <w:rsid w:val="00D46133"/>
    <w:rsid w:val="00D462C6"/>
    <w:rsid w:val="00D46925"/>
    <w:rsid w:val="00D47575"/>
    <w:rsid w:val="00D5243B"/>
    <w:rsid w:val="00D529A9"/>
    <w:rsid w:val="00D533EC"/>
    <w:rsid w:val="00D54352"/>
    <w:rsid w:val="00D556C6"/>
    <w:rsid w:val="00D56204"/>
    <w:rsid w:val="00D565D8"/>
    <w:rsid w:val="00D56A3D"/>
    <w:rsid w:val="00D56A95"/>
    <w:rsid w:val="00D56BAE"/>
    <w:rsid w:val="00D56CB9"/>
    <w:rsid w:val="00D6076E"/>
    <w:rsid w:val="00D6227B"/>
    <w:rsid w:val="00D622B0"/>
    <w:rsid w:val="00D62F6E"/>
    <w:rsid w:val="00D641D8"/>
    <w:rsid w:val="00D64D1D"/>
    <w:rsid w:val="00D650C6"/>
    <w:rsid w:val="00D6541C"/>
    <w:rsid w:val="00D66632"/>
    <w:rsid w:val="00D70F16"/>
    <w:rsid w:val="00D70FF4"/>
    <w:rsid w:val="00D71F8A"/>
    <w:rsid w:val="00D72563"/>
    <w:rsid w:val="00D72617"/>
    <w:rsid w:val="00D72EFB"/>
    <w:rsid w:val="00D72F57"/>
    <w:rsid w:val="00D7387E"/>
    <w:rsid w:val="00D73E1F"/>
    <w:rsid w:val="00D761D6"/>
    <w:rsid w:val="00D76A44"/>
    <w:rsid w:val="00D77BFB"/>
    <w:rsid w:val="00D80A23"/>
    <w:rsid w:val="00D80B9C"/>
    <w:rsid w:val="00D815EF"/>
    <w:rsid w:val="00D81949"/>
    <w:rsid w:val="00D81B97"/>
    <w:rsid w:val="00D81F26"/>
    <w:rsid w:val="00D822E2"/>
    <w:rsid w:val="00D82EAD"/>
    <w:rsid w:val="00D831A0"/>
    <w:rsid w:val="00D83B57"/>
    <w:rsid w:val="00D83CF5"/>
    <w:rsid w:val="00D843F2"/>
    <w:rsid w:val="00D84E5E"/>
    <w:rsid w:val="00D86231"/>
    <w:rsid w:val="00D86699"/>
    <w:rsid w:val="00D912AB"/>
    <w:rsid w:val="00D912B7"/>
    <w:rsid w:val="00D91923"/>
    <w:rsid w:val="00D92FD4"/>
    <w:rsid w:val="00D93753"/>
    <w:rsid w:val="00D942FE"/>
    <w:rsid w:val="00D94552"/>
    <w:rsid w:val="00D94A65"/>
    <w:rsid w:val="00D973C7"/>
    <w:rsid w:val="00DA237E"/>
    <w:rsid w:val="00DA3167"/>
    <w:rsid w:val="00DA460B"/>
    <w:rsid w:val="00DA4A9A"/>
    <w:rsid w:val="00DA4DC3"/>
    <w:rsid w:val="00DA502D"/>
    <w:rsid w:val="00DA6E94"/>
    <w:rsid w:val="00DA7588"/>
    <w:rsid w:val="00DA77A5"/>
    <w:rsid w:val="00DA7FEE"/>
    <w:rsid w:val="00DB0E36"/>
    <w:rsid w:val="00DB1CB4"/>
    <w:rsid w:val="00DB2BE9"/>
    <w:rsid w:val="00DB3DBF"/>
    <w:rsid w:val="00DB484F"/>
    <w:rsid w:val="00DB4E10"/>
    <w:rsid w:val="00DB5945"/>
    <w:rsid w:val="00DB64EA"/>
    <w:rsid w:val="00DB7733"/>
    <w:rsid w:val="00DC04BB"/>
    <w:rsid w:val="00DC04F6"/>
    <w:rsid w:val="00DC0690"/>
    <w:rsid w:val="00DC141A"/>
    <w:rsid w:val="00DC1D65"/>
    <w:rsid w:val="00DC3B07"/>
    <w:rsid w:val="00DC3C57"/>
    <w:rsid w:val="00DC3EB0"/>
    <w:rsid w:val="00DC4FC1"/>
    <w:rsid w:val="00DC5501"/>
    <w:rsid w:val="00DC5DE4"/>
    <w:rsid w:val="00DC7154"/>
    <w:rsid w:val="00DC7427"/>
    <w:rsid w:val="00DC7E8A"/>
    <w:rsid w:val="00DD0F78"/>
    <w:rsid w:val="00DD273C"/>
    <w:rsid w:val="00DD354D"/>
    <w:rsid w:val="00DD3F01"/>
    <w:rsid w:val="00DD3F28"/>
    <w:rsid w:val="00DD4446"/>
    <w:rsid w:val="00DD4537"/>
    <w:rsid w:val="00DD4E15"/>
    <w:rsid w:val="00DD5639"/>
    <w:rsid w:val="00DD5A7F"/>
    <w:rsid w:val="00DD6935"/>
    <w:rsid w:val="00DD7218"/>
    <w:rsid w:val="00DD77FD"/>
    <w:rsid w:val="00DD7C0B"/>
    <w:rsid w:val="00DE2304"/>
    <w:rsid w:val="00DE2C12"/>
    <w:rsid w:val="00DE2DD4"/>
    <w:rsid w:val="00DE3138"/>
    <w:rsid w:val="00DE37F8"/>
    <w:rsid w:val="00DE4273"/>
    <w:rsid w:val="00DE4FCB"/>
    <w:rsid w:val="00DE5D07"/>
    <w:rsid w:val="00DE6371"/>
    <w:rsid w:val="00DE6AE2"/>
    <w:rsid w:val="00DE72A7"/>
    <w:rsid w:val="00DE749B"/>
    <w:rsid w:val="00DE7832"/>
    <w:rsid w:val="00DF18FC"/>
    <w:rsid w:val="00DF2B03"/>
    <w:rsid w:val="00DF3399"/>
    <w:rsid w:val="00DF3B54"/>
    <w:rsid w:val="00DF5729"/>
    <w:rsid w:val="00DF5D2B"/>
    <w:rsid w:val="00DF6341"/>
    <w:rsid w:val="00DF68B1"/>
    <w:rsid w:val="00E00069"/>
    <w:rsid w:val="00E00E8E"/>
    <w:rsid w:val="00E0132D"/>
    <w:rsid w:val="00E024CC"/>
    <w:rsid w:val="00E034B9"/>
    <w:rsid w:val="00E0499A"/>
    <w:rsid w:val="00E04A69"/>
    <w:rsid w:val="00E05630"/>
    <w:rsid w:val="00E05B1B"/>
    <w:rsid w:val="00E06305"/>
    <w:rsid w:val="00E06DBB"/>
    <w:rsid w:val="00E076F0"/>
    <w:rsid w:val="00E100FB"/>
    <w:rsid w:val="00E10102"/>
    <w:rsid w:val="00E10149"/>
    <w:rsid w:val="00E1081C"/>
    <w:rsid w:val="00E11340"/>
    <w:rsid w:val="00E122A1"/>
    <w:rsid w:val="00E12576"/>
    <w:rsid w:val="00E13DBC"/>
    <w:rsid w:val="00E16372"/>
    <w:rsid w:val="00E16A35"/>
    <w:rsid w:val="00E16AD8"/>
    <w:rsid w:val="00E16B56"/>
    <w:rsid w:val="00E177E9"/>
    <w:rsid w:val="00E17FFA"/>
    <w:rsid w:val="00E20E4D"/>
    <w:rsid w:val="00E20ED6"/>
    <w:rsid w:val="00E210FF"/>
    <w:rsid w:val="00E21358"/>
    <w:rsid w:val="00E21EB1"/>
    <w:rsid w:val="00E2249B"/>
    <w:rsid w:val="00E22A0D"/>
    <w:rsid w:val="00E22A25"/>
    <w:rsid w:val="00E23AFF"/>
    <w:rsid w:val="00E244F6"/>
    <w:rsid w:val="00E2531B"/>
    <w:rsid w:val="00E2560F"/>
    <w:rsid w:val="00E256D5"/>
    <w:rsid w:val="00E258DB"/>
    <w:rsid w:val="00E26FD2"/>
    <w:rsid w:val="00E2771E"/>
    <w:rsid w:val="00E27BCC"/>
    <w:rsid w:val="00E27E52"/>
    <w:rsid w:val="00E30344"/>
    <w:rsid w:val="00E30DB6"/>
    <w:rsid w:val="00E311EF"/>
    <w:rsid w:val="00E316C9"/>
    <w:rsid w:val="00E317EF"/>
    <w:rsid w:val="00E31992"/>
    <w:rsid w:val="00E31FED"/>
    <w:rsid w:val="00E32180"/>
    <w:rsid w:val="00E34948"/>
    <w:rsid w:val="00E3507C"/>
    <w:rsid w:val="00E36388"/>
    <w:rsid w:val="00E37569"/>
    <w:rsid w:val="00E37E5E"/>
    <w:rsid w:val="00E37E80"/>
    <w:rsid w:val="00E401B2"/>
    <w:rsid w:val="00E41E30"/>
    <w:rsid w:val="00E42F73"/>
    <w:rsid w:val="00E434D1"/>
    <w:rsid w:val="00E439EE"/>
    <w:rsid w:val="00E43D70"/>
    <w:rsid w:val="00E4538F"/>
    <w:rsid w:val="00E466F3"/>
    <w:rsid w:val="00E47056"/>
    <w:rsid w:val="00E47B2C"/>
    <w:rsid w:val="00E50B7F"/>
    <w:rsid w:val="00E51560"/>
    <w:rsid w:val="00E51821"/>
    <w:rsid w:val="00E51EBC"/>
    <w:rsid w:val="00E53FC8"/>
    <w:rsid w:val="00E54347"/>
    <w:rsid w:val="00E55424"/>
    <w:rsid w:val="00E55915"/>
    <w:rsid w:val="00E55BB5"/>
    <w:rsid w:val="00E5664D"/>
    <w:rsid w:val="00E57085"/>
    <w:rsid w:val="00E60213"/>
    <w:rsid w:val="00E60CA0"/>
    <w:rsid w:val="00E60F53"/>
    <w:rsid w:val="00E611DF"/>
    <w:rsid w:val="00E61A98"/>
    <w:rsid w:val="00E61F86"/>
    <w:rsid w:val="00E627F8"/>
    <w:rsid w:val="00E65E79"/>
    <w:rsid w:val="00E6610F"/>
    <w:rsid w:val="00E66BA2"/>
    <w:rsid w:val="00E67416"/>
    <w:rsid w:val="00E718B6"/>
    <w:rsid w:val="00E723BA"/>
    <w:rsid w:val="00E73406"/>
    <w:rsid w:val="00E73581"/>
    <w:rsid w:val="00E73582"/>
    <w:rsid w:val="00E74184"/>
    <w:rsid w:val="00E74D87"/>
    <w:rsid w:val="00E759F0"/>
    <w:rsid w:val="00E75B7D"/>
    <w:rsid w:val="00E7615F"/>
    <w:rsid w:val="00E833F7"/>
    <w:rsid w:val="00E8384B"/>
    <w:rsid w:val="00E83BDF"/>
    <w:rsid w:val="00E84129"/>
    <w:rsid w:val="00E85D19"/>
    <w:rsid w:val="00E86FCC"/>
    <w:rsid w:val="00E8723B"/>
    <w:rsid w:val="00E877D3"/>
    <w:rsid w:val="00E87A1D"/>
    <w:rsid w:val="00E90291"/>
    <w:rsid w:val="00E90881"/>
    <w:rsid w:val="00E9094A"/>
    <w:rsid w:val="00E909D4"/>
    <w:rsid w:val="00E91D35"/>
    <w:rsid w:val="00E926A5"/>
    <w:rsid w:val="00E92945"/>
    <w:rsid w:val="00E93DE5"/>
    <w:rsid w:val="00E94B70"/>
    <w:rsid w:val="00E954CB"/>
    <w:rsid w:val="00E95E76"/>
    <w:rsid w:val="00E962CC"/>
    <w:rsid w:val="00E96660"/>
    <w:rsid w:val="00E974BD"/>
    <w:rsid w:val="00E97995"/>
    <w:rsid w:val="00EA1338"/>
    <w:rsid w:val="00EA17C3"/>
    <w:rsid w:val="00EA18D1"/>
    <w:rsid w:val="00EA1A8A"/>
    <w:rsid w:val="00EA2CAA"/>
    <w:rsid w:val="00EA3048"/>
    <w:rsid w:val="00EA3864"/>
    <w:rsid w:val="00EA6C12"/>
    <w:rsid w:val="00EA7F1C"/>
    <w:rsid w:val="00EB15B6"/>
    <w:rsid w:val="00EB2653"/>
    <w:rsid w:val="00EB3197"/>
    <w:rsid w:val="00EB32ED"/>
    <w:rsid w:val="00EB3699"/>
    <w:rsid w:val="00EB3D06"/>
    <w:rsid w:val="00EB4916"/>
    <w:rsid w:val="00EB767F"/>
    <w:rsid w:val="00EC00C9"/>
    <w:rsid w:val="00EC058B"/>
    <w:rsid w:val="00EC0DD9"/>
    <w:rsid w:val="00EC1041"/>
    <w:rsid w:val="00EC164B"/>
    <w:rsid w:val="00EC252F"/>
    <w:rsid w:val="00EC2649"/>
    <w:rsid w:val="00EC31ED"/>
    <w:rsid w:val="00EC4EE8"/>
    <w:rsid w:val="00EC5836"/>
    <w:rsid w:val="00EC688C"/>
    <w:rsid w:val="00ED12E3"/>
    <w:rsid w:val="00ED36B5"/>
    <w:rsid w:val="00ED4B04"/>
    <w:rsid w:val="00ED57EA"/>
    <w:rsid w:val="00ED5B73"/>
    <w:rsid w:val="00ED5BD4"/>
    <w:rsid w:val="00ED6E80"/>
    <w:rsid w:val="00ED76E0"/>
    <w:rsid w:val="00ED787B"/>
    <w:rsid w:val="00ED792A"/>
    <w:rsid w:val="00EE02E9"/>
    <w:rsid w:val="00EE07D3"/>
    <w:rsid w:val="00EE1996"/>
    <w:rsid w:val="00EE1C01"/>
    <w:rsid w:val="00EE1D1A"/>
    <w:rsid w:val="00EE22AF"/>
    <w:rsid w:val="00EE3316"/>
    <w:rsid w:val="00EE4E53"/>
    <w:rsid w:val="00EE63E9"/>
    <w:rsid w:val="00EE6A70"/>
    <w:rsid w:val="00EE7AF6"/>
    <w:rsid w:val="00EF0171"/>
    <w:rsid w:val="00EF1B25"/>
    <w:rsid w:val="00EF1DA0"/>
    <w:rsid w:val="00EF2D14"/>
    <w:rsid w:val="00EF43F4"/>
    <w:rsid w:val="00EF443B"/>
    <w:rsid w:val="00EF4747"/>
    <w:rsid w:val="00EF4BF8"/>
    <w:rsid w:val="00EF5583"/>
    <w:rsid w:val="00EF727E"/>
    <w:rsid w:val="00EF7565"/>
    <w:rsid w:val="00F00057"/>
    <w:rsid w:val="00F01E09"/>
    <w:rsid w:val="00F02253"/>
    <w:rsid w:val="00F03C2E"/>
    <w:rsid w:val="00F04A66"/>
    <w:rsid w:val="00F04B4B"/>
    <w:rsid w:val="00F0516C"/>
    <w:rsid w:val="00F05C2E"/>
    <w:rsid w:val="00F067A2"/>
    <w:rsid w:val="00F07B9E"/>
    <w:rsid w:val="00F108D4"/>
    <w:rsid w:val="00F10D28"/>
    <w:rsid w:val="00F110DA"/>
    <w:rsid w:val="00F1116F"/>
    <w:rsid w:val="00F1263A"/>
    <w:rsid w:val="00F12B91"/>
    <w:rsid w:val="00F139C5"/>
    <w:rsid w:val="00F151D6"/>
    <w:rsid w:val="00F15B77"/>
    <w:rsid w:val="00F163DE"/>
    <w:rsid w:val="00F21236"/>
    <w:rsid w:val="00F217CA"/>
    <w:rsid w:val="00F239DF"/>
    <w:rsid w:val="00F23F37"/>
    <w:rsid w:val="00F24837"/>
    <w:rsid w:val="00F25084"/>
    <w:rsid w:val="00F2575F"/>
    <w:rsid w:val="00F27565"/>
    <w:rsid w:val="00F310D4"/>
    <w:rsid w:val="00F31C69"/>
    <w:rsid w:val="00F31D5A"/>
    <w:rsid w:val="00F32102"/>
    <w:rsid w:val="00F33975"/>
    <w:rsid w:val="00F33DE9"/>
    <w:rsid w:val="00F34546"/>
    <w:rsid w:val="00F3534F"/>
    <w:rsid w:val="00F35E6D"/>
    <w:rsid w:val="00F3619A"/>
    <w:rsid w:val="00F40939"/>
    <w:rsid w:val="00F40AAA"/>
    <w:rsid w:val="00F40BA7"/>
    <w:rsid w:val="00F40F9D"/>
    <w:rsid w:val="00F417D1"/>
    <w:rsid w:val="00F41ACD"/>
    <w:rsid w:val="00F431FA"/>
    <w:rsid w:val="00F44459"/>
    <w:rsid w:val="00F45F95"/>
    <w:rsid w:val="00F46CB6"/>
    <w:rsid w:val="00F4756D"/>
    <w:rsid w:val="00F47DE8"/>
    <w:rsid w:val="00F51E66"/>
    <w:rsid w:val="00F53346"/>
    <w:rsid w:val="00F542C1"/>
    <w:rsid w:val="00F550E3"/>
    <w:rsid w:val="00F55ABA"/>
    <w:rsid w:val="00F55C4F"/>
    <w:rsid w:val="00F55E73"/>
    <w:rsid w:val="00F55EDA"/>
    <w:rsid w:val="00F563C9"/>
    <w:rsid w:val="00F56C80"/>
    <w:rsid w:val="00F56F57"/>
    <w:rsid w:val="00F60092"/>
    <w:rsid w:val="00F61C18"/>
    <w:rsid w:val="00F61F69"/>
    <w:rsid w:val="00F65792"/>
    <w:rsid w:val="00F65F4B"/>
    <w:rsid w:val="00F663A0"/>
    <w:rsid w:val="00F66B85"/>
    <w:rsid w:val="00F67A69"/>
    <w:rsid w:val="00F70BFF"/>
    <w:rsid w:val="00F70C9D"/>
    <w:rsid w:val="00F71093"/>
    <w:rsid w:val="00F71E64"/>
    <w:rsid w:val="00F73C6E"/>
    <w:rsid w:val="00F73E08"/>
    <w:rsid w:val="00F74CD9"/>
    <w:rsid w:val="00F75791"/>
    <w:rsid w:val="00F76EEB"/>
    <w:rsid w:val="00F77C6F"/>
    <w:rsid w:val="00F80A7B"/>
    <w:rsid w:val="00F80BCA"/>
    <w:rsid w:val="00F80E5D"/>
    <w:rsid w:val="00F81250"/>
    <w:rsid w:val="00F81DBE"/>
    <w:rsid w:val="00F81E78"/>
    <w:rsid w:val="00F826A2"/>
    <w:rsid w:val="00F8297B"/>
    <w:rsid w:val="00F83916"/>
    <w:rsid w:val="00F851CE"/>
    <w:rsid w:val="00F90233"/>
    <w:rsid w:val="00F90620"/>
    <w:rsid w:val="00F907C8"/>
    <w:rsid w:val="00F91219"/>
    <w:rsid w:val="00F92444"/>
    <w:rsid w:val="00F92FE7"/>
    <w:rsid w:val="00F9393E"/>
    <w:rsid w:val="00F94822"/>
    <w:rsid w:val="00F94DE8"/>
    <w:rsid w:val="00F9520D"/>
    <w:rsid w:val="00F95A05"/>
    <w:rsid w:val="00F95AB1"/>
    <w:rsid w:val="00F96FD0"/>
    <w:rsid w:val="00F97A78"/>
    <w:rsid w:val="00F97D9A"/>
    <w:rsid w:val="00FA0B20"/>
    <w:rsid w:val="00FA24E7"/>
    <w:rsid w:val="00FA4396"/>
    <w:rsid w:val="00FA4480"/>
    <w:rsid w:val="00FA4544"/>
    <w:rsid w:val="00FA5A8F"/>
    <w:rsid w:val="00FA5EE6"/>
    <w:rsid w:val="00FA7956"/>
    <w:rsid w:val="00FB0824"/>
    <w:rsid w:val="00FB0A72"/>
    <w:rsid w:val="00FB1D0F"/>
    <w:rsid w:val="00FB2FCB"/>
    <w:rsid w:val="00FB4C9C"/>
    <w:rsid w:val="00FB50D1"/>
    <w:rsid w:val="00FB5247"/>
    <w:rsid w:val="00FB5A08"/>
    <w:rsid w:val="00FB5D10"/>
    <w:rsid w:val="00FB65BC"/>
    <w:rsid w:val="00FB755B"/>
    <w:rsid w:val="00FB7C55"/>
    <w:rsid w:val="00FC0108"/>
    <w:rsid w:val="00FC1074"/>
    <w:rsid w:val="00FC10D6"/>
    <w:rsid w:val="00FC170D"/>
    <w:rsid w:val="00FC1884"/>
    <w:rsid w:val="00FC19D2"/>
    <w:rsid w:val="00FC2969"/>
    <w:rsid w:val="00FC3162"/>
    <w:rsid w:val="00FC33E9"/>
    <w:rsid w:val="00FC371D"/>
    <w:rsid w:val="00FC4D57"/>
    <w:rsid w:val="00FC541C"/>
    <w:rsid w:val="00FC5F0B"/>
    <w:rsid w:val="00FC70F6"/>
    <w:rsid w:val="00FD0F78"/>
    <w:rsid w:val="00FD1FF2"/>
    <w:rsid w:val="00FD2100"/>
    <w:rsid w:val="00FD428E"/>
    <w:rsid w:val="00FD436C"/>
    <w:rsid w:val="00FD446D"/>
    <w:rsid w:val="00FD4E3E"/>
    <w:rsid w:val="00FD4F2C"/>
    <w:rsid w:val="00FD54AB"/>
    <w:rsid w:val="00FD6394"/>
    <w:rsid w:val="00FE0BDA"/>
    <w:rsid w:val="00FE0E6C"/>
    <w:rsid w:val="00FE1CDC"/>
    <w:rsid w:val="00FE1CF0"/>
    <w:rsid w:val="00FE261E"/>
    <w:rsid w:val="00FE2BC3"/>
    <w:rsid w:val="00FE53B9"/>
    <w:rsid w:val="00FE6B5F"/>
    <w:rsid w:val="00FE6CB5"/>
    <w:rsid w:val="00FE70C3"/>
    <w:rsid w:val="00FF08D3"/>
    <w:rsid w:val="00FF1325"/>
    <w:rsid w:val="00FF16F8"/>
    <w:rsid w:val="00FF1A8B"/>
    <w:rsid w:val="00FF2AD9"/>
    <w:rsid w:val="00FF359F"/>
    <w:rsid w:val="00FF3DCF"/>
    <w:rsid w:val="00FF402F"/>
    <w:rsid w:val="00FF492C"/>
    <w:rsid w:val="00FF4A21"/>
    <w:rsid w:val="00FF5AA3"/>
    <w:rsid w:val="00FF5AD8"/>
    <w:rsid w:val="032844C7"/>
    <w:rsid w:val="0347E8BD"/>
    <w:rsid w:val="03CD7F8F"/>
    <w:rsid w:val="074CAE5B"/>
    <w:rsid w:val="097FC663"/>
    <w:rsid w:val="0DD8D9C0"/>
    <w:rsid w:val="1032A463"/>
    <w:rsid w:val="141CB90A"/>
    <w:rsid w:val="15BC8A80"/>
    <w:rsid w:val="20DF56DA"/>
    <w:rsid w:val="21CDB49C"/>
    <w:rsid w:val="23359326"/>
    <w:rsid w:val="25971A71"/>
    <w:rsid w:val="25D48AA2"/>
    <w:rsid w:val="288258D2"/>
    <w:rsid w:val="319ECEC4"/>
    <w:rsid w:val="3B8A9CE0"/>
    <w:rsid w:val="3CCF2B63"/>
    <w:rsid w:val="431C1CF0"/>
    <w:rsid w:val="442C7225"/>
    <w:rsid w:val="4CE0D0F0"/>
    <w:rsid w:val="50BF4131"/>
    <w:rsid w:val="59ECB5A5"/>
    <w:rsid w:val="5C43E0AD"/>
    <w:rsid w:val="5F0EBFC9"/>
    <w:rsid w:val="637F001E"/>
    <w:rsid w:val="6804519E"/>
    <w:rsid w:val="688603DE"/>
    <w:rsid w:val="6ED9D303"/>
    <w:rsid w:val="7432A2D3"/>
    <w:rsid w:val="7D66E32B"/>
    <w:rsid w:val="7D9AEC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3E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1"/>
    <w:qFormat/>
    <w:rsid w:val="00E2771E"/>
    <w:rPr>
      <w:rFonts w:ascii="Arial Narrow" w:hAnsi="Arial Narrow"/>
      <w:sz w:val="18"/>
    </w:rPr>
  </w:style>
  <w:style w:type="character" w:customStyle="1" w:styleId="TableFooterChar">
    <w:name w:val="Table Footer Char"/>
    <w:link w:val="TableFooter"/>
    <w:uiPriority w:val="1"/>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Caption Char2 Char,Bullet,- H17,Char,! Q"/>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Bullet Char"/>
    <w:link w:val="Caption"/>
    <w:uiPriority w:val="1"/>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 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Dossier table,Summary Table,PHE Table Grid,Lash Style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3"/>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77BB3"/>
    <w:pPr>
      <w:numPr>
        <w:ilvl w:val="1"/>
        <w:numId w:val="1"/>
      </w:numPr>
      <w:ind w:left="709"/>
    </w:pPr>
  </w:style>
  <w:style w:type="character" w:customStyle="1" w:styleId="3-BodyTextChar">
    <w:name w:val="3-Body Text Char"/>
    <w:basedOn w:val="ListParagraphChar"/>
    <w:link w:val="3-BodyText"/>
    <w:rsid w:val="00477BB3"/>
    <w:rPr>
      <w:rFonts w:asciiTheme="minorHAnsi" w:hAnsiTheme="minorHAnsi" w:cs="Arial"/>
      <w:snapToGrid w:val="0"/>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uiPriority w:val="3"/>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Body">
    <w:name w:val="Body"/>
    <w:basedOn w:val="BodyText"/>
    <w:link w:val="BodyChar"/>
    <w:qFormat/>
    <w:rsid w:val="00BE2316"/>
    <w:pPr>
      <w:spacing w:after="120" w:line="360" w:lineRule="auto"/>
      <w:jc w:val="both"/>
    </w:pPr>
    <w:rPr>
      <w:rFonts w:ascii="Arial" w:hAnsi="Arial" w:cs="Times New Roman"/>
      <w:sz w:val="22"/>
      <w:szCs w:val="20"/>
      <w:lang w:val="en-GB" w:eastAsia="en-US"/>
    </w:rPr>
  </w:style>
  <w:style w:type="character" w:customStyle="1" w:styleId="BodyChar">
    <w:name w:val="Body Char"/>
    <w:basedOn w:val="DefaultParagraphFont"/>
    <w:link w:val="Body"/>
    <w:rsid w:val="00BE2316"/>
    <w:rPr>
      <w:rFonts w:ascii="Arial" w:hAnsi="Arial"/>
      <w:sz w:val="22"/>
      <w:lang w:val="en-GB" w:eastAsia="en-US"/>
    </w:rPr>
  </w:style>
  <w:style w:type="paragraph" w:customStyle="1" w:styleId="TableHeading0">
    <w:name w:val="Table Heading"/>
    <w:basedOn w:val="TableText0"/>
    <w:link w:val="TableHeadingChar"/>
    <w:uiPriority w:val="3"/>
    <w:qFormat/>
    <w:rsid w:val="00D761D6"/>
    <w:pPr>
      <w:keepLines/>
      <w:spacing w:before="20" w:after="20" w:line="276" w:lineRule="auto"/>
    </w:pPr>
    <w:rPr>
      <w:rFonts w:cs="Arial"/>
      <w:b/>
      <w:bCs w:val="0"/>
      <w:szCs w:val="20"/>
      <w:lang w:bidi="en-US"/>
    </w:rPr>
  </w:style>
  <w:style w:type="table" w:customStyle="1" w:styleId="AZTable">
    <w:name w:val="AZ Table"/>
    <w:basedOn w:val="TableNormal"/>
    <w:uiPriority w:val="99"/>
    <w:rsid w:val="00D761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Bullet">
    <w:name w:val="Table Bullet"/>
    <w:basedOn w:val="TableText0"/>
    <w:link w:val="TableBulletChar"/>
    <w:qFormat/>
    <w:rsid w:val="00D761D6"/>
    <w:pPr>
      <w:keepNext w:val="0"/>
      <w:numPr>
        <w:numId w:val="7"/>
      </w:numPr>
      <w:spacing w:before="20" w:after="20" w:line="276" w:lineRule="auto"/>
      <w:ind w:left="284" w:hanging="284"/>
    </w:pPr>
    <w:rPr>
      <w:rFonts w:cs="Arial"/>
      <w:bCs w:val="0"/>
      <w:lang w:bidi="en-US"/>
    </w:rPr>
  </w:style>
  <w:style w:type="character" w:customStyle="1" w:styleId="TableHeadingChar">
    <w:name w:val="Table Heading Char"/>
    <w:basedOn w:val="DefaultParagraphFont"/>
    <w:link w:val="TableHeading0"/>
    <w:uiPriority w:val="3"/>
    <w:locked/>
    <w:rsid w:val="00D761D6"/>
    <w:rPr>
      <w:rFonts w:ascii="Arial Narrow" w:eastAsiaTheme="majorEastAsia" w:hAnsi="Arial Narrow" w:cs="Arial"/>
      <w:b/>
      <w:lang w:bidi="en-US"/>
    </w:rPr>
  </w:style>
  <w:style w:type="character" w:customStyle="1" w:styleId="TableBulletChar">
    <w:name w:val="Table Bullet Char"/>
    <w:basedOn w:val="TableTextChar0"/>
    <w:link w:val="TableBullet"/>
    <w:rsid w:val="00D761D6"/>
    <w:rPr>
      <w:rFonts w:ascii="Arial Narrow" w:eastAsiaTheme="majorEastAsia" w:hAnsi="Arial Narrow" w:cs="Arial"/>
      <w:bCs w:val="0"/>
      <w:szCs w:val="24"/>
      <w:lang w:bidi="en-US"/>
    </w:rPr>
  </w:style>
  <w:style w:type="paragraph" w:customStyle="1" w:styleId="Heading4Alt">
    <w:name w:val="Heading 4 Alt"/>
    <w:basedOn w:val="Heading4"/>
    <w:link w:val="Heading4AltChar"/>
    <w:qFormat/>
    <w:rsid w:val="00201270"/>
    <w:pPr>
      <w:keepLines/>
      <w:spacing w:before="40" w:after="0" w:line="360" w:lineRule="auto"/>
      <w:outlineLvl w:val="9"/>
    </w:pPr>
    <w:rPr>
      <w:rFonts w:ascii="Arial" w:eastAsiaTheme="majorEastAsia" w:hAnsi="Arial" w:cstheme="majorBidi"/>
      <w:bCs w:val="0"/>
      <w:i w:val="0"/>
      <w:iCs/>
      <w:color w:val="000000" w:themeColor="text1"/>
      <w:sz w:val="24"/>
      <w:szCs w:val="22"/>
      <w:lang w:eastAsia="en-US"/>
    </w:rPr>
  </w:style>
  <w:style w:type="character" w:customStyle="1" w:styleId="Heading4AltChar">
    <w:name w:val="Heading 4 Alt Char"/>
    <w:basedOn w:val="DefaultParagraphFont"/>
    <w:link w:val="Heading4Alt"/>
    <w:rsid w:val="00201270"/>
    <w:rPr>
      <w:rFonts w:ascii="Arial" w:eastAsiaTheme="majorEastAsia" w:hAnsi="Arial" w:cstheme="majorBidi"/>
      <w:b/>
      <w:iCs/>
      <w:color w:val="000000" w:themeColor="text1"/>
      <w:sz w:val="24"/>
      <w:szCs w:val="22"/>
      <w:lang w:eastAsia="en-US"/>
    </w:rPr>
  </w:style>
  <w:style w:type="paragraph" w:customStyle="1" w:styleId="TableFigNotes18">
    <w:name w:val="TableFigNotes+18"/>
    <w:basedOn w:val="BodyText"/>
    <w:next w:val="BodyText"/>
    <w:link w:val="TableFigNotes18Char"/>
    <w:uiPriority w:val="4"/>
    <w:qFormat/>
    <w:rsid w:val="00201270"/>
    <w:pPr>
      <w:keepLines/>
      <w:spacing w:after="360" w:line="276" w:lineRule="auto"/>
      <w:contextualSpacing/>
    </w:pPr>
    <w:rPr>
      <w:rFonts w:ascii="Arial Narrow" w:eastAsiaTheme="minorHAnsi" w:hAnsi="Arial Narrow" w:cs="Tahoma"/>
      <w:color w:val="000000"/>
      <w:sz w:val="18"/>
      <w:szCs w:val="18"/>
    </w:rPr>
  </w:style>
  <w:style w:type="character" w:customStyle="1" w:styleId="TableFigNotes18Char">
    <w:name w:val="TableFigNotes+18 Char"/>
    <w:basedOn w:val="DefaultParagraphFont"/>
    <w:link w:val="TableFigNotes18"/>
    <w:uiPriority w:val="4"/>
    <w:rsid w:val="00201270"/>
    <w:rPr>
      <w:rFonts w:ascii="Arial Narrow" w:eastAsiaTheme="minorHAnsi" w:hAnsi="Arial Narrow" w:cs="Tahoma"/>
      <w:color w:val="000000"/>
      <w:sz w:val="18"/>
      <w:szCs w:val="18"/>
    </w:rPr>
  </w:style>
  <w:style w:type="table" w:customStyle="1" w:styleId="Summarybox1">
    <w:name w:val="Summary box1"/>
    <w:basedOn w:val="TableNormal"/>
    <w:next w:val="TableGrid"/>
    <w:rsid w:val="00911AA3"/>
    <w:pPr>
      <w:jc w:val="both"/>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Table1">
    <w:name w:val="Summary Table1"/>
    <w:basedOn w:val="TableNormal"/>
    <w:next w:val="TableGrid"/>
    <w:uiPriority w:val="39"/>
    <w:rsid w:val="00AF7E06"/>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alText">
    <w:name w:val="Instructional Text"/>
    <w:basedOn w:val="Normal"/>
    <w:link w:val="InstructionalTextChar"/>
    <w:uiPriority w:val="3"/>
    <w:qFormat/>
    <w:rsid w:val="00C214F1"/>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C214F1"/>
    <w:rPr>
      <w:rFonts w:asciiTheme="minorHAnsi" w:eastAsiaTheme="minorHAnsi" w:hAnsiTheme="minorHAnsi" w:cstheme="minorHAnsi"/>
      <w:color w:val="3366FF"/>
      <w:sz w:val="24"/>
      <w:szCs w:val="22"/>
      <w:lang w:eastAsia="en-US"/>
    </w:rPr>
  </w:style>
  <w:style w:type="paragraph" w:styleId="FootnoteText">
    <w:name w:val="footnote text"/>
    <w:basedOn w:val="Normal"/>
    <w:link w:val="FootnoteTextChar"/>
    <w:unhideWhenUsed/>
    <w:rsid w:val="00C214F1"/>
    <w:rPr>
      <w:sz w:val="20"/>
      <w:szCs w:val="20"/>
    </w:rPr>
  </w:style>
  <w:style w:type="character" w:customStyle="1" w:styleId="FootnoteTextChar">
    <w:name w:val="Footnote Text Char"/>
    <w:basedOn w:val="DefaultParagraphFont"/>
    <w:link w:val="FootnoteText"/>
    <w:rsid w:val="00C214F1"/>
    <w:rPr>
      <w:rFonts w:ascii="Calibri" w:hAnsi="Calibri" w:cs="Arial"/>
    </w:rPr>
  </w:style>
  <w:style w:type="character" w:styleId="FootnoteReference">
    <w:name w:val="footnote reference"/>
    <w:basedOn w:val="DefaultParagraphFont"/>
    <w:semiHidden/>
    <w:unhideWhenUsed/>
    <w:rsid w:val="00C214F1"/>
    <w:rPr>
      <w:vertAlign w:val="superscript"/>
    </w:rPr>
  </w:style>
  <w:style w:type="paragraph" w:customStyle="1" w:styleId="Tabletextcent">
    <w:name w:val="Table text cent"/>
    <w:basedOn w:val="Normal"/>
    <w:uiPriority w:val="99"/>
    <w:qFormat/>
    <w:rsid w:val="00C214F1"/>
    <w:pPr>
      <w:spacing w:before="20" w:after="20"/>
      <w:ind w:left="113" w:right="113"/>
      <w:jc w:val="center"/>
    </w:pPr>
    <w:rPr>
      <w:rFonts w:cs="Times New Roman"/>
      <w:sz w:val="20"/>
      <w:szCs w:val="20"/>
      <w:lang w:val="de-DE"/>
    </w:rPr>
  </w:style>
  <w:style w:type="paragraph" w:customStyle="1" w:styleId="TableNumber">
    <w:name w:val="Table Number"/>
    <w:basedOn w:val="TableText0"/>
    <w:link w:val="TableNumberChar"/>
    <w:qFormat/>
    <w:rsid w:val="00C214F1"/>
    <w:pPr>
      <w:keepNext w:val="0"/>
      <w:widowControl w:val="0"/>
      <w:tabs>
        <w:tab w:val="decimal" w:pos="396"/>
      </w:tabs>
      <w:spacing w:before="40" w:after="40" w:line="256" w:lineRule="auto"/>
      <w:jc w:val="center"/>
    </w:pPr>
    <w:rPr>
      <w:bCs w:val="0"/>
      <w:lang w:eastAsia="en-GB"/>
    </w:rPr>
  </w:style>
  <w:style w:type="character" w:customStyle="1" w:styleId="TableNumberChar">
    <w:name w:val="Table Number Char"/>
    <w:basedOn w:val="TableTextChar0"/>
    <w:link w:val="TableNumber"/>
    <w:rsid w:val="00C214F1"/>
    <w:rPr>
      <w:rFonts w:ascii="Arial Narrow" w:eastAsiaTheme="majorEastAsia" w:hAnsi="Arial Narrow" w:cstheme="majorBidi"/>
      <w:bCs w:val="0"/>
      <w:szCs w:val="24"/>
      <w:lang w:eastAsia="en-GB"/>
    </w:rPr>
  </w:style>
  <w:style w:type="paragraph" w:customStyle="1" w:styleId="TableText1">
    <w:name w:val="TableText"/>
    <w:basedOn w:val="Normal"/>
    <w:link w:val="TableTextChar1"/>
    <w:uiPriority w:val="3"/>
    <w:qFormat/>
    <w:rsid w:val="00C214F1"/>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C214F1"/>
    <w:rPr>
      <w:rFonts w:ascii="Calibri" w:hAnsi="Calibri" w:cs="Calibri"/>
      <w:bCs/>
      <w:lang w:eastAsia="zh-CN"/>
    </w:rPr>
  </w:style>
  <w:style w:type="paragraph" w:customStyle="1" w:styleId="TableHeadingRow">
    <w:name w:val="TableHeadingRow"/>
    <w:basedOn w:val="TableText1"/>
    <w:uiPriority w:val="3"/>
    <w:qFormat/>
    <w:rsid w:val="00C214F1"/>
    <w:pPr>
      <w:keepNext/>
      <w:spacing w:before="40" w:after="40"/>
      <w:jc w:val="center"/>
    </w:pPr>
    <w:rPr>
      <w:b/>
      <w:bCs w:val="0"/>
    </w:rPr>
  </w:style>
  <w:style w:type="table" w:customStyle="1" w:styleId="AZTable1">
    <w:name w:val="AZ Table1"/>
    <w:basedOn w:val="TableNormal"/>
    <w:uiPriority w:val="99"/>
    <w:rsid w:val="00421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FigureFooter">
    <w:name w:val="Table/Figure Footer"/>
    <w:basedOn w:val="Normal"/>
    <w:link w:val="TableFigureFooterChar"/>
    <w:qFormat/>
    <w:rsid w:val="00244560"/>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244560"/>
    <w:rPr>
      <w:rFonts w:ascii="Arial Narrow" w:hAnsi="Arial Narrow" w:cs="Arial"/>
      <w:snapToGrid w:val="0"/>
      <w:sz w:val="18"/>
      <w:szCs w:val="22"/>
    </w:rPr>
  </w:style>
  <w:style w:type="table" w:customStyle="1" w:styleId="PBACTableStyle">
    <w:name w:val="PBAC Table Style"/>
    <w:basedOn w:val="TableGrid1"/>
    <w:uiPriority w:val="99"/>
    <w:rsid w:val="001F5FE2"/>
    <w:pPr>
      <w:widowControl w:val="0"/>
      <w:tabs>
        <w:tab w:val="num" w:pos="360"/>
      </w:tabs>
      <w:spacing w:before="120"/>
      <w:contextualSpacing/>
      <w:jc w:val="center"/>
    </w:pPr>
    <w:rPr>
      <w:rFonts w:ascii="Arial Narrow" w:eastAsiaTheme="minorHAnsi" w:hAnsi="Arial Narrow" w:cstheme="minorBidi"/>
      <w:color w:val="000000" w:themeColor="text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Bahnschrift SemiLight Condensed" w:hAnsi="Bahnschrift SemiLight Condensed"/>
        <w:b/>
        <w:sz w:val="20"/>
      </w:rPr>
    </w:tblStylePr>
    <w:tblStylePr w:type="lastRow">
      <w:rPr>
        <w:i/>
        <w:iCs/>
      </w:rPr>
      <w:tblPr/>
      <w:tcPr>
        <w:tcBorders>
          <w:tl2br w:val="none" w:sz="0" w:space="0" w:color="auto"/>
          <w:tr2bl w:val="none" w:sz="0" w:space="0" w:color="auto"/>
        </w:tcBorders>
      </w:tcPr>
    </w:tblStylePr>
    <w:tblStylePr w:type="firstCol">
      <w:rPr>
        <w:rFonts w:ascii="Bahnschrift SemiLight Condensed" w:hAnsi="Bahnschrift SemiLight Condensed"/>
        <w:sz w:val="20"/>
      </w:rPr>
    </w:tblStylePr>
    <w:tblStylePr w:type="lastCol">
      <w:rPr>
        <w:rFonts w:ascii="Bahnschrift SemiLight Condensed" w:hAnsi="Bahnschrift SemiLight Condensed"/>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1F5FE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5F4FD2"/>
    <w:pPr>
      <w:jc w:val="center"/>
    </w:pPr>
    <w:rPr>
      <w:rFonts w:ascii="Arial Narrow" w:hAnsi="Arial Narrow"/>
      <w:noProof/>
      <w:sz w:val="18"/>
    </w:rPr>
  </w:style>
  <w:style w:type="character" w:customStyle="1" w:styleId="EndNoteBibliographyTitleChar">
    <w:name w:val="EndNote Bibliography Title Char"/>
    <w:basedOn w:val="TableTextChar0"/>
    <w:link w:val="EndNoteBibliographyTitle"/>
    <w:rsid w:val="005F4FD2"/>
    <w:rPr>
      <w:rFonts w:ascii="Arial Narrow" w:eastAsiaTheme="majorEastAsia" w:hAnsi="Arial Narrow" w:cs="Arial"/>
      <w:bCs w:val="0"/>
      <w:noProof/>
      <w:sz w:val="18"/>
      <w:szCs w:val="24"/>
    </w:rPr>
  </w:style>
  <w:style w:type="paragraph" w:customStyle="1" w:styleId="EndNoteBibliography">
    <w:name w:val="EndNote Bibliography"/>
    <w:basedOn w:val="Normal"/>
    <w:link w:val="EndNoteBibliographyChar"/>
    <w:rsid w:val="005F4FD2"/>
    <w:rPr>
      <w:rFonts w:ascii="Arial Narrow" w:hAnsi="Arial Narrow"/>
      <w:noProof/>
      <w:sz w:val="18"/>
    </w:rPr>
  </w:style>
  <w:style w:type="character" w:customStyle="1" w:styleId="EndNoteBibliographyChar">
    <w:name w:val="EndNote Bibliography Char"/>
    <w:basedOn w:val="TableTextChar0"/>
    <w:link w:val="EndNoteBibliography"/>
    <w:rsid w:val="005F4FD2"/>
    <w:rPr>
      <w:rFonts w:ascii="Arial Narrow" w:eastAsiaTheme="majorEastAsia" w:hAnsi="Arial Narrow" w:cs="Arial"/>
      <w:bCs w:val="0"/>
      <w:noProof/>
      <w:sz w:val="18"/>
      <w:szCs w:val="24"/>
    </w:rPr>
  </w:style>
  <w:style w:type="paragraph" w:styleId="EndnoteText">
    <w:name w:val="endnote text"/>
    <w:basedOn w:val="Normal"/>
    <w:link w:val="EndnoteTextChar"/>
    <w:semiHidden/>
    <w:unhideWhenUsed/>
    <w:rsid w:val="005F4FD2"/>
    <w:rPr>
      <w:sz w:val="20"/>
      <w:szCs w:val="20"/>
    </w:rPr>
  </w:style>
  <w:style w:type="character" w:customStyle="1" w:styleId="EndnoteTextChar">
    <w:name w:val="Endnote Text Char"/>
    <w:basedOn w:val="DefaultParagraphFont"/>
    <w:link w:val="EndnoteText"/>
    <w:semiHidden/>
    <w:rsid w:val="005F4FD2"/>
    <w:rPr>
      <w:rFonts w:ascii="Calibri" w:hAnsi="Calibri" w:cs="Arial"/>
    </w:rPr>
  </w:style>
  <w:style w:type="character" w:styleId="EndnoteReference">
    <w:name w:val="endnote reference"/>
    <w:basedOn w:val="DefaultParagraphFont"/>
    <w:semiHidden/>
    <w:unhideWhenUsed/>
    <w:rsid w:val="005F4FD2"/>
    <w:rPr>
      <w:vertAlign w:val="superscript"/>
    </w:rPr>
  </w:style>
  <w:style w:type="character" w:customStyle="1" w:styleId="normaltextrun">
    <w:name w:val="normaltextrun"/>
    <w:basedOn w:val="DefaultParagraphFont"/>
    <w:rsid w:val="00B00D78"/>
  </w:style>
  <w:style w:type="paragraph" w:customStyle="1" w:styleId="3-SubsectionHeading">
    <w:name w:val="3-Subsection Heading"/>
    <w:basedOn w:val="Heading2"/>
    <w:next w:val="Normal"/>
    <w:link w:val="3-SubsectionHeadingChar"/>
    <w:qFormat/>
    <w:rsid w:val="009B583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B5832"/>
    <w:rPr>
      <w:rFonts w:asciiTheme="minorHAnsi" w:eastAsiaTheme="majorEastAsia" w:hAnsiTheme="minorHAnsi" w:cstheme="majorBidi"/>
      <w:b/>
      <w:i/>
      <w:snapToGrid/>
      <w:spacing w:val="5"/>
      <w:kern w:val="28"/>
      <w:sz w:val="28"/>
      <w:szCs w:val="36"/>
      <w:lang w:eastAsia="en-US"/>
    </w:rPr>
  </w:style>
  <w:style w:type="paragraph" w:customStyle="1" w:styleId="Footnotes">
    <w:name w:val="Footnotes"/>
    <w:basedOn w:val="FootnoteText"/>
    <w:link w:val="FootnotesChar"/>
    <w:qFormat/>
    <w:rsid w:val="00683E7D"/>
    <w:rPr>
      <w:rFonts w:asciiTheme="minorHAnsi" w:hAnsiTheme="minorHAnsi"/>
      <w:snapToGrid w:val="0"/>
      <w:lang w:eastAsia="en-US"/>
    </w:rPr>
  </w:style>
  <w:style w:type="character" w:customStyle="1" w:styleId="FootnotesChar">
    <w:name w:val="Footnotes Char"/>
    <w:basedOn w:val="FootnoteTextChar"/>
    <w:link w:val="Footnotes"/>
    <w:rsid w:val="00683E7D"/>
    <w:rPr>
      <w:rFonts w:asciiTheme="minorHAnsi" w:hAnsiTheme="minorHAnsi" w:cs="Arial"/>
      <w:snapToGrid w:val="0"/>
      <w:lang w:eastAsia="en-US"/>
    </w:rPr>
  </w:style>
  <w:style w:type="paragraph" w:customStyle="1" w:styleId="PBACESHeading1">
    <w:name w:val="PBAC ES Heading 1"/>
    <w:basedOn w:val="Heading1"/>
    <w:next w:val="ListParagraph"/>
    <w:uiPriority w:val="1"/>
    <w:qFormat/>
    <w:rsid w:val="00932EE0"/>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932EE0"/>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qFormat/>
    <w:rsid w:val="00932EE0"/>
    <w:rPr>
      <w:i w:val="0"/>
      <w:smallCaps/>
      <w:sz w:val="32"/>
    </w:rPr>
  </w:style>
  <w:style w:type="paragraph" w:customStyle="1" w:styleId="PBACESHeading3">
    <w:name w:val="PBAC ES Heading 3"/>
    <w:basedOn w:val="PBACESHeading2"/>
    <w:uiPriority w:val="1"/>
    <w:qFormat/>
    <w:rsid w:val="00932EE0"/>
    <w:pPr>
      <w:ind w:left="1080" w:hanging="1080"/>
    </w:pPr>
    <w:rPr>
      <w:i w:val="0"/>
      <w:sz w:val="24"/>
    </w:rPr>
  </w:style>
  <w:style w:type="paragraph" w:customStyle="1" w:styleId="MSACHeading1">
    <w:name w:val="MSAC Heading 1"/>
    <w:basedOn w:val="Heading1"/>
    <w:next w:val="Normal"/>
    <w:uiPriority w:val="1"/>
    <w:qFormat/>
    <w:rsid w:val="00932EE0"/>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932EE0"/>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table" w:customStyle="1" w:styleId="ASDTable2">
    <w:name w:val="ASD Table2"/>
    <w:basedOn w:val="TableNormal"/>
    <w:next w:val="TableGrid"/>
    <w:uiPriority w:val="39"/>
    <w:rsid w:val="00A3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er">
    <w:name w:val="Table Row Header"/>
    <w:basedOn w:val="TableText0"/>
    <w:link w:val="TableRowHeaderChar"/>
    <w:qFormat/>
    <w:rsid w:val="00AC2D8E"/>
    <w:pPr>
      <w:keepNext w:val="0"/>
      <w:widowControl w:val="0"/>
      <w:jc w:val="center"/>
    </w:pPr>
    <w:rPr>
      <w:rFonts w:eastAsiaTheme="minorHAnsi" w:cstheme="minorBidi"/>
      <w:b/>
      <w:bCs w:val="0"/>
      <w:szCs w:val="22"/>
      <w:lang w:eastAsia="en-US"/>
    </w:rPr>
  </w:style>
  <w:style w:type="character" w:customStyle="1" w:styleId="TableRowHeaderChar">
    <w:name w:val="Table Row Header Char"/>
    <w:basedOn w:val="TableTextChar0"/>
    <w:link w:val="TableRowHeader"/>
    <w:rsid w:val="00AC2D8E"/>
    <w:rPr>
      <w:rFonts w:ascii="Arial Narrow" w:eastAsiaTheme="minorHAnsi" w:hAnsi="Arial Narrow" w:cstheme="minorBidi"/>
      <w:b/>
      <w:bCs w:val="0"/>
      <w:szCs w:val="22"/>
      <w:lang w:eastAsia="en-US"/>
    </w:rPr>
  </w:style>
  <w:style w:type="paragraph" w:customStyle="1" w:styleId="BulletBodyText">
    <w:name w:val="Bullet Body Text"/>
    <w:basedOn w:val="ListParagraph"/>
    <w:link w:val="BulletBodyTextChar"/>
    <w:qFormat/>
    <w:rsid w:val="00AF5FC8"/>
    <w:pPr>
      <w:numPr>
        <w:numId w:val="14"/>
      </w:numPr>
      <w:ind w:left="1134" w:hanging="425"/>
    </w:pPr>
    <w:rPr>
      <w:iCs/>
    </w:rPr>
  </w:style>
  <w:style w:type="character" w:customStyle="1" w:styleId="BulletBodyTextChar">
    <w:name w:val="Bullet Body Text Char"/>
    <w:basedOn w:val="ListParagraphChar"/>
    <w:link w:val="BulletBodyText"/>
    <w:rsid w:val="00AF5FC8"/>
    <w:rPr>
      <w:rFonts w:asciiTheme="minorHAnsi" w:hAnsiTheme="minorHAnsi" w:cs="Arial"/>
      <w:iCs/>
      <w:snapToGrid w:val="0"/>
      <w:sz w:val="24"/>
      <w:szCs w:val="24"/>
    </w:rPr>
  </w:style>
  <w:style w:type="character" w:styleId="Mention">
    <w:name w:val="Mention"/>
    <w:basedOn w:val="DefaultParagraphFont"/>
    <w:uiPriority w:val="99"/>
    <w:unhideWhenUsed/>
    <w:rsid w:val="00E31FED"/>
    <w:rPr>
      <w:color w:val="2B579A"/>
      <w:shd w:val="clear" w:color="auto" w:fill="E1DFDD"/>
    </w:rPr>
  </w:style>
  <w:style w:type="character" w:styleId="UnresolvedMention">
    <w:name w:val="Unresolved Mention"/>
    <w:basedOn w:val="DefaultParagraphFont"/>
    <w:uiPriority w:val="99"/>
    <w:semiHidden/>
    <w:unhideWhenUsed/>
    <w:rsid w:val="00D5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504">
      <w:bodyDiv w:val="1"/>
      <w:marLeft w:val="0"/>
      <w:marRight w:val="0"/>
      <w:marTop w:val="0"/>
      <w:marBottom w:val="0"/>
      <w:divBdr>
        <w:top w:val="none" w:sz="0" w:space="0" w:color="auto"/>
        <w:left w:val="none" w:sz="0" w:space="0" w:color="auto"/>
        <w:bottom w:val="none" w:sz="0" w:space="0" w:color="auto"/>
        <w:right w:val="none" w:sz="0" w:space="0" w:color="auto"/>
      </w:divBdr>
    </w:div>
    <w:div w:id="5821468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7722524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8823684">
      <w:bodyDiv w:val="1"/>
      <w:marLeft w:val="0"/>
      <w:marRight w:val="0"/>
      <w:marTop w:val="0"/>
      <w:marBottom w:val="0"/>
      <w:divBdr>
        <w:top w:val="none" w:sz="0" w:space="0" w:color="auto"/>
        <w:left w:val="none" w:sz="0" w:space="0" w:color="auto"/>
        <w:bottom w:val="none" w:sz="0" w:space="0" w:color="auto"/>
        <w:right w:val="none" w:sz="0" w:space="0" w:color="auto"/>
      </w:divBdr>
    </w:div>
    <w:div w:id="385304383">
      <w:bodyDiv w:val="1"/>
      <w:marLeft w:val="0"/>
      <w:marRight w:val="0"/>
      <w:marTop w:val="0"/>
      <w:marBottom w:val="0"/>
      <w:divBdr>
        <w:top w:val="none" w:sz="0" w:space="0" w:color="auto"/>
        <w:left w:val="none" w:sz="0" w:space="0" w:color="auto"/>
        <w:bottom w:val="none" w:sz="0" w:space="0" w:color="auto"/>
        <w:right w:val="none" w:sz="0" w:space="0" w:color="auto"/>
      </w:divBdr>
    </w:div>
    <w:div w:id="391392960">
      <w:bodyDiv w:val="1"/>
      <w:marLeft w:val="0"/>
      <w:marRight w:val="0"/>
      <w:marTop w:val="0"/>
      <w:marBottom w:val="0"/>
      <w:divBdr>
        <w:top w:val="none" w:sz="0" w:space="0" w:color="auto"/>
        <w:left w:val="none" w:sz="0" w:space="0" w:color="auto"/>
        <w:bottom w:val="none" w:sz="0" w:space="0" w:color="auto"/>
        <w:right w:val="none" w:sz="0" w:space="0" w:color="auto"/>
      </w:divBdr>
      <w:divsChild>
        <w:div w:id="406852667">
          <w:marLeft w:val="360"/>
          <w:marRight w:val="0"/>
          <w:marTop w:val="200"/>
          <w:marBottom w:val="0"/>
          <w:divBdr>
            <w:top w:val="none" w:sz="0" w:space="0" w:color="auto"/>
            <w:left w:val="none" w:sz="0" w:space="0" w:color="auto"/>
            <w:bottom w:val="none" w:sz="0" w:space="0" w:color="auto"/>
            <w:right w:val="none" w:sz="0" w:space="0" w:color="auto"/>
          </w:divBdr>
        </w:div>
        <w:div w:id="980891111">
          <w:marLeft w:val="360"/>
          <w:marRight w:val="0"/>
          <w:marTop w:val="200"/>
          <w:marBottom w:val="0"/>
          <w:divBdr>
            <w:top w:val="none" w:sz="0" w:space="0" w:color="auto"/>
            <w:left w:val="none" w:sz="0" w:space="0" w:color="auto"/>
            <w:bottom w:val="none" w:sz="0" w:space="0" w:color="auto"/>
            <w:right w:val="none" w:sz="0" w:space="0" w:color="auto"/>
          </w:divBdr>
        </w:div>
        <w:div w:id="1434858850">
          <w:marLeft w:val="360"/>
          <w:marRight w:val="0"/>
          <w:marTop w:val="200"/>
          <w:marBottom w:val="0"/>
          <w:divBdr>
            <w:top w:val="none" w:sz="0" w:space="0" w:color="auto"/>
            <w:left w:val="none" w:sz="0" w:space="0" w:color="auto"/>
            <w:bottom w:val="none" w:sz="0" w:space="0" w:color="auto"/>
            <w:right w:val="none" w:sz="0" w:space="0" w:color="auto"/>
          </w:divBdr>
        </w:div>
        <w:div w:id="1922717252">
          <w:marLeft w:val="360"/>
          <w:marRight w:val="0"/>
          <w:marTop w:val="200"/>
          <w:marBottom w:val="0"/>
          <w:divBdr>
            <w:top w:val="none" w:sz="0" w:space="0" w:color="auto"/>
            <w:left w:val="none" w:sz="0" w:space="0" w:color="auto"/>
            <w:bottom w:val="none" w:sz="0" w:space="0" w:color="auto"/>
            <w:right w:val="none" w:sz="0" w:space="0" w:color="auto"/>
          </w:divBdr>
        </w:div>
      </w:divsChild>
    </w:div>
    <w:div w:id="437484270">
      <w:bodyDiv w:val="1"/>
      <w:marLeft w:val="0"/>
      <w:marRight w:val="0"/>
      <w:marTop w:val="0"/>
      <w:marBottom w:val="0"/>
      <w:divBdr>
        <w:top w:val="none" w:sz="0" w:space="0" w:color="auto"/>
        <w:left w:val="none" w:sz="0" w:space="0" w:color="auto"/>
        <w:bottom w:val="none" w:sz="0" w:space="0" w:color="auto"/>
        <w:right w:val="none" w:sz="0" w:space="0" w:color="auto"/>
      </w:divBdr>
    </w:div>
    <w:div w:id="455680498">
      <w:bodyDiv w:val="1"/>
      <w:marLeft w:val="0"/>
      <w:marRight w:val="0"/>
      <w:marTop w:val="0"/>
      <w:marBottom w:val="0"/>
      <w:divBdr>
        <w:top w:val="none" w:sz="0" w:space="0" w:color="auto"/>
        <w:left w:val="none" w:sz="0" w:space="0" w:color="auto"/>
        <w:bottom w:val="none" w:sz="0" w:space="0" w:color="auto"/>
        <w:right w:val="none" w:sz="0" w:space="0" w:color="auto"/>
      </w:divBdr>
    </w:div>
    <w:div w:id="503010372">
      <w:bodyDiv w:val="1"/>
      <w:marLeft w:val="0"/>
      <w:marRight w:val="0"/>
      <w:marTop w:val="0"/>
      <w:marBottom w:val="0"/>
      <w:divBdr>
        <w:top w:val="none" w:sz="0" w:space="0" w:color="auto"/>
        <w:left w:val="none" w:sz="0" w:space="0" w:color="auto"/>
        <w:bottom w:val="none" w:sz="0" w:space="0" w:color="auto"/>
        <w:right w:val="none" w:sz="0" w:space="0" w:color="auto"/>
      </w:divBdr>
      <w:divsChild>
        <w:div w:id="52779772">
          <w:marLeft w:val="1080"/>
          <w:marRight w:val="0"/>
          <w:marTop w:val="100"/>
          <w:marBottom w:val="0"/>
          <w:divBdr>
            <w:top w:val="none" w:sz="0" w:space="0" w:color="auto"/>
            <w:left w:val="none" w:sz="0" w:space="0" w:color="auto"/>
            <w:bottom w:val="none" w:sz="0" w:space="0" w:color="auto"/>
            <w:right w:val="none" w:sz="0" w:space="0" w:color="auto"/>
          </w:divBdr>
        </w:div>
        <w:div w:id="61216091">
          <w:marLeft w:val="360"/>
          <w:marRight w:val="0"/>
          <w:marTop w:val="200"/>
          <w:marBottom w:val="0"/>
          <w:divBdr>
            <w:top w:val="none" w:sz="0" w:space="0" w:color="auto"/>
            <w:left w:val="none" w:sz="0" w:space="0" w:color="auto"/>
            <w:bottom w:val="none" w:sz="0" w:space="0" w:color="auto"/>
            <w:right w:val="none" w:sz="0" w:space="0" w:color="auto"/>
          </w:divBdr>
        </w:div>
        <w:div w:id="483354607">
          <w:marLeft w:val="360"/>
          <w:marRight w:val="0"/>
          <w:marTop w:val="200"/>
          <w:marBottom w:val="0"/>
          <w:divBdr>
            <w:top w:val="none" w:sz="0" w:space="0" w:color="auto"/>
            <w:left w:val="none" w:sz="0" w:space="0" w:color="auto"/>
            <w:bottom w:val="none" w:sz="0" w:space="0" w:color="auto"/>
            <w:right w:val="none" w:sz="0" w:space="0" w:color="auto"/>
          </w:divBdr>
        </w:div>
        <w:div w:id="1223907066">
          <w:marLeft w:val="360"/>
          <w:marRight w:val="0"/>
          <w:marTop w:val="200"/>
          <w:marBottom w:val="0"/>
          <w:divBdr>
            <w:top w:val="none" w:sz="0" w:space="0" w:color="auto"/>
            <w:left w:val="none" w:sz="0" w:space="0" w:color="auto"/>
            <w:bottom w:val="none" w:sz="0" w:space="0" w:color="auto"/>
            <w:right w:val="none" w:sz="0" w:space="0" w:color="auto"/>
          </w:divBdr>
        </w:div>
        <w:div w:id="1317146144">
          <w:marLeft w:val="1080"/>
          <w:marRight w:val="0"/>
          <w:marTop w:val="100"/>
          <w:marBottom w:val="0"/>
          <w:divBdr>
            <w:top w:val="none" w:sz="0" w:space="0" w:color="auto"/>
            <w:left w:val="none" w:sz="0" w:space="0" w:color="auto"/>
            <w:bottom w:val="none" w:sz="0" w:space="0" w:color="auto"/>
            <w:right w:val="none" w:sz="0" w:space="0" w:color="auto"/>
          </w:divBdr>
        </w:div>
        <w:div w:id="1342124363">
          <w:marLeft w:val="360"/>
          <w:marRight w:val="0"/>
          <w:marTop w:val="200"/>
          <w:marBottom w:val="0"/>
          <w:divBdr>
            <w:top w:val="none" w:sz="0" w:space="0" w:color="auto"/>
            <w:left w:val="none" w:sz="0" w:space="0" w:color="auto"/>
            <w:bottom w:val="none" w:sz="0" w:space="0" w:color="auto"/>
            <w:right w:val="none" w:sz="0" w:space="0" w:color="auto"/>
          </w:divBdr>
        </w:div>
        <w:div w:id="1856533331">
          <w:marLeft w:val="360"/>
          <w:marRight w:val="0"/>
          <w:marTop w:val="200"/>
          <w:marBottom w:val="0"/>
          <w:divBdr>
            <w:top w:val="none" w:sz="0" w:space="0" w:color="auto"/>
            <w:left w:val="none" w:sz="0" w:space="0" w:color="auto"/>
            <w:bottom w:val="none" w:sz="0" w:space="0" w:color="auto"/>
            <w:right w:val="none" w:sz="0" w:space="0" w:color="auto"/>
          </w:divBdr>
        </w:div>
      </w:divsChild>
    </w:div>
    <w:div w:id="507989378">
      <w:bodyDiv w:val="1"/>
      <w:marLeft w:val="0"/>
      <w:marRight w:val="0"/>
      <w:marTop w:val="0"/>
      <w:marBottom w:val="0"/>
      <w:divBdr>
        <w:top w:val="none" w:sz="0" w:space="0" w:color="auto"/>
        <w:left w:val="none" w:sz="0" w:space="0" w:color="auto"/>
        <w:bottom w:val="none" w:sz="0" w:space="0" w:color="auto"/>
        <w:right w:val="none" w:sz="0" w:space="0" w:color="auto"/>
      </w:divBdr>
    </w:div>
    <w:div w:id="60708310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1696319">
      <w:bodyDiv w:val="1"/>
      <w:marLeft w:val="0"/>
      <w:marRight w:val="0"/>
      <w:marTop w:val="0"/>
      <w:marBottom w:val="0"/>
      <w:divBdr>
        <w:top w:val="none" w:sz="0" w:space="0" w:color="auto"/>
        <w:left w:val="none" w:sz="0" w:space="0" w:color="auto"/>
        <w:bottom w:val="none" w:sz="0" w:space="0" w:color="auto"/>
        <w:right w:val="none" w:sz="0" w:space="0" w:color="auto"/>
      </w:divBdr>
    </w:div>
    <w:div w:id="116216296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501753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0434912">
      <w:bodyDiv w:val="1"/>
      <w:marLeft w:val="0"/>
      <w:marRight w:val="0"/>
      <w:marTop w:val="0"/>
      <w:marBottom w:val="0"/>
      <w:divBdr>
        <w:top w:val="none" w:sz="0" w:space="0" w:color="auto"/>
        <w:left w:val="none" w:sz="0" w:space="0" w:color="auto"/>
        <w:bottom w:val="none" w:sz="0" w:space="0" w:color="auto"/>
        <w:right w:val="none" w:sz="0" w:space="0" w:color="auto"/>
      </w:divBdr>
      <w:divsChild>
        <w:div w:id="1998461115">
          <w:marLeft w:val="360"/>
          <w:marRight w:val="0"/>
          <w:marTop w:val="200"/>
          <w:marBottom w:val="0"/>
          <w:divBdr>
            <w:top w:val="none" w:sz="0" w:space="0" w:color="auto"/>
            <w:left w:val="none" w:sz="0" w:space="0" w:color="auto"/>
            <w:bottom w:val="none" w:sz="0" w:space="0" w:color="auto"/>
            <w:right w:val="none" w:sz="0" w:space="0" w:color="auto"/>
          </w:divBdr>
        </w:div>
      </w:divsChild>
    </w:div>
    <w:div w:id="1281961796">
      <w:bodyDiv w:val="1"/>
      <w:marLeft w:val="0"/>
      <w:marRight w:val="0"/>
      <w:marTop w:val="0"/>
      <w:marBottom w:val="0"/>
      <w:divBdr>
        <w:top w:val="none" w:sz="0" w:space="0" w:color="auto"/>
        <w:left w:val="none" w:sz="0" w:space="0" w:color="auto"/>
        <w:bottom w:val="none" w:sz="0" w:space="0" w:color="auto"/>
        <w:right w:val="none" w:sz="0" w:space="0" w:color="auto"/>
      </w:divBdr>
    </w:div>
    <w:div w:id="1295720181">
      <w:bodyDiv w:val="1"/>
      <w:marLeft w:val="0"/>
      <w:marRight w:val="0"/>
      <w:marTop w:val="0"/>
      <w:marBottom w:val="0"/>
      <w:divBdr>
        <w:top w:val="none" w:sz="0" w:space="0" w:color="auto"/>
        <w:left w:val="none" w:sz="0" w:space="0" w:color="auto"/>
        <w:bottom w:val="none" w:sz="0" w:space="0" w:color="auto"/>
        <w:right w:val="none" w:sz="0" w:space="0" w:color="auto"/>
      </w:divBdr>
      <w:divsChild>
        <w:div w:id="475535107">
          <w:marLeft w:val="360"/>
          <w:marRight w:val="0"/>
          <w:marTop w:val="200"/>
          <w:marBottom w:val="0"/>
          <w:divBdr>
            <w:top w:val="none" w:sz="0" w:space="0" w:color="auto"/>
            <w:left w:val="none" w:sz="0" w:space="0" w:color="auto"/>
            <w:bottom w:val="none" w:sz="0" w:space="0" w:color="auto"/>
            <w:right w:val="none" w:sz="0" w:space="0" w:color="auto"/>
          </w:divBdr>
        </w:div>
      </w:divsChild>
    </w:div>
    <w:div w:id="1310593836">
      <w:bodyDiv w:val="1"/>
      <w:marLeft w:val="0"/>
      <w:marRight w:val="0"/>
      <w:marTop w:val="0"/>
      <w:marBottom w:val="0"/>
      <w:divBdr>
        <w:top w:val="none" w:sz="0" w:space="0" w:color="auto"/>
        <w:left w:val="none" w:sz="0" w:space="0" w:color="auto"/>
        <w:bottom w:val="none" w:sz="0" w:space="0" w:color="auto"/>
        <w:right w:val="none" w:sz="0" w:space="0" w:color="auto"/>
      </w:divBdr>
      <w:divsChild>
        <w:div w:id="552546387">
          <w:marLeft w:val="446"/>
          <w:marRight w:val="0"/>
          <w:marTop w:val="0"/>
          <w:marBottom w:val="0"/>
          <w:divBdr>
            <w:top w:val="none" w:sz="0" w:space="0" w:color="auto"/>
            <w:left w:val="none" w:sz="0" w:space="0" w:color="auto"/>
            <w:bottom w:val="none" w:sz="0" w:space="0" w:color="auto"/>
            <w:right w:val="none" w:sz="0" w:space="0" w:color="auto"/>
          </w:divBdr>
        </w:div>
        <w:div w:id="792945252">
          <w:marLeft w:val="446"/>
          <w:marRight w:val="0"/>
          <w:marTop w:val="0"/>
          <w:marBottom w:val="0"/>
          <w:divBdr>
            <w:top w:val="none" w:sz="0" w:space="0" w:color="auto"/>
            <w:left w:val="none" w:sz="0" w:space="0" w:color="auto"/>
            <w:bottom w:val="none" w:sz="0" w:space="0" w:color="auto"/>
            <w:right w:val="none" w:sz="0" w:space="0" w:color="auto"/>
          </w:divBdr>
        </w:div>
        <w:div w:id="935557672">
          <w:marLeft w:val="446"/>
          <w:marRight w:val="0"/>
          <w:marTop w:val="0"/>
          <w:marBottom w:val="0"/>
          <w:divBdr>
            <w:top w:val="none" w:sz="0" w:space="0" w:color="auto"/>
            <w:left w:val="none" w:sz="0" w:space="0" w:color="auto"/>
            <w:bottom w:val="none" w:sz="0" w:space="0" w:color="auto"/>
            <w:right w:val="none" w:sz="0" w:space="0" w:color="auto"/>
          </w:divBdr>
        </w:div>
        <w:div w:id="1829708269">
          <w:marLeft w:val="446"/>
          <w:marRight w:val="0"/>
          <w:marTop w:val="0"/>
          <w:marBottom w:val="0"/>
          <w:divBdr>
            <w:top w:val="none" w:sz="0" w:space="0" w:color="auto"/>
            <w:left w:val="none" w:sz="0" w:space="0" w:color="auto"/>
            <w:bottom w:val="none" w:sz="0" w:space="0" w:color="auto"/>
            <w:right w:val="none" w:sz="0" w:space="0" w:color="auto"/>
          </w:divBdr>
        </w:div>
      </w:divsChild>
    </w:div>
    <w:div w:id="1319309817">
      <w:bodyDiv w:val="1"/>
      <w:marLeft w:val="0"/>
      <w:marRight w:val="0"/>
      <w:marTop w:val="0"/>
      <w:marBottom w:val="0"/>
      <w:divBdr>
        <w:top w:val="none" w:sz="0" w:space="0" w:color="auto"/>
        <w:left w:val="none" w:sz="0" w:space="0" w:color="auto"/>
        <w:bottom w:val="none" w:sz="0" w:space="0" w:color="auto"/>
        <w:right w:val="none" w:sz="0" w:space="0" w:color="auto"/>
      </w:divBdr>
    </w:div>
    <w:div w:id="1338075948">
      <w:bodyDiv w:val="1"/>
      <w:marLeft w:val="0"/>
      <w:marRight w:val="0"/>
      <w:marTop w:val="0"/>
      <w:marBottom w:val="0"/>
      <w:divBdr>
        <w:top w:val="none" w:sz="0" w:space="0" w:color="auto"/>
        <w:left w:val="none" w:sz="0" w:space="0" w:color="auto"/>
        <w:bottom w:val="none" w:sz="0" w:space="0" w:color="auto"/>
        <w:right w:val="none" w:sz="0" w:space="0" w:color="auto"/>
      </w:divBdr>
      <w:divsChild>
        <w:div w:id="635837622">
          <w:marLeft w:val="446"/>
          <w:marRight w:val="0"/>
          <w:marTop w:val="0"/>
          <w:marBottom w:val="0"/>
          <w:divBdr>
            <w:top w:val="none" w:sz="0" w:space="0" w:color="auto"/>
            <w:left w:val="none" w:sz="0" w:space="0" w:color="auto"/>
            <w:bottom w:val="none" w:sz="0" w:space="0" w:color="auto"/>
            <w:right w:val="none" w:sz="0" w:space="0" w:color="auto"/>
          </w:divBdr>
        </w:div>
        <w:div w:id="1777947232">
          <w:marLeft w:val="446"/>
          <w:marRight w:val="0"/>
          <w:marTop w:val="0"/>
          <w:marBottom w:val="0"/>
          <w:divBdr>
            <w:top w:val="none" w:sz="0" w:space="0" w:color="auto"/>
            <w:left w:val="none" w:sz="0" w:space="0" w:color="auto"/>
            <w:bottom w:val="none" w:sz="0" w:space="0" w:color="auto"/>
            <w:right w:val="none" w:sz="0" w:space="0" w:color="auto"/>
          </w:divBdr>
        </w:div>
        <w:div w:id="1832675868">
          <w:marLeft w:val="446"/>
          <w:marRight w:val="0"/>
          <w:marTop w:val="0"/>
          <w:marBottom w:val="0"/>
          <w:divBdr>
            <w:top w:val="none" w:sz="0" w:space="0" w:color="auto"/>
            <w:left w:val="none" w:sz="0" w:space="0" w:color="auto"/>
            <w:bottom w:val="none" w:sz="0" w:space="0" w:color="auto"/>
            <w:right w:val="none" w:sz="0" w:space="0" w:color="auto"/>
          </w:divBdr>
        </w:div>
        <w:div w:id="2012826640">
          <w:marLeft w:val="446"/>
          <w:marRight w:val="0"/>
          <w:marTop w:val="0"/>
          <w:marBottom w:val="0"/>
          <w:divBdr>
            <w:top w:val="none" w:sz="0" w:space="0" w:color="auto"/>
            <w:left w:val="none" w:sz="0" w:space="0" w:color="auto"/>
            <w:bottom w:val="none" w:sz="0" w:space="0" w:color="auto"/>
            <w:right w:val="none" w:sz="0" w:space="0" w:color="auto"/>
          </w:divBdr>
        </w:div>
      </w:divsChild>
    </w:div>
    <w:div w:id="1343899753">
      <w:bodyDiv w:val="1"/>
      <w:marLeft w:val="0"/>
      <w:marRight w:val="0"/>
      <w:marTop w:val="0"/>
      <w:marBottom w:val="0"/>
      <w:divBdr>
        <w:top w:val="none" w:sz="0" w:space="0" w:color="auto"/>
        <w:left w:val="none" w:sz="0" w:space="0" w:color="auto"/>
        <w:bottom w:val="none" w:sz="0" w:space="0" w:color="auto"/>
        <w:right w:val="none" w:sz="0" w:space="0" w:color="auto"/>
      </w:divBdr>
    </w:div>
    <w:div w:id="1445731164">
      <w:bodyDiv w:val="1"/>
      <w:marLeft w:val="0"/>
      <w:marRight w:val="0"/>
      <w:marTop w:val="0"/>
      <w:marBottom w:val="0"/>
      <w:divBdr>
        <w:top w:val="none" w:sz="0" w:space="0" w:color="auto"/>
        <w:left w:val="none" w:sz="0" w:space="0" w:color="auto"/>
        <w:bottom w:val="none" w:sz="0" w:space="0" w:color="auto"/>
        <w:right w:val="none" w:sz="0" w:space="0" w:color="auto"/>
      </w:divBdr>
    </w:div>
    <w:div w:id="1521433244">
      <w:bodyDiv w:val="1"/>
      <w:marLeft w:val="0"/>
      <w:marRight w:val="0"/>
      <w:marTop w:val="0"/>
      <w:marBottom w:val="0"/>
      <w:divBdr>
        <w:top w:val="none" w:sz="0" w:space="0" w:color="auto"/>
        <w:left w:val="none" w:sz="0" w:space="0" w:color="auto"/>
        <w:bottom w:val="none" w:sz="0" w:space="0" w:color="auto"/>
        <w:right w:val="none" w:sz="0" w:space="0" w:color="auto"/>
      </w:divBdr>
    </w:div>
    <w:div w:id="1535118382">
      <w:bodyDiv w:val="1"/>
      <w:marLeft w:val="0"/>
      <w:marRight w:val="0"/>
      <w:marTop w:val="0"/>
      <w:marBottom w:val="0"/>
      <w:divBdr>
        <w:top w:val="none" w:sz="0" w:space="0" w:color="auto"/>
        <w:left w:val="none" w:sz="0" w:space="0" w:color="auto"/>
        <w:bottom w:val="none" w:sz="0" w:space="0" w:color="auto"/>
        <w:right w:val="none" w:sz="0" w:space="0" w:color="auto"/>
      </w:divBdr>
      <w:divsChild>
        <w:div w:id="227419206">
          <w:marLeft w:val="446"/>
          <w:marRight w:val="0"/>
          <w:marTop w:val="0"/>
          <w:marBottom w:val="0"/>
          <w:divBdr>
            <w:top w:val="none" w:sz="0" w:space="0" w:color="auto"/>
            <w:left w:val="none" w:sz="0" w:space="0" w:color="auto"/>
            <w:bottom w:val="none" w:sz="0" w:space="0" w:color="auto"/>
            <w:right w:val="none" w:sz="0" w:space="0" w:color="auto"/>
          </w:divBdr>
        </w:div>
        <w:div w:id="659232970">
          <w:marLeft w:val="446"/>
          <w:marRight w:val="0"/>
          <w:marTop w:val="0"/>
          <w:marBottom w:val="0"/>
          <w:divBdr>
            <w:top w:val="none" w:sz="0" w:space="0" w:color="auto"/>
            <w:left w:val="none" w:sz="0" w:space="0" w:color="auto"/>
            <w:bottom w:val="none" w:sz="0" w:space="0" w:color="auto"/>
            <w:right w:val="none" w:sz="0" w:space="0" w:color="auto"/>
          </w:divBdr>
        </w:div>
        <w:div w:id="877663416">
          <w:marLeft w:val="446"/>
          <w:marRight w:val="0"/>
          <w:marTop w:val="0"/>
          <w:marBottom w:val="0"/>
          <w:divBdr>
            <w:top w:val="none" w:sz="0" w:space="0" w:color="auto"/>
            <w:left w:val="none" w:sz="0" w:space="0" w:color="auto"/>
            <w:bottom w:val="none" w:sz="0" w:space="0" w:color="auto"/>
            <w:right w:val="none" w:sz="0" w:space="0" w:color="auto"/>
          </w:divBdr>
        </w:div>
        <w:div w:id="1033724407">
          <w:marLeft w:val="446"/>
          <w:marRight w:val="0"/>
          <w:marTop w:val="0"/>
          <w:marBottom w:val="0"/>
          <w:divBdr>
            <w:top w:val="none" w:sz="0" w:space="0" w:color="auto"/>
            <w:left w:val="none" w:sz="0" w:space="0" w:color="auto"/>
            <w:bottom w:val="none" w:sz="0" w:space="0" w:color="auto"/>
            <w:right w:val="none" w:sz="0" w:space="0" w:color="auto"/>
          </w:divBdr>
        </w:div>
      </w:divsChild>
    </w:div>
    <w:div w:id="1576280333">
      <w:bodyDiv w:val="1"/>
      <w:marLeft w:val="0"/>
      <w:marRight w:val="0"/>
      <w:marTop w:val="0"/>
      <w:marBottom w:val="0"/>
      <w:divBdr>
        <w:top w:val="none" w:sz="0" w:space="0" w:color="auto"/>
        <w:left w:val="none" w:sz="0" w:space="0" w:color="auto"/>
        <w:bottom w:val="none" w:sz="0" w:space="0" w:color="auto"/>
        <w:right w:val="none" w:sz="0" w:space="0" w:color="auto"/>
      </w:divBdr>
    </w:div>
    <w:div w:id="1684550991">
      <w:bodyDiv w:val="1"/>
      <w:marLeft w:val="0"/>
      <w:marRight w:val="0"/>
      <w:marTop w:val="0"/>
      <w:marBottom w:val="0"/>
      <w:divBdr>
        <w:top w:val="none" w:sz="0" w:space="0" w:color="auto"/>
        <w:left w:val="none" w:sz="0" w:space="0" w:color="auto"/>
        <w:bottom w:val="none" w:sz="0" w:space="0" w:color="auto"/>
        <w:right w:val="none" w:sz="0" w:space="0" w:color="auto"/>
      </w:divBdr>
    </w:div>
    <w:div w:id="1691222441">
      <w:bodyDiv w:val="1"/>
      <w:marLeft w:val="0"/>
      <w:marRight w:val="0"/>
      <w:marTop w:val="0"/>
      <w:marBottom w:val="0"/>
      <w:divBdr>
        <w:top w:val="none" w:sz="0" w:space="0" w:color="auto"/>
        <w:left w:val="none" w:sz="0" w:space="0" w:color="auto"/>
        <w:bottom w:val="none" w:sz="0" w:space="0" w:color="auto"/>
        <w:right w:val="none" w:sz="0" w:space="0" w:color="auto"/>
      </w:divBdr>
    </w:div>
    <w:div w:id="1731920316">
      <w:bodyDiv w:val="1"/>
      <w:marLeft w:val="0"/>
      <w:marRight w:val="0"/>
      <w:marTop w:val="0"/>
      <w:marBottom w:val="0"/>
      <w:divBdr>
        <w:top w:val="none" w:sz="0" w:space="0" w:color="auto"/>
        <w:left w:val="none" w:sz="0" w:space="0" w:color="auto"/>
        <w:bottom w:val="none" w:sz="0" w:space="0" w:color="auto"/>
        <w:right w:val="none" w:sz="0" w:space="0" w:color="auto"/>
      </w:divBdr>
    </w:div>
    <w:div w:id="1740668285">
      <w:bodyDiv w:val="1"/>
      <w:marLeft w:val="0"/>
      <w:marRight w:val="0"/>
      <w:marTop w:val="0"/>
      <w:marBottom w:val="0"/>
      <w:divBdr>
        <w:top w:val="none" w:sz="0" w:space="0" w:color="auto"/>
        <w:left w:val="none" w:sz="0" w:space="0" w:color="auto"/>
        <w:bottom w:val="none" w:sz="0" w:space="0" w:color="auto"/>
        <w:right w:val="none" w:sz="0" w:space="0" w:color="auto"/>
      </w:divBdr>
    </w:div>
    <w:div w:id="1801922790">
      <w:bodyDiv w:val="1"/>
      <w:marLeft w:val="0"/>
      <w:marRight w:val="0"/>
      <w:marTop w:val="0"/>
      <w:marBottom w:val="0"/>
      <w:divBdr>
        <w:top w:val="none" w:sz="0" w:space="0" w:color="auto"/>
        <w:left w:val="none" w:sz="0" w:space="0" w:color="auto"/>
        <w:bottom w:val="none" w:sz="0" w:space="0" w:color="auto"/>
        <w:right w:val="none" w:sz="0" w:space="0" w:color="auto"/>
      </w:divBdr>
    </w:div>
    <w:div w:id="1854685614">
      <w:bodyDiv w:val="1"/>
      <w:marLeft w:val="0"/>
      <w:marRight w:val="0"/>
      <w:marTop w:val="0"/>
      <w:marBottom w:val="0"/>
      <w:divBdr>
        <w:top w:val="none" w:sz="0" w:space="0" w:color="auto"/>
        <w:left w:val="none" w:sz="0" w:space="0" w:color="auto"/>
        <w:bottom w:val="none" w:sz="0" w:space="0" w:color="auto"/>
        <w:right w:val="none" w:sz="0" w:space="0" w:color="auto"/>
      </w:divBdr>
    </w:div>
    <w:div w:id="1894387598">
      <w:bodyDiv w:val="1"/>
      <w:marLeft w:val="0"/>
      <w:marRight w:val="0"/>
      <w:marTop w:val="0"/>
      <w:marBottom w:val="0"/>
      <w:divBdr>
        <w:top w:val="none" w:sz="0" w:space="0" w:color="auto"/>
        <w:left w:val="none" w:sz="0" w:space="0" w:color="auto"/>
        <w:bottom w:val="none" w:sz="0" w:space="0" w:color="auto"/>
        <w:right w:val="none" w:sz="0" w:space="0" w:color="auto"/>
      </w:divBdr>
    </w:div>
    <w:div w:id="1942911912">
      <w:bodyDiv w:val="1"/>
      <w:marLeft w:val="0"/>
      <w:marRight w:val="0"/>
      <w:marTop w:val="0"/>
      <w:marBottom w:val="0"/>
      <w:divBdr>
        <w:top w:val="none" w:sz="0" w:space="0" w:color="auto"/>
        <w:left w:val="none" w:sz="0" w:space="0" w:color="auto"/>
        <w:bottom w:val="none" w:sz="0" w:space="0" w:color="auto"/>
        <w:right w:val="none" w:sz="0" w:space="0" w:color="auto"/>
      </w:divBdr>
    </w:div>
    <w:div w:id="194839176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9164301">
      <w:bodyDiv w:val="1"/>
      <w:marLeft w:val="0"/>
      <w:marRight w:val="0"/>
      <w:marTop w:val="0"/>
      <w:marBottom w:val="0"/>
      <w:divBdr>
        <w:top w:val="none" w:sz="0" w:space="0" w:color="auto"/>
        <w:left w:val="none" w:sz="0" w:space="0" w:color="auto"/>
        <w:bottom w:val="none" w:sz="0" w:space="0" w:color="auto"/>
        <w:right w:val="none" w:sz="0" w:space="0" w:color="auto"/>
      </w:divBdr>
    </w:div>
    <w:div w:id="20811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bs.gov.au/industry/listing/elements/pbac-meetings/agenda/pdf/2022/PBAC-meeting-agenda-March-2023-v2.pdf" TargetMode="External"/><Relationship Id="rId1" Type="http://schemas.openxmlformats.org/officeDocument/2006/relationships/hyperlink" Target="https://oncologypro.esmo.org/meeting-resources/esmo-congress/final-overall-survival-os-results-from-the-phase-iii-paola-1-engot-ov25-trial-evaluating-maintenance-olaparib-ola-plus-bevacizumab-bev-in-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AE2E-A415-4FC2-8520-981EEEB8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19839</Words>
  <Characters>107785</Characters>
  <Application>Microsoft Office Word</Application>
  <DocSecurity>0</DocSecurity>
  <Lines>898</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2023-07-04T06:43:00Z</dcterms:created>
  <dcterms:modified xsi:type="dcterms:W3CDTF">2023-07-04T06:43:00Z</dcterms:modified>
</cp:coreProperties>
</file>